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B6" w:rsidRPr="00137FA5" w:rsidRDefault="00331EB6" w:rsidP="00331EB6">
      <w:pPr>
        <w:spacing w:line="240" w:lineRule="auto"/>
        <w:contextualSpacing/>
        <w:jc w:val="center"/>
        <w:rPr>
          <w:rFonts w:ascii="Times New Roman" w:eastAsia="Times New Roman" w:hAnsi="Times New Roman" w:cs="Times New Roman"/>
          <w:b/>
          <w:lang w:eastAsia="ru-RU"/>
        </w:rPr>
      </w:pPr>
      <w:r w:rsidRPr="00137FA5">
        <w:rPr>
          <w:rFonts w:ascii="Times New Roman" w:eastAsia="Times New Roman" w:hAnsi="Times New Roman" w:cs="Times New Roman"/>
          <w:b/>
          <w:lang w:eastAsia="ru-RU"/>
        </w:rPr>
        <w:t xml:space="preserve">Sinteza propunerilor și recomandărilor </w:t>
      </w:r>
    </w:p>
    <w:p w:rsidR="00331EB6" w:rsidRPr="00137FA5" w:rsidRDefault="00331EB6" w:rsidP="00331EB6">
      <w:pPr>
        <w:spacing w:line="240" w:lineRule="auto"/>
        <w:contextualSpacing/>
        <w:jc w:val="center"/>
        <w:rPr>
          <w:rFonts w:ascii="Times New Roman" w:eastAsia="Times New Roman" w:hAnsi="Times New Roman" w:cs="Times New Roman"/>
          <w:b/>
          <w:lang w:eastAsia="ru-RU"/>
        </w:rPr>
      </w:pPr>
      <w:r w:rsidRPr="00137FA5">
        <w:rPr>
          <w:rFonts w:ascii="Times New Roman" w:eastAsia="Times New Roman" w:hAnsi="Times New Roman" w:cs="Times New Roman"/>
          <w:b/>
          <w:lang w:eastAsia="ru-RU"/>
        </w:rPr>
        <w:t xml:space="preserve">la proiectul Planului de acțiuni al Guvernului pentru anii 2021-2022, </w:t>
      </w:r>
    </w:p>
    <w:p w:rsidR="00331EB6" w:rsidRPr="00137FA5" w:rsidRDefault="00331EB6" w:rsidP="00331EB6">
      <w:pPr>
        <w:spacing w:line="240" w:lineRule="auto"/>
        <w:contextualSpacing/>
        <w:jc w:val="center"/>
        <w:rPr>
          <w:rFonts w:ascii="Times New Roman" w:eastAsia="Times New Roman" w:hAnsi="Times New Roman" w:cs="Times New Roman"/>
          <w:b/>
          <w:lang w:eastAsia="ru-RU"/>
        </w:rPr>
      </w:pPr>
      <w:r w:rsidRPr="00137FA5">
        <w:rPr>
          <w:rFonts w:ascii="Times New Roman" w:eastAsia="Times New Roman" w:hAnsi="Times New Roman" w:cs="Times New Roman"/>
          <w:b/>
          <w:lang w:eastAsia="ru-RU"/>
        </w:rPr>
        <w:t xml:space="preserve">pe domeniile </w:t>
      </w:r>
      <w:r w:rsidRPr="00137FA5">
        <w:rPr>
          <w:rFonts w:ascii="Times New Roman" w:eastAsia="Times New Roman" w:hAnsi="Times New Roman" w:cs="Times New Roman"/>
          <w:b/>
          <w:i/>
          <w:lang w:eastAsia="ru-RU"/>
        </w:rPr>
        <w:t>Finanțe publice. Restabilirea finanțării externe,</w:t>
      </w:r>
      <w:r w:rsidRPr="00137FA5">
        <w:rPr>
          <w:rFonts w:ascii="Times New Roman" w:eastAsia="Times New Roman" w:hAnsi="Times New Roman" w:cs="Times New Roman"/>
          <w:b/>
          <w:lang w:eastAsia="ru-RU"/>
        </w:rPr>
        <w:t xml:space="preserve"> recepționate în rezultatul consultărilor publice din 09 septembrie 2021</w:t>
      </w:r>
    </w:p>
    <w:p w:rsidR="00293DEC" w:rsidRDefault="00293DEC" w:rsidP="00331EB6"/>
    <w:tbl>
      <w:tblPr>
        <w:tblStyle w:val="TableGrid"/>
        <w:tblW w:w="14601" w:type="dxa"/>
        <w:tblInd w:w="-572" w:type="dxa"/>
        <w:tblLayout w:type="fixed"/>
        <w:tblLook w:val="04A0" w:firstRow="1" w:lastRow="0" w:firstColumn="1" w:lastColumn="0" w:noHBand="0" w:noVBand="1"/>
      </w:tblPr>
      <w:tblGrid>
        <w:gridCol w:w="567"/>
        <w:gridCol w:w="2903"/>
        <w:gridCol w:w="4279"/>
        <w:gridCol w:w="6852"/>
      </w:tblGrid>
      <w:tr w:rsidR="00331EB6" w:rsidRPr="00137FA5" w:rsidTr="002902D3">
        <w:trPr>
          <w:trHeight w:val="580"/>
        </w:trPr>
        <w:tc>
          <w:tcPr>
            <w:tcW w:w="567" w:type="dxa"/>
            <w:shd w:val="clear" w:color="auto" w:fill="E7E6E6" w:themeFill="background2"/>
          </w:tcPr>
          <w:p w:rsidR="00331EB6" w:rsidRPr="00137FA5" w:rsidRDefault="00331EB6" w:rsidP="002902D3">
            <w:pPr>
              <w:contextualSpacing/>
              <w:jc w:val="center"/>
              <w:rPr>
                <w:rFonts w:ascii="Times New Roman" w:hAnsi="Times New Roman" w:cs="Times New Roman"/>
                <w:b/>
                <w:i/>
              </w:rPr>
            </w:pPr>
            <w:r w:rsidRPr="00137FA5">
              <w:rPr>
                <w:rFonts w:ascii="Times New Roman" w:hAnsi="Times New Roman" w:cs="Times New Roman"/>
                <w:b/>
                <w:i/>
              </w:rPr>
              <w:t>Nr.</w:t>
            </w:r>
          </w:p>
        </w:tc>
        <w:tc>
          <w:tcPr>
            <w:tcW w:w="2903" w:type="dxa"/>
            <w:shd w:val="clear" w:color="auto" w:fill="E7E6E6" w:themeFill="background2"/>
          </w:tcPr>
          <w:p w:rsidR="00331EB6" w:rsidRPr="00137FA5" w:rsidRDefault="00331EB6" w:rsidP="002902D3">
            <w:pPr>
              <w:contextualSpacing/>
              <w:jc w:val="center"/>
              <w:rPr>
                <w:rFonts w:ascii="Times New Roman" w:hAnsi="Times New Roman" w:cs="Times New Roman"/>
                <w:b/>
                <w:i/>
              </w:rPr>
            </w:pPr>
            <w:r w:rsidRPr="00137FA5">
              <w:rPr>
                <w:rFonts w:ascii="Times New Roman" w:hAnsi="Times New Roman" w:cs="Times New Roman"/>
                <w:b/>
                <w:i/>
              </w:rPr>
              <w:t xml:space="preserve">Numele, prenumele persoanei care a înaintat propunerea/recomandarea, </w:t>
            </w:r>
          </w:p>
          <w:p w:rsidR="00331EB6" w:rsidRPr="00137FA5" w:rsidRDefault="00331EB6" w:rsidP="002902D3">
            <w:pPr>
              <w:contextualSpacing/>
              <w:jc w:val="center"/>
              <w:rPr>
                <w:rFonts w:ascii="Times New Roman" w:hAnsi="Times New Roman" w:cs="Times New Roman"/>
                <w:b/>
                <w:i/>
              </w:rPr>
            </w:pPr>
            <w:r w:rsidRPr="00137FA5">
              <w:rPr>
                <w:rFonts w:ascii="Times New Roman" w:hAnsi="Times New Roman" w:cs="Times New Roman"/>
                <w:b/>
                <w:i/>
              </w:rPr>
              <w:t xml:space="preserve">Denumirea organizației/instituției pe care o reprezintă </w:t>
            </w:r>
          </w:p>
        </w:tc>
        <w:tc>
          <w:tcPr>
            <w:tcW w:w="4279" w:type="dxa"/>
            <w:shd w:val="clear" w:color="auto" w:fill="E7E6E6" w:themeFill="background2"/>
          </w:tcPr>
          <w:p w:rsidR="00331EB6" w:rsidRPr="00137FA5" w:rsidRDefault="00331EB6" w:rsidP="002902D3">
            <w:pPr>
              <w:contextualSpacing/>
              <w:jc w:val="center"/>
              <w:rPr>
                <w:rFonts w:ascii="Times New Roman" w:hAnsi="Times New Roman" w:cs="Times New Roman"/>
                <w:b/>
                <w:i/>
              </w:rPr>
            </w:pPr>
            <w:r w:rsidRPr="00137FA5">
              <w:rPr>
                <w:rFonts w:ascii="Times New Roman" w:eastAsia="Times New Roman" w:hAnsi="Times New Roman" w:cs="Times New Roman"/>
                <w:b/>
                <w:i/>
                <w:lang w:eastAsia="ru-RU"/>
              </w:rPr>
              <w:t>Conținutul succint al propunerii/recomandării la proiectul PAG 2021-2022</w:t>
            </w:r>
          </w:p>
        </w:tc>
        <w:tc>
          <w:tcPr>
            <w:tcW w:w="6852" w:type="dxa"/>
            <w:shd w:val="clear" w:color="auto" w:fill="E7E6E6" w:themeFill="background2"/>
          </w:tcPr>
          <w:p w:rsidR="00331EB6" w:rsidRPr="00137FA5" w:rsidRDefault="00331EB6" w:rsidP="002902D3">
            <w:pPr>
              <w:contextualSpacing/>
              <w:jc w:val="center"/>
              <w:rPr>
                <w:rFonts w:ascii="Times New Roman" w:eastAsia="Times New Roman" w:hAnsi="Times New Roman" w:cs="Times New Roman"/>
                <w:b/>
                <w:i/>
                <w:lang w:eastAsia="ru-RU"/>
              </w:rPr>
            </w:pPr>
            <w:r w:rsidRPr="00137FA5">
              <w:rPr>
                <w:rFonts w:ascii="Times New Roman" w:eastAsia="Times New Roman" w:hAnsi="Times New Roman" w:cs="Times New Roman"/>
                <w:b/>
                <w:i/>
                <w:lang w:eastAsia="ru-RU"/>
              </w:rPr>
              <w:t>Comentariul Ministerului Finanțelor/autorității/instituției din subordine</w:t>
            </w:r>
          </w:p>
          <w:p w:rsidR="00331EB6" w:rsidRPr="00137FA5" w:rsidRDefault="00331EB6" w:rsidP="002902D3">
            <w:pPr>
              <w:contextualSpacing/>
              <w:jc w:val="center"/>
              <w:rPr>
                <w:rFonts w:ascii="Times New Roman" w:eastAsia="Times New Roman" w:hAnsi="Times New Roman" w:cs="Times New Roman"/>
                <w:b/>
                <w:i/>
                <w:lang w:eastAsia="ru-RU"/>
              </w:rPr>
            </w:pPr>
          </w:p>
          <w:p w:rsidR="00331EB6" w:rsidRPr="00137FA5" w:rsidRDefault="00331EB6" w:rsidP="002902D3">
            <w:pPr>
              <w:contextualSpacing/>
              <w:jc w:val="center"/>
              <w:rPr>
                <w:rFonts w:ascii="Times New Roman" w:hAnsi="Times New Roman" w:cs="Times New Roman"/>
                <w:i/>
              </w:rPr>
            </w:pPr>
          </w:p>
        </w:tc>
      </w:tr>
      <w:tr w:rsidR="00331EB6" w:rsidRPr="00137FA5" w:rsidTr="002902D3">
        <w:tc>
          <w:tcPr>
            <w:tcW w:w="567" w:type="dxa"/>
            <w:shd w:val="clear" w:color="auto" w:fill="FBE4D5" w:themeFill="accent2" w:themeFillTint="33"/>
          </w:tcPr>
          <w:p w:rsidR="00331EB6" w:rsidRPr="00137FA5" w:rsidRDefault="00331EB6" w:rsidP="002902D3">
            <w:pPr>
              <w:contextualSpacing/>
              <w:jc w:val="center"/>
              <w:rPr>
                <w:rFonts w:ascii="Times New Roman" w:hAnsi="Times New Roman" w:cs="Times New Roman"/>
                <w:i/>
              </w:rPr>
            </w:pPr>
            <w:r w:rsidRPr="00137FA5">
              <w:rPr>
                <w:rFonts w:ascii="Times New Roman" w:hAnsi="Times New Roman" w:cs="Times New Roman"/>
                <w:i/>
              </w:rPr>
              <w:t>1</w:t>
            </w:r>
          </w:p>
        </w:tc>
        <w:tc>
          <w:tcPr>
            <w:tcW w:w="2903" w:type="dxa"/>
            <w:shd w:val="clear" w:color="auto" w:fill="FBE4D5" w:themeFill="accent2" w:themeFillTint="33"/>
          </w:tcPr>
          <w:p w:rsidR="00331EB6" w:rsidRPr="00137FA5" w:rsidRDefault="00331EB6" w:rsidP="002902D3">
            <w:pPr>
              <w:contextualSpacing/>
              <w:jc w:val="center"/>
              <w:rPr>
                <w:rFonts w:ascii="Times New Roman" w:hAnsi="Times New Roman" w:cs="Times New Roman"/>
                <w:i/>
              </w:rPr>
            </w:pPr>
            <w:r w:rsidRPr="00137FA5">
              <w:rPr>
                <w:rFonts w:ascii="Times New Roman" w:hAnsi="Times New Roman" w:cs="Times New Roman"/>
                <w:i/>
              </w:rPr>
              <w:t>2</w:t>
            </w:r>
          </w:p>
        </w:tc>
        <w:tc>
          <w:tcPr>
            <w:tcW w:w="4279" w:type="dxa"/>
            <w:shd w:val="clear" w:color="auto" w:fill="FBE4D5" w:themeFill="accent2" w:themeFillTint="33"/>
          </w:tcPr>
          <w:p w:rsidR="00331EB6" w:rsidRPr="00137FA5" w:rsidRDefault="00331EB6" w:rsidP="002902D3">
            <w:pPr>
              <w:contextualSpacing/>
              <w:jc w:val="center"/>
              <w:rPr>
                <w:rFonts w:ascii="Times New Roman" w:hAnsi="Times New Roman" w:cs="Times New Roman"/>
                <w:i/>
              </w:rPr>
            </w:pPr>
            <w:r w:rsidRPr="00137FA5">
              <w:rPr>
                <w:rFonts w:ascii="Times New Roman" w:hAnsi="Times New Roman" w:cs="Times New Roman"/>
                <w:i/>
              </w:rPr>
              <w:t>3</w:t>
            </w:r>
          </w:p>
        </w:tc>
        <w:tc>
          <w:tcPr>
            <w:tcW w:w="6852" w:type="dxa"/>
            <w:shd w:val="clear" w:color="auto" w:fill="FBE4D5" w:themeFill="accent2" w:themeFillTint="33"/>
          </w:tcPr>
          <w:p w:rsidR="00331EB6" w:rsidRPr="00137FA5" w:rsidRDefault="00331EB6" w:rsidP="002902D3">
            <w:pPr>
              <w:contextualSpacing/>
              <w:jc w:val="center"/>
              <w:rPr>
                <w:rFonts w:ascii="Times New Roman" w:hAnsi="Times New Roman" w:cs="Times New Roman"/>
                <w:i/>
              </w:rPr>
            </w:pPr>
            <w:r w:rsidRPr="00137FA5">
              <w:rPr>
                <w:rFonts w:ascii="Times New Roman" w:hAnsi="Times New Roman" w:cs="Times New Roman"/>
                <w:i/>
              </w:rPr>
              <w:t>4</w:t>
            </w:r>
          </w:p>
        </w:tc>
      </w:tr>
      <w:tr w:rsidR="00331EB6" w:rsidRPr="00137FA5" w:rsidTr="002902D3">
        <w:tc>
          <w:tcPr>
            <w:tcW w:w="567" w:type="dxa"/>
            <w:vMerge w:val="restart"/>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1.</w:t>
            </w:r>
          </w:p>
        </w:tc>
        <w:tc>
          <w:tcPr>
            <w:tcW w:w="2903" w:type="dxa"/>
            <w:vMerge w:val="restart"/>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 xml:space="preserve">Mariana Rufa </w:t>
            </w:r>
          </w:p>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Asociația Businessului European (</w:t>
            </w:r>
            <w:r w:rsidRPr="00137FA5">
              <w:rPr>
                <w:rFonts w:ascii="Times New Roman" w:hAnsi="Times New Roman" w:cs="Times New Roman"/>
                <w:b/>
                <w:i/>
              </w:rPr>
              <w:t>EBA Moldova</w:t>
            </w:r>
            <w:r w:rsidRPr="00137FA5">
              <w:rPr>
                <w:rFonts w:ascii="Times New Roman" w:hAnsi="Times New Roman" w:cs="Times New Roman"/>
              </w:rPr>
              <w:t>)</w:t>
            </w:r>
          </w:p>
        </w:tc>
        <w:tc>
          <w:tcPr>
            <w:tcW w:w="4279" w:type="dxa"/>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 xml:space="preserve">1.1. Majorarea finanțării pentru digitizarea serviciilor, menținerea funcționării acestora și asigurarea securității cibernetice; </w:t>
            </w:r>
          </w:p>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Urgentarea Investițiilor publice în infrastructură care ar reduce costurile logistice ale agenților economici</w:t>
            </w:r>
          </w:p>
        </w:tc>
        <w:tc>
          <w:tcPr>
            <w:tcW w:w="6852" w:type="dxa"/>
          </w:tcPr>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b/>
                <w:u w:val="single"/>
              </w:rPr>
              <w:t xml:space="preserve">Recomandarea </w:t>
            </w:r>
            <w:r w:rsidRPr="008D60C2">
              <w:rPr>
                <w:rFonts w:ascii="Times New Roman" w:hAnsi="Times New Roman" w:cs="Times New Roman"/>
                <w:b/>
                <w:u w:val="single"/>
              </w:rPr>
              <w:t xml:space="preserve">urmează a fi discutată pe platforma </w:t>
            </w:r>
            <w:r w:rsidRPr="00137FA5">
              <w:rPr>
                <w:rFonts w:ascii="Times New Roman" w:hAnsi="Times New Roman" w:cs="Times New Roman"/>
                <w:b/>
                <w:u w:val="single"/>
              </w:rPr>
              <w:t>Ministerului Economiei</w:t>
            </w:r>
            <w:r w:rsidRPr="00137FA5">
              <w:rPr>
                <w:rFonts w:ascii="Times New Roman" w:hAnsi="Times New Roman" w:cs="Times New Roman"/>
              </w:rPr>
              <w:t xml:space="preserve"> </w:t>
            </w:r>
          </w:p>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 xml:space="preserve">Ministerul Economiei urmează să înainteze propuneri </w:t>
            </w:r>
            <w:r>
              <w:rPr>
                <w:rFonts w:ascii="Times New Roman" w:hAnsi="Times New Roman" w:cs="Times New Roman"/>
              </w:rPr>
              <w:t xml:space="preserve">relevante </w:t>
            </w:r>
            <w:r w:rsidRPr="00137FA5">
              <w:rPr>
                <w:rFonts w:ascii="Times New Roman" w:hAnsi="Times New Roman" w:cs="Times New Roman"/>
              </w:rPr>
              <w:t>la etapa de elaborare a CBTM 2022-2024, care vor fi examinate în procesul de definitivare a acestuia și de elaborare a proiectului legii bugetului de stat pe anul 2022. Astfel, se consideră necesar consultarea opiniei ministerului de resort.</w:t>
            </w:r>
          </w:p>
        </w:tc>
      </w:tr>
      <w:tr w:rsidR="00331EB6" w:rsidRPr="00137FA5" w:rsidTr="002902D3">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1.2. Antrenarea sectorului asociativ în elaborarea politicilor fiscal-vamale</w:t>
            </w:r>
          </w:p>
        </w:tc>
        <w:tc>
          <w:tcPr>
            <w:tcW w:w="6852" w:type="dxa"/>
          </w:tcPr>
          <w:p w:rsidR="00331EB6" w:rsidRPr="00947266" w:rsidRDefault="00331EB6" w:rsidP="002902D3">
            <w:pPr>
              <w:contextualSpacing/>
              <w:jc w:val="both"/>
              <w:rPr>
                <w:rFonts w:ascii="Times New Roman" w:hAnsi="Times New Roman" w:cs="Times New Roman"/>
                <w:b/>
              </w:rPr>
            </w:pPr>
            <w:r w:rsidRPr="00947266">
              <w:rPr>
                <w:rFonts w:ascii="Times New Roman" w:hAnsi="Times New Roman" w:cs="Times New Roman"/>
                <w:b/>
              </w:rPr>
              <w:t>Acceptat</w:t>
            </w:r>
          </w:p>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 xml:space="preserve">Ministerul Finanțelor </w:t>
            </w:r>
            <w:r>
              <w:rPr>
                <w:rFonts w:ascii="Times New Roman" w:hAnsi="Times New Roman" w:cs="Times New Roman"/>
              </w:rPr>
              <w:t>va dezvolta instrumente de implicare a</w:t>
            </w:r>
            <w:r w:rsidRPr="00137FA5">
              <w:rPr>
                <w:rFonts w:ascii="Times New Roman" w:hAnsi="Times New Roman" w:cs="Times New Roman"/>
              </w:rPr>
              <w:t xml:space="preserve"> tuturor părților interesate în procesul și exercițiul de elaborare a obiectivelor și măsurilor de politică fiscală și vamală, prin intermediul propunerilor recepționate, ședințelor consultative și a meselor rotunde desfășurate.</w:t>
            </w:r>
          </w:p>
        </w:tc>
      </w:tr>
      <w:tr w:rsidR="00331EB6" w:rsidRPr="00C31C3A" w:rsidTr="002902D3">
        <w:trPr>
          <w:trHeight w:val="710"/>
        </w:trPr>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1.3. În contextul administrării și deetatizării   întreprinderilor de stat se solicită:</w:t>
            </w:r>
          </w:p>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 xml:space="preserve">- </w:t>
            </w:r>
            <w:r w:rsidRPr="00137FA5">
              <w:rPr>
                <w:rFonts w:ascii="Times New Roman" w:hAnsi="Times New Roman" w:cs="Times New Roman"/>
                <w:i/>
              </w:rPr>
              <w:t xml:space="preserve">asigurarea </w:t>
            </w:r>
            <w:r w:rsidRPr="00137FA5">
              <w:rPr>
                <w:rFonts w:ascii="Times New Roman" w:hAnsi="Times New Roman" w:cs="Times New Roman"/>
              </w:rPr>
              <w:t xml:space="preserve">unui proces transparent de vânzare a acestora </w:t>
            </w:r>
          </w:p>
        </w:tc>
        <w:tc>
          <w:tcPr>
            <w:tcW w:w="6852" w:type="dxa"/>
            <w:vMerge w:val="restart"/>
          </w:tcPr>
          <w:p w:rsidR="00331EB6" w:rsidRPr="002A0248" w:rsidRDefault="00331EB6" w:rsidP="002902D3">
            <w:pPr>
              <w:contextualSpacing/>
              <w:jc w:val="both"/>
              <w:rPr>
                <w:rFonts w:ascii="Times New Roman" w:hAnsi="Times New Roman" w:cs="Times New Roman"/>
                <w:b/>
                <w:u w:val="single"/>
              </w:rPr>
            </w:pPr>
            <w:r w:rsidRPr="002A0248">
              <w:rPr>
                <w:rFonts w:ascii="Times New Roman" w:hAnsi="Times New Roman" w:cs="Times New Roman"/>
                <w:b/>
                <w:u w:val="single"/>
              </w:rPr>
              <w:t>Recomandarea urmează a fi discutată pe platforma Ministerului Economiei</w:t>
            </w:r>
          </w:p>
          <w:p w:rsidR="00331EB6" w:rsidRPr="002A0248" w:rsidRDefault="00331EB6" w:rsidP="002902D3">
            <w:pPr>
              <w:contextualSpacing/>
              <w:jc w:val="both"/>
              <w:rPr>
                <w:rFonts w:ascii="Times New Roman" w:hAnsi="Times New Roman" w:cs="Times New Roman"/>
                <w:lang w:val="ro-RO"/>
              </w:rPr>
            </w:pPr>
            <w:r w:rsidRPr="00137FA5">
              <w:rPr>
                <w:rFonts w:ascii="Times New Roman" w:hAnsi="Times New Roman" w:cs="Times New Roman"/>
                <w:lang w:val="ro-RO"/>
              </w:rPr>
              <w:t>În conformitate cu Hotărârea Guvernului nr.143/2021</w:t>
            </w:r>
            <w:r w:rsidRPr="00137FA5">
              <w:rPr>
                <w:rFonts w:ascii="Times New Roman" w:hAnsi="Times New Roman" w:cs="Times New Roman"/>
                <w:i/>
                <w:lang w:val="ro-RO"/>
              </w:rPr>
              <w:t xml:space="preserve"> cu privire la organizarea şi funcţionarea Ministerului Economiei</w:t>
            </w:r>
            <w:r w:rsidRPr="00137FA5">
              <w:rPr>
                <w:rFonts w:ascii="Times New Roman" w:hAnsi="Times New Roman" w:cs="Times New Roman"/>
                <w:lang w:val="ro-RO"/>
              </w:rPr>
              <w:t xml:space="preserve">, organul competent </w:t>
            </w:r>
            <w:r w:rsidRPr="002A0248">
              <w:rPr>
                <w:rFonts w:ascii="Times New Roman" w:hAnsi="Times New Roman" w:cs="Times New Roman"/>
                <w:lang w:val="ro-RO"/>
              </w:rPr>
              <w:t xml:space="preserve">responsabil de elaborarea și promovarea politicii de administrare a proprietății publice este Ministerul Economiei. În acest context, modificările la cadrul legislativ și normativ privind administrarea și deetatizarea proprietății publice vor a fi elaborate și promovate de către Ministerul Economiei.  </w:t>
            </w:r>
          </w:p>
          <w:p w:rsidR="00331EB6" w:rsidRPr="00C31C3A" w:rsidRDefault="00331EB6" w:rsidP="002902D3">
            <w:pPr>
              <w:contextualSpacing/>
              <w:jc w:val="both"/>
              <w:rPr>
                <w:rFonts w:ascii="Times New Roman" w:hAnsi="Times New Roman" w:cs="Times New Roman"/>
                <w:lang w:val="ro-RO"/>
              </w:rPr>
            </w:pPr>
            <w:r w:rsidRPr="002A0248">
              <w:rPr>
                <w:rFonts w:ascii="Times New Roman" w:eastAsia="Times New Roman" w:hAnsi="Times New Roman" w:cs="Times New Roman"/>
                <w:lang w:val="ro-RO" w:eastAsia="ru-RU"/>
              </w:rPr>
              <w:t xml:space="preserve">Cu referire la organizarea </w:t>
            </w:r>
            <w:r w:rsidRPr="002A0248">
              <w:rPr>
                <w:rFonts w:ascii="Times New Roman" w:hAnsi="Times New Roman" w:cs="Times New Roman"/>
                <w:lang w:val="ro-RO"/>
              </w:rPr>
              <w:t>unei misiuni de audit internațional la întreprinderile de stat</w:t>
            </w:r>
            <w:r w:rsidRPr="002A0248">
              <w:rPr>
                <w:rFonts w:ascii="Times New Roman" w:eastAsia="Times New Roman" w:hAnsi="Times New Roman" w:cs="Times New Roman"/>
                <w:lang w:val="ro-RO" w:eastAsia="ru-RU"/>
              </w:rPr>
              <w:t xml:space="preserve">, se atenționează că, </w:t>
            </w:r>
            <w:r w:rsidRPr="002A0248">
              <w:rPr>
                <w:rFonts w:ascii="Times New Roman" w:hAnsi="Times New Roman" w:cs="Times New Roman"/>
                <w:lang w:val="ro-RO"/>
              </w:rPr>
              <w:t>autoritatea publică care exercită funcția de fondator poate fi pusă în situația de necesitate a alocării mijloacelor financiare de la bugetul de stat pentru efectuarea auditului internațional, ceea ce va majora cheltuielile bugetare.</w:t>
            </w:r>
          </w:p>
        </w:tc>
      </w:tr>
      <w:tr w:rsidR="00331EB6" w:rsidRPr="008D60C2" w:rsidTr="002902D3">
        <w:trPr>
          <w:trHeight w:val="1273"/>
        </w:trPr>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 xml:space="preserve">- </w:t>
            </w:r>
            <w:r w:rsidRPr="00137FA5">
              <w:rPr>
                <w:rFonts w:ascii="Times New Roman" w:hAnsi="Times New Roman" w:cs="Times New Roman"/>
                <w:i/>
              </w:rPr>
              <w:t>organizarea</w:t>
            </w:r>
            <w:r w:rsidRPr="00137FA5">
              <w:rPr>
                <w:rFonts w:ascii="Times New Roman" w:hAnsi="Times New Roman" w:cs="Times New Roman"/>
              </w:rPr>
              <w:t xml:space="preserve"> unei misiuni de audit internațional în cadrul întreprinderilor de stat</w:t>
            </w:r>
          </w:p>
        </w:tc>
        <w:tc>
          <w:tcPr>
            <w:tcW w:w="6852" w:type="dxa"/>
            <w:vMerge/>
          </w:tcPr>
          <w:p w:rsidR="00331EB6" w:rsidRPr="008D60C2" w:rsidRDefault="00331EB6" w:rsidP="002902D3">
            <w:pPr>
              <w:contextualSpacing/>
              <w:jc w:val="both"/>
              <w:rPr>
                <w:rFonts w:ascii="Times New Roman" w:hAnsi="Times New Roman" w:cs="Times New Roman"/>
                <w:b/>
                <w:highlight w:val="yellow"/>
                <w:u w:val="single"/>
              </w:rPr>
            </w:pPr>
          </w:p>
        </w:tc>
      </w:tr>
      <w:tr w:rsidR="00331EB6" w:rsidRPr="00137FA5" w:rsidTr="002902D3">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1.4. Îmbunătățirea modului de evaluare/determinare a valorii mărfii în vamă HG nr.974/2016</w:t>
            </w:r>
          </w:p>
        </w:tc>
        <w:tc>
          <w:tcPr>
            <w:tcW w:w="6852" w:type="dxa"/>
          </w:tcPr>
          <w:p w:rsidR="00331EB6" w:rsidRPr="00137FA5" w:rsidRDefault="00331EB6" w:rsidP="002902D3">
            <w:pPr>
              <w:contextualSpacing/>
              <w:jc w:val="both"/>
              <w:rPr>
                <w:rFonts w:ascii="Times New Roman" w:hAnsi="Times New Roman" w:cs="Times New Roman"/>
                <w:b/>
                <w:u w:val="single"/>
              </w:rPr>
            </w:pPr>
            <w:r>
              <w:rPr>
                <w:rFonts w:ascii="Times New Roman" w:hAnsi="Times New Roman" w:cs="Times New Roman"/>
                <w:b/>
                <w:u w:val="single"/>
              </w:rPr>
              <w:t>Acceptat de principiu</w:t>
            </w:r>
          </w:p>
          <w:p w:rsidR="00331EB6" w:rsidRPr="00137FA5" w:rsidRDefault="00331EB6" w:rsidP="002902D3">
            <w:pPr>
              <w:contextualSpacing/>
              <w:jc w:val="both"/>
              <w:rPr>
                <w:rFonts w:ascii="Times New Roman" w:hAnsi="Times New Roman" w:cs="Times New Roman"/>
                <w:i/>
              </w:rPr>
            </w:pPr>
            <w:r w:rsidRPr="00137FA5">
              <w:rPr>
                <w:rFonts w:ascii="Times New Roman" w:hAnsi="Times New Roman" w:cs="Times New Roman"/>
              </w:rPr>
              <w:t xml:space="preserve">Se menționează că, prevederile Hotărârii de Guvern nr. 974/2016 </w:t>
            </w:r>
            <w:r w:rsidRPr="00137FA5">
              <w:rPr>
                <w:rFonts w:ascii="Times New Roman" w:hAnsi="Times New Roman" w:cs="Times New Roman"/>
                <w:i/>
              </w:rPr>
              <w:t xml:space="preserve">pentru aprobarea Regulamentului privind modul de declarare a valorii în vamă a mărfurilor </w:t>
            </w:r>
            <w:r w:rsidRPr="00137FA5">
              <w:rPr>
                <w:rFonts w:ascii="Times New Roman" w:hAnsi="Times New Roman" w:cs="Times New Roman"/>
              </w:rPr>
              <w:t xml:space="preserve">au fost ajustate prin prisma Hotărârii de Guvern nr.705/2019 </w:t>
            </w:r>
            <w:r w:rsidRPr="00137FA5">
              <w:rPr>
                <w:rFonts w:ascii="Times New Roman" w:hAnsi="Times New Roman" w:cs="Times New Roman"/>
                <w:i/>
              </w:rPr>
              <w:t>pentru modificarea Regulamentului cu privire la modul de declarare a valorii în vamă a mărfurilor, aprobat prin Hotărîrea Guvernului nr. 974/2016.</w:t>
            </w:r>
          </w:p>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Proiectul dat a fost avizat de autoritățile publice centrale competente și consultat cu mediul de afaceri, precum și experții internaționali pe platforma Băncii Mondiale, expertizându-se în acest sens armonizarea prevederilor Hotărârii Guvernului nr. 974/2016 la bunele practice europene.</w:t>
            </w:r>
          </w:p>
          <w:p w:rsidR="00331EB6" w:rsidRPr="00137FA5" w:rsidRDefault="00331EB6" w:rsidP="00331EB6">
            <w:pPr>
              <w:contextualSpacing/>
              <w:jc w:val="both"/>
              <w:rPr>
                <w:rFonts w:ascii="Times New Roman" w:hAnsi="Times New Roman" w:cs="Times New Roman"/>
              </w:rPr>
            </w:pPr>
            <w:r w:rsidRPr="00137FA5">
              <w:rPr>
                <w:rFonts w:ascii="Times New Roman" w:hAnsi="Times New Roman" w:cs="Times New Roman"/>
              </w:rPr>
              <w:t xml:space="preserve">Totodată, </w:t>
            </w:r>
            <w:r w:rsidRPr="007A240D">
              <w:rPr>
                <w:rFonts w:ascii="Times New Roman" w:hAnsi="Times New Roman" w:cs="Times New Roman"/>
                <w:b/>
              </w:rPr>
              <w:t>Ministerul Finanțelor rămâne deschis pentru examinarea propunerilor</w:t>
            </w:r>
            <w:r w:rsidRPr="00137FA5">
              <w:rPr>
                <w:rFonts w:ascii="Times New Roman" w:hAnsi="Times New Roman" w:cs="Times New Roman"/>
              </w:rPr>
              <w:t xml:space="preserve"> concrete asociate de argumentări pentru ajustarea redacției actuale a Hotărârii Guvernului nr. 974/2016, prin prisma activității incluse în C</w:t>
            </w:r>
            <w:r>
              <w:rPr>
                <w:rFonts w:ascii="Times New Roman" w:hAnsi="Times New Roman" w:cs="Times New Roman"/>
              </w:rPr>
              <w:t xml:space="preserve">apitolul </w:t>
            </w:r>
            <w:r w:rsidRPr="00137FA5">
              <w:rPr>
                <w:rFonts w:ascii="Times New Roman" w:hAnsi="Times New Roman" w:cs="Times New Roman"/>
              </w:rPr>
              <w:t>X</w:t>
            </w:r>
            <w:r>
              <w:rPr>
                <w:rFonts w:ascii="Times New Roman" w:hAnsi="Times New Roman" w:cs="Times New Roman"/>
              </w:rPr>
              <w:t>III</w:t>
            </w:r>
            <w:r w:rsidRPr="00137FA5">
              <w:rPr>
                <w:rFonts w:ascii="Times New Roman" w:hAnsi="Times New Roman" w:cs="Times New Roman"/>
              </w:rPr>
              <w:t xml:space="preserve">. FINANȚE PUBLICE din </w:t>
            </w:r>
            <w:r w:rsidR="00A3584B">
              <w:rPr>
                <w:rFonts w:ascii="Times New Roman" w:hAnsi="Times New Roman" w:cs="Times New Roman"/>
              </w:rPr>
              <w:t xml:space="preserve">proiectul </w:t>
            </w:r>
            <w:r>
              <w:rPr>
                <w:rFonts w:ascii="Times New Roman" w:hAnsi="Times New Roman" w:cs="Times New Roman"/>
              </w:rPr>
              <w:t>Planul</w:t>
            </w:r>
            <w:r w:rsidR="00A3584B">
              <w:rPr>
                <w:rFonts w:ascii="Times New Roman" w:hAnsi="Times New Roman" w:cs="Times New Roman"/>
              </w:rPr>
              <w:t>ui</w:t>
            </w:r>
            <w:r w:rsidRPr="00137FA5">
              <w:rPr>
                <w:rFonts w:ascii="Times New Roman" w:hAnsi="Times New Roman" w:cs="Times New Roman"/>
              </w:rPr>
              <w:t xml:space="preserve"> de acțiuni al Guvernului pentru anii 2021-2022</w:t>
            </w:r>
            <w:r>
              <w:rPr>
                <w:rFonts w:ascii="Times New Roman" w:hAnsi="Times New Roman" w:cs="Times New Roman"/>
              </w:rPr>
              <w:t xml:space="preserve"> </w:t>
            </w:r>
            <w:r w:rsidRPr="00137FA5">
              <w:rPr>
                <w:rFonts w:ascii="Times New Roman" w:hAnsi="Times New Roman" w:cs="Times New Roman"/>
              </w:rPr>
              <w:t xml:space="preserve">ce vizează </w:t>
            </w:r>
            <w:r w:rsidRPr="00137FA5">
              <w:rPr>
                <w:rFonts w:ascii="Times New Roman" w:hAnsi="Times New Roman" w:cs="Times New Roman"/>
                <w:i/>
              </w:rPr>
              <w:t>Elaborarea și ajustarea cadrului normativ fiscal și vamal în vederea edificării unui sistem fiscal-vamal clar, previzibil și comod în procesul de calculare și achitate a obligațiilor fiscale și vamale.</w:t>
            </w:r>
          </w:p>
        </w:tc>
      </w:tr>
      <w:tr w:rsidR="00331EB6" w:rsidRPr="00137FA5" w:rsidTr="002902D3">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1.5.</w:t>
            </w:r>
            <w:r w:rsidRPr="00137FA5">
              <w:rPr>
                <w:rFonts w:ascii="Times New Roman" w:hAnsi="Times New Roman" w:cs="Times New Roman"/>
                <w:shd w:val="clear" w:color="auto" w:fill="FFFFFF"/>
              </w:rPr>
              <w:t xml:space="preserve"> Oferirea accesului pentru persoanele fizice la piața de capital</w:t>
            </w:r>
          </w:p>
        </w:tc>
        <w:tc>
          <w:tcPr>
            <w:tcW w:w="6852" w:type="dxa"/>
          </w:tcPr>
          <w:p w:rsidR="00331EB6" w:rsidRPr="00137FA5" w:rsidRDefault="00331EB6" w:rsidP="002902D3">
            <w:pPr>
              <w:contextualSpacing/>
              <w:rPr>
                <w:rFonts w:ascii="Times New Roman" w:hAnsi="Times New Roman" w:cs="Times New Roman"/>
                <w:b/>
                <w:u w:val="single"/>
              </w:rPr>
            </w:pPr>
            <w:r w:rsidRPr="00137FA5">
              <w:rPr>
                <w:rFonts w:ascii="Times New Roman" w:hAnsi="Times New Roman" w:cs="Times New Roman"/>
                <w:b/>
                <w:u w:val="single"/>
              </w:rPr>
              <w:t>Acceptat</w:t>
            </w:r>
          </w:p>
          <w:p w:rsidR="00331EB6" w:rsidRDefault="00331EB6" w:rsidP="002902D3">
            <w:pPr>
              <w:contextualSpacing/>
              <w:jc w:val="both"/>
              <w:rPr>
                <w:rFonts w:ascii="Times New Roman" w:hAnsi="Times New Roman" w:cs="Times New Roman"/>
              </w:rPr>
            </w:pPr>
            <w:r w:rsidRPr="00137FA5">
              <w:rPr>
                <w:rFonts w:ascii="Times New Roman" w:hAnsi="Times New Roman" w:cs="Times New Roman"/>
              </w:rPr>
              <w:t xml:space="preserve">Propunerea corespunde </w:t>
            </w:r>
            <w:r>
              <w:rPr>
                <w:rFonts w:ascii="Times New Roman" w:hAnsi="Times New Roman" w:cs="Times New Roman"/>
              </w:rPr>
              <w:t xml:space="preserve">obiectivului propus în </w:t>
            </w:r>
            <w:r w:rsidR="00A3584B">
              <w:rPr>
                <w:rFonts w:ascii="Times New Roman" w:hAnsi="Times New Roman" w:cs="Times New Roman"/>
              </w:rPr>
              <w:t xml:space="preserve">proiectul </w:t>
            </w:r>
            <w:r>
              <w:rPr>
                <w:rFonts w:ascii="Times New Roman" w:hAnsi="Times New Roman" w:cs="Times New Roman"/>
              </w:rPr>
              <w:t>Planul</w:t>
            </w:r>
            <w:r w:rsidR="00A3584B">
              <w:rPr>
                <w:rFonts w:ascii="Times New Roman" w:hAnsi="Times New Roman" w:cs="Times New Roman"/>
              </w:rPr>
              <w:t>ui</w:t>
            </w:r>
            <w:r w:rsidRPr="00137FA5">
              <w:rPr>
                <w:rFonts w:ascii="Times New Roman" w:hAnsi="Times New Roman" w:cs="Times New Roman"/>
              </w:rPr>
              <w:t xml:space="preserve"> de acțiuni al Guvernului pentru anii 2021-2022, </w:t>
            </w:r>
            <w:r>
              <w:rPr>
                <w:rFonts w:ascii="Times New Roman" w:hAnsi="Times New Roman" w:cs="Times New Roman"/>
              </w:rPr>
              <w:t xml:space="preserve">care se regăsește în capitolul </w:t>
            </w:r>
            <w:r w:rsidRPr="00137FA5">
              <w:rPr>
                <w:rFonts w:ascii="Times New Roman" w:hAnsi="Times New Roman" w:cs="Times New Roman"/>
              </w:rPr>
              <w:t>X</w:t>
            </w:r>
            <w:r>
              <w:rPr>
                <w:rFonts w:ascii="Times New Roman" w:hAnsi="Times New Roman" w:cs="Times New Roman"/>
              </w:rPr>
              <w:t>III</w:t>
            </w:r>
            <w:r w:rsidRPr="00137FA5">
              <w:rPr>
                <w:rFonts w:ascii="Times New Roman" w:hAnsi="Times New Roman" w:cs="Times New Roman"/>
              </w:rPr>
              <w:t>. FINANȚE PUBLICE, acțiunea:</w:t>
            </w:r>
            <w:r>
              <w:rPr>
                <w:rFonts w:ascii="Times New Roman" w:hAnsi="Times New Roman" w:cs="Times New Roman"/>
              </w:rPr>
              <w:t xml:space="preserve"> </w:t>
            </w:r>
          </w:p>
          <w:p w:rsidR="00331EB6" w:rsidRPr="00137FA5" w:rsidRDefault="00331EB6" w:rsidP="00331EB6">
            <w:pPr>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 </w:t>
            </w:r>
            <w:r w:rsidRPr="00331EB6">
              <w:rPr>
                <w:rFonts w:ascii="Times New Roman" w:hAnsi="Times New Roman" w:cs="Times New Roman"/>
                <w:i/>
                <w:lang w:val="ro-RO"/>
              </w:rPr>
              <w:t>Crearea platformei de tranzacționare în mod direct a valorilor mobiliare de stat către persoanele fizice pentru extinderea cercului de investitori  și crearea condițiilor optime pentru cetățeni de a învesti în valori mobiliare de stat</w:t>
            </w:r>
            <w:r>
              <w:rPr>
                <w:rFonts w:ascii="Times New Roman" w:hAnsi="Times New Roman" w:cs="Times New Roman"/>
                <w:i/>
                <w:lang w:val="ro-RO"/>
              </w:rPr>
              <w:t>.</w:t>
            </w:r>
          </w:p>
        </w:tc>
      </w:tr>
      <w:tr w:rsidR="00331EB6" w:rsidRPr="00137FA5" w:rsidTr="002902D3">
        <w:tc>
          <w:tcPr>
            <w:tcW w:w="567" w:type="dxa"/>
            <w:vMerge w:val="restart"/>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2.</w:t>
            </w:r>
          </w:p>
        </w:tc>
        <w:tc>
          <w:tcPr>
            <w:tcW w:w="2903" w:type="dxa"/>
            <w:vMerge w:val="restart"/>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 xml:space="preserve">Veronica Sirețeanu </w:t>
            </w:r>
          </w:p>
          <w:p w:rsidR="00331EB6" w:rsidRPr="00137FA5" w:rsidRDefault="00331EB6" w:rsidP="002902D3">
            <w:pPr>
              <w:contextualSpacing/>
              <w:rPr>
                <w:rFonts w:ascii="Times New Roman" w:hAnsi="Times New Roman" w:cs="Times New Roman"/>
              </w:rPr>
            </w:pPr>
            <w:r w:rsidRPr="00137FA5">
              <w:rPr>
                <w:rFonts w:ascii="Times New Roman" w:eastAsia="Times New Roman" w:hAnsi="Times New Roman" w:cs="Times New Roman"/>
                <w:lang w:eastAsia="ru-RU"/>
              </w:rPr>
              <w:t>Camera de Comerț Americană din Moldova</w:t>
            </w:r>
            <w:r w:rsidRPr="00137FA5">
              <w:rPr>
                <w:rFonts w:ascii="Times New Roman" w:hAnsi="Times New Roman" w:cs="Times New Roman"/>
              </w:rPr>
              <w:t xml:space="preserve"> (</w:t>
            </w:r>
            <w:r w:rsidRPr="00137FA5">
              <w:rPr>
                <w:rFonts w:ascii="Times New Roman" w:hAnsi="Times New Roman" w:cs="Times New Roman"/>
                <w:b/>
                <w:i/>
              </w:rPr>
              <w:t>AmCham Moldova</w:t>
            </w:r>
            <w:r w:rsidRPr="00137FA5">
              <w:rPr>
                <w:rFonts w:ascii="Times New Roman" w:hAnsi="Times New Roman" w:cs="Times New Roman"/>
              </w:rPr>
              <w:t>)</w:t>
            </w:r>
          </w:p>
        </w:tc>
        <w:tc>
          <w:tcPr>
            <w:tcW w:w="4279" w:type="dxa"/>
          </w:tcPr>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2.1. Accelerarea armonizării legislației fiscale la directivele UE</w:t>
            </w:r>
          </w:p>
        </w:tc>
        <w:tc>
          <w:tcPr>
            <w:tcW w:w="6852" w:type="dxa"/>
          </w:tcPr>
          <w:p w:rsidR="00331EB6" w:rsidRPr="00137FA5" w:rsidRDefault="00331EB6" w:rsidP="002902D3">
            <w:pPr>
              <w:contextualSpacing/>
              <w:rPr>
                <w:rFonts w:ascii="Times New Roman" w:hAnsi="Times New Roman" w:cs="Times New Roman"/>
                <w:b/>
                <w:u w:val="single"/>
              </w:rPr>
            </w:pPr>
            <w:r w:rsidRPr="00137FA5">
              <w:rPr>
                <w:rFonts w:ascii="Times New Roman" w:hAnsi="Times New Roman" w:cs="Times New Roman"/>
                <w:b/>
                <w:u w:val="single"/>
              </w:rPr>
              <w:t xml:space="preserve">Acceptat de </w:t>
            </w:r>
            <w:r>
              <w:rPr>
                <w:rFonts w:ascii="Times New Roman" w:hAnsi="Times New Roman" w:cs="Times New Roman"/>
                <w:b/>
                <w:u w:val="single"/>
              </w:rPr>
              <w:t>principiu</w:t>
            </w:r>
          </w:p>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Propunerea corespunde obiectivului propus</w:t>
            </w:r>
            <w:r>
              <w:rPr>
                <w:rFonts w:ascii="Times New Roman" w:hAnsi="Times New Roman" w:cs="Times New Roman"/>
              </w:rPr>
              <w:t xml:space="preserve"> în </w:t>
            </w:r>
            <w:r w:rsidR="00A3584B">
              <w:rPr>
                <w:rFonts w:ascii="Times New Roman" w:hAnsi="Times New Roman" w:cs="Times New Roman"/>
              </w:rPr>
              <w:t xml:space="preserve">proiectul </w:t>
            </w:r>
            <w:r>
              <w:rPr>
                <w:rFonts w:ascii="Times New Roman" w:hAnsi="Times New Roman" w:cs="Times New Roman"/>
              </w:rPr>
              <w:t>Planul</w:t>
            </w:r>
            <w:r w:rsidR="00A3584B">
              <w:rPr>
                <w:rFonts w:ascii="Times New Roman" w:hAnsi="Times New Roman" w:cs="Times New Roman"/>
              </w:rPr>
              <w:t>ui</w:t>
            </w:r>
            <w:r w:rsidRPr="00137FA5">
              <w:rPr>
                <w:rFonts w:ascii="Times New Roman" w:hAnsi="Times New Roman" w:cs="Times New Roman"/>
              </w:rPr>
              <w:t xml:space="preserve"> de acțiuni al Guvernului pentru anii 2021-2022, care se regăsește în c</w:t>
            </w:r>
            <w:r>
              <w:rPr>
                <w:rFonts w:ascii="Times New Roman" w:hAnsi="Times New Roman" w:cs="Times New Roman"/>
              </w:rPr>
              <w:t xml:space="preserve">apitolul </w:t>
            </w:r>
            <w:r w:rsidRPr="00137FA5">
              <w:rPr>
                <w:rFonts w:ascii="Times New Roman" w:hAnsi="Times New Roman" w:cs="Times New Roman"/>
              </w:rPr>
              <w:t>X</w:t>
            </w:r>
            <w:r>
              <w:rPr>
                <w:rFonts w:ascii="Times New Roman" w:hAnsi="Times New Roman" w:cs="Times New Roman"/>
              </w:rPr>
              <w:t>III</w:t>
            </w:r>
            <w:r w:rsidRPr="00137FA5">
              <w:rPr>
                <w:rFonts w:ascii="Times New Roman" w:hAnsi="Times New Roman" w:cs="Times New Roman"/>
              </w:rPr>
              <w:t>. FINANȚE PUBLICE, acțiunea:</w:t>
            </w:r>
          </w:p>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 xml:space="preserve">- </w:t>
            </w:r>
            <w:r w:rsidRPr="00137FA5">
              <w:rPr>
                <w:rFonts w:ascii="Times New Roman" w:hAnsi="Times New Roman" w:cs="Times New Roman"/>
                <w:i/>
              </w:rPr>
              <w:t>Elaborarea și ajustarea cadrului normativ fiscal și vamal în vederea edificării unui sistem fiscal-vamal clar, previzibil și comod în procesul de calculare și achitare a obligațiilor fiscale și vamale.</w:t>
            </w:r>
          </w:p>
        </w:tc>
      </w:tr>
      <w:tr w:rsidR="00331EB6" w:rsidRPr="00137FA5" w:rsidTr="002902D3">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2.2. Rescrierea Codului fiscal, după formatul celui vamal</w:t>
            </w:r>
          </w:p>
        </w:tc>
        <w:tc>
          <w:tcPr>
            <w:tcW w:w="6852" w:type="dxa"/>
          </w:tcPr>
          <w:p w:rsidR="00331EB6" w:rsidRPr="00137FA5" w:rsidRDefault="00331EB6" w:rsidP="002902D3">
            <w:pPr>
              <w:contextualSpacing/>
              <w:rPr>
                <w:rFonts w:ascii="Times New Roman" w:hAnsi="Times New Roman" w:cs="Times New Roman"/>
                <w:b/>
                <w:u w:val="single"/>
              </w:rPr>
            </w:pPr>
            <w:r w:rsidRPr="00137FA5">
              <w:rPr>
                <w:rFonts w:ascii="Times New Roman" w:hAnsi="Times New Roman" w:cs="Times New Roman"/>
                <w:b/>
                <w:u w:val="single"/>
              </w:rPr>
              <w:t xml:space="preserve">Acceptat de </w:t>
            </w:r>
            <w:r>
              <w:rPr>
                <w:rFonts w:ascii="Times New Roman" w:hAnsi="Times New Roman" w:cs="Times New Roman"/>
                <w:b/>
                <w:u w:val="single"/>
              </w:rPr>
              <w:t>principiu</w:t>
            </w:r>
          </w:p>
          <w:p w:rsidR="00331EB6" w:rsidRPr="00137FA5" w:rsidRDefault="00331EB6" w:rsidP="002902D3">
            <w:pPr>
              <w:contextualSpacing/>
              <w:jc w:val="both"/>
              <w:rPr>
                <w:rFonts w:ascii="Times New Roman" w:hAnsi="Times New Roman" w:cs="Times New Roman"/>
              </w:rPr>
            </w:pPr>
            <w:r>
              <w:rPr>
                <w:rFonts w:ascii="Times New Roman" w:hAnsi="Times New Roman" w:cs="Times New Roman"/>
              </w:rPr>
              <w:t xml:space="preserve">Propunerea se </w:t>
            </w:r>
            <w:r w:rsidRPr="00137FA5">
              <w:rPr>
                <w:rFonts w:ascii="Times New Roman" w:hAnsi="Times New Roman" w:cs="Times New Roman"/>
              </w:rPr>
              <w:t>acceptă pentru implementare</w:t>
            </w:r>
            <w:r>
              <w:rPr>
                <w:rFonts w:ascii="Times New Roman" w:hAnsi="Times New Roman" w:cs="Times New Roman"/>
              </w:rPr>
              <w:t>a</w:t>
            </w:r>
            <w:r w:rsidRPr="00137FA5">
              <w:rPr>
                <w:rFonts w:ascii="Times New Roman" w:hAnsi="Times New Roman" w:cs="Times New Roman"/>
              </w:rPr>
              <w:t xml:space="preserve"> pe termen mediu, prin prisma PAG pentru perioada ulterioară (2023-2024).</w:t>
            </w:r>
          </w:p>
        </w:tc>
      </w:tr>
      <w:tr w:rsidR="00331EB6" w:rsidRPr="00137FA5" w:rsidTr="002902D3">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2.3. Evaluarea/revizuirea sistemului de facilități; introducerea de stimulente pentru anumite ramuri ale economiei</w:t>
            </w:r>
          </w:p>
        </w:tc>
        <w:tc>
          <w:tcPr>
            <w:tcW w:w="6852" w:type="dxa"/>
          </w:tcPr>
          <w:p w:rsidR="00331EB6" w:rsidRPr="00137FA5" w:rsidRDefault="00331EB6" w:rsidP="002902D3">
            <w:pPr>
              <w:contextualSpacing/>
              <w:jc w:val="both"/>
              <w:rPr>
                <w:rFonts w:ascii="Times New Roman" w:hAnsi="Times New Roman" w:cs="Times New Roman"/>
                <w:b/>
                <w:u w:val="single"/>
              </w:rPr>
            </w:pPr>
            <w:r w:rsidRPr="00137FA5">
              <w:rPr>
                <w:rFonts w:ascii="Times New Roman" w:hAnsi="Times New Roman" w:cs="Times New Roman"/>
                <w:b/>
                <w:u w:val="single"/>
              </w:rPr>
              <w:t xml:space="preserve">Acceptat de </w:t>
            </w:r>
            <w:r>
              <w:rPr>
                <w:rFonts w:ascii="Times New Roman" w:hAnsi="Times New Roman" w:cs="Times New Roman"/>
                <w:b/>
                <w:u w:val="single"/>
              </w:rPr>
              <w:t>principiu</w:t>
            </w:r>
          </w:p>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 xml:space="preserve">Propunerea corespunde </w:t>
            </w:r>
            <w:r>
              <w:rPr>
                <w:rFonts w:ascii="Times New Roman" w:hAnsi="Times New Roman" w:cs="Times New Roman"/>
              </w:rPr>
              <w:t xml:space="preserve">obiectivului propus în </w:t>
            </w:r>
            <w:r w:rsidR="00A3584B">
              <w:rPr>
                <w:rFonts w:ascii="Times New Roman" w:hAnsi="Times New Roman" w:cs="Times New Roman"/>
              </w:rPr>
              <w:t xml:space="preserve">proiectul </w:t>
            </w:r>
            <w:r>
              <w:rPr>
                <w:rFonts w:ascii="Times New Roman" w:hAnsi="Times New Roman" w:cs="Times New Roman"/>
              </w:rPr>
              <w:t>Planul</w:t>
            </w:r>
            <w:r w:rsidR="00A3584B">
              <w:rPr>
                <w:rFonts w:ascii="Times New Roman" w:hAnsi="Times New Roman" w:cs="Times New Roman"/>
              </w:rPr>
              <w:t>ui</w:t>
            </w:r>
            <w:r w:rsidRPr="00137FA5">
              <w:rPr>
                <w:rFonts w:ascii="Times New Roman" w:hAnsi="Times New Roman" w:cs="Times New Roman"/>
              </w:rPr>
              <w:t xml:space="preserve"> de acțiuni al Guvernului pentru anii 2021-2022, care se regăsește în c</w:t>
            </w:r>
            <w:r>
              <w:rPr>
                <w:rFonts w:ascii="Times New Roman" w:hAnsi="Times New Roman" w:cs="Times New Roman"/>
              </w:rPr>
              <w:t xml:space="preserve">apitolul </w:t>
            </w:r>
            <w:r w:rsidRPr="00137FA5">
              <w:rPr>
                <w:rFonts w:ascii="Times New Roman" w:hAnsi="Times New Roman" w:cs="Times New Roman"/>
              </w:rPr>
              <w:t>X</w:t>
            </w:r>
            <w:r>
              <w:rPr>
                <w:rFonts w:ascii="Times New Roman" w:hAnsi="Times New Roman" w:cs="Times New Roman"/>
              </w:rPr>
              <w:t>III</w:t>
            </w:r>
            <w:r w:rsidRPr="00137FA5">
              <w:rPr>
                <w:rFonts w:ascii="Times New Roman" w:hAnsi="Times New Roman" w:cs="Times New Roman"/>
              </w:rPr>
              <w:t>. FINANȚE PUBLICE, acțiunea:</w:t>
            </w:r>
          </w:p>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 xml:space="preserve">- </w:t>
            </w:r>
            <w:r w:rsidRPr="00137FA5">
              <w:rPr>
                <w:rFonts w:ascii="Times New Roman" w:hAnsi="Times New Roman" w:cs="Times New Roman"/>
                <w:i/>
              </w:rPr>
              <w:t>Elaborarea și ajustarea cadrului normativ fiscal și vamal în vederea edificării unui sistem fiscal-vamal clar, previzibil și comod în procesul de calculare și achitare a obligațiilor fiscale și vamale.</w:t>
            </w:r>
          </w:p>
        </w:tc>
      </w:tr>
      <w:tr w:rsidR="00331EB6" w:rsidRPr="00137FA5" w:rsidTr="002902D3">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2.</w:t>
            </w:r>
            <w:r>
              <w:rPr>
                <w:rFonts w:ascii="Times New Roman" w:hAnsi="Times New Roman" w:cs="Times New Roman"/>
              </w:rPr>
              <w:t>4</w:t>
            </w:r>
            <w:r w:rsidRPr="00137FA5">
              <w:rPr>
                <w:rFonts w:ascii="Times New Roman" w:hAnsi="Times New Roman" w:cs="Times New Roman"/>
              </w:rPr>
              <w:t>. Repunerea pe rol a procesului de aderare la Convenția de evitare a dublei impuneri SUA-RM sa</w:t>
            </w:r>
            <w:r>
              <w:rPr>
                <w:rFonts w:ascii="Times New Roman" w:hAnsi="Times New Roman" w:cs="Times New Roman"/>
              </w:rPr>
              <w:t>u încheierea unei Convenții noi</w:t>
            </w:r>
            <w:r w:rsidRPr="00137FA5">
              <w:rPr>
                <w:rFonts w:ascii="Times New Roman" w:hAnsi="Times New Roman" w:cs="Times New Roman"/>
              </w:rPr>
              <w:t>;</w:t>
            </w:r>
          </w:p>
        </w:tc>
        <w:tc>
          <w:tcPr>
            <w:tcW w:w="6852" w:type="dxa"/>
            <w:shd w:val="clear" w:color="auto" w:fill="FFFFFF" w:themeFill="background1"/>
          </w:tcPr>
          <w:p w:rsidR="00331EB6" w:rsidRPr="00137FA5" w:rsidRDefault="00331EB6" w:rsidP="002902D3">
            <w:pPr>
              <w:contextualSpacing/>
              <w:jc w:val="both"/>
              <w:rPr>
                <w:rFonts w:ascii="Times New Roman" w:hAnsi="Times New Roman" w:cs="Times New Roman"/>
                <w:b/>
                <w:u w:val="single"/>
              </w:rPr>
            </w:pPr>
            <w:r w:rsidRPr="00137FA5">
              <w:rPr>
                <w:rFonts w:ascii="Times New Roman" w:hAnsi="Times New Roman" w:cs="Times New Roman"/>
                <w:b/>
                <w:u w:val="single"/>
              </w:rPr>
              <w:t>Acceptat</w:t>
            </w:r>
          </w:p>
          <w:p w:rsidR="00331EB6" w:rsidRDefault="00331EB6" w:rsidP="002902D3">
            <w:pPr>
              <w:contextualSpacing/>
              <w:jc w:val="both"/>
              <w:rPr>
                <w:rFonts w:ascii="Times New Roman" w:hAnsi="Times New Roman" w:cs="Times New Roman"/>
              </w:rPr>
            </w:pPr>
            <w:r w:rsidRPr="00137FA5">
              <w:rPr>
                <w:rFonts w:ascii="Times New Roman" w:hAnsi="Times New Roman" w:cs="Times New Roman"/>
              </w:rPr>
              <w:t>Propun</w:t>
            </w:r>
            <w:r>
              <w:rPr>
                <w:rFonts w:ascii="Times New Roman" w:hAnsi="Times New Roman" w:cs="Times New Roman"/>
              </w:rPr>
              <w:t xml:space="preserve">erea a fost inclusă în </w:t>
            </w:r>
            <w:r w:rsidR="00A3584B">
              <w:rPr>
                <w:rFonts w:ascii="Times New Roman" w:hAnsi="Times New Roman" w:cs="Times New Roman"/>
              </w:rPr>
              <w:t xml:space="preserve">proiectul </w:t>
            </w:r>
            <w:r>
              <w:rPr>
                <w:rFonts w:ascii="Times New Roman" w:hAnsi="Times New Roman" w:cs="Times New Roman"/>
              </w:rPr>
              <w:t>Planul</w:t>
            </w:r>
            <w:r w:rsidR="00A3584B">
              <w:rPr>
                <w:rFonts w:ascii="Times New Roman" w:hAnsi="Times New Roman" w:cs="Times New Roman"/>
              </w:rPr>
              <w:t>ui</w:t>
            </w:r>
            <w:r w:rsidRPr="00137FA5">
              <w:rPr>
                <w:rFonts w:ascii="Times New Roman" w:hAnsi="Times New Roman" w:cs="Times New Roman"/>
              </w:rPr>
              <w:t xml:space="preserve"> de acțiuni al Guvernului pentr</w:t>
            </w:r>
            <w:r>
              <w:rPr>
                <w:rFonts w:ascii="Times New Roman" w:hAnsi="Times New Roman" w:cs="Times New Roman"/>
              </w:rPr>
              <w:t xml:space="preserve">u anii 2021-2022, la Capitolul </w:t>
            </w:r>
            <w:r w:rsidRPr="00137FA5">
              <w:rPr>
                <w:rFonts w:ascii="Times New Roman" w:hAnsi="Times New Roman" w:cs="Times New Roman"/>
              </w:rPr>
              <w:t>X</w:t>
            </w:r>
            <w:r>
              <w:rPr>
                <w:rFonts w:ascii="Times New Roman" w:hAnsi="Times New Roman" w:cs="Times New Roman"/>
              </w:rPr>
              <w:t>III</w:t>
            </w:r>
            <w:r w:rsidRPr="00137FA5">
              <w:rPr>
                <w:rFonts w:ascii="Times New Roman" w:hAnsi="Times New Roman" w:cs="Times New Roman"/>
              </w:rPr>
              <w:t>. FINANȚE PUBLICE din PAG 2021-2022, acțiunea</w:t>
            </w:r>
            <w:r>
              <w:rPr>
                <w:rFonts w:ascii="Times New Roman" w:hAnsi="Times New Roman" w:cs="Times New Roman"/>
              </w:rPr>
              <w:t>:</w:t>
            </w:r>
          </w:p>
          <w:p w:rsidR="00331EB6" w:rsidRPr="00137FA5" w:rsidRDefault="00331EB6" w:rsidP="002902D3">
            <w:pPr>
              <w:contextualSpacing/>
              <w:jc w:val="both"/>
              <w:rPr>
                <w:rFonts w:ascii="Times New Roman" w:hAnsi="Times New Roman" w:cs="Times New Roman"/>
              </w:rPr>
            </w:pPr>
            <w:r>
              <w:rPr>
                <w:rFonts w:ascii="Times New Roman" w:hAnsi="Times New Roman" w:cs="Times New Roman"/>
              </w:rPr>
              <w:t xml:space="preserve"> -</w:t>
            </w:r>
            <w:r w:rsidRPr="00137FA5">
              <w:rPr>
                <w:rFonts w:ascii="Times New Roman" w:hAnsi="Times New Roman" w:cs="Times New Roman"/>
              </w:rPr>
              <w:t xml:space="preserve"> </w:t>
            </w:r>
            <w:r w:rsidRPr="007E16AE">
              <w:rPr>
                <w:rFonts w:ascii="Times New Roman" w:hAnsi="Times New Roman" w:cs="Times New Roman"/>
                <w:i/>
              </w:rPr>
              <w:t>Revizuirea prevederilor tratatelor bilaterale pentru evitarea dublei impuneri cu statele partenere ale Republicii Moldova, în vederea determinării necesității ajustării acestora</w:t>
            </w:r>
            <w:r>
              <w:rPr>
                <w:rFonts w:ascii="Times New Roman" w:hAnsi="Times New Roman" w:cs="Times New Roman"/>
                <w:i/>
              </w:rPr>
              <w:t>.</w:t>
            </w:r>
          </w:p>
        </w:tc>
      </w:tr>
      <w:tr w:rsidR="00331EB6" w:rsidRPr="00137FA5" w:rsidTr="002902D3">
        <w:tc>
          <w:tcPr>
            <w:tcW w:w="567" w:type="dxa"/>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3.</w:t>
            </w:r>
          </w:p>
        </w:tc>
        <w:tc>
          <w:tcPr>
            <w:tcW w:w="2903" w:type="dxa"/>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 xml:space="preserve">Pavel Sârghi </w:t>
            </w:r>
          </w:p>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w:t>
            </w:r>
            <w:r w:rsidRPr="00137FA5">
              <w:rPr>
                <w:rFonts w:ascii="Times New Roman" w:hAnsi="Times New Roman" w:cs="Times New Roman"/>
                <w:b/>
                <w:i/>
              </w:rPr>
              <w:t>Saiph Consulting House</w:t>
            </w:r>
            <w:r w:rsidRPr="00137FA5">
              <w:rPr>
                <w:rFonts w:ascii="Times New Roman" w:hAnsi="Times New Roman" w:cs="Times New Roman"/>
              </w:rPr>
              <w:t>)</w:t>
            </w:r>
          </w:p>
        </w:tc>
        <w:tc>
          <w:tcPr>
            <w:tcW w:w="4279" w:type="dxa"/>
          </w:tcPr>
          <w:p w:rsidR="00331EB6" w:rsidRPr="00137FA5" w:rsidRDefault="00331EB6" w:rsidP="002902D3">
            <w:pPr>
              <w:rPr>
                <w:rFonts w:ascii="Times New Roman" w:hAnsi="Times New Roman" w:cs="Times New Roman"/>
              </w:rPr>
            </w:pPr>
            <w:r w:rsidRPr="00137FA5">
              <w:rPr>
                <w:rFonts w:ascii="Times New Roman" w:hAnsi="Times New Roman" w:cs="Times New Roman"/>
                <w:shd w:val="clear" w:color="auto" w:fill="FFFFFF"/>
              </w:rPr>
              <w:t>3.1.Determinarea răspunderii producătorului care generează deșeuri conform angajamentelor asumate prin Agenda de Asociere, în acest sens fiind propuse scutiri de la taxa de mediu sau restituirea acesteia</w:t>
            </w:r>
          </w:p>
        </w:tc>
        <w:tc>
          <w:tcPr>
            <w:tcW w:w="6852" w:type="dxa"/>
            <w:shd w:val="clear" w:color="auto" w:fill="FFFFFF" w:themeFill="background1"/>
          </w:tcPr>
          <w:p w:rsidR="00331EB6" w:rsidRPr="0060206B" w:rsidRDefault="00331EB6" w:rsidP="002902D3">
            <w:pPr>
              <w:contextualSpacing/>
              <w:jc w:val="both"/>
              <w:rPr>
                <w:rFonts w:ascii="Times New Roman" w:hAnsi="Times New Roman" w:cs="Times New Roman"/>
                <w:b/>
                <w:u w:val="single"/>
              </w:rPr>
            </w:pPr>
            <w:r w:rsidRPr="0060206B">
              <w:rPr>
                <w:rFonts w:ascii="Times New Roman" w:hAnsi="Times New Roman" w:cs="Times New Roman"/>
                <w:b/>
                <w:u w:val="single"/>
              </w:rPr>
              <w:t>Recomandarea ține de competența și urmează a fi discutată pe platforma Ministerului Mediului</w:t>
            </w:r>
          </w:p>
          <w:p w:rsidR="00331EB6" w:rsidRPr="00137FA5" w:rsidRDefault="00331EB6" w:rsidP="002902D3">
            <w:pPr>
              <w:contextualSpacing/>
              <w:rPr>
                <w:rFonts w:ascii="Times New Roman" w:hAnsi="Times New Roman" w:cs="Times New Roman"/>
              </w:rPr>
            </w:pPr>
          </w:p>
        </w:tc>
      </w:tr>
      <w:tr w:rsidR="00331EB6" w:rsidRPr="00137FA5" w:rsidTr="002902D3">
        <w:trPr>
          <w:trHeight w:val="70"/>
        </w:trPr>
        <w:tc>
          <w:tcPr>
            <w:tcW w:w="567" w:type="dxa"/>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4.</w:t>
            </w:r>
          </w:p>
        </w:tc>
        <w:tc>
          <w:tcPr>
            <w:tcW w:w="2903" w:type="dxa"/>
          </w:tcPr>
          <w:p w:rsidR="00331EB6" w:rsidRPr="00137FA5" w:rsidRDefault="00331EB6" w:rsidP="002902D3">
            <w:pPr>
              <w:contextualSpacing/>
              <w:jc w:val="both"/>
              <w:rPr>
                <w:rStyle w:val="Strong"/>
                <w:rFonts w:ascii="Times New Roman" w:hAnsi="Times New Roman" w:cs="Times New Roman"/>
                <w:b w:val="0"/>
                <w:shd w:val="clear" w:color="auto" w:fill="FFFFFF"/>
              </w:rPr>
            </w:pPr>
            <w:r w:rsidRPr="00137FA5">
              <w:rPr>
                <w:rFonts w:ascii="Times New Roman" w:hAnsi="Times New Roman" w:cs="Times New Roman"/>
                <w:shd w:val="clear" w:color="auto" w:fill="FFFFFF"/>
              </w:rPr>
              <w:t>Dl</w:t>
            </w:r>
            <w:r w:rsidRPr="00137FA5">
              <w:rPr>
                <w:rFonts w:ascii="Times New Roman" w:hAnsi="Times New Roman" w:cs="Times New Roman"/>
                <w:b/>
                <w:shd w:val="clear" w:color="auto" w:fill="FFFFFF"/>
              </w:rPr>
              <w:t xml:space="preserve"> </w:t>
            </w:r>
            <w:r w:rsidRPr="00137FA5">
              <w:rPr>
                <w:rStyle w:val="Strong"/>
                <w:rFonts w:ascii="Times New Roman" w:hAnsi="Times New Roman" w:cs="Times New Roman"/>
                <w:shd w:val="clear" w:color="auto" w:fill="FFFFFF"/>
              </w:rPr>
              <w:t xml:space="preserve">Sergiu Sainciuc, </w:t>
            </w:r>
          </w:p>
          <w:p w:rsidR="00331EB6" w:rsidRPr="00137FA5" w:rsidRDefault="00331EB6" w:rsidP="002902D3">
            <w:pPr>
              <w:contextualSpacing/>
              <w:jc w:val="both"/>
              <w:rPr>
                <w:rFonts w:ascii="Times New Roman" w:hAnsi="Times New Roman" w:cs="Times New Roman"/>
              </w:rPr>
            </w:pPr>
            <w:r w:rsidRPr="00137FA5">
              <w:rPr>
                <w:rStyle w:val="Strong"/>
                <w:rFonts w:ascii="Times New Roman" w:hAnsi="Times New Roman" w:cs="Times New Roman"/>
                <w:shd w:val="clear" w:color="auto" w:fill="FFFFFF"/>
              </w:rPr>
              <w:t>Confederația Națională a Sindicatelor (</w:t>
            </w:r>
            <w:r w:rsidRPr="00137FA5">
              <w:rPr>
                <w:rStyle w:val="Strong"/>
                <w:rFonts w:ascii="Times New Roman" w:hAnsi="Times New Roman" w:cs="Times New Roman"/>
                <w:i/>
                <w:shd w:val="clear" w:color="auto" w:fill="FFFFFF"/>
              </w:rPr>
              <w:t>CNSM</w:t>
            </w:r>
            <w:r w:rsidRPr="00137FA5">
              <w:rPr>
                <w:rStyle w:val="Strong"/>
                <w:rFonts w:ascii="Times New Roman" w:hAnsi="Times New Roman" w:cs="Times New Roman"/>
                <w:shd w:val="clear" w:color="auto" w:fill="FFFFFF"/>
              </w:rPr>
              <w:t>)</w:t>
            </w:r>
          </w:p>
        </w:tc>
        <w:tc>
          <w:tcPr>
            <w:tcW w:w="4279" w:type="dxa"/>
          </w:tcPr>
          <w:p w:rsidR="00331EB6" w:rsidRPr="00137FA5" w:rsidRDefault="00331EB6" w:rsidP="002902D3">
            <w:pPr>
              <w:rPr>
                <w:rFonts w:ascii="Times New Roman" w:hAnsi="Times New Roman" w:cs="Times New Roman"/>
              </w:rPr>
            </w:pPr>
            <w:r w:rsidRPr="00137FA5">
              <w:rPr>
                <w:rFonts w:ascii="Times New Roman" w:hAnsi="Times New Roman" w:cs="Times New Roman"/>
              </w:rPr>
              <w:t>1.1.</w:t>
            </w:r>
            <w:r>
              <w:rPr>
                <w:rFonts w:ascii="Times New Roman" w:hAnsi="Times New Roman" w:cs="Times New Roman"/>
              </w:rPr>
              <w:t xml:space="preserve"> </w:t>
            </w:r>
            <w:r w:rsidRPr="00137FA5">
              <w:rPr>
                <w:rFonts w:ascii="Times New Roman" w:hAnsi="Times New Roman" w:cs="Times New Roman"/>
              </w:rPr>
              <w:t>Revizuirea Legii nr.270/2018 privind sistemul unitar de salarizare în sectorul public în vederea eliminării lacunelor/ înlăturarea problemelor. (Grupul ocupațional „Funcțiile complexe (H)” Anexa nr. 10 la Legea nr.270/2018)</w:t>
            </w:r>
          </w:p>
          <w:p w:rsidR="00331EB6" w:rsidRPr="00137FA5" w:rsidRDefault="00331EB6" w:rsidP="002902D3">
            <w:pPr>
              <w:rPr>
                <w:rFonts w:ascii="Times New Roman" w:hAnsi="Times New Roman" w:cs="Times New Roman"/>
              </w:rPr>
            </w:pPr>
          </w:p>
          <w:p w:rsidR="00331EB6" w:rsidRPr="00137FA5" w:rsidRDefault="00331EB6" w:rsidP="002902D3">
            <w:pPr>
              <w:rPr>
                <w:rFonts w:ascii="Times New Roman" w:hAnsi="Times New Roman" w:cs="Times New Roman"/>
              </w:rPr>
            </w:pPr>
          </w:p>
        </w:tc>
        <w:tc>
          <w:tcPr>
            <w:tcW w:w="6852" w:type="dxa"/>
            <w:shd w:val="clear" w:color="auto" w:fill="FFFFFF" w:themeFill="background1"/>
          </w:tcPr>
          <w:p w:rsidR="00331EB6" w:rsidRPr="00137FA5" w:rsidRDefault="00331EB6" w:rsidP="002902D3">
            <w:pPr>
              <w:contextualSpacing/>
              <w:rPr>
                <w:rFonts w:ascii="Times New Roman" w:hAnsi="Times New Roman" w:cs="Times New Roman"/>
                <w:b/>
                <w:u w:val="single"/>
              </w:rPr>
            </w:pPr>
            <w:r w:rsidRPr="00137FA5">
              <w:rPr>
                <w:rFonts w:ascii="Times New Roman" w:hAnsi="Times New Roman" w:cs="Times New Roman"/>
                <w:b/>
                <w:u w:val="single"/>
              </w:rPr>
              <w:t>Acceptat</w:t>
            </w:r>
          </w:p>
          <w:p w:rsidR="00331EB6" w:rsidRDefault="00331EB6" w:rsidP="002902D3">
            <w:pPr>
              <w:contextualSpacing/>
              <w:jc w:val="both"/>
              <w:rPr>
                <w:rFonts w:ascii="Times New Roman" w:hAnsi="Times New Roman" w:cs="Times New Roman"/>
              </w:rPr>
            </w:pPr>
            <w:r w:rsidRPr="00137FA5">
              <w:rPr>
                <w:rFonts w:ascii="Times New Roman" w:hAnsi="Times New Roman" w:cs="Times New Roman"/>
              </w:rPr>
              <w:t>Propunerea corespunde o</w:t>
            </w:r>
            <w:r>
              <w:rPr>
                <w:rFonts w:ascii="Times New Roman" w:hAnsi="Times New Roman" w:cs="Times New Roman"/>
              </w:rPr>
              <w:t xml:space="preserve">biectivului propus în </w:t>
            </w:r>
            <w:r w:rsidR="00A3584B">
              <w:rPr>
                <w:rFonts w:ascii="Times New Roman" w:hAnsi="Times New Roman" w:cs="Times New Roman"/>
              </w:rPr>
              <w:t xml:space="preserve">proiectul </w:t>
            </w:r>
            <w:r>
              <w:rPr>
                <w:rFonts w:ascii="Times New Roman" w:hAnsi="Times New Roman" w:cs="Times New Roman"/>
              </w:rPr>
              <w:t>Planul</w:t>
            </w:r>
            <w:r w:rsidR="00A3584B">
              <w:rPr>
                <w:rFonts w:ascii="Times New Roman" w:hAnsi="Times New Roman" w:cs="Times New Roman"/>
              </w:rPr>
              <w:t>ui</w:t>
            </w:r>
            <w:r>
              <w:rPr>
                <w:rFonts w:ascii="Times New Roman" w:hAnsi="Times New Roman" w:cs="Times New Roman"/>
              </w:rPr>
              <w:t xml:space="preserve"> </w:t>
            </w:r>
            <w:r w:rsidRPr="00137FA5">
              <w:rPr>
                <w:rFonts w:ascii="Times New Roman" w:hAnsi="Times New Roman" w:cs="Times New Roman"/>
              </w:rPr>
              <w:t>de acțiuni al Guvernului pe</w:t>
            </w:r>
            <w:r>
              <w:rPr>
                <w:rFonts w:ascii="Times New Roman" w:hAnsi="Times New Roman" w:cs="Times New Roman"/>
              </w:rPr>
              <w:t xml:space="preserve">ntru anii 2021-2022, capitolul </w:t>
            </w:r>
            <w:r w:rsidRPr="00137FA5">
              <w:rPr>
                <w:rFonts w:ascii="Times New Roman" w:hAnsi="Times New Roman" w:cs="Times New Roman"/>
              </w:rPr>
              <w:t>X</w:t>
            </w:r>
            <w:r>
              <w:rPr>
                <w:rFonts w:ascii="Times New Roman" w:hAnsi="Times New Roman" w:cs="Times New Roman"/>
              </w:rPr>
              <w:t xml:space="preserve">III. FINANȚE PUBLICE din PAG 2021-2022, acțiunea: </w:t>
            </w:r>
          </w:p>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 xml:space="preserve">- </w:t>
            </w:r>
            <w:r w:rsidRPr="00137FA5">
              <w:rPr>
                <w:rFonts w:ascii="Times New Roman" w:hAnsi="Times New Roman" w:cs="Times New Roman"/>
                <w:i/>
              </w:rPr>
              <w:t>Reevaluare sistemică a tuturor funcțiilor din sectorul bugetar, în baza rezultatelor implementării Legii nr.270/2018 privind sistemul unitar de salarizare în sectorul bugetar, în scopul identificării și eliminării discrepanțelor existente și a posibilităților, inclusiv financiare, de eliminare a acestora.</w:t>
            </w:r>
          </w:p>
        </w:tc>
      </w:tr>
      <w:tr w:rsidR="00331EB6" w:rsidRPr="00A3584B" w:rsidTr="002902D3">
        <w:tc>
          <w:tcPr>
            <w:tcW w:w="567" w:type="dxa"/>
            <w:vMerge w:val="restart"/>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5.</w:t>
            </w:r>
          </w:p>
        </w:tc>
        <w:tc>
          <w:tcPr>
            <w:tcW w:w="2903" w:type="dxa"/>
            <w:vMerge w:val="restart"/>
          </w:tcPr>
          <w:p w:rsidR="00331EB6" w:rsidRPr="00137FA5" w:rsidRDefault="00331EB6" w:rsidP="002902D3">
            <w:pPr>
              <w:contextualSpacing/>
              <w:jc w:val="both"/>
              <w:rPr>
                <w:rFonts w:ascii="Times New Roman" w:hAnsi="Times New Roman" w:cs="Times New Roman"/>
                <w:shd w:val="clear" w:color="auto" w:fill="FFFFFF"/>
              </w:rPr>
            </w:pPr>
            <w:r w:rsidRPr="00137FA5">
              <w:rPr>
                <w:rFonts w:ascii="Times New Roman" w:hAnsi="Times New Roman" w:cs="Times New Roman"/>
                <w:shd w:val="clear" w:color="auto" w:fill="FFFFFF"/>
              </w:rPr>
              <w:t>Dna Diana Enachi,</w:t>
            </w:r>
          </w:p>
          <w:p w:rsidR="00331EB6" w:rsidRPr="00137FA5" w:rsidRDefault="00331EB6" w:rsidP="002902D3">
            <w:pPr>
              <w:contextualSpacing/>
              <w:rPr>
                <w:rFonts w:ascii="Times New Roman" w:hAnsi="Times New Roman" w:cs="Times New Roman"/>
                <w:shd w:val="clear" w:color="auto" w:fill="FFFFFF"/>
              </w:rPr>
            </w:pPr>
            <w:r w:rsidRPr="00137FA5">
              <w:rPr>
                <w:rFonts w:ascii="Times New Roman" w:hAnsi="Times New Roman" w:cs="Times New Roman"/>
                <w:shd w:val="clear" w:color="auto" w:fill="FFFFFF"/>
              </w:rPr>
              <w:t xml:space="preserve">Institutul pentru Dezvoltare și Inițiative Sociale „Viitorul” </w:t>
            </w:r>
          </w:p>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shd w:val="clear" w:color="auto" w:fill="FFFFFF"/>
              </w:rPr>
              <w:t>(</w:t>
            </w:r>
            <w:r w:rsidRPr="00137FA5">
              <w:rPr>
                <w:rFonts w:ascii="Times New Roman" w:hAnsi="Times New Roman" w:cs="Times New Roman"/>
                <w:b/>
                <w:i/>
                <w:shd w:val="clear" w:color="auto" w:fill="FFFFFF"/>
              </w:rPr>
              <w:t>IDIS „Viitorul”</w:t>
            </w:r>
            <w:r w:rsidRPr="00137FA5">
              <w:rPr>
                <w:rFonts w:ascii="Times New Roman" w:hAnsi="Times New Roman" w:cs="Times New Roman"/>
                <w:shd w:val="clear" w:color="auto" w:fill="FFFFFF"/>
              </w:rPr>
              <w:t>)</w:t>
            </w:r>
          </w:p>
        </w:tc>
        <w:tc>
          <w:tcPr>
            <w:tcW w:w="4279" w:type="dxa"/>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1.1.Continuarea procesului de armonizare a legislației naționale în domeniul achizițiilor publice și în sectorul utilităților la directivele UE</w:t>
            </w:r>
          </w:p>
        </w:tc>
        <w:tc>
          <w:tcPr>
            <w:tcW w:w="6852" w:type="dxa"/>
          </w:tcPr>
          <w:p w:rsidR="00331EB6" w:rsidRPr="00A30BE7" w:rsidRDefault="00331EB6" w:rsidP="002902D3">
            <w:pPr>
              <w:rPr>
                <w:rFonts w:ascii="Times New Roman" w:hAnsi="Times New Roman" w:cs="Times New Roman"/>
                <w:lang w:val="ro-MD"/>
              </w:rPr>
            </w:pPr>
            <w:r w:rsidRPr="00A30BE7">
              <w:rPr>
                <w:rFonts w:ascii="Times New Roman" w:hAnsi="Times New Roman" w:cs="Times New Roman"/>
                <w:b/>
                <w:bCs/>
                <w:u w:val="single"/>
                <w:lang w:val="ro-MD"/>
              </w:rPr>
              <w:t xml:space="preserve">Acceptat de </w:t>
            </w:r>
            <w:r>
              <w:rPr>
                <w:rFonts w:ascii="Times New Roman" w:hAnsi="Times New Roman" w:cs="Times New Roman"/>
                <w:b/>
                <w:bCs/>
                <w:u w:val="single"/>
                <w:lang w:val="ro-MD"/>
              </w:rPr>
              <w:t>principiu</w:t>
            </w:r>
          </w:p>
          <w:p w:rsidR="00331EB6" w:rsidRPr="00A30BE7" w:rsidRDefault="00331EB6" w:rsidP="002902D3">
            <w:pPr>
              <w:jc w:val="both"/>
              <w:rPr>
                <w:rFonts w:ascii="Times New Roman" w:hAnsi="Times New Roman" w:cs="Times New Roman"/>
                <w:lang w:val="ro-MD"/>
              </w:rPr>
            </w:pPr>
            <w:r w:rsidRPr="00A30BE7">
              <w:rPr>
                <w:rFonts w:ascii="Times New Roman" w:hAnsi="Times New Roman" w:cs="Times New Roman"/>
                <w:lang w:val="ro-MD"/>
              </w:rPr>
              <w:t xml:space="preserve">Propunerea corespunde </w:t>
            </w:r>
            <w:r>
              <w:rPr>
                <w:rFonts w:ascii="Times New Roman" w:hAnsi="Times New Roman" w:cs="Times New Roman"/>
                <w:lang w:val="ro-MD"/>
              </w:rPr>
              <w:t xml:space="preserve">obiectivului propus în </w:t>
            </w:r>
            <w:r w:rsidR="00A3584B">
              <w:rPr>
                <w:rFonts w:ascii="Times New Roman" w:hAnsi="Times New Roman" w:cs="Times New Roman"/>
                <w:lang w:val="ro-MD"/>
              </w:rPr>
              <w:t xml:space="preserve">proiectul </w:t>
            </w:r>
            <w:r>
              <w:rPr>
                <w:rFonts w:ascii="Times New Roman" w:hAnsi="Times New Roman" w:cs="Times New Roman"/>
                <w:lang w:val="ro-MD"/>
              </w:rPr>
              <w:t>Planul</w:t>
            </w:r>
            <w:r w:rsidR="00A3584B">
              <w:rPr>
                <w:rFonts w:ascii="Times New Roman" w:hAnsi="Times New Roman" w:cs="Times New Roman"/>
                <w:lang w:val="ro-MD"/>
              </w:rPr>
              <w:t>ui</w:t>
            </w:r>
            <w:r w:rsidRPr="00A30BE7">
              <w:rPr>
                <w:rFonts w:ascii="Times New Roman" w:hAnsi="Times New Roman" w:cs="Times New Roman"/>
                <w:lang w:val="ro-MD"/>
              </w:rPr>
              <w:t xml:space="preserve"> de acțiuni al Guvernului pentru anii 2021-2022, </w:t>
            </w:r>
            <w:r w:rsidRPr="009859F1">
              <w:rPr>
                <w:rFonts w:ascii="Times New Roman" w:hAnsi="Times New Roman" w:cs="Times New Roman"/>
                <w:iCs/>
                <w:lang w:val="ro-MD"/>
              </w:rPr>
              <w:t>Capitolul XIII. FINANȚE PUBLICE</w:t>
            </w:r>
            <w:r w:rsidRPr="00A30BE7">
              <w:rPr>
                <w:rFonts w:ascii="Times New Roman" w:hAnsi="Times New Roman" w:cs="Times New Roman"/>
                <w:lang w:val="ro-MD"/>
              </w:rPr>
              <w:t>, acțiunea:</w:t>
            </w:r>
          </w:p>
          <w:p w:rsidR="00331EB6" w:rsidRDefault="00331EB6" w:rsidP="002902D3">
            <w:pPr>
              <w:contextualSpacing/>
              <w:jc w:val="both"/>
              <w:rPr>
                <w:rFonts w:ascii="Times New Roman" w:hAnsi="Times New Roman" w:cs="Times New Roman"/>
                <w:i/>
                <w:lang w:val="ro-MD"/>
              </w:rPr>
            </w:pPr>
            <w:r w:rsidRPr="00A30BE7">
              <w:rPr>
                <w:rFonts w:ascii="Times New Roman" w:hAnsi="Times New Roman" w:cs="Times New Roman"/>
                <w:lang w:val="ro-MD"/>
              </w:rPr>
              <w:t>-</w:t>
            </w:r>
            <w:r w:rsidRPr="00A30BE7">
              <w:rPr>
                <w:rFonts w:ascii="Times New Roman" w:eastAsia="Times New Roman" w:hAnsi="Times New Roman" w:cs="Times New Roman"/>
                <w:bCs/>
                <w:sz w:val="20"/>
                <w:szCs w:val="20"/>
                <w:lang w:val="ro-MD"/>
              </w:rPr>
              <w:t xml:space="preserve"> </w:t>
            </w:r>
            <w:r w:rsidRPr="00331EB6">
              <w:rPr>
                <w:rFonts w:ascii="Times New Roman" w:hAnsi="Times New Roman" w:cs="Times New Roman"/>
                <w:i/>
                <w:lang w:val="ro-MD"/>
              </w:rPr>
              <w:t>Dezvoltarea cadrului normativ în domeniul achizițiilor publice în scopul asigurării implementării Legii nr.131/2015 și Legii nr.74/2020 în conformitate cu angajamentele asumate de Republica Moldova în cadrul Acordului de Asociere RM-UE și Acordului OMC GPA</w:t>
            </w:r>
            <w:r>
              <w:rPr>
                <w:rFonts w:ascii="Times New Roman" w:hAnsi="Times New Roman" w:cs="Times New Roman"/>
                <w:i/>
                <w:lang w:val="ro-MD"/>
              </w:rPr>
              <w:t>.</w:t>
            </w:r>
          </w:p>
          <w:p w:rsidR="009859F1" w:rsidRPr="00331EB6" w:rsidRDefault="009859F1" w:rsidP="002902D3">
            <w:pPr>
              <w:contextualSpacing/>
              <w:jc w:val="both"/>
              <w:rPr>
                <w:rFonts w:ascii="Times New Roman" w:hAnsi="Times New Roman" w:cs="Times New Roman"/>
                <w:lang w:val="ro-MD"/>
              </w:rPr>
            </w:pPr>
          </w:p>
        </w:tc>
      </w:tr>
      <w:tr w:rsidR="00331EB6" w:rsidRPr="00137FA5" w:rsidTr="002902D3">
        <w:tc>
          <w:tcPr>
            <w:tcW w:w="567" w:type="dxa"/>
            <w:vMerge/>
          </w:tcPr>
          <w:p w:rsidR="00331EB6" w:rsidRPr="007F47A7" w:rsidRDefault="00331EB6" w:rsidP="002902D3">
            <w:pPr>
              <w:contextualSpacing/>
              <w:rPr>
                <w:rFonts w:ascii="Times New Roman" w:hAnsi="Times New Roman" w:cs="Times New Roman"/>
                <w:lang w:val="ro-MD"/>
              </w:rPr>
            </w:pPr>
          </w:p>
        </w:tc>
        <w:tc>
          <w:tcPr>
            <w:tcW w:w="2903" w:type="dxa"/>
            <w:vMerge/>
          </w:tcPr>
          <w:p w:rsidR="00331EB6" w:rsidRPr="007F47A7" w:rsidRDefault="00331EB6" w:rsidP="002902D3">
            <w:pPr>
              <w:contextualSpacing/>
              <w:rPr>
                <w:rFonts w:ascii="Times New Roman" w:hAnsi="Times New Roman" w:cs="Times New Roman"/>
                <w:lang w:val="ro-MD"/>
              </w:rPr>
            </w:pPr>
          </w:p>
        </w:tc>
        <w:tc>
          <w:tcPr>
            <w:tcW w:w="4279" w:type="dxa"/>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1.2. Instruirea sistematică și certificarea specialiștilor în domeniul achizițiilor publice</w:t>
            </w:r>
          </w:p>
        </w:tc>
        <w:tc>
          <w:tcPr>
            <w:tcW w:w="6852" w:type="dxa"/>
          </w:tcPr>
          <w:p w:rsidR="00331EB6" w:rsidRPr="00A30BE7" w:rsidRDefault="00331EB6" w:rsidP="002902D3">
            <w:pPr>
              <w:rPr>
                <w:rFonts w:ascii="Times New Roman" w:hAnsi="Times New Roman" w:cs="Times New Roman"/>
                <w:lang w:val="ro-MD"/>
              </w:rPr>
            </w:pPr>
            <w:r>
              <w:rPr>
                <w:rFonts w:ascii="Times New Roman" w:hAnsi="Times New Roman" w:cs="Times New Roman"/>
                <w:b/>
                <w:bCs/>
                <w:u w:val="single"/>
                <w:lang w:val="ro-MD"/>
              </w:rPr>
              <w:t>Acceptat</w:t>
            </w:r>
          </w:p>
          <w:p w:rsidR="00331EB6" w:rsidRPr="00A30BE7" w:rsidRDefault="00331EB6" w:rsidP="002902D3">
            <w:pPr>
              <w:jc w:val="both"/>
              <w:rPr>
                <w:rFonts w:ascii="Times New Roman" w:hAnsi="Times New Roman" w:cs="Times New Roman"/>
                <w:lang w:val="ro-MD"/>
              </w:rPr>
            </w:pPr>
            <w:r w:rsidRPr="00A30BE7">
              <w:rPr>
                <w:rFonts w:ascii="Times New Roman" w:hAnsi="Times New Roman" w:cs="Times New Roman"/>
                <w:lang w:val="ro-MD"/>
              </w:rPr>
              <w:t>Propunerea corespunde o</w:t>
            </w:r>
            <w:r>
              <w:rPr>
                <w:rFonts w:ascii="Times New Roman" w:hAnsi="Times New Roman" w:cs="Times New Roman"/>
                <w:lang w:val="ro-MD"/>
              </w:rPr>
              <w:t xml:space="preserve">biectivului propus în </w:t>
            </w:r>
            <w:r w:rsidR="00A3584B">
              <w:rPr>
                <w:rFonts w:ascii="Times New Roman" w:hAnsi="Times New Roman" w:cs="Times New Roman"/>
                <w:lang w:val="ro-MD"/>
              </w:rPr>
              <w:t xml:space="preserve">proiectul </w:t>
            </w:r>
            <w:r>
              <w:rPr>
                <w:rFonts w:ascii="Times New Roman" w:hAnsi="Times New Roman" w:cs="Times New Roman"/>
                <w:lang w:val="ro-MD"/>
              </w:rPr>
              <w:t>Planul</w:t>
            </w:r>
            <w:r w:rsidR="00A3584B">
              <w:rPr>
                <w:rFonts w:ascii="Times New Roman" w:hAnsi="Times New Roman" w:cs="Times New Roman"/>
                <w:lang w:val="ro-MD"/>
              </w:rPr>
              <w:t>ui</w:t>
            </w:r>
            <w:r w:rsidRPr="00A30BE7">
              <w:rPr>
                <w:rFonts w:ascii="Times New Roman" w:hAnsi="Times New Roman" w:cs="Times New Roman"/>
                <w:lang w:val="ro-MD"/>
              </w:rPr>
              <w:t xml:space="preserve"> de acțiuni al Guvernului pentru anii 2021-2022, care se regăsește în </w:t>
            </w:r>
            <w:r w:rsidRPr="009859F1">
              <w:rPr>
                <w:rFonts w:ascii="Times New Roman" w:hAnsi="Times New Roman" w:cs="Times New Roman"/>
                <w:iCs/>
                <w:lang w:val="ro-MD"/>
              </w:rPr>
              <w:t>Capitolul XIII. FINANȚE PUBLICE</w:t>
            </w:r>
            <w:r w:rsidRPr="00A30BE7">
              <w:rPr>
                <w:rFonts w:ascii="Times New Roman" w:hAnsi="Times New Roman" w:cs="Times New Roman"/>
                <w:i/>
                <w:iCs/>
                <w:lang w:val="ro-MD"/>
              </w:rPr>
              <w:t>,</w:t>
            </w:r>
            <w:r w:rsidRPr="00A30BE7">
              <w:rPr>
                <w:rFonts w:ascii="Times New Roman" w:hAnsi="Times New Roman" w:cs="Times New Roman"/>
                <w:lang w:val="ro-MD"/>
              </w:rPr>
              <w:t> acțiunil</w:t>
            </w:r>
            <w:r>
              <w:rPr>
                <w:rFonts w:ascii="Times New Roman" w:hAnsi="Times New Roman" w:cs="Times New Roman"/>
                <w:lang w:val="ro-MD"/>
              </w:rPr>
              <w:t>e</w:t>
            </w:r>
            <w:r w:rsidRPr="00A30BE7">
              <w:rPr>
                <w:rFonts w:ascii="Times New Roman" w:hAnsi="Times New Roman" w:cs="Times New Roman"/>
                <w:lang w:val="ro-MD"/>
              </w:rPr>
              <w:t>:</w:t>
            </w:r>
          </w:p>
          <w:p w:rsidR="00331EB6" w:rsidRPr="00A30BE7" w:rsidRDefault="00331EB6" w:rsidP="002902D3">
            <w:pPr>
              <w:jc w:val="both"/>
              <w:rPr>
                <w:rFonts w:ascii="Times New Roman" w:hAnsi="Times New Roman" w:cs="Times New Roman"/>
                <w:lang w:val="ro-MD"/>
              </w:rPr>
            </w:pPr>
            <w:r w:rsidRPr="00A30BE7">
              <w:rPr>
                <w:rFonts w:ascii="Times New Roman" w:hAnsi="Times New Roman" w:cs="Times New Roman"/>
                <w:lang w:val="ro-MD"/>
              </w:rPr>
              <w:t>-</w:t>
            </w:r>
            <w:r>
              <w:rPr>
                <w:rFonts w:ascii="Times New Roman" w:hAnsi="Times New Roman" w:cs="Times New Roman"/>
                <w:lang w:val="ro-MD"/>
              </w:rPr>
              <w:t xml:space="preserve"> </w:t>
            </w:r>
            <w:r w:rsidR="00C6043A" w:rsidRPr="00C6043A">
              <w:rPr>
                <w:rFonts w:ascii="Times New Roman" w:hAnsi="Times New Roman" w:cs="Times New Roman"/>
                <w:i/>
              </w:rPr>
              <w:t>Aprobarea și punerea în aplicare a Programelor anuale de instruire a personalului responsabil de achizițiile publice, în scopul creșterii continuă a cunoștințelor și aptitudinilor personalului din cadrul autorităților contractante, operatorilor econ</w:t>
            </w:r>
            <w:r w:rsidR="00C6043A">
              <w:rPr>
                <w:rFonts w:ascii="Times New Roman" w:hAnsi="Times New Roman" w:cs="Times New Roman"/>
                <w:i/>
              </w:rPr>
              <w:t>omici, furnizorilor de servicii</w:t>
            </w:r>
            <w:r>
              <w:rPr>
                <w:rFonts w:ascii="Times New Roman" w:hAnsi="Times New Roman" w:cs="Times New Roman"/>
                <w:i/>
                <w:lang w:val="ro-MD"/>
              </w:rPr>
              <w:t>;</w:t>
            </w:r>
          </w:p>
          <w:p w:rsidR="00331EB6" w:rsidRPr="00137FA5" w:rsidRDefault="00331EB6" w:rsidP="002902D3">
            <w:pPr>
              <w:contextualSpacing/>
              <w:jc w:val="both"/>
              <w:rPr>
                <w:rFonts w:ascii="Times New Roman" w:hAnsi="Times New Roman" w:cs="Times New Roman"/>
              </w:rPr>
            </w:pPr>
            <w:r w:rsidRPr="00A30BE7">
              <w:rPr>
                <w:rFonts w:ascii="Times New Roman" w:hAnsi="Times New Roman" w:cs="Times New Roman"/>
                <w:i/>
                <w:lang w:val="ro-MD"/>
              </w:rPr>
              <w:t>- Elaborarea și implementarea mecanismului de certificare a  specialiștilor din domeniul achizițiilor publice în vederea evaluării și calificării acestora.</w:t>
            </w:r>
          </w:p>
        </w:tc>
      </w:tr>
      <w:tr w:rsidR="00331EB6" w:rsidRPr="00A3584B" w:rsidTr="002902D3">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1.3. Urgentarea racordării cadrului normativ secundar la cel primar în domeniul achizițiilor publice</w:t>
            </w:r>
          </w:p>
        </w:tc>
        <w:tc>
          <w:tcPr>
            <w:tcW w:w="6852" w:type="dxa"/>
          </w:tcPr>
          <w:p w:rsidR="00331EB6" w:rsidRPr="00A30BE7" w:rsidRDefault="00331EB6" w:rsidP="002902D3">
            <w:pPr>
              <w:rPr>
                <w:rFonts w:ascii="Times New Roman" w:hAnsi="Times New Roman" w:cs="Times New Roman"/>
                <w:lang w:val="ro-MD"/>
              </w:rPr>
            </w:pPr>
            <w:r w:rsidRPr="00A30BE7">
              <w:rPr>
                <w:rFonts w:ascii="Times New Roman" w:hAnsi="Times New Roman" w:cs="Times New Roman"/>
                <w:b/>
                <w:bCs/>
                <w:u w:val="single"/>
                <w:lang w:val="ro-MD"/>
              </w:rPr>
              <w:t xml:space="preserve">Acceptat </w:t>
            </w:r>
          </w:p>
          <w:p w:rsidR="00331EB6" w:rsidRPr="00A30BE7" w:rsidRDefault="00331EB6" w:rsidP="002902D3">
            <w:pPr>
              <w:jc w:val="both"/>
              <w:rPr>
                <w:rFonts w:ascii="Times New Roman" w:hAnsi="Times New Roman" w:cs="Times New Roman"/>
                <w:lang w:val="ro-MD"/>
              </w:rPr>
            </w:pPr>
            <w:r w:rsidRPr="00A30BE7">
              <w:rPr>
                <w:rFonts w:ascii="Times New Roman" w:hAnsi="Times New Roman" w:cs="Times New Roman"/>
                <w:lang w:val="ro-MD"/>
              </w:rPr>
              <w:t>Propunerea corespunde o</w:t>
            </w:r>
            <w:r w:rsidR="00C6043A">
              <w:rPr>
                <w:rFonts w:ascii="Times New Roman" w:hAnsi="Times New Roman" w:cs="Times New Roman"/>
                <w:lang w:val="ro-MD"/>
              </w:rPr>
              <w:t xml:space="preserve">biectivului propus în </w:t>
            </w:r>
            <w:r w:rsidR="00A3584B">
              <w:rPr>
                <w:rFonts w:ascii="Times New Roman" w:hAnsi="Times New Roman" w:cs="Times New Roman"/>
                <w:lang w:val="ro-MD"/>
              </w:rPr>
              <w:t xml:space="preserve">proiectul </w:t>
            </w:r>
            <w:r w:rsidR="00C6043A">
              <w:rPr>
                <w:rFonts w:ascii="Times New Roman" w:hAnsi="Times New Roman" w:cs="Times New Roman"/>
                <w:lang w:val="ro-MD"/>
              </w:rPr>
              <w:t>Planul</w:t>
            </w:r>
            <w:r w:rsidR="00A3584B">
              <w:rPr>
                <w:rFonts w:ascii="Times New Roman" w:hAnsi="Times New Roman" w:cs="Times New Roman"/>
                <w:lang w:val="ro-MD"/>
              </w:rPr>
              <w:t>ui</w:t>
            </w:r>
            <w:r w:rsidRPr="00A30BE7">
              <w:rPr>
                <w:rFonts w:ascii="Times New Roman" w:hAnsi="Times New Roman" w:cs="Times New Roman"/>
                <w:lang w:val="ro-MD"/>
              </w:rPr>
              <w:t xml:space="preserve"> de acțiuni al Guvernului pentru anii 2021-2022, </w:t>
            </w:r>
            <w:r w:rsidR="00C6043A" w:rsidRPr="009859F1">
              <w:rPr>
                <w:rFonts w:ascii="Times New Roman" w:hAnsi="Times New Roman" w:cs="Times New Roman"/>
                <w:iCs/>
                <w:lang w:val="ro-MD"/>
              </w:rPr>
              <w:t xml:space="preserve">Capitolul </w:t>
            </w:r>
            <w:r w:rsidRPr="009859F1">
              <w:rPr>
                <w:rFonts w:ascii="Times New Roman" w:hAnsi="Times New Roman" w:cs="Times New Roman"/>
                <w:iCs/>
                <w:lang w:val="ro-MD"/>
              </w:rPr>
              <w:t>X</w:t>
            </w:r>
            <w:r w:rsidR="00C6043A" w:rsidRPr="009859F1">
              <w:rPr>
                <w:rFonts w:ascii="Times New Roman" w:hAnsi="Times New Roman" w:cs="Times New Roman"/>
                <w:iCs/>
                <w:lang w:val="ro-MD"/>
              </w:rPr>
              <w:t>III</w:t>
            </w:r>
            <w:r w:rsidRPr="009859F1">
              <w:rPr>
                <w:rFonts w:ascii="Times New Roman" w:hAnsi="Times New Roman" w:cs="Times New Roman"/>
                <w:iCs/>
                <w:lang w:val="ro-MD"/>
              </w:rPr>
              <w:t>. FINANȚE PUBLICE, </w:t>
            </w:r>
            <w:r w:rsidRPr="00A30BE7">
              <w:rPr>
                <w:rFonts w:ascii="Times New Roman" w:hAnsi="Times New Roman" w:cs="Times New Roman"/>
                <w:lang w:val="ro-MD"/>
              </w:rPr>
              <w:t>acțiunea:</w:t>
            </w:r>
          </w:p>
          <w:p w:rsidR="00331EB6" w:rsidRPr="007F47A7" w:rsidRDefault="00C6043A" w:rsidP="002902D3">
            <w:pPr>
              <w:contextualSpacing/>
              <w:jc w:val="both"/>
              <w:rPr>
                <w:rFonts w:ascii="Times New Roman" w:hAnsi="Times New Roman" w:cs="Times New Roman"/>
                <w:lang w:val="ro-MD"/>
              </w:rPr>
            </w:pPr>
            <w:r w:rsidRPr="00A30BE7">
              <w:rPr>
                <w:rFonts w:ascii="Times New Roman" w:hAnsi="Times New Roman" w:cs="Times New Roman"/>
                <w:lang w:val="ro-MD"/>
              </w:rPr>
              <w:t>-</w:t>
            </w:r>
            <w:r w:rsidRPr="00A30BE7">
              <w:rPr>
                <w:rFonts w:ascii="Times New Roman" w:eastAsia="Times New Roman" w:hAnsi="Times New Roman" w:cs="Times New Roman"/>
                <w:bCs/>
                <w:sz w:val="20"/>
                <w:szCs w:val="20"/>
                <w:lang w:val="ro-MD"/>
              </w:rPr>
              <w:t xml:space="preserve"> </w:t>
            </w:r>
            <w:r w:rsidRPr="00331EB6">
              <w:rPr>
                <w:rFonts w:ascii="Times New Roman" w:hAnsi="Times New Roman" w:cs="Times New Roman"/>
                <w:i/>
                <w:lang w:val="ro-MD"/>
              </w:rPr>
              <w:t>Dezvoltarea cadrului normativ în domeniul achizițiilor publice în scopul asigurării implementării Legii nr.131/2015 și Legii nr.74/2020 în conformitate cu angajamentele asumate de Republica Moldova în cadrul Acordului de Asociere RM-UE și Acordului OMC GPA</w:t>
            </w:r>
            <w:r>
              <w:rPr>
                <w:rFonts w:ascii="Times New Roman" w:hAnsi="Times New Roman" w:cs="Times New Roman"/>
                <w:i/>
                <w:lang w:val="ro-MD"/>
              </w:rPr>
              <w:t>.</w:t>
            </w:r>
          </w:p>
        </w:tc>
      </w:tr>
      <w:tr w:rsidR="00331EB6" w:rsidRPr="00137FA5" w:rsidTr="002902D3">
        <w:tc>
          <w:tcPr>
            <w:tcW w:w="567" w:type="dxa"/>
            <w:vMerge/>
          </w:tcPr>
          <w:p w:rsidR="00331EB6" w:rsidRPr="007F47A7" w:rsidRDefault="00331EB6" w:rsidP="002902D3">
            <w:pPr>
              <w:contextualSpacing/>
              <w:rPr>
                <w:rFonts w:ascii="Times New Roman" w:hAnsi="Times New Roman" w:cs="Times New Roman"/>
                <w:lang w:val="ro-MD"/>
              </w:rPr>
            </w:pPr>
          </w:p>
        </w:tc>
        <w:tc>
          <w:tcPr>
            <w:tcW w:w="2903" w:type="dxa"/>
            <w:vMerge/>
          </w:tcPr>
          <w:p w:rsidR="00331EB6" w:rsidRPr="007F47A7" w:rsidRDefault="00331EB6" w:rsidP="002902D3">
            <w:pPr>
              <w:contextualSpacing/>
              <w:rPr>
                <w:rFonts w:ascii="Times New Roman" w:hAnsi="Times New Roman" w:cs="Times New Roman"/>
                <w:lang w:val="ro-MD"/>
              </w:rPr>
            </w:pPr>
          </w:p>
        </w:tc>
        <w:tc>
          <w:tcPr>
            <w:tcW w:w="4279" w:type="dxa"/>
          </w:tcPr>
          <w:p w:rsidR="00331EB6" w:rsidRPr="00137FA5" w:rsidRDefault="00331EB6" w:rsidP="002902D3">
            <w:pPr>
              <w:tabs>
                <w:tab w:val="left" w:pos="432"/>
                <w:tab w:val="left" w:pos="522"/>
              </w:tabs>
              <w:contextualSpacing/>
              <w:jc w:val="both"/>
              <w:rPr>
                <w:rFonts w:ascii="Times New Roman" w:hAnsi="Times New Roman" w:cs="Times New Roman"/>
              </w:rPr>
            </w:pPr>
            <w:r w:rsidRPr="00137FA5">
              <w:rPr>
                <w:rFonts w:ascii="Times New Roman" w:hAnsi="Times New Roman" w:cs="Times New Roman"/>
              </w:rPr>
              <w:t>1.4. Perfecționarea/ dezvoltarea sistemului informațional electronic de achiziții publice și asigurarea interoperabilității acestuia cu alte sisteme informaționale, în special cu cel trezorerial pentru a exclude etapa de înregistrare fizică a contractelor la trezoreriile regionale</w:t>
            </w:r>
          </w:p>
        </w:tc>
        <w:tc>
          <w:tcPr>
            <w:tcW w:w="6852" w:type="dxa"/>
          </w:tcPr>
          <w:p w:rsidR="00331EB6" w:rsidRPr="00A30BE7" w:rsidRDefault="00331EB6" w:rsidP="002902D3">
            <w:pPr>
              <w:rPr>
                <w:rFonts w:ascii="Times New Roman" w:hAnsi="Times New Roman" w:cs="Times New Roman"/>
                <w:lang w:val="ro-MD"/>
              </w:rPr>
            </w:pPr>
            <w:r w:rsidRPr="00A30BE7">
              <w:rPr>
                <w:rFonts w:ascii="Times New Roman" w:hAnsi="Times New Roman" w:cs="Times New Roman"/>
                <w:b/>
                <w:bCs/>
                <w:u w:val="single"/>
                <w:lang w:val="ro-MD"/>
              </w:rPr>
              <w:t xml:space="preserve">Acceptat </w:t>
            </w:r>
          </w:p>
          <w:p w:rsidR="00331EB6" w:rsidRPr="00A30BE7" w:rsidRDefault="00331EB6" w:rsidP="002902D3">
            <w:pPr>
              <w:jc w:val="both"/>
              <w:rPr>
                <w:rFonts w:ascii="Times New Roman" w:hAnsi="Times New Roman" w:cs="Times New Roman"/>
                <w:lang w:val="ro-MD"/>
              </w:rPr>
            </w:pPr>
            <w:r w:rsidRPr="00A30BE7">
              <w:rPr>
                <w:rFonts w:ascii="Times New Roman" w:hAnsi="Times New Roman" w:cs="Times New Roman"/>
                <w:lang w:val="ro-MD"/>
              </w:rPr>
              <w:t xml:space="preserve">Propunerea corespunde </w:t>
            </w:r>
            <w:r w:rsidR="00C6043A">
              <w:rPr>
                <w:rFonts w:ascii="Times New Roman" w:hAnsi="Times New Roman" w:cs="Times New Roman"/>
                <w:lang w:val="ro-MD"/>
              </w:rPr>
              <w:t xml:space="preserve">obiectivului propus în </w:t>
            </w:r>
            <w:r w:rsidR="00A3584B">
              <w:rPr>
                <w:rFonts w:ascii="Times New Roman" w:hAnsi="Times New Roman" w:cs="Times New Roman"/>
                <w:lang w:val="ro-MD"/>
              </w:rPr>
              <w:t xml:space="preserve">proiectul </w:t>
            </w:r>
            <w:r w:rsidR="00C6043A">
              <w:rPr>
                <w:rFonts w:ascii="Times New Roman" w:hAnsi="Times New Roman" w:cs="Times New Roman"/>
                <w:lang w:val="ro-MD"/>
              </w:rPr>
              <w:t>Planul</w:t>
            </w:r>
            <w:r w:rsidR="00A3584B">
              <w:rPr>
                <w:rFonts w:ascii="Times New Roman" w:hAnsi="Times New Roman" w:cs="Times New Roman"/>
                <w:lang w:val="ro-MD"/>
              </w:rPr>
              <w:t>ui</w:t>
            </w:r>
            <w:r w:rsidRPr="00A30BE7">
              <w:rPr>
                <w:rFonts w:ascii="Times New Roman" w:hAnsi="Times New Roman" w:cs="Times New Roman"/>
                <w:lang w:val="ro-MD"/>
              </w:rPr>
              <w:t xml:space="preserve"> de acțiuni al Guvernului pentru anii 2021-2022, </w:t>
            </w:r>
            <w:r w:rsidRPr="009859F1">
              <w:rPr>
                <w:rFonts w:ascii="Times New Roman" w:hAnsi="Times New Roman" w:cs="Times New Roman"/>
                <w:iCs/>
                <w:lang w:val="ro-MD"/>
              </w:rPr>
              <w:t>Capitolu</w:t>
            </w:r>
            <w:r w:rsidR="00C6043A" w:rsidRPr="009859F1">
              <w:rPr>
                <w:rFonts w:ascii="Times New Roman" w:hAnsi="Times New Roman" w:cs="Times New Roman"/>
                <w:iCs/>
                <w:lang w:val="ro-MD"/>
              </w:rPr>
              <w:t xml:space="preserve">l </w:t>
            </w:r>
            <w:r w:rsidRPr="009859F1">
              <w:rPr>
                <w:rFonts w:ascii="Times New Roman" w:hAnsi="Times New Roman" w:cs="Times New Roman"/>
                <w:iCs/>
                <w:lang w:val="ro-MD"/>
              </w:rPr>
              <w:t>X</w:t>
            </w:r>
            <w:r w:rsidR="00C6043A" w:rsidRPr="009859F1">
              <w:rPr>
                <w:rFonts w:ascii="Times New Roman" w:hAnsi="Times New Roman" w:cs="Times New Roman"/>
                <w:iCs/>
                <w:lang w:val="ro-MD"/>
              </w:rPr>
              <w:t>III</w:t>
            </w:r>
            <w:r w:rsidRPr="009859F1">
              <w:rPr>
                <w:rFonts w:ascii="Times New Roman" w:hAnsi="Times New Roman" w:cs="Times New Roman"/>
                <w:iCs/>
                <w:lang w:val="ro-MD"/>
              </w:rPr>
              <w:t>. FINANȚE PUBLICE, acțiunea:</w:t>
            </w:r>
          </w:p>
          <w:p w:rsidR="00331EB6" w:rsidRDefault="00331EB6" w:rsidP="002902D3">
            <w:pPr>
              <w:contextualSpacing/>
              <w:jc w:val="both"/>
              <w:rPr>
                <w:rFonts w:ascii="Times New Roman" w:hAnsi="Times New Roman" w:cs="Times New Roman"/>
                <w:i/>
                <w:lang w:val="ro-MD"/>
              </w:rPr>
            </w:pPr>
            <w:r w:rsidRPr="00A30BE7">
              <w:rPr>
                <w:rFonts w:ascii="Times New Roman" w:hAnsi="Times New Roman" w:cs="Times New Roman"/>
                <w:lang w:val="ro-MD"/>
              </w:rPr>
              <w:t>-</w:t>
            </w:r>
            <w:r>
              <w:rPr>
                <w:rFonts w:ascii="Times New Roman" w:hAnsi="Times New Roman" w:cs="Times New Roman"/>
                <w:lang w:val="ro-MD"/>
              </w:rPr>
              <w:t xml:space="preserve"> </w:t>
            </w:r>
            <w:r w:rsidRPr="00A30BE7">
              <w:rPr>
                <w:rFonts w:ascii="Times New Roman" w:hAnsi="Times New Roman" w:cs="Times New Roman"/>
                <w:i/>
                <w:lang w:val="ro-MD"/>
              </w:rPr>
              <w:t>Dezvoltarea integrală a sistemului informațional automatizat ,,Registrul de stat al achizițiilor publice” (MTender)</w:t>
            </w:r>
            <w:r>
              <w:rPr>
                <w:rFonts w:ascii="Times New Roman" w:hAnsi="Times New Roman" w:cs="Times New Roman"/>
                <w:i/>
                <w:lang w:val="ro-MD"/>
              </w:rPr>
              <w:t>.</w:t>
            </w:r>
          </w:p>
          <w:p w:rsidR="00C6043A" w:rsidRPr="00137FA5" w:rsidRDefault="00C6043A" w:rsidP="002902D3">
            <w:pPr>
              <w:contextualSpacing/>
              <w:jc w:val="both"/>
              <w:rPr>
                <w:rFonts w:ascii="Times New Roman" w:hAnsi="Times New Roman" w:cs="Times New Roman"/>
              </w:rPr>
            </w:pPr>
          </w:p>
        </w:tc>
      </w:tr>
      <w:tr w:rsidR="00331EB6" w:rsidRPr="00137FA5" w:rsidTr="002902D3">
        <w:trPr>
          <w:trHeight w:val="1565"/>
        </w:trPr>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1.5. Rapoartele de monitorizare întocmite de AAP  urmează a fi cu caracter obligatoriu, cât și stabilirea în cadrul normativ a unor pârghii de stopare/anulare a procedurilor de achiziții defectuoase</w:t>
            </w:r>
          </w:p>
        </w:tc>
        <w:tc>
          <w:tcPr>
            <w:tcW w:w="6852" w:type="dxa"/>
          </w:tcPr>
          <w:p w:rsidR="00331EB6" w:rsidRDefault="00331EB6" w:rsidP="002902D3">
            <w:pPr>
              <w:contextualSpacing/>
              <w:jc w:val="both"/>
              <w:rPr>
                <w:rFonts w:ascii="Times New Roman" w:hAnsi="Times New Roman" w:cs="Times New Roman"/>
              </w:rPr>
            </w:pPr>
            <w:r w:rsidRPr="00137FA5">
              <w:rPr>
                <w:rFonts w:ascii="Times New Roman" w:hAnsi="Times New Roman" w:cs="Times New Roman"/>
              </w:rPr>
              <w:t xml:space="preserve">Propunerile date necesită o evaluare </w:t>
            </w:r>
            <w:r>
              <w:rPr>
                <w:rFonts w:ascii="Times New Roman" w:hAnsi="Times New Roman" w:cs="Times New Roman"/>
              </w:rPr>
              <w:t>aprofundată pentru</w:t>
            </w:r>
            <w:r w:rsidRPr="00137FA5">
              <w:rPr>
                <w:rFonts w:ascii="Times New Roman" w:hAnsi="Times New Roman" w:cs="Times New Roman"/>
              </w:rPr>
              <w:t xml:space="preserve"> determinarea impactului și a limitei de competență a atribuțiilor de control exercitate de către instituțiile subordonate MF, ținând cont de p</w:t>
            </w:r>
            <w:r>
              <w:rPr>
                <w:rFonts w:ascii="Times New Roman" w:hAnsi="Times New Roman" w:cs="Times New Roman"/>
              </w:rPr>
              <w:t>ractica anterioară.</w:t>
            </w:r>
          </w:p>
          <w:p w:rsidR="00331EB6" w:rsidRPr="00137FA5" w:rsidRDefault="00331EB6" w:rsidP="002902D3">
            <w:pPr>
              <w:contextualSpacing/>
              <w:jc w:val="both"/>
              <w:rPr>
                <w:rFonts w:ascii="Times New Roman" w:hAnsi="Times New Roman" w:cs="Times New Roman"/>
                <w:highlight w:val="yellow"/>
              </w:rPr>
            </w:pPr>
          </w:p>
        </w:tc>
      </w:tr>
      <w:tr w:rsidR="00331EB6" w:rsidRPr="00137FA5" w:rsidTr="002902D3">
        <w:trPr>
          <w:trHeight w:val="1610"/>
        </w:trPr>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1.6. Transparența în realizarea achizițiilor publice de valoare mică</w:t>
            </w:r>
          </w:p>
        </w:tc>
        <w:tc>
          <w:tcPr>
            <w:tcW w:w="6852" w:type="dxa"/>
          </w:tcPr>
          <w:p w:rsidR="00331EB6" w:rsidRPr="00137FA5" w:rsidRDefault="00331EB6" w:rsidP="002902D3">
            <w:pPr>
              <w:contextualSpacing/>
              <w:rPr>
                <w:rFonts w:ascii="Times New Roman" w:hAnsi="Times New Roman" w:cs="Times New Roman"/>
                <w:b/>
                <w:u w:val="single"/>
              </w:rPr>
            </w:pPr>
            <w:r w:rsidRPr="00137FA5">
              <w:rPr>
                <w:rFonts w:ascii="Times New Roman" w:hAnsi="Times New Roman" w:cs="Times New Roman"/>
                <w:b/>
                <w:u w:val="single"/>
              </w:rPr>
              <w:t xml:space="preserve">Acceptat </w:t>
            </w:r>
          </w:p>
          <w:p w:rsidR="00331EB6" w:rsidRPr="00137FA5" w:rsidRDefault="00331EB6" w:rsidP="002902D3">
            <w:pPr>
              <w:contextualSpacing/>
              <w:jc w:val="both"/>
              <w:rPr>
                <w:rFonts w:ascii="Times New Roman" w:hAnsi="Times New Roman" w:cs="Times New Roman"/>
              </w:rPr>
            </w:pPr>
            <w:r>
              <w:rPr>
                <w:rFonts w:ascii="Times New Roman" w:hAnsi="Times New Roman" w:cs="Times New Roman"/>
              </w:rPr>
              <w:t>Proiectul h</w:t>
            </w:r>
            <w:r w:rsidRPr="00137FA5">
              <w:rPr>
                <w:rFonts w:ascii="Times New Roman" w:hAnsi="Times New Roman" w:cs="Times New Roman"/>
              </w:rPr>
              <w:t>otărârii de Guvern pentru aprobarea Regulamentului cu privire la achizițiile publice de valoare mică este la etapa de reavizare. Noul Regulament prevede desfășurarea achizițiilor publice de valoare mică prin intermediul sistemului electronic SIA RSAP MTender, fapt care va asigura transparența acestora.</w:t>
            </w:r>
          </w:p>
          <w:p w:rsidR="00331EB6" w:rsidRPr="00137FA5" w:rsidRDefault="00331EB6" w:rsidP="002902D3">
            <w:pPr>
              <w:contextualSpacing/>
              <w:jc w:val="both"/>
              <w:rPr>
                <w:rFonts w:ascii="Times New Roman" w:hAnsi="Times New Roman" w:cs="Times New Roman"/>
                <w:i/>
              </w:rPr>
            </w:pPr>
          </w:p>
        </w:tc>
      </w:tr>
      <w:tr w:rsidR="00331EB6" w:rsidRPr="00137FA5" w:rsidTr="002902D3">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1.7. Reanimarea ședințelor de lucru cu sectorul asociativ pe domeniul achizițiilor publice</w:t>
            </w:r>
          </w:p>
        </w:tc>
        <w:tc>
          <w:tcPr>
            <w:tcW w:w="6852" w:type="dxa"/>
          </w:tcPr>
          <w:p w:rsidR="00331EB6" w:rsidRPr="001B17D7" w:rsidRDefault="00331EB6" w:rsidP="002902D3">
            <w:pPr>
              <w:contextualSpacing/>
              <w:jc w:val="both"/>
              <w:rPr>
                <w:rFonts w:ascii="Times New Roman" w:hAnsi="Times New Roman" w:cs="Times New Roman"/>
                <w:b/>
              </w:rPr>
            </w:pPr>
            <w:r w:rsidRPr="001B17D7">
              <w:rPr>
                <w:rFonts w:ascii="Times New Roman" w:hAnsi="Times New Roman" w:cs="Times New Roman"/>
                <w:b/>
              </w:rPr>
              <w:t>Acceptat</w:t>
            </w:r>
          </w:p>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 xml:space="preserve">Ministerul Finanțelor </w:t>
            </w:r>
            <w:r>
              <w:rPr>
                <w:rFonts w:ascii="Times New Roman" w:hAnsi="Times New Roman" w:cs="Times New Roman"/>
              </w:rPr>
              <w:t>va dezvolta instrumente/metodele de implicare a</w:t>
            </w:r>
            <w:r w:rsidRPr="00137FA5">
              <w:rPr>
                <w:rFonts w:ascii="Times New Roman" w:hAnsi="Times New Roman" w:cs="Times New Roman"/>
              </w:rPr>
              <w:t xml:space="preserve"> tuturor părților interesate în procesul </w:t>
            </w:r>
            <w:r>
              <w:rPr>
                <w:rFonts w:ascii="Times New Roman" w:hAnsi="Times New Roman" w:cs="Times New Roman"/>
              </w:rPr>
              <w:t>de consultare a p</w:t>
            </w:r>
            <w:r w:rsidR="00C6043A">
              <w:rPr>
                <w:rFonts w:ascii="Times New Roman" w:hAnsi="Times New Roman" w:cs="Times New Roman"/>
              </w:rPr>
              <w:t>roiectelor de decizii, inclusiv</w:t>
            </w:r>
            <w:r>
              <w:rPr>
                <w:rFonts w:ascii="Times New Roman" w:hAnsi="Times New Roman" w:cs="Times New Roman"/>
              </w:rPr>
              <w:t xml:space="preserve"> pe domeniul achizițiilor publice.</w:t>
            </w:r>
          </w:p>
        </w:tc>
      </w:tr>
      <w:tr w:rsidR="00331EB6" w:rsidRPr="00137FA5" w:rsidTr="002902D3">
        <w:tc>
          <w:tcPr>
            <w:tcW w:w="567" w:type="dxa"/>
            <w:vMerge/>
          </w:tcPr>
          <w:p w:rsidR="00331EB6" w:rsidRPr="00137FA5" w:rsidRDefault="00331EB6" w:rsidP="002902D3">
            <w:pPr>
              <w:contextualSpacing/>
              <w:rPr>
                <w:rFonts w:ascii="Times New Roman" w:hAnsi="Times New Roman" w:cs="Times New Roman"/>
              </w:rPr>
            </w:pPr>
          </w:p>
        </w:tc>
        <w:tc>
          <w:tcPr>
            <w:tcW w:w="2903" w:type="dxa"/>
            <w:vMerge/>
          </w:tcPr>
          <w:p w:rsidR="00331EB6" w:rsidRPr="00137FA5" w:rsidRDefault="00331EB6" w:rsidP="002902D3">
            <w:pPr>
              <w:contextualSpacing/>
              <w:rPr>
                <w:rFonts w:ascii="Times New Roman" w:hAnsi="Times New Roman" w:cs="Times New Roman"/>
              </w:rPr>
            </w:pPr>
          </w:p>
        </w:tc>
        <w:tc>
          <w:tcPr>
            <w:tcW w:w="4279" w:type="dxa"/>
          </w:tcPr>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1.8.</w:t>
            </w:r>
            <w:r w:rsidRPr="00137FA5">
              <w:rPr>
                <w:rFonts w:ascii="Times New Roman" w:hAnsi="Times New Roman" w:cs="Times New Roman"/>
                <w:shd w:val="clear" w:color="auto" w:fill="FFFFFF"/>
              </w:rPr>
              <w:t xml:space="preserve"> Consolidarea funcției de control din partea organelor statului, de exemplu realizat de către Inspecția Financiară, asupra procedurilor de achiziții publice</w:t>
            </w:r>
          </w:p>
        </w:tc>
        <w:tc>
          <w:tcPr>
            <w:tcW w:w="6852" w:type="dxa"/>
          </w:tcPr>
          <w:p w:rsidR="00331EB6" w:rsidRPr="00F249BF" w:rsidRDefault="00331EB6" w:rsidP="002902D3">
            <w:pPr>
              <w:contextualSpacing/>
              <w:jc w:val="both"/>
              <w:rPr>
                <w:rFonts w:ascii="Times New Roman" w:hAnsi="Times New Roman" w:cs="Times New Roman"/>
                <w:b/>
                <w:u w:val="single"/>
              </w:rPr>
            </w:pPr>
            <w:r w:rsidRPr="00F249BF">
              <w:rPr>
                <w:rFonts w:ascii="Times New Roman" w:hAnsi="Times New Roman" w:cs="Times New Roman"/>
                <w:b/>
                <w:u w:val="single"/>
              </w:rPr>
              <w:t>Acceptat</w:t>
            </w:r>
          </w:p>
          <w:p w:rsidR="00331EB6" w:rsidRPr="009859F1" w:rsidRDefault="00331EB6" w:rsidP="002902D3">
            <w:pPr>
              <w:contextualSpacing/>
              <w:jc w:val="both"/>
              <w:rPr>
                <w:rFonts w:ascii="Times New Roman" w:hAnsi="Times New Roman" w:cs="Times New Roman"/>
              </w:rPr>
            </w:pPr>
            <w:r w:rsidRPr="00F249BF">
              <w:rPr>
                <w:rFonts w:ascii="Times New Roman" w:hAnsi="Times New Roman" w:cs="Times New Roman"/>
              </w:rPr>
              <w:t xml:space="preserve">Propunerea corespunde </w:t>
            </w:r>
            <w:r w:rsidR="00C6043A">
              <w:rPr>
                <w:rFonts w:ascii="Times New Roman" w:hAnsi="Times New Roman" w:cs="Times New Roman"/>
              </w:rPr>
              <w:t xml:space="preserve">obiectivului propus în </w:t>
            </w:r>
            <w:r w:rsidR="00A3584B">
              <w:rPr>
                <w:rFonts w:ascii="Times New Roman" w:hAnsi="Times New Roman" w:cs="Times New Roman"/>
              </w:rPr>
              <w:t xml:space="preserve">proiectul </w:t>
            </w:r>
            <w:r w:rsidR="00C6043A">
              <w:rPr>
                <w:rFonts w:ascii="Times New Roman" w:hAnsi="Times New Roman" w:cs="Times New Roman"/>
              </w:rPr>
              <w:t>Planul</w:t>
            </w:r>
            <w:r w:rsidR="00A3584B">
              <w:rPr>
                <w:rFonts w:ascii="Times New Roman" w:hAnsi="Times New Roman" w:cs="Times New Roman"/>
              </w:rPr>
              <w:t>ui</w:t>
            </w:r>
            <w:r w:rsidR="00C6043A">
              <w:rPr>
                <w:rFonts w:ascii="Times New Roman" w:hAnsi="Times New Roman" w:cs="Times New Roman"/>
              </w:rPr>
              <w:t xml:space="preserve"> </w:t>
            </w:r>
            <w:r w:rsidRPr="00F249BF">
              <w:rPr>
                <w:rFonts w:ascii="Times New Roman" w:hAnsi="Times New Roman" w:cs="Times New Roman"/>
              </w:rPr>
              <w:t xml:space="preserve">de acțiuni al Guvernului pentru anii 2021-2022, care se regăsește în </w:t>
            </w:r>
            <w:r w:rsidR="00C6043A" w:rsidRPr="009859F1">
              <w:rPr>
                <w:rFonts w:ascii="Times New Roman" w:hAnsi="Times New Roman" w:cs="Times New Roman"/>
              </w:rPr>
              <w:t xml:space="preserve">Capitolul </w:t>
            </w:r>
            <w:r w:rsidRPr="009859F1">
              <w:rPr>
                <w:rFonts w:ascii="Times New Roman" w:hAnsi="Times New Roman" w:cs="Times New Roman"/>
              </w:rPr>
              <w:t>X</w:t>
            </w:r>
            <w:r w:rsidR="00C6043A" w:rsidRPr="009859F1">
              <w:rPr>
                <w:rFonts w:ascii="Times New Roman" w:hAnsi="Times New Roman" w:cs="Times New Roman"/>
              </w:rPr>
              <w:t>III</w:t>
            </w:r>
            <w:r w:rsidRPr="009859F1">
              <w:rPr>
                <w:rFonts w:ascii="Times New Roman" w:hAnsi="Times New Roman" w:cs="Times New Roman"/>
              </w:rPr>
              <w:t>. FINANȚE PUBLICE, acțiunea:</w:t>
            </w:r>
          </w:p>
          <w:p w:rsidR="00331EB6" w:rsidRDefault="00331EB6" w:rsidP="002902D3">
            <w:pPr>
              <w:contextualSpacing/>
              <w:jc w:val="both"/>
              <w:rPr>
                <w:rFonts w:ascii="Times New Roman" w:hAnsi="Times New Roman" w:cs="Times New Roman"/>
              </w:rPr>
            </w:pPr>
            <w:r w:rsidRPr="00F249BF">
              <w:rPr>
                <w:rFonts w:ascii="Times New Roman" w:hAnsi="Times New Roman" w:cs="Times New Roman"/>
                <w:i/>
              </w:rPr>
              <w:t>- Definitivarea și aprobarea proiectului de act normativ cu privire la Inspecția F</w:t>
            </w:r>
            <w:r w:rsidR="00C6043A">
              <w:rPr>
                <w:rFonts w:ascii="Times New Roman" w:hAnsi="Times New Roman" w:cs="Times New Roman"/>
                <w:i/>
              </w:rPr>
              <w:t>inanciară</w:t>
            </w:r>
            <w:r>
              <w:rPr>
                <w:rFonts w:ascii="Times New Roman" w:hAnsi="Times New Roman" w:cs="Times New Roman"/>
              </w:rPr>
              <w:t>.</w:t>
            </w:r>
          </w:p>
          <w:p w:rsidR="00331EB6" w:rsidRPr="00137FA5" w:rsidRDefault="00331EB6" w:rsidP="002902D3">
            <w:pPr>
              <w:contextualSpacing/>
              <w:jc w:val="both"/>
              <w:rPr>
                <w:rFonts w:ascii="Times New Roman" w:hAnsi="Times New Roman" w:cs="Times New Roman"/>
              </w:rPr>
            </w:pPr>
          </w:p>
        </w:tc>
      </w:tr>
      <w:tr w:rsidR="00331EB6" w:rsidRPr="00137FA5" w:rsidTr="002902D3">
        <w:tc>
          <w:tcPr>
            <w:tcW w:w="567" w:type="dxa"/>
          </w:tcPr>
          <w:p w:rsidR="00331EB6" w:rsidRPr="00137FA5" w:rsidRDefault="00331EB6" w:rsidP="002902D3">
            <w:pPr>
              <w:contextualSpacing/>
              <w:rPr>
                <w:rFonts w:ascii="Times New Roman" w:hAnsi="Times New Roman" w:cs="Times New Roman"/>
              </w:rPr>
            </w:pPr>
            <w:r w:rsidRPr="00137FA5">
              <w:rPr>
                <w:rFonts w:ascii="Times New Roman" w:hAnsi="Times New Roman" w:cs="Times New Roman"/>
              </w:rPr>
              <w:t>6.</w:t>
            </w:r>
          </w:p>
        </w:tc>
        <w:tc>
          <w:tcPr>
            <w:tcW w:w="2903" w:type="dxa"/>
          </w:tcPr>
          <w:p w:rsidR="00331EB6" w:rsidRPr="00137FA5" w:rsidRDefault="00331EB6" w:rsidP="002902D3">
            <w:pPr>
              <w:contextualSpacing/>
              <w:rPr>
                <w:rStyle w:val="Strong"/>
                <w:rFonts w:ascii="Times New Roman" w:hAnsi="Times New Roman" w:cs="Times New Roman"/>
                <w:b w:val="0"/>
                <w:shd w:val="clear" w:color="auto" w:fill="FFFFFF"/>
              </w:rPr>
            </w:pPr>
            <w:r w:rsidRPr="00137FA5">
              <w:rPr>
                <w:rStyle w:val="Strong"/>
                <w:rFonts w:ascii="Times New Roman" w:hAnsi="Times New Roman" w:cs="Times New Roman"/>
                <w:shd w:val="clear" w:color="auto" w:fill="FFFFFF"/>
              </w:rPr>
              <w:t xml:space="preserve">Dna Tatiana Savva </w:t>
            </w:r>
          </w:p>
          <w:p w:rsidR="00331EB6" w:rsidRPr="00137FA5" w:rsidRDefault="00331EB6" w:rsidP="002902D3">
            <w:pPr>
              <w:contextualSpacing/>
              <w:rPr>
                <w:rFonts w:ascii="Times New Roman" w:hAnsi="Times New Roman" w:cs="Times New Roman"/>
                <w:b/>
              </w:rPr>
            </w:pPr>
            <w:r w:rsidRPr="00137FA5">
              <w:rPr>
                <w:rStyle w:val="Strong"/>
                <w:rFonts w:ascii="Times New Roman" w:hAnsi="Times New Roman" w:cs="Times New Roman"/>
                <w:shd w:val="clear" w:color="auto" w:fill="FFFFFF"/>
              </w:rPr>
              <w:t xml:space="preserve">Centru Analitic </w:t>
            </w:r>
            <w:r w:rsidRPr="00137FA5">
              <w:rPr>
                <w:rStyle w:val="Strong"/>
                <w:rFonts w:ascii="Times New Roman" w:hAnsi="Times New Roman" w:cs="Times New Roman"/>
                <w:i/>
                <w:shd w:val="clear" w:color="auto" w:fill="FFFFFF"/>
              </w:rPr>
              <w:t xml:space="preserve">Independent </w:t>
            </w:r>
            <w:r w:rsidRPr="00137FA5">
              <w:rPr>
                <w:rFonts w:ascii="Times New Roman" w:hAnsi="Times New Roman" w:cs="Times New Roman"/>
                <w:i/>
                <w:shd w:val="clear" w:color="auto" w:fill="FFFFFF"/>
              </w:rPr>
              <w:t>„</w:t>
            </w:r>
            <w:r w:rsidRPr="00137FA5">
              <w:rPr>
                <w:rStyle w:val="Strong"/>
                <w:rFonts w:ascii="Times New Roman" w:hAnsi="Times New Roman" w:cs="Times New Roman"/>
                <w:i/>
                <w:shd w:val="clear" w:color="auto" w:fill="FFFFFF"/>
              </w:rPr>
              <w:t>Expert Grup</w:t>
            </w:r>
            <w:r w:rsidRPr="00137FA5">
              <w:rPr>
                <w:rFonts w:ascii="Times New Roman" w:hAnsi="Times New Roman" w:cs="Times New Roman"/>
                <w:i/>
                <w:shd w:val="clear" w:color="auto" w:fill="FFFFFF"/>
              </w:rPr>
              <w:t>”</w:t>
            </w:r>
          </w:p>
        </w:tc>
        <w:tc>
          <w:tcPr>
            <w:tcW w:w="4279" w:type="dxa"/>
          </w:tcPr>
          <w:p w:rsidR="00331EB6" w:rsidRPr="00137FA5" w:rsidRDefault="00331EB6" w:rsidP="002902D3">
            <w:pPr>
              <w:contextualSpacing/>
              <w:jc w:val="both"/>
              <w:rPr>
                <w:rFonts w:ascii="Times New Roman" w:hAnsi="Times New Roman" w:cs="Times New Roman"/>
              </w:rPr>
            </w:pPr>
            <w:r w:rsidRPr="00137FA5">
              <w:rPr>
                <w:rFonts w:ascii="Times New Roman" w:hAnsi="Times New Roman" w:cs="Times New Roman"/>
              </w:rPr>
              <w:t>1.1.</w:t>
            </w:r>
            <w:r w:rsidRPr="00137FA5">
              <w:rPr>
                <w:rFonts w:ascii="Times New Roman" w:hAnsi="Times New Roman" w:cs="Times New Roman"/>
                <w:shd w:val="clear" w:color="auto" w:fill="FFFFFF"/>
              </w:rPr>
              <w:t xml:space="preserve"> Raționalizarea cheltuielilor publice</w:t>
            </w:r>
          </w:p>
        </w:tc>
        <w:tc>
          <w:tcPr>
            <w:tcW w:w="6852" w:type="dxa"/>
          </w:tcPr>
          <w:p w:rsidR="00331EB6" w:rsidRPr="00137FA5" w:rsidRDefault="00331EB6" w:rsidP="002902D3">
            <w:pPr>
              <w:contextualSpacing/>
              <w:rPr>
                <w:rFonts w:ascii="Times New Roman" w:hAnsi="Times New Roman" w:cs="Times New Roman"/>
                <w:b/>
                <w:u w:val="single"/>
              </w:rPr>
            </w:pPr>
            <w:r w:rsidRPr="00137FA5">
              <w:rPr>
                <w:rFonts w:ascii="Times New Roman" w:hAnsi="Times New Roman" w:cs="Times New Roman"/>
                <w:b/>
                <w:u w:val="single"/>
              </w:rPr>
              <w:t>Acceptat</w:t>
            </w:r>
          </w:p>
          <w:p w:rsidR="00D97EEA" w:rsidRDefault="00D97EEA" w:rsidP="00D97EEA">
            <w:pPr>
              <w:contextualSpacing/>
              <w:jc w:val="both"/>
              <w:rPr>
                <w:rFonts w:ascii="Times New Roman" w:hAnsi="Times New Roman" w:cs="Times New Roman"/>
              </w:rPr>
            </w:pPr>
            <w:r w:rsidRPr="00F249BF">
              <w:rPr>
                <w:rFonts w:ascii="Times New Roman" w:hAnsi="Times New Roman" w:cs="Times New Roman"/>
              </w:rPr>
              <w:t xml:space="preserve">Propunerea corespunde </w:t>
            </w:r>
            <w:r>
              <w:rPr>
                <w:rFonts w:ascii="Times New Roman" w:hAnsi="Times New Roman" w:cs="Times New Roman"/>
              </w:rPr>
              <w:t xml:space="preserve">obiectivelor propuse în </w:t>
            </w:r>
            <w:r w:rsidR="00A3584B">
              <w:rPr>
                <w:rFonts w:ascii="Times New Roman" w:hAnsi="Times New Roman" w:cs="Times New Roman"/>
              </w:rPr>
              <w:t xml:space="preserve">proiectul </w:t>
            </w:r>
            <w:r>
              <w:rPr>
                <w:rFonts w:ascii="Times New Roman" w:hAnsi="Times New Roman" w:cs="Times New Roman"/>
              </w:rPr>
              <w:t>Planul</w:t>
            </w:r>
            <w:r w:rsidR="00A3584B">
              <w:rPr>
                <w:rFonts w:ascii="Times New Roman" w:hAnsi="Times New Roman" w:cs="Times New Roman"/>
              </w:rPr>
              <w:t>ui</w:t>
            </w:r>
            <w:bookmarkStart w:id="0" w:name="_GoBack"/>
            <w:bookmarkEnd w:id="0"/>
            <w:r>
              <w:rPr>
                <w:rFonts w:ascii="Times New Roman" w:hAnsi="Times New Roman" w:cs="Times New Roman"/>
              </w:rPr>
              <w:t xml:space="preserve"> </w:t>
            </w:r>
            <w:r w:rsidRPr="00F249BF">
              <w:rPr>
                <w:rFonts w:ascii="Times New Roman" w:hAnsi="Times New Roman" w:cs="Times New Roman"/>
              </w:rPr>
              <w:t>de acțiuni al Guvernului pentru anii 2021-2022, care se regăsește</w:t>
            </w:r>
            <w:r w:rsidR="009859F1">
              <w:rPr>
                <w:rFonts w:ascii="Times New Roman" w:hAnsi="Times New Roman" w:cs="Times New Roman"/>
              </w:rPr>
              <w:t xml:space="preserve"> în</w:t>
            </w:r>
            <w:r>
              <w:rPr>
                <w:rFonts w:ascii="Times New Roman" w:hAnsi="Times New Roman" w:cs="Times New Roman"/>
              </w:rPr>
              <w:t>:</w:t>
            </w:r>
          </w:p>
          <w:p w:rsidR="00D97EEA" w:rsidRPr="00F249BF" w:rsidRDefault="00D97EEA" w:rsidP="00D97EEA">
            <w:pPr>
              <w:contextualSpacing/>
              <w:jc w:val="both"/>
              <w:rPr>
                <w:rFonts w:ascii="Times New Roman" w:hAnsi="Times New Roman" w:cs="Times New Roman"/>
              </w:rPr>
            </w:pPr>
            <w:r>
              <w:rPr>
                <w:rFonts w:ascii="Times New Roman" w:hAnsi="Times New Roman" w:cs="Times New Roman"/>
              </w:rPr>
              <w:t>-</w:t>
            </w:r>
            <w:r w:rsidR="009859F1">
              <w:rPr>
                <w:rFonts w:ascii="Times New Roman" w:hAnsi="Times New Roman" w:cs="Times New Roman"/>
              </w:rPr>
              <w:t xml:space="preserve"> </w:t>
            </w:r>
            <w:r w:rsidRPr="009859F1">
              <w:rPr>
                <w:rFonts w:ascii="Times New Roman" w:hAnsi="Times New Roman" w:cs="Times New Roman"/>
              </w:rPr>
              <w:t>Capitolul X. SĂNĂTATE</w:t>
            </w:r>
            <w:r>
              <w:rPr>
                <w:rFonts w:ascii="Times New Roman" w:hAnsi="Times New Roman" w:cs="Times New Roman"/>
              </w:rPr>
              <w:t xml:space="preserve">, acțiunea: </w:t>
            </w:r>
            <w:r w:rsidRPr="009859F1">
              <w:rPr>
                <w:rFonts w:ascii="Times New Roman" w:hAnsi="Times New Roman" w:cs="Times New Roman"/>
                <w:i/>
              </w:rPr>
              <w:t>Realizarea exercițiului privind raționalizarea cheltuielilor în sistemul de sănătate</w:t>
            </w:r>
            <w:r w:rsidR="009859F1">
              <w:rPr>
                <w:rFonts w:ascii="Times New Roman" w:hAnsi="Times New Roman" w:cs="Times New Roman"/>
                <w:i/>
              </w:rPr>
              <w:t>;</w:t>
            </w:r>
          </w:p>
          <w:p w:rsidR="00331EB6" w:rsidRPr="009859F1" w:rsidRDefault="009859F1" w:rsidP="002902D3">
            <w:pPr>
              <w:contextualSpacing/>
              <w:jc w:val="both"/>
              <w:rPr>
                <w:rFonts w:ascii="Times New Roman" w:hAnsi="Times New Roman" w:cs="Times New Roman"/>
              </w:rPr>
            </w:pPr>
            <w:r>
              <w:rPr>
                <w:rFonts w:ascii="Times New Roman" w:hAnsi="Times New Roman" w:cs="Times New Roman"/>
              </w:rPr>
              <w:t xml:space="preserve">- </w:t>
            </w:r>
            <w:r w:rsidR="00D97EEA" w:rsidRPr="009859F1">
              <w:rPr>
                <w:rFonts w:ascii="Times New Roman" w:hAnsi="Times New Roman" w:cs="Times New Roman"/>
              </w:rPr>
              <w:t>Capitolul XIII. FINANȚE PUBLICE</w:t>
            </w:r>
            <w:r w:rsidR="00D97EEA" w:rsidRPr="00F249BF">
              <w:rPr>
                <w:rFonts w:ascii="Times New Roman" w:hAnsi="Times New Roman" w:cs="Times New Roman"/>
                <w:i/>
              </w:rPr>
              <w:t>,</w:t>
            </w:r>
            <w:r>
              <w:rPr>
                <w:rFonts w:ascii="Times New Roman" w:hAnsi="Times New Roman" w:cs="Times New Roman"/>
              </w:rPr>
              <w:t xml:space="preserve"> acțiunea: </w:t>
            </w:r>
            <w:r w:rsidRPr="009859F1">
              <w:rPr>
                <w:rFonts w:ascii="Times New Roman" w:hAnsi="Times New Roman" w:cs="Times New Roman"/>
                <w:i/>
              </w:rPr>
              <w:t>Definitivarea Raportului privind procesul de raționalizare a cheltuielilor în sectorul agriculturii</w:t>
            </w:r>
            <w:r>
              <w:rPr>
                <w:rFonts w:ascii="Times New Roman" w:hAnsi="Times New Roman" w:cs="Times New Roman"/>
              </w:rPr>
              <w:t>.</w:t>
            </w:r>
          </w:p>
        </w:tc>
      </w:tr>
    </w:tbl>
    <w:p w:rsidR="00331EB6" w:rsidRPr="00331EB6" w:rsidRDefault="00331EB6" w:rsidP="00331EB6"/>
    <w:sectPr w:rsidR="00331EB6" w:rsidRPr="00331EB6" w:rsidSect="00331EB6">
      <w:footerReference w:type="default" r:id="rId6"/>
      <w:pgSz w:w="16838" w:h="11906" w:orient="landscape"/>
      <w:pgMar w:top="864"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C6B" w:rsidRDefault="001B0C6B" w:rsidP="009859F1">
      <w:pPr>
        <w:spacing w:after="0" w:line="240" w:lineRule="auto"/>
      </w:pPr>
      <w:r>
        <w:separator/>
      </w:r>
    </w:p>
  </w:endnote>
  <w:endnote w:type="continuationSeparator" w:id="0">
    <w:p w:rsidR="001B0C6B" w:rsidRDefault="001B0C6B" w:rsidP="0098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257417"/>
      <w:docPartObj>
        <w:docPartGallery w:val="Page Numbers (Bottom of Page)"/>
        <w:docPartUnique/>
      </w:docPartObj>
    </w:sdtPr>
    <w:sdtEndPr>
      <w:rPr>
        <w:noProof/>
      </w:rPr>
    </w:sdtEndPr>
    <w:sdtContent>
      <w:p w:rsidR="009859F1" w:rsidRDefault="009859F1">
        <w:pPr>
          <w:pStyle w:val="Footer"/>
          <w:jc w:val="right"/>
        </w:pPr>
        <w:r>
          <w:fldChar w:fldCharType="begin"/>
        </w:r>
        <w:r>
          <w:instrText xml:space="preserve"> PAGE   \* MERGEFORMAT </w:instrText>
        </w:r>
        <w:r>
          <w:fldChar w:fldCharType="separate"/>
        </w:r>
        <w:r w:rsidR="00D63B9E">
          <w:rPr>
            <w:noProof/>
          </w:rPr>
          <w:t>5</w:t>
        </w:r>
        <w:r>
          <w:rPr>
            <w:noProof/>
          </w:rPr>
          <w:fldChar w:fldCharType="end"/>
        </w:r>
      </w:p>
    </w:sdtContent>
  </w:sdt>
  <w:p w:rsidR="009859F1" w:rsidRDefault="0098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C6B" w:rsidRDefault="001B0C6B" w:rsidP="009859F1">
      <w:pPr>
        <w:spacing w:after="0" w:line="240" w:lineRule="auto"/>
      </w:pPr>
      <w:r>
        <w:separator/>
      </w:r>
    </w:p>
  </w:footnote>
  <w:footnote w:type="continuationSeparator" w:id="0">
    <w:p w:rsidR="001B0C6B" w:rsidRDefault="001B0C6B" w:rsidP="009859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DB"/>
    <w:rsid w:val="00091EDB"/>
    <w:rsid w:val="00130454"/>
    <w:rsid w:val="001B0C6B"/>
    <w:rsid w:val="00293DEC"/>
    <w:rsid w:val="00331EB6"/>
    <w:rsid w:val="0047108B"/>
    <w:rsid w:val="009638DC"/>
    <w:rsid w:val="009859F1"/>
    <w:rsid w:val="00A3584B"/>
    <w:rsid w:val="00A41877"/>
    <w:rsid w:val="00C6043A"/>
    <w:rsid w:val="00D63B9E"/>
    <w:rsid w:val="00D9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DA39"/>
  <w15:chartTrackingRefBased/>
  <w15:docId w15:val="{CE0A712B-5536-4A00-8452-1CAE8DE3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E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E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1EB6"/>
    <w:rPr>
      <w:b/>
      <w:bCs/>
    </w:rPr>
  </w:style>
  <w:style w:type="paragraph" w:styleId="ListParagraph">
    <w:name w:val="List Paragraph"/>
    <w:basedOn w:val="Normal"/>
    <w:uiPriority w:val="34"/>
    <w:qFormat/>
    <w:rsid w:val="009859F1"/>
    <w:pPr>
      <w:ind w:left="720"/>
      <w:contextualSpacing/>
    </w:pPr>
  </w:style>
  <w:style w:type="paragraph" w:styleId="Header">
    <w:name w:val="header"/>
    <w:basedOn w:val="Normal"/>
    <w:link w:val="HeaderChar"/>
    <w:uiPriority w:val="99"/>
    <w:unhideWhenUsed/>
    <w:rsid w:val="009859F1"/>
    <w:pPr>
      <w:tabs>
        <w:tab w:val="center" w:pos="4677"/>
        <w:tab w:val="right" w:pos="9355"/>
      </w:tabs>
      <w:spacing w:after="0" w:line="240" w:lineRule="auto"/>
    </w:pPr>
  </w:style>
  <w:style w:type="character" w:customStyle="1" w:styleId="HeaderChar">
    <w:name w:val="Header Char"/>
    <w:basedOn w:val="DefaultParagraphFont"/>
    <w:link w:val="Header"/>
    <w:uiPriority w:val="99"/>
    <w:rsid w:val="009859F1"/>
    <w:rPr>
      <w:lang w:val="en-US"/>
    </w:rPr>
  </w:style>
  <w:style w:type="paragraph" w:styleId="Footer">
    <w:name w:val="footer"/>
    <w:basedOn w:val="Normal"/>
    <w:link w:val="FooterChar"/>
    <w:uiPriority w:val="99"/>
    <w:unhideWhenUsed/>
    <w:rsid w:val="009859F1"/>
    <w:pPr>
      <w:tabs>
        <w:tab w:val="center" w:pos="4677"/>
        <w:tab w:val="right" w:pos="9355"/>
      </w:tabs>
      <w:spacing w:after="0" w:line="240" w:lineRule="auto"/>
    </w:pPr>
  </w:style>
  <w:style w:type="character" w:customStyle="1" w:styleId="FooterChar">
    <w:name w:val="Footer Char"/>
    <w:basedOn w:val="DefaultParagraphFont"/>
    <w:link w:val="Footer"/>
    <w:uiPriority w:val="99"/>
    <w:rsid w:val="009859F1"/>
    <w:rPr>
      <w:lang w:val="en-US"/>
    </w:rPr>
  </w:style>
  <w:style w:type="paragraph" w:styleId="BalloonText">
    <w:name w:val="Balloon Text"/>
    <w:basedOn w:val="Normal"/>
    <w:link w:val="BalloonTextChar"/>
    <w:uiPriority w:val="99"/>
    <w:semiHidden/>
    <w:unhideWhenUsed/>
    <w:rsid w:val="00963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8D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Bodrug, Tatiana</dc:creator>
  <cp:keywords/>
  <dc:description/>
  <cp:lastModifiedBy>Galina Damian</cp:lastModifiedBy>
  <cp:revision>2</cp:revision>
  <cp:lastPrinted>2021-10-19T07:47:00Z</cp:lastPrinted>
  <dcterms:created xsi:type="dcterms:W3CDTF">2021-10-19T07:48:00Z</dcterms:created>
  <dcterms:modified xsi:type="dcterms:W3CDTF">2021-10-19T07:48:00Z</dcterms:modified>
</cp:coreProperties>
</file>