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314" w:rsidRDefault="00923314" w:rsidP="00C30DC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en-US" w:eastAsia="ru-RU"/>
        </w:rPr>
      </w:pPr>
    </w:p>
    <w:p w:rsidR="00FD7180" w:rsidRPr="00923314" w:rsidRDefault="00FD7180" w:rsidP="00C30DC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en-US" w:eastAsia="ru-RU"/>
        </w:rPr>
      </w:pPr>
      <w:r w:rsidRPr="00923314">
        <w:rPr>
          <w:rFonts w:ascii="Times New Roman" w:eastAsia="Calibri" w:hAnsi="Times New Roman" w:cs="Times New Roman"/>
          <w:b/>
          <w:sz w:val="26"/>
          <w:szCs w:val="26"/>
          <w:lang w:val="en-US" w:eastAsia="ru-RU"/>
        </w:rPr>
        <w:t>NOTĂ INFORMATIVĂ</w:t>
      </w:r>
    </w:p>
    <w:p w:rsidR="00FD7180" w:rsidRPr="00923314" w:rsidRDefault="00FD7180" w:rsidP="00C30DC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r w:rsidRPr="00923314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la proiectul hotărîrii Guvernului</w:t>
      </w:r>
    </w:p>
    <w:p w:rsidR="00FD7180" w:rsidRPr="00CE0071" w:rsidRDefault="00FD7180" w:rsidP="00C30DC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r w:rsidRPr="00CE007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„Cu privire la alocarea mijloacelor financiare”</w:t>
      </w:r>
    </w:p>
    <w:p w:rsidR="00966BF5" w:rsidRPr="00CE0071" w:rsidRDefault="00966BF5" w:rsidP="00535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tbl>
      <w:tblPr>
        <w:tblW w:w="519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65"/>
      </w:tblGrid>
      <w:tr w:rsidR="00FD7180" w:rsidRPr="00923314" w:rsidTr="000F6E9B">
        <w:tc>
          <w:tcPr>
            <w:tcW w:w="5000" w:type="pct"/>
          </w:tcPr>
          <w:p w:rsidR="0076158E" w:rsidRPr="00CE0071" w:rsidRDefault="005806FB" w:rsidP="005806FB">
            <w:pPr>
              <w:tabs>
                <w:tab w:val="left" w:pos="284"/>
                <w:tab w:val="left" w:pos="11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E0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1. </w:t>
            </w:r>
            <w:r w:rsidR="00FD7180" w:rsidRPr="00CE0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Denumirea autorului şi, după caz, a participanţilor la elaborarea proiectului</w:t>
            </w:r>
          </w:p>
          <w:p w:rsidR="00F20A50" w:rsidRPr="00CE0071" w:rsidRDefault="00F20A50" w:rsidP="00F20A50">
            <w:pPr>
              <w:tabs>
                <w:tab w:val="left" w:pos="284"/>
                <w:tab w:val="left" w:pos="1196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FD7180" w:rsidRPr="00923314" w:rsidTr="000F6E9B">
        <w:tc>
          <w:tcPr>
            <w:tcW w:w="5000" w:type="pct"/>
          </w:tcPr>
          <w:p w:rsidR="00966BF5" w:rsidRPr="00CE0071" w:rsidRDefault="005806FB" w:rsidP="00535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E00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</w:t>
            </w:r>
            <w:r w:rsidR="00FD7180" w:rsidRPr="00CE00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Proiectul hotărârii Guvernului „Cu privire la alocarea mijloacelor financiare”</w:t>
            </w:r>
            <w:r w:rsidR="00BD0DF6" w:rsidRPr="00CE00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FD7180" w:rsidRPr="00CE00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(în continuare – proiect) este elaborat de Ministerul Finanțelor.</w:t>
            </w:r>
          </w:p>
          <w:p w:rsidR="00535A49" w:rsidRPr="00CE0071" w:rsidRDefault="00535A49" w:rsidP="00535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D7180" w:rsidRPr="00923314" w:rsidTr="000F6E9B">
        <w:tc>
          <w:tcPr>
            <w:tcW w:w="5000" w:type="pct"/>
          </w:tcPr>
          <w:p w:rsidR="00FD7180" w:rsidRPr="00CE0071" w:rsidRDefault="00FD7180" w:rsidP="00535A49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E0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2. Condițiile ce au impus elaborarea proiectului de act normativ şi finalitățile urmărite</w:t>
            </w:r>
          </w:p>
        </w:tc>
      </w:tr>
      <w:tr w:rsidR="00FD7180" w:rsidRPr="00923314" w:rsidTr="000F6E9B">
        <w:tc>
          <w:tcPr>
            <w:tcW w:w="5000" w:type="pct"/>
          </w:tcPr>
          <w:p w:rsidR="00966BF5" w:rsidRPr="00CE0071" w:rsidRDefault="00FD7180" w:rsidP="00535A49">
            <w:pPr>
              <w:tabs>
                <w:tab w:val="left" w:pos="108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E00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Proiectul prenotat este elaborat în contextul susținerii persoanelor angajate din domeniul apărării, </w:t>
            </w:r>
            <w:r w:rsidR="009A2D5A" w:rsidRPr="00CE00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domeniul afacerilor interne, </w:t>
            </w:r>
            <w:r w:rsidR="008B7F56" w:rsidRPr="00CE00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al instituțiilor medico-sanitare publice spitalicești, de asistență medicală urgentă prespitalicească, de asistență medicală primară </w:t>
            </w:r>
            <w:r w:rsidRPr="00CE00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și altor autorități/instituții bugetare care au contractat infecția COVID-19 în timpul exercitării atribuțiilor de serviciu. </w:t>
            </w:r>
          </w:p>
          <w:p w:rsidR="00535A49" w:rsidRPr="00CE0071" w:rsidRDefault="00535A49" w:rsidP="00535A49">
            <w:pPr>
              <w:tabs>
                <w:tab w:val="left" w:pos="1080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D7180" w:rsidRPr="00923314" w:rsidTr="000F6E9B">
        <w:tc>
          <w:tcPr>
            <w:tcW w:w="5000" w:type="pct"/>
          </w:tcPr>
          <w:p w:rsidR="0076158E" w:rsidRPr="00CE0071" w:rsidRDefault="00FD7180" w:rsidP="00535A49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E0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3. Descrierea gradului de compatibilitate pentru proiectele care au ca scop armonizarea legislaţiei naţionale cu legislaţia Uniunii Europene</w:t>
            </w:r>
          </w:p>
          <w:p w:rsidR="00535A49" w:rsidRPr="00CE0071" w:rsidRDefault="00535A49" w:rsidP="00535A49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FD7180" w:rsidRPr="00923314" w:rsidTr="000F6E9B">
        <w:tc>
          <w:tcPr>
            <w:tcW w:w="5000" w:type="pct"/>
          </w:tcPr>
          <w:p w:rsidR="00966BF5" w:rsidRPr="00CE0071" w:rsidRDefault="00FD7180" w:rsidP="00535A4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en-US" w:eastAsia="ro-RO"/>
              </w:rPr>
            </w:pPr>
            <w:r w:rsidRPr="00CE0071">
              <w:rPr>
                <w:rFonts w:ascii="Times New Roman" w:eastAsiaTheme="minorEastAsia" w:hAnsi="Times New Roman"/>
                <w:sz w:val="24"/>
                <w:szCs w:val="24"/>
                <w:lang w:val="en-US" w:eastAsia="ro-RO"/>
              </w:rPr>
              <w:t xml:space="preserve">     Prezentul proiect de hotărâre nu contravine legislației UE. </w:t>
            </w:r>
          </w:p>
          <w:p w:rsidR="00C30DCC" w:rsidRPr="00CE0071" w:rsidRDefault="00C30DCC" w:rsidP="00535A4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en-US" w:eastAsia="ro-RO"/>
              </w:rPr>
            </w:pPr>
          </w:p>
        </w:tc>
      </w:tr>
      <w:tr w:rsidR="00FD7180" w:rsidRPr="00923314" w:rsidTr="000F6E9B">
        <w:tc>
          <w:tcPr>
            <w:tcW w:w="5000" w:type="pct"/>
          </w:tcPr>
          <w:p w:rsidR="004B47FE" w:rsidRPr="00CE0071" w:rsidRDefault="00FD7180" w:rsidP="00535A49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E0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4. Principalele prevederi ale proiectului şi evidenţierea elementelor noi</w:t>
            </w:r>
          </w:p>
          <w:p w:rsidR="00535A49" w:rsidRPr="00CE0071" w:rsidRDefault="00535A49" w:rsidP="00535A49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9D3CDF" w:rsidRPr="00923314" w:rsidTr="000F6E9B">
        <w:tc>
          <w:tcPr>
            <w:tcW w:w="5000" w:type="pct"/>
          </w:tcPr>
          <w:p w:rsidR="00866D1F" w:rsidRPr="00CE0071" w:rsidRDefault="00FD7180" w:rsidP="00535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E00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Proiectul dat este elaborat în</w:t>
            </w:r>
            <w:r w:rsidR="000B7F5B" w:rsidRPr="00CE00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baza prevederilor Dispoziției</w:t>
            </w:r>
            <w:r w:rsidRPr="00CE00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Comisiei pentru Situații Excepționale nr.17 </w:t>
            </w:r>
            <w:r w:rsidR="00FC0EE7" w:rsidRPr="00CE00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din 13 aprilie 2020</w:t>
            </w:r>
            <w:r w:rsidR="00975098" w:rsidRPr="00CE00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="00866D1F" w:rsidRPr="00CE00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art.VI alin.(1)</w:t>
            </w:r>
            <w:r w:rsidR="00975098" w:rsidRPr="00CE00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și art.VI</w:t>
            </w:r>
            <w:r w:rsidR="00975098" w:rsidRPr="00CE00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1</w:t>
            </w:r>
            <w:r w:rsidR="00866D1F" w:rsidRPr="00CE00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din Legea nr.69/2020</w:t>
            </w:r>
            <w:r w:rsidR="004B47FE" w:rsidRPr="00CE00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cu privire la instituirea unor măsuri pe perioada stării de urgență în sănătate publică</w:t>
            </w:r>
            <w:r w:rsidR="00866D1F" w:rsidRPr="00CE00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="004B47FE" w:rsidRPr="00CE00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care stabilesc</w:t>
            </w:r>
            <w:r w:rsidR="00503DA1" w:rsidRPr="00CE00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4B47FE" w:rsidRPr="00CE00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achitarea unei indemnizații unice</w:t>
            </w:r>
            <w:r w:rsidR="00866D1F" w:rsidRPr="00CE00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în mărime de 16 000 de lei</w:t>
            </w:r>
            <w:r w:rsidR="00D22B63" w:rsidRPr="00CE00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conform art. VI</w:t>
            </w:r>
            <w:r w:rsidR="00866D1F" w:rsidRPr="00CE00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866D1F" w:rsidRPr="00CE0071" w:rsidRDefault="00866D1F" w:rsidP="00535A4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E00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a) angajaţilor infectaţi cu COVID-19 ai Agenţiei Naţionale de Sănătate Publică, ai instituţiilor/subdiviziunilor medicale din cadrul Ministerului Afacerilor Interne, al Ministerului Apărării, al Administraţiei Naţionale a Penitenciarelor, al instituţiilor medico-sanitare publice spitaliceşti, de asistenţă medicală urgentă prespitalicească, de asistenţă medicală primară;</w:t>
            </w:r>
          </w:p>
          <w:p w:rsidR="00052906" w:rsidRPr="00CE0071" w:rsidRDefault="00866D1F" w:rsidP="00097261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E00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b) angajaţilor altor autorităţi/instituţii bugetare şi instituţii medico-sanitare publice care s-au infectat cu COVID-19 în timpul exercitării atribuţiilor de serviciu.</w:t>
            </w:r>
          </w:p>
          <w:p w:rsidR="00052906" w:rsidRPr="00CE0071" w:rsidRDefault="00052906" w:rsidP="00D22B6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E00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Totodata, conform art. VI</w:t>
            </w:r>
            <w:r w:rsidRPr="00CE00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 xml:space="preserve">1, </w:t>
            </w:r>
            <w:r w:rsidRPr="008714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(1) se stabileşte indemnizaţie unică în mărime de 16</w:t>
            </w:r>
            <w:r w:rsidR="00AE6E42" w:rsidRPr="008714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,0</w:t>
            </w:r>
            <w:r w:rsidRPr="008714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mii de lei pentru angajaţii Agenţiei Naţionale Sănătate Publică implicaţi în diagnosticul şi supravegherea epidemiologică a cazurilor şi focarelor de COVID-19, personalul medical angajat în instituţiile/subdiviziunile medicale din cadrul Ministerului Afacerilor Interne, al Ministerului Apărării, al Administraţiei Naţionale a Penitenciarelor, personalul medical angajat în instituţiile medico-sanitare publice spitaliceşti, de asistenţă medicală urgentă prespitalicească, de asistenţă medicală primar</w:t>
            </w:r>
            <w:r w:rsidR="00AE6E42" w:rsidRPr="008714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ă, care </w:t>
            </w:r>
            <w:r w:rsidRPr="008714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s-au infectat cu COVID-19.</w:t>
            </w:r>
          </w:p>
          <w:p w:rsidR="00274D66" w:rsidRPr="00CE0071" w:rsidRDefault="00866D1F" w:rsidP="00D22B63">
            <w:pPr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E00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Astfel, p</w:t>
            </w:r>
            <w:r w:rsidR="00FD7180" w:rsidRPr="00CE00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otrivit actelor normative enumerate mai sus, se alocă mijloace financiare din </w:t>
            </w:r>
            <w:r w:rsidR="00F6266D" w:rsidRPr="00CE00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fondul </w:t>
            </w:r>
            <w:r w:rsidR="00893D25" w:rsidRPr="00CE00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de </w:t>
            </w:r>
            <w:r w:rsidR="008A5193" w:rsidRPr="00CE00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rezervă</w:t>
            </w:r>
            <w:r w:rsidR="00BA7F44" w:rsidRPr="00CE00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FD7180" w:rsidRPr="00CE00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</w:t>
            </w:r>
            <w:r w:rsidR="00C710DF" w:rsidRPr="00CE00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Guvernului</w:t>
            </w:r>
            <w:r w:rsidR="00FD7180" w:rsidRPr="00CE00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angajaților din </w:t>
            </w:r>
            <w:r w:rsidR="002B4D26" w:rsidRPr="00CE00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domeniul apărării, domeniul afacerilor interne, </w:t>
            </w:r>
            <w:r w:rsidR="008B7F56" w:rsidRPr="00CE00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al instituțiilor medico-sanitare publice spitalicești, de asistență medicală urgentă prespitalicească, de asistență medicală primară </w:t>
            </w:r>
            <w:r w:rsidR="00FD7180" w:rsidRPr="00CE00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și altor autorități/instituții bugetare care au contractat infecția COVID-19 în timpul exerc</w:t>
            </w:r>
            <w:r w:rsidR="00C710DF" w:rsidRPr="00CE00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itării atribuțiilor de serviciu de pînă la 30 septembrie 2020 inclusiv.</w:t>
            </w:r>
          </w:p>
          <w:p w:rsidR="004B47FE" w:rsidRPr="00CE0071" w:rsidRDefault="004B47FE" w:rsidP="00535A4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D7180" w:rsidRPr="00871423" w:rsidTr="000F6E9B">
        <w:tc>
          <w:tcPr>
            <w:tcW w:w="5000" w:type="pct"/>
          </w:tcPr>
          <w:p w:rsidR="00381B45" w:rsidRPr="00CE0071" w:rsidRDefault="00381B45" w:rsidP="00535A49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32CAE" w:rsidRDefault="00832CAE" w:rsidP="00535A49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</w:p>
          <w:p w:rsidR="00FD7180" w:rsidRPr="00871423" w:rsidRDefault="00FD7180" w:rsidP="00535A49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4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5. Fundamentarea economico-financiară</w:t>
            </w:r>
          </w:p>
        </w:tc>
      </w:tr>
      <w:tr w:rsidR="00FD7180" w:rsidRPr="00923314" w:rsidTr="00FE3F42">
        <w:trPr>
          <w:trHeight w:val="1975"/>
        </w:trPr>
        <w:tc>
          <w:tcPr>
            <w:tcW w:w="5000" w:type="pct"/>
          </w:tcPr>
          <w:p w:rsidR="00FD7180" w:rsidRPr="00CE0071" w:rsidRDefault="00FD7180" w:rsidP="00535A49">
            <w:pPr>
              <w:spacing w:after="0" w:line="240" w:lineRule="auto"/>
              <w:ind w:firstLine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</w:pPr>
            <w:r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lastRenderedPageBreak/>
              <w:t xml:space="preserve">  Implementarea prevederilor proiectului necesită cheltuieli financiare din bugetul de stat (</w:t>
            </w:r>
            <w:r w:rsidR="00F6266D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Fondul</w:t>
            </w:r>
            <w:r w:rsidR="00DF544B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de </w:t>
            </w:r>
            <w:r w:rsidR="004F4AD3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intervenție </w:t>
            </w:r>
            <w:r w:rsidR="003E5021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al Guvernului</w:t>
            </w:r>
            <w:r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) în sumă totală de </w:t>
            </w:r>
            <w:r w:rsidR="004C3221" w:rsidRPr="00CE007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 w:eastAsia="ru-RU"/>
              </w:rPr>
              <w:t>71216</w:t>
            </w:r>
            <w:r w:rsidR="002E7686" w:rsidRPr="00CE007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 w:eastAsia="ru-RU"/>
              </w:rPr>
              <w:t>,0</w:t>
            </w:r>
            <w:r w:rsidRPr="00CE007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r w:rsidRPr="00CE00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mii lei</w:t>
            </w:r>
            <w:r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întru acordarea indemnizațiilor unice pentru </w:t>
            </w:r>
            <w:r w:rsidR="004C3221" w:rsidRPr="00CE007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 w:eastAsia="ru-RU"/>
              </w:rPr>
              <w:t>4451</w:t>
            </w:r>
            <w:r w:rsidR="00A61A8B" w:rsidRPr="00CE007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r w:rsidR="000B7F5B" w:rsidRPr="00CE007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 w:eastAsia="ru-RU"/>
              </w:rPr>
              <w:t>persoane</w:t>
            </w:r>
            <w:r w:rsidR="000B7F5B" w:rsidRPr="00CE00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r w:rsidR="000B7F5B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inclusiv personal medical</w:t>
            </w:r>
            <w:r w:rsidR="00BA11E7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r w:rsidR="00C8376E" w:rsidRPr="00CE0071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val="en-US" w:eastAsia="ru-RU"/>
              </w:rPr>
              <w:t>3770</w:t>
            </w:r>
            <w:r w:rsidR="007744E0" w:rsidRPr="00CE0071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r w:rsidR="007744E0" w:rsidRPr="00CE00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persoane.</w:t>
            </w:r>
          </w:p>
          <w:p w:rsidR="00E01BEB" w:rsidRPr="00CE0071" w:rsidRDefault="00FD7180" w:rsidP="00C815FD">
            <w:pPr>
              <w:spacing w:after="0" w:line="240" w:lineRule="auto"/>
              <w:ind w:firstLine="3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 w:eastAsia="ru-RU"/>
              </w:rPr>
            </w:pPr>
            <w:r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Astfel, </w:t>
            </w:r>
            <w:r w:rsidR="00C63C28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Ministerului Sănătății </w:t>
            </w:r>
            <w:r w:rsidR="00C63C28" w:rsidRPr="00CE00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 w:eastAsia="ru-RU"/>
              </w:rPr>
              <w:t>-</w:t>
            </w:r>
            <w:r w:rsidR="000C6957" w:rsidRPr="00CE00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r w:rsidR="00A44D9D" w:rsidRPr="00CE00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 w:eastAsia="ru-RU"/>
              </w:rPr>
              <w:t>22208</w:t>
            </w:r>
            <w:r w:rsidR="00C63C28" w:rsidRPr="00CE00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 w:eastAsia="ru-RU"/>
              </w:rPr>
              <w:t xml:space="preserve">,0 </w:t>
            </w:r>
            <w:r w:rsidR="00C63C28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mii lei </w:t>
            </w:r>
            <w:r w:rsidR="00C63C28" w:rsidRPr="00CE00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 w:eastAsia="ru-RU"/>
              </w:rPr>
              <w:t xml:space="preserve">pentru </w:t>
            </w:r>
            <w:r w:rsidR="00A44D9D" w:rsidRPr="00CE00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 w:eastAsia="ru-RU"/>
              </w:rPr>
              <w:t>1388</w:t>
            </w:r>
            <w:r w:rsidR="00C63C28" w:rsidRPr="00CE00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r w:rsidR="00C63C28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persoane, Ministerul </w:t>
            </w:r>
            <w:r w:rsidR="000C6957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Muncii și Protecției Sociale</w:t>
            </w:r>
            <w:r w:rsidR="003E5021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– </w:t>
            </w:r>
            <w:r w:rsidR="00A44D9D" w:rsidRPr="00CE00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 w:eastAsia="ru-RU"/>
              </w:rPr>
              <w:t>240</w:t>
            </w:r>
            <w:r w:rsidR="00B14F5F" w:rsidRPr="00CE00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 w:eastAsia="ru-RU"/>
              </w:rPr>
              <w:t xml:space="preserve">,0 mii </w:t>
            </w:r>
            <w:r w:rsidR="00B14F5F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lei pentru</w:t>
            </w:r>
            <w:r w:rsidR="003E5021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r w:rsidR="00A44D9D" w:rsidRPr="00CE00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 w:eastAsia="ru-RU"/>
              </w:rPr>
              <w:t>15</w:t>
            </w:r>
            <w:r w:rsidR="000C6957" w:rsidRPr="00CE00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 w:eastAsia="ru-RU"/>
              </w:rPr>
              <w:t xml:space="preserve"> persoane</w:t>
            </w:r>
            <w:r w:rsidR="00B14F5F" w:rsidRPr="00CE00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 w:eastAsia="ru-RU"/>
              </w:rPr>
              <w:t>,</w:t>
            </w:r>
            <w:r w:rsidR="000C6957" w:rsidRPr="00CE00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r w:rsidR="00DD16EA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Casei Naționale de Asigurări Sociale – 1104,0 mii lei pentru 69 persoane, Ministerului Apărării - 1344,0 mii lei pentru 84 persoane, Ministerului Afacerilor Interne – 1312,0 mii lei pentru 82 persoane, </w:t>
            </w:r>
            <w:r w:rsidR="00C815FD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Consiliului Superior al Magistraturii – 640,0 mii lei pentru 40 persoane,</w:t>
            </w:r>
            <w:r w:rsidR="00C815FD" w:rsidRPr="00CE00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r w:rsidR="00E365CC" w:rsidRPr="00CE00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 w:eastAsia="ru-RU"/>
              </w:rPr>
              <w:t xml:space="preserve">Consiliului municipal Chișinău – </w:t>
            </w:r>
            <w:r w:rsidR="00C57EEF" w:rsidRPr="00CE00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 w:eastAsia="ru-RU"/>
              </w:rPr>
              <w:t>12608</w:t>
            </w:r>
            <w:r w:rsidR="00E365CC" w:rsidRPr="00CE00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 w:eastAsia="ru-RU"/>
              </w:rPr>
              <w:t xml:space="preserve">,0 mii lei pentru </w:t>
            </w:r>
            <w:r w:rsidR="00C57EEF" w:rsidRPr="00CE00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 w:eastAsia="ru-RU"/>
              </w:rPr>
              <w:t>788</w:t>
            </w:r>
            <w:r w:rsidR="00410BFF" w:rsidRPr="00CE00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r w:rsidR="00E365CC" w:rsidRPr="00CE00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 w:eastAsia="ru-RU"/>
              </w:rPr>
              <w:t>persoane,</w:t>
            </w:r>
            <w:r w:rsidR="001601B7" w:rsidRPr="00CE00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r w:rsidR="00FE3B4D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Comitetului executiv UTA Găgăuzia – </w:t>
            </w:r>
            <w:r w:rsidR="00044F94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2272</w:t>
            </w:r>
            <w:r w:rsidR="00FE3B4D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,0 mii lei pentru </w:t>
            </w:r>
            <w:r w:rsidR="00044F94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142</w:t>
            </w:r>
            <w:r w:rsidR="00FE3B4D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persoane, Consiliului raional Anenii Noi – </w:t>
            </w:r>
            <w:r w:rsidR="00044F94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1792</w:t>
            </w:r>
            <w:r w:rsidR="00FE3B4D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,0 mii lei pentru </w:t>
            </w:r>
            <w:r w:rsidR="00044F94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112</w:t>
            </w:r>
            <w:r w:rsidR="00FE3B4D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persoane,</w:t>
            </w:r>
            <w:r w:rsidR="00946387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r w:rsidR="005307A8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Consiliului raional Ungheni – </w:t>
            </w:r>
            <w:r w:rsidR="00821FD0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1408</w:t>
            </w:r>
            <w:r w:rsidR="005307A8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,0 mii lei pentru </w:t>
            </w:r>
            <w:r w:rsidR="00821FD0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88</w:t>
            </w:r>
            <w:r w:rsidR="005307A8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persoane, </w:t>
            </w:r>
            <w:r w:rsidR="00F04C20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Consiliului raional Edineț</w:t>
            </w:r>
            <w:r w:rsidR="00946387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– </w:t>
            </w:r>
            <w:r w:rsidR="00044F94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1744</w:t>
            </w:r>
            <w:r w:rsidR="00946387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,0 mii lei pentru </w:t>
            </w:r>
            <w:r w:rsidR="00044F94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109</w:t>
            </w:r>
            <w:r w:rsidR="00946387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persoane, Consiliului raional Cahul - </w:t>
            </w:r>
            <w:r w:rsidR="00044F94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1584</w:t>
            </w:r>
            <w:r w:rsidR="00946387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,0 mii lei pentru </w:t>
            </w:r>
            <w:r w:rsidR="00044F94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99</w:t>
            </w:r>
            <w:r w:rsidR="00946387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persoane, Consiliului raional Ialoveni </w:t>
            </w:r>
            <w:r w:rsidR="00044F94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- 1184,0 mii lei pentru 74 persoane,</w:t>
            </w:r>
            <w:r w:rsidR="00E34CEE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Consiliului raional Orhei </w:t>
            </w:r>
            <w:r w:rsidR="00044F94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- 1264</w:t>
            </w:r>
            <w:r w:rsidR="00E34CEE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,0 mii lei pentru </w:t>
            </w:r>
            <w:r w:rsidR="00044F94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79</w:t>
            </w:r>
            <w:r w:rsidR="00E34CEE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persoane, </w:t>
            </w:r>
            <w:r w:rsidR="00D652E2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Co</w:t>
            </w:r>
            <w:r w:rsidR="00946387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nsiliului raional Taraclia </w:t>
            </w:r>
            <w:r w:rsidR="00D652E2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- </w:t>
            </w:r>
            <w:r w:rsidR="00044F94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1072</w:t>
            </w:r>
            <w:r w:rsidR="00946387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,0 mii lei 6</w:t>
            </w:r>
            <w:r w:rsidR="00044F94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7</w:t>
            </w:r>
            <w:r w:rsidR="00946387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persoane, Consiliului raional Cantemir – </w:t>
            </w:r>
            <w:r w:rsidR="00044F94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1152</w:t>
            </w:r>
            <w:r w:rsidR="00946387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,0 mii lei pentru </w:t>
            </w:r>
            <w:r w:rsidR="00044F94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72</w:t>
            </w:r>
            <w:r w:rsidR="00946387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persoane, Consiliului raional Căușeni – </w:t>
            </w:r>
            <w:r w:rsidR="00044F94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1056</w:t>
            </w:r>
            <w:r w:rsidR="00946387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,0 mii lei pentru </w:t>
            </w:r>
            <w:r w:rsidR="00875769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6</w:t>
            </w:r>
            <w:r w:rsidR="00044F94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6</w:t>
            </w:r>
            <w:r w:rsidR="00946387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persoane, Consiliului raional Sîngerei –</w:t>
            </w:r>
            <w:r w:rsidR="00044F94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1152</w:t>
            </w:r>
            <w:r w:rsidR="00946387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,0 mii lei pentru </w:t>
            </w:r>
            <w:r w:rsidR="00044F94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72</w:t>
            </w:r>
            <w:r w:rsidR="00946387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persoane,</w:t>
            </w:r>
            <w:r w:rsidR="000303DC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Consiliului raional Florești – </w:t>
            </w:r>
            <w:r w:rsidR="00044F94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1088</w:t>
            </w:r>
            <w:r w:rsidR="000303DC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,0 mii lei pentru </w:t>
            </w:r>
            <w:r w:rsidR="00044F94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68</w:t>
            </w:r>
            <w:r w:rsidR="000303DC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persoane, </w:t>
            </w:r>
            <w:r w:rsidR="004B6E53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Consiliului raional Drochia</w:t>
            </w:r>
            <w:r w:rsidR="00044F94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–</w:t>
            </w:r>
            <w:r w:rsidR="00564C7C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r w:rsidR="00044F94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944,0 mii lei pentru 59 persoane,</w:t>
            </w:r>
            <w:r w:rsidR="0005057F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Consiliului raional Fălești </w:t>
            </w:r>
            <w:r w:rsidR="00044F94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- </w:t>
            </w:r>
            <w:r w:rsidR="004B6E53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880,0 mii lei pentru 55 persoane, </w:t>
            </w:r>
            <w:r w:rsidR="005307A8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Consiliului raional Șoldănești – </w:t>
            </w:r>
            <w:r w:rsidR="004B6E53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848</w:t>
            </w:r>
            <w:r w:rsidR="005307A8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,0 mii lei pentru </w:t>
            </w:r>
            <w:r w:rsidR="004B6E53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53</w:t>
            </w:r>
            <w:r w:rsidR="005307A8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persoane, Consiliului raional Soroca –</w:t>
            </w:r>
            <w:r w:rsidR="00044F94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928</w:t>
            </w:r>
            <w:r w:rsidR="005307A8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,0 mii lei pentru </w:t>
            </w:r>
            <w:r w:rsidR="00044F94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58</w:t>
            </w:r>
            <w:r w:rsidR="005307A8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persoane, Consiliului raional Strășeni – </w:t>
            </w:r>
            <w:r w:rsidR="00044F94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784</w:t>
            </w:r>
            <w:r w:rsidR="005307A8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,0 mii lei pentru </w:t>
            </w:r>
            <w:r w:rsidR="00044F94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49</w:t>
            </w:r>
            <w:r w:rsidR="005307A8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persoane, </w:t>
            </w:r>
            <w:r w:rsidR="00B80653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Consiliului raional Ștefan Vodă – </w:t>
            </w:r>
            <w:r w:rsidR="00044F94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736,0 mii lei pentru 46</w:t>
            </w:r>
            <w:r w:rsidR="00B80653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persoane</w:t>
            </w:r>
            <w:r w:rsidR="00044F94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,</w:t>
            </w:r>
            <w:r w:rsidR="00B80653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r w:rsidR="00C77EB0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Consiliului raional Ocnița - </w:t>
            </w:r>
            <w:r w:rsidR="00044F94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720,0 mii lei pentru 45</w:t>
            </w:r>
            <w:r w:rsidR="00C77EB0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persoane, </w:t>
            </w:r>
            <w:r w:rsidR="005307A8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Consiliului raional Călărași</w:t>
            </w:r>
            <w:r w:rsidR="00564C7C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- 672,0 mii lei</w:t>
            </w:r>
            <w:r w:rsidR="00443AB7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r w:rsidR="00564C7C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pentru 42 persoane, </w:t>
            </w:r>
            <w:r w:rsidR="00EE4B8A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Consiliului raional Leova - </w:t>
            </w:r>
            <w:r w:rsidR="002F1E57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672</w:t>
            </w:r>
            <w:r w:rsidR="005307A8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,0 mii lei pentru </w:t>
            </w:r>
            <w:r w:rsidR="002F1E57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42</w:t>
            </w:r>
            <w:r w:rsidR="005307A8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persoane, Consiliului municipal Bălți</w:t>
            </w:r>
            <w:r w:rsidR="00044F94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- 848,0 mii lei pentru 53 persoane, </w:t>
            </w:r>
            <w:r w:rsidR="00C46152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Consiliului raional Briceni </w:t>
            </w:r>
            <w:r w:rsidR="00D446BD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-</w:t>
            </w:r>
            <w:r w:rsidR="001975B0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r w:rsidR="00044F94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816,0 mii lei pentru 51</w:t>
            </w:r>
            <w:r w:rsidR="005307A8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persoane,</w:t>
            </w:r>
            <w:r w:rsidR="00EC6828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r w:rsidR="00471340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r w:rsidR="00724576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Consiliului raional Glodeni – 624,0 mii lei pentru 39 persoane,</w:t>
            </w:r>
            <w:r w:rsidR="001975B0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r w:rsidR="00471340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Consiliului raional Criuleni </w:t>
            </w:r>
            <w:r w:rsidR="00B80653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-  </w:t>
            </w:r>
            <w:r w:rsidR="00044F94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656</w:t>
            </w:r>
            <w:r w:rsidR="00F41F3B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,0 mii lei pentru 41</w:t>
            </w:r>
            <w:r w:rsidR="001C4184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persoane, </w:t>
            </w:r>
            <w:r w:rsidR="00471340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Consiliului raional Telenești </w:t>
            </w:r>
            <w:r w:rsidR="001C4184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– </w:t>
            </w:r>
            <w:r w:rsidR="00672CB6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608</w:t>
            </w:r>
            <w:r w:rsidR="00471340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,0 mii lei pentru </w:t>
            </w:r>
            <w:r w:rsidR="00672CB6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38</w:t>
            </w:r>
            <w:r w:rsidR="00471340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persoane, </w:t>
            </w:r>
            <w:r w:rsidR="00B80653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Consiliului raional Rîșcani – </w:t>
            </w:r>
            <w:r w:rsidR="00672CB6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608,0 mii lei pentru 38</w:t>
            </w:r>
            <w:r w:rsidR="00B80653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persoane, </w:t>
            </w:r>
            <w:r w:rsidR="00750B96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Consiliului raional Nisporeni </w:t>
            </w:r>
            <w:r w:rsidR="00B80653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-</w:t>
            </w:r>
            <w:r w:rsidR="00471340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r w:rsidR="00750B96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544,0 mii lei pentru 34</w:t>
            </w:r>
            <w:r w:rsidR="00471340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persoane, Consiliului raional </w:t>
            </w:r>
            <w:r w:rsidR="00B80653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Hîncești – </w:t>
            </w:r>
            <w:r w:rsidR="00672CB6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464</w:t>
            </w:r>
            <w:r w:rsidR="00471340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,0 mii lei pentru 2</w:t>
            </w:r>
            <w:r w:rsidR="00672CB6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9</w:t>
            </w:r>
            <w:r w:rsidR="00471340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persoane,</w:t>
            </w:r>
            <w:r w:rsidR="00540D4F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r w:rsidR="00235E66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Consiliului raional Cimișlia </w:t>
            </w:r>
            <w:r w:rsidR="001975B0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-</w:t>
            </w:r>
            <w:r w:rsidR="00235E66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r w:rsidR="001975B0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4</w:t>
            </w:r>
            <w:r w:rsidR="00135288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32</w:t>
            </w:r>
            <w:r w:rsidR="00235E66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,0 mii lei pentru </w:t>
            </w:r>
            <w:r w:rsidR="00135288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27</w:t>
            </w:r>
            <w:r w:rsidR="00235E66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persoane, Consiliului raional Basarabeasca</w:t>
            </w:r>
            <w:r w:rsidR="00135288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– 320,</w:t>
            </w:r>
            <w:r w:rsid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0</w:t>
            </w:r>
            <w:r w:rsidR="00135288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mii lei pentru 20</w:t>
            </w:r>
            <w:r w:rsidR="00667F18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r w:rsidR="00443AB7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persoane </w:t>
            </w:r>
            <w:r w:rsidR="00677402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și </w:t>
            </w:r>
            <w:r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alte sume mai mici în volum </w:t>
            </w:r>
            <w:r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de </w:t>
            </w:r>
            <w:r w:rsidR="00D0491F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</w:t>
            </w:r>
            <w:r w:rsidR="00AB141F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88</w:t>
            </w:r>
            <w:r w:rsidR="00D0491F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,0</w:t>
            </w:r>
            <w:r w:rsidR="00EA5031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mii lei pentru</w:t>
            </w:r>
            <w:r w:rsidR="00966BF5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AB141F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118</w:t>
            </w:r>
            <w:r w:rsidR="00BF7327"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CE0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persoane.</w:t>
            </w:r>
          </w:p>
        </w:tc>
      </w:tr>
      <w:tr w:rsidR="00FD7180" w:rsidRPr="00923314" w:rsidTr="000F6E9B">
        <w:tc>
          <w:tcPr>
            <w:tcW w:w="5000" w:type="pct"/>
          </w:tcPr>
          <w:p w:rsidR="00FD7180" w:rsidRPr="00CE0071" w:rsidRDefault="00FD7180" w:rsidP="00535A49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E0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6. Modul de încorporare a actului în cadrul normativ în vigoare</w:t>
            </w:r>
          </w:p>
        </w:tc>
      </w:tr>
      <w:tr w:rsidR="00FD7180" w:rsidRPr="00923314" w:rsidTr="000F6E9B">
        <w:tc>
          <w:tcPr>
            <w:tcW w:w="5000" w:type="pct"/>
          </w:tcPr>
          <w:p w:rsidR="00FD7180" w:rsidRPr="00CE0071" w:rsidRDefault="00FD7180" w:rsidP="00535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E00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Aprobarea proiectului hotărârii Guvernului „Cu privire la alocarea mijloacelor financiare” nu va </w:t>
            </w:r>
            <w:r w:rsidRPr="00CE00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TW" w:bidi="en-US"/>
              </w:rPr>
              <w:t>genera modificări și în textul altor acte normative.</w:t>
            </w:r>
          </w:p>
        </w:tc>
      </w:tr>
      <w:tr w:rsidR="00FD7180" w:rsidRPr="00923314" w:rsidTr="000F6E9B">
        <w:tc>
          <w:tcPr>
            <w:tcW w:w="5000" w:type="pct"/>
          </w:tcPr>
          <w:p w:rsidR="00FD7180" w:rsidRPr="00CE0071" w:rsidRDefault="00FD7180" w:rsidP="00535A49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E0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7. Avizarea şi consultarea publică a proiectului</w:t>
            </w:r>
          </w:p>
        </w:tc>
      </w:tr>
      <w:tr w:rsidR="00FD7180" w:rsidRPr="00871423" w:rsidTr="000F6E9B">
        <w:tc>
          <w:tcPr>
            <w:tcW w:w="5000" w:type="pct"/>
          </w:tcPr>
          <w:p w:rsidR="00FD7180" w:rsidRPr="00871423" w:rsidRDefault="00FD7180" w:rsidP="00535A49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4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 Constatările expertizei anticorupție</w:t>
            </w:r>
          </w:p>
        </w:tc>
      </w:tr>
      <w:tr w:rsidR="00FD7180" w:rsidRPr="00871423" w:rsidTr="000F6E9B">
        <w:tc>
          <w:tcPr>
            <w:tcW w:w="5000" w:type="pct"/>
          </w:tcPr>
          <w:p w:rsidR="00FD7180" w:rsidRPr="00871423" w:rsidRDefault="00FD7180" w:rsidP="00535A49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4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 Constatările expertizei juridice</w:t>
            </w:r>
          </w:p>
        </w:tc>
      </w:tr>
    </w:tbl>
    <w:p w:rsidR="00FD7180" w:rsidRPr="00871423" w:rsidRDefault="00FD7180" w:rsidP="00535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6BF5" w:rsidRPr="00050084" w:rsidRDefault="00966BF5" w:rsidP="00BD0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7F56" w:rsidRPr="00871423" w:rsidRDefault="002D105A" w:rsidP="00BF54CD">
      <w:pPr>
        <w:spacing w:after="0" w:line="240" w:lineRule="auto"/>
        <w:jc w:val="center"/>
        <w:rPr>
          <w:rStyle w:val="ab"/>
          <w:rFonts w:ascii="Times New Roman" w:eastAsia="Times New Roman" w:hAnsi="Times New Roman" w:cs="Times New Roman"/>
          <w:bCs w:val="0"/>
          <w:sz w:val="26"/>
          <w:szCs w:val="26"/>
          <w:lang w:eastAsia="ru-RU"/>
        </w:rPr>
      </w:pPr>
      <w:r w:rsidRPr="008714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MINISTRU</w:t>
      </w:r>
      <w:r w:rsidR="00DB2EEB" w:rsidRPr="008714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87374E" w:rsidRPr="008714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</w:t>
      </w:r>
      <w:r w:rsidR="00DB2EEB" w:rsidRPr="008714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DB2EEB" w:rsidRPr="008714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8714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Dumitru BUDIANSCHI</w:t>
      </w:r>
    </w:p>
    <w:sectPr w:rsidR="008B7F56" w:rsidRPr="00871423" w:rsidSect="000F6E9B">
      <w:pgSz w:w="11906" w:h="16838"/>
      <w:pgMar w:top="1440" w:right="991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176" w:rsidRDefault="00F24176" w:rsidP="003F682F">
      <w:pPr>
        <w:spacing w:after="0" w:line="240" w:lineRule="auto"/>
      </w:pPr>
      <w:r>
        <w:separator/>
      </w:r>
    </w:p>
  </w:endnote>
  <w:endnote w:type="continuationSeparator" w:id="0">
    <w:p w:rsidR="00F24176" w:rsidRDefault="00F24176" w:rsidP="003F6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176" w:rsidRDefault="00F24176" w:rsidP="003F682F">
      <w:pPr>
        <w:spacing w:after="0" w:line="240" w:lineRule="auto"/>
      </w:pPr>
      <w:r>
        <w:separator/>
      </w:r>
    </w:p>
  </w:footnote>
  <w:footnote w:type="continuationSeparator" w:id="0">
    <w:p w:rsidR="00F24176" w:rsidRDefault="00F24176" w:rsidP="003F6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31DA3"/>
    <w:multiLevelType w:val="hybridMultilevel"/>
    <w:tmpl w:val="7240A16E"/>
    <w:lvl w:ilvl="0" w:tplc="A008C7DA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034" w:hanging="360"/>
      </w:pPr>
    </w:lvl>
    <w:lvl w:ilvl="2" w:tplc="0409001B" w:tentative="1">
      <w:start w:val="1"/>
      <w:numFmt w:val="lowerRoman"/>
      <w:lvlText w:val="%3."/>
      <w:lvlJc w:val="right"/>
      <w:pPr>
        <w:ind w:left="7754" w:hanging="180"/>
      </w:pPr>
    </w:lvl>
    <w:lvl w:ilvl="3" w:tplc="0409000F" w:tentative="1">
      <w:start w:val="1"/>
      <w:numFmt w:val="decimal"/>
      <w:lvlText w:val="%4."/>
      <w:lvlJc w:val="left"/>
      <w:pPr>
        <w:ind w:left="8474" w:hanging="360"/>
      </w:pPr>
    </w:lvl>
    <w:lvl w:ilvl="4" w:tplc="04090019" w:tentative="1">
      <w:start w:val="1"/>
      <w:numFmt w:val="lowerLetter"/>
      <w:lvlText w:val="%5."/>
      <w:lvlJc w:val="left"/>
      <w:pPr>
        <w:ind w:left="9194" w:hanging="360"/>
      </w:pPr>
    </w:lvl>
    <w:lvl w:ilvl="5" w:tplc="0409001B" w:tentative="1">
      <w:start w:val="1"/>
      <w:numFmt w:val="lowerRoman"/>
      <w:lvlText w:val="%6."/>
      <w:lvlJc w:val="right"/>
      <w:pPr>
        <w:ind w:left="9914" w:hanging="180"/>
      </w:pPr>
    </w:lvl>
    <w:lvl w:ilvl="6" w:tplc="0409000F" w:tentative="1">
      <w:start w:val="1"/>
      <w:numFmt w:val="decimal"/>
      <w:lvlText w:val="%7."/>
      <w:lvlJc w:val="left"/>
      <w:pPr>
        <w:ind w:left="10634" w:hanging="360"/>
      </w:pPr>
    </w:lvl>
    <w:lvl w:ilvl="7" w:tplc="04090019" w:tentative="1">
      <w:start w:val="1"/>
      <w:numFmt w:val="lowerLetter"/>
      <w:lvlText w:val="%8."/>
      <w:lvlJc w:val="left"/>
      <w:pPr>
        <w:ind w:left="11354" w:hanging="360"/>
      </w:pPr>
    </w:lvl>
    <w:lvl w:ilvl="8" w:tplc="040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">
    <w:nsid w:val="2FC254A3"/>
    <w:multiLevelType w:val="hybridMultilevel"/>
    <w:tmpl w:val="F508F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D46C8"/>
    <w:multiLevelType w:val="hybridMultilevel"/>
    <w:tmpl w:val="8DF47392"/>
    <w:lvl w:ilvl="0" w:tplc="48124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>
    <w:nsid w:val="683B5ACF"/>
    <w:multiLevelType w:val="hybridMultilevel"/>
    <w:tmpl w:val="72CEDAAA"/>
    <w:lvl w:ilvl="0" w:tplc="52D6565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084E"/>
    <w:rsid w:val="000029A1"/>
    <w:rsid w:val="00006A9F"/>
    <w:rsid w:val="0001226E"/>
    <w:rsid w:val="000173B3"/>
    <w:rsid w:val="0002412C"/>
    <w:rsid w:val="00024BD2"/>
    <w:rsid w:val="00025CFA"/>
    <w:rsid w:val="00026CAF"/>
    <w:rsid w:val="000303DC"/>
    <w:rsid w:val="0003444D"/>
    <w:rsid w:val="00036E84"/>
    <w:rsid w:val="00037152"/>
    <w:rsid w:val="00044F94"/>
    <w:rsid w:val="00045252"/>
    <w:rsid w:val="00050084"/>
    <w:rsid w:val="0005057F"/>
    <w:rsid w:val="00052906"/>
    <w:rsid w:val="000604A8"/>
    <w:rsid w:val="00060CB3"/>
    <w:rsid w:val="000637FF"/>
    <w:rsid w:val="00064EC4"/>
    <w:rsid w:val="000713BB"/>
    <w:rsid w:val="000777D7"/>
    <w:rsid w:val="00097261"/>
    <w:rsid w:val="000A070E"/>
    <w:rsid w:val="000A1225"/>
    <w:rsid w:val="000A1CB4"/>
    <w:rsid w:val="000A494A"/>
    <w:rsid w:val="000B46CF"/>
    <w:rsid w:val="000B7F5B"/>
    <w:rsid w:val="000C6957"/>
    <w:rsid w:val="000D0454"/>
    <w:rsid w:val="000D479F"/>
    <w:rsid w:val="000D5D04"/>
    <w:rsid w:val="000E0727"/>
    <w:rsid w:val="000E1D81"/>
    <w:rsid w:val="000F1552"/>
    <w:rsid w:val="000F6E9B"/>
    <w:rsid w:val="00101A32"/>
    <w:rsid w:val="001050AC"/>
    <w:rsid w:val="0011654A"/>
    <w:rsid w:val="001318AB"/>
    <w:rsid w:val="0013299B"/>
    <w:rsid w:val="00135288"/>
    <w:rsid w:val="0014058B"/>
    <w:rsid w:val="001405AA"/>
    <w:rsid w:val="00142295"/>
    <w:rsid w:val="00142ECB"/>
    <w:rsid w:val="00144D20"/>
    <w:rsid w:val="001601B7"/>
    <w:rsid w:val="00162476"/>
    <w:rsid w:val="00162B6B"/>
    <w:rsid w:val="001661CF"/>
    <w:rsid w:val="00170B87"/>
    <w:rsid w:val="00182344"/>
    <w:rsid w:val="00182742"/>
    <w:rsid w:val="00191B9B"/>
    <w:rsid w:val="001975B0"/>
    <w:rsid w:val="00197680"/>
    <w:rsid w:val="00197B08"/>
    <w:rsid w:val="001A51A5"/>
    <w:rsid w:val="001A77E9"/>
    <w:rsid w:val="001B09AF"/>
    <w:rsid w:val="001B5724"/>
    <w:rsid w:val="001C4184"/>
    <w:rsid w:val="001C738E"/>
    <w:rsid w:val="001C75D4"/>
    <w:rsid w:val="001D12CB"/>
    <w:rsid w:val="001D221E"/>
    <w:rsid w:val="001E04BC"/>
    <w:rsid w:val="001E0580"/>
    <w:rsid w:val="001E084E"/>
    <w:rsid w:val="001E1991"/>
    <w:rsid w:val="001F45FE"/>
    <w:rsid w:val="001F5C5D"/>
    <w:rsid w:val="00200C0D"/>
    <w:rsid w:val="002024A6"/>
    <w:rsid w:val="00202CC3"/>
    <w:rsid w:val="00203F72"/>
    <w:rsid w:val="00205281"/>
    <w:rsid w:val="00211B1B"/>
    <w:rsid w:val="00211E3C"/>
    <w:rsid w:val="0021259E"/>
    <w:rsid w:val="00216B66"/>
    <w:rsid w:val="00223E5F"/>
    <w:rsid w:val="002326B1"/>
    <w:rsid w:val="00235E66"/>
    <w:rsid w:val="00245CBB"/>
    <w:rsid w:val="00254124"/>
    <w:rsid w:val="0025680D"/>
    <w:rsid w:val="0026287D"/>
    <w:rsid w:val="002649A5"/>
    <w:rsid w:val="00266FA6"/>
    <w:rsid w:val="00274D66"/>
    <w:rsid w:val="00276F91"/>
    <w:rsid w:val="00283179"/>
    <w:rsid w:val="00295421"/>
    <w:rsid w:val="00296918"/>
    <w:rsid w:val="002A0909"/>
    <w:rsid w:val="002A12D4"/>
    <w:rsid w:val="002A29E6"/>
    <w:rsid w:val="002A795A"/>
    <w:rsid w:val="002B2E87"/>
    <w:rsid w:val="002B4D26"/>
    <w:rsid w:val="002B6859"/>
    <w:rsid w:val="002C40E4"/>
    <w:rsid w:val="002C486E"/>
    <w:rsid w:val="002D105A"/>
    <w:rsid w:val="002D3F06"/>
    <w:rsid w:val="002D607E"/>
    <w:rsid w:val="002E226E"/>
    <w:rsid w:val="002E5F2C"/>
    <w:rsid w:val="002E73D9"/>
    <w:rsid w:val="002E7686"/>
    <w:rsid w:val="002F1B0D"/>
    <w:rsid w:val="002F1E57"/>
    <w:rsid w:val="002F24F0"/>
    <w:rsid w:val="002F3321"/>
    <w:rsid w:val="002F63F0"/>
    <w:rsid w:val="003035A3"/>
    <w:rsid w:val="0034042D"/>
    <w:rsid w:val="003428AA"/>
    <w:rsid w:val="003476FF"/>
    <w:rsid w:val="003627C0"/>
    <w:rsid w:val="00364C21"/>
    <w:rsid w:val="00377951"/>
    <w:rsid w:val="00381B45"/>
    <w:rsid w:val="00381BD5"/>
    <w:rsid w:val="00385A76"/>
    <w:rsid w:val="0039145A"/>
    <w:rsid w:val="00392681"/>
    <w:rsid w:val="0039655E"/>
    <w:rsid w:val="003A0291"/>
    <w:rsid w:val="003B631C"/>
    <w:rsid w:val="003C1A25"/>
    <w:rsid w:val="003C69F9"/>
    <w:rsid w:val="003E5021"/>
    <w:rsid w:val="003E6D5A"/>
    <w:rsid w:val="003F1967"/>
    <w:rsid w:val="003F4364"/>
    <w:rsid w:val="003F5D9D"/>
    <w:rsid w:val="003F682F"/>
    <w:rsid w:val="003F7C42"/>
    <w:rsid w:val="00401724"/>
    <w:rsid w:val="0040373F"/>
    <w:rsid w:val="004039A2"/>
    <w:rsid w:val="00405658"/>
    <w:rsid w:val="00410BFF"/>
    <w:rsid w:val="00411DB2"/>
    <w:rsid w:val="0041208A"/>
    <w:rsid w:val="00412DDC"/>
    <w:rsid w:val="00420E9A"/>
    <w:rsid w:val="004241F1"/>
    <w:rsid w:val="004252CD"/>
    <w:rsid w:val="0043007B"/>
    <w:rsid w:val="00432966"/>
    <w:rsid w:val="004331D6"/>
    <w:rsid w:val="00435B4D"/>
    <w:rsid w:val="00442205"/>
    <w:rsid w:val="00442345"/>
    <w:rsid w:val="00443AB7"/>
    <w:rsid w:val="00454F92"/>
    <w:rsid w:val="0046315A"/>
    <w:rsid w:val="00463DF5"/>
    <w:rsid w:val="00465CB5"/>
    <w:rsid w:val="00471340"/>
    <w:rsid w:val="00472ED8"/>
    <w:rsid w:val="004738A2"/>
    <w:rsid w:val="00481CB5"/>
    <w:rsid w:val="00482545"/>
    <w:rsid w:val="00490B09"/>
    <w:rsid w:val="00495730"/>
    <w:rsid w:val="00495D72"/>
    <w:rsid w:val="004A05C4"/>
    <w:rsid w:val="004B36B5"/>
    <w:rsid w:val="004B3E59"/>
    <w:rsid w:val="004B47FE"/>
    <w:rsid w:val="004B6E53"/>
    <w:rsid w:val="004C3221"/>
    <w:rsid w:val="004D2ACC"/>
    <w:rsid w:val="004E2F91"/>
    <w:rsid w:val="004E30FE"/>
    <w:rsid w:val="004E449B"/>
    <w:rsid w:val="004F4AD3"/>
    <w:rsid w:val="004F757D"/>
    <w:rsid w:val="00503DA1"/>
    <w:rsid w:val="00503EA6"/>
    <w:rsid w:val="005129FC"/>
    <w:rsid w:val="00520900"/>
    <w:rsid w:val="00521553"/>
    <w:rsid w:val="00524099"/>
    <w:rsid w:val="00526CFE"/>
    <w:rsid w:val="005305B0"/>
    <w:rsid w:val="005307A8"/>
    <w:rsid w:val="00535A49"/>
    <w:rsid w:val="00540D4F"/>
    <w:rsid w:val="005463F4"/>
    <w:rsid w:val="0054733A"/>
    <w:rsid w:val="00547F1C"/>
    <w:rsid w:val="005561C1"/>
    <w:rsid w:val="00563505"/>
    <w:rsid w:val="00564C7C"/>
    <w:rsid w:val="0056775E"/>
    <w:rsid w:val="0057209B"/>
    <w:rsid w:val="00573519"/>
    <w:rsid w:val="005756A9"/>
    <w:rsid w:val="00575A60"/>
    <w:rsid w:val="00575D7E"/>
    <w:rsid w:val="00575E51"/>
    <w:rsid w:val="005806FB"/>
    <w:rsid w:val="00583CF2"/>
    <w:rsid w:val="005861A0"/>
    <w:rsid w:val="00591084"/>
    <w:rsid w:val="005968C0"/>
    <w:rsid w:val="005A1701"/>
    <w:rsid w:val="005B1298"/>
    <w:rsid w:val="005B3986"/>
    <w:rsid w:val="005C48F3"/>
    <w:rsid w:val="005C658B"/>
    <w:rsid w:val="005C799D"/>
    <w:rsid w:val="005D05F6"/>
    <w:rsid w:val="005D1B48"/>
    <w:rsid w:val="005E0BF5"/>
    <w:rsid w:val="005E77A0"/>
    <w:rsid w:val="005F0D54"/>
    <w:rsid w:val="005F407F"/>
    <w:rsid w:val="005F4E68"/>
    <w:rsid w:val="006031A7"/>
    <w:rsid w:val="00605EFC"/>
    <w:rsid w:val="00613C4B"/>
    <w:rsid w:val="00621436"/>
    <w:rsid w:val="00622F56"/>
    <w:rsid w:val="00626C85"/>
    <w:rsid w:val="006338B1"/>
    <w:rsid w:val="00637E3F"/>
    <w:rsid w:val="0064038F"/>
    <w:rsid w:val="00640ED4"/>
    <w:rsid w:val="006440B2"/>
    <w:rsid w:val="0064604D"/>
    <w:rsid w:val="00650ED0"/>
    <w:rsid w:val="0065205F"/>
    <w:rsid w:val="00654089"/>
    <w:rsid w:val="00663CCD"/>
    <w:rsid w:val="00664ECF"/>
    <w:rsid w:val="00667485"/>
    <w:rsid w:val="00667F18"/>
    <w:rsid w:val="00672CB6"/>
    <w:rsid w:val="00677402"/>
    <w:rsid w:val="006811D5"/>
    <w:rsid w:val="006929CB"/>
    <w:rsid w:val="006A3070"/>
    <w:rsid w:val="006A6AE0"/>
    <w:rsid w:val="006B245B"/>
    <w:rsid w:val="006B3119"/>
    <w:rsid w:val="006B3CB8"/>
    <w:rsid w:val="006B65D5"/>
    <w:rsid w:val="006C2668"/>
    <w:rsid w:val="006C6121"/>
    <w:rsid w:val="006D1097"/>
    <w:rsid w:val="006D227E"/>
    <w:rsid w:val="006D3066"/>
    <w:rsid w:val="006D6022"/>
    <w:rsid w:val="006E4A8B"/>
    <w:rsid w:val="006E5B4F"/>
    <w:rsid w:val="006F1C6E"/>
    <w:rsid w:val="006F3C82"/>
    <w:rsid w:val="006F4523"/>
    <w:rsid w:val="006F51D6"/>
    <w:rsid w:val="006F6307"/>
    <w:rsid w:val="00703944"/>
    <w:rsid w:val="00720667"/>
    <w:rsid w:val="00721E45"/>
    <w:rsid w:val="00723D66"/>
    <w:rsid w:val="00724576"/>
    <w:rsid w:val="007303EE"/>
    <w:rsid w:val="0073534A"/>
    <w:rsid w:val="007359A2"/>
    <w:rsid w:val="007417B6"/>
    <w:rsid w:val="00742AE8"/>
    <w:rsid w:val="00747B8D"/>
    <w:rsid w:val="00750B96"/>
    <w:rsid w:val="0076158E"/>
    <w:rsid w:val="00761833"/>
    <w:rsid w:val="0076237F"/>
    <w:rsid w:val="00764742"/>
    <w:rsid w:val="007667DF"/>
    <w:rsid w:val="00770715"/>
    <w:rsid w:val="007744E0"/>
    <w:rsid w:val="0077735E"/>
    <w:rsid w:val="00784A35"/>
    <w:rsid w:val="00786819"/>
    <w:rsid w:val="007938B0"/>
    <w:rsid w:val="007963FF"/>
    <w:rsid w:val="00797A75"/>
    <w:rsid w:val="007A594D"/>
    <w:rsid w:val="007A761B"/>
    <w:rsid w:val="007B22E2"/>
    <w:rsid w:val="007B2315"/>
    <w:rsid w:val="007B457A"/>
    <w:rsid w:val="007C1253"/>
    <w:rsid w:val="007C12D7"/>
    <w:rsid w:val="007E426E"/>
    <w:rsid w:val="007F1977"/>
    <w:rsid w:val="007F2B8D"/>
    <w:rsid w:val="007F42A9"/>
    <w:rsid w:val="008000AB"/>
    <w:rsid w:val="00804B59"/>
    <w:rsid w:val="00812FE6"/>
    <w:rsid w:val="00816429"/>
    <w:rsid w:val="00816DD0"/>
    <w:rsid w:val="00821FD0"/>
    <w:rsid w:val="00823626"/>
    <w:rsid w:val="00824DAA"/>
    <w:rsid w:val="00825C58"/>
    <w:rsid w:val="00832CAE"/>
    <w:rsid w:val="008365D7"/>
    <w:rsid w:val="00844E3E"/>
    <w:rsid w:val="008508B5"/>
    <w:rsid w:val="008513FA"/>
    <w:rsid w:val="0085372A"/>
    <w:rsid w:val="00856669"/>
    <w:rsid w:val="00857AEC"/>
    <w:rsid w:val="0086037D"/>
    <w:rsid w:val="00866D1F"/>
    <w:rsid w:val="00871423"/>
    <w:rsid w:val="0087374E"/>
    <w:rsid w:val="00875769"/>
    <w:rsid w:val="0087715C"/>
    <w:rsid w:val="00880164"/>
    <w:rsid w:val="008833D5"/>
    <w:rsid w:val="008836B2"/>
    <w:rsid w:val="00893D25"/>
    <w:rsid w:val="00894E74"/>
    <w:rsid w:val="008A5193"/>
    <w:rsid w:val="008B06A9"/>
    <w:rsid w:val="008B3C7C"/>
    <w:rsid w:val="008B7F56"/>
    <w:rsid w:val="008C289B"/>
    <w:rsid w:val="008D1D08"/>
    <w:rsid w:val="008E3014"/>
    <w:rsid w:val="008F6860"/>
    <w:rsid w:val="009029C1"/>
    <w:rsid w:val="0091514D"/>
    <w:rsid w:val="00923314"/>
    <w:rsid w:val="00926063"/>
    <w:rsid w:val="00927FDC"/>
    <w:rsid w:val="00934D0F"/>
    <w:rsid w:val="00934D24"/>
    <w:rsid w:val="00934EF3"/>
    <w:rsid w:val="009360EF"/>
    <w:rsid w:val="0094227E"/>
    <w:rsid w:val="00946387"/>
    <w:rsid w:val="00950C98"/>
    <w:rsid w:val="0095241F"/>
    <w:rsid w:val="00955F33"/>
    <w:rsid w:val="009651CD"/>
    <w:rsid w:val="00965616"/>
    <w:rsid w:val="00965D63"/>
    <w:rsid w:val="009661A2"/>
    <w:rsid w:val="00966BF5"/>
    <w:rsid w:val="00967FD3"/>
    <w:rsid w:val="00972680"/>
    <w:rsid w:val="009726B3"/>
    <w:rsid w:val="00975098"/>
    <w:rsid w:val="00976373"/>
    <w:rsid w:val="00976AEF"/>
    <w:rsid w:val="00977216"/>
    <w:rsid w:val="009821A6"/>
    <w:rsid w:val="0099137F"/>
    <w:rsid w:val="009A0D31"/>
    <w:rsid w:val="009A12E4"/>
    <w:rsid w:val="009A2D5A"/>
    <w:rsid w:val="009A2ECB"/>
    <w:rsid w:val="009A33BD"/>
    <w:rsid w:val="009C4F05"/>
    <w:rsid w:val="009D3CDF"/>
    <w:rsid w:val="009D3F84"/>
    <w:rsid w:val="009D53D3"/>
    <w:rsid w:val="009E1AB6"/>
    <w:rsid w:val="009E2DA1"/>
    <w:rsid w:val="009E3919"/>
    <w:rsid w:val="009E5573"/>
    <w:rsid w:val="009F1045"/>
    <w:rsid w:val="009F1883"/>
    <w:rsid w:val="009F3286"/>
    <w:rsid w:val="009F3D09"/>
    <w:rsid w:val="009F7E52"/>
    <w:rsid w:val="00A0040C"/>
    <w:rsid w:val="00A0091A"/>
    <w:rsid w:val="00A220E2"/>
    <w:rsid w:val="00A24A19"/>
    <w:rsid w:val="00A26BA6"/>
    <w:rsid w:val="00A31FE1"/>
    <w:rsid w:val="00A42B10"/>
    <w:rsid w:val="00A44D9D"/>
    <w:rsid w:val="00A460E3"/>
    <w:rsid w:val="00A50280"/>
    <w:rsid w:val="00A50368"/>
    <w:rsid w:val="00A60C76"/>
    <w:rsid w:val="00A61A8B"/>
    <w:rsid w:val="00A62D95"/>
    <w:rsid w:val="00A64C0F"/>
    <w:rsid w:val="00A66F4F"/>
    <w:rsid w:val="00A813EB"/>
    <w:rsid w:val="00A821A2"/>
    <w:rsid w:val="00A84402"/>
    <w:rsid w:val="00A85D3A"/>
    <w:rsid w:val="00A97E90"/>
    <w:rsid w:val="00AA159E"/>
    <w:rsid w:val="00AA32AD"/>
    <w:rsid w:val="00AA5924"/>
    <w:rsid w:val="00AB141F"/>
    <w:rsid w:val="00AB72D7"/>
    <w:rsid w:val="00AC425F"/>
    <w:rsid w:val="00AC4F27"/>
    <w:rsid w:val="00AD30DF"/>
    <w:rsid w:val="00AD33C9"/>
    <w:rsid w:val="00AD6B83"/>
    <w:rsid w:val="00AE042C"/>
    <w:rsid w:val="00AE1F71"/>
    <w:rsid w:val="00AE6E42"/>
    <w:rsid w:val="00AF1EB9"/>
    <w:rsid w:val="00B003BE"/>
    <w:rsid w:val="00B0603A"/>
    <w:rsid w:val="00B122CF"/>
    <w:rsid w:val="00B12D99"/>
    <w:rsid w:val="00B1324A"/>
    <w:rsid w:val="00B14F5F"/>
    <w:rsid w:val="00B20378"/>
    <w:rsid w:val="00B3446F"/>
    <w:rsid w:val="00B34E6D"/>
    <w:rsid w:val="00B3776B"/>
    <w:rsid w:val="00B4086E"/>
    <w:rsid w:val="00B43A82"/>
    <w:rsid w:val="00B46560"/>
    <w:rsid w:val="00B520F1"/>
    <w:rsid w:val="00B528FF"/>
    <w:rsid w:val="00B5396A"/>
    <w:rsid w:val="00B54F81"/>
    <w:rsid w:val="00B56F72"/>
    <w:rsid w:val="00B63203"/>
    <w:rsid w:val="00B7512F"/>
    <w:rsid w:val="00B772C5"/>
    <w:rsid w:val="00B80653"/>
    <w:rsid w:val="00B86C3C"/>
    <w:rsid w:val="00B87598"/>
    <w:rsid w:val="00B94055"/>
    <w:rsid w:val="00B95A88"/>
    <w:rsid w:val="00BA0845"/>
    <w:rsid w:val="00BA11E7"/>
    <w:rsid w:val="00BA12AC"/>
    <w:rsid w:val="00BA31D2"/>
    <w:rsid w:val="00BA534A"/>
    <w:rsid w:val="00BA5DBC"/>
    <w:rsid w:val="00BA6081"/>
    <w:rsid w:val="00BA7F44"/>
    <w:rsid w:val="00BB1A07"/>
    <w:rsid w:val="00BC4E5A"/>
    <w:rsid w:val="00BC69DE"/>
    <w:rsid w:val="00BD0DF6"/>
    <w:rsid w:val="00BD4189"/>
    <w:rsid w:val="00BD67B0"/>
    <w:rsid w:val="00BF54CD"/>
    <w:rsid w:val="00BF7327"/>
    <w:rsid w:val="00C00594"/>
    <w:rsid w:val="00C0118E"/>
    <w:rsid w:val="00C03615"/>
    <w:rsid w:val="00C053B0"/>
    <w:rsid w:val="00C104DA"/>
    <w:rsid w:val="00C150FD"/>
    <w:rsid w:val="00C17C82"/>
    <w:rsid w:val="00C22C69"/>
    <w:rsid w:val="00C235D7"/>
    <w:rsid w:val="00C27923"/>
    <w:rsid w:val="00C30DCC"/>
    <w:rsid w:val="00C35771"/>
    <w:rsid w:val="00C362F4"/>
    <w:rsid w:val="00C3725C"/>
    <w:rsid w:val="00C41716"/>
    <w:rsid w:val="00C46152"/>
    <w:rsid w:val="00C504F3"/>
    <w:rsid w:val="00C50BA4"/>
    <w:rsid w:val="00C57EEF"/>
    <w:rsid w:val="00C63C28"/>
    <w:rsid w:val="00C65C70"/>
    <w:rsid w:val="00C70D1E"/>
    <w:rsid w:val="00C710DF"/>
    <w:rsid w:val="00C71C97"/>
    <w:rsid w:val="00C73963"/>
    <w:rsid w:val="00C7689D"/>
    <w:rsid w:val="00C77EB0"/>
    <w:rsid w:val="00C815FD"/>
    <w:rsid w:val="00C8376E"/>
    <w:rsid w:val="00C84E8D"/>
    <w:rsid w:val="00CA1DA0"/>
    <w:rsid w:val="00CA6B98"/>
    <w:rsid w:val="00CB1206"/>
    <w:rsid w:val="00CB3751"/>
    <w:rsid w:val="00CB673A"/>
    <w:rsid w:val="00CC10D5"/>
    <w:rsid w:val="00CC19D2"/>
    <w:rsid w:val="00CC7557"/>
    <w:rsid w:val="00CD2777"/>
    <w:rsid w:val="00CD2E27"/>
    <w:rsid w:val="00CE0071"/>
    <w:rsid w:val="00CE1498"/>
    <w:rsid w:val="00CE7C6F"/>
    <w:rsid w:val="00CF1C24"/>
    <w:rsid w:val="00CF1DEA"/>
    <w:rsid w:val="00CF478C"/>
    <w:rsid w:val="00D03789"/>
    <w:rsid w:val="00D0491F"/>
    <w:rsid w:val="00D1026C"/>
    <w:rsid w:val="00D13411"/>
    <w:rsid w:val="00D1581C"/>
    <w:rsid w:val="00D22B63"/>
    <w:rsid w:val="00D34011"/>
    <w:rsid w:val="00D402B4"/>
    <w:rsid w:val="00D40E2B"/>
    <w:rsid w:val="00D41259"/>
    <w:rsid w:val="00D446BD"/>
    <w:rsid w:val="00D47821"/>
    <w:rsid w:val="00D51E32"/>
    <w:rsid w:val="00D52B45"/>
    <w:rsid w:val="00D52E5D"/>
    <w:rsid w:val="00D54E9E"/>
    <w:rsid w:val="00D55237"/>
    <w:rsid w:val="00D55334"/>
    <w:rsid w:val="00D60544"/>
    <w:rsid w:val="00D6219C"/>
    <w:rsid w:val="00D624AB"/>
    <w:rsid w:val="00D63BDB"/>
    <w:rsid w:val="00D652E2"/>
    <w:rsid w:val="00D70DD6"/>
    <w:rsid w:val="00D76A43"/>
    <w:rsid w:val="00D770A7"/>
    <w:rsid w:val="00D77275"/>
    <w:rsid w:val="00D87A40"/>
    <w:rsid w:val="00D902E2"/>
    <w:rsid w:val="00D90794"/>
    <w:rsid w:val="00D96B98"/>
    <w:rsid w:val="00D97786"/>
    <w:rsid w:val="00DA2EDD"/>
    <w:rsid w:val="00DA4570"/>
    <w:rsid w:val="00DA5D71"/>
    <w:rsid w:val="00DA7093"/>
    <w:rsid w:val="00DB04C8"/>
    <w:rsid w:val="00DB2EEB"/>
    <w:rsid w:val="00DC6C4A"/>
    <w:rsid w:val="00DD16EA"/>
    <w:rsid w:val="00DE4612"/>
    <w:rsid w:val="00DE47D6"/>
    <w:rsid w:val="00DF0AFB"/>
    <w:rsid w:val="00DF544B"/>
    <w:rsid w:val="00E00609"/>
    <w:rsid w:val="00E0073B"/>
    <w:rsid w:val="00E01194"/>
    <w:rsid w:val="00E01BEB"/>
    <w:rsid w:val="00E06901"/>
    <w:rsid w:val="00E07D0B"/>
    <w:rsid w:val="00E10371"/>
    <w:rsid w:val="00E20F55"/>
    <w:rsid w:val="00E2211B"/>
    <w:rsid w:val="00E34CEE"/>
    <w:rsid w:val="00E35B5B"/>
    <w:rsid w:val="00E365CC"/>
    <w:rsid w:val="00E4173A"/>
    <w:rsid w:val="00E43DCA"/>
    <w:rsid w:val="00E6240D"/>
    <w:rsid w:val="00E62F87"/>
    <w:rsid w:val="00E65588"/>
    <w:rsid w:val="00E6627A"/>
    <w:rsid w:val="00E7240C"/>
    <w:rsid w:val="00E741E1"/>
    <w:rsid w:val="00E75D7F"/>
    <w:rsid w:val="00E76EFA"/>
    <w:rsid w:val="00E77FD2"/>
    <w:rsid w:val="00E92E81"/>
    <w:rsid w:val="00E96A17"/>
    <w:rsid w:val="00EA4799"/>
    <w:rsid w:val="00EA5031"/>
    <w:rsid w:val="00EA564D"/>
    <w:rsid w:val="00EB069C"/>
    <w:rsid w:val="00EB1137"/>
    <w:rsid w:val="00EB13EC"/>
    <w:rsid w:val="00EB2674"/>
    <w:rsid w:val="00EB5FDB"/>
    <w:rsid w:val="00EB6353"/>
    <w:rsid w:val="00EB7B10"/>
    <w:rsid w:val="00EC0102"/>
    <w:rsid w:val="00EC2310"/>
    <w:rsid w:val="00EC3F12"/>
    <w:rsid w:val="00EC6120"/>
    <w:rsid w:val="00EC6828"/>
    <w:rsid w:val="00EC7155"/>
    <w:rsid w:val="00ED1665"/>
    <w:rsid w:val="00ED46A9"/>
    <w:rsid w:val="00ED53DA"/>
    <w:rsid w:val="00EE4B8A"/>
    <w:rsid w:val="00EE57F1"/>
    <w:rsid w:val="00EE683A"/>
    <w:rsid w:val="00EE6CB6"/>
    <w:rsid w:val="00EF2D4C"/>
    <w:rsid w:val="00F04C20"/>
    <w:rsid w:val="00F078CA"/>
    <w:rsid w:val="00F12555"/>
    <w:rsid w:val="00F1769E"/>
    <w:rsid w:val="00F20356"/>
    <w:rsid w:val="00F20A50"/>
    <w:rsid w:val="00F2393E"/>
    <w:rsid w:val="00F24176"/>
    <w:rsid w:val="00F26F01"/>
    <w:rsid w:val="00F276AE"/>
    <w:rsid w:val="00F33DF4"/>
    <w:rsid w:val="00F3756B"/>
    <w:rsid w:val="00F41F3B"/>
    <w:rsid w:val="00F51C1A"/>
    <w:rsid w:val="00F53303"/>
    <w:rsid w:val="00F5413B"/>
    <w:rsid w:val="00F55D5D"/>
    <w:rsid w:val="00F56880"/>
    <w:rsid w:val="00F56E32"/>
    <w:rsid w:val="00F618BD"/>
    <w:rsid w:val="00F61EEB"/>
    <w:rsid w:val="00F62475"/>
    <w:rsid w:val="00F6266D"/>
    <w:rsid w:val="00F63DAF"/>
    <w:rsid w:val="00F715D2"/>
    <w:rsid w:val="00F732FA"/>
    <w:rsid w:val="00F92505"/>
    <w:rsid w:val="00F96E17"/>
    <w:rsid w:val="00FA4668"/>
    <w:rsid w:val="00FA5867"/>
    <w:rsid w:val="00FB56C5"/>
    <w:rsid w:val="00FB69DB"/>
    <w:rsid w:val="00FC0EE7"/>
    <w:rsid w:val="00FC1082"/>
    <w:rsid w:val="00FC2790"/>
    <w:rsid w:val="00FC637A"/>
    <w:rsid w:val="00FC7609"/>
    <w:rsid w:val="00FC77E7"/>
    <w:rsid w:val="00FD4286"/>
    <w:rsid w:val="00FD7180"/>
    <w:rsid w:val="00FE1B91"/>
    <w:rsid w:val="00FE3B4D"/>
    <w:rsid w:val="00FE3F42"/>
    <w:rsid w:val="00FF2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2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6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6BA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68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682F"/>
  </w:style>
  <w:style w:type="paragraph" w:styleId="a8">
    <w:name w:val="footer"/>
    <w:basedOn w:val="a"/>
    <w:link w:val="a9"/>
    <w:uiPriority w:val="99"/>
    <w:unhideWhenUsed/>
    <w:rsid w:val="003F68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682F"/>
  </w:style>
  <w:style w:type="paragraph" w:styleId="aa">
    <w:name w:val="Normal (Web)"/>
    <w:basedOn w:val="a"/>
    <w:uiPriority w:val="99"/>
    <w:semiHidden/>
    <w:unhideWhenUsed/>
    <w:rsid w:val="008B7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8B7F56"/>
    <w:rPr>
      <w:b/>
      <w:bCs/>
    </w:rPr>
  </w:style>
  <w:style w:type="character" w:styleId="ac">
    <w:name w:val="Hyperlink"/>
    <w:basedOn w:val="a0"/>
    <w:uiPriority w:val="99"/>
    <w:semiHidden/>
    <w:unhideWhenUsed/>
    <w:rsid w:val="000529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09CE2-A4AA-4ECF-9334-68B36A026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954</Words>
  <Characters>5444</Characters>
  <Application>Microsoft Office Word</Application>
  <DocSecurity>0</DocSecurity>
  <Lines>45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Titluri</vt:lpstr>
      </vt:variant>
      <vt:variant>
        <vt:i4>2</vt:i4>
      </vt:variant>
    </vt:vector>
  </HeadingPairs>
  <TitlesOfParts>
    <vt:vector size="4" baseType="lpstr">
      <vt:lpstr/>
      <vt:lpstr/>
      <vt:lpstr>GUVERNUL REPUBLICII MOLDOVA</vt:lpstr>
      <vt:lpstr>    Cu privire la alocarea mijloacelor financiare</vt:lpstr>
    </vt:vector>
  </TitlesOfParts>
  <Company>Hewlett-Packard Company</Company>
  <LinksUpToDate>false</LinksUpToDate>
  <CharactersWithSpaces>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Pantilii Natalia</dc:creator>
  <cp:lastModifiedBy>inna.siuris</cp:lastModifiedBy>
  <cp:revision>39</cp:revision>
  <cp:lastPrinted>2021-10-29T06:20:00Z</cp:lastPrinted>
  <dcterms:created xsi:type="dcterms:W3CDTF">2021-10-28T11:22:00Z</dcterms:created>
  <dcterms:modified xsi:type="dcterms:W3CDTF">2021-10-29T12:40:00Z</dcterms:modified>
</cp:coreProperties>
</file>