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22" w:rsidRPr="00595AA4" w:rsidRDefault="00656922" w:rsidP="00656922">
      <w:pPr>
        <w:rPr>
          <w:lang w:val="ro-RO"/>
        </w:rPr>
      </w:pPr>
    </w:p>
    <w:p w:rsidR="008E7EEC" w:rsidRPr="00595AA4" w:rsidRDefault="00FE1791" w:rsidP="008E7EEC">
      <w:pPr>
        <w:jc w:val="right"/>
        <w:rPr>
          <w:i/>
          <w:lang w:val="ro-RO"/>
        </w:rPr>
      </w:pPr>
      <w:r w:rsidRPr="00595AA4">
        <w:rPr>
          <w:i/>
          <w:lang w:val="ro-RO"/>
        </w:rPr>
        <w:t>Anexa nr.1</w:t>
      </w:r>
    </w:p>
    <w:p w:rsidR="008E7EEC" w:rsidRPr="00595AA4" w:rsidRDefault="00FE1791" w:rsidP="008E7EEC">
      <w:pPr>
        <w:jc w:val="right"/>
        <w:rPr>
          <w:lang w:val="ro-RO"/>
        </w:rPr>
      </w:pPr>
      <w:r w:rsidRPr="005843D3">
        <w:rPr>
          <w:lang w:val="ro-RO"/>
        </w:rPr>
        <w:t>la</w:t>
      </w:r>
      <w:r w:rsidRPr="00595AA4">
        <w:rPr>
          <w:lang w:val="ro-RO"/>
        </w:rPr>
        <w:t xml:space="preserve"> </w:t>
      </w:r>
      <w:r w:rsidR="00595AA4" w:rsidRPr="00595AA4">
        <w:rPr>
          <w:lang w:val="ro-RO"/>
        </w:rPr>
        <w:t>Hotărârea</w:t>
      </w:r>
      <w:r w:rsidR="008E7EEC" w:rsidRPr="00595AA4">
        <w:rPr>
          <w:lang w:val="ro-RO"/>
        </w:rPr>
        <w:t xml:space="preserve"> Guvernului</w:t>
      </w:r>
    </w:p>
    <w:p w:rsidR="008E7EEC" w:rsidRPr="00595AA4" w:rsidRDefault="008E7EEC" w:rsidP="008E7EEC">
      <w:pPr>
        <w:jc w:val="right"/>
        <w:rPr>
          <w:lang w:val="ro-RO"/>
        </w:rPr>
      </w:pPr>
      <w:r w:rsidRPr="00595AA4">
        <w:rPr>
          <w:lang w:val="ro-RO"/>
        </w:rPr>
        <w:t>nr. ____ din ______________ 201</w:t>
      </w:r>
      <w:r w:rsidR="00BE53AB" w:rsidRPr="00595AA4">
        <w:rPr>
          <w:lang w:val="ro-RO"/>
        </w:rPr>
        <w:t>8</w:t>
      </w:r>
    </w:p>
    <w:p w:rsidR="008E7EEC" w:rsidRPr="00595AA4" w:rsidRDefault="008E7EEC" w:rsidP="008E7EEC">
      <w:pPr>
        <w:jc w:val="center"/>
        <w:rPr>
          <w:b/>
          <w:bCs/>
          <w:lang w:val="ro-RO"/>
        </w:rPr>
      </w:pPr>
    </w:p>
    <w:p w:rsidR="008E7EEC" w:rsidRPr="00595AA4" w:rsidRDefault="008E7EEC" w:rsidP="008E7EEC">
      <w:pPr>
        <w:jc w:val="center"/>
        <w:rPr>
          <w:b/>
          <w:lang w:val="ro-RO"/>
        </w:rPr>
      </w:pPr>
      <w:r w:rsidRPr="00595AA4">
        <w:rPr>
          <w:b/>
          <w:bCs/>
          <w:lang w:val="ro-RO"/>
        </w:rPr>
        <w:t>PLAN DE ACŢIUNI</w:t>
      </w:r>
    </w:p>
    <w:p w:rsidR="008E7EEC" w:rsidRPr="00595AA4" w:rsidRDefault="008E7EEC" w:rsidP="008E7EEC">
      <w:pPr>
        <w:ind w:firstLine="567"/>
        <w:jc w:val="center"/>
        <w:rPr>
          <w:b/>
          <w:lang w:val="ro-RO"/>
        </w:rPr>
      </w:pPr>
      <w:r w:rsidRPr="00595AA4">
        <w:rPr>
          <w:b/>
          <w:lang w:val="ro-RO"/>
        </w:rPr>
        <w:t xml:space="preserve">pentru executarea prevederilor art.46 alin.(8) din </w:t>
      </w:r>
      <w:r w:rsidRPr="00595AA4">
        <w:rPr>
          <w:b/>
          <w:bCs/>
          <w:lang w:val="ro-RO"/>
        </w:rPr>
        <w:t xml:space="preserve">Legea nr.234 din 3 octombrie 2016 </w:t>
      </w:r>
      <w:r w:rsidRPr="00595AA4">
        <w:rPr>
          <w:b/>
          <w:lang w:val="ro-RO"/>
        </w:rPr>
        <w:t>cu privire la Depozitarul central unic al valorilor mobiliare</w:t>
      </w:r>
    </w:p>
    <w:p w:rsidR="00F60663" w:rsidRPr="00595AA4" w:rsidRDefault="00F60663" w:rsidP="008E7EEC">
      <w:pPr>
        <w:ind w:firstLine="567"/>
        <w:jc w:val="center"/>
        <w:rPr>
          <w:b/>
          <w:lang w:val="ro-RO"/>
        </w:rPr>
      </w:pPr>
    </w:p>
    <w:tbl>
      <w:tblPr>
        <w:tblStyle w:val="TableGrid"/>
        <w:tblW w:w="9738" w:type="dxa"/>
        <w:tblLook w:val="04A0" w:firstRow="1" w:lastRow="0" w:firstColumn="1" w:lastColumn="0" w:noHBand="0" w:noVBand="1"/>
      </w:tblPr>
      <w:tblGrid>
        <w:gridCol w:w="1951"/>
        <w:gridCol w:w="4547"/>
        <w:gridCol w:w="1530"/>
        <w:gridCol w:w="1710"/>
      </w:tblGrid>
      <w:tr w:rsidR="006F5475" w:rsidRPr="00595AA4" w:rsidTr="006F5475">
        <w:trPr>
          <w:tblHeader/>
        </w:trPr>
        <w:tc>
          <w:tcPr>
            <w:tcW w:w="1951" w:type="dxa"/>
          </w:tcPr>
          <w:p w:rsidR="006F5475" w:rsidRPr="00595AA4" w:rsidRDefault="006F5475" w:rsidP="008E7EEC">
            <w:pPr>
              <w:jc w:val="center"/>
              <w:rPr>
                <w:b/>
                <w:lang w:val="ro-RO"/>
              </w:rPr>
            </w:pPr>
            <w:r w:rsidRPr="00595AA4">
              <w:rPr>
                <w:b/>
                <w:lang w:val="ro-RO"/>
              </w:rPr>
              <w:t>Acțiuni</w:t>
            </w:r>
          </w:p>
        </w:tc>
        <w:tc>
          <w:tcPr>
            <w:tcW w:w="4547" w:type="dxa"/>
          </w:tcPr>
          <w:p w:rsidR="006F5475" w:rsidRPr="00595AA4" w:rsidRDefault="006F5475" w:rsidP="008E7EEC">
            <w:pPr>
              <w:jc w:val="center"/>
              <w:rPr>
                <w:b/>
                <w:lang w:val="ro-RO"/>
              </w:rPr>
            </w:pPr>
            <w:r w:rsidRPr="00595AA4">
              <w:rPr>
                <w:b/>
                <w:lang w:val="ro-RO"/>
              </w:rPr>
              <w:t>Sub acțiuni</w:t>
            </w:r>
          </w:p>
        </w:tc>
        <w:tc>
          <w:tcPr>
            <w:tcW w:w="1530" w:type="dxa"/>
          </w:tcPr>
          <w:p w:rsidR="006F5475" w:rsidRPr="00595AA4" w:rsidRDefault="006F5475" w:rsidP="008E7EEC">
            <w:pPr>
              <w:jc w:val="center"/>
              <w:rPr>
                <w:b/>
                <w:lang w:val="ro-RO"/>
              </w:rPr>
            </w:pPr>
            <w:r w:rsidRPr="00595AA4">
              <w:rPr>
                <w:b/>
                <w:lang w:val="ro-RO"/>
              </w:rPr>
              <w:t>Instituții responsabile</w:t>
            </w:r>
          </w:p>
        </w:tc>
        <w:tc>
          <w:tcPr>
            <w:tcW w:w="1710" w:type="dxa"/>
          </w:tcPr>
          <w:p w:rsidR="006F5475" w:rsidRPr="00595AA4" w:rsidRDefault="006F5475" w:rsidP="008E7EEC">
            <w:pPr>
              <w:jc w:val="center"/>
              <w:rPr>
                <w:b/>
                <w:lang w:val="ro-RO"/>
              </w:rPr>
            </w:pPr>
            <w:r w:rsidRPr="00595AA4">
              <w:rPr>
                <w:b/>
                <w:lang w:val="ro-RO"/>
              </w:rPr>
              <w:t>Sursa de finanțare</w:t>
            </w:r>
          </w:p>
        </w:tc>
      </w:tr>
      <w:tr w:rsidR="006F5475" w:rsidRPr="00595AA4" w:rsidTr="006F5475">
        <w:trPr>
          <w:tblHeader/>
        </w:trPr>
        <w:tc>
          <w:tcPr>
            <w:tcW w:w="1951" w:type="dxa"/>
          </w:tcPr>
          <w:p w:rsidR="006F5475" w:rsidRPr="00595AA4" w:rsidRDefault="006F5475" w:rsidP="008E7EEC">
            <w:pPr>
              <w:jc w:val="center"/>
              <w:rPr>
                <w:b/>
                <w:sz w:val="18"/>
                <w:szCs w:val="18"/>
                <w:lang w:val="ro-RO"/>
              </w:rPr>
            </w:pPr>
            <w:r w:rsidRPr="00595AA4">
              <w:rPr>
                <w:b/>
                <w:sz w:val="18"/>
                <w:szCs w:val="18"/>
                <w:lang w:val="ro-RO"/>
              </w:rPr>
              <w:t>1</w:t>
            </w:r>
          </w:p>
        </w:tc>
        <w:tc>
          <w:tcPr>
            <w:tcW w:w="4547" w:type="dxa"/>
          </w:tcPr>
          <w:p w:rsidR="006F5475" w:rsidRPr="00595AA4" w:rsidRDefault="006F5475" w:rsidP="008E7EEC">
            <w:pPr>
              <w:jc w:val="center"/>
              <w:rPr>
                <w:b/>
                <w:sz w:val="18"/>
                <w:szCs w:val="18"/>
                <w:lang w:val="ro-RO"/>
              </w:rPr>
            </w:pPr>
            <w:r w:rsidRPr="00595AA4">
              <w:rPr>
                <w:b/>
                <w:sz w:val="18"/>
                <w:szCs w:val="18"/>
                <w:lang w:val="ro-RO"/>
              </w:rPr>
              <w:t>2</w:t>
            </w:r>
          </w:p>
        </w:tc>
        <w:tc>
          <w:tcPr>
            <w:tcW w:w="1530" w:type="dxa"/>
          </w:tcPr>
          <w:p w:rsidR="006F5475" w:rsidRPr="00595AA4" w:rsidRDefault="006F5475" w:rsidP="008E7EEC">
            <w:pPr>
              <w:jc w:val="center"/>
              <w:rPr>
                <w:b/>
                <w:sz w:val="18"/>
                <w:szCs w:val="18"/>
                <w:lang w:val="ro-RO"/>
              </w:rPr>
            </w:pPr>
            <w:r>
              <w:rPr>
                <w:b/>
                <w:sz w:val="18"/>
                <w:szCs w:val="18"/>
                <w:lang w:val="ro-RO"/>
              </w:rPr>
              <w:t>3</w:t>
            </w:r>
          </w:p>
        </w:tc>
        <w:tc>
          <w:tcPr>
            <w:tcW w:w="1710" w:type="dxa"/>
          </w:tcPr>
          <w:p w:rsidR="006F5475" w:rsidRPr="00595AA4" w:rsidRDefault="006F5475" w:rsidP="008E7EEC">
            <w:pPr>
              <w:jc w:val="center"/>
              <w:rPr>
                <w:b/>
                <w:sz w:val="18"/>
                <w:szCs w:val="18"/>
                <w:lang w:val="ro-RO"/>
              </w:rPr>
            </w:pPr>
            <w:r>
              <w:rPr>
                <w:b/>
                <w:sz w:val="18"/>
                <w:szCs w:val="18"/>
                <w:lang w:val="ro-RO"/>
              </w:rPr>
              <w:t>4</w:t>
            </w:r>
            <w:bookmarkStart w:id="0" w:name="_GoBack"/>
            <w:bookmarkEnd w:id="0"/>
          </w:p>
        </w:tc>
      </w:tr>
      <w:tr w:rsidR="006F5475" w:rsidRPr="00595AA4" w:rsidTr="006F5475">
        <w:tc>
          <w:tcPr>
            <w:tcW w:w="1951" w:type="dxa"/>
            <w:vMerge w:val="restart"/>
          </w:tcPr>
          <w:p w:rsidR="006F5475" w:rsidRPr="00595AA4" w:rsidRDefault="006F5475" w:rsidP="00333E1B">
            <w:pPr>
              <w:jc w:val="both"/>
              <w:rPr>
                <w:b/>
                <w:sz w:val="18"/>
                <w:szCs w:val="18"/>
                <w:lang w:val="ro-RO"/>
              </w:rPr>
            </w:pPr>
            <w:r w:rsidRPr="00595AA4">
              <w:rPr>
                <w:lang w:val="ro-RO"/>
              </w:rPr>
              <w:t>1.1 Asigurarea condițiilor pentru executarea art.46 alin.(8) din Legea nr.234/2016</w:t>
            </w:r>
          </w:p>
        </w:tc>
        <w:tc>
          <w:tcPr>
            <w:tcW w:w="4547" w:type="dxa"/>
          </w:tcPr>
          <w:p w:rsidR="006F5475" w:rsidRPr="00595AA4" w:rsidRDefault="006F5475" w:rsidP="00E2573D">
            <w:pPr>
              <w:tabs>
                <w:tab w:val="left" w:pos="497"/>
                <w:tab w:val="left" w:pos="1206"/>
                <w:tab w:val="left" w:pos="1345"/>
              </w:tabs>
              <w:jc w:val="both"/>
              <w:rPr>
                <w:b/>
                <w:sz w:val="18"/>
                <w:szCs w:val="18"/>
                <w:lang w:val="ro-RO"/>
              </w:rPr>
            </w:pPr>
            <w:r w:rsidRPr="00595AA4">
              <w:rPr>
                <w:lang w:val="ro-RO"/>
              </w:rPr>
              <w:t>1.1.1 angajarea/detașarea personalului necesar</w:t>
            </w:r>
          </w:p>
        </w:tc>
        <w:tc>
          <w:tcPr>
            <w:tcW w:w="1530" w:type="dxa"/>
            <w:vMerge w:val="restart"/>
          </w:tcPr>
          <w:p w:rsidR="006F5475" w:rsidRPr="00595AA4" w:rsidRDefault="006F5475" w:rsidP="008E7EEC">
            <w:pPr>
              <w:jc w:val="center"/>
              <w:rPr>
                <w:sz w:val="18"/>
                <w:szCs w:val="18"/>
                <w:lang w:val="ro-RO"/>
              </w:rPr>
            </w:pPr>
            <w:r w:rsidRPr="00595AA4">
              <w:rPr>
                <w:bCs/>
                <w:lang w:val="ro-RO"/>
              </w:rPr>
              <w:t>CNPF</w:t>
            </w:r>
          </w:p>
        </w:tc>
        <w:tc>
          <w:tcPr>
            <w:tcW w:w="1710" w:type="dxa"/>
            <w:vMerge w:val="restart"/>
          </w:tcPr>
          <w:p w:rsidR="006F5475" w:rsidRPr="00595AA4" w:rsidRDefault="006F5475" w:rsidP="008E7EEC">
            <w:pPr>
              <w:jc w:val="center"/>
              <w:rPr>
                <w:sz w:val="18"/>
                <w:szCs w:val="18"/>
                <w:lang w:val="ro-RO"/>
              </w:rPr>
            </w:pPr>
            <w:r w:rsidRPr="00595AA4">
              <w:rPr>
                <w:lang w:val="ro-RO"/>
              </w:rPr>
              <w:t>Bugetul emitentului</w:t>
            </w: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 xml:space="preserve">1.1.2 dotarea </w:t>
            </w:r>
            <w:proofErr w:type="spellStart"/>
            <w:r w:rsidRPr="00595AA4">
              <w:rPr>
                <w:lang w:val="ro-RO"/>
              </w:rPr>
              <w:t>tehnico</w:t>
            </w:r>
            <w:proofErr w:type="spellEnd"/>
            <w:r w:rsidRPr="00595AA4">
              <w:rPr>
                <w:lang w:val="ro-RO"/>
              </w:rPr>
              <w:t>-materială a personalului</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595AA4" w:rsidTr="006F5475">
        <w:tc>
          <w:tcPr>
            <w:tcW w:w="1951" w:type="dxa"/>
            <w:vMerge w:val="restart"/>
          </w:tcPr>
          <w:p w:rsidR="006F5475" w:rsidRPr="00595AA4" w:rsidRDefault="006F5475" w:rsidP="00333E1B">
            <w:pPr>
              <w:jc w:val="both"/>
              <w:rPr>
                <w:b/>
                <w:sz w:val="18"/>
                <w:szCs w:val="18"/>
                <w:lang w:val="ro-RO"/>
              </w:rPr>
            </w:pPr>
            <w:r w:rsidRPr="00595AA4">
              <w:rPr>
                <w:lang w:val="ro-RO"/>
              </w:rPr>
              <w:t>2.1 Confruntarea datelor aferente registrelor deținătorilor de valori mobiliare din diferite resurse informaționale</w:t>
            </w:r>
          </w:p>
        </w:tc>
        <w:tc>
          <w:tcPr>
            <w:tcW w:w="4547" w:type="dxa"/>
          </w:tcPr>
          <w:p w:rsidR="006F5475" w:rsidRPr="00595AA4" w:rsidRDefault="006F5475" w:rsidP="00333E1B">
            <w:pPr>
              <w:jc w:val="both"/>
              <w:rPr>
                <w:b/>
                <w:sz w:val="18"/>
                <w:szCs w:val="18"/>
                <w:lang w:val="ro-RO"/>
              </w:rPr>
            </w:pPr>
            <w:r w:rsidRPr="00595AA4">
              <w:rPr>
                <w:lang w:val="ro-RO"/>
              </w:rPr>
              <w:t>2.1.1 verificarea balanței valorilor mobiliare conform datelor deținute de CNPF</w:t>
            </w:r>
          </w:p>
        </w:tc>
        <w:tc>
          <w:tcPr>
            <w:tcW w:w="1530" w:type="dxa"/>
            <w:vMerge w:val="restart"/>
          </w:tcPr>
          <w:p w:rsidR="006F5475" w:rsidRPr="00595AA4" w:rsidRDefault="006F5475" w:rsidP="008E7EEC">
            <w:pPr>
              <w:jc w:val="center"/>
              <w:rPr>
                <w:sz w:val="18"/>
                <w:szCs w:val="18"/>
                <w:lang w:val="ro-RO"/>
              </w:rPr>
            </w:pPr>
            <w:r w:rsidRPr="00595AA4">
              <w:rPr>
                <w:bCs/>
                <w:lang w:val="ro-RO"/>
              </w:rPr>
              <w:t>CNPF</w:t>
            </w:r>
          </w:p>
        </w:tc>
        <w:tc>
          <w:tcPr>
            <w:tcW w:w="1710" w:type="dxa"/>
            <w:vMerge w:val="restart"/>
          </w:tcPr>
          <w:p w:rsidR="006F5475" w:rsidRPr="00595AA4" w:rsidRDefault="006F5475" w:rsidP="00E9753E">
            <w:pPr>
              <w:jc w:val="center"/>
              <w:rPr>
                <w:lang w:val="ro-RO"/>
              </w:rPr>
            </w:pPr>
            <w:r w:rsidRPr="00595AA4">
              <w:rPr>
                <w:lang w:val="ro-RO"/>
              </w:rPr>
              <w:t>Bugetul emitentului</w:t>
            </w:r>
          </w:p>
          <w:p w:rsidR="006F5475" w:rsidRPr="00595AA4" w:rsidRDefault="006F5475" w:rsidP="008E7EEC">
            <w:pPr>
              <w:jc w:val="center"/>
              <w:rPr>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2.1.2 solicitarea de la societatea de registru a listei deținătorilor de valori mobiliare în forma stabilită de CNPF</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2.1.3 prelucrarea listelor eliberate de societățile de registru pentru identificarea valorilor mobiliare aflate în evidența custozilor</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 xml:space="preserve">2.1.4 solicitarea de la custozi a </w:t>
            </w:r>
            <w:proofErr w:type="spellStart"/>
            <w:r w:rsidRPr="00595AA4">
              <w:rPr>
                <w:lang w:val="ro-RO"/>
              </w:rPr>
              <w:t>informaţiei</w:t>
            </w:r>
            <w:proofErr w:type="spellEnd"/>
            <w:r w:rsidRPr="00595AA4">
              <w:rPr>
                <w:lang w:val="ro-RO"/>
              </w:rPr>
              <w:t xml:space="preserve"> pe deținătorii de valori mobiliare aflați în evidență în forma stabilită de CNPF</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2.1.5 contrapunerea datelor prezentate de societățile de registru și custozi cu datele deținute de CNPF</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 xml:space="preserve">2.1.6 solicitarea de la emitentul de valori mobiliare a listei </w:t>
            </w:r>
            <w:proofErr w:type="spellStart"/>
            <w:r w:rsidRPr="00595AA4">
              <w:rPr>
                <w:lang w:val="ro-RO"/>
              </w:rPr>
              <w:t>acţionarilor</w:t>
            </w:r>
            <w:proofErr w:type="spellEnd"/>
            <w:r w:rsidRPr="00595AA4">
              <w:rPr>
                <w:lang w:val="ro-RO"/>
              </w:rPr>
              <w:t xml:space="preserve"> inactivi</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rPr>
          <w:trHeight w:val="1119"/>
        </w:trPr>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 xml:space="preserve">2.1.7 verificarea datelor acționarilor inactivi cu datele din Registrul de stat al </w:t>
            </w:r>
            <w:proofErr w:type="spellStart"/>
            <w:r w:rsidRPr="00595AA4">
              <w:rPr>
                <w:lang w:val="ro-RO"/>
              </w:rPr>
              <w:t>populaţiei</w:t>
            </w:r>
            <w:proofErr w:type="spellEnd"/>
            <w:r w:rsidRPr="00595AA4">
              <w:rPr>
                <w:lang w:val="ro-RO"/>
              </w:rPr>
              <w:t xml:space="preserve">, Registrul de stat al </w:t>
            </w:r>
            <w:proofErr w:type="spellStart"/>
            <w:r w:rsidRPr="00595AA4">
              <w:rPr>
                <w:lang w:val="ro-RO"/>
              </w:rPr>
              <w:t>unităţilor</w:t>
            </w:r>
            <w:proofErr w:type="spellEnd"/>
            <w:r w:rsidRPr="00595AA4">
              <w:rPr>
                <w:lang w:val="ro-RO"/>
              </w:rPr>
              <w:t xml:space="preserve"> de drept </w:t>
            </w:r>
            <w:proofErr w:type="spellStart"/>
            <w:r w:rsidRPr="00595AA4">
              <w:rPr>
                <w:lang w:val="ro-RO"/>
              </w:rPr>
              <w:t>şi</w:t>
            </w:r>
            <w:proofErr w:type="spellEnd"/>
            <w:r w:rsidRPr="00595AA4">
              <w:rPr>
                <w:lang w:val="ro-RO"/>
              </w:rPr>
              <w:t xml:space="preserve"> alte resurse </w:t>
            </w:r>
            <w:proofErr w:type="spellStart"/>
            <w:r w:rsidRPr="00595AA4">
              <w:rPr>
                <w:lang w:val="ro-RO"/>
              </w:rPr>
              <w:t>informaţionale</w:t>
            </w:r>
            <w:proofErr w:type="spellEnd"/>
            <w:r w:rsidRPr="00595AA4">
              <w:rPr>
                <w:lang w:val="ro-RO"/>
              </w:rPr>
              <w:t xml:space="preserve"> de stat</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rPr>
          <w:trHeight w:val="484"/>
        </w:trPr>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lang w:val="ro-RO"/>
              </w:rPr>
            </w:pPr>
            <w:r w:rsidRPr="00595AA4">
              <w:rPr>
                <w:lang w:val="ro-RO"/>
              </w:rPr>
              <w:t>2.1.8 verificarea datelor acționarilor inactivi aflați în afara teritoriului Republicii Moldova</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A955A9">
            <w:pPr>
              <w:jc w:val="both"/>
              <w:rPr>
                <w:b/>
                <w:sz w:val="18"/>
                <w:szCs w:val="18"/>
                <w:lang w:val="ro-RO"/>
              </w:rPr>
            </w:pPr>
            <w:r w:rsidRPr="00595AA4">
              <w:rPr>
                <w:lang w:val="ro-RO"/>
              </w:rPr>
              <w:t>2.1.9 întocmirea listei deținătorilor de valori mobiliare cu date actualizate, inclusiv a listei acționarilor neidentificați</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A955A9">
            <w:pPr>
              <w:jc w:val="both"/>
              <w:rPr>
                <w:b/>
                <w:sz w:val="18"/>
                <w:szCs w:val="18"/>
                <w:lang w:val="ro-RO"/>
              </w:rPr>
            </w:pPr>
            <w:r w:rsidRPr="00595AA4">
              <w:rPr>
                <w:lang w:val="ro-RO"/>
              </w:rPr>
              <w:t>2.1.10 prezentarea emitentului a listei deținătorilor de valori mobiliare cu date actualizate pentru notificarea acționarilor</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595AA4" w:rsidTr="006F5475">
        <w:tc>
          <w:tcPr>
            <w:tcW w:w="1951" w:type="dxa"/>
            <w:vMerge w:val="restart"/>
          </w:tcPr>
          <w:p w:rsidR="006F5475" w:rsidRPr="00595AA4" w:rsidRDefault="006F5475" w:rsidP="00191324">
            <w:pPr>
              <w:jc w:val="both"/>
              <w:rPr>
                <w:b/>
                <w:sz w:val="18"/>
                <w:szCs w:val="18"/>
                <w:lang w:val="ro-RO"/>
              </w:rPr>
            </w:pPr>
            <w:r w:rsidRPr="00595AA4">
              <w:rPr>
                <w:bCs/>
                <w:lang w:val="ro-RO"/>
              </w:rPr>
              <w:t>3.1 Notificarea acționarilor</w:t>
            </w:r>
          </w:p>
        </w:tc>
        <w:tc>
          <w:tcPr>
            <w:tcW w:w="4547" w:type="dxa"/>
          </w:tcPr>
          <w:p w:rsidR="006F5475" w:rsidRPr="00595AA4" w:rsidRDefault="006F5475" w:rsidP="00191324">
            <w:pPr>
              <w:jc w:val="both"/>
              <w:rPr>
                <w:b/>
                <w:sz w:val="18"/>
                <w:szCs w:val="18"/>
                <w:lang w:val="ro-RO"/>
              </w:rPr>
            </w:pPr>
            <w:r w:rsidRPr="00595AA4">
              <w:rPr>
                <w:lang w:val="ro-RO"/>
              </w:rPr>
              <w:t>3.1.1 Notificarea de către emitent a acționarilor (pentru acționari inactivi prin scrisori recomandate), în scopul confirmării de către acționari a acțiunilor deținute și a datelor de identificare</w:t>
            </w:r>
          </w:p>
        </w:tc>
        <w:tc>
          <w:tcPr>
            <w:tcW w:w="1530" w:type="dxa"/>
            <w:vMerge w:val="restart"/>
          </w:tcPr>
          <w:p w:rsidR="006F5475" w:rsidRPr="00595AA4" w:rsidRDefault="006F5475" w:rsidP="00B041B6">
            <w:pPr>
              <w:jc w:val="center"/>
              <w:rPr>
                <w:bCs/>
                <w:lang w:val="ro-RO"/>
              </w:rPr>
            </w:pPr>
            <w:r w:rsidRPr="00595AA4">
              <w:rPr>
                <w:bCs/>
                <w:lang w:val="ro-RO"/>
              </w:rPr>
              <w:t>Emitentul</w:t>
            </w:r>
          </w:p>
          <w:p w:rsidR="006F5475" w:rsidRPr="00595AA4" w:rsidRDefault="006F5475" w:rsidP="008E7EEC">
            <w:pPr>
              <w:jc w:val="center"/>
              <w:rPr>
                <w:sz w:val="18"/>
                <w:szCs w:val="18"/>
                <w:lang w:val="ro-RO"/>
              </w:rPr>
            </w:pPr>
          </w:p>
        </w:tc>
        <w:tc>
          <w:tcPr>
            <w:tcW w:w="1710" w:type="dxa"/>
            <w:vMerge w:val="restart"/>
          </w:tcPr>
          <w:p w:rsidR="006F5475" w:rsidRPr="00595AA4" w:rsidRDefault="006F5475" w:rsidP="00B041B6">
            <w:pPr>
              <w:jc w:val="center"/>
              <w:rPr>
                <w:lang w:val="ro-RO"/>
              </w:rPr>
            </w:pPr>
            <w:r w:rsidRPr="00595AA4">
              <w:rPr>
                <w:lang w:val="ro-RO"/>
              </w:rPr>
              <w:t>Bugetul emitentului</w:t>
            </w:r>
          </w:p>
          <w:p w:rsidR="006F5475" w:rsidRPr="00595AA4" w:rsidRDefault="006F5475" w:rsidP="008E7EEC">
            <w:pPr>
              <w:jc w:val="center"/>
              <w:rPr>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3.1.2 Recepționarea și prelucrarea informației parvenite de la acționari</w:t>
            </w:r>
          </w:p>
        </w:tc>
        <w:tc>
          <w:tcPr>
            <w:tcW w:w="1530" w:type="dxa"/>
            <w:vMerge/>
          </w:tcPr>
          <w:p w:rsidR="006F5475" w:rsidRPr="00595AA4" w:rsidRDefault="006F5475" w:rsidP="008E7EEC">
            <w:pPr>
              <w:jc w:val="center"/>
              <w:rPr>
                <w:sz w:val="18"/>
                <w:szCs w:val="18"/>
                <w:lang w:val="ro-RO"/>
              </w:rPr>
            </w:pPr>
          </w:p>
        </w:tc>
        <w:tc>
          <w:tcPr>
            <w:tcW w:w="1710" w:type="dxa"/>
            <w:vMerge/>
          </w:tcPr>
          <w:p w:rsidR="006F5475" w:rsidRPr="00595AA4" w:rsidRDefault="006F5475" w:rsidP="008E7EEC">
            <w:pPr>
              <w:jc w:val="center"/>
              <w:rPr>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 xml:space="preserve">3.1.3 întreprinderea măsurilor în scopul actualizării datelor de identificare  a acționarilor  </w:t>
            </w:r>
          </w:p>
        </w:tc>
        <w:tc>
          <w:tcPr>
            <w:tcW w:w="1530" w:type="dxa"/>
            <w:vMerge/>
          </w:tcPr>
          <w:p w:rsidR="006F5475" w:rsidRPr="00595AA4" w:rsidRDefault="006F5475" w:rsidP="008E7EEC">
            <w:pPr>
              <w:jc w:val="center"/>
              <w:rPr>
                <w:sz w:val="18"/>
                <w:szCs w:val="18"/>
                <w:lang w:val="ro-RO"/>
              </w:rPr>
            </w:pPr>
          </w:p>
        </w:tc>
        <w:tc>
          <w:tcPr>
            <w:tcW w:w="1710" w:type="dxa"/>
            <w:vMerge/>
          </w:tcPr>
          <w:p w:rsidR="006F5475" w:rsidRPr="00595AA4" w:rsidRDefault="006F5475" w:rsidP="008E7EEC">
            <w:pPr>
              <w:jc w:val="center"/>
              <w:rPr>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3.1.4 prezentarea la CNPF a rezultatelor notificării conform formei stabilite de CNPF</w:t>
            </w:r>
          </w:p>
        </w:tc>
        <w:tc>
          <w:tcPr>
            <w:tcW w:w="1530" w:type="dxa"/>
            <w:vMerge/>
          </w:tcPr>
          <w:p w:rsidR="006F5475" w:rsidRPr="00595AA4" w:rsidRDefault="006F5475" w:rsidP="008E7EEC">
            <w:pPr>
              <w:jc w:val="center"/>
              <w:rPr>
                <w:sz w:val="18"/>
                <w:szCs w:val="18"/>
                <w:lang w:val="ro-RO"/>
              </w:rPr>
            </w:pPr>
          </w:p>
        </w:tc>
        <w:tc>
          <w:tcPr>
            <w:tcW w:w="1710" w:type="dxa"/>
            <w:vMerge/>
          </w:tcPr>
          <w:p w:rsidR="006F5475" w:rsidRPr="00595AA4" w:rsidRDefault="006F5475" w:rsidP="008E7EEC">
            <w:pPr>
              <w:jc w:val="center"/>
              <w:rPr>
                <w:sz w:val="18"/>
                <w:szCs w:val="18"/>
                <w:lang w:val="ro-RO"/>
              </w:rPr>
            </w:pPr>
          </w:p>
        </w:tc>
      </w:tr>
      <w:tr w:rsidR="006F5475" w:rsidRPr="00595AA4"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3.1.5 examinarea de către CNPF a rezultatelor prezentate de către emitent și întreprinderea măsurilor după caz</w:t>
            </w:r>
          </w:p>
        </w:tc>
        <w:tc>
          <w:tcPr>
            <w:tcW w:w="1530" w:type="dxa"/>
          </w:tcPr>
          <w:p w:rsidR="006F5475" w:rsidRPr="00595AA4" w:rsidRDefault="006F5475" w:rsidP="00B041B6">
            <w:pPr>
              <w:jc w:val="center"/>
              <w:rPr>
                <w:bCs/>
                <w:lang w:val="ro-RO"/>
              </w:rPr>
            </w:pPr>
            <w:r w:rsidRPr="00595AA4">
              <w:rPr>
                <w:bCs/>
                <w:lang w:val="ro-RO"/>
              </w:rPr>
              <w:t>CNPF</w:t>
            </w:r>
          </w:p>
          <w:p w:rsidR="006F5475" w:rsidRPr="00595AA4" w:rsidRDefault="006F5475" w:rsidP="00B041B6">
            <w:pPr>
              <w:jc w:val="center"/>
              <w:rPr>
                <w:sz w:val="18"/>
                <w:szCs w:val="18"/>
                <w:lang w:val="ro-RO"/>
              </w:rPr>
            </w:pPr>
            <w:r w:rsidRPr="00595AA4">
              <w:rPr>
                <w:bCs/>
                <w:lang w:val="ro-RO"/>
              </w:rPr>
              <w:t>Emitent</w:t>
            </w:r>
          </w:p>
        </w:tc>
        <w:tc>
          <w:tcPr>
            <w:tcW w:w="1710" w:type="dxa"/>
            <w:vMerge/>
          </w:tcPr>
          <w:p w:rsidR="006F5475" w:rsidRPr="00595AA4" w:rsidRDefault="006F5475" w:rsidP="008E7EEC">
            <w:pPr>
              <w:jc w:val="center"/>
              <w:rPr>
                <w:sz w:val="18"/>
                <w:szCs w:val="18"/>
                <w:lang w:val="ro-RO"/>
              </w:rPr>
            </w:pPr>
          </w:p>
        </w:tc>
      </w:tr>
      <w:tr w:rsidR="006F5475" w:rsidRPr="00595AA4" w:rsidTr="006F5475">
        <w:tc>
          <w:tcPr>
            <w:tcW w:w="1951" w:type="dxa"/>
            <w:vMerge w:val="restart"/>
          </w:tcPr>
          <w:p w:rsidR="006F5475" w:rsidRPr="00595AA4" w:rsidRDefault="006F5475" w:rsidP="009F3095">
            <w:pPr>
              <w:jc w:val="both"/>
              <w:rPr>
                <w:b/>
                <w:sz w:val="18"/>
                <w:szCs w:val="18"/>
                <w:lang w:val="ro-RO"/>
              </w:rPr>
            </w:pPr>
            <w:r w:rsidRPr="00595AA4">
              <w:rPr>
                <w:lang w:val="ro-RO"/>
              </w:rPr>
              <w:t xml:space="preserve">4.1 Selectarea entității </w:t>
            </w:r>
            <w:r w:rsidRPr="00595AA4">
              <w:rPr>
                <w:lang w:val="ro-RO"/>
              </w:rPr>
              <w:lastRenderedPageBreak/>
              <w:t>specializate în organizarea și desfășurarea campaniei de informare publică</w:t>
            </w:r>
          </w:p>
        </w:tc>
        <w:tc>
          <w:tcPr>
            <w:tcW w:w="4547" w:type="dxa"/>
          </w:tcPr>
          <w:p w:rsidR="006F5475" w:rsidRPr="00595AA4" w:rsidRDefault="006F5475" w:rsidP="009F3095">
            <w:pPr>
              <w:jc w:val="both"/>
              <w:rPr>
                <w:b/>
                <w:sz w:val="18"/>
                <w:szCs w:val="18"/>
                <w:lang w:val="ro-RO"/>
              </w:rPr>
            </w:pPr>
            <w:r w:rsidRPr="00595AA4">
              <w:rPr>
                <w:lang w:val="ro-RO"/>
              </w:rPr>
              <w:lastRenderedPageBreak/>
              <w:t xml:space="preserve">4.1.1 Elaborarea caietului de sarcini și organizarea concursului de selectare a entității </w:t>
            </w:r>
            <w:r w:rsidRPr="00595AA4">
              <w:rPr>
                <w:lang w:val="ro-RO"/>
              </w:rPr>
              <w:lastRenderedPageBreak/>
              <w:t>specializate în organizarea și desfășurarea campaniei de informare publică</w:t>
            </w:r>
          </w:p>
        </w:tc>
        <w:tc>
          <w:tcPr>
            <w:tcW w:w="1530" w:type="dxa"/>
            <w:vMerge w:val="restart"/>
          </w:tcPr>
          <w:p w:rsidR="006F5475" w:rsidRPr="00595AA4" w:rsidRDefault="006F5475" w:rsidP="009F3095">
            <w:pPr>
              <w:jc w:val="center"/>
              <w:rPr>
                <w:bCs/>
                <w:lang w:val="ro-RO"/>
              </w:rPr>
            </w:pPr>
            <w:r w:rsidRPr="00595AA4">
              <w:rPr>
                <w:bCs/>
                <w:lang w:val="ro-RO"/>
              </w:rPr>
              <w:lastRenderedPageBreak/>
              <w:t>CNPF</w:t>
            </w:r>
          </w:p>
          <w:p w:rsidR="006F5475" w:rsidRPr="00595AA4" w:rsidRDefault="006F5475" w:rsidP="009F3095">
            <w:pPr>
              <w:jc w:val="center"/>
              <w:rPr>
                <w:sz w:val="18"/>
                <w:szCs w:val="18"/>
                <w:lang w:val="ro-RO"/>
              </w:rPr>
            </w:pPr>
          </w:p>
        </w:tc>
        <w:tc>
          <w:tcPr>
            <w:tcW w:w="1710" w:type="dxa"/>
            <w:vMerge w:val="restart"/>
          </w:tcPr>
          <w:p w:rsidR="006F5475" w:rsidRPr="00595AA4" w:rsidRDefault="006F5475" w:rsidP="008E7EEC">
            <w:pPr>
              <w:jc w:val="center"/>
              <w:rPr>
                <w:sz w:val="18"/>
                <w:szCs w:val="18"/>
                <w:lang w:val="ro-RO"/>
              </w:rPr>
            </w:pPr>
            <w:r w:rsidRPr="00595AA4">
              <w:rPr>
                <w:lang w:val="ro-RO"/>
              </w:rPr>
              <w:t>Bugetul de stat</w:t>
            </w:r>
          </w:p>
        </w:tc>
      </w:tr>
      <w:tr w:rsidR="006F5475" w:rsidRPr="006F5475" w:rsidTr="006F5475">
        <w:tc>
          <w:tcPr>
            <w:tcW w:w="1951" w:type="dxa"/>
            <w:vMerge/>
          </w:tcPr>
          <w:p w:rsidR="006F5475" w:rsidRPr="00595AA4" w:rsidRDefault="006F5475" w:rsidP="009F3095">
            <w:pPr>
              <w:jc w:val="both"/>
              <w:rPr>
                <w:b/>
                <w:sz w:val="18"/>
                <w:szCs w:val="18"/>
                <w:lang w:val="ro-RO"/>
              </w:rPr>
            </w:pPr>
          </w:p>
        </w:tc>
        <w:tc>
          <w:tcPr>
            <w:tcW w:w="4547" w:type="dxa"/>
          </w:tcPr>
          <w:p w:rsidR="006F5475" w:rsidRPr="00595AA4" w:rsidRDefault="006F5475" w:rsidP="009F3095">
            <w:pPr>
              <w:jc w:val="both"/>
              <w:rPr>
                <w:b/>
                <w:sz w:val="18"/>
                <w:szCs w:val="18"/>
                <w:lang w:val="ro-RO"/>
              </w:rPr>
            </w:pPr>
            <w:r w:rsidRPr="00595AA4">
              <w:rPr>
                <w:lang w:val="ro-RO"/>
              </w:rPr>
              <w:t>4.1.2. Evaluarea ofertelor și selectarea entității specializate în organizarea și desfășurarea campaniei de informare publică</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595AA4" w:rsidTr="006F5475">
        <w:tc>
          <w:tcPr>
            <w:tcW w:w="1951" w:type="dxa"/>
            <w:vMerge w:val="restart"/>
          </w:tcPr>
          <w:p w:rsidR="006F5475" w:rsidRPr="00595AA4" w:rsidRDefault="006F5475" w:rsidP="008C68ED">
            <w:pPr>
              <w:jc w:val="both"/>
              <w:rPr>
                <w:b/>
                <w:sz w:val="18"/>
                <w:szCs w:val="18"/>
                <w:lang w:val="ro-RO"/>
              </w:rPr>
            </w:pPr>
            <w:r w:rsidRPr="00595AA4">
              <w:rPr>
                <w:lang w:val="ro-RO"/>
              </w:rPr>
              <w:t>4.2 Derularea campaniei de informare publică</w:t>
            </w:r>
          </w:p>
        </w:tc>
        <w:tc>
          <w:tcPr>
            <w:tcW w:w="4547" w:type="dxa"/>
          </w:tcPr>
          <w:p w:rsidR="006F5475" w:rsidRPr="00595AA4" w:rsidRDefault="006F5475" w:rsidP="00ED08F4">
            <w:pPr>
              <w:jc w:val="both"/>
              <w:rPr>
                <w:b/>
                <w:sz w:val="18"/>
                <w:szCs w:val="18"/>
                <w:lang w:val="ro-RO"/>
              </w:rPr>
            </w:pPr>
            <w:r w:rsidRPr="00595AA4">
              <w:rPr>
                <w:lang w:val="ro-RO"/>
              </w:rPr>
              <w:t xml:space="preserve">4.2.1. Producerea materialelor informative  (spoturi audio/video, </w:t>
            </w:r>
            <w:proofErr w:type="spellStart"/>
            <w:r w:rsidRPr="00595AA4">
              <w:rPr>
                <w:lang w:val="ro-RO"/>
              </w:rPr>
              <w:t>buclete</w:t>
            </w:r>
            <w:proofErr w:type="spellEnd"/>
            <w:r w:rsidRPr="00595AA4">
              <w:rPr>
                <w:lang w:val="ro-RO"/>
              </w:rPr>
              <w:t xml:space="preserve"> informaționale, publicații periodice etc.)</w:t>
            </w:r>
          </w:p>
        </w:tc>
        <w:tc>
          <w:tcPr>
            <w:tcW w:w="1530" w:type="dxa"/>
            <w:vMerge w:val="restart"/>
          </w:tcPr>
          <w:p w:rsidR="006F5475" w:rsidRPr="00595AA4" w:rsidRDefault="006F5475" w:rsidP="008C68ED">
            <w:pPr>
              <w:jc w:val="center"/>
              <w:rPr>
                <w:bCs/>
                <w:lang w:val="ro-RO"/>
              </w:rPr>
            </w:pPr>
            <w:r w:rsidRPr="00595AA4">
              <w:rPr>
                <w:bCs/>
                <w:lang w:val="ro-RO"/>
              </w:rPr>
              <w:t>Entitatea selectată</w:t>
            </w:r>
          </w:p>
          <w:p w:rsidR="006F5475" w:rsidRPr="00595AA4" w:rsidRDefault="006F5475" w:rsidP="008C68ED">
            <w:pPr>
              <w:jc w:val="center"/>
              <w:rPr>
                <w:sz w:val="18"/>
                <w:szCs w:val="18"/>
                <w:lang w:val="ro-RO"/>
              </w:rPr>
            </w:pPr>
            <w:r w:rsidRPr="00595AA4">
              <w:rPr>
                <w:bCs/>
                <w:lang w:val="ro-RO"/>
              </w:rPr>
              <w:t>CNPF</w:t>
            </w:r>
          </w:p>
        </w:tc>
        <w:tc>
          <w:tcPr>
            <w:tcW w:w="1710" w:type="dxa"/>
            <w:vMerge/>
          </w:tcPr>
          <w:p w:rsidR="006F5475" w:rsidRPr="00595AA4" w:rsidRDefault="006F5475" w:rsidP="008E7EEC">
            <w:pPr>
              <w:jc w:val="center"/>
              <w:rPr>
                <w:b/>
                <w:sz w:val="18"/>
                <w:szCs w:val="18"/>
                <w:lang w:val="ro-RO"/>
              </w:rPr>
            </w:pPr>
          </w:p>
        </w:tc>
      </w:tr>
      <w:tr w:rsidR="006F5475" w:rsidRPr="006F5475" w:rsidTr="006F5475">
        <w:trPr>
          <w:trHeight w:val="1518"/>
        </w:trPr>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850425">
            <w:pPr>
              <w:jc w:val="both"/>
              <w:rPr>
                <w:b/>
                <w:sz w:val="18"/>
                <w:szCs w:val="18"/>
                <w:lang w:val="ro-RO"/>
              </w:rPr>
            </w:pPr>
            <w:r w:rsidRPr="00595AA4">
              <w:rPr>
                <w:lang w:val="ro-RO"/>
              </w:rPr>
              <w:t>4.2.2 Difuzarea materialelor informative prin mijloace mass-media și social-media, distribuirea pliantelor în rândul populației, plasarea anunțurilor în cadrul oficiilor poștale, autorităților publice locale, etc.</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4.2.3 Organizarea, după caz, a centrelor de informare în teritoriul (raioane, orașe, sate) unde numărul deținătorilor de valori mobiliare este de cel puțin 100 persoane;</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595AA4"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4.2.4 S</w:t>
            </w:r>
            <w:r w:rsidRPr="00595AA4">
              <w:rPr>
                <w:color w:val="000000"/>
                <w:lang w:val="ro-RO"/>
              </w:rPr>
              <w:t xml:space="preserve">ervicii de </w:t>
            </w:r>
            <w:proofErr w:type="spellStart"/>
            <w:r w:rsidRPr="00595AA4">
              <w:rPr>
                <w:color w:val="000000"/>
                <w:lang w:val="ro-RO"/>
              </w:rPr>
              <w:t>call</w:t>
            </w:r>
            <w:proofErr w:type="spellEnd"/>
            <w:r w:rsidRPr="00595AA4">
              <w:rPr>
                <w:color w:val="000000"/>
                <w:lang w:val="ro-RO"/>
              </w:rPr>
              <w:t>-centru</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4.2.5 Prezentarea rapoartelor intermediare de progres privind derularea campaniei de informare publică, inclusiv problemele abordate de deținătorii de valori mobiliare</w:t>
            </w:r>
          </w:p>
        </w:tc>
        <w:tc>
          <w:tcPr>
            <w:tcW w:w="1530" w:type="dxa"/>
            <w:vMerge/>
          </w:tcPr>
          <w:p w:rsidR="006F5475" w:rsidRPr="00595AA4" w:rsidRDefault="006F5475" w:rsidP="008E7EEC">
            <w:pPr>
              <w:jc w:val="center"/>
              <w:rPr>
                <w:b/>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595AA4" w:rsidTr="006F5475">
        <w:tc>
          <w:tcPr>
            <w:tcW w:w="1951" w:type="dxa"/>
          </w:tcPr>
          <w:p w:rsidR="006F5475" w:rsidRPr="00595AA4" w:rsidRDefault="006F5475" w:rsidP="005E60FD">
            <w:pPr>
              <w:jc w:val="both"/>
              <w:rPr>
                <w:b/>
                <w:sz w:val="18"/>
                <w:szCs w:val="18"/>
                <w:lang w:val="ro-RO"/>
              </w:rPr>
            </w:pPr>
            <w:r w:rsidRPr="00595AA4">
              <w:rPr>
                <w:lang w:val="ro-RO"/>
              </w:rPr>
              <w:t>4.3 Generalizarea datelor și aprobarea rezultatelor campaniei de informare publică</w:t>
            </w:r>
          </w:p>
        </w:tc>
        <w:tc>
          <w:tcPr>
            <w:tcW w:w="4547" w:type="dxa"/>
          </w:tcPr>
          <w:p w:rsidR="006F5475" w:rsidRPr="00595AA4" w:rsidRDefault="006F5475" w:rsidP="00ED08F4">
            <w:pPr>
              <w:jc w:val="both"/>
              <w:rPr>
                <w:b/>
                <w:sz w:val="18"/>
                <w:szCs w:val="18"/>
                <w:lang w:val="ro-RO"/>
              </w:rPr>
            </w:pPr>
            <w:r w:rsidRPr="00595AA4">
              <w:rPr>
                <w:lang w:val="ro-RO"/>
              </w:rPr>
              <w:t>4.3.1 Aprobarea raportului final privind campania de informare publică</w:t>
            </w:r>
          </w:p>
        </w:tc>
        <w:tc>
          <w:tcPr>
            <w:tcW w:w="1530" w:type="dxa"/>
          </w:tcPr>
          <w:p w:rsidR="006F5475" w:rsidRPr="00595AA4" w:rsidRDefault="006F5475" w:rsidP="008E7EEC">
            <w:pPr>
              <w:jc w:val="center"/>
              <w:rPr>
                <w:b/>
                <w:sz w:val="18"/>
                <w:szCs w:val="18"/>
                <w:lang w:val="ro-RO"/>
              </w:rPr>
            </w:pPr>
            <w:r w:rsidRPr="00595AA4">
              <w:rPr>
                <w:bCs/>
                <w:lang w:val="ro-RO"/>
              </w:rPr>
              <w:t>CNPF</w:t>
            </w:r>
          </w:p>
        </w:tc>
        <w:tc>
          <w:tcPr>
            <w:tcW w:w="1710" w:type="dxa"/>
            <w:vMerge/>
          </w:tcPr>
          <w:p w:rsidR="006F5475" w:rsidRPr="00595AA4" w:rsidRDefault="006F5475" w:rsidP="008E7EEC">
            <w:pPr>
              <w:jc w:val="center"/>
              <w:rPr>
                <w:b/>
                <w:sz w:val="18"/>
                <w:szCs w:val="18"/>
                <w:lang w:val="ro-RO"/>
              </w:rPr>
            </w:pPr>
          </w:p>
        </w:tc>
      </w:tr>
      <w:tr w:rsidR="006F5475" w:rsidRPr="00595AA4" w:rsidTr="006F5475">
        <w:tc>
          <w:tcPr>
            <w:tcW w:w="1951" w:type="dxa"/>
            <w:vMerge w:val="restart"/>
          </w:tcPr>
          <w:p w:rsidR="006F5475" w:rsidRPr="00595AA4" w:rsidRDefault="006F5475" w:rsidP="00F75D97">
            <w:pPr>
              <w:jc w:val="both"/>
              <w:rPr>
                <w:b/>
                <w:sz w:val="18"/>
                <w:szCs w:val="18"/>
                <w:lang w:val="ro-RO"/>
              </w:rPr>
            </w:pPr>
            <w:r w:rsidRPr="00595AA4">
              <w:rPr>
                <w:lang w:val="ro-RO"/>
              </w:rPr>
              <w:t>5.1 Soluționarea neconcordanțelor</w:t>
            </w:r>
          </w:p>
        </w:tc>
        <w:tc>
          <w:tcPr>
            <w:tcW w:w="4547" w:type="dxa"/>
          </w:tcPr>
          <w:p w:rsidR="006F5475" w:rsidRPr="00595AA4" w:rsidRDefault="006F5475" w:rsidP="00ED08F4">
            <w:pPr>
              <w:jc w:val="both"/>
              <w:rPr>
                <w:b/>
                <w:sz w:val="18"/>
                <w:szCs w:val="18"/>
                <w:lang w:val="ro-RO"/>
              </w:rPr>
            </w:pPr>
            <w:r w:rsidRPr="00595AA4">
              <w:rPr>
                <w:lang w:val="ro-RO"/>
              </w:rPr>
              <w:t>5.1.1 Sistematizarea problemelor abordate de către deținătorii de valori mobiliare prezentate de către emitent și entitatea care a desfășurat campania de informare publică</w:t>
            </w:r>
          </w:p>
        </w:tc>
        <w:tc>
          <w:tcPr>
            <w:tcW w:w="1530" w:type="dxa"/>
          </w:tcPr>
          <w:p w:rsidR="006F5475" w:rsidRPr="00595AA4" w:rsidRDefault="006F5475" w:rsidP="008E7EEC">
            <w:pPr>
              <w:jc w:val="center"/>
              <w:rPr>
                <w:sz w:val="18"/>
                <w:szCs w:val="18"/>
                <w:lang w:val="ro-RO"/>
              </w:rPr>
            </w:pPr>
            <w:r w:rsidRPr="00595AA4">
              <w:rPr>
                <w:bCs/>
                <w:lang w:val="ro-RO"/>
              </w:rPr>
              <w:t>CNPF</w:t>
            </w:r>
          </w:p>
        </w:tc>
        <w:tc>
          <w:tcPr>
            <w:tcW w:w="1710" w:type="dxa"/>
            <w:vMerge w:val="restart"/>
          </w:tcPr>
          <w:p w:rsidR="006F5475" w:rsidRPr="00595AA4" w:rsidRDefault="006F5475" w:rsidP="00F75D97">
            <w:pPr>
              <w:jc w:val="center"/>
              <w:rPr>
                <w:lang w:val="ro-RO"/>
              </w:rPr>
            </w:pPr>
            <w:r w:rsidRPr="00595AA4">
              <w:rPr>
                <w:lang w:val="ro-RO"/>
              </w:rPr>
              <w:t>Bugetul emitentului</w:t>
            </w:r>
          </w:p>
          <w:p w:rsidR="006F5475" w:rsidRPr="00595AA4" w:rsidRDefault="006F5475" w:rsidP="008E7EEC">
            <w:pPr>
              <w:jc w:val="center"/>
              <w:rPr>
                <w:b/>
                <w:sz w:val="18"/>
                <w:szCs w:val="18"/>
                <w:lang w:val="ro-RO"/>
              </w:rPr>
            </w:pPr>
          </w:p>
        </w:tc>
      </w:tr>
      <w:tr w:rsidR="006F5475" w:rsidRPr="00595AA4"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F75D97">
            <w:pPr>
              <w:pStyle w:val="NormalWeb"/>
              <w:ind w:firstLine="0"/>
              <w:rPr>
                <w:lang w:val="ro-RO"/>
              </w:rPr>
            </w:pPr>
            <w:r w:rsidRPr="00595AA4">
              <w:rPr>
                <w:lang w:val="ro-RO"/>
              </w:rPr>
              <w:t xml:space="preserve">5.1.2 Întreprinderea măsurilor în scopul soluționării problemelor abordate și reclamațiilor, inclusiv </w:t>
            </w:r>
          </w:p>
          <w:p w:rsidR="006F5475" w:rsidRPr="00595AA4" w:rsidRDefault="006F5475" w:rsidP="00F75D97">
            <w:pPr>
              <w:pStyle w:val="NormalWeb"/>
              <w:ind w:firstLine="0"/>
              <w:rPr>
                <w:lang w:val="ro-RO"/>
              </w:rPr>
            </w:pPr>
            <w:r w:rsidRPr="00595AA4">
              <w:rPr>
                <w:lang w:val="ro-RO"/>
              </w:rPr>
              <w:t>- solicitarea de documente de la deținătorul de valori mobiliare;</w:t>
            </w:r>
          </w:p>
          <w:p w:rsidR="006F5475" w:rsidRPr="00595AA4" w:rsidRDefault="006F5475" w:rsidP="00850425">
            <w:pPr>
              <w:jc w:val="both"/>
              <w:rPr>
                <w:b/>
                <w:sz w:val="18"/>
                <w:szCs w:val="18"/>
                <w:lang w:val="ro-RO"/>
              </w:rPr>
            </w:pPr>
            <w:r w:rsidRPr="00595AA4">
              <w:rPr>
                <w:lang w:val="ro-RO"/>
              </w:rPr>
              <w:t>- verificarea încrucişată a datelor din registrele deţinătorilor de valori mobiliare cu datele deţinute de CNPF, datele deţinute de custozi şi emitenţi, datele deţinute de BNM în cazul instituţiilor financiare, precum şi de alte instituţii</w:t>
            </w:r>
          </w:p>
        </w:tc>
        <w:tc>
          <w:tcPr>
            <w:tcW w:w="1530" w:type="dxa"/>
            <w:vMerge w:val="restart"/>
          </w:tcPr>
          <w:p w:rsidR="006F5475" w:rsidRPr="00595AA4" w:rsidRDefault="006F5475" w:rsidP="00F75D97">
            <w:pPr>
              <w:jc w:val="center"/>
              <w:rPr>
                <w:bCs/>
                <w:lang w:val="ro-RO"/>
              </w:rPr>
            </w:pPr>
            <w:r w:rsidRPr="00595AA4">
              <w:rPr>
                <w:bCs/>
                <w:lang w:val="ro-RO"/>
              </w:rPr>
              <w:t>CNPF</w:t>
            </w:r>
          </w:p>
          <w:p w:rsidR="006F5475" w:rsidRPr="00595AA4" w:rsidRDefault="006F5475" w:rsidP="00F75D97">
            <w:pPr>
              <w:jc w:val="center"/>
              <w:rPr>
                <w:bCs/>
                <w:lang w:val="ro-RO"/>
              </w:rPr>
            </w:pPr>
            <w:r w:rsidRPr="00595AA4">
              <w:rPr>
                <w:bCs/>
                <w:lang w:val="ro-RO"/>
              </w:rPr>
              <w:t>Societatea de registru</w:t>
            </w:r>
          </w:p>
          <w:p w:rsidR="006F5475" w:rsidRPr="00595AA4" w:rsidRDefault="006F5475" w:rsidP="00F75D97">
            <w:pPr>
              <w:jc w:val="center"/>
              <w:rPr>
                <w:bCs/>
                <w:lang w:val="ro-RO"/>
              </w:rPr>
            </w:pPr>
            <w:r w:rsidRPr="00595AA4">
              <w:rPr>
                <w:bCs/>
                <w:lang w:val="ro-RO"/>
              </w:rPr>
              <w:t>Custodele</w:t>
            </w:r>
          </w:p>
          <w:p w:rsidR="006F5475" w:rsidRPr="00595AA4" w:rsidRDefault="006F5475" w:rsidP="00F75D97">
            <w:pPr>
              <w:jc w:val="center"/>
              <w:rPr>
                <w:bCs/>
                <w:lang w:val="ro-RO"/>
              </w:rPr>
            </w:pPr>
            <w:r w:rsidRPr="00595AA4">
              <w:rPr>
                <w:bCs/>
                <w:lang w:val="ro-RO"/>
              </w:rPr>
              <w:t>Emitentul</w:t>
            </w:r>
          </w:p>
          <w:p w:rsidR="006F5475" w:rsidRPr="00595AA4" w:rsidRDefault="006F5475" w:rsidP="00F75D97">
            <w:pPr>
              <w:jc w:val="center"/>
              <w:rPr>
                <w:sz w:val="18"/>
                <w:szCs w:val="18"/>
                <w:lang w:val="ro-RO"/>
              </w:rPr>
            </w:pPr>
            <w:r w:rsidRPr="00595AA4">
              <w:rPr>
                <w:bCs/>
                <w:lang w:val="ro-RO"/>
              </w:rPr>
              <w:t>Deținătorul de valori mobiliare</w:t>
            </w: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5.1.3 Soluționarea neconcordanțelor și perfectarea actelor de constatare</w:t>
            </w:r>
          </w:p>
        </w:tc>
        <w:tc>
          <w:tcPr>
            <w:tcW w:w="1530" w:type="dxa"/>
            <w:vMerge/>
          </w:tcPr>
          <w:p w:rsidR="006F5475" w:rsidRPr="00595AA4" w:rsidRDefault="006F5475" w:rsidP="008E7EEC">
            <w:pPr>
              <w:jc w:val="center"/>
              <w:rPr>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6F5475"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5.1.4 Remedierea neconcordanțelor, după caz, de către deținătorilor de valori mobiliare, emitent, societatea de registru și custode</w:t>
            </w:r>
          </w:p>
        </w:tc>
        <w:tc>
          <w:tcPr>
            <w:tcW w:w="1530" w:type="dxa"/>
            <w:vMerge/>
          </w:tcPr>
          <w:p w:rsidR="006F5475" w:rsidRPr="00595AA4" w:rsidRDefault="006F5475" w:rsidP="008E7EEC">
            <w:pPr>
              <w:jc w:val="center"/>
              <w:rPr>
                <w:sz w:val="18"/>
                <w:szCs w:val="18"/>
                <w:lang w:val="ro-RO"/>
              </w:rPr>
            </w:pPr>
          </w:p>
        </w:tc>
        <w:tc>
          <w:tcPr>
            <w:tcW w:w="1710" w:type="dxa"/>
            <w:vMerge/>
          </w:tcPr>
          <w:p w:rsidR="006F5475" w:rsidRPr="00595AA4" w:rsidRDefault="006F5475" w:rsidP="008E7EEC">
            <w:pPr>
              <w:jc w:val="center"/>
              <w:rPr>
                <w:b/>
                <w:sz w:val="18"/>
                <w:szCs w:val="18"/>
                <w:lang w:val="ro-RO"/>
              </w:rPr>
            </w:pPr>
          </w:p>
        </w:tc>
      </w:tr>
      <w:tr w:rsidR="006F5475" w:rsidRPr="00595AA4" w:rsidTr="006F5475">
        <w:tc>
          <w:tcPr>
            <w:tcW w:w="1951" w:type="dxa"/>
            <w:vMerge/>
          </w:tcPr>
          <w:p w:rsidR="006F5475" w:rsidRPr="00595AA4" w:rsidRDefault="006F5475" w:rsidP="008E7EEC">
            <w:pPr>
              <w:jc w:val="center"/>
              <w:rPr>
                <w:b/>
                <w:sz w:val="18"/>
                <w:szCs w:val="18"/>
                <w:lang w:val="ro-RO"/>
              </w:rPr>
            </w:pPr>
          </w:p>
        </w:tc>
        <w:tc>
          <w:tcPr>
            <w:tcW w:w="4547" w:type="dxa"/>
          </w:tcPr>
          <w:p w:rsidR="006F5475" w:rsidRPr="00595AA4" w:rsidRDefault="006F5475" w:rsidP="00ED08F4">
            <w:pPr>
              <w:jc w:val="both"/>
              <w:rPr>
                <w:b/>
                <w:sz w:val="18"/>
                <w:szCs w:val="18"/>
                <w:lang w:val="ro-RO"/>
              </w:rPr>
            </w:pPr>
            <w:r w:rsidRPr="00595AA4">
              <w:rPr>
                <w:lang w:val="ro-RO"/>
              </w:rPr>
              <w:t>5.1.5 Aprobarea rezultatelor aferente executării art.46 alin.(8) din Legea nr.234/2016, cu prezentarea listei deținătorilor de valori mobiliare pe fiecare emitent la o anumită dată în scopul transferului către Depozitarul central unic de valori mobiliare</w:t>
            </w:r>
          </w:p>
        </w:tc>
        <w:tc>
          <w:tcPr>
            <w:tcW w:w="1530" w:type="dxa"/>
          </w:tcPr>
          <w:p w:rsidR="006F5475" w:rsidRPr="00595AA4" w:rsidRDefault="006F5475" w:rsidP="008E7EEC">
            <w:pPr>
              <w:jc w:val="center"/>
              <w:rPr>
                <w:sz w:val="18"/>
                <w:szCs w:val="18"/>
                <w:lang w:val="ro-RO"/>
              </w:rPr>
            </w:pPr>
            <w:r w:rsidRPr="00595AA4">
              <w:rPr>
                <w:bCs/>
                <w:lang w:val="ro-RO"/>
              </w:rPr>
              <w:t>CNPF</w:t>
            </w:r>
          </w:p>
        </w:tc>
        <w:tc>
          <w:tcPr>
            <w:tcW w:w="1710" w:type="dxa"/>
            <w:vMerge/>
          </w:tcPr>
          <w:p w:rsidR="006F5475" w:rsidRPr="00595AA4" w:rsidRDefault="006F5475" w:rsidP="008E7EEC">
            <w:pPr>
              <w:jc w:val="center"/>
              <w:rPr>
                <w:b/>
                <w:sz w:val="18"/>
                <w:szCs w:val="18"/>
                <w:lang w:val="ro-RO"/>
              </w:rPr>
            </w:pPr>
          </w:p>
        </w:tc>
      </w:tr>
    </w:tbl>
    <w:p w:rsidR="008E7EEC" w:rsidRPr="00595AA4" w:rsidRDefault="008E7EEC" w:rsidP="00E02EF3">
      <w:pPr>
        <w:spacing w:line="276" w:lineRule="auto"/>
        <w:jc w:val="both"/>
        <w:rPr>
          <w:sz w:val="28"/>
          <w:szCs w:val="28"/>
          <w:lang w:val="ro-RO"/>
        </w:rPr>
      </w:pPr>
    </w:p>
    <w:sectPr w:rsidR="008E7EEC" w:rsidRPr="00595AA4" w:rsidSect="00A3729B">
      <w:pgSz w:w="11906" w:h="16838"/>
      <w:pgMar w:top="284"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2DD"/>
    <w:multiLevelType w:val="multilevel"/>
    <w:tmpl w:val="CD34F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63133F5"/>
    <w:multiLevelType w:val="hybridMultilevel"/>
    <w:tmpl w:val="3D6CA9D2"/>
    <w:lvl w:ilvl="0" w:tplc="D0C0FABA">
      <w:start w:val="4"/>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225011"/>
    <w:multiLevelType w:val="hybridMultilevel"/>
    <w:tmpl w:val="247C358E"/>
    <w:lvl w:ilvl="0" w:tplc="FD9CCF9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96E8B"/>
    <w:rsid w:val="000052D3"/>
    <w:rsid w:val="00017C6A"/>
    <w:rsid w:val="00034596"/>
    <w:rsid w:val="0004363A"/>
    <w:rsid w:val="000521E8"/>
    <w:rsid w:val="000624C0"/>
    <w:rsid w:val="000813E1"/>
    <w:rsid w:val="00085C9E"/>
    <w:rsid w:val="00093AF3"/>
    <w:rsid w:val="00093B8D"/>
    <w:rsid w:val="000A4128"/>
    <w:rsid w:val="000B6C80"/>
    <w:rsid w:val="000D097E"/>
    <w:rsid w:val="000D4CA9"/>
    <w:rsid w:val="000D596B"/>
    <w:rsid w:val="000F4EE0"/>
    <w:rsid w:val="001011CE"/>
    <w:rsid w:val="00103DFC"/>
    <w:rsid w:val="00110CC8"/>
    <w:rsid w:val="00127995"/>
    <w:rsid w:val="001351FB"/>
    <w:rsid w:val="00135F78"/>
    <w:rsid w:val="00137AFB"/>
    <w:rsid w:val="00156881"/>
    <w:rsid w:val="00191324"/>
    <w:rsid w:val="001935F7"/>
    <w:rsid w:val="001B6063"/>
    <w:rsid w:val="001D6EE0"/>
    <w:rsid w:val="001D70FF"/>
    <w:rsid w:val="001F2B24"/>
    <w:rsid w:val="002103D1"/>
    <w:rsid w:val="0024111E"/>
    <w:rsid w:val="00281542"/>
    <w:rsid w:val="002855AB"/>
    <w:rsid w:val="002A0806"/>
    <w:rsid w:val="002B453A"/>
    <w:rsid w:val="002C2F25"/>
    <w:rsid w:val="002C4122"/>
    <w:rsid w:val="002E6861"/>
    <w:rsid w:val="002E68E1"/>
    <w:rsid w:val="00310489"/>
    <w:rsid w:val="00323254"/>
    <w:rsid w:val="003310BF"/>
    <w:rsid w:val="003324EF"/>
    <w:rsid w:val="00333E1B"/>
    <w:rsid w:val="00334EB5"/>
    <w:rsid w:val="00344C86"/>
    <w:rsid w:val="00356DCB"/>
    <w:rsid w:val="00382CAD"/>
    <w:rsid w:val="00397385"/>
    <w:rsid w:val="003A72BC"/>
    <w:rsid w:val="003C0C47"/>
    <w:rsid w:val="003C40F9"/>
    <w:rsid w:val="003D759A"/>
    <w:rsid w:val="003E1585"/>
    <w:rsid w:val="00432B61"/>
    <w:rsid w:val="00457591"/>
    <w:rsid w:val="00461D98"/>
    <w:rsid w:val="0047362D"/>
    <w:rsid w:val="00476FF3"/>
    <w:rsid w:val="0048443C"/>
    <w:rsid w:val="00486127"/>
    <w:rsid w:val="004930A8"/>
    <w:rsid w:val="00494C45"/>
    <w:rsid w:val="004C4103"/>
    <w:rsid w:val="004E4E4D"/>
    <w:rsid w:val="005155CF"/>
    <w:rsid w:val="0053032C"/>
    <w:rsid w:val="00557394"/>
    <w:rsid w:val="005843D3"/>
    <w:rsid w:val="00595AA4"/>
    <w:rsid w:val="00596366"/>
    <w:rsid w:val="005B033D"/>
    <w:rsid w:val="005C6BB6"/>
    <w:rsid w:val="005E60FD"/>
    <w:rsid w:val="005F1D23"/>
    <w:rsid w:val="00617FD3"/>
    <w:rsid w:val="00620564"/>
    <w:rsid w:val="00622100"/>
    <w:rsid w:val="006470BC"/>
    <w:rsid w:val="006501D7"/>
    <w:rsid w:val="0065166A"/>
    <w:rsid w:val="00656922"/>
    <w:rsid w:val="00673E6E"/>
    <w:rsid w:val="00684EE8"/>
    <w:rsid w:val="006A333E"/>
    <w:rsid w:val="006A4B29"/>
    <w:rsid w:val="006A5EE7"/>
    <w:rsid w:val="006B121C"/>
    <w:rsid w:val="006B1DA4"/>
    <w:rsid w:val="006C57DB"/>
    <w:rsid w:val="006D4ABD"/>
    <w:rsid w:val="006E2827"/>
    <w:rsid w:val="006F5475"/>
    <w:rsid w:val="006F5797"/>
    <w:rsid w:val="00705E82"/>
    <w:rsid w:val="007222D3"/>
    <w:rsid w:val="00725C03"/>
    <w:rsid w:val="00731293"/>
    <w:rsid w:val="00733725"/>
    <w:rsid w:val="00740E83"/>
    <w:rsid w:val="00747AD6"/>
    <w:rsid w:val="007502A8"/>
    <w:rsid w:val="00773081"/>
    <w:rsid w:val="00790C45"/>
    <w:rsid w:val="007938FF"/>
    <w:rsid w:val="0079598F"/>
    <w:rsid w:val="007A05F0"/>
    <w:rsid w:val="007B52E0"/>
    <w:rsid w:val="007E0B15"/>
    <w:rsid w:val="007F0F01"/>
    <w:rsid w:val="007F3588"/>
    <w:rsid w:val="0080228B"/>
    <w:rsid w:val="008143DB"/>
    <w:rsid w:val="00820A34"/>
    <w:rsid w:val="00827C26"/>
    <w:rsid w:val="00850425"/>
    <w:rsid w:val="0085624F"/>
    <w:rsid w:val="00863B13"/>
    <w:rsid w:val="00870169"/>
    <w:rsid w:val="00870660"/>
    <w:rsid w:val="0087423E"/>
    <w:rsid w:val="00884708"/>
    <w:rsid w:val="00890EEE"/>
    <w:rsid w:val="0089399A"/>
    <w:rsid w:val="008B0057"/>
    <w:rsid w:val="008B18EE"/>
    <w:rsid w:val="008C15A1"/>
    <w:rsid w:val="008C29AA"/>
    <w:rsid w:val="008C5CDE"/>
    <w:rsid w:val="008C68ED"/>
    <w:rsid w:val="008D065F"/>
    <w:rsid w:val="008D67CA"/>
    <w:rsid w:val="008E7EEC"/>
    <w:rsid w:val="00921C93"/>
    <w:rsid w:val="00940C44"/>
    <w:rsid w:val="00972355"/>
    <w:rsid w:val="00973078"/>
    <w:rsid w:val="009757BB"/>
    <w:rsid w:val="009A1316"/>
    <w:rsid w:val="009C7D89"/>
    <w:rsid w:val="009D597A"/>
    <w:rsid w:val="009D705F"/>
    <w:rsid w:val="009E596A"/>
    <w:rsid w:val="009F3095"/>
    <w:rsid w:val="00A02F96"/>
    <w:rsid w:val="00A040D7"/>
    <w:rsid w:val="00A068A9"/>
    <w:rsid w:val="00A138E8"/>
    <w:rsid w:val="00A16FB4"/>
    <w:rsid w:val="00A21F5A"/>
    <w:rsid w:val="00A2540A"/>
    <w:rsid w:val="00A3729B"/>
    <w:rsid w:val="00A641A2"/>
    <w:rsid w:val="00A65CBB"/>
    <w:rsid w:val="00A6625B"/>
    <w:rsid w:val="00A678C2"/>
    <w:rsid w:val="00A741F1"/>
    <w:rsid w:val="00A867A6"/>
    <w:rsid w:val="00A876E9"/>
    <w:rsid w:val="00A955A9"/>
    <w:rsid w:val="00AC62A1"/>
    <w:rsid w:val="00AF107A"/>
    <w:rsid w:val="00B03CD0"/>
    <w:rsid w:val="00B041B6"/>
    <w:rsid w:val="00B20745"/>
    <w:rsid w:val="00B2649F"/>
    <w:rsid w:val="00B350E0"/>
    <w:rsid w:val="00B71C65"/>
    <w:rsid w:val="00B7372E"/>
    <w:rsid w:val="00B76596"/>
    <w:rsid w:val="00B94343"/>
    <w:rsid w:val="00B956BC"/>
    <w:rsid w:val="00BA29E8"/>
    <w:rsid w:val="00BD2117"/>
    <w:rsid w:val="00BD5693"/>
    <w:rsid w:val="00BD77FE"/>
    <w:rsid w:val="00BE4F5E"/>
    <w:rsid w:val="00BE53AB"/>
    <w:rsid w:val="00C072CB"/>
    <w:rsid w:val="00C1231C"/>
    <w:rsid w:val="00C77186"/>
    <w:rsid w:val="00C94163"/>
    <w:rsid w:val="00CB19EB"/>
    <w:rsid w:val="00CD3A95"/>
    <w:rsid w:val="00CE06D1"/>
    <w:rsid w:val="00D050BC"/>
    <w:rsid w:val="00D06FDB"/>
    <w:rsid w:val="00D25720"/>
    <w:rsid w:val="00D42746"/>
    <w:rsid w:val="00D62D8B"/>
    <w:rsid w:val="00D674BE"/>
    <w:rsid w:val="00D82F2D"/>
    <w:rsid w:val="00D96E8B"/>
    <w:rsid w:val="00DB6C71"/>
    <w:rsid w:val="00DC04FF"/>
    <w:rsid w:val="00DC4AA9"/>
    <w:rsid w:val="00E02EF3"/>
    <w:rsid w:val="00E03C2D"/>
    <w:rsid w:val="00E2573D"/>
    <w:rsid w:val="00E401FD"/>
    <w:rsid w:val="00E60D86"/>
    <w:rsid w:val="00E75ACD"/>
    <w:rsid w:val="00E817D6"/>
    <w:rsid w:val="00E92482"/>
    <w:rsid w:val="00E9753E"/>
    <w:rsid w:val="00ED07B2"/>
    <w:rsid w:val="00ED08F4"/>
    <w:rsid w:val="00EF50E2"/>
    <w:rsid w:val="00F07C87"/>
    <w:rsid w:val="00F2717B"/>
    <w:rsid w:val="00F365C6"/>
    <w:rsid w:val="00F55278"/>
    <w:rsid w:val="00F60663"/>
    <w:rsid w:val="00F662B6"/>
    <w:rsid w:val="00F70B5F"/>
    <w:rsid w:val="00F75D97"/>
    <w:rsid w:val="00F820DE"/>
    <w:rsid w:val="00F86F1C"/>
    <w:rsid w:val="00FA4F08"/>
    <w:rsid w:val="00FB0D55"/>
    <w:rsid w:val="00FD05BE"/>
    <w:rsid w:val="00FE16BB"/>
    <w:rsid w:val="00FE1791"/>
    <w:rsid w:val="00FE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75E1"/>
  <w15:docId w15:val="{A149506C-F997-4A4E-9D60-058C01CE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8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E8B"/>
    <w:pPr>
      <w:ind w:firstLine="709"/>
      <w:jc w:val="both"/>
    </w:pPr>
    <w:rPr>
      <w:lang w:val="ro-RO"/>
    </w:rPr>
  </w:style>
  <w:style w:type="character" w:customStyle="1" w:styleId="BodyTextChar">
    <w:name w:val="Body Text Char"/>
    <w:basedOn w:val="DefaultParagraphFont"/>
    <w:link w:val="BodyText"/>
    <w:rsid w:val="00D96E8B"/>
    <w:rPr>
      <w:rFonts w:ascii="Times New Roman" w:eastAsia="Times New Roman" w:hAnsi="Times New Roman" w:cs="Times New Roman"/>
      <w:sz w:val="24"/>
      <w:szCs w:val="24"/>
      <w:lang w:val="ro-RO" w:eastAsia="ru-RU"/>
    </w:rPr>
  </w:style>
  <w:style w:type="paragraph" w:customStyle="1" w:styleId="tt">
    <w:name w:val="tt"/>
    <w:basedOn w:val="Normal"/>
    <w:rsid w:val="00D96E8B"/>
    <w:pPr>
      <w:jc w:val="center"/>
    </w:pPr>
    <w:rPr>
      <w:b/>
      <w:bCs/>
    </w:rPr>
  </w:style>
  <w:style w:type="paragraph" w:styleId="NormalWeb">
    <w:name w:val="Normal (Web)"/>
    <w:basedOn w:val="Normal"/>
    <w:uiPriority w:val="99"/>
    <w:unhideWhenUsed/>
    <w:rsid w:val="00BA29E8"/>
    <w:pPr>
      <w:ind w:firstLine="567"/>
      <w:jc w:val="both"/>
    </w:pPr>
  </w:style>
  <w:style w:type="paragraph" w:customStyle="1" w:styleId="pb">
    <w:name w:val="pb"/>
    <w:basedOn w:val="Normal"/>
    <w:rsid w:val="00BA29E8"/>
    <w:pPr>
      <w:jc w:val="center"/>
    </w:pPr>
    <w:rPr>
      <w:i/>
      <w:iCs/>
      <w:color w:val="663300"/>
      <w:sz w:val="20"/>
      <w:szCs w:val="20"/>
    </w:rPr>
  </w:style>
  <w:style w:type="paragraph" w:customStyle="1" w:styleId="cn">
    <w:name w:val="cn"/>
    <w:basedOn w:val="Normal"/>
    <w:rsid w:val="00BA29E8"/>
    <w:pPr>
      <w:jc w:val="center"/>
    </w:pPr>
  </w:style>
  <w:style w:type="paragraph" w:customStyle="1" w:styleId="cb">
    <w:name w:val="cb"/>
    <w:basedOn w:val="Normal"/>
    <w:rsid w:val="00BA29E8"/>
    <w:pPr>
      <w:jc w:val="center"/>
    </w:pPr>
    <w:rPr>
      <w:b/>
      <w:bCs/>
    </w:rPr>
  </w:style>
  <w:style w:type="paragraph" w:customStyle="1" w:styleId="rg">
    <w:name w:val="rg"/>
    <w:basedOn w:val="Normal"/>
    <w:rsid w:val="00BA29E8"/>
    <w:pPr>
      <w:jc w:val="right"/>
    </w:pPr>
  </w:style>
  <w:style w:type="paragraph" w:customStyle="1" w:styleId="lf">
    <w:name w:val="lf"/>
    <w:basedOn w:val="Normal"/>
    <w:rsid w:val="00BA29E8"/>
  </w:style>
  <w:style w:type="paragraph" w:styleId="ListParagraph">
    <w:name w:val="List Paragraph"/>
    <w:basedOn w:val="Normal"/>
    <w:uiPriority w:val="34"/>
    <w:qFormat/>
    <w:rsid w:val="00622100"/>
    <w:pPr>
      <w:ind w:left="720"/>
      <w:contextualSpacing/>
    </w:pPr>
  </w:style>
  <w:style w:type="paragraph" w:styleId="BalloonText">
    <w:name w:val="Balloon Text"/>
    <w:basedOn w:val="Normal"/>
    <w:link w:val="BalloonTextChar"/>
    <w:uiPriority w:val="99"/>
    <w:semiHidden/>
    <w:unhideWhenUsed/>
    <w:rsid w:val="002E6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E1"/>
    <w:rPr>
      <w:rFonts w:ascii="Segoe UI" w:eastAsia="Times New Roman" w:hAnsi="Segoe UI" w:cs="Segoe UI"/>
      <w:sz w:val="18"/>
      <w:szCs w:val="18"/>
      <w:lang w:eastAsia="ru-RU"/>
    </w:rPr>
  </w:style>
  <w:style w:type="paragraph" w:styleId="NoSpacing">
    <w:name w:val="No Spacing"/>
    <w:uiPriority w:val="1"/>
    <w:qFormat/>
    <w:rsid w:val="00656922"/>
    <w:pPr>
      <w:spacing w:after="0" w:line="240" w:lineRule="auto"/>
    </w:pPr>
    <w:rPr>
      <w:rFonts w:ascii="Times New Roman" w:eastAsia="Times New Roman" w:hAnsi="Times New Roman" w:cs="Times New Roman"/>
      <w:sz w:val="20"/>
      <w:szCs w:val="20"/>
      <w:lang w:val="ro-RO" w:eastAsia="ru-RU"/>
    </w:rPr>
  </w:style>
  <w:style w:type="character" w:styleId="Hyperlink">
    <w:name w:val="Hyperlink"/>
    <w:basedOn w:val="DefaultParagraphFont"/>
    <w:uiPriority w:val="99"/>
    <w:rsid w:val="00656922"/>
    <w:rPr>
      <w:color w:val="0000FF"/>
      <w:u w:val="single"/>
    </w:rPr>
  </w:style>
  <w:style w:type="table" w:styleId="TableGrid">
    <w:name w:val="Table Grid"/>
    <w:basedOn w:val="TableNormal"/>
    <w:uiPriority w:val="59"/>
    <w:rsid w:val="00F6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758</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nagrineac</dc:creator>
  <cp:lastModifiedBy>Viorica Pricop</cp:lastModifiedBy>
  <cp:revision>33</cp:revision>
  <cp:lastPrinted>2018-02-23T06:41:00Z</cp:lastPrinted>
  <dcterms:created xsi:type="dcterms:W3CDTF">2017-12-29T06:50:00Z</dcterms:created>
  <dcterms:modified xsi:type="dcterms:W3CDTF">2018-02-27T09:34:00Z</dcterms:modified>
</cp:coreProperties>
</file>