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F8" w:rsidRPr="002733F8" w:rsidRDefault="002733F8" w:rsidP="002733F8">
      <w:pPr>
        <w:shd w:val="clear" w:color="auto" w:fill="F2F2F2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ro-MO" w:eastAsia="ru-RU"/>
        </w:rPr>
      </w:pPr>
      <w:bookmarkStart w:id="0" w:name="_GoBack"/>
      <w:bookmarkEnd w:id="0"/>
      <w:r w:rsidRPr="002733F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ro-MO" w:eastAsia="ru-RU"/>
        </w:rPr>
        <w:t>Organizații Internaționale</w:t>
      </w:r>
    </w:p>
    <w:p w:rsidR="002733F8" w:rsidRPr="002733F8" w:rsidRDefault="002733F8" w:rsidP="0014291A">
      <w:pPr>
        <w:shd w:val="clear" w:color="auto" w:fill="F2F2F2"/>
        <w:spacing w:before="225" w:after="225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</w:pP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Onorarea angajamentelor financiare faţă de organismele internaţionale şi regionale la care Republica Moldova este parte, constituie un obiectiv important în procesul de sporire a politicii externe a statului, precum şi contribuie la promovarea imaginii pozitive a ţării ca partener credibil în calitate de membru.</w:t>
      </w:r>
    </w:p>
    <w:p w:rsidR="002733F8" w:rsidRPr="002733F8" w:rsidRDefault="002733F8" w:rsidP="0014291A">
      <w:pPr>
        <w:shd w:val="clear" w:color="auto" w:fill="F2F2F2"/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</w:pP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În conformitate cu prevederile Legii bugetului de stat pentru anul </w:t>
      </w:r>
      <w:r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de gestiune,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întru executarea </w:t>
      </w:r>
      <w:r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angajamentelor financiare, asumate perioadei respective, față de organizațiile internaționale la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plata cotizaţiilor de membru şi a datoriilor faţă de  organizaţiile internaţionale şi regionale la care Republica Moldova este membru, </w:t>
      </w:r>
      <w:r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sunt alocate mijloace financiare reflectate în capitolul 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Servicii de stat cu destinație generală (01), Cooperare externă (0604)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.</w:t>
      </w:r>
    </w:p>
    <w:p w:rsidR="002733F8" w:rsidRPr="002733F8" w:rsidRDefault="002733F8" w:rsidP="0014291A">
      <w:pPr>
        <w:shd w:val="clear" w:color="auto" w:fill="F2F2F2"/>
        <w:spacing w:before="225" w:after="225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</w:pP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Lista destinatarilor, la care achitarea cotizaţiilor şi datoriilor este asigurată de Ministerul Finanţelor din bugetul de stat, este indicată 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la litera a), 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în anexele 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2 și 3 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la </w:t>
      </w:r>
      <w:proofErr w:type="spellStart"/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Hotărîrea</w:t>
      </w:r>
      <w:proofErr w:type="spellEnd"/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Guvernului nr. 454 din 24 martie 2008. Concomitent, </w:t>
      </w:r>
      <w:proofErr w:type="spellStart"/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Hotărîrea</w:t>
      </w:r>
      <w:proofErr w:type="spellEnd"/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de  Guvern în cauză, reglementează modalitatea de participare a organelor centrale de specialitate ale administraţiei publice, precum şi a altor autorităţi administrative centrale la executarea angajamentelor, inclusiv financiare, asumate faţă de organizaţiile internaţionale</w:t>
      </w:r>
    </w:p>
    <w:p w:rsidR="002733F8" w:rsidRPr="002733F8" w:rsidRDefault="002733F8" w:rsidP="0014291A">
      <w:pPr>
        <w:shd w:val="clear" w:color="auto" w:fill="F2F2F2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</w:pP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Repartizarea 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sumei alocate în Bugetul de stat destinată 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achitării cotelor de membru şi a datoriilor Republicii Moldova faţă de organismele internaţionale şi regionale pe anul 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respectiv este efectuată de către Guvernul Republicii Moldova prin emiterea unei </w:t>
      </w:r>
      <w:proofErr w:type="spellStart"/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Hotărîrii</w:t>
      </w:r>
      <w:proofErr w:type="spellEnd"/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</w:t>
      </w:r>
      <w:proofErr w:type="spellStart"/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Guvernului</w:t>
      </w:r>
      <w:r w:rsidR="0036204A" w:rsidRP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Republicii</w:t>
      </w:r>
      <w:proofErr w:type="spellEnd"/>
      <w:r w:rsidR="0036204A" w:rsidRP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Moldova privind achitarea din bugetul de stat pentru anul </w:t>
      </w:r>
      <w:r w:rsidR="0036204A" w:rsidRPr="0036204A">
        <w:rPr>
          <w:rFonts w:ascii="Arial" w:eastAsia="Times New Roman" w:hAnsi="Arial" w:cs="Arial"/>
          <w:i/>
          <w:color w:val="000000"/>
          <w:sz w:val="20"/>
          <w:szCs w:val="20"/>
          <w:u w:val="single"/>
          <w:lang w:val="ro-MO" w:eastAsia="ru-RU"/>
        </w:rPr>
        <w:t>respectiv</w:t>
      </w:r>
      <w:r w:rsidR="0036204A" w:rsidRP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a cotelor de membru şi a datoriilor Republicii Moldova faţă de organismele internaţionale şi regionale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. Repartizarea în cauză se </w:t>
      </w:r>
      <w:r w:rsidR="0036204A"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efectu</w:t>
      </w:r>
      <w:r w:rsidR="0036204A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e</w:t>
      </w:r>
      <w:r w:rsidR="0036204A"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ază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  în funcţie de criteriul stringenţei de plată, precum şi a respectării graficelor de restructurare a arieratelor, în conformitate cu solicitările şi propunerile instituţiilor de resort responsabile de colaborare cu structurile internaţionale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. </w:t>
      </w:r>
    </w:p>
    <w:p w:rsidR="002733F8" w:rsidRPr="002733F8" w:rsidRDefault="002733F8" w:rsidP="0014291A">
      <w:pPr>
        <w:shd w:val="clear" w:color="auto" w:fill="F2F2F2"/>
        <w:spacing w:before="225" w:after="225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</w:pP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Astfel, achitarea pr</w:t>
      </w:r>
      <w:r w:rsidR="00140E21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ioritară a cotelor de membru 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anu</w:t>
      </w:r>
      <w:r w:rsidR="00140E21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a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l, </w:t>
      </w:r>
      <w:r w:rsidR="00140E21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este stabilită în conformitate cu 3 categorii cheie ce </w:t>
      </w:r>
      <w:proofErr w:type="spellStart"/>
      <w:r w:rsidR="00140E21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satat</w:t>
      </w:r>
      <w:proofErr w:type="spellEnd"/>
      <w:r w:rsidR="00140E21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 xml:space="preserve"> la baza colaborării Republicii Moldova în cadrul structurilor internaționale, după cum urmează</w:t>
      </w:r>
      <w:r w:rsidRPr="002733F8">
        <w:rPr>
          <w:rFonts w:ascii="Arial" w:eastAsia="Times New Roman" w:hAnsi="Arial" w:cs="Arial"/>
          <w:color w:val="000000"/>
          <w:sz w:val="20"/>
          <w:szCs w:val="20"/>
          <w:lang w:val="ro-MO" w:eastAsia="ru-RU"/>
        </w:rPr>
        <w:t>:</w:t>
      </w:r>
    </w:p>
    <w:p w:rsidR="00140E21" w:rsidRDefault="002733F8" w:rsidP="0014291A">
      <w:pPr>
        <w:shd w:val="clear" w:color="auto" w:fill="F2F2F2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</w:pPr>
      <w:r w:rsidRPr="002733F8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val="ro-MO" w:eastAsia="ru-RU"/>
        </w:rPr>
        <w:t>-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 </w:t>
      </w:r>
      <w:r w:rsidRPr="002733F8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val="ro-MO" w:eastAsia="ru-RU"/>
        </w:rPr>
        <w:t>organizaţii parlamentare 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– finanţarea integrală a cotelor de membru;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br/>
      </w:r>
      <w:r w:rsidRPr="002733F8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val="ro-MO" w:eastAsia="ru-RU"/>
        </w:rPr>
        <w:t>- organizaţii internaţionale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 – reieşind din strategia politică şi economică a statului, asistenţa financiară acordată de structurile internaţionale, nivelul de colaborare din partea gestionarului bugetar cu organizaţia respectivă, precum şi respectarea graficelor multianuale de restructurare a datoriilor;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br/>
      </w:r>
      <w:r w:rsidRPr="002733F8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val="ro-MO" w:eastAsia="ru-RU"/>
        </w:rPr>
        <w:t>- organizaţiile din cadrul CSI 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– finanţarea cotelo</w:t>
      </w:r>
      <w:r w:rsidR="00140E21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r de membru în conformitate cu </w:t>
      </w:r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 xml:space="preserve">rezerva Republicii Moldova aplicată la </w:t>
      </w:r>
      <w:proofErr w:type="spellStart"/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Hotărîrea</w:t>
      </w:r>
      <w:proofErr w:type="spellEnd"/>
      <w:r w:rsidRPr="002733F8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 xml:space="preserve"> Consiliului Şefilor de Guverne al statelor-membre ale Comunităţii Statelor Independente privind  bugetul unic al organelor CSI</w:t>
      </w:r>
      <w:r w:rsidR="00140E21"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 xml:space="preserve"> pentru anul de gestiune.</w:t>
      </w:r>
    </w:p>
    <w:p w:rsidR="00140E21" w:rsidRDefault="00140E21" w:rsidP="0014291A">
      <w:pPr>
        <w:shd w:val="clear" w:color="auto" w:fill="F2F2F2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  <w:t>În acest mod se prezintă lista organizațiilor internaționale a căror cotă de membru (datorii) este asigurată din contul Ministerului Finanțelor al Republicii Moldova:</w:t>
      </w:r>
    </w:p>
    <w:tbl>
      <w:tblPr>
        <w:tblW w:w="8506" w:type="dxa"/>
        <w:tblLayout w:type="fixed"/>
        <w:tblLook w:val="04A0"/>
      </w:tblPr>
      <w:tblGrid>
        <w:gridCol w:w="565"/>
        <w:gridCol w:w="7941"/>
      </w:tblGrid>
      <w:tr w:rsidR="00140E21" w:rsidRPr="00054532" w:rsidTr="00054532">
        <w:trPr>
          <w:trHeight w:val="25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Organizaţii Parlamentare</w:t>
            </w:r>
          </w:p>
        </w:tc>
      </w:tr>
      <w:tr w:rsidR="00140E21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Adunarea Interparlamentară CSI</w:t>
            </w:r>
          </w:p>
        </w:tc>
      </w:tr>
      <w:tr w:rsidR="00140E21" w:rsidRPr="000E6DFB" w:rsidTr="00054532">
        <w:trPr>
          <w:trHeight w:val="4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Adunarea Parlamentară a Cooperări Economice în Bazinul Mării Negre (PABSEC)</w:t>
            </w:r>
          </w:p>
        </w:tc>
      </w:tr>
      <w:tr w:rsidR="00140E21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Uniunea Interparlamentară</w:t>
            </w:r>
          </w:p>
        </w:tc>
      </w:tr>
      <w:tr w:rsidR="00140E21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Adunarea Parlamentară a OSCE</w:t>
            </w:r>
          </w:p>
        </w:tc>
      </w:tr>
      <w:tr w:rsidR="00140E21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Adunarea Parlamentară a Francofoniei</w:t>
            </w:r>
          </w:p>
        </w:tc>
      </w:tr>
      <w:tr w:rsidR="00140E21" w:rsidRPr="00054532" w:rsidTr="00054532">
        <w:trPr>
          <w:trHeight w:val="373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140E21" w:rsidRPr="00054532" w:rsidRDefault="00140E21" w:rsidP="00887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Organizaţii Internaţionale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Consiliul Europei 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Banca Internaţională pentru Reconstrucţie şi Dezvoltare (IBRD)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Banca Europeană pentru Reconstrucţie şi Dezvoltare (EBRD)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Organizația Cooperării Economice la Marea Neagră (OCEMN)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Agenţia Multilaterală pentru Garantarea Investiţiilor (MIGA)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ONU (inclusiv contribuţiile voluntare)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Programul Naţiunilor Unite de Dezvoltare (UNDP)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UNESCO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pentru Securitate şi Cooperare în Europa (OSCE)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Grupul Consultativ comun OSCE 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Curtea de Conciliere și Arbitraj OSCE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17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a Muncii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Organizaţia Mondială a Comerţului 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Mondială a Sănătăţii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Organizaţia Mondială a Turismului </w:t>
            </w:r>
          </w:p>
        </w:tc>
      </w:tr>
      <w:tr w:rsidR="00054532" w:rsidRPr="000E6DFB" w:rsidTr="00054532">
        <w:trPr>
          <w:trHeight w:val="3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ONU pentru Alimentaţie şi Agricultură (FAO)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a Viei şi Vinului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Oficiul Internaţional de Epizootii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Organizaţia Internaţională a Zahărului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Conferința privind Regimul Navigat pe Dunăre (Comisia Dunării)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Tribunal Internaţional pentru Dreptul Mării (TIDM)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Autoritatea Internaţională pentru Fundul Mărilor 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de Standardizare (ISO)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Comitetul European de Standardizare (CEN)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Convenţia Metrului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pentru Protecţie Civilă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 Internaţională a Francofoniei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INTOSAI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EUROSAI</w:t>
            </w:r>
          </w:p>
        </w:tc>
      </w:tr>
      <w:tr w:rsidR="00054532" w:rsidRPr="000E6DFB" w:rsidTr="00054532">
        <w:trPr>
          <w:trHeight w:val="4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Aviaţiei Civile Internaţionale (OACI)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  <w:t>ICAO PKD</w:t>
            </w:r>
          </w:p>
        </w:tc>
      </w:tr>
      <w:tr w:rsidR="00054532" w:rsidRPr="000E6DFB" w:rsidTr="00054532">
        <w:trPr>
          <w:trHeight w:val="4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Agenţia Internaţională pentru Energie Atomică (AIEA)</w:t>
            </w:r>
          </w:p>
        </w:tc>
      </w:tr>
      <w:tr w:rsidR="00054532" w:rsidRPr="000E6DFB" w:rsidTr="00054532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privind Interzicerea Armelor Chimice (OPCW)</w:t>
            </w:r>
          </w:p>
        </w:tc>
      </w:tr>
      <w:tr w:rsidR="00054532" w:rsidRPr="000E6DFB" w:rsidTr="00054532"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Comisia Preparatorie pentru Organizaţia Tratatului privind Interzicerea Totală a Testelor Nucleare (CTBTO)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Institutul Unit de Cercetări Nucleare (Dubna)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INTERPOL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Iniţiativa Central Europeană (CEI)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TRACECA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Organizația pentru Democrație și Dezvoltare Economică GUAM (ODDE-GUAM)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Maritimă Internaţională (IMO)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pentru Migraţie (OIM)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Internaţională de Metrologie Legală (OIML)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Uniunea Poştală Universală (UPU)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Fondul Internaţional pentru Dezvoltarea Agricolă (IFAD)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Organizaţia Naţiunilor Unite de Dezvoltare Industrială (UNIDO)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Uniunea Internațională a Telecomunicațiilor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Uniunea Europeană de Radioteleviziune (UERT)</w:t>
            </w:r>
          </w:p>
        </w:tc>
      </w:tr>
      <w:tr w:rsidR="00054532" w:rsidRPr="000E6DFB" w:rsidTr="00054532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Iniţiativa Anticorupție a Pactului de Stabilitate în Europa de sud-est (RAI)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  <w:t xml:space="preserve">Reţea de Sănătate în Europa de </w:t>
            </w:r>
            <w:proofErr w:type="spellStart"/>
            <w:r w:rsidRPr="00054532"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  <w:t>Sud-Est</w:t>
            </w:r>
            <w:proofErr w:type="spellEnd"/>
          </w:p>
        </w:tc>
      </w:tr>
      <w:tr w:rsidR="00054532" w:rsidRPr="000E6DFB" w:rsidTr="00054532">
        <w:trPr>
          <w:trHeight w:val="4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Iniţiativa de pregătire către dezastre şi prevenire a lor în Europa de sud-est (IPPD)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Consiliul Cooperării Regionale (RCC)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Consiliul </w:t>
            </w:r>
            <w:proofErr w:type="spellStart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Euro-Asiatic</w:t>
            </w:r>
            <w:proofErr w:type="spellEnd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Standardizare (EASC)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Acordul Central European de comerţ liber din 2007 (CEFTA)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Comunitatea Energetică a Europei de </w:t>
            </w:r>
            <w:proofErr w:type="spellStart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Sud-Est</w:t>
            </w:r>
            <w:proofErr w:type="spellEnd"/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Agenţia Internaţională pentru Energie Regenerabilă (IRENA)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Curtea Penală Internațională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OECD privind asistența administrativă în materie fiscală</w:t>
            </w:r>
          </w:p>
        </w:tc>
      </w:tr>
      <w:tr w:rsidR="00054532" w:rsidRPr="00054532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Conferința Cartei Energetice</w:t>
            </w:r>
          </w:p>
        </w:tc>
      </w:tr>
      <w:tr w:rsidR="00054532" w:rsidRPr="000E6DFB" w:rsidTr="0005453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Federația Internațională a Societăților de Cruce Roșie și Semilună Roșie</w:t>
            </w:r>
          </w:p>
        </w:tc>
      </w:tr>
      <w:tr w:rsidR="00140E21" w:rsidRPr="00054532" w:rsidTr="00054532">
        <w:trPr>
          <w:trHeight w:val="25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140E21" w:rsidRPr="00054532" w:rsidRDefault="00140E21" w:rsidP="0088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Organizaţii CSI</w:t>
            </w:r>
          </w:p>
        </w:tc>
      </w:tr>
      <w:tr w:rsidR="00054532" w:rsidRPr="000E6DFB" w:rsidTr="00054532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Comitetul Executiv CSI (Bugetul unic CSI)</w:t>
            </w:r>
          </w:p>
        </w:tc>
      </w:tr>
      <w:tr w:rsidR="00054532" w:rsidRPr="000E6DFB" w:rsidTr="00054532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66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Comitetul de Statistică CSI (Bugetul unic CSI)</w:t>
            </w:r>
          </w:p>
        </w:tc>
      </w:tr>
      <w:tr w:rsidR="00054532" w:rsidRPr="000E6DFB" w:rsidTr="00054532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Biroul de Combatere a Criminalităţii CSI (Bugetul unic CSI)</w:t>
            </w:r>
          </w:p>
        </w:tc>
      </w:tr>
      <w:tr w:rsidR="00054532" w:rsidRPr="000E6DFB" w:rsidTr="00054532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Centrul </w:t>
            </w:r>
            <w:proofErr w:type="spellStart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Antiteroristic</w:t>
            </w:r>
            <w:proofErr w:type="spellEnd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CSI (Bugetul unic CSI)</w:t>
            </w:r>
          </w:p>
        </w:tc>
      </w:tr>
      <w:tr w:rsidR="00054532" w:rsidRPr="000E6DFB" w:rsidTr="00054532"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69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Consiliul şefilor de state, şefilor de guverne, miniştrilor afacerilor externe, Consiliul Economic CSI (Bugetul unic CSI)</w:t>
            </w:r>
          </w:p>
        </w:tc>
      </w:tr>
      <w:tr w:rsidR="00054532" w:rsidRPr="000E6DFB" w:rsidTr="00054532"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70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Consiliul Coordonator al Procurorilor Generali al CSI (Bugetul unic CSI)</w:t>
            </w:r>
          </w:p>
        </w:tc>
      </w:tr>
      <w:tr w:rsidR="00054532" w:rsidRPr="000E6DFB" w:rsidTr="00054532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2" w:rsidRPr="00054532" w:rsidRDefault="00054532" w:rsidP="00887C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32" w:rsidRPr="00054532" w:rsidRDefault="00054532" w:rsidP="0088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Reprezentanţa din Republica Moldova a </w:t>
            </w:r>
            <w:proofErr w:type="spellStart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Teleradiocompaniei</w:t>
            </w:r>
            <w:proofErr w:type="spellEnd"/>
            <w:r w:rsidRPr="0005453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Interstatale "MIR"</w:t>
            </w:r>
          </w:p>
        </w:tc>
      </w:tr>
    </w:tbl>
    <w:p w:rsidR="00371111" w:rsidRDefault="00371111" w:rsidP="002733F8">
      <w:pPr>
        <w:shd w:val="clear" w:color="auto" w:fill="F2F2F2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</w:pPr>
    </w:p>
    <w:p w:rsidR="00DE6B2A" w:rsidRDefault="007A0C81" w:rsidP="002733F8">
      <w:pPr>
        <w:shd w:val="clear" w:color="auto" w:fill="F2F2F2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val="ro-MO" w:eastAsia="ru-RU"/>
        </w:rPr>
      </w:pPr>
      <w:hyperlink r:id="rId5" w:history="1">
        <w:r w:rsidR="00DE6B2A" w:rsidRPr="000574AE">
          <w:rPr>
            <w:rStyle w:val="Hyperlink"/>
            <w:rFonts w:ascii="inherit" w:eastAsia="Times New Roman" w:hAnsi="inherit" w:cs="Arial"/>
            <w:sz w:val="20"/>
            <w:szCs w:val="20"/>
            <w:lang w:val="ro-MO" w:eastAsia="ru-RU"/>
          </w:rPr>
          <w:t>http://lex.justice.md/index.php?action=view&amp;view=doc&amp;lang=1&amp;id=369439</w:t>
        </w:r>
      </w:hyperlink>
    </w:p>
    <w:p w:rsidR="00832397" w:rsidRPr="00371111" w:rsidRDefault="00AD3A4F" w:rsidP="00832397">
      <w:pPr>
        <w:pStyle w:val="NoSpacing"/>
        <w:rPr>
          <w:rFonts w:ascii="Times New Roman" w:eastAsia="Times New Roman" w:hAnsi="Times New Roman"/>
          <w:b/>
          <w:sz w:val="28"/>
          <w:szCs w:val="28"/>
          <w:lang w:val="ro-MO" w:eastAsia="ru-RU"/>
        </w:rPr>
      </w:pPr>
      <w:r w:rsidRPr="00371111">
        <w:rPr>
          <w:rFonts w:eastAsia="Times New Roman"/>
          <w:b/>
          <w:sz w:val="19"/>
          <w:szCs w:val="19"/>
          <w:lang w:val="ro-MO" w:eastAsia="ru-RU"/>
        </w:rPr>
        <w:br/>
      </w:r>
    </w:p>
    <w:sectPr w:rsidR="00832397" w:rsidRPr="00371111" w:rsidSect="007A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A5E40"/>
    <w:multiLevelType w:val="multilevel"/>
    <w:tmpl w:val="2E8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733F8"/>
    <w:rsid w:val="00054532"/>
    <w:rsid w:val="000E6DFB"/>
    <w:rsid w:val="00140E21"/>
    <w:rsid w:val="0014291A"/>
    <w:rsid w:val="002733F8"/>
    <w:rsid w:val="0036204A"/>
    <w:rsid w:val="00371111"/>
    <w:rsid w:val="005029F5"/>
    <w:rsid w:val="00593FE4"/>
    <w:rsid w:val="007A0C81"/>
    <w:rsid w:val="00832397"/>
    <w:rsid w:val="00AD3A4F"/>
    <w:rsid w:val="00CB450F"/>
    <w:rsid w:val="00DE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0F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3F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33F8"/>
    <w:rPr>
      <w:b/>
      <w:bCs/>
    </w:rPr>
  </w:style>
  <w:style w:type="character" w:customStyle="1" w:styleId="apple-converted-space">
    <w:name w:val="apple-converted-space"/>
    <w:basedOn w:val="DefaultParagraphFont"/>
    <w:rsid w:val="002733F8"/>
  </w:style>
  <w:style w:type="character" w:styleId="Hyperlink">
    <w:name w:val="Hyperlink"/>
    <w:basedOn w:val="DefaultParagraphFont"/>
    <w:uiPriority w:val="99"/>
    <w:unhideWhenUsed/>
    <w:rsid w:val="002733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33F8"/>
    <w:rPr>
      <w:i/>
      <w:iCs/>
    </w:rPr>
  </w:style>
  <w:style w:type="paragraph" w:styleId="NoSpacing">
    <w:name w:val="No Spacing"/>
    <w:uiPriority w:val="1"/>
    <w:qFormat/>
    <w:rsid w:val="00140E2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t">
    <w:name w:val="tt"/>
    <w:basedOn w:val="Normal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0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F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3F8"/>
    <w:rPr>
      <w:b/>
      <w:bCs/>
    </w:rPr>
  </w:style>
  <w:style w:type="character" w:customStyle="1" w:styleId="apple-converted-space">
    <w:name w:val="apple-converted-space"/>
    <w:basedOn w:val="a0"/>
    <w:rsid w:val="002733F8"/>
  </w:style>
  <w:style w:type="character" w:styleId="a5">
    <w:name w:val="Hyperlink"/>
    <w:basedOn w:val="a0"/>
    <w:uiPriority w:val="99"/>
    <w:unhideWhenUsed/>
    <w:rsid w:val="002733F8"/>
    <w:rPr>
      <w:color w:val="0000FF"/>
      <w:u w:val="single"/>
    </w:rPr>
  </w:style>
  <w:style w:type="character" w:styleId="a6">
    <w:name w:val="Emphasis"/>
    <w:basedOn w:val="a0"/>
    <w:uiPriority w:val="20"/>
    <w:qFormat/>
    <w:rsid w:val="002733F8"/>
    <w:rPr>
      <w:i/>
      <w:iCs/>
    </w:rPr>
  </w:style>
  <w:style w:type="paragraph" w:styleId="a7">
    <w:name w:val="No Spacing"/>
    <w:uiPriority w:val="1"/>
    <w:qFormat/>
    <w:rsid w:val="00140E2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t">
    <w:name w:val="tt"/>
    <w:basedOn w:val="a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AD3A4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8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justice.md/index.php?action=view&amp;view=doc&amp;lang=1&amp;id=369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balannadej</cp:lastModifiedBy>
  <cp:revision>2</cp:revision>
  <dcterms:created xsi:type="dcterms:W3CDTF">2017-04-26T12:10:00Z</dcterms:created>
  <dcterms:modified xsi:type="dcterms:W3CDTF">2017-04-26T12:10:00Z</dcterms:modified>
</cp:coreProperties>
</file>