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10F" w:rsidRPr="003839EB" w:rsidRDefault="003B610F" w:rsidP="003B610F">
      <w:pPr>
        <w:jc w:val="center"/>
        <w:rPr>
          <w:rFonts w:ascii="Times New Roman" w:hAnsi="Times New Roman" w:cs="Times New Roman"/>
          <w:b/>
          <w:sz w:val="26"/>
          <w:szCs w:val="26"/>
          <w:lang w:val="en-GB"/>
        </w:rPr>
      </w:pPr>
      <w:bookmarkStart w:id="0" w:name="_GoBack"/>
      <w:bookmarkEnd w:id="0"/>
      <w:proofErr w:type="spellStart"/>
      <w:r>
        <w:rPr>
          <w:rFonts w:ascii="Times New Roman" w:hAnsi="Times New Roman" w:cs="Times New Roman"/>
          <w:b/>
          <w:sz w:val="26"/>
          <w:szCs w:val="26"/>
          <w:lang w:val="en-GB"/>
        </w:rPr>
        <w:t>N</w:t>
      </w:r>
      <w:r w:rsidRPr="003839EB">
        <w:rPr>
          <w:rFonts w:ascii="Times New Roman" w:hAnsi="Times New Roman" w:cs="Times New Roman"/>
          <w:b/>
          <w:sz w:val="26"/>
          <w:szCs w:val="26"/>
          <w:lang w:val="en-GB"/>
        </w:rPr>
        <w:t>otă</w:t>
      </w:r>
      <w:proofErr w:type="spellEnd"/>
      <w:r w:rsidRPr="003839EB">
        <w:rPr>
          <w:rFonts w:ascii="Times New Roman" w:hAnsi="Times New Roman" w:cs="Times New Roman"/>
          <w:b/>
          <w:sz w:val="26"/>
          <w:szCs w:val="26"/>
          <w:lang w:val="en-GB"/>
        </w:rPr>
        <w:t xml:space="preserve"> </w:t>
      </w:r>
      <w:proofErr w:type="spellStart"/>
      <w:r w:rsidRPr="003839EB">
        <w:rPr>
          <w:rFonts w:ascii="Times New Roman" w:hAnsi="Times New Roman" w:cs="Times New Roman"/>
          <w:b/>
          <w:sz w:val="26"/>
          <w:szCs w:val="26"/>
          <w:lang w:val="en-GB"/>
        </w:rPr>
        <w:t>informativă</w:t>
      </w:r>
      <w:proofErr w:type="spellEnd"/>
    </w:p>
    <w:p w:rsidR="003B610F" w:rsidRPr="003839EB" w:rsidRDefault="003B610F" w:rsidP="003B610F">
      <w:pPr>
        <w:spacing w:after="0" w:line="240" w:lineRule="auto"/>
        <w:jc w:val="center"/>
        <w:rPr>
          <w:rFonts w:ascii="Times New Roman" w:eastAsia="Times New Roman" w:hAnsi="Times New Roman" w:cs="Times New Roman"/>
          <w:sz w:val="24"/>
          <w:szCs w:val="24"/>
          <w:lang w:val="ro-RO" w:eastAsia="ru-RU"/>
        </w:rPr>
      </w:pPr>
      <w:r w:rsidRPr="003839EB">
        <w:rPr>
          <w:rFonts w:ascii="Times New Roman" w:hAnsi="Times New Roman" w:cs="Times New Roman"/>
          <w:bCs/>
          <w:sz w:val="24"/>
          <w:szCs w:val="24"/>
          <w:lang w:val="en-GB"/>
        </w:rPr>
        <w:t xml:space="preserve">la </w:t>
      </w:r>
      <w:proofErr w:type="spellStart"/>
      <w:r w:rsidRPr="003839EB">
        <w:rPr>
          <w:rFonts w:ascii="Times New Roman" w:hAnsi="Times New Roman" w:cs="Times New Roman"/>
          <w:bCs/>
          <w:sz w:val="24"/>
          <w:szCs w:val="24"/>
          <w:lang w:val="en-GB"/>
        </w:rPr>
        <w:t>proiectul</w:t>
      </w:r>
      <w:proofErr w:type="spellEnd"/>
      <w:r w:rsidRPr="003839EB">
        <w:rPr>
          <w:rFonts w:ascii="Times New Roman" w:hAnsi="Times New Roman" w:cs="Times New Roman"/>
          <w:bCs/>
          <w:sz w:val="24"/>
          <w:szCs w:val="24"/>
          <w:lang w:val="en-GB"/>
        </w:rPr>
        <w:t xml:space="preserve"> </w:t>
      </w:r>
      <w:proofErr w:type="spellStart"/>
      <w:r w:rsidRPr="003839EB">
        <w:rPr>
          <w:rFonts w:ascii="Times New Roman" w:hAnsi="Times New Roman" w:cs="Times New Roman"/>
          <w:bCs/>
          <w:sz w:val="24"/>
          <w:szCs w:val="24"/>
          <w:lang w:val="en-GB"/>
        </w:rPr>
        <w:t>hotărârii</w:t>
      </w:r>
      <w:proofErr w:type="spellEnd"/>
      <w:r w:rsidRPr="003839EB">
        <w:rPr>
          <w:rFonts w:ascii="Times New Roman" w:hAnsi="Times New Roman" w:cs="Times New Roman"/>
          <w:bCs/>
          <w:sz w:val="24"/>
          <w:szCs w:val="24"/>
          <w:lang w:val="en-GB"/>
        </w:rPr>
        <w:t xml:space="preserve"> de </w:t>
      </w:r>
      <w:proofErr w:type="spellStart"/>
      <w:r w:rsidRPr="003839EB">
        <w:rPr>
          <w:rFonts w:ascii="Times New Roman" w:hAnsi="Times New Roman" w:cs="Times New Roman"/>
          <w:bCs/>
          <w:sz w:val="24"/>
          <w:szCs w:val="24"/>
          <w:lang w:val="en-GB"/>
        </w:rPr>
        <w:t>Guvern</w:t>
      </w:r>
      <w:proofErr w:type="spellEnd"/>
      <w:r w:rsidRPr="003839EB">
        <w:rPr>
          <w:rFonts w:ascii="Times New Roman" w:hAnsi="Times New Roman" w:cs="Times New Roman"/>
          <w:bCs/>
          <w:sz w:val="24"/>
          <w:szCs w:val="24"/>
          <w:lang w:val="en-GB"/>
        </w:rPr>
        <w:t xml:space="preserve"> </w:t>
      </w:r>
      <w:r w:rsidRPr="003839EB">
        <w:rPr>
          <w:rFonts w:ascii="Times New Roman" w:eastAsia="Times New Roman" w:hAnsi="Times New Roman" w:cs="Times New Roman"/>
          <w:bCs/>
          <w:sz w:val="24"/>
          <w:szCs w:val="24"/>
          <w:lang w:val="ro-RO" w:eastAsia="ru-RU"/>
        </w:rPr>
        <w:t>cu privire la modificarea Regulamentului privind casarea bunurilor uzate, raportate la mijloacele fixe, aprobat prin Hotărîrea Guvernului nr.500/1998</w:t>
      </w:r>
    </w:p>
    <w:p w:rsidR="003B610F" w:rsidRPr="003839EB" w:rsidRDefault="003B610F" w:rsidP="003B610F">
      <w:pPr>
        <w:jc w:val="center"/>
        <w:rPr>
          <w:rFonts w:ascii="Times New Roman" w:hAnsi="Times New Roman" w:cs="Times New Roman"/>
          <w:sz w:val="28"/>
          <w:szCs w:val="28"/>
          <w:lang w:val="ro-RO"/>
        </w:rPr>
      </w:pPr>
    </w:p>
    <w:tbl>
      <w:tblPr>
        <w:tblStyle w:val="TableGrid"/>
        <w:tblW w:w="0" w:type="auto"/>
        <w:tblInd w:w="85" w:type="dxa"/>
        <w:tblLook w:val="04A0" w:firstRow="1" w:lastRow="0" w:firstColumn="1" w:lastColumn="0" w:noHBand="0" w:noVBand="1"/>
      </w:tblPr>
      <w:tblGrid>
        <w:gridCol w:w="704"/>
        <w:gridCol w:w="8697"/>
      </w:tblGrid>
      <w:tr w:rsidR="003B610F" w:rsidRPr="001806D6" w:rsidTr="00BE218F">
        <w:trPr>
          <w:trHeight w:val="535"/>
        </w:trPr>
        <w:tc>
          <w:tcPr>
            <w:tcW w:w="710" w:type="dxa"/>
            <w:shd w:val="clear" w:color="auto" w:fill="BFBFBF" w:themeFill="background1" w:themeFillShade="BF"/>
          </w:tcPr>
          <w:p w:rsidR="003B610F" w:rsidRPr="003839EB" w:rsidRDefault="003B610F" w:rsidP="00BE218F">
            <w:pPr>
              <w:spacing w:line="276" w:lineRule="auto"/>
              <w:jc w:val="both"/>
              <w:rPr>
                <w:rFonts w:ascii="Times New Roman" w:hAnsi="Times New Roman" w:cs="Times New Roman"/>
                <w:b/>
                <w:sz w:val="26"/>
                <w:szCs w:val="26"/>
              </w:rPr>
            </w:pPr>
            <w:r w:rsidRPr="003839EB">
              <w:rPr>
                <w:rFonts w:ascii="Times New Roman" w:hAnsi="Times New Roman" w:cs="Times New Roman"/>
                <w:b/>
                <w:sz w:val="26"/>
                <w:szCs w:val="26"/>
              </w:rPr>
              <w:t>1.</w:t>
            </w:r>
          </w:p>
        </w:tc>
        <w:tc>
          <w:tcPr>
            <w:tcW w:w="8920" w:type="dxa"/>
            <w:shd w:val="clear" w:color="auto" w:fill="BFBFBF" w:themeFill="background1" w:themeFillShade="BF"/>
          </w:tcPr>
          <w:p w:rsidR="003B610F" w:rsidRPr="003B610F" w:rsidRDefault="003B610F" w:rsidP="00BE218F">
            <w:pPr>
              <w:spacing w:line="276" w:lineRule="auto"/>
              <w:jc w:val="both"/>
              <w:rPr>
                <w:rFonts w:ascii="Times New Roman" w:hAnsi="Times New Roman" w:cs="Times New Roman"/>
                <w:b/>
                <w:sz w:val="26"/>
                <w:szCs w:val="26"/>
                <w:lang w:val="en-GB"/>
              </w:rPr>
            </w:pPr>
            <w:proofErr w:type="spellStart"/>
            <w:r w:rsidRPr="003B610F">
              <w:rPr>
                <w:rFonts w:ascii="Times New Roman" w:hAnsi="Times New Roman" w:cs="Times New Roman"/>
                <w:b/>
                <w:sz w:val="26"/>
                <w:szCs w:val="26"/>
                <w:lang w:val="en-GB"/>
              </w:rPr>
              <w:t>Denumirea</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autorului</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şi</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după</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caz</w:t>
            </w:r>
            <w:proofErr w:type="spellEnd"/>
            <w:r w:rsidRPr="003B610F">
              <w:rPr>
                <w:rFonts w:ascii="Times New Roman" w:hAnsi="Times New Roman" w:cs="Times New Roman"/>
                <w:b/>
                <w:sz w:val="26"/>
                <w:szCs w:val="26"/>
                <w:lang w:val="en-GB"/>
              </w:rPr>
              <w:t xml:space="preserve">, a </w:t>
            </w:r>
            <w:proofErr w:type="spellStart"/>
            <w:r w:rsidRPr="003B610F">
              <w:rPr>
                <w:rFonts w:ascii="Times New Roman" w:hAnsi="Times New Roman" w:cs="Times New Roman"/>
                <w:b/>
                <w:sz w:val="26"/>
                <w:szCs w:val="26"/>
                <w:lang w:val="en-GB"/>
              </w:rPr>
              <w:t>participanţilor</w:t>
            </w:r>
            <w:proofErr w:type="spellEnd"/>
            <w:r w:rsidRPr="003B610F">
              <w:rPr>
                <w:rFonts w:ascii="Times New Roman" w:hAnsi="Times New Roman" w:cs="Times New Roman"/>
                <w:b/>
                <w:sz w:val="26"/>
                <w:szCs w:val="26"/>
                <w:lang w:val="en-GB"/>
              </w:rPr>
              <w:t xml:space="preserve"> la </w:t>
            </w:r>
            <w:proofErr w:type="spellStart"/>
            <w:r w:rsidRPr="003B610F">
              <w:rPr>
                <w:rFonts w:ascii="Times New Roman" w:hAnsi="Times New Roman" w:cs="Times New Roman"/>
                <w:b/>
                <w:sz w:val="26"/>
                <w:szCs w:val="26"/>
                <w:lang w:val="en-GB"/>
              </w:rPr>
              <w:t>elaborarea</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proiectului</w:t>
            </w:r>
            <w:proofErr w:type="spellEnd"/>
          </w:p>
        </w:tc>
      </w:tr>
      <w:tr w:rsidR="003B610F" w:rsidRPr="001806D6" w:rsidTr="00BE218F">
        <w:trPr>
          <w:trHeight w:val="535"/>
        </w:trPr>
        <w:tc>
          <w:tcPr>
            <w:tcW w:w="710" w:type="dxa"/>
            <w:shd w:val="clear" w:color="auto" w:fill="FFFFFF" w:themeFill="background1"/>
          </w:tcPr>
          <w:p w:rsidR="003B610F" w:rsidRPr="003B610F" w:rsidRDefault="003B610F" w:rsidP="00BE218F">
            <w:pPr>
              <w:spacing w:line="276" w:lineRule="auto"/>
              <w:jc w:val="both"/>
              <w:rPr>
                <w:rFonts w:ascii="Times New Roman" w:hAnsi="Times New Roman" w:cs="Times New Roman"/>
                <w:sz w:val="26"/>
                <w:szCs w:val="26"/>
                <w:lang w:val="en-GB"/>
              </w:rPr>
            </w:pPr>
          </w:p>
        </w:tc>
        <w:tc>
          <w:tcPr>
            <w:tcW w:w="8920" w:type="dxa"/>
            <w:shd w:val="clear" w:color="auto" w:fill="FFFFFF" w:themeFill="background1"/>
          </w:tcPr>
          <w:p w:rsidR="003B610F" w:rsidRPr="004C1E4D" w:rsidRDefault="003B610F" w:rsidP="004C1E4D">
            <w:pPr>
              <w:spacing w:line="276" w:lineRule="auto"/>
              <w:jc w:val="both"/>
              <w:rPr>
                <w:rFonts w:ascii="Times New Roman" w:hAnsi="Times New Roman" w:cs="Times New Roman"/>
                <w:sz w:val="26"/>
                <w:szCs w:val="26"/>
                <w:lang w:val="ro-RO"/>
              </w:rPr>
            </w:pPr>
            <w:proofErr w:type="spellStart"/>
            <w:r w:rsidRPr="003B610F">
              <w:rPr>
                <w:rFonts w:ascii="Times New Roman" w:hAnsi="Times New Roman" w:cs="Times New Roman"/>
                <w:sz w:val="26"/>
                <w:szCs w:val="26"/>
                <w:lang w:val="en-GB"/>
              </w:rPr>
              <w:t>Proiectul</w:t>
            </w:r>
            <w:proofErr w:type="spellEnd"/>
            <w:r w:rsidRPr="003B610F">
              <w:rPr>
                <w:rFonts w:ascii="Times New Roman" w:hAnsi="Times New Roman" w:cs="Times New Roman"/>
                <w:sz w:val="26"/>
                <w:szCs w:val="26"/>
                <w:lang w:val="en-GB"/>
              </w:rPr>
              <w:t xml:space="preserve"> a </w:t>
            </w:r>
            <w:proofErr w:type="spellStart"/>
            <w:r w:rsidRPr="003B610F">
              <w:rPr>
                <w:rFonts w:ascii="Times New Roman" w:hAnsi="Times New Roman" w:cs="Times New Roman"/>
                <w:sz w:val="26"/>
                <w:szCs w:val="26"/>
                <w:lang w:val="en-GB"/>
              </w:rPr>
              <w:t>fost</w:t>
            </w:r>
            <w:proofErr w:type="spellEnd"/>
            <w:r w:rsidRPr="003B610F">
              <w:rPr>
                <w:rFonts w:ascii="Times New Roman" w:hAnsi="Times New Roman" w:cs="Times New Roman"/>
                <w:sz w:val="26"/>
                <w:szCs w:val="26"/>
                <w:lang w:val="en-GB"/>
              </w:rPr>
              <w:t xml:space="preserve"> </w:t>
            </w:r>
            <w:proofErr w:type="spellStart"/>
            <w:r w:rsidRPr="003B610F">
              <w:rPr>
                <w:rFonts w:ascii="Times New Roman" w:hAnsi="Times New Roman" w:cs="Times New Roman"/>
                <w:sz w:val="26"/>
                <w:szCs w:val="26"/>
                <w:lang w:val="en-GB"/>
              </w:rPr>
              <w:t>elaborat</w:t>
            </w:r>
            <w:proofErr w:type="spellEnd"/>
            <w:r w:rsidRPr="003B610F">
              <w:rPr>
                <w:rFonts w:ascii="Times New Roman" w:hAnsi="Times New Roman" w:cs="Times New Roman"/>
                <w:sz w:val="26"/>
                <w:szCs w:val="26"/>
                <w:lang w:val="en-GB"/>
              </w:rPr>
              <w:t xml:space="preserve"> de </w:t>
            </w:r>
            <w:proofErr w:type="spellStart"/>
            <w:r w:rsidRPr="003B610F">
              <w:rPr>
                <w:rFonts w:ascii="Times New Roman" w:hAnsi="Times New Roman" w:cs="Times New Roman"/>
                <w:sz w:val="26"/>
                <w:szCs w:val="26"/>
                <w:lang w:val="en-GB"/>
              </w:rPr>
              <w:t>Ministerul</w:t>
            </w:r>
            <w:proofErr w:type="spellEnd"/>
            <w:r w:rsidRPr="003B610F">
              <w:rPr>
                <w:rFonts w:ascii="Times New Roman" w:hAnsi="Times New Roman" w:cs="Times New Roman"/>
                <w:sz w:val="26"/>
                <w:szCs w:val="26"/>
                <w:lang w:val="en-GB"/>
              </w:rPr>
              <w:t xml:space="preserve"> </w:t>
            </w:r>
            <w:proofErr w:type="spellStart"/>
            <w:r w:rsidR="004C1E4D">
              <w:rPr>
                <w:rFonts w:ascii="Times New Roman" w:hAnsi="Times New Roman" w:cs="Times New Roman"/>
                <w:sz w:val="26"/>
                <w:szCs w:val="26"/>
                <w:lang w:val="en-GB"/>
              </w:rPr>
              <w:t>Finanțelor</w:t>
            </w:r>
            <w:proofErr w:type="spellEnd"/>
          </w:p>
        </w:tc>
      </w:tr>
      <w:tr w:rsidR="003B610F" w:rsidRPr="001806D6" w:rsidTr="00BE218F">
        <w:trPr>
          <w:trHeight w:val="535"/>
        </w:trPr>
        <w:tc>
          <w:tcPr>
            <w:tcW w:w="710" w:type="dxa"/>
            <w:shd w:val="clear" w:color="auto" w:fill="BFBFBF" w:themeFill="background1" w:themeFillShade="BF"/>
          </w:tcPr>
          <w:p w:rsidR="003B610F" w:rsidRPr="003839EB" w:rsidRDefault="003B610F" w:rsidP="00BE218F">
            <w:pPr>
              <w:spacing w:line="276" w:lineRule="auto"/>
              <w:jc w:val="both"/>
              <w:rPr>
                <w:rFonts w:ascii="Times New Roman" w:hAnsi="Times New Roman" w:cs="Times New Roman"/>
                <w:b/>
                <w:sz w:val="26"/>
                <w:szCs w:val="26"/>
              </w:rPr>
            </w:pPr>
            <w:r w:rsidRPr="003839EB">
              <w:rPr>
                <w:rFonts w:ascii="Times New Roman" w:hAnsi="Times New Roman" w:cs="Times New Roman"/>
                <w:b/>
                <w:sz w:val="26"/>
                <w:szCs w:val="26"/>
              </w:rPr>
              <w:t>2.</w:t>
            </w:r>
          </w:p>
        </w:tc>
        <w:tc>
          <w:tcPr>
            <w:tcW w:w="8920" w:type="dxa"/>
            <w:shd w:val="clear" w:color="auto" w:fill="BFBFBF" w:themeFill="background1" w:themeFillShade="BF"/>
          </w:tcPr>
          <w:p w:rsidR="003B610F" w:rsidRPr="003B610F" w:rsidRDefault="003B610F" w:rsidP="00BE218F">
            <w:pPr>
              <w:spacing w:line="276" w:lineRule="auto"/>
              <w:jc w:val="both"/>
              <w:rPr>
                <w:rFonts w:ascii="Times New Roman" w:hAnsi="Times New Roman" w:cs="Times New Roman"/>
                <w:b/>
                <w:sz w:val="26"/>
                <w:szCs w:val="26"/>
                <w:lang w:val="en-GB"/>
              </w:rPr>
            </w:pPr>
            <w:proofErr w:type="spellStart"/>
            <w:r w:rsidRPr="003B610F">
              <w:rPr>
                <w:rFonts w:ascii="Times New Roman" w:hAnsi="Times New Roman" w:cs="Times New Roman"/>
                <w:b/>
                <w:sz w:val="26"/>
                <w:szCs w:val="26"/>
                <w:lang w:val="en-GB"/>
              </w:rPr>
              <w:t>Condiţiile</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ce</w:t>
            </w:r>
            <w:proofErr w:type="spellEnd"/>
            <w:r w:rsidRPr="003B610F">
              <w:rPr>
                <w:rFonts w:ascii="Times New Roman" w:hAnsi="Times New Roman" w:cs="Times New Roman"/>
                <w:b/>
                <w:sz w:val="26"/>
                <w:szCs w:val="26"/>
                <w:lang w:val="en-GB"/>
              </w:rPr>
              <w:t xml:space="preserve"> au </w:t>
            </w:r>
            <w:proofErr w:type="spellStart"/>
            <w:r w:rsidRPr="003B610F">
              <w:rPr>
                <w:rFonts w:ascii="Times New Roman" w:hAnsi="Times New Roman" w:cs="Times New Roman"/>
                <w:b/>
                <w:sz w:val="26"/>
                <w:szCs w:val="26"/>
                <w:lang w:val="en-GB"/>
              </w:rPr>
              <w:t>impus</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elaborarea</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proiectului</w:t>
            </w:r>
            <w:proofErr w:type="spellEnd"/>
            <w:r w:rsidRPr="003B610F">
              <w:rPr>
                <w:rFonts w:ascii="Times New Roman" w:hAnsi="Times New Roman" w:cs="Times New Roman"/>
                <w:b/>
                <w:sz w:val="26"/>
                <w:szCs w:val="26"/>
                <w:lang w:val="en-GB"/>
              </w:rPr>
              <w:t xml:space="preserve"> de act </w:t>
            </w:r>
            <w:proofErr w:type="spellStart"/>
            <w:r w:rsidRPr="003B610F">
              <w:rPr>
                <w:rFonts w:ascii="Times New Roman" w:hAnsi="Times New Roman" w:cs="Times New Roman"/>
                <w:b/>
                <w:sz w:val="26"/>
                <w:szCs w:val="26"/>
                <w:lang w:val="en-GB"/>
              </w:rPr>
              <w:t>normativ</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şi</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finalităţile</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urmărite</w:t>
            </w:r>
            <w:proofErr w:type="spellEnd"/>
            <w:r w:rsidRPr="003B610F">
              <w:rPr>
                <w:rFonts w:ascii="Times New Roman" w:hAnsi="Times New Roman" w:cs="Times New Roman"/>
                <w:b/>
                <w:sz w:val="26"/>
                <w:szCs w:val="26"/>
                <w:lang w:val="en-GB"/>
              </w:rPr>
              <w:t xml:space="preserve"> </w:t>
            </w:r>
          </w:p>
        </w:tc>
      </w:tr>
      <w:tr w:rsidR="003B610F" w:rsidRPr="001806D6" w:rsidTr="00BE218F">
        <w:tc>
          <w:tcPr>
            <w:tcW w:w="710" w:type="dxa"/>
          </w:tcPr>
          <w:p w:rsidR="003B610F" w:rsidRPr="003B610F" w:rsidRDefault="003B610F" w:rsidP="00BE218F">
            <w:pPr>
              <w:ind w:firstLine="567"/>
              <w:jc w:val="both"/>
              <w:rPr>
                <w:rFonts w:ascii="Times New Roman" w:hAnsi="Times New Roman" w:cs="Times New Roman"/>
                <w:sz w:val="26"/>
                <w:szCs w:val="26"/>
                <w:lang w:val="en-GB"/>
              </w:rPr>
            </w:pPr>
          </w:p>
        </w:tc>
        <w:tc>
          <w:tcPr>
            <w:tcW w:w="8920" w:type="dxa"/>
          </w:tcPr>
          <w:p w:rsidR="003B610F" w:rsidRDefault="003B610F" w:rsidP="00BE218F">
            <w:pPr>
              <w:jc w:val="both"/>
              <w:rPr>
                <w:rFonts w:ascii="Times New Roman" w:hAnsi="Times New Roman"/>
                <w:bCs/>
                <w:iCs/>
                <w:sz w:val="24"/>
                <w:szCs w:val="24"/>
                <w:lang w:val="ro-RO"/>
              </w:rPr>
            </w:pPr>
            <w:r>
              <w:rPr>
                <w:rFonts w:ascii="Times New Roman" w:hAnsi="Times New Roman"/>
                <w:bCs/>
                <w:iCs/>
                <w:sz w:val="24"/>
                <w:szCs w:val="24"/>
                <w:lang w:val="ro-RO"/>
              </w:rPr>
              <w:t xml:space="preserve">Proiectul hotărîrii de Guvern </w:t>
            </w:r>
            <w:r w:rsidRPr="003839EB">
              <w:rPr>
                <w:rFonts w:ascii="Times New Roman" w:eastAsia="Times New Roman" w:hAnsi="Times New Roman" w:cs="Times New Roman"/>
                <w:bCs/>
                <w:sz w:val="24"/>
                <w:szCs w:val="24"/>
                <w:lang w:val="ro-RO" w:eastAsia="ru-RU"/>
              </w:rPr>
              <w:t>cu privire la modificarea Regulamentului privind casarea bunurilor uzate, raportate la mijloacele fixe, aprobat prin Hotărîrea Guvernului nr.500/1998</w:t>
            </w:r>
            <w:r>
              <w:rPr>
                <w:rFonts w:ascii="Times New Roman" w:eastAsia="Times New Roman" w:hAnsi="Times New Roman" w:cs="Times New Roman"/>
                <w:bCs/>
                <w:sz w:val="24"/>
                <w:szCs w:val="24"/>
                <w:lang w:val="ro-RO" w:eastAsia="ru-RU"/>
              </w:rPr>
              <w:t xml:space="preserve"> a fost elaborat în temeiul </w:t>
            </w:r>
            <w:r w:rsidR="004C1E4D" w:rsidRPr="004C1E4D">
              <w:rPr>
                <w:rFonts w:ascii="Times New Roman" w:eastAsia="Times New Roman" w:hAnsi="Times New Roman" w:cs="Times New Roman"/>
                <w:bCs/>
                <w:sz w:val="24"/>
                <w:szCs w:val="24"/>
                <w:lang w:val="ro-RO" w:eastAsia="ru-RU"/>
              </w:rPr>
              <w:t>pct. 5 și pct. 6 subpct. 1) lit.c) din Regulamentul cu privire la organizarea şi funcţionarea Ministerului Finanțelor, aprobat prin Hotărîrea Guvernului nr.696/2017 cu privire la organizarea şi funcţionarea Ministerului Finanţelor</w:t>
            </w:r>
            <w:r>
              <w:rPr>
                <w:rFonts w:ascii="Times New Roman" w:eastAsia="Times New Roman" w:hAnsi="Times New Roman" w:cs="Times New Roman"/>
                <w:bCs/>
                <w:sz w:val="24"/>
                <w:szCs w:val="24"/>
                <w:lang w:val="ro-RO" w:eastAsia="ru-RU"/>
              </w:rPr>
              <w:t>.</w:t>
            </w:r>
          </w:p>
          <w:p w:rsidR="003B610F" w:rsidRPr="003839EB" w:rsidRDefault="003B610F" w:rsidP="00BE218F">
            <w:pPr>
              <w:pStyle w:val="NoSpacing"/>
              <w:ind w:firstLine="567"/>
              <w:jc w:val="both"/>
              <w:rPr>
                <w:rFonts w:ascii="Times New Roman" w:hAnsi="Times New Roman"/>
                <w:bCs/>
                <w:iCs/>
                <w:sz w:val="24"/>
                <w:szCs w:val="24"/>
                <w:lang w:val="ro-RO"/>
              </w:rPr>
            </w:pPr>
            <w:r w:rsidRPr="003839EB">
              <w:rPr>
                <w:rFonts w:ascii="Times New Roman" w:hAnsi="Times New Roman"/>
                <w:bCs/>
                <w:iCs/>
                <w:sz w:val="24"/>
                <w:szCs w:val="24"/>
                <w:lang w:val="ro-RO"/>
              </w:rPr>
              <w:t>Procesul de casare a mijloacelor fixe reglementat de Regulamentul privind casarea bunurilor uzate, raportate la mijloacele fixe aprobat prin Hotăr</w:t>
            </w:r>
            <w:r w:rsidR="00462F7D">
              <w:rPr>
                <w:rFonts w:ascii="Times New Roman" w:hAnsi="Times New Roman"/>
                <w:bCs/>
                <w:iCs/>
                <w:sz w:val="24"/>
                <w:szCs w:val="24"/>
                <w:lang w:val="ro-RO"/>
              </w:rPr>
              <w:t>ârea de Guvern nr.500 din 12.05.</w:t>
            </w:r>
            <w:r w:rsidRPr="003839EB">
              <w:rPr>
                <w:rFonts w:ascii="Times New Roman" w:hAnsi="Times New Roman"/>
                <w:bCs/>
                <w:iCs/>
                <w:sz w:val="24"/>
                <w:szCs w:val="24"/>
                <w:lang w:val="ro-RO"/>
              </w:rPr>
              <w:t>1998, este unul depășit și deseori creează dificultăți în special în procesul de modernizare, dezvoltare a subiecților de drept reglementate fie ele autorități publice, instituții publice, fie ale agenți economici (întreprinderi de stat, municipale, SA, SRL cu cotă de participațiune a statului sau a administrației publice locale).</w:t>
            </w:r>
          </w:p>
          <w:p w:rsidR="003B610F" w:rsidRPr="003839EB" w:rsidRDefault="003B610F" w:rsidP="00BE218F">
            <w:pPr>
              <w:pStyle w:val="NoSpacing"/>
              <w:ind w:firstLine="567"/>
              <w:jc w:val="both"/>
              <w:rPr>
                <w:rFonts w:ascii="Times New Roman" w:hAnsi="Times New Roman"/>
                <w:bCs/>
                <w:iCs/>
                <w:sz w:val="24"/>
                <w:szCs w:val="24"/>
                <w:lang w:val="ro-RO"/>
              </w:rPr>
            </w:pPr>
            <w:r w:rsidRPr="003839EB">
              <w:rPr>
                <w:rFonts w:ascii="Times New Roman" w:hAnsi="Times New Roman"/>
                <w:bCs/>
                <w:iCs/>
                <w:sz w:val="24"/>
                <w:szCs w:val="24"/>
                <w:lang w:val="ro-RO"/>
              </w:rPr>
              <w:t xml:space="preserve">Reieșind din cele menționate, având în vedere că există un mecanism clar de monitorizare a activităților întreprinderilor proiectul își propune simplificarea procedurii de casare a mijloacelor fixe și ulterioara verificare de către organele de conducere (consiliul societății pe acțiuni/întreprinderii de stat, comisia de cenzori, societatea de audit) a tuturor acțiunilor întreprinse în acest sens. </w:t>
            </w:r>
          </w:p>
          <w:p w:rsidR="003B610F" w:rsidRPr="003839EB" w:rsidRDefault="00590F94" w:rsidP="00BE218F">
            <w:pPr>
              <w:pStyle w:val="NoSpacing"/>
              <w:ind w:firstLine="567"/>
              <w:jc w:val="both"/>
              <w:rPr>
                <w:rFonts w:ascii="Times New Roman" w:hAnsi="Times New Roman"/>
                <w:bCs/>
                <w:iCs/>
                <w:sz w:val="24"/>
                <w:szCs w:val="24"/>
                <w:lang w:val="ro-RO"/>
              </w:rPr>
            </w:pPr>
            <w:r>
              <w:rPr>
                <w:rFonts w:ascii="Times New Roman" w:hAnsi="Times New Roman"/>
                <w:bCs/>
                <w:iCs/>
                <w:sz w:val="24"/>
                <w:szCs w:val="24"/>
                <w:lang w:val="ro-RO"/>
              </w:rPr>
              <w:t>Tergiversarea demont</w:t>
            </w:r>
            <w:r w:rsidR="003B610F" w:rsidRPr="003839EB">
              <w:rPr>
                <w:rFonts w:ascii="Times New Roman" w:hAnsi="Times New Roman"/>
                <w:bCs/>
                <w:iCs/>
                <w:sz w:val="24"/>
                <w:szCs w:val="24"/>
                <w:lang w:val="ro-RO"/>
              </w:rPr>
              <w:t>ării mijlocului fix duce inevitabil la majorarea pierderilor legate de consumuri de materiale și servicii, care pot fi direcționate la dezvoltarea întreprinderii fie la majorarea obiectului impozabil în cazul impozitului pe venit.</w:t>
            </w:r>
          </w:p>
          <w:p w:rsidR="003B610F" w:rsidRPr="003839EB" w:rsidRDefault="003B610F" w:rsidP="00BE218F">
            <w:pPr>
              <w:pStyle w:val="NoSpacing"/>
              <w:ind w:firstLine="567"/>
              <w:jc w:val="both"/>
              <w:rPr>
                <w:rFonts w:ascii="Times New Roman" w:hAnsi="Times New Roman"/>
                <w:bCs/>
                <w:iCs/>
                <w:sz w:val="24"/>
                <w:szCs w:val="24"/>
                <w:lang w:val="ro-RO"/>
              </w:rPr>
            </w:pPr>
            <w:r w:rsidRPr="003839EB">
              <w:rPr>
                <w:rFonts w:ascii="Times New Roman" w:hAnsi="Times New Roman"/>
                <w:bCs/>
                <w:iCs/>
                <w:sz w:val="24"/>
                <w:szCs w:val="24"/>
                <w:lang w:val="ro-RO"/>
              </w:rPr>
              <w:t>Procedura anevoioasă de casare a mijloacelor fixe în anumite cazuri presupune încălcarea unor cerințe normativ-tehnice ce ține de calitatea serviciilor și/sau bunurilor produse de întreprindere  diminuând în acest sens potențialul de concurență al întreprinderilor.</w:t>
            </w:r>
          </w:p>
          <w:p w:rsidR="003B610F" w:rsidRPr="003839EB" w:rsidRDefault="003B610F" w:rsidP="00BE218F">
            <w:pPr>
              <w:pStyle w:val="NoSpacing"/>
              <w:ind w:firstLine="567"/>
              <w:jc w:val="both"/>
              <w:rPr>
                <w:rFonts w:ascii="Times New Roman" w:hAnsi="Times New Roman"/>
                <w:bCs/>
                <w:iCs/>
                <w:sz w:val="24"/>
                <w:szCs w:val="24"/>
                <w:lang w:val="ro-RO"/>
              </w:rPr>
            </w:pPr>
            <w:r w:rsidRPr="003839EB">
              <w:rPr>
                <w:rFonts w:ascii="Times New Roman" w:hAnsi="Times New Roman"/>
                <w:bCs/>
                <w:iCs/>
                <w:sz w:val="24"/>
                <w:szCs w:val="24"/>
                <w:lang w:val="ro-RO"/>
              </w:rPr>
              <w:t>Solicitări privind simplificarea procedurilor de casare a mijloacelor fixe au fost raportate d</w:t>
            </w:r>
            <w:r>
              <w:rPr>
                <w:rFonts w:ascii="Times New Roman" w:hAnsi="Times New Roman"/>
                <w:bCs/>
                <w:iCs/>
                <w:sz w:val="24"/>
                <w:szCs w:val="24"/>
                <w:lang w:val="ro-RO"/>
              </w:rPr>
              <w:t>e întreprinderi de stat și societăți pe acțiuni cu cota de stat în capitalul social,</w:t>
            </w:r>
            <w:r w:rsidRPr="003839EB">
              <w:rPr>
                <w:rFonts w:ascii="Times New Roman" w:hAnsi="Times New Roman"/>
                <w:bCs/>
                <w:iCs/>
                <w:sz w:val="24"/>
                <w:szCs w:val="24"/>
                <w:lang w:val="ro-RO"/>
              </w:rPr>
              <w:t xml:space="preserve"> care întâmpină dificultăți în acest proces.</w:t>
            </w:r>
          </w:p>
          <w:p w:rsidR="003B610F" w:rsidRPr="003B610F" w:rsidRDefault="003B610F" w:rsidP="00BE218F">
            <w:pPr>
              <w:ind w:firstLine="596"/>
              <w:jc w:val="both"/>
              <w:rPr>
                <w:rFonts w:ascii="Times New Roman" w:eastAsia="Calibri" w:hAnsi="Times New Roman" w:cs="Times New Roman"/>
                <w:bCs/>
                <w:iCs/>
                <w:sz w:val="24"/>
                <w:szCs w:val="24"/>
                <w:lang w:val="en-GB"/>
              </w:rPr>
            </w:pPr>
          </w:p>
        </w:tc>
      </w:tr>
      <w:tr w:rsidR="003B610F" w:rsidRPr="001806D6" w:rsidTr="00BE218F">
        <w:tc>
          <w:tcPr>
            <w:tcW w:w="710" w:type="dxa"/>
            <w:shd w:val="clear" w:color="auto" w:fill="BFBFBF" w:themeFill="background1" w:themeFillShade="BF"/>
          </w:tcPr>
          <w:p w:rsidR="003B610F" w:rsidRPr="003B610F" w:rsidRDefault="003B610F" w:rsidP="00BE218F">
            <w:pPr>
              <w:spacing w:line="276" w:lineRule="auto"/>
              <w:jc w:val="both"/>
              <w:rPr>
                <w:rFonts w:ascii="Times New Roman" w:hAnsi="Times New Roman" w:cs="Times New Roman"/>
                <w:b/>
                <w:sz w:val="26"/>
                <w:szCs w:val="26"/>
                <w:lang w:val="en-GB"/>
              </w:rPr>
            </w:pPr>
            <w:r w:rsidRPr="003B610F">
              <w:rPr>
                <w:rFonts w:ascii="Times New Roman" w:hAnsi="Times New Roman" w:cs="Times New Roman"/>
                <w:b/>
                <w:sz w:val="26"/>
                <w:szCs w:val="26"/>
                <w:lang w:val="en-GB"/>
              </w:rPr>
              <w:t xml:space="preserve">   </w:t>
            </w:r>
          </w:p>
        </w:tc>
        <w:tc>
          <w:tcPr>
            <w:tcW w:w="8920" w:type="dxa"/>
            <w:shd w:val="clear" w:color="auto" w:fill="BFBFBF" w:themeFill="background1" w:themeFillShade="BF"/>
          </w:tcPr>
          <w:p w:rsidR="003B610F" w:rsidRPr="003B610F" w:rsidRDefault="003B610F" w:rsidP="00BE218F">
            <w:pPr>
              <w:spacing w:line="276" w:lineRule="auto"/>
              <w:jc w:val="both"/>
              <w:rPr>
                <w:rFonts w:ascii="Times New Roman" w:hAnsi="Times New Roman" w:cs="Times New Roman"/>
                <w:b/>
                <w:sz w:val="26"/>
                <w:szCs w:val="26"/>
                <w:lang w:val="en-GB"/>
              </w:rPr>
            </w:pPr>
            <w:proofErr w:type="spellStart"/>
            <w:r w:rsidRPr="003B610F">
              <w:rPr>
                <w:rFonts w:ascii="Times New Roman" w:hAnsi="Times New Roman" w:cs="Times New Roman"/>
                <w:b/>
                <w:sz w:val="26"/>
                <w:szCs w:val="26"/>
                <w:lang w:val="en-GB"/>
              </w:rPr>
              <w:t>Descrierea</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gradului</w:t>
            </w:r>
            <w:proofErr w:type="spellEnd"/>
            <w:r w:rsidRPr="003B610F">
              <w:rPr>
                <w:rFonts w:ascii="Times New Roman" w:hAnsi="Times New Roman" w:cs="Times New Roman"/>
                <w:b/>
                <w:sz w:val="26"/>
                <w:szCs w:val="26"/>
                <w:lang w:val="en-GB"/>
              </w:rPr>
              <w:t xml:space="preserve"> de </w:t>
            </w:r>
            <w:proofErr w:type="spellStart"/>
            <w:r w:rsidRPr="003B610F">
              <w:rPr>
                <w:rFonts w:ascii="Times New Roman" w:hAnsi="Times New Roman" w:cs="Times New Roman"/>
                <w:b/>
                <w:sz w:val="26"/>
                <w:szCs w:val="26"/>
                <w:lang w:val="en-GB"/>
              </w:rPr>
              <w:t>compatibilitate</w:t>
            </w:r>
            <w:proofErr w:type="spellEnd"/>
            <w:r w:rsidRPr="003B610F">
              <w:rPr>
                <w:rFonts w:ascii="Times New Roman" w:hAnsi="Times New Roman" w:cs="Times New Roman"/>
                <w:b/>
                <w:sz w:val="26"/>
                <w:szCs w:val="26"/>
                <w:lang w:val="en-GB"/>
              </w:rPr>
              <w:t xml:space="preserve"> a </w:t>
            </w:r>
            <w:proofErr w:type="spellStart"/>
            <w:r w:rsidRPr="003B610F">
              <w:rPr>
                <w:rFonts w:ascii="Times New Roman" w:hAnsi="Times New Roman" w:cs="Times New Roman"/>
                <w:b/>
                <w:sz w:val="26"/>
                <w:szCs w:val="26"/>
                <w:lang w:val="en-GB"/>
              </w:rPr>
              <w:t>prevederilor</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proiectului</w:t>
            </w:r>
            <w:proofErr w:type="spellEnd"/>
            <w:r w:rsidRPr="003B610F">
              <w:rPr>
                <w:rFonts w:ascii="Times New Roman" w:hAnsi="Times New Roman" w:cs="Times New Roman"/>
                <w:b/>
                <w:sz w:val="26"/>
                <w:szCs w:val="26"/>
                <w:lang w:val="en-GB"/>
              </w:rPr>
              <w:t xml:space="preserve"> cu </w:t>
            </w:r>
            <w:proofErr w:type="spellStart"/>
            <w:r w:rsidRPr="003B610F">
              <w:rPr>
                <w:rFonts w:ascii="Times New Roman" w:hAnsi="Times New Roman" w:cs="Times New Roman"/>
                <w:b/>
                <w:sz w:val="26"/>
                <w:szCs w:val="26"/>
                <w:lang w:val="en-GB"/>
              </w:rPr>
              <w:t>legislația</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Uniunii</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Europene</w:t>
            </w:r>
            <w:proofErr w:type="spellEnd"/>
          </w:p>
        </w:tc>
      </w:tr>
      <w:tr w:rsidR="003B610F" w:rsidRPr="001806D6" w:rsidTr="00BE218F">
        <w:tc>
          <w:tcPr>
            <w:tcW w:w="710" w:type="dxa"/>
          </w:tcPr>
          <w:p w:rsidR="003B610F" w:rsidRPr="003B610F" w:rsidRDefault="003B610F" w:rsidP="00BE218F">
            <w:pPr>
              <w:spacing w:line="276" w:lineRule="auto"/>
              <w:jc w:val="both"/>
              <w:rPr>
                <w:rFonts w:ascii="Times New Roman" w:hAnsi="Times New Roman" w:cs="Times New Roman"/>
                <w:sz w:val="26"/>
                <w:szCs w:val="26"/>
                <w:lang w:val="en-GB"/>
              </w:rPr>
            </w:pPr>
          </w:p>
        </w:tc>
        <w:tc>
          <w:tcPr>
            <w:tcW w:w="8920" w:type="dxa"/>
          </w:tcPr>
          <w:p w:rsidR="003B610F" w:rsidRPr="003B610F" w:rsidRDefault="003B610F" w:rsidP="00BE218F">
            <w:pPr>
              <w:spacing w:line="276" w:lineRule="auto"/>
              <w:jc w:val="both"/>
              <w:rPr>
                <w:rFonts w:ascii="Times New Roman" w:hAnsi="Times New Roman" w:cs="Times New Roman"/>
                <w:sz w:val="26"/>
                <w:szCs w:val="26"/>
                <w:lang w:val="en-GB"/>
              </w:rPr>
            </w:pPr>
            <w:proofErr w:type="spellStart"/>
            <w:r w:rsidRPr="003B610F">
              <w:rPr>
                <w:rFonts w:ascii="Times New Roman" w:eastAsia="Calibri" w:hAnsi="Times New Roman" w:cs="Times New Roman"/>
                <w:bCs/>
                <w:iCs/>
                <w:sz w:val="24"/>
                <w:szCs w:val="24"/>
                <w:lang w:val="en-GB"/>
              </w:rPr>
              <w:t>Prezentul</w:t>
            </w:r>
            <w:proofErr w:type="spellEnd"/>
            <w:r w:rsidRPr="003B610F">
              <w:rPr>
                <w:rFonts w:ascii="Times New Roman" w:eastAsia="Calibri" w:hAnsi="Times New Roman" w:cs="Times New Roman"/>
                <w:bCs/>
                <w:iCs/>
                <w:sz w:val="24"/>
                <w:szCs w:val="24"/>
                <w:lang w:val="en-GB"/>
              </w:rPr>
              <w:t xml:space="preserve"> </w:t>
            </w:r>
            <w:proofErr w:type="spellStart"/>
            <w:r w:rsidRPr="003B610F">
              <w:rPr>
                <w:rFonts w:ascii="Times New Roman" w:eastAsia="Calibri" w:hAnsi="Times New Roman" w:cs="Times New Roman"/>
                <w:bCs/>
                <w:iCs/>
                <w:sz w:val="24"/>
                <w:szCs w:val="24"/>
                <w:lang w:val="en-GB"/>
              </w:rPr>
              <w:t>proiect</w:t>
            </w:r>
            <w:proofErr w:type="spellEnd"/>
            <w:r w:rsidRPr="003B610F">
              <w:rPr>
                <w:rFonts w:ascii="Times New Roman" w:eastAsia="Calibri" w:hAnsi="Times New Roman" w:cs="Times New Roman"/>
                <w:bCs/>
                <w:iCs/>
                <w:sz w:val="24"/>
                <w:szCs w:val="24"/>
                <w:lang w:val="en-GB"/>
              </w:rPr>
              <w:t xml:space="preserve"> de act </w:t>
            </w:r>
            <w:proofErr w:type="spellStart"/>
            <w:r w:rsidRPr="003B610F">
              <w:rPr>
                <w:rFonts w:ascii="Times New Roman" w:eastAsia="Calibri" w:hAnsi="Times New Roman" w:cs="Times New Roman"/>
                <w:bCs/>
                <w:iCs/>
                <w:sz w:val="24"/>
                <w:szCs w:val="24"/>
                <w:lang w:val="en-GB"/>
              </w:rPr>
              <w:t>normativ</w:t>
            </w:r>
            <w:proofErr w:type="spellEnd"/>
            <w:r w:rsidRPr="003B610F">
              <w:rPr>
                <w:rFonts w:ascii="Times New Roman" w:eastAsia="Calibri" w:hAnsi="Times New Roman" w:cs="Times New Roman"/>
                <w:bCs/>
                <w:iCs/>
                <w:sz w:val="24"/>
                <w:szCs w:val="24"/>
                <w:lang w:val="en-GB"/>
              </w:rPr>
              <w:t xml:space="preserve"> nu </w:t>
            </w:r>
            <w:proofErr w:type="spellStart"/>
            <w:r w:rsidRPr="003B610F">
              <w:rPr>
                <w:rFonts w:ascii="Times New Roman" w:eastAsia="Calibri" w:hAnsi="Times New Roman" w:cs="Times New Roman"/>
                <w:bCs/>
                <w:iCs/>
                <w:sz w:val="24"/>
                <w:szCs w:val="24"/>
                <w:lang w:val="en-GB"/>
              </w:rPr>
              <w:t>contravine</w:t>
            </w:r>
            <w:proofErr w:type="spellEnd"/>
            <w:r w:rsidRPr="003B610F">
              <w:rPr>
                <w:rFonts w:ascii="Times New Roman" w:eastAsia="Calibri" w:hAnsi="Times New Roman" w:cs="Times New Roman"/>
                <w:bCs/>
                <w:iCs/>
                <w:sz w:val="24"/>
                <w:szCs w:val="24"/>
                <w:lang w:val="en-GB"/>
              </w:rPr>
              <w:t xml:space="preserve"> </w:t>
            </w:r>
            <w:proofErr w:type="spellStart"/>
            <w:r w:rsidRPr="003B610F">
              <w:rPr>
                <w:rFonts w:ascii="Times New Roman" w:eastAsia="Calibri" w:hAnsi="Times New Roman" w:cs="Times New Roman"/>
                <w:bCs/>
                <w:iCs/>
                <w:sz w:val="24"/>
                <w:szCs w:val="24"/>
                <w:lang w:val="en-GB"/>
              </w:rPr>
              <w:t>legislației</w:t>
            </w:r>
            <w:proofErr w:type="spellEnd"/>
            <w:r w:rsidRPr="003B610F">
              <w:rPr>
                <w:rFonts w:ascii="Times New Roman" w:eastAsia="Calibri" w:hAnsi="Times New Roman" w:cs="Times New Roman"/>
                <w:bCs/>
                <w:iCs/>
                <w:sz w:val="24"/>
                <w:szCs w:val="24"/>
                <w:lang w:val="en-GB"/>
              </w:rPr>
              <w:t xml:space="preserve"> </w:t>
            </w:r>
            <w:proofErr w:type="spellStart"/>
            <w:r w:rsidRPr="003B610F">
              <w:rPr>
                <w:rFonts w:ascii="Times New Roman" w:eastAsia="Calibri" w:hAnsi="Times New Roman" w:cs="Times New Roman"/>
                <w:bCs/>
                <w:iCs/>
                <w:sz w:val="24"/>
                <w:szCs w:val="24"/>
                <w:lang w:val="en-GB"/>
              </w:rPr>
              <w:t>Uniunii</w:t>
            </w:r>
            <w:proofErr w:type="spellEnd"/>
            <w:r w:rsidRPr="003B610F">
              <w:rPr>
                <w:rFonts w:ascii="Times New Roman" w:eastAsia="Calibri" w:hAnsi="Times New Roman" w:cs="Times New Roman"/>
                <w:bCs/>
                <w:iCs/>
                <w:sz w:val="24"/>
                <w:szCs w:val="24"/>
                <w:lang w:val="en-GB"/>
              </w:rPr>
              <w:t xml:space="preserve"> </w:t>
            </w:r>
            <w:proofErr w:type="spellStart"/>
            <w:r w:rsidRPr="003B610F">
              <w:rPr>
                <w:rFonts w:ascii="Times New Roman" w:eastAsia="Calibri" w:hAnsi="Times New Roman" w:cs="Times New Roman"/>
                <w:bCs/>
                <w:iCs/>
                <w:sz w:val="24"/>
                <w:szCs w:val="24"/>
                <w:lang w:val="en-GB"/>
              </w:rPr>
              <w:t>Europene</w:t>
            </w:r>
            <w:proofErr w:type="spellEnd"/>
          </w:p>
        </w:tc>
      </w:tr>
      <w:tr w:rsidR="003B610F" w:rsidRPr="001806D6" w:rsidTr="00BE218F">
        <w:tc>
          <w:tcPr>
            <w:tcW w:w="710" w:type="dxa"/>
            <w:shd w:val="clear" w:color="auto" w:fill="D9D9D9" w:themeFill="background1" w:themeFillShade="D9"/>
          </w:tcPr>
          <w:p w:rsidR="003B610F" w:rsidRPr="003839EB" w:rsidRDefault="003B610F" w:rsidP="00BE218F">
            <w:pPr>
              <w:spacing w:line="276" w:lineRule="auto"/>
              <w:jc w:val="both"/>
              <w:rPr>
                <w:rFonts w:ascii="Times New Roman" w:hAnsi="Times New Roman" w:cs="Times New Roman"/>
                <w:b/>
                <w:sz w:val="26"/>
                <w:szCs w:val="26"/>
              </w:rPr>
            </w:pPr>
            <w:r w:rsidRPr="003839EB">
              <w:rPr>
                <w:rFonts w:ascii="Times New Roman" w:hAnsi="Times New Roman" w:cs="Times New Roman"/>
                <w:b/>
                <w:sz w:val="26"/>
                <w:szCs w:val="26"/>
              </w:rPr>
              <w:t>4.</w:t>
            </w:r>
          </w:p>
        </w:tc>
        <w:tc>
          <w:tcPr>
            <w:tcW w:w="8920" w:type="dxa"/>
            <w:shd w:val="clear" w:color="auto" w:fill="D9D9D9" w:themeFill="background1" w:themeFillShade="D9"/>
          </w:tcPr>
          <w:p w:rsidR="003B610F" w:rsidRPr="003B610F" w:rsidRDefault="003B610F" w:rsidP="00BE218F">
            <w:pPr>
              <w:spacing w:line="276" w:lineRule="auto"/>
              <w:jc w:val="both"/>
              <w:rPr>
                <w:rFonts w:ascii="Times New Roman" w:hAnsi="Times New Roman" w:cs="Times New Roman"/>
                <w:sz w:val="26"/>
                <w:szCs w:val="26"/>
                <w:lang w:val="en-GB"/>
              </w:rPr>
            </w:pPr>
            <w:proofErr w:type="spellStart"/>
            <w:r w:rsidRPr="003B610F">
              <w:rPr>
                <w:rFonts w:ascii="Times New Roman" w:hAnsi="Times New Roman" w:cs="Times New Roman"/>
                <w:b/>
                <w:sz w:val="26"/>
                <w:szCs w:val="26"/>
                <w:lang w:val="en-GB"/>
              </w:rPr>
              <w:t>Principalele</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prevederi</w:t>
            </w:r>
            <w:proofErr w:type="spellEnd"/>
            <w:r w:rsidRPr="003B610F">
              <w:rPr>
                <w:rFonts w:ascii="Times New Roman" w:hAnsi="Times New Roman" w:cs="Times New Roman"/>
                <w:b/>
                <w:sz w:val="26"/>
                <w:szCs w:val="26"/>
                <w:lang w:val="en-GB"/>
              </w:rPr>
              <w:t xml:space="preserve"> ale </w:t>
            </w:r>
            <w:proofErr w:type="spellStart"/>
            <w:r w:rsidRPr="003B610F">
              <w:rPr>
                <w:rFonts w:ascii="Times New Roman" w:hAnsi="Times New Roman" w:cs="Times New Roman"/>
                <w:b/>
                <w:sz w:val="26"/>
                <w:szCs w:val="26"/>
                <w:lang w:val="en-GB"/>
              </w:rPr>
              <w:t>proiectului</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şi</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evidenţierea</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elementelor</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noi</w:t>
            </w:r>
            <w:proofErr w:type="spellEnd"/>
          </w:p>
        </w:tc>
      </w:tr>
      <w:tr w:rsidR="003B610F" w:rsidRPr="001806D6" w:rsidTr="00BE218F">
        <w:tc>
          <w:tcPr>
            <w:tcW w:w="710" w:type="dxa"/>
          </w:tcPr>
          <w:p w:rsidR="003B610F" w:rsidRPr="003B610F" w:rsidRDefault="003B610F" w:rsidP="00BE218F">
            <w:pPr>
              <w:ind w:left="29" w:firstLine="709"/>
              <w:jc w:val="both"/>
              <w:rPr>
                <w:rFonts w:ascii="Times New Roman" w:hAnsi="Times New Roman" w:cs="Times New Roman"/>
                <w:sz w:val="26"/>
                <w:szCs w:val="26"/>
                <w:lang w:val="en-GB"/>
              </w:rPr>
            </w:pPr>
          </w:p>
        </w:tc>
        <w:tc>
          <w:tcPr>
            <w:tcW w:w="8920" w:type="dxa"/>
          </w:tcPr>
          <w:p w:rsidR="003B610F" w:rsidRDefault="003B610F" w:rsidP="00BE218F">
            <w:pPr>
              <w:pStyle w:val="NoSpacing"/>
              <w:ind w:firstLine="567"/>
              <w:jc w:val="both"/>
              <w:rPr>
                <w:rFonts w:ascii="Times New Roman" w:hAnsi="Times New Roman"/>
                <w:bCs/>
                <w:iCs/>
                <w:sz w:val="24"/>
                <w:szCs w:val="24"/>
                <w:lang w:val="ro-RO"/>
              </w:rPr>
            </w:pPr>
            <w:r w:rsidRPr="003839EB">
              <w:rPr>
                <w:rFonts w:ascii="Times New Roman" w:hAnsi="Times New Roman"/>
                <w:bCs/>
                <w:iCs/>
                <w:sz w:val="24"/>
                <w:szCs w:val="24"/>
                <w:lang w:val="ro-RO"/>
              </w:rPr>
              <w:t>Un aspect inovativ, strict necesar în procesul de modernizare și dezvoltare a entităților reglementate, fiind posibilitatea de demontare a mijloacelor fixe pînă la obținerea autorizației de casare (în situații expres prevăzute), ori la moment, Regulamentul prevede expres interdicția de demontare a mijloacelor fixe pînă la obținer</w:t>
            </w:r>
            <w:r w:rsidR="003E6E26">
              <w:rPr>
                <w:rFonts w:ascii="Times New Roman" w:hAnsi="Times New Roman"/>
                <w:bCs/>
                <w:iCs/>
                <w:sz w:val="24"/>
                <w:szCs w:val="24"/>
                <w:lang w:val="ro-RO"/>
              </w:rPr>
              <w:t>ea autorizației de casare</w:t>
            </w:r>
            <w:r>
              <w:rPr>
                <w:rFonts w:ascii="Times New Roman" w:hAnsi="Times New Roman"/>
                <w:bCs/>
                <w:iCs/>
                <w:sz w:val="24"/>
                <w:szCs w:val="24"/>
                <w:lang w:val="ro-RO"/>
              </w:rPr>
              <w:t xml:space="preserve">. </w:t>
            </w:r>
          </w:p>
          <w:p w:rsidR="003B610F" w:rsidRPr="003B610F" w:rsidRDefault="003B610F" w:rsidP="00BE218F">
            <w:pPr>
              <w:pStyle w:val="NoSpacing"/>
              <w:ind w:firstLine="567"/>
              <w:jc w:val="both"/>
              <w:rPr>
                <w:rFonts w:ascii="Times New Roman" w:hAnsi="Times New Roman"/>
                <w:sz w:val="26"/>
                <w:szCs w:val="26"/>
                <w:lang w:val="en-GB"/>
              </w:rPr>
            </w:pPr>
            <w:r>
              <w:rPr>
                <w:rFonts w:ascii="Times New Roman" w:hAnsi="Times New Roman"/>
                <w:bCs/>
                <w:iCs/>
                <w:sz w:val="24"/>
                <w:szCs w:val="24"/>
                <w:lang w:val="ro-RO"/>
              </w:rPr>
              <w:t xml:space="preserve">Totodată, în scopul neadmiterii situației în care vor fi lezate interesele publice (în cazul </w:t>
            </w:r>
            <w:r w:rsidRPr="003839EB">
              <w:rPr>
                <w:rFonts w:ascii="Times New Roman" w:hAnsi="Times New Roman"/>
                <w:bCs/>
                <w:iCs/>
                <w:sz w:val="24"/>
                <w:szCs w:val="24"/>
                <w:lang w:val="ro-RO"/>
              </w:rPr>
              <w:t>de demontare a mijloacelor fixe pînă la obținerea autorizației de casare</w:t>
            </w:r>
            <w:r>
              <w:rPr>
                <w:rFonts w:ascii="Times New Roman" w:hAnsi="Times New Roman"/>
                <w:bCs/>
                <w:iCs/>
                <w:sz w:val="24"/>
                <w:szCs w:val="24"/>
                <w:lang w:val="ro-RO"/>
              </w:rPr>
              <w:t xml:space="preserve">), proiectul stabilește că </w:t>
            </w:r>
            <w:r w:rsidR="00590F94" w:rsidRPr="00590F94">
              <w:rPr>
                <w:rStyle w:val="Hyperlink"/>
                <w:rFonts w:ascii="Times New Roman" w:hAnsi="Times New Roman"/>
                <w:color w:val="auto"/>
                <w:sz w:val="24"/>
                <w:szCs w:val="24"/>
                <w:u w:val="none"/>
                <w:lang w:val="ro-RO"/>
              </w:rPr>
              <w:t>persoana responsabilă/ persoanele responsabile care se deplasează la fața locului pentru determinarea stării obiectului avariat, întocmește/ întocmesc act de constatare care urmează a fi prezentat ulterior comisiei de casare</w:t>
            </w:r>
            <w:r w:rsidR="00590F94">
              <w:rPr>
                <w:rStyle w:val="Hyperlink"/>
                <w:rFonts w:ascii="Times New Roman" w:hAnsi="Times New Roman"/>
                <w:color w:val="auto"/>
                <w:sz w:val="24"/>
                <w:szCs w:val="24"/>
                <w:u w:val="none"/>
                <w:lang w:val="ro-RO"/>
              </w:rPr>
              <w:t>.</w:t>
            </w:r>
          </w:p>
        </w:tc>
      </w:tr>
      <w:tr w:rsidR="003B610F" w:rsidRPr="003839EB" w:rsidTr="00BE218F">
        <w:tc>
          <w:tcPr>
            <w:tcW w:w="710" w:type="dxa"/>
            <w:shd w:val="clear" w:color="auto" w:fill="BFBFBF" w:themeFill="background1" w:themeFillShade="BF"/>
          </w:tcPr>
          <w:p w:rsidR="003B610F" w:rsidRPr="003839EB" w:rsidRDefault="003B610F" w:rsidP="00BE218F">
            <w:pPr>
              <w:spacing w:line="276" w:lineRule="auto"/>
              <w:jc w:val="both"/>
              <w:rPr>
                <w:rFonts w:ascii="Times New Roman" w:hAnsi="Times New Roman" w:cs="Times New Roman"/>
                <w:b/>
                <w:sz w:val="26"/>
                <w:szCs w:val="26"/>
              </w:rPr>
            </w:pPr>
            <w:r w:rsidRPr="003839EB">
              <w:rPr>
                <w:rFonts w:ascii="Times New Roman" w:hAnsi="Times New Roman" w:cs="Times New Roman"/>
                <w:b/>
                <w:sz w:val="26"/>
                <w:szCs w:val="26"/>
              </w:rPr>
              <w:lastRenderedPageBreak/>
              <w:t>5.</w:t>
            </w:r>
          </w:p>
        </w:tc>
        <w:tc>
          <w:tcPr>
            <w:tcW w:w="8920" w:type="dxa"/>
            <w:shd w:val="clear" w:color="auto" w:fill="BFBFBF" w:themeFill="background1" w:themeFillShade="BF"/>
          </w:tcPr>
          <w:p w:rsidR="003B610F" w:rsidRPr="003839EB" w:rsidRDefault="003B610F" w:rsidP="00BE218F">
            <w:pPr>
              <w:spacing w:line="276" w:lineRule="auto"/>
              <w:jc w:val="both"/>
              <w:rPr>
                <w:rFonts w:ascii="Times New Roman" w:hAnsi="Times New Roman" w:cs="Times New Roman"/>
                <w:b/>
                <w:sz w:val="26"/>
                <w:szCs w:val="26"/>
              </w:rPr>
            </w:pPr>
            <w:proofErr w:type="spellStart"/>
            <w:r w:rsidRPr="003839EB">
              <w:rPr>
                <w:rFonts w:ascii="Times New Roman" w:hAnsi="Times New Roman" w:cs="Times New Roman"/>
                <w:b/>
                <w:sz w:val="26"/>
                <w:szCs w:val="26"/>
              </w:rPr>
              <w:t>Fundamentarea</w:t>
            </w:r>
            <w:proofErr w:type="spellEnd"/>
            <w:r w:rsidRPr="003839EB">
              <w:rPr>
                <w:rFonts w:ascii="Times New Roman" w:hAnsi="Times New Roman" w:cs="Times New Roman"/>
                <w:b/>
                <w:sz w:val="26"/>
                <w:szCs w:val="26"/>
              </w:rPr>
              <w:t xml:space="preserve"> </w:t>
            </w:r>
            <w:proofErr w:type="spellStart"/>
            <w:r w:rsidRPr="003839EB">
              <w:rPr>
                <w:rFonts w:ascii="Times New Roman" w:hAnsi="Times New Roman" w:cs="Times New Roman"/>
                <w:b/>
                <w:sz w:val="26"/>
                <w:szCs w:val="26"/>
              </w:rPr>
              <w:t>economico-financiară</w:t>
            </w:r>
            <w:proofErr w:type="spellEnd"/>
          </w:p>
        </w:tc>
      </w:tr>
      <w:tr w:rsidR="003B610F" w:rsidRPr="001806D6" w:rsidTr="00BE218F">
        <w:tc>
          <w:tcPr>
            <w:tcW w:w="710" w:type="dxa"/>
            <w:shd w:val="clear" w:color="auto" w:fill="FFFFFF" w:themeFill="background1"/>
          </w:tcPr>
          <w:p w:rsidR="003B610F" w:rsidRPr="003839EB" w:rsidRDefault="003B610F" w:rsidP="00BE218F">
            <w:pPr>
              <w:spacing w:line="276" w:lineRule="auto"/>
              <w:ind w:firstLine="738"/>
              <w:jc w:val="both"/>
              <w:rPr>
                <w:rFonts w:ascii="Times New Roman" w:hAnsi="Times New Roman" w:cs="Times New Roman"/>
                <w:sz w:val="26"/>
                <w:szCs w:val="26"/>
              </w:rPr>
            </w:pPr>
          </w:p>
        </w:tc>
        <w:tc>
          <w:tcPr>
            <w:tcW w:w="8920" w:type="dxa"/>
            <w:shd w:val="clear" w:color="auto" w:fill="FFFFFF" w:themeFill="background1"/>
          </w:tcPr>
          <w:p w:rsidR="003B610F" w:rsidRPr="003B610F" w:rsidRDefault="003B610F" w:rsidP="00BE218F">
            <w:pPr>
              <w:spacing w:line="276" w:lineRule="auto"/>
              <w:jc w:val="both"/>
              <w:rPr>
                <w:rFonts w:ascii="Times New Roman" w:hAnsi="Times New Roman" w:cs="Times New Roman"/>
                <w:sz w:val="26"/>
                <w:szCs w:val="26"/>
                <w:lang w:val="en-GB"/>
              </w:rPr>
            </w:pPr>
            <w:proofErr w:type="spellStart"/>
            <w:r w:rsidRPr="003B610F">
              <w:rPr>
                <w:rFonts w:ascii="Times New Roman" w:eastAsia="Calibri" w:hAnsi="Times New Roman" w:cs="Times New Roman"/>
                <w:bCs/>
                <w:iCs/>
                <w:sz w:val="24"/>
                <w:szCs w:val="24"/>
                <w:lang w:val="en-GB"/>
              </w:rPr>
              <w:t>Realizarea</w:t>
            </w:r>
            <w:proofErr w:type="spellEnd"/>
            <w:r w:rsidRPr="003B610F">
              <w:rPr>
                <w:rFonts w:ascii="Times New Roman" w:eastAsia="Calibri" w:hAnsi="Times New Roman" w:cs="Times New Roman"/>
                <w:bCs/>
                <w:iCs/>
                <w:sz w:val="24"/>
                <w:szCs w:val="24"/>
                <w:lang w:val="en-GB"/>
              </w:rPr>
              <w:t xml:space="preserve"> </w:t>
            </w:r>
            <w:proofErr w:type="spellStart"/>
            <w:r w:rsidRPr="003B610F">
              <w:rPr>
                <w:rFonts w:ascii="Times New Roman" w:eastAsia="Calibri" w:hAnsi="Times New Roman" w:cs="Times New Roman"/>
                <w:bCs/>
                <w:iCs/>
                <w:sz w:val="24"/>
                <w:szCs w:val="24"/>
                <w:lang w:val="en-GB"/>
              </w:rPr>
              <w:t>proiectului</w:t>
            </w:r>
            <w:proofErr w:type="spellEnd"/>
            <w:r w:rsidRPr="003B610F">
              <w:rPr>
                <w:rFonts w:ascii="Times New Roman" w:eastAsia="Calibri" w:hAnsi="Times New Roman" w:cs="Times New Roman"/>
                <w:bCs/>
                <w:iCs/>
                <w:sz w:val="24"/>
                <w:szCs w:val="24"/>
                <w:lang w:val="en-GB"/>
              </w:rPr>
              <w:t xml:space="preserve"> </w:t>
            </w:r>
            <w:proofErr w:type="spellStart"/>
            <w:r w:rsidRPr="003B610F">
              <w:rPr>
                <w:rFonts w:ascii="Times New Roman" w:eastAsia="Calibri" w:hAnsi="Times New Roman" w:cs="Times New Roman"/>
                <w:bCs/>
                <w:iCs/>
                <w:sz w:val="24"/>
                <w:szCs w:val="24"/>
                <w:lang w:val="en-GB"/>
              </w:rPr>
              <w:t>dat</w:t>
            </w:r>
            <w:proofErr w:type="spellEnd"/>
            <w:r w:rsidRPr="003B610F">
              <w:rPr>
                <w:rFonts w:ascii="Times New Roman" w:eastAsia="Calibri" w:hAnsi="Times New Roman" w:cs="Times New Roman"/>
                <w:bCs/>
                <w:iCs/>
                <w:sz w:val="24"/>
                <w:szCs w:val="24"/>
                <w:lang w:val="en-GB"/>
              </w:rPr>
              <w:t xml:space="preserve"> nu </w:t>
            </w:r>
            <w:proofErr w:type="spellStart"/>
            <w:r w:rsidRPr="003B610F">
              <w:rPr>
                <w:rFonts w:ascii="Times New Roman" w:eastAsia="Calibri" w:hAnsi="Times New Roman" w:cs="Times New Roman"/>
                <w:bCs/>
                <w:iCs/>
                <w:sz w:val="24"/>
                <w:szCs w:val="24"/>
                <w:lang w:val="en-GB"/>
              </w:rPr>
              <w:t>implică</w:t>
            </w:r>
            <w:proofErr w:type="spellEnd"/>
            <w:r w:rsidRPr="003B610F">
              <w:rPr>
                <w:rFonts w:ascii="Times New Roman" w:eastAsia="Calibri" w:hAnsi="Times New Roman" w:cs="Times New Roman"/>
                <w:bCs/>
                <w:iCs/>
                <w:sz w:val="24"/>
                <w:szCs w:val="24"/>
                <w:lang w:val="en-GB"/>
              </w:rPr>
              <w:t xml:space="preserve"> </w:t>
            </w:r>
            <w:proofErr w:type="spellStart"/>
            <w:r w:rsidRPr="003B610F">
              <w:rPr>
                <w:rFonts w:ascii="Times New Roman" w:eastAsia="Calibri" w:hAnsi="Times New Roman" w:cs="Times New Roman"/>
                <w:bCs/>
                <w:iCs/>
                <w:sz w:val="24"/>
                <w:szCs w:val="24"/>
                <w:lang w:val="en-GB"/>
              </w:rPr>
              <w:t>cheltuieli</w:t>
            </w:r>
            <w:proofErr w:type="spellEnd"/>
            <w:r w:rsidRPr="003B610F">
              <w:rPr>
                <w:rFonts w:ascii="Times New Roman" w:eastAsia="Calibri" w:hAnsi="Times New Roman" w:cs="Times New Roman"/>
                <w:bCs/>
                <w:iCs/>
                <w:sz w:val="24"/>
                <w:szCs w:val="24"/>
                <w:lang w:val="en-GB"/>
              </w:rPr>
              <w:t xml:space="preserve"> </w:t>
            </w:r>
            <w:proofErr w:type="spellStart"/>
            <w:r w:rsidRPr="003B610F">
              <w:rPr>
                <w:rFonts w:ascii="Times New Roman" w:eastAsia="Calibri" w:hAnsi="Times New Roman" w:cs="Times New Roman"/>
                <w:bCs/>
                <w:iCs/>
                <w:sz w:val="24"/>
                <w:szCs w:val="24"/>
                <w:lang w:val="en-GB"/>
              </w:rPr>
              <w:t>financiare</w:t>
            </w:r>
            <w:proofErr w:type="spellEnd"/>
            <w:r w:rsidRPr="003B610F">
              <w:rPr>
                <w:rFonts w:ascii="Times New Roman" w:eastAsia="Calibri" w:hAnsi="Times New Roman" w:cs="Times New Roman"/>
                <w:bCs/>
                <w:iCs/>
                <w:sz w:val="24"/>
                <w:szCs w:val="24"/>
                <w:lang w:val="en-GB"/>
              </w:rPr>
              <w:t xml:space="preserve"> </w:t>
            </w:r>
            <w:proofErr w:type="spellStart"/>
            <w:r w:rsidRPr="003B610F">
              <w:rPr>
                <w:rFonts w:ascii="Times New Roman" w:eastAsia="Calibri" w:hAnsi="Times New Roman" w:cs="Times New Roman"/>
                <w:bCs/>
                <w:iCs/>
                <w:sz w:val="24"/>
                <w:szCs w:val="24"/>
                <w:lang w:val="en-GB"/>
              </w:rPr>
              <w:t>publice</w:t>
            </w:r>
            <w:proofErr w:type="spellEnd"/>
          </w:p>
        </w:tc>
      </w:tr>
      <w:tr w:rsidR="003B610F" w:rsidRPr="001806D6" w:rsidTr="00BE218F">
        <w:tc>
          <w:tcPr>
            <w:tcW w:w="710" w:type="dxa"/>
            <w:shd w:val="clear" w:color="auto" w:fill="D9D9D9" w:themeFill="background1" w:themeFillShade="D9"/>
          </w:tcPr>
          <w:p w:rsidR="003B610F" w:rsidRPr="003839EB" w:rsidRDefault="003B610F" w:rsidP="00BE218F">
            <w:pPr>
              <w:spacing w:line="276" w:lineRule="auto"/>
              <w:rPr>
                <w:rFonts w:ascii="Times New Roman" w:hAnsi="Times New Roman" w:cs="Times New Roman"/>
                <w:b/>
                <w:sz w:val="26"/>
                <w:szCs w:val="26"/>
              </w:rPr>
            </w:pPr>
            <w:r w:rsidRPr="003839EB">
              <w:rPr>
                <w:rFonts w:ascii="Times New Roman" w:hAnsi="Times New Roman" w:cs="Times New Roman"/>
                <w:b/>
                <w:sz w:val="26"/>
                <w:szCs w:val="26"/>
              </w:rPr>
              <w:t>6.</w:t>
            </w:r>
          </w:p>
        </w:tc>
        <w:tc>
          <w:tcPr>
            <w:tcW w:w="8920" w:type="dxa"/>
            <w:shd w:val="clear" w:color="auto" w:fill="D9D9D9" w:themeFill="background1" w:themeFillShade="D9"/>
          </w:tcPr>
          <w:p w:rsidR="003B610F" w:rsidRPr="003B610F" w:rsidRDefault="003B610F" w:rsidP="00BE218F">
            <w:pPr>
              <w:spacing w:line="276" w:lineRule="auto"/>
              <w:jc w:val="both"/>
              <w:rPr>
                <w:rFonts w:ascii="Times New Roman" w:hAnsi="Times New Roman" w:cs="Times New Roman"/>
                <w:b/>
                <w:sz w:val="26"/>
                <w:szCs w:val="26"/>
                <w:lang w:val="en-GB"/>
              </w:rPr>
            </w:pPr>
            <w:proofErr w:type="spellStart"/>
            <w:r w:rsidRPr="003B610F">
              <w:rPr>
                <w:rFonts w:ascii="Times New Roman" w:hAnsi="Times New Roman" w:cs="Times New Roman"/>
                <w:b/>
                <w:sz w:val="26"/>
                <w:szCs w:val="26"/>
                <w:lang w:val="en-GB"/>
              </w:rPr>
              <w:t>Modul</w:t>
            </w:r>
            <w:proofErr w:type="spellEnd"/>
            <w:r w:rsidRPr="003B610F">
              <w:rPr>
                <w:rFonts w:ascii="Times New Roman" w:hAnsi="Times New Roman" w:cs="Times New Roman"/>
                <w:b/>
                <w:sz w:val="26"/>
                <w:szCs w:val="26"/>
                <w:lang w:val="en-GB"/>
              </w:rPr>
              <w:t xml:space="preserve"> de </w:t>
            </w:r>
            <w:proofErr w:type="spellStart"/>
            <w:r w:rsidRPr="003B610F">
              <w:rPr>
                <w:rFonts w:ascii="Times New Roman" w:hAnsi="Times New Roman" w:cs="Times New Roman"/>
                <w:b/>
                <w:sz w:val="26"/>
                <w:szCs w:val="26"/>
                <w:lang w:val="en-GB"/>
              </w:rPr>
              <w:t>încorporare</w:t>
            </w:r>
            <w:proofErr w:type="spellEnd"/>
            <w:r w:rsidRPr="003B610F">
              <w:rPr>
                <w:rFonts w:ascii="Times New Roman" w:hAnsi="Times New Roman" w:cs="Times New Roman"/>
                <w:b/>
                <w:sz w:val="26"/>
                <w:szCs w:val="26"/>
                <w:lang w:val="en-GB"/>
              </w:rPr>
              <w:t xml:space="preserve"> a </w:t>
            </w:r>
            <w:proofErr w:type="spellStart"/>
            <w:r w:rsidRPr="003B610F">
              <w:rPr>
                <w:rFonts w:ascii="Times New Roman" w:hAnsi="Times New Roman" w:cs="Times New Roman"/>
                <w:b/>
                <w:sz w:val="26"/>
                <w:szCs w:val="26"/>
                <w:lang w:val="en-GB"/>
              </w:rPr>
              <w:t>actului</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în</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cadrul</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normativ</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în</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vigoare</w:t>
            </w:r>
            <w:proofErr w:type="spellEnd"/>
          </w:p>
        </w:tc>
      </w:tr>
      <w:tr w:rsidR="003B610F" w:rsidRPr="001806D6" w:rsidTr="00BE218F">
        <w:tc>
          <w:tcPr>
            <w:tcW w:w="710" w:type="dxa"/>
            <w:shd w:val="clear" w:color="auto" w:fill="FFFFFF" w:themeFill="background1"/>
          </w:tcPr>
          <w:p w:rsidR="003B610F" w:rsidRPr="003B610F" w:rsidRDefault="003B610F" w:rsidP="00BE218F">
            <w:pPr>
              <w:spacing w:line="276" w:lineRule="auto"/>
              <w:jc w:val="both"/>
              <w:rPr>
                <w:rFonts w:ascii="Times New Roman" w:hAnsi="Times New Roman" w:cs="Times New Roman"/>
                <w:sz w:val="26"/>
                <w:szCs w:val="26"/>
                <w:lang w:val="en-GB"/>
              </w:rPr>
            </w:pPr>
          </w:p>
        </w:tc>
        <w:tc>
          <w:tcPr>
            <w:tcW w:w="8920" w:type="dxa"/>
            <w:shd w:val="clear" w:color="auto" w:fill="FFFFFF" w:themeFill="background1"/>
          </w:tcPr>
          <w:p w:rsidR="003B610F" w:rsidRPr="003B610F" w:rsidRDefault="003B610F" w:rsidP="00BE218F">
            <w:pPr>
              <w:spacing w:line="276" w:lineRule="auto"/>
              <w:jc w:val="both"/>
              <w:rPr>
                <w:rFonts w:ascii="Times New Roman" w:hAnsi="Times New Roman" w:cs="Times New Roman"/>
                <w:sz w:val="26"/>
                <w:szCs w:val="26"/>
                <w:lang w:val="en-GB"/>
              </w:rPr>
            </w:pPr>
            <w:proofErr w:type="spellStart"/>
            <w:r w:rsidRPr="003B610F">
              <w:rPr>
                <w:rFonts w:ascii="Times New Roman" w:eastAsia="Calibri" w:hAnsi="Times New Roman" w:cs="Times New Roman"/>
                <w:bCs/>
                <w:iCs/>
                <w:sz w:val="24"/>
                <w:szCs w:val="24"/>
                <w:lang w:val="en-GB"/>
              </w:rPr>
              <w:t>Proiectul</w:t>
            </w:r>
            <w:proofErr w:type="spellEnd"/>
            <w:r w:rsidRPr="003B610F">
              <w:rPr>
                <w:rFonts w:ascii="Times New Roman" w:eastAsia="Calibri" w:hAnsi="Times New Roman" w:cs="Times New Roman"/>
                <w:bCs/>
                <w:iCs/>
                <w:sz w:val="24"/>
                <w:szCs w:val="24"/>
                <w:lang w:val="en-GB"/>
              </w:rPr>
              <w:t xml:space="preserve"> </w:t>
            </w:r>
            <w:proofErr w:type="spellStart"/>
            <w:r w:rsidRPr="003B610F">
              <w:rPr>
                <w:rFonts w:ascii="Times New Roman" w:eastAsia="Calibri" w:hAnsi="Times New Roman" w:cs="Times New Roman"/>
                <w:bCs/>
                <w:iCs/>
                <w:sz w:val="24"/>
                <w:szCs w:val="24"/>
                <w:lang w:val="en-GB"/>
              </w:rPr>
              <w:t>corespunde</w:t>
            </w:r>
            <w:proofErr w:type="spellEnd"/>
            <w:r w:rsidRPr="003B610F">
              <w:rPr>
                <w:rFonts w:ascii="Times New Roman" w:eastAsia="Calibri" w:hAnsi="Times New Roman" w:cs="Times New Roman"/>
                <w:bCs/>
                <w:iCs/>
                <w:sz w:val="24"/>
                <w:szCs w:val="24"/>
                <w:lang w:val="en-GB"/>
              </w:rPr>
              <w:t xml:space="preserve"> </w:t>
            </w:r>
            <w:proofErr w:type="spellStart"/>
            <w:r w:rsidRPr="003B610F">
              <w:rPr>
                <w:rFonts w:ascii="Times New Roman" w:eastAsia="Calibri" w:hAnsi="Times New Roman" w:cs="Times New Roman"/>
                <w:bCs/>
                <w:iCs/>
                <w:sz w:val="24"/>
                <w:szCs w:val="24"/>
                <w:lang w:val="en-GB"/>
              </w:rPr>
              <w:t>prevederilor</w:t>
            </w:r>
            <w:proofErr w:type="spellEnd"/>
            <w:r w:rsidRPr="003B610F">
              <w:rPr>
                <w:rFonts w:ascii="Times New Roman" w:eastAsia="Calibri" w:hAnsi="Times New Roman" w:cs="Times New Roman"/>
                <w:bCs/>
                <w:iCs/>
                <w:sz w:val="24"/>
                <w:szCs w:val="24"/>
                <w:lang w:val="en-GB"/>
              </w:rPr>
              <w:t xml:space="preserve"> </w:t>
            </w:r>
            <w:proofErr w:type="spellStart"/>
            <w:r w:rsidRPr="003B610F">
              <w:rPr>
                <w:rFonts w:ascii="Times New Roman" w:eastAsia="Calibri" w:hAnsi="Times New Roman" w:cs="Times New Roman"/>
                <w:bCs/>
                <w:iCs/>
                <w:sz w:val="24"/>
                <w:szCs w:val="24"/>
                <w:lang w:val="en-GB"/>
              </w:rPr>
              <w:t>cadrului</w:t>
            </w:r>
            <w:proofErr w:type="spellEnd"/>
            <w:r w:rsidRPr="003B610F">
              <w:rPr>
                <w:rFonts w:ascii="Times New Roman" w:eastAsia="Calibri" w:hAnsi="Times New Roman" w:cs="Times New Roman"/>
                <w:bCs/>
                <w:iCs/>
                <w:sz w:val="24"/>
                <w:szCs w:val="24"/>
                <w:lang w:val="en-GB"/>
              </w:rPr>
              <w:t xml:space="preserve"> legal existent</w:t>
            </w:r>
          </w:p>
        </w:tc>
      </w:tr>
      <w:tr w:rsidR="003B610F" w:rsidRPr="001806D6" w:rsidTr="00BE218F">
        <w:tc>
          <w:tcPr>
            <w:tcW w:w="710" w:type="dxa"/>
            <w:shd w:val="clear" w:color="auto" w:fill="D9D9D9" w:themeFill="background1" w:themeFillShade="D9"/>
          </w:tcPr>
          <w:p w:rsidR="003B610F" w:rsidRPr="003839EB" w:rsidRDefault="003B610F" w:rsidP="00BE218F">
            <w:pPr>
              <w:spacing w:line="276" w:lineRule="auto"/>
              <w:jc w:val="both"/>
              <w:rPr>
                <w:rFonts w:ascii="Times New Roman" w:hAnsi="Times New Roman" w:cs="Times New Roman"/>
                <w:b/>
                <w:sz w:val="26"/>
                <w:szCs w:val="26"/>
              </w:rPr>
            </w:pPr>
            <w:r w:rsidRPr="003839EB">
              <w:rPr>
                <w:rFonts w:ascii="Times New Roman" w:hAnsi="Times New Roman" w:cs="Times New Roman"/>
                <w:b/>
                <w:sz w:val="26"/>
                <w:szCs w:val="26"/>
              </w:rPr>
              <w:t>7.</w:t>
            </w:r>
          </w:p>
        </w:tc>
        <w:tc>
          <w:tcPr>
            <w:tcW w:w="8920" w:type="dxa"/>
            <w:shd w:val="clear" w:color="auto" w:fill="D9D9D9" w:themeFill="background1" w:themeFillShade="D9"/>
          </w:tcPr>
          <w:p w:rsidR="003B610F" w:rsidRPr="003B610F" w:rsidRDefault="003B610F" w:rsidP="00BE218F">
            <w:pPr>
              <w:spacing w:line="276" w:lineRule="auto"/>
              <w:jc w:val="both"/>
              <w:rPr>
                <w:rFonts w:ascii="Times New Roman" w:hAnsi="Times New Roman" w:cs="Times New Roman"/>
                <w:sz w:val="26"/>
                <w:szCs w:val="26"/>
                <w:lang w:val="en-GB"/>
              </w:rPr>
            </w:pPr>
            <w:proofErr w:type="spellStart"/>
            <w:r w:rsidRPr="003B610F">
              <w:rPr>
                <w:rFonts w:ascii="Times New Roman" w:hAnsi="Times New Roman" w:cs="Times New Roman"/>
                <w:b/>
                <w:sz w:val="26"/>
                <w:szCs w:val="26"/>
                <w:lang w:val="en-GB"/>
              </w:rPr>
              <w:t>Avizarea</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şi</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consultarea</w:t>
            </w:r>
            <w:proofErr w:type="spellEnd"/>
            <w:r w:rsidRPr="003B610F">
              <w:rPr>
                <w:rFonts w:ascii="Times New Roman" w:hAnsi="Times New Roman" w:cs="Times New Roman"/>
                <w:b/>
                <w:sz w:val="26"/>
                <w:szCs w:val="26"/>
                <w:lang w:val="en-GB"/>
              </w:rPr>
              <w:t xml:space="preserve"> </w:t>
            </w:r>
            <w:proofErr w:type="spellStart"/>
            <w:r w:rsidRPr="003B610F">
              <w:rPr>
                <w:rFonts w:ascii="Times New Roman" w:hAnsi="Times New Roman" w:cs="Times New Roman"/>
                <w:b/>
                <w:sz w:val="26"/>
                <w:szCs w:val="26"/>
                <w:lang w:val="en-GB"/>
              </w:rPr>
              <w:t>publică</w:t>
            </w:r>
            <w:proofErr w:type="spellEnd"/>
            <w:r w:rsidRPr="003B610F">
              <w:rPr>
                <w:rFonts w:ascii="Times New Roman" w:hAnsi="Times New Roman" w:cs="Times New Roman"/>
                <w:b/>
                <w:sz w:val="26"/>
                <w:szCs w:val="26"/>
                <w:lang w:val="en-GB"/>
              </w:rPr>
              <w:t xml:space="preserve"> a </w:t>
            </w:r>
            <w:proofErr w:type="spellStart"/>
            <w:r w:rsidRPr="003B610F">
              <w:rPr>
                <w:rFonts w:ascii="Times New Roman" w:hAnsi="Times New Roman" w:cs="Times New Roman"/>
                <w:b/>
                <w:sz w:val="26"/>
                <w:szCs w:val="26"/>
                <w:lang w:val="en-GB"/>
              </w:rPr>
              <w:t>proiectului</w:t>
            </w:r>
            <w:proofErr w:type="spellEnd"/>
          </w:p>
        </w:tc>
      </w:tr>
      <w:tr w:rsidR="003B610F" w:rsidRPr="001806D6" w:rsidTr="00BE218F">
        <w:tc>
          <w:tcPr>
            <w:tcW w:w="710" w:type="dxa"/>
            <w:shd w:val="clear" w:color="auto" w:fill="FFFFFF" w:themeFill="background1"/>
          </w:tcPr>
          <w:p w:rsidR="003B610F" w:rsidRPr="003B610F" w:rsidRDefault="003B610F" w:rsidP="00BE218F">
            <w:pPr>
              <w:spacing w:line="276" w:lineRule="auto"/>
              <w:jc w:val="both"/>
              <w:rPr>
                <w:rFonts w:ascii="Times New Roman" w:hAnsi="Times New Roman" w:cs="Times New Roman"/>
                <w:sz w:val="26"/>
                <w:szCs w:val="26"/>
                <w:lang w:val="en-GB"/>
              </w:rPr>
            </w:pPr>
          </w:p>
        </w:tc>
        <w:tc>
          <w:tcPr>
            <w:tcW w:w="8920" w:type="dxa"/>
            <w:shd w:val="clear" w:color="auto" w:fill="FFFFFF" w:themeFill="background1"/>
          </w:tcPr>
          <w:p w:rsidR="003B610F" w:rsidRPr="003B610F" w:rsidRDefault="003B610F" w:rsidP="00BE218F">
            <w:pPr>
              <w:spacing w:line="276" w:lineRule="auto"/>
              <w:jc w:val="both"/>
              <w:rPr>
                <w:rFonts w:ascii="Times New Roman" w:hAnsi="Times New Roman" w:cs="Times New Roman"/>
                <w:sz w:val="26"/>
                <w:szCs w:val="26"/>
                <w:lang w:val="en-GB"/>
              </w:rPr>
            </w:pPr>
          </w:p>
        </w:tc>
      </w:tr>
      <w:tr w:rsidR="003B610F" w:rsidRPr="003839EB" w:rsidTr="00BE218F">
        <w:tc>
          <w:tcPr>
            <w:tcW w:w="710" w:type="dxa"/>
            <w:shd w:val="clear" w:color="auto" w:fill="D9D9D9" w:themeFill="background1" w:themeFillShade="D9"/>
          </w:tcPr>
          <w:p w:rsidR="003B610F" w:rsidRPr="003839EB" w:rsidRDefault="003B610F" w:rsidP="00BE218F">
            <w:pPr>
              <w:spacing w:line="276" w:lineRule="auto"/>
              <w:jc w:val="both"/>
              <w:rPr>
                <w:rFonts w:ascii="Times New Roman" w:hAnsi="Times New Roman" w:cs="Times New Roman"/>
                <w:b/>
                <w:sz w:val="26"/>
                <w:szCs w:val="26"/>
              </w:rPr>
            </w:pPr>
            <w:r w:rsidRPr="003839EB">
              <w:rPr>
                <w:rFonts w:ascii="Times New Roman" w:hAnsi="Times New Roman" w:cs="Times New Roman"/>
                <w:b/>
                <w:sz w:val="26"/>
                <w:szCs w:val="26"/>
              </w:rPr>
              <w:t>8.</w:t>
            </w:r>
          </w:p>
        </w:tc>
        <w:tc>
          <w:tcPr>
            <w:tcW w:w="8920" w:type="dxa"/>
            <w:shd w:val="clear" w:color="auto" w:fill="FFFFFF" w:themeFill="background1"/>
          </w:tcPr>
          <w:p w:rsidR="003B610F" w:rsidRPr="003839EB" w:rsidRDefault="003B610F" w:rsidP="00BE218F">
            <w:pPr>
              <w:spacing w:line="276" w:lineRule="auto"/>
              <w:jc w:val="both"/>
              <w:rPr>
                <w:rFonts w:ascii="Times New Roman" w:hAnsi="Times New Roman" w:cs="Times New Roman"/>
                <w:sz w:val="26"/>
                <w:szCs w:val="26"/>
              </w:rPr>
            </w:pPr>
            <w:proofErr w:type="spellStart"/>
            <w:r w:rsidRPr="003839EB">
              <w:rPr>
                <w:rFonts w:ascii="Times New Roman" w:hAnsi="Times New Roman" w:cs="Times New Roman"/>
                <w:b/>
                <w:sz w:val="26"/>
                <w:szCs w:val="26"/>
              </w:rPr>
              <w:t>Constatările</w:t>
            </w:r>
            <w:proofErr w:type="spellEnd"/>
            <w:r w:rsidRPr="003839EB">
              <w:rPr>
                <w:rFonts w:ascii="Times New Roman" w:hAnsi="Times New Roman" w:cs="Times New Roman"/>
                <w:b/>
                <w:sz w:val="26"/>
                <w:szCs w:val="26"/>
              </w:rPr>
              <w:t xml:space="preserve"> </w:t>
            </w:r>
            <w:proofErr w:type="spellStart"/>
            <w:r w:rsidRPr="003839EB">
              <w:rPr>
                <w:rFonts w:ascii="Times New Roman" w:hAnsi="Times New Roman" w:cs="Times New Roman"/>
                <w:b/>
                <w:sz w:val="26"/>
                <w:szCs w:val="26"/>
              </w:rPr>
              <w:t>expertizei</w:t>
            </w:r>
            <w:proofErr w:type="spellEnd"/>
            <w:r w:rsidRPr="003839EB">
              <w:rPr>
                <w:rFonts w:ascii="Times New Roman" w:hAnsi="Times New Roman" w:cs="Times New Roman"/>
                <w:b/>
                <w:sz w:val="26"/>
                <w:szCs w:val="26"/>
              </w:rPr>
              <w:t xml:space="preserve"> </w:t>
            </w:r>
            <w:proofErr w:type="spellStart"/>
            <w:r w:rsidRPr="003839EB">
              <w:rPr>
                <w:rFonts w:ascii="Times New Roman" w:hAnsi="Times New Roman" w:cs="Times New Roman"/>
                <w:b/>
                <w:sz w:val="26"/>
                <w:szCs w:val="26"/>
              </w:rPr>
              <w:t>anticorupţie</w:t>
            </w:r>
            <w:proofErr w:type="spellEnd"/>
          </w:p>
        </w:tc>
      </w:tr>
      <w:tr w:rsidR="003B610F" w:rsidRPr="004C1E4D" w:rsidTr="00BE218F">
        <w:tc>
          <w:tcPr>
            <w:tcW w:w="710" w:type="dxa"/>
            <w:shd w:val="clear" w:color="auto" w:fill="FFFFFF" w:themeFill="background1"/>
          </w:tcPr>
          <w:p w:rsidR="003B610F" w:rsidRPr="003839EB" w:rsidRDefault="003B610F" w:rsidP="00BE218F">
            <w:pPr>
              <w:spacing w:line="276" w:lineRule="auto"/>
              <w:jc w:val="both"/>
              <w:rPr>
                <w:rFonts w:ascii="Times New Roman" w:hAnsi="Times New Roman" w:cs="Times New Roman"/>
                <w:sz w:val="26"/>
                <w:szCs w:val="26"/>
              </w:rPr>
            </w:pPr>
          </w:p>
        </w:tc>
        <w:tc>
          <w:tcPr>
            <w:tcW w:w="8920" w:type="dxa"/>
            <w:shd w:val="clear" w:color="auto" w:fill="FFFFFF" w:themeFill="background1"/>
          </w:tcPr>
          <w:p w:rsidR="003B610F" w:rsidRPr="003B610F" w:rsidRDefault="003B610F" w:rsidP="00BE218F">
            <w:pPr>
              <w:spacing w:line="276" w:lineRule="auto"/>
              <w:jc w:val="both"/>
              <w:rPr>
                <w:rFonts w:ascii="Times New Roman" w:hAnsi="Times New Roman" w:cs="Times New Roman"/>
                <w:sz w:val="26"/>
                <w:szCs w:val="26"/>
                <w:lang w:val="en-GB"/>
              </w:rPr>
            </w:pPr>
          </w:p>
        </w:tc>
      </w:tr>
      <w:tr w:rsidR="003B610F" w:rsidRPr="003839EB" w:rsidTr="00BE218F">
        <w:tc>
          <w:tcPr>
            <w:tcW w:w="710" w:type="dxa"/>
            <w:shd w:val="clear" w:color="auto" w:fill="D9D9D9" w:themeFill="background1" w:themeFillShade="D9"/>
          </w:tcPr>
          <w:p w:rsidR="003B610F" w:rsidRPr="003839EB" w:rsidRDefault="003B610F" w:rsidP="00BE218F">
            <w:pPr>
              <w:spacing w:line="276" w:lineRule="auto"/>
              <w:jc w:val="both"/>
              <w:rPr>
                <w:rFonts w:ascii="Times New Roman" w:hAnsi="Times New Roman" w:cs="Times New Roman"/>
                <w:b/>
                <w:sz w:val="26"/>
                <w:szCs w:val="26"/>
              </w:rPr>
            </w:pPr>
            <w:r w:rsidRPr="003839EB">
              <w:rPr>
                <w:rFonts w:ascii="Times New Roman" w:hAnsi="Times New Roman" w:cs="Times New Roman"/>
                <w:b/>
                <w:sz w:val="26"/>
                <w:szCs w:val="26"/>
              </w:rPr>
              <w:t>9.</w:t>
            </w:r>
          </w:p>
        </w:tc>
        <w:tc>
          <w:tcPr>
            <w:tcW w:w="8920" w:type="dxa"/>
            <w:shd w:val="clear" w:color="auto" w:fill="D9D9D9" w:themeFill="background1" w:themeFillShade="D9"/>
          </w:tcPr>
          <w:p w:rsidR="003B610F" w:rsidRPr="003839EB" w:rsidRDefault="003B610F" w:rsidP="00BE218F">
            <w:pPr>
              <w:spacing w:line="276" w:lineRule="auto"/>
              <w:jc w:val="both"/>
              <w:rPr>
                <w:rFonts w:ascii="Times New Roman" w:hAnsi="Times New Roman" w:cs="Times New Roman"/>
                <w:sz w:val="26"/>
                <w:szCs w:val="26"/>
              </w:rPr>
            </w:pPr>
            <w:proofErr w:type="spellStart"/>
            <w:r w:rsidRPr="003839EB">
              <w:rPr>
                <w:rFonts w:ascii="Times New Roman" w:hAnsi="Times New Roman" w:cs="Times New Roman"/>
                <w:b/>
                <w:sz w:val="26"/>
                <w:szCs w:val="26"/>
              </w:rPr>
              <w:t>Constatările</w:t>
            </w:r>
            <w:proofErr w:type="spellEnd"/>
            <w:r w:rsidRPr="003839EB">
              <w:rPr>
                <w:rFonts w:ascii="Times New Roman" w:hAnsi="Times New Roman" w:cs="Times New Roman"/>
                <w:b/>
                <w:sz w:val="26"/>
                <w:szCs w:val="26"/>
              </w:rPr>
              <w:t xml:space="preserve"> </w:t>
            </w:r>
            <w:proofErr w:type="spellStart"/>
            <w:r w:rsidRPr="003839EB">
              <w:rPr>
                <w:rFonts w:ascii="Times New Roman" w:hAnsi="Times New Roman" w:cs="Times New Roman"/>
                <w:b/>
                <w:sz w:val="26"/>
                <w:szCs w:val="26"/>
              </w:rPr>
              <w:t>expertizei</w:t>
            </w:r>
            <w:proofErr w:type="spellEnd"/>
            <w:r w:rsidRPr="003839EB">
              <w:rPr>
                <w:rFonts w:ascii="Times New Roman" w:hAnsi="Times New Roman" w:cs="Times New Roman"/>
                <w:b/>
                <w:sz w:val="26"/>
                <w:szCs w:val="26"/>
              </w:rPr>
              <w:t xml:space="preserve"> </w:t>
            </w:r>
            <w:proofErr w:type="spellStart"/>
            <w:r w:rsidRPr="003839EB">
              <w:rPr>
                <w:rFonts w:ascii="Times New Roman" w:hAnsi="Times New Roman" w:cs="Times New Roman"/>
                <w:b/>
                <w:sz w:val="26"/>
                <w:szCs w:val="26"/>
              </w:rPr>
              <w:t>de</w:t>
            </w:r>
            <w:proofErr w:type="spellEnd"/>
            <w:r w:rsidRPr="003839EB">
              <w:rPr>
                <w:rFonts w:ascii="Times New Roman" w:hAnsi="Times New Roman" w:cs="Times New Roman"/>
                <w:b/>
                <w:sz w:val="26"/>
                <w:szCs w:val="26"/>
              </w:rPr>
              <w:t xml:space="preserve"> </w:t>
            </w:r>
            <w:proofErr w:type="spellStart"/>
            <w:r w:rsidRPr="003839EB">
              <w:rPr>
                <w:rFonts w:ascii="Times New Roman" w:hAnsi="Times New Roman" w:cs="Times New Roman"/>
                <w:b/>
                <w:sz w:val="26"/>
                <w:szCs w:val="26"/>
              </w:rPr>
              <w:t>compatibilitate</w:t>
            </w:r>
            <w:proofErr w:type="spellEnd"/>
          </w:p>
        </w:tc>
      </w:tr>
      <w:tr w:rsidR="003B610F" w:rsidRPr="003839EB" w:rsidTr="00BE218F">
        <w:tc>
          <w:tcPr>
            <w:tcW w:w="710" w:type="dxa"/>
            <w:shd w:val="clear" w:color="auto" w:fill="FFFFFF" w:themeFill="background1"/>
          </w:tcPr>
          <w:p w:rsidR="003B610F" w:rsidRPr="003839EB" w:rsidRDefault="003B610F" w:rsidP="00BE218F">
            <w:pPr>
              <w:spacing w:line="276" w:lineRule="auto"/>
              <w:jc w:val="both"/>
              <w:rPr>
                <w:rFonts w:ascii="Times New Roman" w:hAnsi="Times New Roman" w:cs="Times New Roman"/>
                <w:sz w:val="26"/>
                <w:szCs w:val="26"/>
              </w:rPr>
            </w:pPr>
          </w:p>
        </w:tc>
        <w:tc>
          <w:tcPr>
            <w:tcW w:w="8920" w:type="dxa"/>
            <w:shd w:val="clear" w:color="auto" w:fill="FFFFFF" w:themeFill="background1"/>
          </w:tcPr>
          <w:p w:rsidR="003B610F" w:rsidRPr="003839EB" w:rsidRDefault="003B610F" w:rsidP="00BE218F">
            <w:pPr>
              <w:spacing w:line="276" w:lineRule="auto"/>
              <w:jc w:val="both"/>
              <w:rPr>
                <w:rFonts w:ascii="Times New Roman" w:hAnsi="Times New Roman" w:cs="Times New Roman"/>
                <w:sz w:val="26"/>
                <w:szCs w:val="26"/>
              </w:rPr>
            </w:pPr>
            <w:proofErr w:type="spellStart"/>
            <w:r w:rsidRPr="003839EB">
              <w:rPr>
                <w:rFonts w:ascii="Times New Roman" w:eastAsia="Calibri" w:hAnsi="Times New Roman" w:cs="Times New Roman"/>
                <w:bCs/>
                <w:iCs/>
                <w:sz w:val="24"/>
                <w:szCs w:val="24"/>
              </w:rPr>
              <w:t>Nu</w:t>
            </w:r>
            <w:proofErr w:type="spellEnd"/>
            <w:r w:rsidRPr="003839EB">
              <w:rPr>
                <w:rFonts w:ascii="Times New Roman" w:eastAsia="Calibri" w:hAnsi="Times New Roman" w:cs="Times New Roman"/>
                <w:bCs/>
                <w:iCs/>
                <w:sz w:val="24"/>
                <w:szCs w:val="24"/>
              </w:rPr>
              <w:t xml:space="preserve"> </w:t>
            </w:r>
            <w:proofErr w:type="spellStart"/>
            <w:r w:rsidRPr="003839EB">
              <w:rPr>
                <w:rFonts w:ascii="Times New Roman" w:eastAsia="Calibri" w:hAnsi="Times New Roman" w:cs="Times New Roman"/>
                <w:bCs/>
                <w:iCs/>
                <w:sz w:val="24"/>
                <w:szCs w:val="24"/>
              </w:rPr>
              <w:t>este</w:t>
            </w:r>
            <w:proofErr w:type="spellEnd"/>
            <w:r w:rsidRPr="003839EB">
              <w:rPr>
                <w:rFonts w:ascii="Times New Roman" w:eastAsia="Calibri" w:hAnsi="Times New Roman" w:cs="Times New Roman"/>
                <w:bCs/>
                <w:iCs/>
                <w:sz w:val="24"/>
                <w:szCs w:val="24"/>
              </w:rPr>
              <w:t xml:space="preserve"> </w:t>
            </w:r>
            <w:proofErr w:type="spellStart"/>
            <w:r w:rsidRPr="003839EB">
              <w:rPr>
                <w:rFonts w:ascii="Times New Roman" w:eastAsia="Calibri" w:hAnsi="Times New Roman" w:cs="Times New Roman"/>
                <w:bCs/>
                <w:iCs/>
                <w:sz w:val="24"/>
                <w:szCs w:val="24"/>
              </w:rPr>
              <w:t>necesar</w:t>
            </w:r>
            <w:proofErr w:type="spellEnd"/>
          </w:p>
        </w:tc>
      </w:tr>
      <w:tr w:rsidR="003B610F" w:rsidRPr="003839EB" w:rsidTr="00BE218F">
        <w:tc>
          <w:tcPr>
            <w:tcW w:w="710" w:type="dxa"/>
            <w:shd w:val="clear" w:color="auto" w:fill="D9D9D9" w:themeFill="background1" w:themeFillShade="D9"/>
          </w:tcPr>
          <w:p w:rsidR="003B610F" w:rsidRPr="003839EB" w:rsidRDefault="003B610F" w:rsidP="00BE218F">
            <w:pPr>
              <w:spacing w:line="276" w:lineRule="auto"/>
              <w:jc w:val="both"/>
              <w:rPr>
                <w:rFonts w:ascii="Times New Roman" w:hAnsi="Times New Roman" w:cs="Times New Roman"/>
                <w:b/>
                <w:sz w:val="26"/>
                <w:szCs w:val="26"/>
              </w:rPr>
            </w:pPr>
            <w:r w:rsidRPr="003839EB">
              <w:rPr>
                <w:rFonts w:ascii="Times New Roman" w:hAnsi="Times New Roman" w:cs="Times New Roman"/>
                <w:b/>
                <w:sz w:val="26"/>
                <w:szCs w:val="26"/>
              </w:rPr>
              <w:t>10.</w:t>
            </w:r>
          </w:p>
        </w:tc>
        <w:tc>
          <w:tcPr>
            <w:tcW w:w="8920" w:type="dxa"/>
            <w:shd w:val="clear" w:color="auto" w:fill="D9D9D9" w:themeFill="background1" w:themeFillShade="D9"/>
          </w:tcPr>
          <w:p w:rsidR="003B610F" w:rsidRPr="003839EB" w:rsidRDefault="003B610F" w:rsidP="00BE218F">
            <w:pPr>
              <w:spacing w:line="276" w:lineRule="auto"/>
              <w:jc w:val="both"/>
              <w:rPr>
                <w:rFonts w:ascii="Times New Roman" w:hAnsi="Times New Roman" w:cs="Times New Roman"/>
                <w:sz w:val="26"/>
                <w:szCs w:val="26"/>
              </w:rPr>
            </w:pPr>
            <w:proofErr w:type="spellStart"/>
            <w:r w:rsidRPr="003839EB">
              <w:rPr>
                <w:rFonts w:ascii="Times New Roman" w:hAnsi="Times New Roman" w:cs="Times New Roman"/>
                <w:b/>
                <w:sz w:val="26"/>
                <w:szCs w:val="26"/>
              </w:rPr>
              <w:t>Constatările</w:t>
            </w:r>
            <w:proofErr w:type="spellEnd"/>
            <w:r w:rsidRPr="003839EB">
              <w:rPr>
                <w:rFonts w:ascii="Times New Roman" w:hAnsi="Times New Roman" w:cs="Times New Roman"/>
                <w:b/>
                <w:sz w:val="26"/>
                <w:szCs w:val="26"/>
              </w:rPr>
              <w:t xml:space="preserve"> </w:t>
            </w:r>
            <w:proofErr w:type="spellStart"/>
            <w:r w:rsidRPr="003839EB">
              <w:rPr>
                <w:rFonts w:ascii="Times New Roman" w:hAnsi="Times New Roman" w:cs="Times New Roman"/>
                <w:b/>
                <w:sz w:val="26"/>
                <w:szCs w:val="26"/>
              </w:rPr>
              <w:t>expertizei</w:t>
            </w:r>
            <w:proofErr w:type="spellEnd"/>
            <w:r w:rsidRPr="003839EB">
              <w:rPr>
                <w:rFonts w:ascii="Times New Roman" w:hAnsi="Times New Roman" w:cs="Times New Roman"/>
                <w:b/>
                <w:sz w:val="26"/>
                <w:szCs w:val="26"/>
              </w:rPr>
              <w:t xml:space="preserve"> </w:t>
            </w:r>
            <w:proofErr w:type="spellStart"/>
            <w:r w:rsidRPr="003839EB">
              <w:rPr>
                <w:rFonts w:ascii="Times New Roman" w:hAnsi="Times New Roman" w:cs="Times New Roman"/>
                <w:b/>
                <w:sz w:val="26"/>
                <w:szCs w:val="26"/>
              </w:rPr>
              <w:t>juridice</w:t>
            </w:r>
            <w:proofErr w:type="spellEnd"/>
          </w:p>
        </w:tc>
      </w:tr>
      <w:tr w:rsidR="003B610F" w:rsidRPr="004C1E4D" w:rsidTr="00BE218F">
        <w:tc>
          <w:tcPr>
            <w:tcW w:w="710" w:type="dxa"/>
            <w:shd w:val="clear" w:color="auto" w:fill="FFFFFF" w:themeFill="background1"/>
          </w:tcPr>
          <w:p w:rsidR="003B610F" w:rsidRPr="003839EB" w:rsidRDefault="003B610F" w:rsidP="00BE218F">
            <w:pPr>
              <w:spacing w:line="276" w:lineRule="auto"/>
              <w:jc w:val="both"/>
              <w:rPr>
                <w:rFonts w:ascii="Times New Roman" w:hAnsi="Times New Roman" w:cs="Times New Roman"/>
                <w:sz w:val="26"/>
                <w:szCs w:val="26"/>
              </w:rPr>
            </w:pPr>
          </w:p>
        </w:tc>
        <w:tc>
          <w:tcPr>
            <w:tcW w:w="8920" w:type="dxa"/>
            <w:shd w:val="clear" w:color="auto" w:fill="FFFFFF" w:themeFill="background1"/>
          </w:tcPr>
          <w:p w:rsidR="003B610F" w:rsidRPr="003B610F" w:rsidRDefault="003B610F" w:rsidP="00BE218F">
            <w:pPr>
              <w:spacing w:line="276" w:lineRule="auto"/>
              <w:jc w:val="both"/>
              <w:rPr>
                <w:rFonts w:ascii="Times New Roman" w:hAnsi="Times New Roman" w:cs="Times New Roman"/>
                <w:sz w:val="26"/>
                <w:szCs w:val="26"/>
                <w:lang w:val="en-GB"/>
              </w:rPr>
            </w:pPr>
          </w:p>
        </w:tc>
      </w:tr>
      <w:tr w:rsidR="003B610F" w:rsidRPr="003839EB" w:rsidTr="00BE218F">
        <w:tc>
          <w:tcPr>
            <w:tcW w:w="710" w:type="dxa"/>
            <w:shd w:val="clear" w:color="auto" w:fill="D9D9D9" w:themeFill="background1" w:themeFillShade="D9"/>
          </w:tcPr>
          <w:p w:rsidR="003B610F" w:rsidRPr="003839EB" w:rsidRDefault="003B610F" w:rsidP="00BE218F">
            <w:pPr>
              <w:spacing w:line="276" w:lineRule="auto"/>
              <w:jc w:val="both"/>
              <w:rPr>
                <w:rFonts w:ascii="Times New Roman" w:hAnsi="Times New Roman" w:cs="Times New Roman"/>
                <w:b/>
                <w:sz w:val="26"/>
                <w:szCs w:val="26"/>
              </w:rPr>
            </w:pPr>
            <w:r w:rsidRPr="003839EB">
              <w:rPr>
                <w:rFonts w:ascii="Times New Roman" w:hAnsi="Times New Roman" w:cs="Times New Roman"/>
                <w:b/>
                <w:sz w:val="26"/>
                <w:szCs w:val="26"/>
              </w:rPr>
              <w:t>11.</w:t>
            </w:r>
          </w:p>
        </w:tc>
        <w:tc>
          <w:tcPr>
            <w:tcW w:w="8920" w:type="dxa"/>
            <w:shd w:val="clear" w:color="auto" w:fill="D9D9D9" w:themeFill="background1" w:themeFillShade="D9"/>
          </w:tcPr>
          <w:p w:rsidR="003B610F" w:rsidRPr="003839EB" w:rsidRDefault="003B610F" w:rsidP="00BE218F">
            <w:pPr>
              <w:spacing w:line="276" w:lineRule="auto"/>
              <w:jc w:val="both"/>
              <w:rPr>
                <w:rFonts w:ascii="Times New Roman" w:hAnsi="Times New Roman" w:cs="Times New Roman"/>
                <w:b/>
                <w:sz w:val="26"/>
                <w:szCs w:val="26"/>
              </w:rPr>
            </w:pPr>
            <w:proofErr w:type="spellStart"/>
            <w:r w:rsidRPr="003839EB">
              <w:rPr>
                <w:rFonts w:ascii="Times New Roman" w:hAnsi="Times New Roman" w:cs="Times New Roman"/>
                <w:b/>
                <w:sz w:val="26"/>
                <w:szCs w:val="26"/>
              </w:rPr>
              <w:t>Constatările</w:t>
            </w:r>
            <w:proofErr w:type="spellEnd"/>
            <w:r w:rsidRPr="003839EB">
              <w:rPr>
                <w:rFonts w:ascii="Times New Roman" w:hAnsi="Times New Roman" w:cs="Times New Roman"/>
                <w:b/>
                <w:sz w:val="26"/>
                <w:szCs w:val="26"/>
              </w:rPr>
              <w:t xml:space="preserve"> </w:t>
            </w:r>
            <w:proofErr w:type="spellStart"/>
            <w:r w:rsidRPr="003839EB">
              <w:rPr>
                <w:rFonts w:ascii="Times New Roman" w:hAnsi="Times New Roman" w:cs="Times New Roman"/>
                <w:b/>
                <w:sz w:val="26"/>
                <w:szCs w:val="26"/>
              </w:rPr>
              <w:t>altor</w:t>
            </w:r>
            <w:proofErr w:type="spellEnd"/>
            <w:r w:rsidRPr="003839EB">
              <w:rPr>
                <w:rFonts w:ascii="Times New Roman" w:hAnsi="Times New Roman" w:cs="Times New Roman"/>
                <w:b/>
                <w:sz w:val="26"/>
                <w:szCs w:val="26"/>
              </w:rPr>
              <w:t xml:space="preserve"> </w:t>
            </w:r>
            <w:proofErr w:type="spellStart"/>
            <w:r w:rsidRPr="003839EB">
              <w:rPr>
                <w:rFonts w:ascii="Times New Roman" w:hAnsi="Times New Roman" w:cs="Times New Roman"/>
                <w:b/>
                <w:sz w:val="26"/>
                <w:szCs w:val="26"/>
              </w:rPr>
              <w:t>expertize</w:t>
            </w:r>
            <w:proofErr w:type="spellEnd"/>
          </w:p>
        </w:tc>
      </w:tr>
      <w:tr w:rsidR="003B610F" w:rsidRPr="003839EB" w:rsidTr="00BE218F">
        <w:tc>
          <w:tcPr>
            <w:tcW w:w="710" w:type="dxa"/>
            <w:shd w:val="clear" w:color="auto" w:fill="FFFFFF" w:themeFill="background1"/>
          </w:tcPr>
          <w:p w:rsidR="003B610F" w:rsidRPr="003839EB" w:rsidRDefault="003B610F" w:rsidP="00BE218F">
            <w:pPr>
              <w:spacing w:line="276" w:lineRule="auto"/>
              <w:jc w:val="both"/>
              <w:rPr>
                <w:rFonts w:ascii="Times New Roman" w:hAnsi="Times New Roman" w:cs="Times New Roman"/>
                <w:sz w:val="26"/>
                <w:szCs w:val="26"/>
              </w:rPr>
            </w:pPr>
          </w:p>
        </w:tc>
        <w:tc>
          <w:tcPr>
            <w:tcW w:w="8920" w:type="dxa"/>
            <w:shd w:val="clear" w:color="auto" w:fill="FFFFFF" w:themeFill="background1"/>
          </w:tcPr>
          <w:p w:rsidR="003B610F" w:rsidRPr="003839EB" w:rsidRDefault="003B610F" w:rsidP="00BE218F">
            <w:pPr>
              <w:spacing w:line="276" w:lineRule="auto"/>
              <w:jc w:val="both"/>
              <w:rPr>
                <w:rFonts w:ascii="Times New Roman" w:hAnsi="Times New Roman" w:cs="Times New Roman"/>
                <w:sz w:val="26"/>
                <w:szCs w:val="26"/>
              </w:rPr>
            </w:pPr>
            <w:proofErr w:type="spellStart"/>
            <w:r w:rsidRPr="003839EB">
              <w:rPr>
                <w:rFonts w:ascii="Times New Roman" w:eastAsia="Calibri" w:hAnsi="Times New Roman" w:cs="Times New Roman"/>
                <w:bCs/>
                <w:iCs/>
                <w:sz w:val="24"/>
                <w:szCs w:val="24"/>
              </w:rPr>
              <w:t>Nu</w:t>
            </w:r>
            <w:proofErr w:type="spellEnd"/>
            <w:r w:rsidRPr="003839EB">
              <w:rPr>
                <w:rFonts w:ascii="Times New Roman" w:eastAsia="Calibri" w:hAnsi="Times New Roman" w:cs="Times New Roman"/>
                <w:bCs/>
                <w:iCs/>
                <w:sz w:val="24"/>
                <w:szCs w:val="24"/>
              </w:rPr>
              <w:t xml:space="preserve"> </w:t>
            </w:r>
            <w:proofErr w:type="spellStart"/>
            <w:r w:rsidRPr="003839EB">
              <w:rPr>
                <w:rFonts w:ascii="Times New Roman" w:eastAsia="Calibri" w:hAnsi="Times New Roman" w:cs="Times New Roman"/>
                <w:bCs/>
                <w:iCs/>
                <w:sz w:val="24"/>
                <w:szCs w:val="24"/>
              </w:rPr>
              <w:t>este</w:t>
            </w:r>
            <w:proofErr w:type="spellEnd"/>
            <w:r w:rsidRPr="003839EB">
              <w:rPr>
                <w:rFonts w:ascii="Times New Roman" w:eastAsia="Calibri" w:hAnsi="Times New Roman" w:cs="Times New Roman"/>
                <w:bCs/>
                <w:iCs/>
                <w:sz w:val="24"/>
                <w:szCs w:val="24"/>
              </w:rPr>
              <w:t xml:space="preserve"> </w:t>
            </w:r>
            <w:proofErr w:type="spellStart"/>
            <w:r w:rsidRPr="003839EB">
              <w:rPr>
                <w:rFonts w:ascii="Times New Roman" w:eastAsia="Calibri" w:hAnsi="Times New Roman" w:cs="Times New Roman"/>
                <w:bCs/>
                <w:iCs/>
                <w:sz w:val="24"/>
                <w:szCs w:val="24"/>
              </w:rPr>
              <w:t>necesar</w:t>
            </w:r>
            <w:proofErr w:type="spellEnd"/>
            <w:r w:rsidRPr="003839EB">
              <w:rPr>
                <w:rFonts w:ascii="Times New Roman" w:hAnsi="Times New Roman" w:cs="Times New Roman"/>
                <w:sz w:val="26"/>
                <w:szCs w:val="26"/>
              </w:rPr>
              <w:t xml:space="preserve"> </w:t>
            </w:r>
          </w:p>
        </w:tc>
      </w:tr>
    </w:tbl>
    <w:p w:rsidR="003B610F" w:rsidRPr="003839EB" w:rsidRDefault="003B610F" w:rsidP="003B610F">
      <w:pPr>
        <w:spacing w:line="276" w:lineRule="auto"/>
        <w:ind w:firstLine="567"/>
        <w:jc w:val="both"/>
        <w:rPr>
          <w:rFonts w:ascii="Times New Roman" w:hAnsi="Times New Roman" w:cs="Times New Roman"/>
          <w:sz w:val="26"/>
          <w:szCs w:val="26"/>
        </w:rPr>
      </w:pPr>
    </w:p>
    <w:p w:rsidR="003B610F" w:rsidRPr="003839EB" w:rsidRDefault="003B610F" w:rsidP="003B610F">
      <w:pPr>
        <w:spacing w:line="276" w:lineRule="auto"/>
        <w:ind w:firstLine="567"/>
        <w:jc w:val="both"/>
        <w:rPr>
          <w:rFonts w:ascii="Times New Roman" w:hAnsi="Times New Roman" w:cs="Times New Roman"/>
          <w:b/>
          <w:sz w:val="26"/>
          <w:szCs w:val="26"/>
        </w:rPr>
      </w:pPr>
    </w:p>
    <w:p w:rsidR="00E8649C" w:rsidRDefault="003E6E26" w:rsidP="00E8649C">
      <w:pPr>
        <w:spacing w:after="0" w:line="276" w:lineRule="auto"/>
        <w:ind w:firstLine="567"/>
        <w:jc w:val="both"/>
        <w:rPr>
          <w:rFonts w:ascii="Times New Roman" w:hAnsi="Times New Roman" w:cs="Times New Roman"/>
          <w:b/>
          <w:sz w:val="26"/>
          <w:szCs w:val="26"/>
          <w:lang w:val="en-GB"/>
        </w:rPr>
      </w:pPr>
      <w:proofErr w:type="spellStart"/>
      <w:r>
        <w:rPr>
          <w:rFonts w:ascii="Times New Roman" w:hAnsi="Times New Roman" w:cs="Times New Roman"/>
          <w:b/>
          <w:sz w:val="26"/>
          <w:szCs w:val="26"/>
          <w:lang w:val="en-GB"/>
        </w:rPr>
        <w:t>Secretar</w:t>
      </w:r>
      <w:proofErr w:type="spellEnd"/>
      <w:r>
        <w:rPr>
          <w:rFonts w:ascii="Times New Roman" w:hAnsi="Times New Roman" w:cs="Times New Roman"/>
          <w:b/>
          <w:sz w:val="26"/>
          <w:szCs w:val="26"/>
          <w:lang w:val="en-GB"/>
        </w:rPr>
        <w:t xml:space="preserve"> g</w:t>
      </w:r>
      <w:r w:rsidR="003B610F" w:rsidRPr="003839EB">
        <w:rPr>
          <w:rFonts w:ascii="Times New Roman" w:hAnsi="Times New Roman" w:cs="Times New Roman"/>
          <w:b/>
          <w:sz w:val="26"/>
          <w:szCs w:val="26"/>
          <w:lang w:val="en-GB"/>
        </w:rPr>
        <w:t>eneral</w:t>
      </w:r>
      <w:r w:rsidR="00E8649C">
        <w:rPr>
          <w:rFonts w:ascii="Times New Roman" w:hAnsi="Times New Roman" w:cs="Times New Roman"/>
          <w:b/>
          <w:sz w:val="26"/>
          <w:szCs w:val="26"/>
          <w:lang w:val="en-GB"/>
        </w:rPr>
        <w:t xml:space="preserve"> </w:t>
      </w:r>
      <w:r>
        <w:rPr>
          <w:rFonts w:ascii="Times New Roman" w:hAnsi="Times New Roman" w:cs="Times New Roman"/>
          <w:b/>
          <w:sz w:val="26"/>
          <w:szCs w:val="26"/>
          <w:lang w:val="en-GB"/>
        </w:rPr>
        <w:t xml:space="preserve">al </w:t>
      </w:r>
    </w:p>
    <w:p w:rsidR="003B610F" w:rsidRPr="003839EB" w:rsidRDefault="003E6E26" w:rsidP="00E8649C">
      <w:pPr>
        <w:spacing w:after="0" w:line="276" w:lineRule="auto"/>
        <w:ind w:firstLine="567"/>
        <w:jc w:val="both"/>
        <w:rPr>
          <w:rFonts w:ascii="Times New Roman" w:hAnsi="Times New Roman" w:cs="Times New Roman"/>
          <w:b/>
          <w:sz w:val="26"/>
          <w:szCs w:val="26"/>
          <w:lang w:val="en-GB"/>
        </w:rPr>
      </w:pPr>
      <w:proofErr w:type="spellStart"/>
      <w:r>
        <w:rPr>
          <w:rFonts w:ascii="Times New Roman" w:hAnsi="Times New Roman" w:cs="Times New Roman"/>
          <w:b/>
          <w:sz w:val="26"/>
          <w:szCs w:val="26"/>
          <w:lang w:val="en-GB"/>
        </w:rPr>
        <w:t>ministerului</w:t>
      </w:r>
      <w:proofErr w:type="spellEnd"/>
      <w:r w:rsidR="003B610F" w:rsidRPr="003839EB">
        <w:rPr>
          <w:rFonts w:ascii="Times New Roman" w:hAnsi="Times New Roman" w:cs="Times New Roman"/>
          <w:b/>
          <w:sz w:val="26"/>
          <w:szCs w:val="26"/>
          <w:lang w:val="en-GB"/>
        </w:rPr>
        <w:t xml:space="preserve">                       </w:t>
      </w:r>
      <w:r w:rsidR="003B610F">
        <w:rPr>
          <w:rFonts w:ascii="Times New Roman" w:hAnsi="Times New Roman" w:cs="Times New Roman"/>
          <w:b/>
          <w:sz w:val="26"/>
          <w:szCs w:val="26"/>
          <w:lang w:val="en-GB"/>
        </w:rPr>
        <w:t xml:space="preserve">       </w:t>
      </w:r>
      <w:r w:rsidR="003B610F" w:rsidRPr="003839EB">
        <w:rPr>
          <w:rFonts w:ascii="Times New Roman" w:hAnsi="Times New Roman" w:cs="Times New Roman"/>
          <w:b/>
          <w:sz w:val="26"/>
          <w:szCs w:val="26"/>
          <w:lang w:val="en-GB"/>
        </w:rPr>
        <w:t xml:space="preserve">                     </w:t>
      </w:r>
      <w:r>
        <w:rPr>
          <w:rFonts w:ascii="Times New Roman" w:hAnsi="Times New Roman" w:cs="Times New Roman"/>
          <w:b/>
          <w:sz w:val="26"/>
          <w:szCs w:val="26"/>
          <w:lang w:val="en-GB"/>
        </w:rPr>
        <w:t xml:space="preserve">                     </w:t>
      </w:r>
      <w:r w:rsidR="003B610F" w:rsidRPr="003839EB">
        <w:rPr>
          <w:rFonts w:ascii="Times New Roman" w:hAnsi="Times New Roman" w:cs="Times New Roman"/>
          <w:b/>
          <w:sz w:val="26"/>
          <w:szCs w:val="26"/>
          <w:lang w:val="en-GB"/>
        </w:rPr>
        <w:t xml:space="preserve"> </w:t>
      </w:r>
      <w:r w:rsidR="00E8649C">
        <w:rPr>
          <w:rFonts w:ascii="Times New Roman" w:hAnsi="Times New Roman" w:cs="Times New Roman"/>
          <w:b/>
          <w:sz w:val="26"/>
          <w:szCs w:val="26"/>
          <w:lang w:val="en-GB"/>
        </w:rPr>
        <w:t xml:space="preserve"> </w:t>
      </w:r>
      <w:r w:rsidR="003B610F" w:rsidRPr="003839EB">
        <w:rPr>
          <w:rFonts w:ascii="Times New Roman" w:hAnsi="Times New Roman" w:cs="Times New Roman"/>
          <w:b/>
          <w:sz w:val="26"/>
          <w:szCs w:val="26"/>
          <w:lang w:val="en-GB"/>
        </w:rPr>
        <w:t xml:space="preserve"> </w:t>
      </w:r>
      <w:proofErr w:type="spellStart"/>
      <w:r>
        <w:rPr>
          <w:rFonts w:ascii="Times New Roman" w:hAnsi="Times New Roman" w:cs="Times New Roman"/>
          <w:b/>
          <w:sz w:val="26"/>
          <w:szCs w:val="26"/>
          <w:lang w:val="en-GB"/>
        </w:rPr>
        <w:t>Iuri</w:t>
      </w:r>
      <w:proofErr w:type="spellEnd"/>
      <w:r>
        <w:rPr>
          <w:rFonts w:ascii="Times New Roman" w:hAnsi="Times New Roman" w:cs="Times New Roman"/>
          <w:b/>
          <w:sz w:val="26"/>
          <w:szCs w:val="26"/>
          <w:lang w:val="en-GB"/>
        </w:rPr>
        <w:t xml:space="preserve"> PAȘINSCHI</w:t>
      </w:r>
    </w:p>
    <w:p w:rsidR="000A2B1B" w:rsidRPr="003B610F" w:rsidRDefault="000A2B1B">
      <w:pPr>
        <w:rPr>
          <w:lang w:val="en-GB"/>
        </w:rPr>
      </w:pPr>
    </w:p>
    <w:sectPr w:rsidR="000A2B1B" w:rsidRPr="003B610F" w:rsidSect="0012784E">
      <w:pgSz w:w="11906" w:h="16838"/>
      <w:pgMar w:top="1134" w:right="850"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1589D"/>
    <w:multiLevelType w:val="hybridMultilevel"/>
    <w:tmpl w:val="5F8CFF0E"/>
    <w:lvl w:ilvl="0" w:tplc="0FF8EB4C">
      <w:start w:val="1"/>
      <w:numFmt w:val="decimal"/>
      <w:lvlText w:val="%1."/>
      <w:lvlJc w:val="left"/>
      <w:pPr>
        <w:ind w:left="927" w:hanging="360"/>
      </w:pPr>
      <w:rPr>
        <w:rFonts w:eastAsiaTheme="minorHAns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21"/>
    <w:rsid w:val="0005363F"/>
    <w:rsid w:val="00064A51"/>
    <w:rsid w:val="000A2B1B"/>
    <w:rsid w:val="0012784E"/>
    <w:rsid w:val="00127FDB"/>
    <w:rsid w:val="001612C2"/>
    <w:rsid w:val="001806D6"/>
    <w:rsid w:val="00282ADB"/>
    <w:rsid w:val="003B610F"/>
    <w:rsid w:val="003E6E26"/>
    <w:rsid w:val="00443199"/>
    <w:rsid w:val="00462F7D"/>
    <w:rsid w:val="00475BDA"/>
    <w:rsid w:val="004C1E4D"/>
    <w:rsid w:val="00556B3B"/>
    <w:rsid w:val="00590F94"/>
    <w:rsid w:val="005D4821"/>
    <w:rsid w:val="006574A2"/>
    <w:rsid w:val="006D15BF"/>
    <w:rsid w:val="007336CE"/>
    <w:rsid w:val="00866258"/>
    <w:rsid w:val="00874501"/>
    <w:rsid w:val="008D6986"/>
    <w:rsid w:val="00A01348"/>
    <w:rsid w:val="00A7443F"/>
    <w:rsid w:val="00B14ABC"/>
    <w:rsid w:val="00BF649F"/>
    <w:rsid w:val="00CA39D4"/>
    <w:rsid w:val="00DD4980"/>
    <w:rsid w:val="00DD4C1A"/>
    <w:rsid w:val="00E56519"/>
    <w:rsid w:val="00E8649C"/>
    <w:rsid w:val="00EF1D99"/>
    <w:rsid w:val="00F95E22"/>
    <w:rsid w:val="00FF68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6C59D-5FD7-4045-B04E-2C50147B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10F"/>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610F"/>
    <w:rPr>
      <w:rFonts w:ascii="Times New Roman" w:hAnsi="Times New Roman" w:cs="Times New Roman"/>
      <w:sz w:val="24"/>
      <w:szCs w:val="24"/>
    </w:rPr>
  </w:style>
  <w:style w:type="character" w:styleId="Hyperlink">
    <w:name w:val="Hyperlink"/>
    <w:basedOn w:val="DefaultParagraphFont"/>
    <w:unhideWhenUsed/>
    <w:rsid w:val="003B610F"/>
    <w:rPr>
      <w:color w:val="0000FF"/>
      <w:u w:val="single"/>
    </w:rPr>
  </w:style>
  <w:style w:type="paragraph" w:styleId="NoSpacing">
    <w:name w:val="No Spacing"/>
    <w:uiPriority w:val="1"/>
    <w:qFormat/>
    <w:rsid w:val="003B610F"/>
    <w:pPr>
      <w:spacing w:after="0" w:line="240" w:lineRule="auto"/>
    </w:pPr>
    <w:rPr>
      <w:rFonts w:ascii="Calibri" w:eastAsia="Calibri" w:hAnsi="Calibri" w:cs="Times New Roman"/>
      <w:lang w:val="ru-RU"/>
    </w:rPr>
  </w:style>
  <w:style w:type="table" w:styleId="TableGrid">
    <w:name w:val="Table Grid"/>
    <w:basedOn w:val="TableNormal"/>
    <w:uiPriority w:val="39"/>
    <w:rsid w:val="003B61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0</DocSecurity>
  <Lines>29</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Calugareanu Diana</dc:creator>
  <cp:keywords/>
  <dc:description/>
  <cp:lastModifiedBy>Stela Paduca</cp:lastModifiedBy>
  <cp:revision>4</cp:revision>
  <dcterms:created xsi:type="dcterms:W3CDTF">2020-06-11T07:04:00Z</dcterms:created>
  <dcterms:modified xsi:type="dcterms:W3CDTF">2020-06-11T12:42:00Z</dcterms:modified>
</cp:coreProperties>
</file>