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19" w:rsidRPr="003E5AAA" w:rsidRDefault="00B36719" w:rsidP="003E5AAA">
      <w:pPr>
        <w:spacing w:after="0" w:line="276" w:lineRule="auto"/>
        <w:rPr>
          <w:rFonts w:ascii="Times New Roman" w:eastAsia="Times New Roman" w:hAnsi="Times New Roman" w:cs="Times New Roman"/>
          <w:sz w:val="24"/>
          <w:szCs w:val="24"/>
          <w:lang w:val="ro-RO" w:eastAsia="ru-RU"/>
        </w:rPr>
      </w:pPr>
    </w:p>
    <w:tbl>
      <w:tblPr>
        <w:tblStyle w:val="a3"/>
        <w:tblW w:w="0" w:type="auto"/>
        <w:shd w:val="clear" w:color="auto" w:fill="AEAAAA" w:themeFill="background2" w:themeFillShade="BF"/>
        <w:tblLook w:val="04A0" w:firstRow="1" w:lastRow="0" w:firstColumn="1" w:lastColumn="0" w:noHBand="0" w:noVBand="1"/>
      </w:tblPr>
      <w:tblGrid>
        <w:gridCol w:w="9345"/>
      </w:tblGrid>
      <w:tr w:rsidR="005E7E21" w:rsidRPr="008F7C5A" w:rsidTr="00480950">
        <w:tc>
          <w:tcPr>
            <w:tcW w:w="9345" w:type="dxa"/>
            <w:shd w:val="clear" w:color="auto" w:fill="AEAAAA" w:themeFill="background2" w:themeFillShade="BF"/>
          </w:tcPr>
          <w:p w:rsidR="005E7E21" w:rsidRPr="003E5AAA" w:rsidRDefault="005E7E21" w:rsidP="003E5AAA">
            <w:pPr>
              <w:spacing w:line="276" w:lineRule="auto"/>
              <w:jc w:val="center"/>
              <w:rPr>
                <w:rFonts w:ascii="Times New Roman" w:eastAsia="Times New Roman" w:hAnsi="Times New Roman" w:cs="Times New Roman"/>
                <w:b/>
                <w:bCs/>
                <w:sz w:val="24"/>
                <w:szCs w:val="24"/>
                <w:lang w:val="ro-RO" w:eastAsia="ru-RU"/>
              </w:rPr>
            </w:pPr>
            <w:r w:rsidRPr="003E5AAA">
              <w:rPr>
                <w:rFonts w:ascii="Times New Roman" w:eastAsia="Times New Roman" w:hAnsi="Times New Roman" w:cs="Times New Roman"/>
                <w:b/>
                <w:bCs/>
                <w:sz w:val="24"/>
                <w:szCs w:val="24"/>
                <w:lang w:val="ro-RO" w:eastAsia="ru-RU"/>
              </w:rPr>
              <w:t>NOTĂ INFORMATIVĂ</w:t>
            </w:r>
          </w:p>
          <w:p w:rsidR="005E7E21" w:rsidRPr="003E5AAA" w:rsidRDefault="005E7E21" w:rsidP="008F7C5A">
            <w:pPr>
              <w:spacing w:line="276" w:lineRule="auto"/>
              <w:jc w:val="center"/>
              <w:rPr>
                <w:rFonts w:ascii="Times New Roman" w:eastAsia="Times New Roman" w:hAnsi="Times New Roman" w:cs="Times New Roman"/>
                <w:b/>
                <w:bCs/>
                <w:sz w:val="24"/>
                <w:szCs w:val="24"/>
                <w:lang w:val="ro-RO" w:eastAsia="ru-RU"/>
              </w:rPr>
            </w:pPr>
            <w:r w:rsidRPr="003E5AAA">
              <w:rPr>
                <w:rFonts w:ascii="Times New Roman" w:eastAsia="Times New Roman" w:hAnsi="Times New Roman" w:cs="Times New Roman"/>
                <w:b/>
                <w:bCs/>
                <w:sz w:val="24"/>
                <w:szCs w:val="24"/>
                <w:lang w:val="ro-RO" w:eastAsia="ru-RU"/>
              </w:rPr>
              <w:t xml:space="preserve">la proiectul </w:t>
            </w:r>
            <w:r w:rsidR="008F7C5A">
              <w:rPr>
                <w:rFonts w:ascii="Times New Roman" w:eastAsia="Times New Roman" w:hAnsi="Times New Roman" w:cs="Times New Roman"/>
                <w:b/>
                <w:bCs/>
                <w:sz w:val="24"/>
                <w:szCs w:val="24"/>
                <w:lang w:val="ro-RO" w:eastAsia="ru-RU"/>
              </w:rPr>
              <w:t>h</w:t>
            </w:r>
            <w:r w:rsidRPr="003E5AAA">
              <w:rPr>
                <w:rFonts w:ascii="Times New Roman" w:eastAsia="Times New Roman" w:hAnsi="Times New Roman" w:cs="Times New Roman"/>
                <w:b/>
                <w:bCs/>
                <w:sz w:val="24"/>
                <w:szCs w:val="24"/>
                <w:lang w:val="ro-RO" w:eastAsia="ru-RU"/>
              </w:rPr>
              <w:t xml:space="preserve">otărârii Guvernului cu privire la modificarea Regulamentului privind stingerea obligației fiscale prin compensare și/sau restituirea mijloacelor bănești, aprobat prin Hotărârea Guvernului nr. </w:t>
            </w:r>
            <w:r w:rsidR="00480950" w:rsidRPr="003E5AAA">
              <w:rPr>
                <w:rFonts w:ascii="Times New Roman" w:eastAsia="Times New Roman" w:hAnsi="Times New Roman" w:cs="Times New Roman"/>
                <w:b/>
                <w:bCs/>
                <w:sz w:val="24"/>
                <w:szCs w:val="24"/>
                <w:lang w:val="ro-RO" w:eastAsia="ru-RU"/>
              </w:rPr>
              <w:t>235/2017</w:t>
            </w:r>
          </w:p>
        </w:tc>
      </w:tr>
    </w:tbl>
    <w:p w:rsidR="00B36719" w:rsidRPr="003E5AAA" w:rsidRDefault="00B36719" w:rsidP="003E5AAA">
      <w:pPr>
        <w:spacing w:after="0" w:line="276" w:lineRule="auto"/>
        <w:jc w:val="center"/>
        <w:rPr>
          <w:rFonts w:ascii="Times New Roman" w:eastAsia="Times New Roman" w:hAnsi="Times New Roman" w:cs="Times New Roman"/>
          <w:sz w:val="24"/>
          <w:szCs w:val="24"/>
          <w:lang w:val="ro-RO" w:eastAsia="ru-RU"/>
        </w:rPr>
      </w:pPr>
      <w:r w:rsidRPr="003E5AAA">
        <w:rPr>
          <w:rFonts w:ascii="Times New Roman" w:eastAsia="Times New Roman" w:hAnsi="Times New Roman" w:cs="Times New Roman"/>
          <w:sz w:val="24"/>
          <w:szCs w:val="24"/>
          <w:lang w:val="ro-RO" w:eastAsia="ru-RU"/>
        </w:rPr>
        <w:t> </w:t>
      </w:r>
    </w:p>
    <w:tbl>
      <w:tblPr>
        <w:tblStyle w:val="a3"/>
        <w:tblW w:w="0" w:type="auto"/>
        <w:tblLook w:val="04A0" w:firstRow="1" w:lastRow="0" w:firstColumn="1" w:lastColumn="0" w:noHBand="0" w:noVBand="1"/>
      </w:tblPr>
      <w:tblGrid>
        <w:gridCol w:w="9345"/>
      </w:tblGrid>
      <w:tr w:rsidR="00B36719" w:rsidRPr="008F7C5A" w:rsidTr="00480950">
        <w:tc>
          <w:tcPr>
            <w:tcW w:w="9345" w:type="dxa"/>
            <w:shd w:val="clear" w:color="auto" w:fill="D0CECE" w:themeFill="background2" w:themeFillShade="E6"/>
          </w:tcPr>
          <w:p w:rsidR="00B36719" w:rsidRPr="003E5AAA" w:rsidRDefault="00B36719" w:rsidP="003E5AAA">
            <w:pPr>
              <w:pStyle w:val="a4"/>
              <w:numPr>
                <w:ilvl w:val="0"/>
                <w:numId w:val="3"/>
              </w:numPr>
              <w:spacing w:line="276" w:lineRule="auto"/>
              <w:rPr>
                <w:rFonts w:ascii="Times New Roman" w:hAnsi="Times New Roman" w:cs="Times New Roman"/>
                <w:b/>
                <w:sz w:val="24"/>
                <w:szCs w:val="24"/>
                <w:lang w:val="ro-RO"/>
              </w:rPr>
            </w:pPr>
            <w:r w:rsidRPr="003E5AAA">
              <w:rPr>
                <w:rFonts w:ascii="Times New Roman" w:hAnsi="Times New Roman" w:cs="Times New Roman"/>
                <w:b/>
                <w:sz w:val="24"/>
                <w:szCs w:val="24"/>
                <w:lang w:val="ro-RO"/>
              </w:rPr>
              <w:t xml:space="preserve">Denumirea autorului </w:t>
            </w:r>
            <w:proofErr w:type="spellStart"/>
            <w:r w:rsidRPr="003E5AAA">
              <w:rPr>
                <w:rFonts w:ascii="Times New Roman" w:hAnsi="Times New Roman" w:cs="Times New Roman"/>
                <w:b/>
                <w:sz w:val="24"/>
                <w:szCs w:val="24"/>
                <w:lang w:val="ro-RO"/>
              </w:rPr>
              <w:t>şi</w:t>
            </w:r>
            <w:proofErr w:type="spellEnd"/>
            <w:r w:rsidRPr="003E5AAA">
              <w:rPr>
                <w:rFonts w:ascii="Times New Roman" w:hAnsi="Times New Roman" w:cs="Times New Roman"/>
                <w:b/>
                <w:sz w:val="24"/>
                <w:szCs w:val="24"/>
                <w:lang w:val="ro-RO"/>
              </w:rPr>
              <w:t xml:space="preserve">, după caz, a </w:t>
            </w:r>
            <w:proofErr w:type="spellStart"/>
            <w:r w:rsidRPr="003E5AAA">
              <w:rPr>
                <w:rFonts w:ascii="Times New Roman" w:hAnsi="Times New Roman" w:cs="Times New Roman"/>
                <w:b/>
                <w:sz w:val="24"/>
                <w:szCs w:val="24"/>
                <w:lang w:val="ro-RO"/>
              </w:rPr>
              <w:t>participanţilor</w:t>
            </w:r>
            <w:proofErr w:type="spellEnd"/>
            <w:r w:rsidRPr="003E5AAA">
              <w:rPr>
                <w:rFonts w:ascii="Times New Roman" w:hAnsi="Times New Roman" w:cs="Times New Roman"/>
                <w:b/>
                <w:sz w:val="24"/>
                <w:szCs w:val="24"/>
                <w:lang w:val="ro-RO"/>
              </w:rPr>
              <w:t xml:space="preserve"> la elaborarea proiectului</w:t>
            </w:r>
          </w:p>
        </w:tc>
      </w:tr>
      <w:tr w:rsidR="00B36719" w:rsidRPr="008F7C5A" w:rsidTr="00B36719">
        <w:tc>
          <w:tcPr>
            <w:tcW w:w="9345" w:type="dxa"/>
          </w:tcPr>
          <w:p w:rsidR="00480950" w:rsidRPr="003E5AAA" w:rsidRDefault="00480950" w:rsidP="008F7C5A">
            <w:pPr>
              <w:spacing w:line="276" w:lineRule="auto"/>
              <w:ind w:firstLine="447"/>
              <w:rPr>
                <w:rFonts w:ascii="Times New Roman" w:eastAsia="Times New Roman" w:hAnsi="Times New Roman" w:cs="Times New Roman"/>
                <w:color w:val="000000" w:themeColor="text1"/>
                <w:sz w:val="24"/>
                <w:szCs w:val="24"/>
                <w:lang w:val="ro-RO" w:eastAsia="en-GB"/>
              </w:rPr>
            </w:pPr>
            <w:r w:rsidRPr="003E5AAA">
              <w:rPr>
                <w:rFonts w:ascii="Times New Roman" w:eastAsia="Times New Roman" w:hAnsi="Times New Roman" w:cs="Times New Roman"/>
                <w:color w:val="000000" w:themeColor="text1"/>
                <w:sz w:val="24"/>
                <w:szCs w:val="24"/>
                <w:lang w:val="ro-RO" w:eastAsia="en-GB"/>
              </w:rPr>
              <w:t xml:space="preserve">Proiectul </w:t>
            </w:r>
            <w:r w:rsidR="008F7C5A">
              <w:rPr>
                <w:rFonts w:ascii="Times New Roman" w:eastAsia="Times New Roman" w:hAnsi="Times New Roman" w:cs="Times New Roman"/>
                <w:color w:val="000000" w:themeColor="text1"/>
                <w:sz w:val="24"/>
                <w:szCs w:val="24"/>
                <w:lang w:val="ro-RO" w:eastAsia="en-GB"/>
              </w:rPr>
              <w:t>h</w:t>
            </w:r>
            <w:r w:rsidRPr="003E5AAA">
              <w:rPr>
                <w:rFonts w:ascii="Times New Roman" w:eastAsia="Times New Roman" w:hAnsi="Times New Roman" w:cs="Times New Roman"/>
                <w:color w:val="000000" w:themeColor="text1"/>
                <w:sz w:val="24"/>
                <w:szCs w:val="24"/>
                <w:lang w:val="ro-RO" w:eastAsia="en-GB"/>
              </w:rPr>
              <w:t xml:space="preserve">otărârii Guvernului cu privire la modificarea Regulamentului privind stingerea obligației fiscale prin compensare și/sau restituirea mijloacelor bănești, aprobat prin Hotărârea Guvernului nr. 235/2017, a fost elaborat de </w:t>
            </w:r>
            <w:r w:rsidRPr="00436F8E">
              <w:rPr>
                <w:rFonts w:ascii="Times New Roman" w:eastAsia="Times New Roman" w:hAnsi="Times New Roman" w:cs="Times New Roman"/>
                <w:color w:val="000000" w:themeColor="text1"/>
                <w:sz w:val="24"/>
                <w:szCs w:val="24"/>
                <w:lang w:val="ro-RO" w:eastAsia="en-GB"/>
              </w:rPr>
              <w:t>Ministerul Finanțelor.</w:t>
            </w:r>
          </w:p>
        </w:tc>
      </w:tr>
      <w:tr w:rsidR="00B36719" w:rsidRPr="008F7C5A" w:rsidTr="00480950">
        <w:tc>
          <w:tcPr>
            <w:tcW w:w="9345" w:type="dxa"/>
            <w:shd w:val="clear" w:color="auto" w:fill="D0CECE" w:themeFill="background2" w:themeFillShade="E6"/>
          </w:tcPr>
          <w:p w:rsidR="00B36719" w:rsidRPr="003E5AAA" w:rsidRDefault="00B36719" w:rsidP="003E5AAA">
            <w:pPr>
              <w:pStyle w:val="a4"/>
              <w:numPr>
                <w:ilvl w:val="0"/>
                <w:numId w:val="3"/>
              </w:numPr>
              <w:spacing w:line="276" w:lineRule="auto"/>
              <w:ind w:left="739" w:hanging="379"/>
              <w:rPr>
                <w:rFonts w:ascii="Times New Roman" w:hAnsi="Times New Roman" w:cs="Times New Roman"/>
                <w:b/>
                <w:sz w:val="24"/>
                <w:szCs w:val="24"/>
                <w:lang w:val="ro-RO"/>
              </w:rPr>
            </w:pPr>
            <w:proofErr w:type="spellStart"/>
            <w:r w:rsidRPr="003E5AAA">
              <w:rPr>
                <w:rFonts w:ascii="Times New Roman" w:hAnsi="Times New Roman" w:cs="Times New Roman"/>
                <w:b/>
                <w:sz w:val="24"/>
                <w:szCs w:val="24"/>
                <w:lang w:val="ro-RO"/>
              </w:rPr>
              <w:t>Condiţiile</w:t>
            </w:r>
            <w:proofErr w:type="spellEnd"/>
            <w:r w:rsidRPr="003E5AAA">
              <w:rPr>
                <w:rFonts w:ascii="Times New Roman" w:hAnsi="Times New Roman" w:cs="Times New Roman"/>
                <w:b/>
                <w:sz w:val="24"/>
                <w:szCs w:val="24"/>
                <w:lang w:val="ro-RO"/>
              </w:rPr>
              <w:t xml:space="preserve"> ce au impus elaborarea proiectului de act normativ </w:t>
            </w:r>
            <w:proofErr w:type="spellStart"/>
            <w:r w:rsidRPr="003E5AAA">
              <w:rPr>
                <w:rFonts w:ascii="Times New Roman" w:hAnsi="Times New Roman" w:cs="Times New Roman"/>
                <w:b/>
                <w:sz w:val="24"/>
                <w:szCs w:val="24"/>
                <w:lang w:val="ro-RO"/>
              </w:rPr>
              <w:t>şi</w:t>
            </w:r>
            <w:proofErr w:type="spellEnd"/>
            <w:r w:rsidRPr="003E5AAA">
              <w:rPr>
                <w:rFonts w:ascii="Times New Roman" w:hAnsi="Times New Roman" w:cs="Times New Roman"/>
                <w:b/>
                <w:sz w:val="24"/>
                <w:szCs w:val="24"/>
                <w:lang w:val="ro-RO"/>
              </w:rPr>
              <w:t xml:space="preserve"> </w:t>
            </w:r>
            <w:proofErr w:type="spellStart"/>
            <w:r w:rsidRPr="003E5AAA">
              <w:rPr>
                <w:rFonts w:ascii="Times New Roman" w:hAnsi="Times New Roman" w:cs="Times New Roman"/>
                <w:b/>
                <w:sz w:val="24"/>
                <w:szCs w:val="24"/>
                <w:lang w:val="ro-RO"/>
              </w:rPr>
              <w:t>finalităţile</w:t>
            </w:r>
            <w:proofErr w:type="spellEnd"/>
            <w:r w:rsidRPr="003E5AAA">
              <w:rPr>
                <w:rFonts w:ascii="Times New Roman" w:hAnsi="Times New Roman" w:cs="Times New Roman"/>
                <w:b/>
                <w:sz w:val="24"/>
                <w:szCs w:val="24"/>
                <w:lang w:val="ro-RO"/>
              </w:rPr>
              <w:t xml:space="preserve"> urmărite</w:t>
            </w:r>
          </w:p>
        </w:tc>
      </w:tr>
      <w:tr w:rsidR="00B36719" w:rsidRPr="008F7C5A" w:rsidTr="00B36719">
        <w:tc>
          <w:tcPr>
            <w:tcW w:w="9345" w:type="dxa"/>
          </w:tcPr>
          <w:p w:rsidR="00B36719" w:rsidRPr="002A4B94" w:rsidRDefault="002A4B94" w:rsidP="008F7C5A">
            <w:pPr>
              <w:spacing w:line="276" w:lineRule="auto"/>
              <w:ind w:firstLine="459"/>
              <w:jc w:val="both"/>
              <w:rPr>
                <w:rFonts w:ascii="Times New Roman" w:hAnsi="Times New Roman" w:cs="Times New Roman"/>
                <w:sz w:val="24"/>
                <w:szCs w:val="24"/>
                <w:lang w:val="ro-MD"/>
              </w:rPr>
            </w:pPr>
            <w:r w:rsidRPr="002A4B94">
              <w:rPr>
                <w:rFonts w:ascii="Times New Roman" w:hAnsi="Times New Roman" w:cs="Times New Roman"/>
                <w:sz w:val="24"/>
                <w:szCs w:val="24"/>
                <w:lang w:val="ro-MD"/>
              </w:rPr>
              <w:t xml:space="preserve">Proiectul </w:t>
            </w:r>
            <w:r w:rsidR="008F7C5A">
              <w:rPr>
                <w:rFonts w:ascii="Times New Roman" w:hAnsi="Times New Roman" w:cs="Times New Roman"/>
                <w:sz w:val="24"/>
                <w:szCs w:val="24"/>
                <w:lang w:val="ro-MD"/>
              </w:rPr>
              <w:t>h</w:t>
            </w:r>
            <w:r w:rsidRPr="002A4B94">
              <w:rPr>
                <w:rFonts w:ascii="Times New Roman" w:hAnsi="Times New Roman" w:cs="Times New Roman"/>
                <w:sz w:val="24"/>
                <w:szCs w:val="24"/>
                <w:lang w:val="ro-MD"/>
              </w:rPr>
              <w:t xml:space="preserve">otărârii de Guvern este elaborat în vederea </w:t>
            </w:r>
            <w:r w:rsidR="001E00D0">
              <w:rPr>
                <w:rFonts w:ascii="Times New Roman" w:hAnsi="Times New Roman" w:cs="Times New Roman"/>
                <w:sz w:val="24"/>
                <w:szCs w:val="24"/>
                <w:lang w:val="ro-MD"/>
              </w:rPr>
              <w:t>armonizării</w:t>
            </w:r>
            <w:r w:rsidRPr="002A4B94">
              <w:rPr>
                <w:rFonts w:ascii="Times New Roman" w:hAnsi="Times New Roman" w:cs="Times New Roman"/>
                <w:sz w:val="24"/>
                <w:szCs w:val="24"/>
                <w:lang w:val="ro-MD"/>
              </w:rPr>
              <w:t xml:space="preserve"> prevederilor Regulamentului privind stingerea obligaţiei fiscale prin compensare şi/sau restituirea mijloacelor băneşti, aprobat prin Hotărârea Guvernului nr. 235/2017, cu prevederile Codului fiscal, ca urmare a modificărilor operate prin Legea</w:t>
            </w:r>
            <w:r>
              <w:rPr>
                <w:rFonts w:ascii="Times New Roman" w:hAnsi="Times New Roman" w:cs="Times New Roman"/>
                <w:sz w:val="24"/>
                <w:szCs w:val="24"/>
                <w:lang w:val="ro-MD"/>
              </w:rPr>
              <w:t xml:space="preserve"> </w:t>
            </w:r>
            <w:r w:rsidRPr="002A4B94">
              <w:rPr>
                <w:rFonts w:ascii="Times New Roman" w:hAnsi="Times New Roman" w:cs="Times New Roman"/>
                <w:sz w:val="24"/>
                <w:szCs w:val="24"/>
                <w:lang w:val="ro-MD"/>
              </w:rPr>
              <w:t>nr. 257/2020 cu privire la modificarea unor acte normative.</w:t>
            </w:r>
          </w:p>
        </w:tc>
      </w:tr>
      <w:tr w:rsidR="00B36719" w:rsidRPr="008F7C5A" w:rsidTr="00480950">
        <w:tc>
          <w:tcPr>
            <w:tcW w:w="9345" w:type="dxa"/>
            <w:shd w:val="clear" w:color="auto" w:fill="D0CECE" w:themeFill="background2" w:themeFillShade="E6"/>
          </w:tcPr>
          <w:p w:rsidR="00B36719" w:rsidRPr="003E5AAA" w:rsidRDefault="00B36719" w:rsidP="003E5AAA">
            <w:pPr>
              <w:pStyle w:val="a4"/>
              <w:numPr>
                <w:ilvl w:val="0"/>
                <w:numId w:val="3"/>
              </w:numPr>
              <w:spacing w:line="276" w:lineRule="auto"/>
              <w:ind w:left="739" w:hanging="379"/>
              <w:jc w:val="both"/>
              <w:rPr>
                <w:rFonts w:ascii="Times New Roman" w:hAnsi="Times New Roman" w:cs="Times New Roman"/>
                <w:b/>
                <w:sz w:val="24"/>
                <w:szCs w:val="24"/>
                <w:lang w:val="ro-RO"/>
              </w:rPr>
            </w:pPr>
            <w:r w:rsidRPr="003E5AAA">
              <w:rPr>
                <w:rFonts w:ascii="Times New Roman" w:hAnsi="Times New Roman" w:cs="Times New Roman"/>
                <w:b/>
                <w:sz w:val="24"/>
                <w:szCs w:val="24"/>
                <w:lang w:val="ro-RO"/>
              </w:rPr>
              <w:t xml:space="preserve">Descrierea gradului de compatibilitate pentru proiectele care au ca scop armonizarea </w:t>
            </w:r>
            <w:proofErr w:type="spellStart"/>
            <w:r w:rsidRPr="003E5AAA">
              <w:rPr>
                <w:rFonts w:ascii="Times New Roman" w:hAnsi="Times New Roman" w:cs="Times New Roman"/>
                <w:b/>
                <w:sz w:val="24"/>
                <w:szCs w:val="24"/>
                <w:lang w:val="ro-RO"/>
              </w:rPr>
              <w:t>legislaţiei</w:t>
            </w:r>
            <w:proofErr w:type="spellEnd"/>
            <w:r w:rsidRPr="003E5AAA">
              <w:rPr>
                <w:rFonts w:ascii="Times New Roman" w:hAnsi="Times New Roman" w:cs="Times New Roman"/>
                <w:b/>
                <w:sz w:val="24"/>
                <w:szCs w:val="24"/>
                <w:lang w:val="ro-RO"/>
              </w:rPr>
              <w:t xml:space="preserve"> </w:t>
            </w:r>
            <w:proofErr w:type="spellStart"/>
            <w:r w:rsidRPr="003E5AAA">
              <w:rPr>
                <w:rFonts w:ascii="Times New Roman" w:hAnsi="Times New Roman" w:cs="Times New Roman"/>
                <w:b/>
                <w:sz w:val="24"/>
                <w:szCs w:val="24"/>
                <w:lang w:val="ro-RO"/>
              </w:rPr>
              <w:t>naţionale</w:t>
            </w:r>
            <w:proofErr w:type="spellEnd"/>
            <w:r w:rsidRPr="003E5AAA">
              <w:rPr>
                <w:rFonts w:ascii="Times New Roman" w:hAnsi="Times New Roman" w:cs="Times New Roman"/>
                <w:b/>
                <w:sz w:val="24"/>
                <w:szCs w:val="24"/>
                <w:lang w:val="ro-RO"/>
              </w:rPr>
              <w:t xml:space="preserve"> cu </w:t>
            </w:r>
            <w:proofErr w:type="spellStart"/>
            <w:r w:rsidRPr="003E5AAA">
              <w:rPr>
                <w:rFonts w:ascii="Times New Roman" w:hAnsi="Times New Roman" w:cs="Times New Roman"/>
                <w:b/>
                <w:sz w:val="24"/>
                <w:szCs w:val="24"/>
                <w:lang w:val="ro-RO"/>
              </w:rPr>
              <w:t>legislaţia</w:t>
            </w:r>
            <w:proofErr w:type="spellEnd"/>
            <w:r w:rsidRPr="003E5AAA">
              <w:rPr>
                <w:rFonts w:ascii="Times New Roman" w:hAnsi="Times New Roman" w:cs="Times New Roman"/>
                <w:b/>
                <w:sz w:val="24"/>
                <w:szCs w:val="24"/>
                <w:lang w:val="ro-RO"/>
              </w:rPr>
              <w:t xml:space="preserve"> Uniunii Europene</w:t>
            </w:r>
          </w:p>
        </w:tc>
      </w:tr>
      <w:tr w:rsidR="00B36719" w:rsidRPr="008F7C5A" w:rsidTr="00B36719">
        <w:tc>
          <w:tcPr>
            <w:tcW w:w="9345" w:type="dxa"/>
          </w:tcPr>
          <w:p w:rsidR="00436F8E" w:rsidRPr="003E5AAA" w:rsidRDefault="00FD4B95" w:rsidP="001D5AC1">
            <w:pPr>
              <w:spacing w:line="276" w:lineRule="auto"/>
              <w:ind w:firstLine="459"/>
              <w:jc w:val="both"/>
              <w:rPr>
                <w:rFonts w:ascii="Times New Roman" w:hAnsi="Times New Roman" w:cs="Times New Roman"/>
                <w:sz w:val="24"/>
                <w:szCs w:val="24"/>
                <w:lang w:val="ro-RO"/>
              </w:rPr>
            </w:pPr>
            <w:r w:rsidRPr="003E5AAA">
              <w:rPr>
                <w:rFonts w:ascii="Times New Roman" w:hAnsi="Times New Roman" w:cs="Times New Roman"/>
                <w:sz w:val="24"/>
                <w:szCs w:val="24"/>
                <w:lang w:val="ro-RO"/>
              </w:rPr>
              <w:t>Proiectul de hotărâre nu are drept scop armonizarea legislației naționale cu legislația Uniunii Europene.</w:t>
            </w:r>
          </w:p>
        </w:tc>
      </w:tr>
      <w:tr w:rsidR="00B36719" w:rsidRPr="008F7C5A" w:rsidTr="00480950">
        <w:tc>
          <w:tcPr>
            <w:tcW w:w="9345" w:type="dxa"/>
            <w:shd w:val="clear" w:color="auto" w:fill="D0CECE" w:themeFill="background2" w:themeFillShade="E6"/>
          </w:tcPr>
          <w:p w:rsidR="00B36719" w:rsidRPr="003E5AAA" w:rsidRDefault="00B36719" w:rsidP="003E5AAA">
            <w:pPr>
              <w:pStyle w:val="a4"/>
              <w:numPr>
                <w:ilvl w:val="0"/>
                <w:numId w:val="3"/>
              </w:numPr>
              <w:spacing w:line="276" w:lineRule="auto"/>
              <w:rPr>
                <w:rFonts w:ascii="Times New Roman" w:hAnsi="Times New Roman" w:cs="Times New Roman"/>
                <w:b/>
                <w:sz w:val="24"/>
                <w:szCs w:val="24"/>
                <w:lang w:val="ro-RO"/>
              </w:rPr>
            </w:pPr>
            <w:r w:rsidRPr="003E5AAA">
              <w:rPr>
                <w:rFonts w:ascii="Times New Roman" w:hAnsi="Times New Roman" w:cs="Times New Roman"/>
                <w:b/>
                <w:sz w:val="24"/>
                <w:szCs w:val="24"/>
                <w:lang w:val="ro-RO"/>
              </w:rPr>
              <w:t xml:space="preserve">Principalele prevederi ale proiectului </w:t>
            </w:r>
            <w:proofErr w:type="spellStart"/>
            <w:r w:rsidRPr="003E5AAA">
              <w:rPr>
                <w:rFonts w:ascii="Times New Roman" w:hAnsi="Times New Roman" w:cs="Times New Roman"/>
                <w:b/>
                <w:sz w:val="24"/>
                <w:szCs w:val="24"/>
                <w:lang w:val="ro-RO"/>
              </w:rPr>
              <w:t>şi</w:t>
            </w:r>
            <w:proofErr w:type="spellEnd"/>
            <w:r w:rsidRPr="003E5AAA">
              <w:rPr>
                <w:rFonts w:ascii="Times New Roman" w:hAnsi="Times New Roman" w:cs="Times New Roman"/>
                <w:b/>
                <w:sz w:val="24"/>
                <w:szCs w:val="24"/>
                <w:lang w:val="ro-RO"/>
              </w:rPr>
              <w:t xml:space="preserve"> </w:t>
            </w:r>
            <w:proofErr w:type="spellStart"/>
            <w:r w:rsidRPr="003E5AAA">
              <w:rPr>
                <w:rFonts w:ascii="Times New Roman" w:hAnsi="Times New Roman" w:cs="Times New Roman"/>
                <w:b/>
                <w:sz w:val="24"/>
                <w:szCs w:val="24"/>
                <w:lang w:val="ro-RO"/>
              </w:rPr>
              <w:t>evidenţierea</w:t>
            </w:r>
            <w:proofErr w:type="spellEnd"/>
            <w:r w:rsidRPr="003E5AAA">
              <w:rPr>
                <w:rFonts w:ascii="Times New Roman" w:hAnsi="Times New Roman" w:cs="Times New Roman"/>
                <w:b/>
                <w:sz w:val="24"/>
                <w:szCs w:val="24"/>
                <w:lang w:val="ro-RO"/>
              </w:rPr>
              <w:t xml:space="preserve"> elementelor noi</w:t>
            </w:r>
          </w:p>
        </w:tc>
      </w:tr>
      <w:tr w:rsidR="00480950" w:rsidRPr="008F7C5A" w:rsidTr="00480950">
        <w:tc>
          <w:tcPr>
            <w:tcW w:w="9345" w:type="dxa"/>
            <w:shd w:val="clear" w:color="auto" w:fill="auto"/>
          </w:tcPr>
          <w:p w:rsidR="00436F8E" w:rsidRDefault="00436F8E" w:rsidP="00436F8E">
            <w:pPr>
              <w:spacing w:line="276" w:lineRule="auto"/>
              <w:ind w:firstLine="459"/>
              <w:jc w:val="both"/>
              <w:rPr>
                <w:rFonts w:ascii="Times New Roman" w:hAnsi="Times New Roman" w:cs="Times New Roman"/>
                <w:sz w:val="24"/>
                <w:szCs w:val="24"/>
                <w:lang w:val="ro-MD"/>
              </w:rPr>
            </w:pPr>
            <w:r>
              <w:rPr>
                <w:rFonts w:ascii="Times New Roman" w:hAnsi="Times New Roman" w:cs="Times New Roman"/>
                <w:sz w:val="24"/>
                <w:szCs w:val="24"/>
                <w:lang w:val="ro-MD"/>
              </w:rPr>
              <w:t>P</w:t>
            </w:r>
            <w:r w:rsidRPr="00436F8E">
              <w:rPr>
                <w:rFonts w:ascii="Times New Roman" w:hAnsi="Times New Roman" w:cs="Times New Roman"/>
                <w:sz w:val="24"/>
                <w:szCs w:val="24"/>
                <w:lang w:val="ro-MD"/>
              </w:rPr>
              <w:t xml:space="preserve">rincipalele modificări </w:t>
            </w:r>
            <w:r>
              <w:rPr>
                <w:rFonts w:ascii="Times New Roman" w:hAnsi="Times New Roman" w:cs="Times New Roman"/>
                <w:sz w:val="24"/>
                <w:szCs w:val="24"/>
                <w:lang w:val="ro-MD"/>
              </w:rPr>
              <w:t>propuse prin</w:t>
            </w:r>
            <w:r w:rsidRPr="00436F8E">
              <w:rPr>
                <w:rFonts w:ascii="Times New Roman" w:hAnsi="Times New Roman" w:cs="Times New Roman"/>
                <w:sz w:val="24"/>
                <w:szCs w:val="24"/>
                <w:lang w:val="ro-MD"/>
              </w:rPr>
              <w:t xml:space="preserve"> prezentul proiect </w:t>
            </w:r>
            <w:r>
              <w:rPr>
                <w:rFonts w:ascii="Times New Roman" w:hAnsi="Times New Roman" w:cs="Times New Roman"/>
                <w:sz w:val="24"/>
                <w:szCs w:val="24"/>
                <w:lang w:val="ro-MD"/>
              </w:rPr>
              <w:t>privind modificarea</w:t>
            </w:r>
            <w:r w:rsidRPr="00436F8E">
              <w:rPr>
                <w:rFonts w:ascii="Times New Roman" w:hAnsi="Times New Roman" w:cs="Times New Roman"/>
                <w:sz w:val="24"/>
                <w:szCs w:val="24"/>
                <w:lang w:val="ro-MD"/>
              </w:rPr>
              <w:t xml:space="preserve"> Regulamentul</w:t>
            </w:r>
            <w:r>
              <w:rPr>
                <w:rFonts w:ascii="Times New Roman" w:hAnsi="Times New Roman" w:cs="Times New Roman"/>
                <w:sz w:val="24"/>
                <w:szCs w:val="24"/>
                <w:lang w:val="ro-MD"/>
              </w:rPr>
              <w:t>ui</w:t>
            </w:r>
            <w:r w:rsidRPr="00436F8E">
              <w:rPr>
                <w:rFonts w:ascii="Times New Roman" w:hAnsi="Times New Roman" w:cs="Times New Roman"/>
                <w:sz w:val="24"/>
                <w:szCs w:val="24"/>
                <w:lang w:val="ro-MD"/>
              </w:rPr>
              <w:t xml:space="preserve"> sus-menționat vizează dreptul contribuabilului de a opta pentru restituirea mijloacelor bănești la contul bancar sau la contul de plăți al acestuia, în corespundere cu art. 176 alin. (2) din Codul fiscal.</w:t>
            </w:r>
          </w:p>
          <w:p w:rsidR="00436F8E" w:rsidRDefault="00436F8E" w:rsidP="00436F8E">
            <w:pPr>
              <w:spacing w:line="276" w:lineRule="auto"/>
              <w:ind w:firstLine="459"/>
              <w:jc w:val="both"/>
              <w:rPr>
                <w:rFonts w:ascii="Times New Roman" w:hAnsi="Times New Roman" w:cs="Times New Roman"/>
                <w:sz w:val="24"/>
                <w:szCs w:val="24"/>
                <w:lang w:val="ro-MD"/>
              </w:rPr>
            </w:pPr>
            <w:r w:rsidRPr="00436F8E">
              <w:rPr>
                <w:rFonts w:ascii="Times New Roman" w:hAnsi="Times New Roman" w:cs="Times New Roman"/>
                <w:sz w:val="24"/>
                <w:szCs w:val="24"/>
                <w:lang w:val="ro-MD"/>
              </w:rPr>
              <w:t>Totodată, prin proiectul în cauză se propune actualizarea definiției noțiunilor „obligație fiscală” și „sume plătită în plus” în corespundere cu art. 129 pct. 6) și 18) din Codul fiscal, fapt ce va determina extinderea câmpului de aplicare al procedurii stabilite de Regulament la primele de asigurare obligatorie de asistență medicală. Urmare a acestei modificări, în cuprinsul Regulamentului se impune specificarea faptului că în cazul primelor de asigurare obligatorie de asistență medicală, termenul de prescripție pentru compensarea sau restituirea sumelor plătite în plus este reglementat de prevederile art. 17 alin. (4) din Legea nr. 1593/2002 cu privire la mărimea, modul și termenele de achitare a primelor de asigurare obligatorie de asistență medicală, și constituie 3 ani.</w:t>
            </w:r>
          </w:p>
          <w:p w:rsidR="00436F8E" w:rsidRDefault="00436F8E" w:rsidP="00436F8E">
            <w:pPr>
              <w:spacing w:line="276" w:lineRule="auto"/>
              <w:ind w:firstLine="459"/>
              <w:jc w:val="both"/>
              <w:rPr>
                <w:rFonts w:ascii="Times New Roman" w:hAnsi="Times New Roman" w:cs="Times New Roman"/>
                <w:sz w:val="24"/>
                <w:szCs w:val="24"/>
                <w:lang w:val="ro-MD"/>
              </w:rPr>
            </w:pPr>
            <w:r w:rsidRPr="00436F8E">
              <w:rPr>
                <w:rFonts w:ascii="Times New Roman" w:hAnsi="Times New Roman" w:cs="Times New Roman"/>
                <w:sz w:val="24"/>
                <w:szCs w:val="24"/>
                <w:lang w:val="ro-MD"/>
              </w:rPr>
              <w:t xml:space="preserve">De asemenea, </w:t>
            </w:r>
            <w:r w:rsidRPr="00436F8E">
              <w:rPr>
                <w:rFonts w:ascii="Times New Roman" w:hAnsi="Times New Roman" w:cs="Times New Roman"/>
                <w:sz w:val="24"/>
                <w:szCs w:val="24"/>
                <w:lang w:val="ro-RO"/>
              </w:rPr>
              <w:t xml:space="preserve">proiectul </w:t>
            </w:r>
            <w:r w:rsidR="008F7C5A">
              <w:rPr>
                <w:rFonts w:ascii="Times New Roman" w:hAnsi="Times New Roman" w:cs="Times New Roman"/>
                <w:sz w:val="24"/>
                <w:szCs w:val="24"/>
                <w:lang w:val="ro-RO"/>
              </w:rPr>
              <w:t>h</w:t>
            </w:r>
            <w:bookmarkStart w:id="0" w:name="_GoBack"/>
            <w:bookmarkEnd w:id="0"/>
            <w:r w:rsidRPr="00436F8E">
              <w:rPr>
                <w:rFonts w:ascii="Times New Roman" w:hAnsi="Times New Roman" w:cs="Times New Roman"/>
                <w:sz w:val="24"/>
                <w:szCs w:val="24"/>
                <w:lang w:val="ro-RO"/>
              </w:rPr>
              <w:t>otărârii de Guvern conține o serie de modificări menite să simplifice procedura de depunere a cererii</w:t>
            </w:r>
            <w:r w:rsidRPr="00436F8E">
              <w:rPr>
                <w:rFonts w:ascii="Times New Roman" w:hAnsi="Times New Roman" w:cs="Times New Roman"/>
                <w:sz w:val="24"/>
                <w:szCs w:val="24"/>
                <w:lang w:val="ro-MD"/>
              </w:rPr>
              <w:t xml:space="preserve"> </w:t>
            </w:r>
            <w:r w:rsidRPr="00436F8E">
              <w:rPr>
                <w:rFonts w:ascii="Times New Roman" w:hAnsi="Times New Roman" w:cs="Times New Roman"/>
                <w:sz w:val="24"/>
                <w:szCs w:val="24"/>
                <w:lang w:val="ro-RO"/>
              </w:rPr>
              <w:t xml:space="preserve">privind stingerea obligației fiscale prin compensare </w:t>
            </w:r>
            <w:proofErr w:type="spellStart"/>
            <w:r w:rsidRPr="00436F8E">
              <w:rPr>
                <w:rFonts w:ascii="Times New Roman" w:hAnsi="Times New Roman" w:cs="Times New Roman"/>
                <w:sz w:val="24"/>
                <w:szCs w:val="24"/>
                <w:lang w:val="ro-RO"/>
              </w:rPr>
              <w:t>şi</w:t>
            </w:r>
            <w:proofErr w:type="spellEnd"/>
            <w:r w:rsidRPr="00436F8E">
              <w:rPr>
                <w:rFonts w:ascii="Times New Roman" w:hAnsi="Times New Roman" w:cs="Times New Roman"/>
                <w:sz w:val="24"/>
                <w:szCs w:val="24"/>
                <w:lang w:val="ro-RO"/>
              </w:rPr>
              <w:t xml:space="preserve">/sau restituirea mijloacelor </w:t>
            </w:r>
            <w:proofErr w:type="spellStart"/>
            <w:r w:rsidRPr="00436F8E">
              <w:rPr>
                <w:rFonts w:ascii="Times New Roman" w:hAnsi="Times New Roman" w:cs="Times New Roman"/>
                <w:sz w:val="24"/>
                <w:szCs w:val="24"/>
                <w:lang w:val="ro-RO"/>
              </w:rPr>
              <w:t>băneşti</w:t>
            </w:r>
            <w:proofErr w:type="spellEnd"/>
            <w:r w:rsidRPr="00436F8E">
              <w:rPr>
                <w:rFonts w:ascii="Times New Roman" w:hAnsi="Times New Roman" w:cs="Times New Roman"/>
                <w:sz w:val="24"/>
                <w:szCs w:val="24"/>
                <w:lang w:val="ro-RO"/>
              </w:rPr>
              <w:t xml:space="preserve">. Astfel, </w:t>
            </w:r>
            <w:r w:rsidRPr="00436F8E">
              <w:rPr>
                <w:rFonts w:ascii="Times New Roman" w:hAnsi="Times New Roman" w:cs="Times New Roman"/>
                <w:sz w:val="24"/>
                <w:szCs w:val="24"/>
                <w:lang w:val="ro-MD"/>
              </w:rPr>
              <w:t xml:space="preserve">în contextul digitizării serviciilor publice prestate în folosul contribuabililor, proiectul în cauză prevede completarea Regulamentului cu norme ce reglementează posibilitatea depunerii cererii nominalizate pe cale electronică, prin intermediul Sistemului Informațional al Serviciul Fiscal de Stat.  </w:t>
            </w:r>
          </w:p>
          <w:p w:rsidR="00436F8E" w:rsidRDefault="00436F8E" w:rsidP="00436F8E">
            <w:pPr>
              <w:spacing w:line="276" w:lineRule="auto"/>
              <w:ind w:firstLine="459"/>
              <w:jc w:val="both"/>
              <w:rPr>
                <w:rFonts w:ascii="Times New Roman" w:hAnsi="Times New Roman" w:cs="Times New Roman"/>
                <w:sz w:val="24"/>
                <w:szCs w:val="24"/>
                <w:lang w:val="ro-RO"/>
              </w:rPr>
            </w:pPr>
            <w:r w:rsidRPr="00436F8E">
              <w:rPr>
                <w:rFonts w:ascii="Times New Roman" w:hAnsi="Times New Roman" w:cs="Times New Roman"/>
                <w:sz w:val="24"/>
                <w:szCs w:val="24"/>
                <w:lang w:val="ro-RO"/>
              </w:rPr>
              <w:t>Concomitent, prin prezentul proiect se propune eliminarea din conținutul cererii a câmpului în care trebuie să fie indicată subdiviziunea contribuabilului, precum și excluderea cerinței anexării la cererea respectivă a documentului eliberat de bancă cu privire la datele bancare ale persoanei fizice.</w:t>
            </w:r>
          </w:p>
          <w:p w:rsidR="00480950" w:rsidRPr="00436F8E" w:rsidRDefault="00436F8E" w:rsidP="00A31908">
            <w:pPr>
              <w:spacing w:line="276" w:lineRule="auto"/>
              <w:ind w:firstLine="459"/>
              <w:jc w:val="both"/>
              <w:rPr>
                <w:rFonts w:ascii="Times New Roman" w:hAnsi="Times New Roman" w:cs="Times New Roman"/>
                <w:sz w:val="24"/>
                <w:szCs w:val="24"/>
                <w:lang w:val="ro-MD"/>
              </w:rPr>
            </w:pPr>
            <w:r w:rsidRPr="00436F8E">
              <w:rPr>
                <w:rFonts w:ascii="Times New Roman" w:hAnsi="Times New Roman" w:cs="Times New Roman"/>
                <w:sz w:val="24"/>
                <w:szCs w:val="24"/>
                <w:lang w:val="ro-RO"/>
              </w:rPr>
              <w:t xml:space="preserve">Totodată, </w:t>
            </w:r>
            <w:r w:rsidR="00A31908">
              <w:rPr>
                <w:rFonts w:ascii="Times New Roman" w:hAnsi="Times New Roman" w:cs="Times New Roman"/>
                <w:sz w:val="24"/>
                <w:szCs w:val="24"/>
                <w:lang w:val="ro-RO"/>
              </w:rPr>
              <w:t xml:space="preserve">proiectul prevede completarea </w:t>
            </w:r>
            <w:r w:rsidRPr="00436F8E">
              <w:rPr>
                <w:rFonts w:ascii="Times New Roman" w:hAnsi="Times New Roman" w:cs="Times New Roman"/>
                <w:sz w:val="24"/>
                <w:szCs w:val="24"/>
                <w:lang w:val="ro-RO"/>
              </w:rPr>
              <w:t xml:space="preserve">Regulamentului cu norme ce descriu modul de depunere a cererii și de recepționare a mijloacelor bănești de către reprezentantul </w:t>
            </w:r>
            <w:r w:rsidRPr="00436F8E">
              <w:rPr>
                <w:rFonts w:ascii="Times New Roman" w:hAnsi="Times New Roman" w:cs="Times New Roman"/>
                <w:sz w:val="24"/>
                <w:szCs w:val="24"/>
                <w:lang w:val="ro-RO"/>
              </w:rPr>
              <w:lastRenderedPageBreak/>
              <w:t>contribuabilului, în temeiul și în limita actului ce atestă împuternicirile acestuia (în cazul compensării/restituirii mijloacelor persoanei fizice ce nu desfășoară activitate de întreprinzător), fapt ce va spori nivelul de accesibilitate al serviciului respectiv pentru contribuabili.</w:t>
            </w:r>
          </w:p>
        </w:tc>
      </w:tr>
      <w:tr w:rsidR="00B36719" w:rsidRPr="003E5AAA" w:rsidTr="00480950">
        <w:tc>
          <w:tcPr>
            <w:tcW w:w="9345" w:type="dxa"/>
            <w:shd w:val="clear" w:color="auto" w:fill="D0CECE" w:themeFill="background2" w:themeFillShade="E6"/>
          </w:tcPr>
          <w:p w:rsidR="00B36719" w:rsidRPr="003E5AAA" w:rsidRDefault="00B36719" w:rsidP="003E5AAA">
            <w:pPr>
              <w:pStyle w:val="a4"/>
              <w:numPr>
                <w:ilvl w:val="0"/>
                <w:numId w:val="3"/>
              </w:numPr>
              <w:spacing w:line="276" w:lineRule="auto"/>
              <w:rPr>
                <w:rFonts w:ascii="Times New Roman" w:hAnsi="Times New Roman" w:cs="Times New Roman"/>
                <w:b/>
                <w:sz w:val="24"/>
                <w:szCs w:val="24"/>
                <w:lang w:val="ro-RO"/>
              </w:rPr>
            </w:pPr>
            <w:r w:rsidRPr="003E5AAA">
              <w:rPr>
                <w:rFonts w:ascii="Times New Roman" w:hAnsi="Times New Roman" w:cs="Times New Roman"/>
                <w:b/>
                <w:sz w:val="24"/>
                <w:szCs w:val="24"/>
                <w:lang w:val="ro-RO"/>
              </w:rPr>
              <w:lastRenderedPageBreak/>
              <w:t xml:space="preserve">Fundamentarea </w:t>
            </w:r>
            <w:proofErr w:type="spellStart"/>
            <w:r w:rsidRPr="003E5AAA">
              <w:rPr>
                <w:rFonts w:ascii="Times New Roman" w:hAnsi="Times New Roman" w:cs="Times New Roman"/>
                <w:b/>
                <w:sz w:val="24"/>
                <w:szCs w:val="24"/>
                <w:lang w:val="ro-RO"/>
              </w:rPr>
              <w:t>economico</w:t>
            </w:r>
            <w:proofErr w:type="spellEnd"/>
            <w:r w:rsidRPr="003E5AAA">
              <w:rPr>
                <w:rFonts w:ascii="Times New Roman" w:hAnsi="Times New Roman" w:cs="Times New Roman"/>
                <w:b/>
                <w:sz w:val="24"/>
                <w:szCs w:val="24"/>
                <w:lang w:val="ro-RO"/>
              </w:rPr>
              <w:t>-financiară</w:t>
            </w:r>
          </w:p>
        </w:tc>
      </w:tr>
      <w:tr w:rsidR="00B36719" w:rsidRPr="008F7C5A" w:rsidTr="00B36719">
        <w:tc>
          <w:tcPr>
            <w:tcW w:w="9345" w:type="dxa"/>
          </w:tcPr>
          <w:p w:rsidR="00436F8E" w:rsidRPr="001D5AC1" w:rsidRDefault="001D5AC1" w:rsidP="001D5AC1">
            <w:pPr>
              <w:spacing w:line="276" w:lineRule="auto"/>
              <w:ind w:firstLine="459"/>
              <w:jc w:val="both"/>
              <w:rPr>
                <w:rFonts w:ascii="Times New Roman" w:eastAsia="Times New Roman" w:hAnsi="Times New Roman" w:cs="Times New Roman"/>
                <w:color w:val="000000" w:themeColor="text1"/>
                <w:sz w:val="24"/>
                <w:szCs w:val="24"/>
                <w:lang w:val="ro-RO" w:eastAsia="en-GB"/>
              </w:rPr>
            </w:pPr>
            <w:r>
              <w:rPr>
                <w:rFonts w:ascii="Times New Roman" w:eastAsia="Times New Roman" w:hAnsi="Times New Roman" w:cs="Times New Roman"/>
                <w:color w:val="000000" w:themeColor="text1"/>
                <w:sz w:val="24"/>
                <w:szCs w:val="24"/>
                <w:lang w:val="ro-RO" w:eastAsia="en-GB"/>
              </w:rPr>
              <w:t xml:space="preserve">Implementarea </w:t>
            </w:r>
            <w:r w:rsidR="009E570E" w:rsidRPr="003E5AAA">
              <w:rPr>
                <w:rFonts w:ascii="Times New Roman" w:eastAsia="Times New Roman" w:hAnsi="Times New Roman" w:cs="Times New Roman"/>
                <w:color w:val="000000" w:themeColor="text1"/>
                <w:sz w:val="24"/>
                <w:szCs w:val="24"/>
                <w:lang w:val="ro-RO" w:eastAsia="en-GB"/>
              </w:rPr>
              <w:t xml:space="preserve">prezentului proiect nu </w:t>
            </w:r>
            <w:r>
              <w:rPr>
                <w:rFonts w:ascii="Times New Roman" w:eastAsia="Times New Roman" w:hAnsi="Times New Roman" w:cs="Times New Roman"/>
                <w:color w:val="000000" w:themeColor="text1"/>
                <w:sz w:val="24"/>
                <w:szCs w:val="24"/>
                <w:lang w:val="ro-RO" w:eastAsia="en-GB"/>
              </w:rPr>
              <w:t>necesită</w:t>
            </w:r>
            <w:r w:rsidR="009E570E" w:rsidRPr="003E5AAA">
              <w:rPr>
                <w:rFonts w:ascii="Times New Roman" w:eastAsia="Times New Roman" w:hAnsi="Times New Roman" w:cs="Times New Roman"/>
                <w:color w:val="000000" w:themeColor="text1"/>
                <w:sz w:val="24"/>
                <w:szCs w:val="24"/>
                <w:lang w:val="ro-RO" w:eastAsia="en-GB"/>
              </w:rPr>
              <w:t xml:space="preserve"> cheltuieli</w:t>
            </w:r>
            <w:r>
              <w:rPr>
                <w:rFonts w:ascii="Times New Roman" w:eastAsia="Times New Roman" w:hAnsi="Times New Roman" w:cs="Times New Roman"/>
                <w:color w:val="000000" w:themeColor="text1"/>
                <w:sz w:val="24"/>
                <w:szCs w:val="24"/>
                <w:lang w:val="ro-RO" w:eastAsia="en-GB"/>
              </w:rPr>
              <w:t xml:space="preserve"> financiare</w:t>
            </w:r>
            <w:r w:rsidR="009E570E" w:rsidRPr="003E5AAA">
              <w:rPr>
                <w:rFonts w:ascii="Times New Roman" w:eastAsia="Times New Roman" w:hAnsi="Times New Roman" w:cs="Times New Roman"/>
                <w:color w:val="000000" w:themeColor="text1"/>
                <w:sz w:val="24"/>
                <w:szCs w:val="24"/>
                <w:lang w:val="ro-RO" w:eastAsia="en-GB"/>
              </w:rPr>
              <w:t xml:space="preserve"> suplimentare.</w:t>
            </w:r>
          </w:p>
        </w:tc>
      </w:tr>
      <w:tr w:rsidR="00B36719" w:rsidRPr="008F7C5A" w:rsidTr="00480950">
        <w:tc>
          <w:tcPr>
            <w:tcW w:w="9345" w:type="dxa"/>
            <w:shd w:val="clear" w:color="auto" w:fill="D0CECE" w:themeFill="background2" w:themeFillShade="E6"/>
          </w:tcPr>
          <w:p w:rsidR="00B36719" w:rsidRPr="003E5AAA" w:rsidRDefault="00FD4B95" w:rsidP="003E5AAA">
            <w:pPr>
              <w:pStyle w:val="a4"/>
              <w:numPr>
                <w:ilvl w:val="0"/>
                <w:numId w:val="3"/>
              </w:numPr>
              <w:spacing w:line="276" w:lineRule="auto"/>
              <w:rPr>
                <w:rFonts w:ascii="Times New Roman" w:hAnsi="Times New Roman" w:cs="Times New Roman"/>
                <w:b/>
                <w:sz w:val="24"/>
                <w:szCs w:val="24"/>
                <w:lang w:val="ro-RO"/>
              </w:rPr>
            </w:pPr>
            <w:r w:rsidRPr="003E5AAA">
              <w:rPr>
                <w:rFonts w:ascii="Times New Roman" w:hAnsi="Times New Roman" w:cs="Times New Roman"/>
                <w:b/>
                <w:sz w:val="24"/>
                <w:szCs w:val="24"/>
                <w:lang w:val="ro-RO"/>
              </w:rPr>
              <w:t>Modul de încorporare a actului în cadrul normativ în vigoare</w:t>
            </w:r>
          </w:p>
        </w:tc>
      </w:tr>
      <w:tr w:rsidR="00B36719" w:rsidRPr="008F7C5A" w:rsidTr="00B36719">
        <w:tc>
          <w:tcPr>
            <w:tcW w:w="9345" w:type="dxa"/>
          </w:tcPr>
          <w:p w:rsidR="00E906B9" w:rsidRPr="001D5AC1" w:rsidRDefault="001D5AC1" w:rsidP="00A31908">
            <w:pPr>
              <w:spacing w:line="276" w:lineRule="auto"/>
              <w:ind w:firstLine="459"/>
              <w:jc w:val="both"/>
              <w:rPr>
                <w:rFonts w:ascii="Times New Roman" w:eastAsia="Times New Roman" w:hAnsi="Times New Roman" w:cs="Times New Roman"/>
                <w:color w:val="000000" w:themeColor="text1"/>
                <w:sz w:val="24"/>
                <w:szCs w:val="24"/>
                <w:lang w:val="ro-RO" w:eastAsia="en-GB"/>
              </w:rPr>
            </w:pPr>
            <w:r>
              <w:rPr>
                <w:rFonts w:ascii="Times New Roman" w:eastAsia="Times New Roman" w:hAnsi="Times New Roman" w:cs="Times New Roman"/>
                <w:color w:val="000000" w:themeColor="text1"/>
                <w:sz w:val="24"/>
                <w:szCs w:val="24"/>
                <w:lang w:val="ro-RO" w:eastAsia="en-GB"/>
              </w:rPr>
              <w:t>Pentru implementarea prezentului proiect nu sunt necesare modificarea altor acte normative</w:t>
            </w:r>
            <w:r w:rsidR="003E5AAA" w:rsidRPr="003E5AAA">
              <w:rPr>
                <w:rFonts w:ascii="Times New Roman" w:eastAsia="Times New Roman" w:hAnsi="Times New Roman" w:cs="Times New Roman"/>
                <w:color w:val="000000" w:themeColor="text1"/>
                <w:sz w:val="24"/>
                <w:szCs w:val="24"/>
                <w:lang w:val="ro-RO" w:eastAsia="en-GB"/>
              </w:rPr>
              <w:t>.</w:t>
            </w:r>
          </w:p>
        </w:tc>
      </w:tr>
      <w:tr w:rsidR="00FD4B95" w:rsidRPr="008F7C5A" w:rsidTr="00480950">
        <w:tc>
          <w:tcPr>
            <w:tcW w:w="9345" w:type="dxa"/>
            <w:shd w:val="clear" w:color="auto" w:fill="D0CECE" w:themeFill="background2" w:themeFillShade="E6"/>
          </w:tcPr>
          <w:p w:rsidR="00FD4B95" w:rsidRPr="003E5AAA" w:rsidRDefault="00FD4B95" w:rsidP="003E5AAA">
            <w:pPr>
              <w:pStyle w:val="a4"/>
              <w:numPr>
                <w:ilvl w:val="0"/>
                <w:numId w:val="3"/>
              </w:numPr>
              <w:spacing w:line="276" w:lineRule="auto"/>
              <w:rPr>
                <w:rFonts w:ascii="Times New Roman" w:hAnsi="Times New Roman" w:cs="Times New Roman"/>
                <w:b/>
                <w:sz w:val="24"/>
                <w:szCs w:val="24"/>
                <w:lang w:val="ro-RO"/>
              </w:rPr>
            </w:pPr>
            <w:r w:rsidRPr="003E5AAA">
              <w:rPr>
                <w:rFonts w:ascii="Times New Roman" w:hAnsi="Times New Roman" w:cs="Times New Roman"/>
                <w:b/>
                <w:sz w:val="24"/>
                <w:szCs w:val="24"/>
                <w:lang w:val="ro-RO"/>
              </w:rPr>
              <w:t xml:space="preserve">Avizarea </w:t>
            </w:r>
            <w:proofErr w:type="spellStart"/>
            <w:r w:rsidRPr="003E5AAA">
              <w:rPr>
                <w:rFonts w:ascii="Times New Roman" w:hAnsi="Times New Roman" w:cs="Times New Roman"/>
                <w:b/>
                <w:sz w:val="24"/>
                <w:szCs w:val="24"/>
                <w:lang w:val="ro-RO"/>
              </w:rPr>
              <w:t>şi</w:t>
            </w:r>
            <w:proofErr w:type="spellEnd"/>
            <w:r w:rsidRPr="003E5AAA">
              <w:rPr>
                <w:rFonts w:ascii="Times New Roman" w:hAnsi="Times New Roman" w:cs="Times New Roman"/>
                <w:b/>
                <w:sz w:val="24"/>
                <w:szCs w:val="24"/>
                <w:lang w:val="ro-RO"/>
              </w:rPr>
              <w:t xml:space="preserve"> consultarea publică a proiectului</w:t>
            </w:r>
          </w:p>
        </w:tc>
      </w:tr>
      <w:tr w:rsidR="00FD4B95" w:rsidRPr="008F7C5A" w:rsidTr="00B36719">
        <w:tc>
          <w:tcPr>
            <w:tcW w:w="9345" w:type="dxa"/>
          </w:tcPr>
          <w:p w:rsidR="00436F8E" w:rsidRPr="003E5AAA" w:rsidRDefault="009E570E" w:rsidP="001D5AC1">
            <w:pPr>
              <w:spacing w:line="276" w:lineRule="auto"/>
              <w:ind w:firstLine="459"/>
              <w:jc w:val="both"/>
              <w:rPr>
                <w:rFonts w:ascii="Times New Roman" w:hAnsi="Times New Roman" w:cs="Times New Roman"/>
                <w:sz w:val="24"/>
                <w:szCs w:val="24"/>
                <w:lang w:val="ro-RO"/>
              </w:rPr>
            </w:pPr>
            <w:r w:rsidRPr="003E5AAA">
              <w:rPr>
                <w:rFonts w:ascii="Times New Roman" w:hAnsi="Times New Roman" w:cs="Times New Roman"/>
                <w:sz w:val="24"/>
                <w:szCs w:val="24"/>
                <w:lang w:val="ro-RO"/>
              </w:rPr>
              <w:t xml:space="preserve">Proiectul urmează a fi plasat pe pagina oficială a Ministerului Finanțelor și pe portalul </w:t>
            </w:r>
            <w:hyperlink r:id="rId5" w:history="1">
              <w:r w:rsidR="00436F8E" w:rsidRPr="007A2E6B">
                <w:rPr>
                  <w:rStyle w:val="a5"/>
                  <w:rFonts w:ascii="Times New Roman" w:hAnsi="Times New Roman" w:cs="Times New Roman"/>
                  <w:sz w:val="24"/>
                  <w:szCs w:val="24"/>
                  <w:lang w:val="ro-RO"/>
                </w:rPr>
                <w:t>www.particip.gov.md</w:t>
              </w:r>
            </w:hyperlink>
            <w:r w:rsidRPr="003E5AAA">
              <w:rPr>
                <w:rFonts w:ascii="Times New Roman" w:hAnsi="Times New Roman" w:cs="Times New Roman"/>
                <w:sz w:val="24"/>
                <w:szCs w:val="24"/>
                <w:lang w:val="ro-RO"/>
              </w:rPr>
              <w:t>.</w:t>
            </w:r>
          </w:p>
        </w:tc>
      </w:tr>
      <w:tr w:rsidR="001D5AC1" w:rsidRPr="001D5AC1" w:rsidTr="001D5AC1">
        <w:tc>
          <w:tcPr>
            <w:tcW w:w="9345" w:type="dxa"/>
            <w:shd w:val="clear" w:color="auto" w:fill="D0CECE" w:themeFill="background2" w:themeFillShade="E6"/>
          </w:tcPr>
          <w:p w:rsidR="001D5AC1" w:rsidRPr="001D5AC1" w:rsidRDefault="001D5AC1" w:rsidP="001D5AC1">
            <w:pPr>
              <w:pStyle w:val="a4"/>
              <w:numPr>
                <w:ilvl w:val="0"/>
                <w:numId w:val="3"/>
              </w:numPr>
              <w:spacing w:line="276" w:lineRule="auto"/>
              <w:jc w:val="both"/>
              <w:rPr>
                <w:rFonts w:ascii="Times New Roman" w:hAnsi="Times New Roman" w:cs="Times New Roman"/>
                <w:b/>
                <w:sz w:val="24"/>
                <w:szCs w:val="24"/>
                <w:lang w:val="ro-RO"/>
              </w:rPr>
            </w:pPr>
            <w:r w:rsidRPr="001D5AC1">
              <w:rPr>
                <w:rFonts w:ascii="Times New Roman" w:hAnsi="Times New Roman" w:cs="Times New Roman"/>
                <w:b/>
                <w:sz w:val="24"/>
                <w:szCs w:val="24"/>
                <w:lang w:val="ro-RO"/>
              </w:rPr>
              <w:t>Constatările expertizei anticorupție</w:t>
            </w:r>
          </w:p>
        </w:tc>
      </w:tr>
      <w:tr w:rsidR="001D5AC1" w:rsidRPr="008F7C5A" w:rsidTr="00B36719">
        <w:tc>
          <w:tcPr>
            <w:tcW w:w="9345" w:type="dxa"/>
          </w:tcPr>
          <w:p w:rsidR="001D5AC1" w:rsidRPr="001D5AC1" w:rsidRDefault="001D5AC1" w:rsidP="001D5AC1">
            <w:pPr>
              <w:spacing w:line="276" w:lineRule="auto"/>
              <w:ind w:firstLine="447"/>
              <w:jc w:val="both"/>
              <w:rPr>
                <w:rFonts w:ascii="Times New Roman" w:hAnsi="Times New Roman" w:cs="Times New Roman"/>
                <w:sz w:val="24"/>
                <w:szCs w:val="24"/>
                <w:lang w:val="ro-RO"/>
              </w:rPr>
            </w:pPr>
            <w:r w:rsidRPr="001D5AC1">
              <w:rPr>
                <w:rFonts w:ascii="Times New Roman" w:hAnsi="Times New Roman" w:cs="Times New Roman"/>
                <w:sz w:val="24"/>
                <w:szCs w:val="24"/>
                <w:lang w:val="ro-MD"/>
              </w:rPr>
              <w:t xml:space="preserve">Informația privind rezultatele expertizei anticorupție va fi inclusă după recepționarea raportului de expertiză anticorupție în sinteza obiecțiilor </w:t>
            </w:r>
            <w:proofErr w:type="spellStart"/>
            <w:r w:rsidRPr="001D5AC1">
              <w:rPr>
                <w:rFonts w:ascii="Times New Roman" w:hAnsi="Times New Roman" w:cs="Times New Roman"/>
                <w:sz w:val="24"/>
                <w:szCs w:val="24"/>
                <w:lang w:val="ro-MD"/>
              </w:rPr>
              <w:t>şi</w:t>
            </w:r>
            <w:proofErr w:type="spellEnd"/>
            <w:r w:rsidRPr="001D5AC1">
              <w:rPr>
                <w:rFonts w:ascii="Times New Roman" w:hAnsi="Times New Roman" w:cs="Times New Roman"/>
                <w:sz w:val="24"/>
                <w:szCs w:val="24"/>
                <w:lang w:val="ro-MD"/>
              </w:rPr>
              <w:t xml:space="preserve"> propunerilor/recomandărilor la proiectul de hotărâre.</w:t>
            </w:r>
          </w:p>
        </w:tc>
      </w:tr>
      <w:tr w:rsidR="001D5AC1" w:rsidRPr="001D5AC1" w:rsidTr="001D5AC1">
        <w:tc>
          <w:tcPr>
            <w:tcW w:w="9345" w:type="dxa"/>
            <w:shd w:val="clear" w:color="auto" w:fill="D0CECE" w:themeFill="background2" w:themeFillShade="E6"/>
          </w:tcPr>
          <w:p w:rsidR="001D5AC1" w:rsidRPr="001D5AC1" w:rsidRDefault="001D5AC1" w:rsidP="001D5AC1">
            <w:pPr>
              <w:pStyle w:val="a4"/>
              <w:numPr>
                <w:ilvl w:val="0"/>
                <w:numId w:val="3"/>
              </w:numPr>
              <w:spacing w:line="276" w:lineRule="auto"/>
              <w:jc w:val="both"/>
              <w:rPr>
                <w:rFonts w:ascii="Times New Roman" w:hAnsi="Times New Roman" w:cs="Times New Roman"/>
                <w:b/>
                <w:sz w:val="24"/>
                <w:szCs w:val="24"/>
                <w:lang w:val="ro-MD"/>
              </w:rPr>
            </w:pPr>
            <w:r w:rsidRPr="001D5AC1">
              <w:rPr>
                <w:rFonts w:ascii="Times New Roman" w:hAnsi="Times New Roman" w:cs="Times New Roman"/>
                <w:b/>
                <w:sz w:val="24"/>
                <w:szCs w:val="24"/>
                <w:lang w:val="ro-MD"/>
              </w:rPr>
              <w:t>Constatările expertizei de compatibilitate</w:t>
            </w:r>
          </w:p>
        </w:tc>
      </w:tr>
      <w:tr w:rsidR="001D5AC1" w:rsidRPr="008F7C5A" w:rsidTr="00B36719">
        <w:tc>
          <w:tcPr>
            <w:tcW w:w="9345" w:type="dxa"/>
          </w:tcPr>
          <w:p w:rsidR="001D5AC1" w:rsidRPr="001D5AC1" w:rsidRDefault="001D5AC1" w:rsidP="001D5AC1">
            <w:pPr>
              <w:spacing w:line="276" w:lineRule="auto"/>
              <w:ind w:firstLine="447"/>
              <w:jc w:val="both"/>
              <w:rPr>
                <w:rFonts w:ascii="Times New Roman" w:hAnsi="Times New Roman" w:cs="Times New Roman"/>
                <w:sz w:val="24"/>
                <w:szCs w:val="24"/>
                <w:lang w:val="ro-MD"/>
              </w:rPr>
            </w:pPr>
            <w:r w:rsidRPr="001D5AC1">
              <w:rPr>
                <w:rFonts w:ascii="Times New Roman" w:hAnsi="Times New Roman" w:cs="Times New Roman"/>
                <w:sz w:val="24"/>
                <w:szCs w:val="24"/>
                <w:lang w:val="ro-MD"/>
              </w:rPr>
              <w:t>Proiectul nu vizează armonizarea legislației naționale cu legislația Uniunii Europene, respectiv nu va fi supus expertizei de compatibilitate.</w:t>
            </w:r>
          </w:p>
        </w:tc>
      </w:tr>
      <w:tr w:rsidR="001D5AC1" w:rsidRPr="001D5AC1" w:rsidTr="001D5AC1">
        <w:tc>
          <w:tcPr>
            <w:tcW w:w="9345" w:type="dxa"/>
            <w:shd w:val="clear" w:color="auto" w:fill="D0CECE" w:themeFill="background2" w:themeFillShade="E6"/>
          </w:tcPr>
          <w:p w:rsidR="001D5AC1" w:rsidRPr="001D5AC1" w:rsidRDefault="001D5AC1" w:rsidP="001D5AC1">
            <w:pPr>
              <w:pStyle w:val="a4"/>
              <w:numPr>
                <w:ilvl w:val="0"/>
                <w:numId w:val="3"/>
              </w:numPr>
              <w:spacing w:line="276" w:lineRule="auto"/>
              <w:jc w:val="both"/>
              <w:rPr>
                <w:rFonts w:ascii="Times New Roman" w:hAnsi="Times New Roman" w:cs="Times New Roman"/>
                <w:sz w:val="24"/>
                <w:szCs w:val="24"/>
                <w:lang w:val="ro-MD"/>
              </w:rPr>
            </w:pPr>
            <w:r w:rsidRPr="001D5AC1">
              <w:rPr>
                <w:rFonts w:ascii="Times New Roman" w:hAnsi="Times New Roman" w:cs="Times New Roman"/>
                <w:b/>
                <w:sz w:val="24"/>
                <w:szCs w:val="24"/>
                <w:lang w:val="ro-MD"/>
              </w:rPr>
              <w:t>Constatările expertizei juridice</w:t>
            </w:r>
          </w:p>
        </w:tc>
      </w:tr>
      <w:tr w:rsidR="001D5AC1" w:rsidRPr="008F7C5A" w:rsidTr="00B36719">
        <w:tc>
          <w:tcPr>
            <w:tcW w:w="9345" w:type="dxa"/>
          </w:tcPr>
          <w:p w:rsidR="001D5AC1" w:rsidRPr="001D5AC1" w:rsidRDefault="001D5AC1" w:rsidP="001D5AC1">
            <w:pPr>
              <w:spacing w:line="276" w:lineRule="auto"/>
              <w:ind w:firstLine="447"/>
              <w:jc w:val="both"/>
              <w:rPr>
                <w:rFonts w:ascii="Times New Roman" w:hAnsi="Times New Roman" w:cs="Times New Roman"/>
                <w:sz w:val="24"/>
                <w:szCs w:val="24"/>
                <w:lang w:val="ro-MD"/>
              </w:rPr>
            </w:pPr>
            <w:r w:rsidRPr="001D5AC1">
              <w:rPr>
                <w:rFonts w:ascii="Times New Roman" w:hAnsi="Times New Roman" w:cs="Times New Roman"/>
                <w:sz w:val="24"/>
                <w:szCs w:val="24"/>
                <w:lang w:val="ro-MD"/>
              </w:rPr>
              <w:t xml:space="preserve">Informația referitoare la concluziile expertizei privind compatibilitatea proiectului de hotărâre cu alte acte normative în vigoare, precum </w:t>
            </w:r>
            <w:proofErr w:type="spellStart"/>
            <w:r w:rsidRPr="001D5AC1">
              <w:rPr>
                <w:rFonts w:ascii="Times New Roman" w:hAnsi="Times New Roman" w:cs="Times New Roman"/>
                <w:sz w:val="24"/>
                <w:szCs w:val="24"/>
                <w:lang w:val="ro-MD"/>
              </w:rPr>
              <w:t>şi</w:t>
            </w:r>
            <w:proofErr w:type="spellEnd"/>
            <w:r w:rsidRPr="001D5AC1">
              <w:rPr>
                <w:rFonts w:ascii="Times New Roman" w:hAnsi="Times New Roman" w:cs="Times New Roman"/>
                <w:sz w:val="24"/>
                <w:szCs w:val="24"/>
                <w:lang w:val="ro-MD"/>
              </w:rPr>
              <w:t xml:space="preserve"> respectarea normelor de tehnică legislativă va fi inclusă în sinteza obiecțiilor </w:t>
            </w:r>
            <w:proofErr w:type="spellStart"/>
            <w:r w:rsidRPr="001D5AC1">
              <w:rPr>
                <w:rFonts w:ascii="Times New Roman" w:hAnsi="Times New Roman" w:cs="Times New Roman"/>
                <w:sz w:val="24"/>
                <w:szCs w:val="24"/>
                <w:lang w:val="ro-MD"/>
              </w:rPr>
              <w:t>şi</w:t>
            </w:r>
            <w:proofErr w:type="spellEnd"/>
            <w:r w:rsidRPr="001D5AC1">
              <w:rPr>
                <w:rFonts w:ascii="Times New Roman" w:hAnsi="Times New Roman" w:cs="Times New Roman"/>
                <w:sz w:val="24"/>
                <w:szCs w:val="24"/>
                <w:lang w:val="ro-MD"/>
              </w:rPr>
              <w:t xml:space="preserve"> propunerilor/recomandărilor la proiectul de hotărâre.</w:t>
            </w:r>
          </w:p>
        </w:tc>
      </w:tr>
      <w:tr w:rsidR="001D5AC1" w:rsidRPr="001D5AC1" w:rsidTr="001D5AC1">
        <w:tc>
          <w:tcPr>
            <w:tcW w:w="9345" w:type="dxa"/>
            <w:shd w:val="clear" w:color="auto" w:fill="D0CECE" w:themeFill="background2" w:themeFillShade="E6"/>
          </w:tcPr>
          <w:p w:rsidR="001D5AC1" w:rsidRPr="001D5AC1" w:rsidRDefault="001D5AC1" w:rsidP="001D5AC1">
            <w:pPr>
              <w:pStyle w:val="a4"/>
              <w:numPr>
                <w:ilvl w:val="0"/>
                <w:numId w:val="3"/>
              </w:numPr>
              <w:spacing w:line="276" w:lineRule="auto"/>
              <w:jc w:val="both"/>
              <w:rPr>
                <w:rFonts w:ascii="Times New Roman" w:hAnsi="Times New Roman" w:cs="Times New Roman"/>
                <w:sz w:val="24"/>
                <w:szCs w:val="24"/>
                <w:lang w:val="ro-MD"/>
              </w:rPr>
            </w:pPr>
            <w:proofErr w:type="spellStart"/>
            <w:r w:rsidRPr="006E4341">
              <w:rPr>
                <w:rFonts w:ascii="Times New Roman" w:eastAsia="Times New Roman" w:hAnsi="Times New Roman" w:cs="Times New Roman"/>
                <w:b/>
                <w:color w:val="000000" w:themeColor="text1"/>
                <w:sz w:val="24"/>
                <w:szCs w:val="24"/>
                <w:lang w:eastAsia="en-GB"/>
              </w:rPr>
              <w:t>Constatările</w:t>
            </w:r>
            <w:proofErr w:type="spellEnd"/>
            <w:r w:rsidRPr="006E4341">
              <w:rPr>
                <w:rFonts w:ascii="Times New Roman" w:eastAsia="Times New Roman" w:hAnsi="Times New Roman" w:cs="Times New Roman"/>
                <w:b/>
                <w:color w:val="000000" w:themeColor="text1"/>
                <w:sz w:val="24"/>
                <w:szCs w:val="24"/>
                <w:lang w:eastAsia="en-GB"/>
              </w:rPr>
              <w:t xml:space="preserve"> </w:t>
            </w:r>
            <w:proofErr w:type="spellStart"/>
            <w:r w:rsidRPr="006E4341">
              <w:rPr>
                <w:rFonts w:ascii="Times New Roman" w:eastAsia="Times New Roman" w:hAnsi="Times New Roman" w:cs="Times New Roman"/>
                <w:b/>
                <w:color w:val="000000" w:themeColor="text1"/>
                <w:sz w:val="24"/>
                <w:szCs w:val="24"/>
                <w:lang w:eastAsia="en-GB"/>
              </w:rPr>
              <w:t>altor</w:t>
            </w:r>
            <w:proofErr w:type="spellEnd"/>
            <w:r w:rsidRPr="006E4341">
              <w:rPr>
                <w:rFonts w:ascii="Times New Roman" w:eastAsia="Times New Roman" w:hAnsi="Times New Roman" w:cs="Times New Roman"/>
                <w:b/>
                <w:color w:val="000000" w:themeColor="text1"/>
                <w:sz w:val="24"/>
                <w:szCs w:val="24"/>
                <w:lang w:eastAsia="en-GB"/>
              </w:rPr>
              <w:t xml:space="preserve"> </w:t>
            </w:r>
            <w:proofErr w:type="spellStart"/>
            <w:r w:rsidRPr="006E4341">
              <w:rPr>
                <w:rFonts w:ascii="Times New Roman" w:eastAsia="Times New Roman" w:hAnsi="Times New Roman" w:cs="Times New Roman"/>
                <w:b/>
                <w:color w:val="000000" w:themeColor="text1"/>
                <w:sz w:val="24"/>
                <w:szCs w:val="24"/>
                <w:lang w:eastAsia="en-GB"/>
              </w:rPr>
              <w:t>expertize</w:t>
            </w:r>
            <w:proofErr w:type="spellEnd"/>
          </w:p>
        </w:tc>
      </w:tr>
      <w:tr w:rsidR="001D5AC1" w:rsidRPr="008F7C5A" w:rsidTr="00B36719">
        <w:tc>
          <w:tcPr>
            <w:tcW w:w="9345" w:type="dxa"/>
          </w:tcPr>
          <w:p w:rsidR="001D5AC1" w:rsidRPr="001D5AC1" w:rsidRDefault="001D5AC1" w:rsidP="001D5AC1">
            <w:pPr>
              <w:spacing w:line="276" w:lineRule="auto"/>
              <w:ind w:firstLine="447"/>
              <w:jc w:val="both"/>
              <w:rPr>
                <w:rFonts w:ascii="Times New Roman" w:eastAsia="Times New Roman" w:hAnsi="Times New Roman" w:cs="Times New Roman"/>
                <w:color w:val="000000" w:themeColor="text1"/>
                <w:sz w:val="24"/>
                <w:szCs w:val="24"/>
                <w:lang w:val="en-US" w:eastAsia="en-GB"/>
              </w:rPr>
            </w:pPr>
            <w:r w:rsidRPr="001D5AC1">
              <w:rPr>
                <w:rFonts w:ascii="Times New Roman" w:eastAsia="Times New Roman" w:hAnsi="Times New Roman" w:cs="Times New Roman"/>
                <w:color w:val="000000" w:themeColor="text1"/>
                <w:sz w:val="24"/>
                <w:szCs w:val="24"/>
                <w:lang w:val="ro-RO" w:eastAsia="en-GB"/>
              </w:rPr>
              <w:t>Nu este relevant pentru acest proiect</w:t>
            </w:r>
            <w:r w:rsidR="00A31908">
              <w:rPr>
                <w:rFonts w:ascii="Times New Roman" w:eastAsia="Times New Roman" w:hAnsi="Times New Roman" w:cs="Times New Roman"/>
                <w:color w:val="000000" w:themeColor="text1"/>
                <w:sz w:val="24"/>
                <w:szCs w:val="24"/>
                <w:lang w:val="ro-RO" w:eastAsia="en-GB"/>
              </w:rPr>
              <w:t>.</w:t>
            </w:r>
          </w:p>
        </w:tc>
      </w:tr>
    </w:tbl>
    <w:p w:rsidR="000C1D95" w:rsidRPr="003E5AAA" w:rsidRDefault="008F7C5A" w:rsidP="003E5AAA">
      <w:pPr>
        <w:spacing w:line="276" w:lineRule="auto"/>
        <w:rPr>
          <w:rFonts w:ascii="Times New Roman" w:hAnsi="Times New Roman" w:cs="Times New Roman"/>
          <w:sz w:val="24"/>
          <w:szCs w:val="24"/>
          <w:lang w:val="ro-RO"/>
        </w:rPr>
      </w:pPr>
    </w:p>
    <w:p w:rsidR="00FD4B95" w:rsidRDefault="00FD4B95" w:rsidP="003E5AAA">
      <w:pPr>
        <w:spacing w:line="276" w:lineRule="auto"/>
        <w:rPr>
          <w:rFonts w:ascii="Times New Roman" w:hAnsi="Times New Roman" w:cs="Times New Roman"/>
          <w:b/>
          <w:sz w:val="24"/>
          <w:szCs w:val="24"/>
          <w:lang w:val="ro-RO"/>
        </w:rPr>
      </w:pPr>
      <w:r w:rsidRPr="003E5AAA">
        <w:rPr>
          <w:rFonts w:ascii="Times New Roman" w:hAnsi="Times New Roman" w:cs="Times New Roman"/>
          <w:b/>
          <w:sz w:val="24"/>
          <w:szCs w:val="24"/>
          <w:lang w:val="ro-RO"/>
        </w:rPr>
        <w:t>Ministru al Finanțelor</w:t>
      </w:r>
      <w:r w:rsidR="00C84AD3">
        <w:rPr>
          <w:rFonts w:ascii="Times New Roman" w:hAnsi="Times New Roman" w:cs="Times New Roman"/>
          <w:b/>
          <w:sz w:val="24"/>
          <w:szCs w:val="24"/>
          <w:lang w:val="ro-RO"/>
        </w:rPr>
        <w:t xml:space="preserve"> </w:t>
      </w:r>
      <w:r w:rsidR="00C84AD3">
        <w:rPr>
          <w:rFonts w:ascii="Times New Roman" w:hAnsi="Times New Roman" w:cs="Times New Roman"/>
          <w:b/>
          <w:sz w:val="24"/>
          <w:szCs w:val="24"/>
          <w:lang w:val="ro-RO"/>
        </w:rPr>
        <w:tab/>
      </w:r>
      <w:r w:rsidR="00C84AD3">
        <w:rPr>
          <w:rFonts w:ascii="Times New Roman" w:hAnsi="Times New Roman" w:cs="Times New Roman"/>
          <w:b/>
          <w:sz w:val="24"/>
          <w:szCs w:val="24"/>
          <w:lang w:val="ro-RO"/>
        </w:rPr>
        <w:tab/>
      </w:r>
      <w:r w:rsidR="00C84AD3">
        <w:rPr>
          <w:rFonts w:ascii="Times New Roman" w:hAnsi="Times New Roman" w:cs="Times New Roman"/>
          <w:b/>
          <w:sz w:val="24"/>
          <w:szCs w:val="24"/>
          <w:lang w:val="ro-RO"/>
        </w:rPr>
        <w:tab/>
      </w:r>
      <w:r w:rsidR="00C84AD3">
        <w:rPr>
          <w:rFonts w:ascii="Times New Roman" w:hAnsi="Times New Roman" w:cs="Times New Roman"/>
          <w:b/>
          <w:sz w:val="24"/>
          <w:szCs w:val="24"/>
          <w:lang w:val="ro-RO"/>
        </w:rPr>
        <w:tab/>
      </w:r>
      <w:r w:rsidR="00C84AD3">
        <w:rPr>
          <w:rFonts w:ascii="Times New Roman" w:hAnsi="Times New Roman" w:cs="Times New Roman"/>
          <w:b/>
          <w:sz w:val="24"/>
          <w:szCs w:val="24"/>
          <w:lang w:val="ro-RO"/>
        </w:rPr>
        <w:tab/>
      </w:r>
      <w:r w:rsidR="00C84AD3">
        <w:rPr>
          <w:rFonts w:ascii="Times New Roman" w:hAnsi="Times New Roman" w:cs="Times New Roman"/>
          <w:b/>
          <w:sz w:val="24"/>
          <w:szCs w:val="24"/>
          <w:lang w:val="ro-RO"/>
        </w:rPr>
        <w:tab/>
      </w:r>
      <w:r w:rsidR="00C84AD3" w:rsidRPr="00C84AD3">
        <w:rPr>
          <w:rFonts w:ascii="Times New Roman" w:hAnsi="Times New Roman" w:cs="Times New Roman"/>
          <w:b/>
          <w:sz w:val="24"/>
          <w:szCs w:val="24"/>
          <w:lang w:val="ro-RO"/>
        </w:rPr>
        <w:t>Dumitru BUDIANSCHI</w:t>
      </w:r>
    </w:p>
    <w:p w:rsidR="00FD4B95" w:rsidRDefault="00FD4B95" w:rsidP="003E5AAA">
      <w:pPr>
        <w:spacing w:line="276" w:lineRule="auto"/>
        <w:rPr>
          <w:rFonts w:ascii="Times New Roman" w:hAnsi="Times New Roman" w:cs="Times New Roman"/>
          <w:b/>
          <w:sz w:val="24"/>
          <w:szCs w:val="24"/>
          <w:lang w:val="ro-RO"/>
        </w:rPr>
      </w:pPr>
      <w:r w:rsidRPr="003E5AAA">
        <w:rPr>
          <w:rFonts w:ascii="Times New Roman" w:hAnsi="Times New Roman" w:cs="Times New Roman"/>
          <w:b/>
          <w:sz w:val="24"/>
          <w:szCs w:val="24"/>
          <w:lang w:val="ro-RO"/>
        </w:rPr>
        <w:t xml:space="preserve">                                                                                        </w:t>
      </w:r>
      <w:r w:rsidR="00436F8E">
        <w:rPr>
          <w:rFonts w:ascii="Times New Roman" w:hAnsi="Times New Roman" w:cs="Times New Roman"/>
          <w:b/>
          <w:sz w:val="24"/>
          <w:szCs w:val="24"/>
          <w:lang w:val="ro-RO"/>
        </w:rPr>
        <w:t xml:space="preserve">  </w:t>
      </w:r>
    </w:p>
    <w:p w:rsidR="00436F8E" w:rsidRPr="003E5AAA" w:rsidRDefault="00436F8E" w:rsidP="003E5AAA">
      <w:pPr>
        <w:spacing w:line="276" w:lineRule="auto"/>
        <w:rPr>
          <w:rFonts w:ascii="Times New Roman" w:hAnsi="Times New Roman" w:cs="Times New Roman"/>
          <w:b/>
          <w:sz w:val="24"/>
          <w:szCs w:val="24"/>
          <w:lang w:val="ro-RO"/>
        </w:rPr>
      </w:pPr>
    </w:p>
    <w:sectPr w:rsidR="00436F8E" w:rsidRPr="003E5AAA" w:rsidSect="005E7E21">
      <w:pgSz w:w="11906" w:h="16838"/>
      <w:pgMar w:top="60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B76A5"/>
    <w:multiLevelType w:val="hybridMultilevel"/>
    <w:tmpl w:val="A7D08330"/>
    <w:lvl w:ilvl="0" w:tplc="3A9A7D5C">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3702A2"/>
    <w:multiLevelType w:val="hybridMultilevel"/>
    <w:tmpl w:val="B2C6CBDC"/>
    <w:lvl w:ilvl="0" w:tplc="72F22E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144425"/>
    <w:multiLevelType w:val="hybridMultilevel"/>
    <w:tmpl w:val="E0EEAB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AB"/>
    <w:rsid w:val="0002371A"/>
    <w:rsid w:val="000C3F7A"/>
    <w:rsid w:val="001D5AC1"/>
    <w:rsid w:val="001E00D0"/>
    <w:rsid w:val="001E067E"/>
    <w:rsid w:val="0022217A"/>
    <w:rsid w:val="00296D61"/>
    <w:rsid w:val="002A4B94"/>
    <w:rsid w:val="002C1218"/>
    <w:rsid w:val="002D17EA"/>
    <w:rsid w:val="00300D9C"/>
    <w:rsid w:val="003E5AAA"/>
    <w:rsid w:val="00436F8E"/>
    <w:rsid w:val="00480950"/>
    <w:rsid w:val="004D68AB"/>
    <w:rsid w:val="005E7E21"/>
    <w:rsid w:val="00611AAF"/>
    <w:rsid w:val="00763DF5"/>
    <w:rsid w:val="008F7C5A"/>
    <w:rsid w:val="009B4187"/>
    <w:rsid w:val="009B7DB9"/>
    <w:rsid w:val="009E570E"/>
    <w:rsid w:val="00A31908"/>
    <w:rsid w:val="00AC3CDD"/>
    <w:rsid w:val="00B36719"/>
    <w:rsid w:val="00B52E1E"/>
    <w:rsid w:val="00B67C3D"/>
    <w:rsid w:val="00BA0309"/>
    <w:rsid w:val="00C73E84"/>
    <w:rsid w:val="00C84AD3"/>
    <w:rsid w:val="00D738F2"/>
    <w:rsid w:val="00E21CA8"/>
    <w:rsid w:val="00E67131"/>
    <w:rsid w:val="00E67378"/>
    <w:rsid w:val="00E906B9"/>
    <w:rsid w:val="00FA5B28"/>
    <w:rsid w:val="00FD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F787"/>
  <w15:chartTrackingRefBased/>
  <w15:docId w15:val="{C69CB391-A14A-4924-9C33-139E660C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n">
    <w:name w:val="cn"/>
    <w:basedOn w:val="a"/>
    <w:rsid w:val="00B367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B3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6719"/>
    <w:pPr>
      <w:ind w:left="720"/>
      <w:contextualSpacing/>
    </w:pPr>
  </w:style>
  <w:style w:type="character" w:styleId="a5">
    <w:name w:val="Hyperlink"/>
    <w:basedOn w:val="a0"/>
    <w:uiPriority w:val="99"/>
    <w:unhideWhenUsed/>
    <w:rsid w:val="00436F8E"/>
    <w:rPr>
      <w:color w:val="0563C1" w:themeColor="hyperlink"/>
      <w:u w:val="single"/>
    </w:rPr>
  </w:style>
  <w:style w:type="character" w:customStyle="1" w:styleId="UnresolvedMention">
    <w:name w:val="Unresolved Mention"/>
    <w:basedOn w:val="a0"/>
    <w:uiPriority w:val="99"/>
    <w:semiHidden/>
    <w:unhideWhenUsed/>
    <w:rsid w:val="00436F8E"/>
    <w:rPr>
      <w:color w:val="605E5C"/>
      <w:shd w:val="clear" w:color="auto" w:fill="E1DFDD"/>
    </w:rPr>
  </w:style>
  <w:style w:type="paragraph" w:styleId="a6">
    <w:name w:val="Balloon Text"/>
    <w:basedOn w:val="a"/>
    <w:link w:val="a7"/>
    <w:uiPriority w:val="99"/>
    <w:semiHidden/>
    <w:unhideWhenUsed/>
    <w:rsid w:val="00A3190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31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32918">
      <w:bodyDiv w:val="1"/>
      <w:marLeft w:val="0"/>
      <w:marRight w:val="0"/>
      <w:marTop w:val="0"/>
      <w:marBottom w:val="0"/>
      <w:divBdr>
        <w:top w:val="none" w:sz="0" w:space="0" w:color="auto"/>
        <w:left w:val="none" w:sz="0" w:space="0" w:color="auto"/>
        <w:bottom w:val="none" w:sz="0" w:space="0" w:color="auto"/>
        <w:right w:val="none" w:sz="0" w:space="0" w:color="auto"/>
      </w:divBdr>
    </w:div>
    <w:div w:id="19415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ticip.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Andriuta Tatiana</dc:creator>
  <cp:keywords/>
  <dc:description/>
  <cp:lastModifiedBy>Naval Valentin</cp:lastModifiedBy>
  <cp:revision>7</cp:revision>
  <cp:lastPrinted>2022-03-17T09:59:00Z</cp:lastPrinted>
  <dcterms:created xsi:type="dcterms:W3CDTF">2021-11-10T09:05:00Z</dcterms:created>
  <dcterms:modified xsi:type="dcterms:W3CDTF">2022-03-17T09:59:00Z</dcterms:modified>
</cp:coreProperties>
</file>