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32" w:rsidRPr="00F031B3" w:rsidRDefault="00646332" w:rsidP="00646332">
      <w:pPr>
        <w:spacing w:line="276" w:lineRule="auto"/>
        <w:ind w:right="-755"/>
        <w:jc w:val="right"/>
        <w:rPr>
          <w:i/>
          <w:sz w:val="28"/>
          <w:szCs w:val="28"/>
          <w:lang w:val="ro-MD"/>
        </w:rPr>
      </w:pPr>
      <w:r w:rsidRPr="00F031B3">
        <w:rPr>
          <w:i/>
          <w:sz w:val="28"/>
          <w:szCs w:val="28"/>
          <w:lang w:val="ro-MD"/>
        </w:rPr>
        <w:t>Proiect</w:t>
      </w:r>
    </w:p>
    <w:p w:rsidR="00646332" w:rsidRPr="00F031B3" w:rsidRDefault="00646332" w:rsidP="00646332">
      <w:pPr>
        <w:spacing w:line="276" w:lineRule="auto"/>
        <w:ind w:right="-755"/>
        <w:jc w:val="center"/>
        <w:rPr>
          <w:rFonts w:eastAsia="Batang"/>
          <w:b/>
          <w:bCs/>
          <w:sz w:val="28"/>
          <w:szCs w:val="28"/>
          <w:lang w:val="ro-MD"/>
        </w:rPr>
      </w:pPr>
      <w:r w:rsidRPr="00F031B3">
        <w:rPr>
          <w:rFonts w:eastAsia="Batang"/>
          <w:b/>
          <w:bCs/>
          <w:sz w:val="28"/>
          <w:szCs w:val="28"/>
          <w:lang w:val="ro-MD"/>
        </w:rPr>
        <w:t>Nota informativă</w:t>
      </w:r>
    </w:p>
    <w:p w:rsidR="00646332" w:rsidRPr="00F031B3" w:rsidRDefault="00646332" w:rsidP="00646332">
      <w:pPr>
        <w:spacing w:line="276" w:lineRule="auto"/>
        <w:ind w:right="-755"/>
        <w:jc w:val="center"/>
        <w:rPr>
          <w:rFonts w:eastAsia="Batang"/>
          <w:b/>
          <w:bCs/>
          <w:sz w:val="28"/>
          <w:szCs w:val="28"/>
          <w:lang w:val="ro-MD"/>
        </w:rPr>
      </w:pPr>
      <w:r w:rsidRPr="00F031B3">
        <w:rPr>
          <w:rFonts w:eastAsia="Batang"/>
          <w:b/>
          <w:bCs/>
          <w:sz w:val="28"/>
          <w:szCs w:val="28"/>
          <w:lang w:val="ro-MD"/>
        </w:rPr>
        <w:t xml:space="preserve">la proiectul hotărârii Guvernului cu privire la modificarea și completarea </w:t>
      </w:r>
      <w:proofErr w:type="spellStart"/>
      <w:r w:rsidRPr="00F031B3">
        <w:rPr>
          <w:rFonts w:eastAsia="Batang"/>
          <w:b/>
          <w:bCs/>
          <w:sz w:val="28"/>
          <w:szCs w:val="28"/>
          <w:lang w:val="ro-MD"/>
        </w:rPr>
        <w:t>Hotărîrii</w:t>
      </w:r>
      <w:proofErr w:type="spellEnd"/>
      <w:r w:rsidRPr="00F031B3">
        <w:rPr>
          <w:rFonts w:eastAsia="Batang"/>
          <w:b/>
          <w:bCs/>
          <w:sz w:val="28"/>
          <w:szCs w:val="28"/>
          <w:lang w:val="ro-MD"/>
        </w:rPr>
        <w:t xml:space="preserve"> Guvernului nr.289  din  14 martie 2007 pentru aprobarea Regulamentului privind evidența și calcularea uzurii mijloacelor fixe în scopuri fiscale</w:t>
      </w:r>
    </w:p>
    <w:p w:rsidR="00646332" w:rsidRPr="00F031B3" w:rsidRDefault="00646332" w:rsidP="00646332">
      <w:pPr>
        <w:spacing w:line="276" w:lineRule="auto"/>
        <w:ind w:right="-755"/>
        <w:jc w:val="center"/>
        <w:rPr>
          <w:rFonts w:eastAsia="Batang"/>
          <w:b/>
          <w:bCs/>
          <w:sz w:val="28"/>
          <w:szCs w:val="28"/>
          <w:lang w:val="ro-MD"/>
        </w:rPr>
      </w:pPr>
    </w:p>
    <w:p w:rsidR="00646332" w:rsidRPr="00F031B3" w:rsidRDefault="00646332" w:rsidP="0064633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right="-755" w:firstLine="567"/>
        <w:jc w:val="both"/>
        <w:rPr>
          <w:b/>
          <w:sz w:val="28"/>
          <w:szCs w:val="28"/>
          <w:lang w:val="ro-MD"/>
        </w:rPr>
      </w:pPr>
      <w:r w:rsidRPr="00F031B3">
        <w:rPr>
          <w:b/>
          <w:sz w:val="28"/>
          <w:szCs w:val="28"/>
          <w:lang w:val="ro-MD"/>
        </w:rPr>
        <w:t>Denumirea autorului și, după caz, a participanților la elaborarea proiectului</w:t>
      </w:r>
    </w:p>
    <w:p w:rsidR="00646332" w:rsidRPr="00F031B3" w:rsidRDefault="00646332" w:rsidP="00646332">
      <w:pPr>
        <w:pStyle w:val="ListParagraph"/>
        <w:tabs>
          <w:tab w:val="left" w:pos="709"/>
          <w:tab w:val="left" w:pos="851"/>
        </w:tabs>
        <w:spacing w:line="276" w:lineRule="auto"/>
        <w:ind w:left="0"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sz w:val="28"/>
          <w:szCs w:val="28"/>
          <w:shd w:val="clear" w:color="auto" w:fill="FFFFFF"/>
          <w:lang w:val="ro-MD"/>
        </w:rPr>
        <w:t xml:space="preserve">Proiectul hotărârii de Guvern </w:t>
      </w:r>
      <w:r>
        <w:rPr>
          <w:sz w:val="28"/>
          <w:szCs w:val="28"/>
          <w:shd w:val="clear" w:color="auto" w:fill="FFFFFF"/>
          <w:lang w:val="ro-MD"/>
        </w:rPr>
        <w:t>,,</w:t>
      </w:r>
      <w:r w:rsidRPr="00F031B3">
        <w:rPr>
          <w:sz w:val="28"/>
          <w:szCs w:val="28"/>
          <w:shd w:val="clear" w:color="auto" w:fill="FFFFFF"/>
          <w:lang w:val="ro-MD"/>
        </w:rPr>
        <w:t>cu privire la modificarea și completarea Hotărârii Guvernului nr.289  din  14 martie 2007 pentru aprobarea Regulamentului privind evidența și calcularea uzurii mijloacelor fixe în scopuri fiscale”</w:t>
      </w:r>
      <w:r w:rsidRPr="00F031B3">
        <w:rPr>
          <w:lang w:val="ro-MD"/>
        </w:rPr>
        <w:t xml:space="preserve"> </w:t>
      </w:r>
      <w:r w:rsidRPr="00F031B3">
        <w:rPr>
          <w:sz w:val="28"/>
          <w:szCs w:val="28"/>
          <w:shd w:val="clear" w:color="auto" w:fill="FFFFFF"/>
          <w:lang w:val="ro-MD"/>
        </w:rPr>
        <w:t>a fost elaborat de Ministerul Finanțelor.</w:t>
      </w:r>
    </w:p>
    <w:p w:rsidR="00646332" w:rsidRPr="00F031B3" w:rsidRDefault="00646332" w:rsidP="00646332">
      <w:pPr>
        <w:pStyle w:val="ListParagraph"/>
        <w:tabs>
          <w:tab w:val="left" w:pos="709"/>
          <w:tab w:val="left" w:pos="851"/>
        </w:tabs>
        <w:spacing w:line="276" w:lineRule="auto"/>
        <w:ind w:left="0" w:right="-755" w:firstLine="567"/>
        <w:jc w:val="both"/>
        <w:rPr>
          <w:b/>
          <w:sz w:val="28"/>
          <w:szCs w:val="28"/>
          <w:lang w:val="ro-MD"/>
        </w:rPr>
      </w:pPr>
    </w:p>
    <w:p w:rsidR="00646332" w:rsidRPr="00F031B3" w:rsidRDefault="00646332" w:rsidP="00646332">
      <w:pPr>
        <w:tabs>
          <w:tab w:val="left" w:pos="851"/>
          <w:tab w:val="left" w:pos="993"/>
        </w:tabs>
        <w:spacing w:line="276" w:lineRule="auto"/>
        <w:ind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b/>
          <w:sz w:val="28"/>
          <w:szCs w:val="28"/>
          <w:shd w:val="clear" w:color="auto" w:fill="FFFFFF"/>
          <w:lang w:val="ro-MD"/>
        </w:rPr>
        <w:t>II</w:t>
      </w:r>
      <w:r w:rsidRPr="00F031B3">
        <w:rPr>
          <w:b/>
          <w:sz w:val="28"/>
          <w:szCs w:val="28"/>
          <w:lang w:val="ro-MD"/>
        </w:rPr>
        <w:t>.</w:t>
      </w:r>
      <w:r w:rsidRPr="00F031B3">
        <w:rPr>
          <w:b/>
          <w:sz w:val="28"/>
          <w:szCs w:val="28"/>
          <w:lang w:val="ro-MD"/>
        </w:rPr>
        <w:tab/>
        <w:t xml:space="preserve">Temeiul inițierii procesului de elaborare </w:t>
      </w:r>
      <w:proofErr w:type="spellStart"/>
      <w:r w:rsidRPr="00F031B3">
        <w:rPr>
          <w:b/>
          <w:sz w:val="28"/>
          <w:szCs w:val="28"/>
          <w:lang w:val="ro-MD"/>
        </w:rPr>
        <w:t>şi</w:t>
      </w:r>
      <w:proofErr w:type="spellEnd"/>
      <w:r w:rsidRPr="00F031B3">
        <w:rPr>
          <w:b/>
          <w:sz w:val="28"/>
          <w:szCs w:val="28"/>
          <w:lang w:val="ro-MD"/>
        </w:rPr>
        <w:t xml:space="preserve"> finalitățile urmărite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sz w:val="28"/>
          <w:szCs w:val="28"/>
          <w:shd w:val="clear" w:color="auto" w:fill="FFFFFF"/>
          <w:lang w:val="ro-MD"/>
        </w:rPr>
        <w:t>Proiectul prezentei hotărârii</w:t>
      </w:r>
      <w:r>
        <w:rPr>
          <w:sz w:val="28"/>
          <w:szCs w:val="28"/>
          <w:shd w:val="clear" w:color="auto" w:fill="FFFFFF"/>
          <w:lang w:val="ro-MD"/>
        </w:rPr>
        <w:t xml:space="preserve"> de Guvern</w:t>
      </w:r>
      <w:r w:rsidRPr="00F031B3">
        <w:rPr>
          <w:sz w:val="28"/>
          <w:szCs w:val="28"/>
          <w:shd w:val="clear" w:color="auto" w:fill="FFFFFF"/>
          <w:lang w:val="ro-MD"/>
        </w:rPr>
        <w:t xml:space="preserve"> are drept scop racordarea prevederilor</w:t>
      </w:r>
      <w:r w:rsidRPr="00F031B3">
        <w:rPr>
          <w:sz w:val="28"/>
          <w:szCs w:val="28"/>
          <w:lang w:val="ro-MD"/>
        </w:rPr>
        <w:t xml:space="preserve"> </w:t>
      </w:r>
      <w:r w:rsidRPr="00F031B3">
        <w:rPr>
          <w:sz w:val="28"/>
          <w:szCs w:val="28"/>
          <w:shd w:val="clear" w:color="auto" w:fill="FFFFFF"/>
          <w:lang w:val="ro-MD"/>
        </w:rPr>
        <w:t>Regulamentului privind evidența și calcularea uzurii mijloacelor fixe în scopuri fiscale la</w:t>
      </w:r>
      <w:r>
        <w:rPr>
          <w:sz w:val="28"/>
          <w:szCs w:val="28"/>
          <w:shd w:val="clear" w:color="auto" w:fill="FFFFFF"/>
          <w:lang w:val="ro-MD"/>
        </w:rPr>
        <w:t xml:space="preserve"> modificările și completărilor </w:t>
      </w:r>
      <w:r w:rsidRPr="00F031B3">
        <w:rPr>
          <w:sz w:val="28"/>
          <w:szCs w:val="28"/>
          <w:shd w:val="clear" w:color="auto" w:fill="FFFFFF"/>
          <w:lang w:val="ro-MD"/>
        </w:rPr>
        <w:t xml:space="preserve">efectuate la </w:t>
      </w:r>
      <w:proofErr w:type="spellStart"/>
      <w:r w:rsidRPr="00F031B3">
        <w:rPr>
          <w:sz w:val="28"/>
          <w:szCs w:val="28"/>
          <w:shd w:val="clear" w:color="auto" w:fill="FFFFFF"/>
          <w:lang w:val="ro-MD"/>
        </w:rPr>
        <w:t>Codul</w:t>
      </w:r>
      <w:r>
        <w:rPr>
          <w:sz w:val="28"/>
          <w:szCs w:val="28"/>
          <w:shd w:val="clear" w:color="auto" w:fill="FFFFFF"/>
          <w:lang w:val="ro-MD"/>
        </w:rPr>
        <w:t>ul</w:t>
      </w:r>
      <w:proofErr w:type="spellEnd"/>
      <w:r>
        <w:rPr>
          <w:sz w:val="28"/>
          <w:szCs w:val="28"/>
          <w:shd w:val="clear" w:color="auto" w:fill="FFFFFF"/>
          <w:lang w:val="ro-MD"/>
        </w:rPr>
        <w:t xml:space="preserve"> fiscal prin Legea nr.281 din </w:t>
      </w:r>
      <w:r w:rsidRPr="00F031B3">
        <w:rPr>
          <w:sz w:val="28"/>
          <w:szCs w:val="28"/>
          <w:shd w:val="clear" w:color="auto" w:fill="FFFFFF"/>
          <w:lang w:val="ro-MD"/>
        </w:rPr>
        <w:t>1</w:t>
      </w:r>
      <w:r>
        <w:rPr>
          <w:sz w:val="28"/>
          <w:szCs w:val="28"/>
          <w:shd w:val="clear" w:color="auto" w:fill="FFFFFF"/>
          <w:lang w:val="ro-MD"/>
        </w:rPr>
        <w:t>5</w:t>
      </w:r>
      <w:r w:rsidRPr="00F031B3">
        <w:rPr>
          <w:sz w:val="28"/>
          <w:szCs w:val="28"/>
          <w:shd w:val="clear" w:color="auto" w:fill="FFFFFF"/>
          <w:lang w:val="ro-MD"/>
        </w:rPr>
        <w:t>.12.201</w:t>
      </w:r>
      <w:r>
        <w:rPr>
          <w:sz w:val="28"/>
          <w:szCs w:val="28"/>
          <w:shd w:val="clear" w:color="auto" w:fill="FFFFFF"/>
          <w:lang w:val="ro-MD"/>
        </w:rPr>
        <w:t>7</w:t>
      </w:r>
      <w:r w:rsidRPr="00F031B3">
        <w:rPr>
          <w:sz w:val="28"/>
          <w:szCs w:val="28"/>
          <w:shd w:val="clear" w:color="auto" w:fill="FFFFFF"/>
          <w:lang w:val="ro-MD"/>
        </w:rPr>
        <w:t>.</w:t>
      </w:r>
    </w:p>
    <w:p w:rsidR="00646332" w:rsidRPr="00F031B3" w:rsidRDefault="00646332" w:rsidP="00646332">
      <w:pPr>
        <w:tabs>
          <w:tab w:val="left" w:pos="709"/>
          <w:tab w:val="left" w:pos="851"/>
        </w:tabs>
        <w:spacing w:line="276" w:lineRule="auto"/>
        <w:ind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sz w:val="28"/>
          <w:szCs w:val="28"/>
          <w:shd w:val="clear" w:color="auto" w:fill="FFFFFF"/>
          <w:lang w:val="ro-MD"/>
        </w:rPr>
        <w:t>Începând cu 01.01.2018</w:t>
      </w:r>
      <w:r>
        <w:rPr>
          <w:sz w:val="28"/>
          <w:szCs w:val="28"/>
          <w:shd w:val="clear" w:color="auto" w:fill="FFFFFF"/>
          <w:lang w:val="ro-MD"/>
        </w:rPr>
        <w:t xml:space="preserve">, prin Legea nr.281 din </w:t>
      </w:r>
      <w:r w:rsidRPr="00F031B3">
        <w:rPr>
          <w:sz w:val="28"/>
          <w:szCs w:val="28"/>
          <w:shd w:val="clear" w:color="auto" w:fill="FFFFFF"/>
          <w:lang w:val="ro-MD"/>
        </w:rPr>
        <w:t>1</w:t>
      </w:r>
      <w:r>
        <w:rPr>
          <w:sz w:val="28"/>
          <w:szCs w:val="28"/>
          <w:shd w:val="clear" w:color="auto" w:fill="FFFFFF"/>
          <w:lang w:val="ro-MD"/>
        </w:rPr>
        <w:t>5</w:t>
      </w:r>
      <w:r w:rsidRPr="00F031B3">
        <w:rPr>
          <w:sz w:val="28"/>
          <w:szCs w:val="28"/>
          <w:shd w:val="clear" w:color="auto" w:fill="FFFFFF"/>
          <w:lang w:val="ro-MD"/>
        </w:rPr>
        <w:t>.12.201</w:t>
      </w:r>
      <w:r>
        <w:rPr>
          <w:sz w:val="28"/>
          <w:szCs w:val="28"/>
          <w:shd w:val="clear" w:color="auto" w:fill="FFFFFF"/>
          <w:lang w:val="ro-MD"/>
        </w:rPr>
        <w:t>7</w:t>
      </w:r>
      <w:r w:rsidRPr="00F031B3">
        <w:rPr>
          <w:sz w:val="28"/>
          <w:szCs w:val="28"/>
          <w:shd w:val="clear" w:color="auto" w:fill="FFFFFF"/>
          <w:lang w:val="ro-MD"/>
        </w:rPr>
        <w:t>, au fost efectuate un set de modificări și completări la art.24, art.26, art.26</w:t>
      </w:r>
      <w:r w:rsidRPr="00F031B3">
        <w:rPr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F031B3">
        <w:rPr>
          <w:sz w:val="28"/>
          <w:szCs w:val="28"/>
          <w:shd w:val="clear" w:color="auto" w:fill="FFFFFF"/>
          <w:lang w:val="ro-MD"/>
        </w:rPr>
        <w:t xml:space="preserve"> și art.27 din Codul fiscal și art.24 din Legea pentru punerea în aplicare a titlurilor I </w:t>
      </w:r>
      <w:proofErr w:type="spellStart"/>
      <w:r w:rsidRPr="00F031B3">
        <w:rPr>
          <w:sz w:val="28"/>
          <w:szCs w:val="28"/>
          <w:shd w:val="clear" w:color="auto" w:fill="FFFFFF"/>
          <w:lang w:val="ro-MD"/>
        </w:rPr>
        <w:t>şi</w:t>
      </w:r>
      <w:proofErr w:type="spellEnd"/>
      <w:r w:rsidRPr="00F031B3">
        <w:rPr>
          <w:sz w:val="28"/>
          <w:szCs w:val="28"/>
          <w:shd w:val="clear" w:color="auto" w:fill="FFFFFF"/>
          <w:lang w:val="ro-MD"/>
        </w:rPr>
        <w:t xml:space="preserve"> II ale Codului fiscal nr.1164-XIII din 24 aprilie 1997, care prevăd introducerea unei noi metode de calculare a amortizării mijloacelor fixe în scopuri fiscale, cu aplicarea unei perioade de tranziție pentru implementarea obligatorie a acesteia.</w:t>
      </w:r>
    </w:p>
    <w:p w:rsidR="00646332" w:rsidRPr="00F031B3" w:rsidRDefault="00646332" w:rsidP="00646332">
      <w:pPr>
        <w:tabs>
          <w:tab w:val="left" w:pos="709"/>
          <w:tab w:val="left" w:pos="851"/>
        </w:tabs>
        <w:spacing w:line="276" w:lineRule="auto"/>
        <w:ind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sz w:val="28"/>
          <w:szCs w:val="28"/>
          <w:shd w:val="clear" w:color="auto" w:fill="FFFFFF"/>
          <w:lang w:val="ro-MD"/>
        </w:rPr>
        <w:t xml:space="preserve">Astfel, la 01.01.2018 contribuabilul poate opta pentru aplicare metodei existente </w:t>
      </w:r>
      <w:r>
        <w:rPr>
          <w:sz w:val="28"/>
          <w:szCs w:val="28"/>
          <w:shd w:val="clear" w:color="auto" w:fill="FFFFFF"/>
          <w:lang w:val="ro-MD"/>
        </w:rPr>
        <w:t xml:space="preserve">de </w:t>
      </w:r>
      <w:r w:rsidRPr="00F031B3">
        <w:rPr>
          <w:sz w:val="28"/>
          <w:szCs w:val="28"/>
          <w:shd w:val="clear" w:color="auto" w:fill="FFFFFF"/>
          <w:lang w:val="ro-MD"/>
        </w:rPr>
        <w:t>calculu</w:t>
      </w:r>
      <w:r>
        <w:rPr>
          <w:sz w:val="28"/>
          <w:szCs w:val="28"/>
          <w:shd w:val="clear" w:color="auto" w:fill="FFFFFF"/>
          <w:lang w:val="ro-MD"/>
        </w:rPr>
        <w:t>l</w:t>
      </w:r>
      <w:r w:rsidRPr="00F031B3">
        <w:rPr>
          <w:sz w:val="28"/>
          <w:szCs w:val="28"/>
          <w:shd w:val="clear" w:color="auto" w:fill="FFFFFF"/>
          <w:lang w:val="ro-MD"/>
        </w:rPr>
        <w:t xml:space="preserve"> a amortizării (uzurii) în scopuri fiscale sau aplicarea noii metodologii.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F031B3">
        <w:rPr>
          <w:sz w:val="28"/>
          <w:szCs w:val="28"/>
          <w:shd w:val="clear" w:color="auto" w:fill="FFFFFF"/>
          <w:lang w:val="ro-MD"/>
        </w:rPr>
        <w:t xml:space="preserve">Alegerea regimului fiscal se realizează, prin indicarea lui în politica de contabilitate a agentului economic, </w:t>
      </w:r>
      <w:proofErr w:type="spellStart"/>
      <w:r w:rsidRPr="00F031B3">
        <w:rPr>
          <w:sz w:val="28"/>
          <w:szCs w:val="28"/>
          <w:shd w:val="clear" w:color="auto" w:fill="FFFFFF"/>
          <w:lang w:val="ro-MD"/>
        </w:rPr>
        <w:t>pînă</w:t>
      </w:r>
      <w:proofErr w:type="spellEnd"/>
      <w:r w:rsidRPr="00F031B3">
        <w:rPr>
          <w:sz w:val="28"/>
          <w:szCs w:val="28"/>
          <w:shd w:val="clear" w:color="auto" w:fill="FFFFFF"/>
          <w:lang w:val="ro-MD"/>
        </w:rPr>
        <w:t xml:space="preserve"> la data de 25 aprilie, iar pentru subiecții s-au înregistrat pe parcursul perioadei fiscale de declarare </w:t>
      </w:r>
      <w:proofErr w:type="spellStart"/>
      <w:r w:rsidRPr="00F031B3">
        <w:rPr>
          <w:sz w:val="28"/>
          <w:szCs w:val="28"/>
          <w:shd w:val="clear" w:color="auto" w:fill="FFFFFF"/>
          <w:lang w:val="ro-MD"/>
        </w:rPr>
        <w:t>pînă</w:t>
      </w:r>
      <w:proofErr w:type="spellEnd"/>
      <w:r w:rsidRPr="00F031B3">
        <w:rPr>
          <w:sz w:val="28"/>
          <w:szCs w:val="28"/>
          <w:shd w:val="clear" w:color="auto" w:fill="FFFFFF"/>
          <w:lang w:val="ro-MD"/>
        </w:rPr>
        <w:t xml:space="preserve"> la data de 25 a lunii următoare trimestrului de înregistrare. 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Noul sistem prevede: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1) evidenta mijloacelor fixe urmează a fi efectuat</w:t>
      </w:r>
      <w:r>
        <w:rPr>
          <w:sz w:val="28"/>
          <w:szCs w:val="28"/>
          <w:lang w:val="ro-RO"/>
        </w:rPr>
        <w:t>ă</w:t>
      </w:r>
      <w:r w:rsidRPr="00F031B3">
        <w:rPr>
          <w:sz w:val="28"/>
          <w:szCs w:val="28"/>
          <w:lang w:val="ro-MD"/>
        </w:rPr>
        <w:t xml:space="preserve"> per fiecare obiect de mijloc fix. 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2) calculul uzurii î</w:t>
      </w:r>
      <w:r w:rsidRPr="00F031B3">
        <w:rPr>
          <w:sz w:val="28"/>
          <w:szCs w:val="28"/>
          <w:lang w:val="ro-MD"/>
        </w:rPr>
        <w:t>n scopuri fiscale urmează a fi realizat</w:t>
      </w:r>
      <w:r>
        <w:rPr>
          <w:sz w:val="28"/>
          <w:szCs w:val="28"/>
          <w:lang w:val="ro-MD"/>
        </w:rPr>
        <w:t>ă</w:t>
      </w:r>
      <w:r w:rsidRPr="00F031B3">
        <w:rPr>
          <w:sz w:val="28"/>
          <w:szCs w:val="28"/>
          <w:lang w:val="ro-MD"/>
        </w:rPr>
        <w:t xml:space="preserve"> doar prin aplicarea metodei liniare.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 xml:space="preserve">3) </w:t>
      </w:r>
      <w:r>
        <w:rPr>
          <w:sz w:val="28"/>
          <w:szCs w:val="28"/>
          <w:lang w:val="ro-MD"/>
        </w:rPr>
        <w:t>e</w:t>
      </w:r>
      <w:r w:rsidRPr="00F031B3">
        <w:rPr>
          <w:sz w:val="28"/>
          <w:szCs w:val="28"/>
          <w:lang w:val="ro-MD"/>
        </w:rPr>
        <w:t>xcluderea clasificării mijloacelor fixe pe categorii de proprietate si gruparea mijloacelor fixe in funcție de durata de funcționare util</w:t>
      </w:r>
      <w:r>
        <w:rPr>
          <w:sz w:val="28"/>
          <w:szCs w:val="28"/>
          <w:lang w:val="ro-MD"/>
        </w:rPr>
        <w:t>ă</w:t>
      </w:r>
      <w:r w:rsidRPr="00F031B3">
        <w:rPr>
          <w:sz w:val="28"/>
          <w:szCs w:val="28"/>
          <w:lang w:val="ro-MD"/>
        </w:rPr>
        <w:t xml:space="preserve"> conform catalogului aprobat de Guvern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>4) p</w:t>
      </w:r>
      <w:r w:rsidRPr="00F031B3">
        <w:rPr>
          <w:sz w:val="28"/>
          <w:szCs w:val="28"/>
          <w:lang w:val="ro-MD"/>
        </w:rPr>
        <w:t>ăstrarea plafonul valoric pentru calificarea imobilizărilor corporale drept mijloace fixe.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Concomitent, se propune aplicarea abordări implementate anterior prin determinarea valorii fiscale neamortizate a fiecărui mijloc fix prin calcul, reieșind din ponderea procentuală a valorii de bilanț a obiectului respectiv în suma total</w:t>
      </w:r>
      <w:r>
        <w:rPr>
          <w:sz w:val="28"/>
          <w:szCs w:val="28"/>
          <w:lang w:val="ro-MD"/>
        </w:rPr>
        <w:t>ă</w:t>
      </w:r>
      <w:r w:rsidRPr="00F031B3">
        <w:rPr>
          <w:sz w:val="28"/>
          <w:szCs w:val="28"/>
          <w:lang w:val="ro-MD"/>
        </w:rPr>
        <w:t xml:space="preserve"> a valorii de bilanț aferent</w:t>
      </w:r>
      <w:r>
        <w:rPr>
          <w:sz w:val="28"/>
          <w:szCs w:val="28"/>
          <w:lang w:val="ro-MD"/>
        </w:rPr>
        <w:t>ă</w:t>
      </w:r>
      <w:r w:rsidRPr="00F031B3">
        <w:rPr>
          <w:sz w:val="28"/>
          <w:szCs w:val="28"/>
          <w:lang w:val="ro-MD"/>
        </w:rPr>
        <w:t xml:space="preserve"> obiectelor atribuite la categoria respectivă.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Stabilirea metodei liniare presupune următoarele avantaje: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 xml:space="preserve">- simplificarea modului de calcul atât pentru agentul economic </w:t>
      </w:r>
      <w:proofErr w:type="spellStart"/>
      <w:r w:rsidRPr="00F031B3">
        <w:rPr>
          <w:sz w:val="28"/>
          <w:szCs w:val="28"/>
          <w:lang w:val="ro-MD"/>
        </w:rPr>
        <w:t>cît</w:t>
      </w:r>
      <w:proofErr w:type="spellEnd"/>
      <w:r w:rsidRPr="00F031B3">
        <w:rPr>
          <w:sz w:val="28"/>
          <w:szCs w:val="28"/>
          <w:lang w:val="ro-MD"/>
        </w:rPr>
        <w:t xml:space="preserve"> și pentru organele de control;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reducerea timpului și personalului necesar pentru calculul și evidența uzurii în scopuri fiscale;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excluderea riscului admiterii unor erori la efectuarea calcului;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excluderea riscului sancționării de către organele de control;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asigurarea echilibrului și previzibilității estimării cheltuielilor permise spre deducere în scopuri fiscale, în contextul în care reportarea pierderil</w:t>
      </w:r>
      <w:r>
        <w:rPr>
          <w:sz w:val="28"/>
          <w:szCs w:val="28"/>
          <w:lang w:val="ro-MD"/>
        </w:rPr>
        <w:t>or</w:t>
      </w:r>
      <w:r w:rsidRPr="00F031B3">
        <w:rPr>
          <w:sz w:val="28"/>
          <w:szCs w:val="28"/>
          <w:lang w:val="ro-MD"/>
        </w:rPr>
        <w:t xml:space="preserve"> fiscale se realizează în mărimi arbitrare;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se aplică în majoritatea statelor;</w:t>
      </w:r>
    </w:p>
    <w:p w:rsidR="00646332" w:rsidRPr="00F031B3" w:rsidRDefault="00646332" w:rsidP="00646332">
      <w:pPr>
        <w:spacing w:line="276" w:lineRule="auto"/>
        <w:ind w:right="-755" w:firstLine="426"/>
        <w:jc w:val="both"/>
        <w:rPr>
          <w:sz w:val="28"/>
          <w:szCs w:val="28"/>
          <w:lang w:val="ro-MD"/>
        </w:rPr>
      </w:pPr>
      <w:r w:rsidRPr="00F031B3">
        <w:rPr>
          <w:sz w:val="28"/>
          <w:szCs w:val="28"/>
          <w:lang w:val="ro-MD"/>
        </w:rPr>
        <w:t>- sistemului actual este unul ineficient și nu asigură efectul metodei degresive existente în cazul investițiilor în mijloacele fixe;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rPr>
          <w:rFonts w:eastAsia="Calibri"/>
          <w:sz w:val="28"/>
          <w:szCs w:val="28"/>
          <w:lang w:val="ro-MD"/>
        </w:rPr>
      </w:pPr>
      <w:r w:rsidRPr="00F031B3">
        <w:rPr>
          <w:b/>
          <w:sz w:val="28"/>
          <w:szCs w:val="28"/>
          <w:lang w:val="ro-MD"/>
        </w:rPr>
        <w:t xml:space="preserve">III. Fundamentarea </w:t>
      </w:r>
      <w:proofErr w:type="spellStart"/>
      <w:r w:rsidRPr="00F031B3">
        <w:rPr>
          <w:b/>
          <w:sz w:val="28"/>
          <w:szCs w:val="28"/>
          <w:lang w:val="ro-MD"/>
        </w:rPr>
        <w:t>economico</w:t>
      </w:r>
      <w:proofErr w:type="spellEnd"/>
      <w:r w:rsidRPr="00F031B3">
        <w:rPr>
          <w:b/>
          <w:sz w:val="28"/>
          <w:szCs w:val="28"/>
          <w:lang w:val="ro-MD"/>
        </w:rPr>
        <w:t>-financiară</w:t>
      </w:r>
      <w:r w:rsidRPr="00F031B3">
        <w:rPr>
          <w:rFonts w:eastAsia="Calibri"/>
          <w:sz w:val="28"/>
          <w:szCs w:val="28"/>
          <w:lang w:val="ro-MD"/>
        </w:rPr>
        <w:t xml:space="preserve"> </w:t>
      </w:r>
    </w:p>
    <w:p w:rsidR="00646332" w:rsidRPr="00F031B3" w:rsidRDefault="00646332" w:rsidP="00646332">
      <w:pPr>
        <w:tabs>
          <w:tab w:val="left" w:pos="709"/>
        </w:tabs>
        <w:spacing w:line="276" w:lineRule="auto"/>
        <w:ind w:right="-755" w:firstLine="567"/>
        <w:rPr>
          <w:rFonts w:eastAsia="Calibri"/>
          <w:bCs/>
          <w:color w:val="000000"/>
          <w:sz w:val="28"/>
          <w:szCs w:val="28"/>
          <w:lang w:val="ro-MD"/>
        </w:rPr>
      </w:pPr>
      <w:r w:rsidRPr="00F031B3">
        <w:rPr>
          <w:rFonts w:eastAsia="Calibri"/>
          <w:bCs/>
          <w:color w:val="000000"/>
          <w:sz w:val="28"/>
          <w:szCs w:val="28"/>
          <w:lang w:val="ro-MD"/>
        </w:rPr>
        <w:t xml:space="preserve">Adoptarea proiectului de hotărâre nu va implica costuri financiare, care urmează a fi prevăzute anual în bugetul de stat. </w:t>
      </w:r>
    </w:p>
    <w:p w:rsidR="00646332" w:rsidRPr="00F031B3" w:rsidRDefault="00646332" w:rsidP="00646332">
      <w:pPr>
        <w:pStyle w:val="NoSpacing"/>
        <w:tabs>
          <w:tab w:val="left" w:pos="709"/>
          <w:tab w:val="left" w:pos="1080"/>
        </w:tabs>
        <w:spacing w:line="276" w:lineRule="auto"/>
        <w:ind w:right="-755" w:firstLine="567"/>
        <w:jc w:val="both"/>
        <w:rPr>
          <w:b/>
          <w:bCs/>
          <w:color w:val="000000"/>
          <w:sz w:val="28"/>
          <w:szCs w:val="28"/>
          <w:lang w:val="ro-MD"/>
        </w:rPr>
      </w:pPr>
      <w:r w:rsidRPr="00F031B3">
        <w:rPr>
          <w:b/>
          <w:bCs/>
          <w:color w:val="000000"/>
          <w:sz w:val="28"/>
          <w:szCs w:val="28"/>
          <w:lang w:val="ro-MD"/>
        </w:rPr>
        <w:t>IV. Respectarea transparenței în procesul decizional</w:t>
      </w:r>
    </w:p>
    <w:p w:rsidR="00646332" w:rsidRPr="00F031B3" w:rsidRDefault="00646332" w:rsidP="00646332">
      <w:pPr>
        <w:pStyle w:val="NoSpacing"/>
        <w:tabs>
          <w:tab w:val="left" w:pos="709"/>
          <w:tab w:val="left" w:pos="1080"/>
        </w:tabs>
        <w:spacing w:line="276" w:lineRule="auto"/>
        <w:ind w:right="-755" w:firstLine="567"/>
        <w:jc w:val="both"/>
        <w:rPr>
          <w:bCs/>
          <w:color w:val="000000"/>
          <w:sz w:val="28"/>
          <w:szCs w:val="28"/>
          <w:lang w:val="ro-MD"/>
        </w:rPr>
      </w:pPr>
      <w:r w:rsidRPr="00F031B3">
        <w:rPr>
          <w:bCs/>
          <w:color w:val="000000"/>
          <w:sz w:val="28"/>
          <w:szCs w:val="28"/>
          <w:lang w:val="ro-MD"/>
        </w:rPr>
        <w:t xml:space="preserve">În scopul respectării prevederilor Legii nr.239 din 13 noiembrie 2008 privind transparența în procesul decizional, proiectul hotărârii Guvernului „ ” a fost plasat pe pagina web oficială a Ministerului Finanțelor (www.mf.gov.md), în compartimentul ”Transparența decizională” și pe particip.gov.md. </w:t>
      </w:r>
    </w:p>
    <w:p w:rsidR="00646332" w:rsidRPr="00F031B3" w:rsidRDefault="00646332" w:rsidP="00646332">
      <w:pPr>
        <w:pStyle w:val="NoSpacing"/>
        <w:tabs>
          <w:tab w:val="left" w:pos="709"/>
          <w:tab w:val="left" w:pos="1080"/>
        </w:tabs>
        <w:spacing w:line="276" w:lineRule="auto"/>
        <w:ind w:right="-755" w:firstLine="567"/>
        <w:jc w:val="both"/>
        <w:rPr>
          <w:bCs/>
          <w:color w:val="000000"/>
          <w:sz w:val="28"/>
          <w:szCs w:val="28"/>
          <w:lang w:val="ro-MD"/>
        </w:rPr>
      </w:pPr>
      <w:r w:rsidRPr="00F031B3">
        <w:rPr>
          <w:bCs/>
          <w:color w:val="000000"/>
          <w:sz w:val="28"/>
          <w:szCs w:val="28"/>
          <w:lang w:val="ro-MD"/>
        </w:rPr>
        <w:t xml:space="preserve">Proiectul se remite spre avizare autorităților, instituțiilor și altor părți interesate, precum și se va prezenta pentru a fi supus expertizei juridice și anticorupție. </w:t>
      </w:r>
    </w:p>
    <w:p w:rsidR="00646332" w:rsidRDefault="00646332" w:rsidP="00646332">
      <w:pPr>
        <w:pStyle w:val="NoSpacing"/>
        <w:spacing w:line="360" w:lineRule="auto"/>
        <w:ind w:right="-79"/>
        <w:jc w:val="both"/>
        <w:rPr>
          <w:b/>
          <w:bCs/>
          <w:color w:val="000000"/>
          <w:sz w:val="28"/>
          <w:szCs w:val="28"/>
          <w:lang w:val="ro-MD"/>
        </w:rPr>
      </w:pPr>
    </w:p>
    <w:p w:rsidR="00646332" w:rsidRPr="00F031B3" w:rsidRDefault="00646332" w:rsidP="00646332">
      <w:pPr>
        <w:pStyle w:val="NoSpacing"/>
        <w:spacing w:line="360" w:lineRule="auto"/>
        <w:ind w:right="-79"/>
        <w:jc w:val="both"/>
        <w:rPr>
          <w:b/>
          <w:bCs/>
          <w:color w:val="000000"/>
          <w:sz w:val="28"/>
          <w:szCs w:val="28"/>
          <w:lang w:val="ro-MD"/>
        </w:rPr>
      </w:pPr>
    </w:p>
    <w:p w:rsidR="00646332" w:rsidRPr="00F031B3" w:rsidRDefault="00646332" w:rsidP="00646332">
      <w:pPr>
        <w:tabs>
          <w:tab w:val="left" w:pos="1080"/>
        </w:tabs>
        <w:spacing w:line="360" w:lineRule="auto"/>
        <w:ind w:firstLine="720"/>
        <w:jc w:val="center"/>
        <w:rPr>
          <w:b/>
          <w:bCs/>
          <w:color w:val="000000"/>
          <w:sz w:val="28"/>
          <w:szCs w:val="28"/>
          <w:lang w:val="ro-MD"/>
        </w:rPr>
      </w:pPr>
      <w:r w:rsidRPr="00F031B3">
        <w:rPr>
          <w:b/>
          <w:bCs/>
          <w:color w:val="000000"/>
          <w:sz w:val="28"/>
          <w:szCs w:val="28"/>
          <w:lang w:val="ro-MD"/>
        </w:rPr>
        <w:t xml:space="preserve">MINISTRU                                       </w:t>
      </w:r>
      <w:r w:rsidRPr="00F031B3">
        <w:rPr>
          <w:b/>
          <w:bCs/>
          <w:color w:val="000000"/>
          <w:sz w:val="28"/>
          <w:szCs w:val="28"/>
          <w:lang w:val="ro-MD"/>
        </w:rPr>
        <w:tab/>
        <w:t>Octavian ARMAȘU</w:t>
      </w:r>
    </w:p>
    <w:p w:rsidR="00646332" w:rsidRPr="00F031B3" w:rsidRDefault="00646332" w:rsidP="00646332">
      <w:pPr>
        <w:tabs>
          <w:tab w:val="left" w:pos="1080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val="ro-MD"/>
        </w:rPr>
      </w:pPr>
    </w:p>
    <w:p w:rsidR="00646332" w:rsidRPr="00F031B3" w:rsidRDefault="00646332" w:rsidP="00646332">
      <w:pPr>
        <w:rPr>
          <w:sz w:val="28"/>
          <w:szCs w:val="28"/>
          <w:lang w:val="ro-MD"/>
        </w:rPr>
      </w:pPr>
    </w:p>
    <w:p w:rsidR="00572634" w:rsidRDefault="00572634">
      <w:bookmarkStart w:id="0" w:name="_GoBack"/>
      <w:bookmarkEnd w:id="0"/>
    </w:p>
    <w:sectPr w:rsidR="00572634" w:rsidSect="00ED1D88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A0484"/>
    <w:multiLevelType w:val="hybridMultilevel"/>
    <w:tmpl w:val="5520054C"/>
    <w:lvl w:ilvl="0" w:tplc="D8A60A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41"/>
    <w:rsid w:val="00572634"/>
    <w:rsid w:val="00646332"/>
    <w:rsid w:val="00B1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0CBC9-324F-4C28-84F2-B265E5B1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qFormat/>
    <w:rsid w:val="00646332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locked/>
    <w:rsid w:val="006463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6463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646332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Nicolau</dc:creator>
  <cp:keywords/>
  <dc:description/>
  <cp:lastModifiedBy>Cristina Nicolau</cp:lastModifiedBy>
  <cp:revision>2</cp:revision>
  <dcterms:created xsi:type="dcterms:W3CDTF">2018-05-22T08:03:00Z</dcterms:created>
  <dcterms:modified xsi:type="dcterms:W3CDTF">2018-05-22T08:03:00Z</dcterms:modified>
</cp:coreProperties>
</file>