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57" w:rsidRDefault="00647257" w:rsidP="00605761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761E62">
        <w:rPr>
          <w:b/>
          <w:sz w:val="28"/>
          <w:szCs w:val="28"/>
          <w:lang w:val="ro-RO"/>
        </w:rPr>
        <w:t>NOTĂ INFORMATIVĂ</w:t>
      </w:r>
    </w:p>
    <w:p w:rsidR="00647257" w:rsidRDefault="00647257" w:rsidP="00605761">
      <w:pPr>
        <w:spacing w:line="360" w:lineRule="auto"/>
        <w:jc w:val="center"/>
        <w:rPr>
          <w:color w:val="000000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la </w:t>
      </w:r>
      <w:r w:rsidRPr="00647257">
        <w:rPr>
          <w:color w:val="000000" w:themeColor="text1"/>
          <w:sz w:val="28"/>
          <w:szCs w:val="22"/>
          <w:shd w:val="clear" w:color="auto" w:fill="FFFFFF"/>
          <w:lang w:val="ro-RO"/>
        </w:rPr>
        <w:t>Proiectul Ordinului Ministerului Finanțelor cu privire la modificarea și completarea Ordinului Ministrului Finanțelor nr.08 din 15.01.2017</w:t>
      </w:r>
    </w:p>
    <w:p w:rsidR="00647257" w:rsidRPr="00761E62" w:rsidRDefault="00647257" w:rsidP="00647257">
      <w:pPr>
        <w:spacing w:line="276" w:lineRule="auto"/>
        <w:ind w:firstLine="700"/>
        <w:rPr>
          <w:b/>
          <w:sz w:val="28"/>
          <w:szCs w:val="28"/>
          <w:lang w:val="ro-RO"/>
        </w:rPr>
      </w:pPr>
    </w:p>
    <w:p w:rsidR="00647257" w:rsidRPr="00901403" w:rsidRDefault="00647257" w:rsidP="00901403">
      <w:pPr>
        <w:spacing w:line="360" w:lineRule="auto"/>
        <w:ind w:firstLine="567"/>
        <w:jc w:val="both"/>
        <w:rPr>
          <w:b/>
          <w:sz w:val="28"/>
          <w:szCs w:val="28"/>
          <w:lang w:val="ro-MD"/>
        </w:rPr>
      </w:pPr>
      <w:r w:rsidRPr="00647257">
        <w:rPr>
          <w:color w:val="000000" w:themeColor="text1"/>
          <w:sz w:val="28"/>
          <w:szCs w:val="22"/>
          <w:shd w:val="clear" w:color="auto" w:fill="FFFFFF"/>
          <w:lang w:val="ro-RO"/>
        </w:rPr>
        <w:t>Proiectul Ordinului Ministerului Finanțelor cu privire la modificarea și completarea Ordinului Ministrului Finanțelor nr.08 din 15.01.2017</w:t>
      </w:r>
      <w:r w:rsidRPr="00667D04">
        <w:rPr>
          <w:rStyle w:val="docheader"/>
          <w:color w:val="000000"/>
          <w:sz w:val="28"/>
          <w:szCs w:val="28"/>
          <w:lang w:val="ro-MD"/>
        </w:rPr>
        <w:t xml:space="preserve"> </w:t>
      </w:r>
      <w:r w:rsidRPr="00667D04">
        <w:rPr>
          <w:sz w:val="28"/>
          <w:szCs w:val="28"/>
          <w:lang w:val="ro-MD"/>
        </w:rPr>
        <w:t xml:space="preserve">este elaborat de către Ministerul </w:t>
      </w:r>
      <w:r>
        <w:rPr>
          <w:sz w:val="28"/>
          <w:szCs w:val="28"/>
          <w:lang w:val="ro-MD"/>
        </w:rPr>
        <w:t>Finanțelor</w:t>
      </w:r>
      <w:r w:rsidR="00901403">
        <w:rPr>
          <w:sz w:val="28"/>
          <w:szCs w:val="28"/>
          <w:lang w:val="ro-MD"/>
        </w:rPr>
        <w:t>, în vederea</w:t>
      </w:r>
      <w:r w:rsidR="00901403">
        <w:rPr>
          <w:b/>
          <w:sz w:val="28"/>
          <w:szCs w:val="28"/>
          <w:lang w:val="ro-MD"/>
        </w:rPr>
        <w:t xml:space="preserve"> </w:t>
      </w:r>
      <w:r>
        <w:rPr>
          <w:sz w:val="28"/>
          <w:szCs w:val="28"/>
          <w:lang w:val="ro-MD"/>
        </w:rPr>
        <w:t>îmbunătățirii și eficientizării procesului de raportare a Declarației cu privire la impozitul pe venit pentru organizațiile necomerciale</w:t>
      </w:r>
      <w:r w:rsidR="00901403">
        <w:rPr>
          <w:sz w:val="28"/>
          <w:szCs w:val="28"/>
          <w:lang w:val="ro-MD" w:eastAsia="en-US"/>
        </w:rPr>
        <w:t xml:space="preserve"> (Forma ONG17).</w:t>
      </w:r>
    </w:p>
    <w:p w:rsidR="00647257" w:rsidRDefault="00605761" w:rsidP="00605761">
      <w:pPr>
        <w:spacing w:line="360" w:lineRule="auto"/>
        <w:ind w:firstLine="567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De asemenea, </w:t>
      </w:r>
      <w:r w:rsidR="00901403">
        <w:rPr>
          <w:sz w:val="28"/>
          <w:szCs w:val="28"/>
          <w:lang w:val="ro-MD"/>
        </w:rPr>
        <w:t>prezentul proiect</w:t>
      </w:r>
      <w:r w:rsidR="00F9028E">
        <w:rPr>
          <w:sz w:val="28"/>
          <w:szCs w:val="28"/>
          <w:lang w:val="ro-MD"/>
        </w:rPr>
        <w:t xml:space="preserve"> vine să aducă în </w:t>
      </w:r>
      <w:r w:rsidR="00F9028E">
        <w:rPr>
          <w:sz w:val="28"/>
          <w:szCs w:val="28"/>
          <w:lang w:val="ro-MD"/>
        </w:rPr>
        <w:t>corespundere</w:t>
      </w:r>
      <w:r w:rsidR="00F9028E">
        <w:rPr>
          <w:sz w:val="28"/>
          <w:szCs w:val="28"/>
          <w:lang w:val="ro-MD"/>
        </w:rPr>
        <w:t xml:space="preserve"> </w:t>
      </w:r>
      <w:r w:rsidR="00F9028E">
        <w:rPr>
          <w:sz w:val="28"/>
          <w:szCs w:val="28"/>
          <w:lang w:val="ro-MD"/>
        </w:rPr>
        <w:t>noțiunile utilizate</w:t>
      </w:r>
      <w:r w:rsidR="00F9028E">
        <w:rPr>
          <w:sz w:val="28"/>
          <w:szCs w:val="28"/>
          <w:lang w:val="ro-MD"/>
        </w:rPr>
        <w:t xml:space="preserve"> în</w:t>
      </w:r>
      <w:r w:rsidR="00901403">
        <w:rPr>
          <w:sz w:val="28"/>
          <w:szCs w:val="28"/>
          <w:lang w:val="ro-MD"/>
        </w:rPr>
        <w:t xml:space="preserve"> Declarați</w:t>
      </w:r>
      <w:r w:rsidR="00F9028E">
        <w:rPr>
          <w:sz w:val="28"/>
          <w:szCs w:val="28"/>
          <w:lang w:val="ro-MD"/>
        </w:rPr>
        <w:t>a</w:t>
      </w:r>
      <w:r w:rsidR="00901403">
        <w:rPr>
          <w:sz w:val="28"/>
          <w:szCs w:val="28"/>
          <w:lang w:val="ro-MD"/>
        </w:rPr>
        <w:t xml:space="preserve"> cu privire la impozitul pe venit pentru organizațiile necomerciale și Modul de completare al acesteia </w:t>
      </w:r>
      <w:r w:rsidR="00F9028E">
        <w:rPr>
          <w:sz w:val="28"/>
          <w:szCs w:val="28"/>
          <w:lang w:val="ro-MD"/>
        </w:rPr>
        <w:t>cu</w:t>
      </w:r>
      <w:r>
        <w:rPr>
          <w:sz w:val="28"/>
          <w:szCs w:val="28"/>
          <w:lang w:val="ro-MD"/>
        </w:rPr>
        <w:t xml:space="preserve"> Indicațiile metodice privind particularitățile contabilității în organizațiile necomerciale aprobat prin Ordinul Ministrului Finanțelor nr.188 din 30.12.2014</w:t>
      </w:r>
      <w:r w:rsidR="00647257" w:rsidRPr="00802B86">
        <w:rPr>
          <w:sz w:val="28"/>
          <w:szCs w:val="28"/>
          <w:lang w:val="ro-MD"/>
        </w:rPr>
        <w:t>.</w:t>
      </w:r>
    </w:p>
    <w:p w:rsidR="00605761" w:rsidRDefault="00901403" w:rsidP="00F9028E">
      <w:pPr>
        <w:tabs>
          <w:tab w:val="left" w:pos="709"/>
          <w:tab w:val="left" w:pos="993"/>
        </w:tabs>
        <w:spacing w:line="360" w:lineRule="auto"/>
        <w:ind w:firstLine="567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Astfel, au fost </w:t>
      </w:r>
      <w:r w:rsidR="00985C3F">
        <w:rPr>
          <w:sz w:val="28"/>
          <w:szCs w:val="28"/>
          <w:lang w:val="ro-MD"/>
        </w:rPr>
        <w:t xml:space="preserve">modificate </w:t>
      </w:r>
      <w:r>
        <w:rPr>
          <w:sz w:val="28"/>
          <w:szCs w:val="28"/>
          <w:lang w:val="ro-MD"/>
        </w:rPr>
        <w:t xml:space="preserve">noțiuni precum </w:t>
      </w:r>
      <w:r w:rsidRPr="00901403">
        <w:rPr>
          <w:i/>
          <w:sz w:val="28"/>
          <w:szCs w:val="28"/>
          <w:lang w:val="ro-MD"/>
        </w:rPr>
        <w:t>profit/pierdere</w:t>
      </w:r>
      <w:r>
        <w:rPr>
          <w:sz w:val="28"/>
          <w:szCs w:val="28"/>
          <w:lang w:val="ro-MD"/>
        </w:rPr>
        <w:t>, acestea fiind</w:t>
      </w:r>
      <w:r w:rsidR="00985C3F">
        <w:rPr>
          <w:sz w:val="28"/>
          <w:szCs w:val="28"/>
          <w:lang w:val="ro-MD"/>
        </w:rPr>
        <w:t xml:space="preserve"> înlocuite</w:t>
      </w:r>
      <w:r>
        <w:rPr>
          <w:sz w:val="28"/>
          <w:szCs w:val="28"/>
          <w:lang w:val="ro-MD"/>
        </w:rPr>
        <w:t xml:space="preserve"> cu </w:t>
      </w:r>
      <w:r w:rsidRPr="00901403">
        <w:rPr>
          <w:i/>
          <w:sz w:val="28"/>
          <w:szCs w:val="28"/>
          <w:lang w:val="ro-MD"/>
        </w:rPr>
        <w:t>excedent net/deficit net</w:t>
      </w:r>
      <w:r w:rsidR="00F9028E">
        <w:rPr>
          <w:sz w:val="28"/>
          <w:szCs w:val="28"/>
          <w:lang w:val="ro-MD"/>
        </w:rPr>
        <w:t xml:space="preserve"> de asemenea, </w:t>
      </w:r>
      <w:r w:rsidR="00F9028E" w:rsidRPr="00F9028E">
        <w:rPr>
          <w:i/>
          <w:sz w:val="28"/>
          <w:szCs w:val="28"/>
          <w:lang w:val="ro-RO"/>
        </w:rPr>
        <w:t>v</w:t>
      </w:r>
      <w:r w:rsidR="00F9028E" w:rsidRPr="00F9028E">
        <w:rPr>
          <w:i/>
          <w:sz w:val="28"/>
          <w:szCs w:val="28"/>
          <w:lang w:val="ro-RO"/>
        </w:rPr>
        <w:t>enitul scutit de impozitare</w:t>
      </w:r>
      <w:r w:rsidR="00F9028E">
        <w:rPr>
          <w:i/>
          <w:sz w:val="28"/>
          <w:szCs w:val="28"/>
          <w:lang w:val="ro-RO"/>
        </w:rPr>
        <w:t xml:space="preserve"> </w:t>
      </w:r>
      <w:r w:rsidR="00F9028E" w:rsidRPr="00F9028E">
        <w:rPr>
          <w:sz w:val="28"/>
          <w:szCs w:val="28"/>
          <w:lang w:val="ro-RO"/>
        </w:rPr>
        <w:t>se va înlocui cu</w:t>
      </w:r>
      <w:r w:rsidR="00F9028E">
        <w:rPr>
          <w:sz w:val="28"/>
          <w:szCs w:val="28"/>
          <w:lang w:val="ro-RO"/>
        </w:rPr>
        <w:t xml:space="preserve"> </w:t>
      </w:r>
      <w:r w:rsidR="00F9028E">
        <w:rPr>
          <w:i/>
          <w:sz w:val="28"/>
          <w:szCs w:val="28"/>
          <w:lang w:val="ro-RO"/>
        </w:rPr>
        <w:t xml:space="preserve"> </w:t>
      </w:r>
      <w:r w:rsidR="00F9028E" w:rsidRPr="00F9028E">
        <w:rPr>
          <w:bCs/>
          <w:i/>
          <w:sz w:val="28"/>
          <w:szCs w:val="28"/>
          <w:lang w:val="ro-RO"/>
        </w:rPr>
        <w:t>e</w:t>
      </w:r>
      <w:r w:rsidR="00F9028E" w:rsidRPr="00F9028E">
        <w:rPr>
          <w:bCs/>
          <w:i/>
          <w:sz w:val="28"/>
          <w:szCs w:val="28"/>
          <w:lang w:val="ro-RO"/>
        </w:rPr>
        <w:t>xcedentul net scutit de impozitare</w:t>
      </w:r>
      <w:r w:rsidR="00F9028E">
        <w:rPr>
          <w:bCs/>
          <w:i/>
          <w:sz w:val="28"/>
          <w:szCs w:val="28"/>
          <w:lang w:val="ro-RO"/>
        </w:rPr>
        <w:t>.</w:t>
      </w:r>
    </w:p>
    <w:p w:rsidR="00901403" w:rsidRPr="00985C3F" w:rsidRDefault="00901403" w:rsidP="00605761">
      <w:pPr>
        <w:tabs>
          <w:tab w:val="left" w:pos="709"/>
          <w:tab w:val="left" w:pos="993"/>
        </w:tabs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o-MD"/>
        </w:rPr>
        <w:t xml:space="preserve">În același timp, în vederea aducerii unor clarități privind completarea acestuia au fost expuse într-un format mai </w:t>
      </w:r>
      <w:r w:rsidR="00F9028E">
        <w:rPr>
          <w:sz w:val="28"/>
          <w:szCs w:val="28"/>
          <w:lang w:val="ro-MD"/>
        </w:rPr>
        <w:t>explicit</w:t>
      </w:r>
      <w:bookmarkStart w:id="0" w:name="_GoBack"/>
      <w:bookmarkEnd w:id="0"/>
      <w:r>
        <w:rPr>
          <w:sz w:val="28"/>
          <w:szCs w:val="28"/>
          <w:lang w:val="ro-MD"/>
        </w:rPr>
        <w:t xml:space="preserve"> metodologia de completare.</w:t>
      </w:r>
    </w:p>
    <w:p w:rsidR="00647257" w:rsidRPr="00667D04" w:rsidRDefault="00647257" w:rsidP="00647257">
      <w:pPr>
        <w:tabs>
          <w:tab w:val="left" w:pos="709"/>
        </w:tabs>
        <w:jc w:val="both"/>
        <w:rPr>
          <w:sz w:val="28"/>
          <w:szCs w:val="28"/>
          <w:lang w:val="ro-MD"/>
        </w:rPr>
      </w:pPr>
    </w:p>
    <w:p w:rsidR="00647257" w:rsidRPr="00667D04" w:rsidRDefault="00647257" w:rsidP="00647257">
      <w:pPr>
        <w:ind w:firstLine="708"/>
        <w:jc w:val="center"/>
        <w:rPr>
          <w:b/>
          <w:sz w:val="28"/>
          <w:szCs w:val="28"/>
          <w:lang w:val="ro-MD"/>
        </w:rPr>
      </w:pPr>
    </w:p>
    <w:tbl>
      <w:tblPr>
        <w:tblW w:w="10330" w:type="dxa"/>
        <w:tblLook w:val="04A0" w:firstRow="1" w:lastRow="0" w:firstColumn="1" w:lastColumn="0" w:noHBand="0" w:noVBand="1"/>
      </w:tblPr>
      <w:tblGrid>
        <w:gridCol w:w="5404"/>
        <w:gridCol w:w="2059"/>
        <w:gridCol w:w="2867"/>
      </w:tblGrid>
      <w:tr w:rsidR="00647257" w:rsidRPr="00F9028E" w:rsidTr="0006140B">
        <w:trPr>
          <w:trHeight w:val="312"/>
        </w:trPr>
        <w:tc>
          <w:tcPr>
            <w:tcW w:w="5404" w:type="dxa"/>
            <w:hideMark/>
          </w:tcPr>
          <w:p w:rsidR="00647257" w:rsidRPr="00327BAF" w:rsidRDefault="00647257" w:rsidP="0006140B">
            <w:pPr>
              <w:rPr>
                <w:b/>
                <w:sz w:val="28"/>
                <w:szCs w:val="28"/>
                <w:lang w:val="ro-RO"/>
              </w:rPr>
            </w:pPr>
            <w:r w:rsidRPr="00327BAF">
              <w:rPr>
                <w:b/>
                <w:sz w:val="28"/>
                <w:szCs w:val="28"/>
                <w:lang w:val="ro-RO"/>
              </w:rPr>
              <w:t xml:space="preserve">Șef al Direcției Politici Fiscale și Vamale </w:t>
            </w:r>
          </w:p>
        </w:tc>
        <w:tc>
          <w:tcPr>
            <w:tcW w:w="2059" w:type="dxa"/>
          </w:tcPr>
          <w:p w:rsidR="00647257" w:rsidRPr="00327BAF" w:rsidRDefault="00647257" w:rsidP="0006140B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867" w:type="dxa"/>
          </w:tcPr>
          <w:p w:rsidR="00647257" w:rsidRPr="00327BAF" w:rsidRDefault="00647257" w:rsidP="0006140B">
            <w:pPr>
              <w:rPr>
                <w:b/>
                <w:sz w:val="28"/>
                <w:szCs w:val="28"/>
                <w:lang w:val="ro-RO"/>
              </w:rPr>
            </w:pPr>
          </w:p>
        </w:tc>
      </w:tr>
      <w:tr w:rsidR="00647257" w:rsidRPr="00327BAF" w:rsidTr="0006140B">
        <w:trPr>
          <w:trHeight w:val="645"/>
        </w:trPr>
        <w:tc>
          <w:tcPr>
            <w:tcW w:w="5404" w:type="dxa"/>
            <w:hideMark/>
          </w:tcPr>
          <w:p w:rsidR="00647257" w:rsidRPr="00327BAF" w:rsidRDefault="00647257" w:rsidP="0006140B">
            <w:pPr>
              <w:rPr>
                <w:b/>
                <w:i/>
                <w:sz w:val="28"/>
                <w:szCs w:val="28"/>
                <w:lang w:val="ro-RO"/>
              </w:rPr>
            </w:pPr>
            <w:r w:rsidRPr="00327BAF">
              <w:rPr>
                <w:b/>
                <w:i/>
                <w:sz w:val="28"/>
                <w:szCs w:val="28"/>
                <w:lang w:val="ro-RO"/>
              </w:rPr>
              <w:t xml:space="preserve">împuternicit cu exercitarea sarcinilor funcției de Secretar de Stat                                                </w:t>
            </w:r>
          </w:p>
        </w:tc>
        <w:tc>
          <w:tcPr>
            <w:tcW w:w="2059" w:type="dxa"/>
            <w:hideMark/>
          </w:tcPr>
          <w:p w:rsidR="00647257" w:rsidRPr="00327BAF" w:rsidRDefault="00647257" w:rsidP="0006140B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867" w:type="dxa"/>
          </w:tcPr>
          <w:p w:rsidR="00647257" w:rsidRPr="00327BAF" w:rsidRDefault="00647257" w:rsidP="0006140B">
            <w:pPr>
              <w:rPr>
                <w:sz w:val="28"/>
                <w:szCs w:val="28"/>
                <w:lang w:val="ro-RO"/>
              </w:rPr>
            </w:pPr>
            <w:r w:rsidRPr="00327BAF">
              <w:rPr>
                <w:b/>
                <w:sz w:val="28"/>
                <w:szCs w:val="28"/>
                <w:lang w:val="ro-RO"/>
              </w:rPr>
              <w:t>Dorel NOROC</w:t>
            </w:r>
          </w:p>
          <w:p w:rsidR="00647257" w:rsidRPr="00327BAF" w:rsidRDefault="00647257" w:rsidP="0006140B">
            <w:pPr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5051EF" w:rsidRDefault="005051EF"/>
    <w:sectPr w:rsidR="005051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1A"/>
    <w:rsid w:val="005051EF"/>
    <w:rsid w:val="00605761"/>
    <w:rsid w:val="00647257"/>
    <w:rsid w:val="0076351A"/>
    <w:rsid w:val="00901403"/>
    <w:rsid w:val="00985C3F"/>
    <w:rsid w:val="00F9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0FF39"/>
  <w15:chartTrackingRefBased/>
  <w15:docId w15:val="{51B6A6B8-20D1-40A9-9A26-7B7090DE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647257"/>
    <w:pPr>
      <w:spacing w:after="160" w:line="240" w:lineRule="exact"/>
    </w:pPr>
    <w:rPr>
      <w:rFonts w:ascii="Arial" w:eastAsia="Batang" w:hAnsi="Arial" w:cs="Arial"/>
      <w:lang w:val="en-US" w:eastAsia="en-US"/>
    </w:rPr>
  </w:style>
  <w:style w:type="character" w:customStyle="1" w:styleId="docheader">
    <w:name w:val="doc_header"/>
    <w:rsid w:val="0064725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0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Padure Cristina</dc:creator>
  <cp:keywords/>
  <dc:description/>
  <cp:lastModifiedBy>Padure Cristina</cp:lastModifiedBy>
  <cp:revision>5</cp:revision>
  <cp:lastPrinted>2019-02-21T08:27:00Z</cp:lastPrinted>
  <dcterms:created xsi:type="dcterms:W3CDTF">2019-02-21T08:10:00Z</dcterms:created>
  <dcterms:modified xsi:type="dcterms:W3CDTF">2019-02-21T12:45:00Z</dcterms:modified>
</cp:coreProperties>
</file>