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D7B2" w14:textId="77777777" w:rsidR="00C77B3E" w:rsidRPr="002E293B" w:rsidRDefault="00C77B3E" w:rsidP="00C77B3E">
      <w:pPr>
        <w:jc w:val="center"/>
        <w:rPr>
          <w:b/>
          <w:sz w:val="36"/>
          <w:szCs w:val="36"/>
          <w:lang w:val="ru-RU"/>
        </w:rPr>
      </w:pPr>
    </w:p>
    <w:p w14:paraId="26FC7692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3E5D8DA4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260F94D0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3ECCA6EF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4C2D0194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75A27409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744A8556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69EA2F0C" w14:textId="77777777" w:rsidR="00C77B3E" w:rsidRPr="002E293B" w:rsidRDefault="00C77B3E" w:rsidP="00C77B3E">
      <w:pPr>
        <w:jc w:val="center"/>
        <w:rPr>
          <w:b/>
          <w:sz w:val="36"/>
          <w:szCs w:val="36"/>
        </w:rPr>
      </w:pPr>
    </w:p>
    <w:p w14:paraId="581BD479" w14:textId="3A6098DA" w:rsidR="00C77B3E" w:rsidRPr="002E293B" w:rsidRDefault="00E10925" w:rsidP="00C77B3E">
      <w:pPr>
        <w:jc w:val="center"/>
        <w:rPr>
          <w:sz w:val="36"/>
          <w:szCs w:val="36"/>
          <w:lang w:val="ru-RU"/>
        </w:rPr>
      </w:pPr>
      <w:r w:rsidRPr="002E293B">
        <w:rPr>
          <w:b/>
          <w:sz w:val="36"/>
          <w:szCs w:val="36"/>
          <w:lang w:val="ru-RU"/>
        </w:rPr>
        <w:t>Соглашения о финансировании</w:t>
      </w:r>
      <w:r w:rsidR="00A460EC" w:rsidRPr="002E293B">
        <w:rPr>
          <w:b/>
          <w:sz w:val="36"/>
          <w:szCs w:val="36"/>
          <w:lang w:val="ru-RU"/>
        </w:rPr>
        <w:t xml:space="preserve"> поставок</w:t>
      </w:r>
      <w:r w:rsidRPr="002E293B">
        <w:rPr>
          <w:b/>
          <w:sz w:val="36"/>
          <w:szCs w:val="36"/>
          <w:lang w:val="ru-RU"/>
        </w:rPr>
        <w:t xml:space="preserve"> </w:t>
      </w:r>
      <w:r w:rsidR="00C77B3E" w:rsidRPr="002E293B">
        <w:rPr>
          <w:sz w:val="36"/>
          <w:szCs w:val="36"/>
          <w:lang w:val="ru-RU"/>
        </w:rPr>
        <w:br/>
      </w:r>
      <w:r w:rsidR="00C77B3E" w:rsidRPr="002E293B">
        <w:rPr>
          <w:sz w:val="36"/>
          <w:szCs w:val="36"/>
          <w:lang w:val="ru-RU"/>
        </w:rPr>
        <w:br/>
      </w:r>
      <w:r w:rsidRPr="002E293B">
        <w:rPr>
          <w:sz w:val="36"/>
          <w:szCs w:val="36"/>
          <w:lang w:val="ru-RU"/>
        </w:rPr>
        <w:t>Поправки к МСФО (</w:t>
      </w:r>
      <w:r w:rsidR="00C77B3E" w:rsidRPr="002E293B">
        <w:rPr>
          <w:sz w:val="36"/>
          <w:szCs w:val="36"/>
        </w:rPr>
        <w:t>IAS</w:t>
      </w:r>
      <w:r w:rsidRPr="002E293B">
        <w:rPr>
          <w:sz w:val="36"/>
          <w:szCs w:val="36"/>
          <w:lang w:val="ru-RU"/>
        </w:rPr>
        <w:t>) </w:t>
      </w:r>
      <w:r w:rsidR="00C77B3E" w:rsidRPr="002E293B">
        <w:rPr>
          <w:sz w:val="36"/>
          <w:szCs w:val="36"/>
          <w:lang w:val="ru-RU"/>
        </w:rPr>
        <w:t xml:space="preserve">7 </w:t>
      </w:r>
      <w:r w:rsidRPr="002E293B">
        <w:rPr>
          <w:sz w:val="36"/>
          <w:szCs w:val="36"/>
          <w:lang w:val="ru-RU"/>
        </w:rPr>
        <w:t>и МСФО (IFRS) </w:t>
      </w:r>
      <w:r w:rsidR="00C77B3E" w:rsidRPr="002E293B">
        <w:rPr>
          <w:sz w:val="36"/>
          <w:szCs w:val="36"/>
          <w:lang w:val="ru-RU"/>
        </w:rPr>
        <w:t>7</w:t>
      </w:r>
    </w:p>
    <w:p w14:paraId="3EB2FC20" w14:textId="77777777" w:rsidR="0079245D" w:rsidRPr="002E293B" w:rsidRDefault="0079245D">
      <w:pPr>
        <w:rPr>
          <w:lang w:val="ru-RU"/>
        </w:rPr>
        <w:sectPr w:rsidR="0079245D" w:rsidRPr="002E293B">
          <w:headerReference w:type="even" r:id="rId11"/>
          <w:headerReference w:type="default" r:id="rId12"/>
          <w:footerReference w:type="even" r:id="rId13"/>
          <w:footerReference w:type="default" r:id="rId14"/>
          <w:type w:val="oddPage"/>
          <w:pgSz w:w="11880" w:h="16820"/>
          <w:pgMar w:top="1440" w:right="1440" w:bottom="1440" w:left="1440" w:header="720" w:footer="720" w:gutter="0"/>
          <w:cols w:space="720"/>
        </w:sectPr>
      </w:pPr>
    </w:p>
    <w:p w14:paraId="737F2D1E" w14:textId="77777777" w:rsidR="0079245D" w:rsidRPr="002E293B" w:rsidRDefault="004E7573">
      <w:pPr>
        <w:pStyle w:val="IASBSectionTitle1NonInd"/>
        <w:rPr>
          <w:lang w:val="ru-RU"/>
        </w:rPr>
      </w:pPr>
      <w:r w:rsidRPr="002E293B">
        <w:rPr>
          <w:lang w:val="ru-RU"/>
        </w:rPr>
        <w:lastRenderedPageBreak/>
        <w:t>Поправки к МСФО</w:t>
      </w:r>
      <w:r w:rsidRPr="002E293B">
        <w:t> </w:t>
      </w:r>
      <w:r w:rsidRPr="002E293B">
        <w:rPr>
          <w:lang w:val="ru-RU"/>
        </w:rPr>
        <w:t>(</w:t>
      </w:r>
      <w:r w:rsidRPr="002E293B">
        <w:t>IAS</w:t>
      </w:r>
      <w:r w:rsidRPr="002E293B">
        <w:rPr>
          <w:lang w:val="ru-RU"/>
        </w:rPr>
        <w:t>)</w:t>
      </w:r>
      <w:r w:rsidRPr="002E293B">
        <w:t> </w:t>
      </w:r>
      <w:r w:rsidR="00C77B3E" w:rsidRPr="002E293B">
        <w:rPr>
          <w:lang w:val="ru-RU"/>
        </w:rPr>
        <w:t xml:space="preserve">7 </w:t>
      </w:r>
      <w:r w:rsidRPr="002E293B">
        <w:rPr>
          <w:i/>
          <w:lang w:val="ru-RU"/>
        </w:rPr>
        <w:t>«Отчет о движении денежных средств»</w:t>
      </w:r>
    </w:p>
    <w:p w14:paraId="70F2BB67" w14:textId="77777777" w:rsidR="0079245D" w:rsidRPr="002E293B" w:rsidRDefault="0079245D">
      <w:pPr>
        <w:pStyle w:val="IASBNormalnpara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2E293B" w:rsidRPr="002E293B" w14:paraId="1018FF3E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2B0C40A7" w14:textId="0A8A5215" w:rsidR="0079245D" w:rsidRPr="002E293B" w:rsidRDefault="00A669B5" w:rsidP="005D3F4A">
            <w:pPr>
              <w:pStyle w:val="IASBTableArial"/>
              <w:rPr>
                <w:lang w:val="ru-RU"/>
              </w:rPr>
            </w:pPr>
            <w:r w:rsidRPr="002E293B">
              <w:rPr>
                <w:lang w:val="ru-RU"/>
              </w:rPr>
              <w:t>Добавлены п</w:t>
            </w:r>
            <w:r w:rsidR="004E7573" w:rsidRPr="002E293B">
              <w:rPr>
                <w:lang w:val="ru-RU"/>
              </w:rPr>
              <w:t>ункты 44</w:t>
            </w:r>
            <w:r w:rsidR="004E7573" w:rsidRPr="002E293B">
              <w:t>F</w:t>
            </w:r>
            <w:r w:rsidR="004E7573" w:rsidRPr="002E293B">
              <w:rPr>
                <w:lang w:val="ru-RU"/>
              </w:rPr>
              <w:t>–44</w:t>
            </w:r>
            <w:r w:rsidR="004E7573" w:rsidRPr="002E293B">
              <w:t>H</w:t>
            </w:r>
            <w:r w:rsidR="004E7573" w:rsidRPr="002E293B">
              <w:rPr>
                <w:lang w:val="ru-RU"/>
              </w:rPr>
              <w:t xml:space="preserve"> и соответствующие заголовки к ним, а также пункт</w:t>
            </w:r>
            <w:r w:rsidR="004D790A" w:rsidRPr="002E293B">
              <w:rPr>
                <w:lang w:val="ru-RU"/>
              </w:rPr>
              <w:t>ы</w:t>
            </w:r>
            <w:r w:rsidR="004E7573" w:rsidRPr="002E293B">
              <w:rPr>
                <w:lang w:val="ru-RU"/>
              </w:rPr>
              <w:t xml:space="preserve"> </w:t>
            </w:r>
            <w:r w:rsidR="004D790A" w:rsidRPr="002E293B">
              <w:rPr>
                <w:lang w:val="ru-RU"/>
              </w:rPr>
              <w:t>62–63</w:t>
            </w:r>
            <w:r w:rsidR="004E7573" w:rsidRPr="002E293B">
              <w:rPr>
                <w:lang w:val="ru-RU"/>
              </w:rPr>
              <w:t>.</w:t>
            </w:r>
            <w:r w:rsidR="004D790A" w:rsidRPr="002E293B">
              <w:rPr>
                <w:lang w:val="ru-RU"/>
              </w:rPr>
              <w:t xml:space="preserve"> </w:t>
            </w:r>
            <w:r w:rsidR="005D3F4A" w:rsidRPr="002E293B">
              <w:rPr>
                <w:lang w:val="ru-RU"/>
              </w:rPr>
              <w:t>Для удобства чтения данные пункты и заголовки к ним не были подчеркнуты</w:t>
            </w:r>
            <w:r w:rsidR="00C77B3E" w:rsidRPr="002E293B">
              <w:rPr>
                <w:lang w:val="ru-RU"/>
              </w:rPr>
              <w:t xml:space="preserve">. </w:t>
            </w:r>
            <w:r w:rsidR="005D3F4A" w:rsidRPr="002E293B">
              <w:rPr>
                <w:lang w:val="ru-RU"/>
              </w:rPr>
              <w:t>В заголовок перед пунктом 53 внесены изменения. Новый текст в этом заголовке подчеркнут.</w:t>
            </w:r>
          </w:p>
        </w:tc>
      </w:tr>
    </w:tbl>
    <w:p w14:paraId="2A04A652" w14:textId="77777777" w:rsidR="0079245D" w:rsidRPr="002E293B" w:rsidRDefault="0079245D">
      <w:pPr>
        <w:pStyle w:val="IASBNormalnpara"/>
        <w:rPr>
          <w:lang w:val="ru-RU"/>
        </w:rPr>
      </w:pPr>
    </w:p>
    <w:p w14:paraId="0F6D657E" w14:textId="034C104D" w:rsidR="0079245D" w:rsidRPr="002E293B" w:rsidRDefault="005D3F4A">
      <w:pPr>
        <w:pStyle w:val="IASBSectionTitle1NonInd"/>
        <w:rPr>
          <w:lang w:val="ru-RU"/>
        </w:rPr>
      </w:pPr>
      <w:r w:rsidRPr="002E293B">
        <w:rPr>
          <w:lang w:val="ru-RU"/>
        </w:rPr>
        <w:t xml:space="preserve">Соглашения о финансировании </w:t>
      </w:r>
      <w:r w:rsidR="008D36BD" w:rsidRPr="002E293B">
        <w:rPr>
          <w:lang w:val="ru-RU"/>
        </w:rPr>
        <w:t>поставок</w:t>
      </w:r>
    </w:p>
    <w:p w14:paraId="72DB541C" w14:textId="3BD98EE6" w:rsidR="0079245D" w:rsidRPr="002E293B" w:rsidRDefault="00C77B3E">
      <w:pPr>
        <w:pStyle w:val="IASBNormalnpara"/>
        <w:rPr>
          <w:lang w:val="ru-RU"/>
        </w:rPr>
      </w:pPr>
      <w:r w:rsidRPr="002E293B">
        <w:rPr>
          <w:b/>
          <w:lang w:val="ru-RU"/>
        </w:rPr>
        <w:t>44</w:t>
      </w:r>
      <w:r w:rsidRPr="002E293B">
        <w:rPr>
          <w:b/>
        </w:rPr>
        <w:t>F</w:t>
      </w:r>
      <w:r w:rsidRPr="002E293B">
        <w:rPr>
          <w:lang w:val="ru-RU"/>
        </w:rPr>
        <w:tab/>
      </w:r>
      <w:r w:rsidR="0003641A" w:rsidRPr="002E293B">
        <w:rPr>
          <w:b/>
          <w:lang w:val="ru-RU"/>
        </w:rPr>
        <w:t>Организация должна раскрывать информацию</w:t>
      </w:r>
      <w:r w:rsidR="0001006C" w:rsidRPr="002E293B">
        <w:rPr>
          <w:b/>
          <w:lang w:val="ru-RU"/>
        </w:rPr>
        <w:t xml:space="preserve"> </w:t>
      </w:r>
      <w:r w:rsidR="00036822" w:rsidRPr="002E293B">
        <w:rPr>
          <w:b/>
          <w:lang w:val="ru-RU"/>
        </w:rPr>
        <w:t xml:space="preserve">о своих соглашениях </w:t>
      </w:r>
      <w:r w:rsidR="0001006C" w:rsidRPr="002E293B">
        <w:rPr>
          <w:b/>
          <w:lang w:val="ru-RU"/>
        </w:rPr>
        <w:t xml:space="preserve">о финансировании </w:t>
      </w:r>
      <w:r w:rsidR="008D36BD" w:rsidRPr="002E293B">
        <w:rPr>
          <w:b/>
          <w:lang w:val="ru-RU"/>
        </w:rPr>
        <w:t>поставок</w:t>
      </w:r>
      <w:r w:rsidR="0001006C" w:rsidRPr="002E293B">
        <w:rPr>
          <w:b/>
          <w:lang w:val="ru-RU"/>
        </w:rPr>
        <w:t xml:space="preserve"> (как описано в пункте 44</w:t>
      </w:r>
      <w:r w:rsidR="0001006C" w:rsidRPr="002E293B">
        <w:rPr>
          <w:b/>
        </w:rPr>
        <w:t>G</w:t>
      </w:r>
      <w:r w:rsidR="0001006C" w:rsidRPr="002E293B">
        <w:rPr>
          <w:b/>
          <w:lang w:val="ru-RU"/>
        </w:rPr>
        <w:t>)</w:t>
      </w:r>
      <w:r w:rsidR="0003641A" w:rsidRPr="002E293B">
        <w:rPr>
          <w:b/>
          <w:lang w:val="ru-RU"/>
        </w:rPr>
        <w:t xml:space="preserve">, позволяющую пользователям финансовой отчетности оценить </w:t>
      </w:r>
      <w:r w:rsidR="0001006C" w:rsidRPr="002E293B">
        <w:rPr>
          <w:b/>
          <w:lang w:val="ru-RU"/>
        </w:rPr>
        <w:t xml:space="preserve">влияние таких соглашений на обязательства и денежные потоки организации, а также на </w:t>
      </w:r>
      <w:r w:rsidR="008D10CE" w:rsidRPr="002E293B">
        <w:rPr>
          <w:b/>
          <w:lang w:val="ru-RU"/>
        </w:rPr>
        <w:t>подверженность организации риску ликвидности.</w:t>
      </w:r>
    </w:p>
    <w:p w14:paraId="63369EFF" w14:textId="562ED481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>44</w:t>
      </w:r>
      <w:r w:rsidRPr="002E293B">
        <w:t>G</w:t>
      </w:r>
      <w:r w:rsidRPr="002E293B">
        <w:rPr>
          <w:lang w:val="ru-RU"/>
        </w:rPr>
        <w:tab/>
      </w:r>
      <w:r w:rsidR="0014389F" w:rsidRPr="002E293B">
        <w:t>C</w:t>
      </w:r>
      <w:r w:rsidR="00D40354" w:rsidRPr="002E293B">
        <w:rPr>
          <w:lang w:val="ru-RU"/>
        </w:rPr>
        <w:t>оглашени</w:t>
      </w:r>
      <w:r w:rsidR="000D393E" w:rsidRPr="002E293B">
        <w:rPr>
          <w:lang w:val="ru-RU"/>
        </w:rPr>
        <w:t>я</w:t>
      </w:r>
      <w:r w:rsidR="00D40354" w:rsidRPr="002E293B">
        <w:rPr>
          <w:lang w:val="ru-RU"/>
        </w:rPr>
        <w:t xml:space="preserve"> о финансировании </w:t>
      </w:r>
      <w:r w:rsidR="008D36BD" w:rsidRPr="002E293B">
        <w:rPr>
          <w:lang w:val="ru-RU"/>
        </w:rPr>
        <w:t>поставок</w:t>
      </w:r>
      <w:r w:rsidR="00D40354" w:rsidRPr="002E293B">
        <w:rPr>
          <w:lang w:val="ru-RU"/>
        </w:rPr>
        <w:t xml:space="preserve"> </w:t>
      </w:r>
      <w:r w:rsidR="000D393E" w:rsidRPr="002E293B">
        <w:rPr>
          <w:lang w:val="ru-RU"/>
        </w:rPr>
        <w:t>характеризу</w:t>
      </w:r>
      <w:r w:rsidR="00FC4573" w:rsidRPr="002E293B">
        <w:rPr>
          <w:lang w:val="ru-RU"/>
        </w:rPr>
        <w:t>ю</w:t>
      </w:r>
      <w:r w:rsidR="00D62E06" w:rsidRPr="002E293B">
        <w:rPr>
          <w:lang w:val="ru-RU"/>
        </w:rPr>
        <w:t>т</w:t>
      </w:r>
      <w:r w:rsidR="000D393E" w:rsidRPr="002E293B">
        <w:rPr>
          <w:lang w:val="ru-RU"/>
        </w:rPr>
        <w:t xml:space="preserve">ся наличием предложения </w:t>
      </w:r>
      <w:r w:rsidR="001242AD" w:rsidRPr="002E293B">
        <w:rPr>
          <w:lang w:val="ru-RU"/>
        </w:rPr>
        <w:t>от</w:t>
      </w:r>
      <w:r w:rsidR="000D393E" w:rsidRPr="002E293B">
        <w:rPr>
          <w:lang w:val="ru-RU"/>
        </w:rPr>
        <w:t xml:space="preserve"> </w:t>
      </w:r>
      <w:r w:rsidR="00D40354" w:rsidRPr="002E293B">
        <w:rPr>
          <w:lang w:val="ru-RU"/>
        </w:rPr>
        <w:t>одн</w:t>
      </w:r>
      <w:r w:rsidR="00EB448D" w:rsidRPr="002E293B">
        <w:rPr>
          <w:lang w:val="ru-RU"/>
        </w:rPr>
        <w:t>о</w:t>
      </w:r>
      <w:r w:rsidR="001242AD" w:rsidRPr="002E293B">
        <w:rPr>
          <w:lang w:val="ru-RU"/>
        </w:rPr>
        <w:t>й</w:t>
      </w:r>
      <w:r w:rsidR="00D40354" w:rsidRPr="002E293B">
        <w:rPr>
          <w:lang w:val="ru-RU"/>
        </w:rPr>
        <w:t xml:space="preserve"> или нескольк</w:t>
      </w:r>
      <w:r w:rsidR="00EB448D" w:rsidRPr="002E293B">
        <w:rPr>
          <w:lang w:val="ru-RU"/>
        </w:rPr>
        <w:t>их</w:t>
      </w:r>
      <w:r w:rsidR="00D40354" w:rsidRPr="002E293B">
        <w:rPr>
          <w:lang w:val="ru-RU"/>
        </w:rPr>
        <w:t xml:space="preserve"> </w:t>
      </w:r>
      <w:r w:rsidR="001242AD" w:rsidRPr="002E293B">
        <w:rPr>
          <w:lang w:val="ru-RU"/>
        </w:rPr>
        <w:t xml:space="preserve">сторон, предоставляющих финансирование, </w:t>
      </w:r>
      <w:r w:rsidR="0072365C" w:rsidRPr="002E293B">
        <w:rPr>
          <w:lang w:val="ru-RU"/>
        </w:rPr>
        <w:t>оплатить суммы задолженности организации перед ее поставщиками</w:t>
      </w:r>
      <w:r w:rsidR="00A26B01" w:rsidRPr="002E293B">
        <w:rPr>
          <w:lang w:val="ru-RU"/>
        </w:rPr>
        <w:t xml:space="preserve"> и согласи</w:t>
      </w:r>
      <w:r w:rsidR="000D393E" w:rsidRPr="002E293B">
        <w:rPr>
          <w:lang w:val="ru-RU"/>
        </w:rPr>
        <w:t>я</w:t>
      </w:r>
      <w:r w:rsidR="0044143B" w:rsidRPr="002E293B">
        <w:rPr>
          <w:lang w:val="ru-RU"/>
        </w:rPr>
        <w:t xml:space="preserve"> </w:t>
      </w:r>
      <w:r w:rsidR="00A26B01" w:rsidRPr="002E293B">
        <w:rPr>
          <w:lang w:val="ru-RU"/>
        </w:rPr>
        <w:t xml:space="preserve">данной </w:t>
      </w:r>
      <w:r w:rsidR="0044143B" w:rsidRPr="002E293B">
        <w:rPr>
          <w:lang w:val="ru-RU"/>
        </w:rPr>
        <w:t>организаци</w:t>
      </w:r>
      <w:r w:rsidR="00A26B01" w:rsidRPr="002E293B">
        <w:rPr>
          <w:lang w:val="ru-RU"/>
        </w:rPr>
        <w:t>и</w:t>
      </w:r>
      <w:r w:rsidR="0044143B" w:rsidRPr="002E293B">
        <w:rPr>
          <w:lang w:val="ru-RU"/>
        </w:rPr>
        <w:t xml:space="preserve"> осуществить выплаты </w:t>
      </w:r>
      <w:r w:rsidR="006C0ADA" w:rsidRPr="002E293B">
        <w:rPr>
          <w:lang w:val="ru-RU"/>
        </w:rPr>
        <w:t xml:space="preserve">в соответствии с условиями </w:t>
      </w:r>
      <w:r w:rsidR="003F6DFE" w:rsidRPr="002E293B">
        <w:rPr>
          <w:lang w:val="ru-RU"/>
        </w:rPr>
        <w:t xml:space="preserve">указанных </w:t>
      </w:r>
      <w:r w:rsidR="006C0ADA" w:rsidRPr="002E293B">
        <w:rPr>
          <w:lang w:val="ru-RU"/>
        </w:rPr>
        <w:t>соглашений</w:t>
      </w:r>
      <w:r w:rsidR="0072365C" w:rsidRPr="002E293B">
        <w:rPr>
          <w:lang w:val="ru-RU"/>
        </w:rPr>
        <w:t xml:space="preserve"> </w:t>
      </w:r>
      <w:r w:rsidR="003F6DFE" w:rsidRPr="002E293B">
        <w:rPr>
          <w:lang w:val="ru-RU"/>
        </w:rPr>
        <w:t xml:space="preserve">в тот же день, в который поставщики </w:t>
      </w:r>
      <w:r w:rsidR="00FC4573" w:rsidRPr="002E293B">
        <w:rPr>
          <w:lang w:val="ru-RU"/>
        </w:rPr>
        <w:t>получат о</w:t>
      </w:r>
      <w:r w:rsidR="003F6DFE" w:rsidRPr="002E293B">
        <w:rPr>
          <w:lang w:val="ru-RU"/>
        </w:rPr>
        <w:t xml:space="preserve">плату, </w:t>
      </w:r>
      <w:r w:rsidR="006C0ADA" w:rsidRPr="002E293B">
        <w:rPr>
          <w:lang w:val="ru-RU"/>
        </w:rPr>
        <w:t>или</w:t>
      </w:r>
      <w:r w:rsidR="002B4AD2" w:rsidRPr="002E293B">
        <w:rPr>
          <w:lang w:val="ru-RU"/>
        </w:rPr>
        <w:t xml:space="preserve"> по</w:t>
      </w:r>
      <w:r w:rsidR="0067036F" w:rsidRPr="002E293B">
        <w:rPr>
          <w:lang w:val="ru-RU"/>
        </w:rPr>
        <w:t>сле</w:t>
      </w:r>
      <w:r w:rsidR="002B4AD2" w:rsidRPr="002E293B">
        <w:rPr>
          <w:lang w:val="ru-RU"/>
        </w:rPr>
        <w:t xml:space="preserve"> этой даты</w:t>
      </w:r>
      <w:r w:rsidR="006C0ADA" w:rsidRPr="002E293B">
        <w:rPr>
          <w:lang w:val="ru-RU"/>
        </w:rPr>
        <w:t xml:space="preserve">. </w:t>
      </w:r>
      <w:r w:rsidR="00E70474" w:rsidRPr="002E293B">
        <w:rPr>
          <w:lang w:val="ru-RU"/>
        </w:rPr>
        <w:t xml:space="preserve">Такие соглашения </w:t>
      </w:r>
      <w:r w:rsidR="00E316E3" w:rsidRPr="002E293B">
        <w:rPr>
          <w:lang w:val="ru-RU"/>
        </w:rPr>
        <w:t>обеспечивают</w:t>
      </w:r>
      <w:r w:rsidR="00566A80" w:rsidRPr="002E293B">
        <w:rPr>
          <w:lang w:val="ru-RU"/>
        </w:rPr>
        <w:t xml:space="preserve"> </w:t>
      </w:r>
      <w:r w:rsidR="00E70474" w:rsidRPr="002E293B">
        <w:rPr>
          <w:lang w:val="ru-RU"/>
        </w:rPr>
        <w:t>продлени</w:t>
      </w:r>
      <w:r w:rsidR="001B351C" w:rsidRPr="002E293B">
        <w:rPr>
          <w:lang w:val="ru-RU"/>
        </w:rPr>
        <w:t>е</w:t>
      </w:r>
      <w:r w:rsidR="00E70474" w:rsidRPr="002E293B">
        <w:rPr>
          <w:lang w:val="ru-RU"/>
        </w:rPr>
        <w:t xml:space="preserve"> сроков оплаты для организации </w:t>
      </w:r>
      <w:r w:rsidR="003F6DFE" w:rsidRPr="002E293B">
        <w:rPr>
          <w:lang w:val="ru-RU"/>
        </w:rPr>
        <w:t>или обеспечивают ее поставщикам возможность получить оплату раньше того</w:t>
      </w:r>
      <w:r w:rsidR="00566A80" w:rsidRPr="002E293B">
        <w:rPr>
          <w:lang w:val="ru-RU"/>
        </w:rPr>
        <w:t xml:space="preserve"> срок</w:t>
      </w:r>
      <w:r w:rsidR="003F6DFE" w:rsidRPr="002E293B">
        <w:rPr>
          <w:lang w:val="ru-RU"/>
        </w:rPr>
        <w:t xml:space="preserve">а, который предусмотрен </w:t>
      </w:r>
      <w:r w:rsidR="00566A80" w:rsidRPr="002E293B">
        <w:rPr>
          <w:lang w:val="ru-RU"/>
        </w:rPr>
        <w:t>соответствующ</w:t>
      </w:r>
      <w:r w:rsidR="003F6DFE" w:rsidRPr="002E293B">
        <w:rPr>
          <w:lang w:val="ru-RU"/>
        </w:rPr>
        <w:t xml:space="preserve">им </w:t>
      </w:r>
      <w:r w:rsidR="00566A80" w:rsidRPr="002E293B">
        <w:rPr>
          <w:lang w:val="ru-RU"/>
        </w:rPr>
        <w:t>счет</w:t>
      </w:r>
      <w:r w:rsidR="003F6DFE" w:rsidRPr="002E293B">
        <w:rPr>
          <w:lang w:val="ru-RU"/>
        </w:rPr>
        <w:t>ом на оплату</w:t>
      </w:r>
      <w:r w:rsidR="00566A80" w:rsidRPr="002E293B">
        <w:rPr>
          <w:lang w:val="ru-RU"/>
        </w:rPr>
        <w:t xml:space="preserve">. Соглашения о финансировании </w:t>
      </w:r>
      <w:r w:rsidR="00363241" w:rsidRPr="002E293B">
        <w:rPr>
          <w:lang w:val="ru-RU"/>
        </w:rPr>
        <w:t>поставок</w:t>
      </w:r>
      <w:r w:rsidR="000D393E" w:rsidRPr="002E293B">
        <w:rPr>
          <w:lang w:val="ru-RU"/>
        </w:rPr>
        <w:t xml:space="preserve"> </w:t>
      </w:r>
      <w:r w:rsidR="00566A80" w:rsidRPr="002E293B">
        <w:rPr>
          <w:lang w:val="ru-RU"/>
        </w:rPr>
        <w:t xml:space="preserve">зачастую называются </w:t>
      </w:r>
      <w:r w:rsidR="0090494B" w:rsidRPr="002E293B">
        <w:rPr>
          <w:lang w:val="ru-RU"/>
        </w:rPr>
        <w:t>механизмами</w:t>
      </w:r>
      <w:r w:rsidR="00AE70FB" w:rsidRPr="002E293B">
        <w:rPr>
          <w:lang w:val="ru-RU"/>
        </w:rPr>
        <w:t xml:space="preserve"> финансировани</w:t>
      </w:r>
      <w:r w:rsidR="0090494B" w:rsidRPr="002E293B">
        <w:rPr>
          <w:lang w:val="ru-RU"/>
        </w:rPr>
        <w:t>я</w:t>
      </w:r>
      <w:r w:rsidR="00AE70FB" w:rsidRPr="002E293B">
        <w:rPr>
          <w:lang w:val="ru-RU"/>
        </w:rPr>
        <w:t xml:space="preserve"> </w:t>
      </w:r>
      <w:r w:rsidR="000D393E" w:rsidRPr="002E293B">
        <w:rPr>
          <w:lang w:val="ru-RU"/>
        </w:rPr>
        <w:t xml:space="preserve">в </w:t>
      </w:r>
      <w:r w:rsidR="00AE70FB" w:rsidRPr="002E293B">
        <w:rPr>
          <w:lang w:val="ru-RU"/>
        </w:rPr>
        <w:t>цеп</w:t>
      </w:r>
      <w:r w:rsidR="000D393E" w:rsidRPr="002E293B">
        <w:rPr>
          <w:lang w:val="ru-RU"/>
        </w:rPr>
        <w:t>очке</w:t>
      </w:r>
      <w:r w:rsidR="00AE70FB" w:rsidRPr="002E293B">
        <w:rPr>
          <w:lang w:val="ru-RU"/>
        </w:rPr>
        <w:t xml:space="preserve"> поставок, соглашениями о финансировании кредиторской задолженности или договорами </w:t>
      </w:r>
      <w:r w:rsidR="000D393E" w:rsidRPr="002E293B">
        <w:rPr>
          <w:lang w:val="ru-RU"/>
        </w:rPr>
        <w:t xml:space="preserve">обратного </w:t>
      </w:r>
      <w:r w:rsidR="00AE70FB" w:rsidRPr="002E293B">
        <w:rPr>
          <w:lang w:val="ru-RU"/>
        </w:rPr>
        <w:t>факторинга</w:t>
      </w:r>
      <w:r w:rsidRPr="002E293B">
        <w:rPr>
          <w:lang w:val="ru-RU"/>
        </w:rPr>
        <w:t xml:space="preserve">. </w:t>
      </w:r>
      <w:r w:rsidR="0090494B" w:rsidRPr="002E293B">
        <w:rPr>
          <w:lang w:val="ru-RU"/>
        </w:rPr>
        <w:t xml:space="preserve">Соглашения, </w:t>
      </w:r>
      <w:r w:rsidR="00451CDF" w:rsidRPr="002E293B">
        <w:rPr>
          <w:lang w:val="ru-RU"/>
        </w:rPr>
        <w:t>являющиеся</w:t>
      </w:r>
      <w:r w:rsidR="0090494B" w:rsidRPr="002E293B">
        <w:rPr>
          <w:lang w:val="ru-RU"/>
        </w:rPr>
        <w:t xml:space="preserve"> исключительно механизмами</w:t>
      </w:r>
      <w:r w:rsidR="00046EA9" w:rsidRPr="002E293B">
        <w:rPr>
          <w:lang w:val="ru-RU"/>
        </w:rPr>
        <w:t xml:space="preserve"> повышения кредитного качества (например, финансовые гарантии, включая аккредитивы, используемые в качестве гарантий) либо </w:t>
      </w:r>
      <w:r w:rsidR="00312FE2" w:rsidRPr="002E293B">
        <w:rPr>
          <w:lang w:val="ru-RU"/>
        </w:rPr>
        <w:t>инструмент</w:t>
      </w:r>
      <w:r w:rsidR="005B6148" w:rsidRPr="002E293B">
        <w:rPr>
          <w:lang w:val="ru-RU"/>
        </w:rPr>
        <w:t>ами</w:t>
      </w:r>
      <w:r w:rsidR="00046EA9" w:rsidRPr="002E293B">
        <w:rPr>
          <w:lang w:val="ru-RU"/>
        </w:rPr>
        <w:t xml:space="preserve">, </w:t>
      </w:r>
      <w:r w:rsidR="00312FE2" w:rsidRPr="002E293B">
        <w:rPr>
          <w:lang w:val="ru-RU"/>
        </w:rPr>
        <w:t>используемы</w:t>
      </w:r>
      <w:r w:rsidR="005B6148" w:rsidRPr="002E293B">
        <w:rPr>
          <w:lang w:val="ru-RU"/>
        </w:rPr>
        <w:t>ми</w:t>
      </w:r>
      <w:r w:rsidR="00312FE2" w:rsidRPr="002E293B">
        <w:rPr>
          <w:lang w:val="ru-RU"/>
        </w:rPr>
        <w:t xml:space="preserve"> </w:t>
      </w:r>
      <w:r w:rsidR="00046EA9" w:rsidRPr="002E293B">
        <w:rPr>
          <w:lang w:val="ru-RU"/>
        </w:rPr>
        <w:t xml:space="preserve">организацией для </w:t>
      </w:r>
      <w:r w:rsidR="009C3352" w:rsidRPr="002E293B">
        <w:rPr>
          <w:lang w:val="ru-RU"/>
        </w:rPr>
        <w:t xml:space="preserve">того, чтобы напрямую рассчитаться с поставщиком по суммам </w:t>
      </w:r>
      <w:r w:rsidR="00054F04" w:rsidRPr="002E293B">
        <w:rPr>
          <w:lang w:val="ru-RU"/>
        </w:rPr>
        <w:t xml:space="preserve">задолженности перед </w:t>
      </w:r>
      <w:r w:rsidR="009C3352" w:rsidRPr="002E293B">
        <w:rPr>
          <w:lang w:val="ru-RU"/>
        </w:rPr>
        <w:t>ним</w:t>
      </w:r>
      <w:r w:rsidR="00406490" w:rsidRPr="002E293B">
        <w:rPr>
          <w:lang w:val="ru-RU"/>
        </w:rPr>
        <w:t xml:space="preserve"> </w:t>
      </w:r>
      <w:r w:rsidR="00054F04" w:rsidRPr="002E293B">
        <w:rPr>
          <w:lang w:val="ru-RU"/>
        </w:rPr>
        <w:t>(например, кредитные карты), не являются соглашениями о финансировании</w:t>
      </w:r>
      <w:r w:rsidR="009C3352" w:rsidRPr="002E293B">
        <w:rPr>
          <w:lang w:val="ru-RU"/>
        </w:rPr>
        <w:t xml:space="preserve"> </w:t>
      </w:r>
      <w:r w:rsidR="00363241" w:rsidRPr="002E293B">
        <w:rPr>
          <w:lang w:val="ru-RU"/>
        </w:rPr>
        <w:t>поставок</w:t>
      </w:r>
      <w:r w:rsidRPr="002E293B">
        <w:rPr>
          <w:lang w:val="ru-RU"/>
        </w:rPr>
        <w:t>.</w:t>
      </w:r>
    </w:p>
    <w:p w14:paraId="417E7AF9" w14:textId="47F30479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>44</w:t>
      </w:r>
      <w:r w:rsidRPr="002E293B">
        <w:t>H</w:t>
      </w:r>
      <w:r w:rsidRPr="002E293B">
        <w:rPr>
          <w:lang w:val="ru-RU"/>
        </w:rPr>
        <w:tab/>
      </w:r>
      <w:r w:rsidR="00054F04" w:rsidRPr="002E293B">
        <w:rPr>
          <w:lang w:val="ru-RU"/>
        </w:rPr>
        <w:t>Для достижения целей, изложенных в пункте</w:t>
      </w:r>
      <w:r w:rsidRPr="002E293B">
        <w:rPr>
          <w:lang w:val="ru-RU"/>
        </w:rPr>
        <w:t xml:space="preserve"> 44</w:t>
      </w:r>
      <w:r w:rsidRPr="002E293B">
        <w:t>F</w:t>
      </w:r>
      <w:r w:rsidRPr="002E293B">
        <w:rPr>
          <w:lang w:val="ru-RU"/>
        </w:rPr>
        <w:t xml:space="preserve">, </w:t>
      </w:r>
      <w:r w:rsidR="002C1D6E" w:rsidRPr="002E293B">
        <w:rPr>
          <w:lang w:val="ru-RU"/>
        </w:rPr>
        <w:t xml:space="preserve">организация должна раскрывать </w:t>
      </w:r>
      <w:r w:rsidR="009C3352" w:rsidRPr="002E293B">
        <w:rPr>
          <w:lang w:val="ru-RU"/>
        </w:rPr>
        <w:t xml:space="preserve">в агрегированной форме </w:t>
      </w:r>
      <w:r w:rsidR="002C1D6E" w:rsidRPr="002E293B">
        <w:rPr>
          <w:lang w:val="ru-RU"/>
        </w:rPr>
        <w:t xml:space="preserve">следующую информацию в отношении своих соглашений о финансировании </w:t>
      </w:r>
      <w:r w:rsidR="00363241" w:rsidRPr="002E293B">
        <w:rPr>
          <w:lang w:val="ru-RU"/>
        </w:rPr>
        <w:t>поставок</w:t>
      </w:r>
      <w:r w:rsidRPr="002E293B">
        <w:rPr>
          <w:lang w:val="ru-RU"/>
        </w:rPr>
        <w:t>:</w:t>
      </w:r>
    </w:p>
    <w:p w14:paraId="2C40703C" w14:textId="35174A5F" w:rsidR="0079245D" w:rsidRPr="002E293B" w:rsidRDefault="00C77B3E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a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2C1D6E" w:rsidRPr="002E293B">
        <w:rPr>
          <w:lang w:val="ru-RU"/>
        </w:rPr>
        <w:t xml:space="preserve">условия </w:t>
      </w:r>
      <w:r w:rsidR="009C3352" w:rsidRPr="002E293B">
        <w:rPr>
          <w:lang w:val="ru-RU"/>
        </w:rPr>
        <w:t xml:space="preserve">этих </w:t>
      </w:r>
      <w:r w:rsidR="002C1D6E" w:rsidRPr="002E293B">
        <w:rPr>
          <w:lang w:val="ru-RU"/>
        </w:rPr>
        <w:t>соглашений (например,</w:t>
      </w:r>
      <w:r w:rsidRPr="002E293B">
        <w:rPr>
          <w:lang w:val="ru-RU"/>
        </w:rPr>
        <w:t xml:space="preserve"> </w:t>
      </w:r>
      <w:r w:rsidR="00592EF4" w:rsidRPr="002E293B">
        <w:rPr>
          <w:lang w:val="ru-RU"/>
        </w:rPr>
        <w:t xml:space="preserve">информацию о </w:t>
      </w:r>
      <w:r w:rsidR="00AD0DCB" w:rsidRPr="002E293B">
        <w:rPr>
          <w:lang w:val="ru-RU"/>
        </w:rPr>
        <w:t xml:space="preserve">более </w:t>
      </w:r>
      <w:r w:rsidR="00592EF4" w:rsidRPr="002E293B">
        <w:rPr>
          <w:lang w:val="ru-RU"/>
        </w:rPr>
        <w:t>прод</w:t>
      </w:r>
      <w:r w:rsidR="00AD0DCB" w:rsidRPr="002E293B">
        <w:rPr>
          <w:lang w:val="ru-RU"/>
        </w:rPr>
        <w:t xml:space="preserve">олжительных </w:t>
      </w:r>
      <w:r w:rsidR="00592EF4" w:rsidRPr="002E293B">
        <w:rPr>
          <w:lang w:val="ru-RU"/>
        </w:rPr>
        <w:t>срок</w:t>
      </w:r>
      <w:r w:rsidR="00AD0DCB" w:rsidRPr="002E293B">
        <w:rPr>
          <w:lang w:val="ru-RU"/>
        </w:rPr>
        <w:t>ах</w:t>
      </w:r>
      <w:r w:rsidR="00592EF4" w:rsidRPr="002E293B">
        <w:rPr>
          <w:lang w:val="ru-RU"/>
        </w:rPr>
        <w:t xml:space="preserve"> оплаты</w:t>
      </w:r>
      <w:r w:rsidR="00A94F3E" w:rsidRPr="002E293B">
        <w:rPr>
          <w:lang w:val="ru-RU"/>
        </w:rPr>
        <w:t xml:space="preserve"> и предоставленном обеспечении</w:t>
      </w:r>
      <w:r w:rsidR="009333A5" w:rsidRPr="002E293B">
        <w:rPr>
          <w:lang w:val="ru-RU"/>
        </w:rPr>
        <w:t xml:space="preserve"> или гаранти</w:t>
      </w:r>
      <w:r w:rsidR="00A94F3E" w:rsidRPr="002E293B">
        <w:rPr>
          <w:lang w:val="ru-RU"/>
        </w:rPr>
        <w:t>ях</w:t>
      </w:r>
      <w:r w:rsidRPr="002E293B">
        <w:rPr>
          <w:lang w:val="ru-RU"/>
        </w:rPr>
        <w:t xml:space="preserve">). </w:t>
      </w:r>
      <w:r w:rsidR="00421326" w:rsidRPr="002E293B">
        <w:rPr>
          <w:lang w:val="ru-RU"/>
        </w:rPr>
        <w:t>При этом</w:t>
      </w:r>
      <w:r w:rsidR="007503D6" w:rsidRPr="002E293B">
        <w:rPr>
          <w:lang w:val="ru-RU"/>
        </w:rPr>
        <w:t xml:space="preserve"> организация должна раздельно раскрывать информацию по</w:t>
      </w:r>
      <w:r w:rsidR="009333A5" w:rsidRPr="002E293B">
        <w:rPr>
          <w:lang w:val="ru-RU"/>
        </w:rPr>
        <w:t xml:space="preserve"> </w:t>
      </w:r>
      <w:r w:rsidR="000C7D1D" w:rsidRPr="002E293B">
        <w:rPr>
          <w:lang w:val="ru-RU"/>
        </w:rPr>
        <w:t>соглашени</w:t>
      </w:r>
      <w:r w:rsidR="007503D6" w:rsidRPr="002E293B">
        <w:rPr>
          <w:lang w:val="ru-RU"/>
        </w:rPr>
        <w:t xml:space="preserve">ям с </w:t>
      </w:r>
      <w:r w:rsidR="00421326" w:rsidRPr="002E293B">
        <w:rPr>
          <w:lang w:val="ru-RU"/>
        </w:rPr>
        <w:t xml:space="preserve">отличающимися </w:t>
      </w:r>
      <w:r w:rsidR="007503D6" w:rsidRPr="002E293B">
        <w:rPr>
          <w:lang w:val="ru-RU"/>
        </w:rPr>
        <w:t>условиями</w:t>
      </w:r>
      <w:r w:rsidR="000C7D1D" w:rsidRPr="002E293B">
        <w:rPr>
          <w:lang w:val="ru-RU"/>
        </w:rPr>
        <w:t>;</w:t>
      </w:r>
    </w:p>
    <w:p w14:paraId="3F1E761A" w14:textId="77777777" w:rsidR="0079245D" w:rsidRPr="002E293B" w:rsidRDefault="00C77B3E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b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0C7D1D" w:rsidRPr="002E293B">
        <w:rPr>
          <w:lang w:val="ru-RU"/>
        </w:rPr>
        <w:t>на начало и конец отчетного периода</w:t>
      </w:r>
      <w:r w:rsidRPr="002E293B">
        <w:rPr>
          <w:lang w:val="ru-RU"/>
        </w:rPr>
        <w:t>:</w:t>
      </w:r>
    </w:p>
    <w:p w14:paraId="0EA5A827" w14:textId="34E1B6A3" w:rsidR="0079245D" w:rsidRPr="002E293B" w:rsidRDefault="00C77B3E">
      <w:pPr>
        <w:pStyle w:val="IASBNormalnparaL2"/>
        <w:rPr>
          <w:lang w:val="ru-RU"/>
        </w:rPr>
      </w:pPr>
      <w:r w:rsidRPr="002E293B">
        <w:rPr>
          <w:lang w:val="ru-RU"/>
        </w:rPr>
        <w:t>(</w:t>
      </w:r>
      <w:r w:rsidRPr="002E293B">
        <w:t>i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312FE2" w:rsidRPr="002E293B">
        <w:rPr>
          <w:lang w:val="ru-RU"/>
        </w:rPr>
        <w:t xml:space="preserve">балансовую </w:t>
      </w:r>
      <w:r w:rsidR="00047DBA" w:rsidRPr="002E293B">
        <w:rPr>
          <w:lang w:val="ru-RU"/>
        </w:rPr>
        <w:t xml:space="preserve">стоимость финансовых обязательств, </w:t>
      </w:r>
      <w:r w:rsidR="007F5464" w:rsidRPr="002E293B">
        <w:rPr>
          <w:lang w:val="ru-RU"/>
        </w:rPr>
        <w:t>включенных в</w:t>
      </w:r>
      <w:r w:rsidR="00047DBA" w:rsidRPr="002E293B">
        <w:rPr>
          <w:lang w:val="ru-RU"/>
        </w:rPr>
        <w:t xml:space="preserve"> соглашения о финансировании </w:t>
      </w:r>
      <w:r w:rsidR="00363241" w:rsidRPr="002E293B">
        <w:rPr>
          <w:lang w:val="ru-RU"/>
        </w:rPr>
        <w:t>поставок</w:t>
      </w:r>
      <w:r w:rsidR="00047DBA" w:rsidRPr="002E293B">
        <w:rPr>
          <w:lang w:val="ru-RU"/>
        </w:rPr>
        <w:t xml:space="preserve">, </w:t>
      </w:r>
      <w:r w:rsidR="00912300" w:rsidRPr="002E293B">
        <w:rPr>
          <w:lang w:val="ru-RU"/>
        </w:rPr>
        <w:t xml:space="preserve">с указанием соответствующих </w:t>
      </w:r>
      <w:r w:rsidR="00047DBA" w:rsidRPr="002E293B">
        <w:rPr>
          <w:lang w:val="ru-RU"/>
        </w:rPr>
        <w:t>стат</w:t>
      </w:r>
      <w:r w:rsidR="00912300" w:rsidRPr="002E293B">
        <w:rPr>
          <w:lang w:val="ru-RU"/>
        </w:rPr>
        <w:t>ей</w:t>
      </w:r>
      <w:r w:rsidR="007503D6" w:rsidRPr="002E293B">
        <w:rPr>
          <w:lang w:val="ru-RU"/>
        </w:rPr>
        <w:t xml:space="preserve"> </w:t>
      </w:r>
      <w:r w:rsidR="007F5464" w:rsidRPr="002E293B">
        <w:rPr>
          <w:lang w:val="ru-RU"/>
        </w:rPr>
        <w:t>отчета</w:t>
      </w:r>
      <w:r w:rsidR="00047DBA" w:rsidRPr="002E293B">
        <w:rPr>
          <w:lang w:val="ru-RU"/>
        </w:rPr>
        <w:t xml:space="preserve"> о финансовом положении организации;</w:t>
      </w:r>
    </w:p>
    <w:p w14:paraId="04309871" w14:textId="1780F57F" w:rsidR="0079245D" w:rsidRPr="002E293B" w:rsidRDefault="00C77B3E">
      <w:pPr>
        <w:pStyle w:val="IASBNormalnparaL2"/>
        <w:rPr>
          <w:lang w:val="ru-RU"/>
        </w:rPr>
      </w:pPr>
      <w:r w:rsidRPr="002E293B">
        <w:rPr>
          <w:lang w:val="ru-RU"/>
        </w:rPr>
        <w:t>(</w:t>
      </w:r>
      <w:r w:rsidRPr="002E293B">
        <w:t>ii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312FE2" w:rsidRPr="002E293B">
        <w:rPr>
          <w:lang w:val="ru-RU"/>
        </w:rPr>
        <w:t xml:space="preserve">балансовую </w:t>
      </w:r>
      <w:r w:rsidR="00047DBA" w:rsidRPr="002E293B">
        <w:rPr>
          <w:lang w:val="ru-RU"/>
        </w:rPr>
        <w:t>стоимость финансовых обязательств, информация о которых раскрывается в соответствии с пунктом (i)</w:t>
      </w:r>
      <w:r w:rsidR="006B043D" w:rsidRPr="002E293B">
        <w:rPr>
          <w:lang w:val="ru-RU"/>
        </w:rPr>
        <w:t>,</w:t>
      </w:r>
      <w:r w:rsidR="00047DBA" w:rsidRPr="002E293B">
        <w:rPr>
          <w:lang w:val="ru-RU"/>
        </w:rPr>
        <w:t xml:space="preserve"> по которым поставщики уже получили </w:t>
      </w:r>
      <w:r w:rsidR="006B043D" w:rsidRPr="002E293B">
        <w:rPr>
          <w:lang w:val="ru-RU"/>
        </w:rPr>
        <w:t>о</w:t>
      </w:r>
      <w:r w:rsidR="00047DBA" w:rsidRPr="002E293B">
        <w:rPr>
          <w:lang w:val="ru-RU"/>
        </w:rPr>
        <w:t xml:space="preserve">плату от </w:t>
      </w:r>
      <w:r w:rsidR="00FB5D6F" w:rsidRPr="002E293B">
        <w:rPr>
          <w:lang w:val="ru-RU"/>
        </w:rPr>
        <w:t>сторон</w:t>
      </w:r>
      <w:r w:rsidR="00047DBA" w:rsidRPr="002E293B">
        <w:rPr>
          <w:lang w:val="ru-RU"/>
        </w:rPr>
        <w:t xml:space="preserve">, </w:t>
      </w:r>
      <w:r w:rsidR="00FB5D6F" w:rsidRPr="002E293B">
        <w:rPr>
          <w:lang w:val="ru-RU"/>
        </w:rPr>
        <w:t>предоставляющих</w:t>
      </w:r>
      <w:r w:rsidR="00047DBA" w:rsidRPr="002E293B">
        <w:rPr>
          <w:lang w:val="ru-RU"/>
        </w:rPr>
        <w:t xml:space="preserve"> финансирование,</w:t>
      </w:r>
      <w:r w:rsidR="00EA2DAC" w:rsidRPr="002E293B">
        <w:rPr>
          <w:lang w:val="ru-RU"/>
        </w:rPr>
        <w:t xml:space="preserve"> </w:t>
      </w:r>
      <w:r w:rsidR="00047DBA" w:rsidRPr="002E293B">
        <w:rPr>
          <w:lang w:val="ru-RU"/>
        </w:rPr>
        <w:t>и связанные с ними статьи</w:t>
      </w:r>
      <w:r w:rsidR="00EA2DAC" w:rsidRPr="002E293B">
        <w:rPr>
          <w:lang w:val="ru-RU"/>
        </w:rPr>
        <w:t xml:space="preserve"> отчетности</w:t>
      </w:r>
      <w:r w:rsidR="00047DBA" w:rsidRPr="002E293B">
        <w:rPr>
          <w:lang w:val="ru-RU"/>
        </w:rPr>
        <w:t>;</w:t>
      </w:r>
    </w:p>
    <w:p w14:paraId="5754EA56" w14:textId="26318E18" w:rsidR="00FB5D6F" w:rsidRPr="002E293B" w:rsidRDefault="00C77B3E">
      <w:pPr>
        <w:pStyle w:val="IASBNormalnparaL2"/>
        <w:rPr>
          <w:lang w:val="ru-RU"/>
        </w:rPr>
      </w:pPr>
      <w:r w:rsidRPr="002E293B">
        <w:rPr>
          <w:lang w:val="ru-RU"/>
        </w:rPr>
        <w:t>(</w:t>
      </w:r>
      <w:r w:rsidRPr="002E293B">
        <w:t>iii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F84EE6" w:rsidRPr="002E293B">
        <w:rPr>
          <w:lang w:val="ru-RU"/>
        </w:rPr>
        <w:t>диапазон сроков оплаты</w:t>
      </w:r>
      <w:r w:rsidR="00FB5D6F" w:rsidRPr="002E293B">
        <w:rPr>
          <w:lang w:val="ru-RU"/>
        </w:rPr>
        <w:t xml:space="preserve"> (например, 30</w:t>
      </w:r>
      <w:r w:rsidR="00D0252B" w:rsidRPr="002E293B">
        <w:rPr>
          <w:lang w:val="ru-RU"/>
        </w:rPr>
        <w:t>–</w:t>
      </w:r>
      <w:r w:rsidR="00FB5D6F" w:rsidRPr="002E293B">
        <w:rPr>
          <w:lang w:val="ru-RU"/>
        </w:rPr>
        <w:t xml:space="preserve">40 дней с даты выставления счета) как </w:t>
      </w:r>
      <w:r w:rsidR="00060CF7" w:rsidRPr="002E293B">
        <w:rPr>
          <w:lang w:val="ru-RU"/>
        </w:rPr>
        <w:t xml:space="preserve">по </w:t>
      </w:r>
      <w:r w:rsidR="00FB5D6F" w:rsidRPr="002E293B">
        <w:rPr>
          <w:lang w:val="ru-RU"/>
        </w:rPr>
        <w:t>финансовы</w:t>
      </w:r>
      <w:r w:rsidR="00060CF7" w:rsidRPr="002E293B">
        <w:rPr>
          <w:lang w:val="ru-RU"/>
        </w:rPr>
        <w:t>м</w:t>
      </w:r>
      <w:r w:rsidR="00FB5D6F" w:rsidRPr="002E293B">
        <w:rPr>
          <w:lang w:val="ru-RU"/>
        </w:rPr>
        <w:t xml:space="preserve"> обязательств</w:t>
      </w:r>
      <w:r w:rsidR="00060CF7" w:rsidRPr="002E293B">
        <w:rPr>
          <w:lang w:val="ru-RU"/>
        </w:rPr>
        <w:t>ам</w:t>
      </w:r>
      <w:r w:rsidR="00D0252B" w:rsidRPr="002E293B">
        <w:rPr>
          <w:lang w:val="ru-RU"/>
        </w:rPr>
        <w:t>,</w:t>
      </w:r>
      <w:r w:rsidR="00FB5D6F" w:rsidRPr="002E293B">
        <w:rPr>
          <w:lang w:val="ru-RU"/>
        </w:rPr>
        <w:t xml:space="preserve"> информация о которых раскрывается в </w:t>
      </w:r>
      <w:r w:rsidR="00F84EE6" w:rsidRPr="002E293B">
        <w:rPr>
          <w:lang w:val="ru-RU"/>
        </w:rPr>
        <w:t xml:space="preserve">соответствии с пунктом </w:t>
      </w:r>
      <w:r w:rsidR="00FB5D6F" w:rsidRPr="002E293B">
        <w:rPr>
          <w:lang w:val="ru-RU"/>
        </w:rPr>
        <w:t xml:space="preserve">(i), так и </w:t>
      </w:r>
      <w:r w:rsidR="00060CF7" w:rsidRPr="002E293B">
        <w:rPr>
          <w:lang w:val="ru-RU"/>
        </w:rPr>
        <w:t xml:space="preserve">по </w:t>
      </w:r>
      <w:r w:rsidR="00F84EE6" w:rsidRPr="002E293B">
        <w:rPr>
          <w:lang w:val="ru-RU"/>
        </w:rPr>
        <w:t>сопоставимой</w:t>
      </w:r>
      <w:r w:rsidR="00FB5D6F" w:rsidRPr="002E293B">
        <w:rPr>
          <w:lang w:val="ru-RU"/>
        </w:rPr>
        <w:t xml:space="preserve"> торговой кредиторской задолженности, которая не </w:t>
      </w:r>
      <w:r w:rsidR="007F5464" w:rsidRPr="002E293B">
        <w:rPr>
          <w:lang w:val="ru-RU"/>
        </w:rPr>
        <w:t>включена в</w:t>
      </w:r>
      <w:r w:rsidR="00FB5D6F" w:rsidRPr="002E293B">
        <w:rPr>
          <w:lang w:val="ru-RU"/>
        </w:rPr>
        <w:t xml:space="preserve"> соглашени</w:t>
      </w:r>
      <w:r w:rsidR="007F5464" w:rsidRPr="002E293B">
        <w:rPr>
          <w:lang w:val="ru-RU"/>
        </w:rPr>
        <w:t>е</w:t>
      </w:r>
      <w:r w:rsidR="00FB5D6F" w:rsidRPr="002E293B">
        <w:rPr>
          <w:lang w:val="ru-RU"/>
        </w:rPr>
        <w:t xml:space="preserve"> о финансировании </w:t>
      </w:r>
      <w:r w:rsidR="00363241" w:rsidRPr="002E293B">
        <w:rPr>
          <w:lang w:val="ru-RU"/>
        </w:rPr>
        <w:t>поставок</w:t>
      </w:r>
      <w:r w:rsidR="00FB5D6F" w:rsidRPr="002E293B">
        <w:rPr>
          <w:lang w:val="ru-RU"/>
        </w:rPr>
        <w:t xml:space="preserve">. </w:t>
      </w:r>
      <w:r w:rsidR="00F84EE6" w:rsidRPr="002E293B">
        <w:rPr>
          <w:lang w:val="ru-RU"/>
        </w:rPr>
        <w:t>Сопоставим</w:t>
      </w:r>
      <w:r w:rsidR="009819DD" w:rsidRPr="002E293B">
        <w:rPr>
          <w:lang w:val="ru-RU"/>
        </w:rPr>
        <w:t>ая</w:t>
      </w:r>
      <w:r w:rsidR="00FB5D6F" w:rsidRPr="002E293B">
        <w:rPr>
          <w:lang w:val="ru-RU"/>
        </w:rPr>
        <w:t xml:space="preserve"> торгов</w:t>
      </w:r>
      <w:r w:rsidR="009819DD" w:rsidRPr="002E293B">
        <w:rPr>
          <w:lang w:val="ru-RU"/>
        </w:rPr>
        <w:t>ая</w:t>
      </w:r>
      <w:r w:rsidR="00FB5D6F" w:rsidRPr="002E293B">
        <w:rPr>
          <w:lang w:val="ru-RU"/>
        </w:rPr>
        <w:t xml:space="preserve"> кредиторск</w:t>
      </w:r>
      <w:r w:rsidR="009819DD" w:rsidRPr="002E293B">
        <w:rPr>
          <w:lang w:val="ru-RU"/>
        </w:rPr>
        <w:t>ая</w:t>
      </w:r>
      <w:r w:rsidR="00FB5D6F" w:rsidRPr="002E293B">
        <w:rPr>
          <w:lang w:val="ru-RU"/>
        </w:rPr>
        <w:t xml:space="preserve"> задолженность</w:t>
      </w:r>
      <w:r w:rsidR="00747D6E" w:rsidRPr="002E293B">
        <w:rPr>
          <w:lang w:val="ru-RU"/>
        </w:rPr>
        <w:t xml:space="preserve"> </w:t>
      </w:r>
      <w:r w:rsidR="00FB5D6F" w:rsidRPr="002E293B">
        <w:rPr>
          <w:lang w:val="ru-RU"/>
        </w:rPr>
        <w:t xml:space="preserve">представляет собой, </w:t>
      </w:r>
      <w:r w:rsidR="00D0252B" w:rsidRPr="002E293B">
        <w:rPr>
          <w:lang w:val="ru-RU"/>
        </w:rPr>
        <w:t>на</w:t>
      </w:r>
      <w:r w:rsidR="009B4FD4" w:rsidRPr="002E293B">
        <w:rPr>
          <w:lang w:val="ru-RU"/>
        </w:rPr>
        <w:t>пример</w:t>
      </w:r>
      <w:r w:rsidR="00FB5D6F" w:rsidRPr="002E293B">
        <w:rPr>
          <w:lang w:val="ru-RU"/>
        </w:rPr>
        <w:t xml:space="preserve">, торговую кредиторскую задолженность организации в рамках того же направления деятельности или </w:t>
      </w:r>
      <w:r w:rsidR="009B4FD4" w:rsidRPr="002E293B">
        <w:rPr>
          <w:lang w:val="ru-RU"/>
        </w:rPr>
        <w:t xml:space="preserve">той же </w:t>
      </w:r>
      <w:r w:rsidR="00FB5D6F" w:rsidRPr="002E293B">
        <w:rPr>
          <w:lang w:val="ru-RU"/>
        </w:rPr>
        <w:t xml:space="preserve">юрисдикции, что и финансовые обязательства, информация о которых раскрывается в </w:t>
      </w:r>
      <w:r w:rsidR="009B4FD4" w:rsidRPr="002E293B">
        <w:rPr>
          <w:lang w:val="ru-RU"/>
        </w:rPr>
        <w:t xml:space="preserve">соответствии с пунктом </w:t>
      </w:r>
      <w:r w:rsidR="00FB5D6F" w:rsidRPr="002E293B">
        <w:rPr>
          <w:lang w:val="ru-RU"/>
        </w:rPr>
        <w:t xml:space="preserve">(i). Если </w:t>
      </w:r>
      <w:r w:rsidR="009B4FD4" w:rsidRPr="002E293B">
        <w:rPr>
          <w:lang w:val="ru-RU"/>
        </w:rPr>
        <w:t>диапазоны сроков оплаты являются широкими,</w:t>
      </w:r>
      <w:r w:rsidR="00FB5D6F" w:rsidRPr="002E293B">
        <w:rPr>
          <w:lang w:val="ru-RU"/>
        </w:rPr>
        <w:t xml:space="preserve"> организация должна раскрыть пояснительную информацию о таких </w:t>
      </w:r>
      <w:r w:rsidR="00E5561F" w:rsidRPr="002E293B">
        <w:rPr>
          <w:lang w:val="ru-RU"/>
        </w:rPr>
        <w:t>диапазонах</w:t>
      </w:r>
      <w:r w:rsidR="00FB5D6F" w:rsidRPr="002E293B">
        <w:rPr>
          <w:lang w:val="ru-RU"/>
        </w:rPr>
        <w:t xml:space="preserve"> или </w:t>
      </w:r>
      <w:r w:rsidR="00747D6E" w:rsidRPr="002E293B">
        <w:rPr>
          <w:lang w:val="ru-RU"/>
        </w:rPr>
        <w:t xml:space="preserve">раскрыть </w:t>
      </w:r>
      <w:r w:rsidR="00FB5D6F" w:rsidRPr="002E293B">
        <w:rPr>
          <w:lang w:val="ru-RU"/>
        </w:rPr>
        <w:t>дополнительны</w:t>
      </w:r>
      <w:r w:rsidR="00747D6E" w:rsidRPr="002E293B">
        <w:rPr>
          <w:lang w:val="ru-RU"/>
        </w:rPr>
        <w:t>е</w:t>
      </w:r>
      <w:r w:rsidR="00FB5D6F" w:rsidRPr="002E293B">
        <w:rPr>
          <w:lang w:val="ru-RU"/>
        </w:rPr>
        <w:t xml:space="preserve"> </w:t>
      </w:r>
      <w:r w:rsidR="00E5561F" w:rsidRPr="002E293B">
        <w:rPr>
          <w:lang w:val="ru-RU"/>
        </w:rPr>
        <w:t>диапазон</w:t>
      </w:r>
      <w:r w:rsidR="00747D6E" w:rsidRPr="002E293B">
        <w:rPr>
          <w:lang w:val="ru-RU"/>
        </w:rPr>
        <w:t>ы</w:t>
      </w:r>
      <w:r w:rsidR="00FB5D6F" w:rsidRPr="002E293B">
        <w:rPr>
          <w:lang w:val="ru-RU"/>
        </w:rPr>
        <w:t xml:space="preserve"> (например, стратифицированные диапазоны); </w:t>
      </w:r>
    </w:p>
    <w:p w14:paraId="6FAEC36D" w14:textId="6FE4AA08" w:rsidR="0079245D" w:rsidRPr="002E293B" w:rsidRDefault="00C77B3E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c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E5561F" w:rsidRPr="002E293B">
        <w:rPr>
          <w:lang w:val="ru-RU"/>
        </w:rPr>
        <w:t xml:space="preserve">вид и влияние </w:t>
      </w:r>
      <w:r w:rsidR="00F2554B" w:rsidRPr="002E293B">
        <w:rPr>
          <w:lang w:val="ru-RU"/>
        </w:rPr>
        <w:t>неденежных</w:t>
      </w:r>
      <w:r w:rsidR="00E5561F" w:rsidRPr="002E293B">
        <w:rPr>
          <w:lang w:val="ru-RU"/>
        </w:rPr>
        <w:t xml:space="preserve"> изменений балансовой стоимости финансовых обязательств, информация о которых раскрывается в </w:t>
      </w:r>
      <w:r w:rsidR="00F2554B" w:rsidRPr="002E293B">
        <w:rPr>
          <w:lang w:val="ru-RU"/>
        </w:rPr>
        <w:t xml:space="preserve">соответствии с пунктом </w:t>
      </w:r>
      <w:r w:rsidR="00E5561F" w:rsidRPr="002E293B">
        <w:rPr>
          <w:lang w:val="ru-RU"/>
        </w:rPr>
        <w:t>(</w:t>
      </w:r>
      <w:r w:rsidR="00E5561F" w:rsidRPr="002E293B">
        <w:t>b</w:t>
      </w:r>
      <w:r w:rsidR="00E5561F" w:rsidRPr="002E293B">
        <w:rPr>
          <w:lang w:val="ru-RU"/>
        </w:rPr>
        <w:t>)(</w:t>
      </w:r>
      <w:r w:rsidR="00E5561F" w:rsidRPr="002E293B">
        <w:t>i</w:t>
      </w:r>
      <w:r w:rsidR="00E5561F" w:rsidRPr="002E293B">
        <w:rPr>
          <w:lang w:val="ru-RU"/>
        </w:rPr>
        <w:t xml:space="preserve">). Примеры </w:t>
      </w:r>
      <w:r w:rsidR="00F2554B" w:rsidRPr="002E293B">
        <w:rPr>
          <w:lang w:val="ru-RU"/>
        </w:rPr>
        <w:t>неденежных</w:t>
      </w:r>
      <w:r w:rsidR="00E5561F" w:rsidRPr="002E293B">
        <w:rPr>
          <w:lang w:val="ru-RU"/>
        </w:rPr>
        <w:t xml:space="preserve"> изменений включают влияние объединений бизнес</w:t>
      </w:r>
      <w:r w:rsidR="000D058B" w:rsidRPr="002E293B">
        <w:rPr>
          <w:lang w:val="ru-RU"/>
        </w:rPr>
        <w:t>ов</w:t>
      </w:r>
      <w:r w:rsidR="00E5561F" w:rsidRPr="002E293B">
        <w:rPr>
          <w:lang w:val="ru-RU"/>
        </w:rPr>
        <w:t xml:space="preserve">, курсовых разниц или прочих </w:t>
      </w:r>
      <w:r w:rsidR="00E5561F" w:rsidRPr="002E293B">
        <w:rPr>
          <w:lang w:val="ru-RU"/>
        </w:rPr>
        <w:lastRenderedPageBreak/>
        <w:t xml:space="preserve">операций, для совершения которых не требуется </w:t>
      </w:r>
      <w:r w:rsidR="00F2350E" w:rsidRPr="002E293B">
        <w:rPr>
          <w:lang w:val="ru-RU"/>
        </w:rPr>
        <w:t>использова</w:t>
      </w:r>
      <w:r w:rsidR="00747D6E" w:rsidRPr="002E293B">
        <w:rPr>
          <w:lang w:val="ru-RU"/>
        </w:rPr>
        <w:t>ние</w:t>
      </w:r>
      <w:r w:rsidR="00E5561F" w:rsidRPr="002E293B">
        <w:rPr>
          <w:lang w:val="ru-RU"/>
        </w:rPr>
        <w:t xml:space="preserve"> денежны</w:t>
      </w:r>
      <w:r w:rsidR="00747D6E" w:rsidRPr="002E293B">
        <w:rPr>
          <w:lang w:val="ru-RU"/>
        </w:rPr>
        <w:t>х</w:t>
      </w:r>
      <w:r w:rsidR="00E5561F" w:rsidRPr="002E293B">
        <w:rPr>
          <w:lang w:val="ru-RU"/>
        </w:rPr>
        <w:t xml:space="preserve"> средств и</w:t>
      </w:r>
      <w:r w:rsidR="00F2554B" w:rsidRPr="002E293B">
        <w:rPr>
          <w:lang w:val="ru-RU"/>
        </w:rPr>
        <w:t>ли</w:t>
      </w:r>
      <w:r w:rsidR="00E5561F" w:rsidRPr="002E293B">
        <w:rPr>
          <w:lang w:val="ru-RU"/>
        </w:rPr>
        <w:t xml:space="preserve"> их эквивалент</w:t>
      </w:r>
      <w:r w:rsidR="00747D6E" w:rsidRPr="002E293B">
        <w:rPr>
          <w:lang w:val="ru-RU"/>
        </w:rPr>
        <w:t>ов</w:t>
      </w:r>
      <w:r w:rsidR="00E5561F" w:rsidRPr="002E293B">
        <w:rPr>
          <w:lang w:val="ru-RU"/>
        </w:rPr>
        <w:t xml:space="preserve"> (см. пункт 43).</w:t>
      </w:r>
    </w:p>
    <w:p w14:paraId="1E8C12CD" w14:textId="77777777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7EBA1304" w14:textId="77777777" w:rsidR="0079245D" w:rsidRPr="002E293B" w:rsidRDefault="00F2554B">
      <w:pPr>
        <w:pStyle w:val="IASBSectionTitle1NonInd"/>
        <w:rPr>
          <w:lang w:val="ru-RU"/>
        </w:rPr>
      </w:pPr>
      <w:r w:rsidRPr="002E293B">
        <w:rPr>
          <w:lang w:val="ru-RU"/>
        </w:rPr>
        <w:t>Дата вступления в силу</w:t>
      </w:r>
      <w:r w:rsidR="00C77B3E" w:rsidRPr="002E293B">
        <w:rPr>
          <w:u w:val="single"/>
          <w:lang w:val="ru-RU"/>
        </w:rPr>
        <w:t xml:space="preserve"> </w:t>
      </w:r>
      <w:r w:rsidR="00CF10C7" w:rsidRPr="002E293B">
        <w:rPr>
          <w:u w:val="single"/>
          <w:lang w:val="ru-RU"/>
        </w:rPr>
        <w:t>и переходные положения</w:t>
      </w:r>
    </w:p>
    <w:p w14:paraId="43788AC5" w14:textId="77777777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02708D66" w14:textId="5B5C246B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>62</w:t>
      </w:r>
      <w:r w:rsidRPr="002E293B">
        <w:rPr>
          <w:lang w:val="ru-RU"/>
        </w:rPr>
        <w:tab/>
      </w:r>
      <w:r w:rsidR="00CF10C7" w:rsidRPr="002E293B">
        <w:rPr>
          <w:lang w:val="ru-RU"/>
        </w:rPr>
        <w:t xml:space="preserve">Документом </w:t>
      </w:r>
      <w:r w:rsidR="00CF10C7" w:rsidRPr="002E293B">
        <w:rPr>
          <w:i/>
          <w:lang w:val="ru-RU"/>
        </w:rPr>
        <w:t xml:space="preserve">«Соглашения о финансировании </w:t>
      </w:r>
      <w:r w:rsidR="00363241" w:rsidRPr="002E293B">
        <w:rPr>
          <w:i/>
          <w:lang w:val="ru-RU"/>
        </w:rPr>
        <w:t>поставок</w:t>
      </w:r>
      <w:r w:rsidR="00CF10C7" w:rsidRPr="002E293B">
        <w:rPr>
          <w:i/>
          <w:lang w:val="ru-RU"/>
        </w:rPr>
        <w:t>»</w:t>
      </w:r>
      <w:r w:rsidR="00CF10C7" w:rsidRPr="002E293B">
        <w:rPr>
          <w:lang w:val="ru-RU"/>
        </w:rPr>
        <w:t xml:space="preserve">, выпущенным в мае 2023 года, добавлены пункты 44F–44H. Организация должна применять данные поправки для годовых отчетных периодов, начинающихся 1 января 2024 года или после этой даты. Допускается досрочное применение. Если организация применит данные поправки </w:t>
      </w:r>
      <w:r w:rsidR="0044170C" w:rsidRPr="002E293B">
        <w:rPr>
          <w:lang w:val="ru-RU"/>
        </w:rPr>
        <w:t>для</w:t>
      </w:r>
      <w:r w:rsidR="00CF10C7" w:rsidRPr="002E293B">
        <w:rPr>
          <w:lang w:val="ru-RU"/>
        </w:rPr>
        <w:t xml:space="preserve"> более раннего периода, она должна раскрыть этот факт.</w:t>
      </w:r>
    </w:p>
    <w:p w14:paraId="32ED2FC3" w14:textId="165E719E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>63</w:t>
      </w:r>
      <w:r w:rsidRPr="002E293B">
        <w:rPr>
          <w:lang w:val="ru-RU"/>
        </w:rPr>
        <w:tab/>
      </w:r>
      <w:r w:rsidR="008C04D5" w:rsidRPr="002E293B">
        <w:rPr>
          <w:lang w:val="ru-RU"/>
        </w:rPr>
        <w:t>При</w:t>
      </w:r>
      <w:r w:rsidR="00416501" w:rsidRPr="002E293B">
        <w:rPr>
          <w:lang w:val="ru-RU"/>
        </w:rPr>
        <w:t xml:space="preserve"> применени</w:t>
      </w:r>
      <w:r w:rsidR="008C04D5" w:rsidRPr="002E293B">
        <w:rPr>
          <w:lang w:val="ru-RU"/>
        </w:rPr>
        <w:t>и</w:t>
      </w:r>
      <w:r w:rsidR="00416501" w:rsidRPr="002E293B">
        <w:rPr>
          <w:lang w:val="ru-RU"/>
        </w:rPr>
        <w:t xml:space="preserve"> документа </w:t>
      </w:r>
      <w:r w:rsidR="00416501" w:rsidRPr="002E293B">
        <w:rPr>
          <w:i/>
          <w:lang w:val="ru-RU"/>
        </w:rPr>
        <w:t xml:space="preserve">«Соглашения о финансировании </w:t>
      </w:r>
      <w:r w:rsidR="00363241" w:rsidRPr="002E293B">
        <w:rPr>
          <w:i/>
          <w:lang w:val="ru-RU"/>
        </w:rPr>
        <w:t>поставок</w:t>
      </w:r>
      <w:r w:rsidR="00416501" w:rsidRPr="002E293B">
        <w:rPr>
          <w:i/>
          <w:lang w:val="ru-RU"/>
        </w:rPr>
        <w:t>»</w:t>
      </w:r>
      <w:r w:rsidR="00416501" w:rsidRPr="002E293B">
        <w:rPr>
          <w:lang w:val="ru-RU"/>
        </w:rPr>
        <w:t xml:space="preserve"> организация не обязана раскрывать</w:t>
      </w:r>
      <w:r w:rsidR="00926A6B" w:rsidRPr="002E293B">
        <w:rPr>
          <w:lang w:val="ru-RU"/>
        </w:rPr>
        <w:t xml:space="preserve"> следующую информацию</w:t>
      </w:r>
      <w:r w:rsidR="00416501" w:rsidRPr="002E293B">
        <w:rPr>
          <w:lang w:val="ru-RU"/>
        </w:rPr>
        <w:t>:</w:t>
      </w:r>
    </w:p>
    <w:p w14:paraId="504E1E0A" w14:textId="77777777" w:rsidR="0079245D" w:rsidRPr="002E293B" w:rsidRDefault="00C77B3E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a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F92ABD" w:rsidRPr="002E293B">
        <w:rPr>
          <w:lang w:val="ru-RU"/>
        </w:rPr>
        <w:t xml:space="preserve">сравнительную информацию </w:t>
      </w:r>
      <w:r w:rsidR="00B677F2" w:rsidRPr="002E293B">
        <w:rPr>
          <w:lang w:val="ru-RU"/>
        </w:rPr>
        <w:t>за представленные</w:t>
      </w:r>
      <w:r w:rsidR="00926A6B" w:rsidRPr="002E293B">
        <w:rPr>
          <w:lang w:val="ru-RU"/>
        </w:rPr>
        <w:t xml:space="preserve"> отчетны</w:t>
      </w:r>
      <w:r w:rsidR="00B677F2" w:rsidRPr="002E293B">
        <w:rPr>
          <w:lang w:val="ru-RU"/>
        </w:rPr>
        <w:t>е</w:t>
      </w:r>
      <w:r w:rsidR="00926A6B" w:rsidRPr="002E293B">
        <w:rPr>
          <w:lang w:val="ru-RU"/>
        </w:rPr>
        <w:t xml:space="preserve"> период</w:t>
      </w:r>
      <w:r w:rsidR="00B677F2" w:rsidRPr="002E293B">
        <w:rPr>
          <w:lang w:val="ru-RU"/>
        </w:rPr>
        <w:t>ы</w:t>
      </w:r>
      <w:r w:rsidR="00926A6B" w:rsidRPr="002E293B">
        <w:rPr>
          <w:lang w:val="ru-RU"/>
        </w:rPr>
        <w:t xml:space="preserve"> до начала годового отчетного периода, в котором организация впервые применяет данные поправки;</w:t>
      </w:r>
    </w:p>
    <w:p w14:paraId="5FE33A13" w14:textId="77777777" w:rsidR="0079245D" w:rsidRPr="002E293B" w:rsidRDefault="00C77B3E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b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7A50BC" w:rsidRPr="002E293B">
        <w:rPr>
          <w:lang w:val="ru-RU"/>
        </w:rPr>
        <w:t>информаци</w:t>
      </w:r>
      <w:r w:rsidR="00F92ABD" w:rsidRPr="002E293B">
        <w:rPr>
          <w:lang w:val="ru-RU"/>
        </w:rPr>
        <w:t>ю</w:t>
      </w:r>
      <w:r w:rsidR="007A50BC" w:rsidRPr="002E293B">
        <w:rPr>
          <w:lang w:val="ru-RU"/>
        </w:rPr>
        <w:t xml:space="preserve">, раскрытие которой </w:t>
      </w:r>
      <w:r w:rsidR="00BA0C34" w:rsidRPr="002E293B">
        <w:rPr>
          <w:lang w:val="ru-RU"/>
        </w:rPr>
        <w:t>в ином случае требовалось бы</w:t>
      </w:r>
      <w:r w:rsidR="007A50BC" w:rsidRPr="002E293B">
        <w:rPr>
          <w:lang w:val="ru-RU"/>
        </w:rPr>
        <w:t xml:space="preserve"> </w:t>
      </w:r>
      <w:r w:rsidR="00BA0C34" w:rsidRPr="002E293B">
        <w:rPr>
          <w:lang w:val="ru-RU"/>
        </w:rPr>
        <w:t>в соответствии с пунктами</w:t>
      </w:r>
      <w:r w:rsidR="007A50BC" w:rsidRPr="002E293B">
        <w:rPr>
          <w:lang w:val="ru-RU"/>
        </w:rPr>
        <w:t xml:space="preserve"> 44H(b)(</w:t>
      </w:r>
      <w:proofErr w:type="spellStart"/>
      <w:r w:rsidR="007A50BC" w:rsidRPr="002E293B">
        <w:rPr>
          <w:lang w:val="ru-RU"/>
        </w:rPr>
        <w:t>ii</w:t>
      </w:r>
      <w:proofErr w:type="spellEnd"/>
      <w:r w:rsidR="007A50BC" w:rsidRPr="002E293B">
        <w:rPr>
          <w:lang w:val="ru-RU"/>
        </w:rPr>
        <w:t>)–(</w:t>
      </w:r>
      <w:proofErr w:type="spellStart"/>
      <w:r w:rsidR="007A50BC" w:rsidRPr="002E293B">
        <w:rPr>
          <w:lang w:val="ru-RU"/>
        </w:rPr>
        <w:t>iii</w:t>
      </w:r>
      <w:proofErr w:type="spellEnd"/>
      <w:r w:rsidR="007A50BC" w:rsidRPr="002E293B">
        <w:rPr>
          <w:lang w:val="ru-RU"/>
        </w:rPr>
        <w:t xml:space="preserve">) на </w:t>
      </w:r>
      <w:r w:rsidR="00BA0C34" w:rsidRPr="002E293B">
        <w:rPr>
          <w:lang w:val="ru-RU"/>
        </w:rPr>
        <w:t>начало</w:t>
      </w:r>
      <w:r w:rsidR="007A50BC" w:rsidRPr="002E293B">
        <w:rPr>
          <w:lang w:val="ru-RU"/>
        </w:rPr>
        <w:t xml:space="preserve"> годового отчетного периода, в котором организация впервые </w:t>
      </w:r>
      <w:r w:rsidR="00142F67" w:rsidRPr="002E293B">
        <w:rPr>
          <w:lang w:val="ru-RU"/>
        </w:rPr>
        <w:t>применяет</w:t>
      </w:r>
      <w:r w:rsidR="007A50BC" w:rsidRPr="002E293B">
        <w:rPr>
          <w:lang w:val="ru-RU"/>
        </w:rPr>
        <w:t xml:space="preserve"> данные поправки;</w:t>
      </w:r>
    </w:p>
    <w:p w14:paraId="2B37DFF1" w14:textId="77777777" w:rsidR="0079245D" w:rsidRPr="002E293B" w:rsidRDefault="00C77B3E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c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F92ABD" w:rsidRPr="002E293B">
        <w:rPr>
          <w:lang w:val="ru-RU"/>
        </w:rPr>
        <w:t>информацию</w:t>
      </w:r>
      <w:r w:rsidR="00142F67" w:rsidRPr="002E293B">
        <w:rPr>
          <w:lang w:val="ru-RU"/>
        </w:rPr>
        <w:t>, раскрытие которой в ином случае требовалось бы в соответствии с пунктами 44F–44H для любого промежуточного периода, представленного в рамках годового отчетного периода, в котором организация впервые применяет данные поправки.</w:t>
      </w:r>
    </w:p>
    <w:p w14:paraId="1996EFC1" w14:textId="77777777" w:rsidR="0079245D" w:rsidRPr="002E293B" w:rsidRDefault="0079245D">
      <w:pPr>
        <w:rPr>
          <w:lang w:val="ru-RU"/>
        </w:rPr>
        <w:sectPr w:rsidR="0079245D" w:rsidRPr="002E293B">
          <w:headerReference w:type="even" r:id="rId15"/>
          <w:headerReference w:type="default" r:id="rId16"/>
          <w:footerReference w:type="even" r:id="rId17"/>
          <w:footerReference w:type="default" r:id="rId18"/>
          <w:pgSz w:w="11880" w:h="16820"/>
          <w:pgMar w:top="1440" w:right="1440" w:bottom="1440" w:left="1440" w:header="720" w:footer="720" w:gutter="0"/>
          <w:cols w:space="720"/>
        </w:sectPr>
      </w:pPr>
    </w:p>
    <w:p w14:paraId="4E78725D" w14:textId="77777777" w:rsidR="0079245D" w:rsidRPr="002E293B" w:rsidRDefault="00FF64D4">
      <w:pPr>
        <w:pStyle w:val="IASBSectionTitle1NonInd"/>
        <w:rPr>
          <w:lang w:val="ru-RU"/>
        </w:rPr>
      </w:pPr>
      <w:r w:rsidRPr="002E293B">
        <w:rPr>
          <w:lang w:val="ru-RU"/>
        </w:rPr>
        <w:lastRenderedPageBreak/>
        <w:t>Поправки к МСФО</w:t>
      </w:r>
      <w:r w:rsidRPr="002E293B">
        <w:t> </w:t>
      </w:r>
      <w:r w:rsidRPr="002E293B">
        <w:rPr>
          <w:lang w:val="ru-RU"/>
        </w:rPr>
        <w:t>(</w:t>
      </w:r>
      <w:r w:rsidRPr="002E293B">
        <w:t>IFRS</w:t>
      </w:r>
      <w:r w:rsidRPr="002E293B">
        <w:rPr>
          <w:lang w:val="ru-RU"/>
        </w:rPr>
        <w:t>)</w:t>
      </w:r>
      <w:r w:rsidR="00C77B3E" w:rsidRPr="002E293B">
        <w:rPr>
          <w:lang w:val="ru-RU"/>
        </w:rPr>
        <w:t xml:space="preserve"> 7 </w:t>
      </w:r>
      <w:r w:rsidRPr="002E293B">
        <w:rPr>
          <w:i/>
          <w:lang w:val="ru-RU"/>
        </w:rPr>
        <w:t>«Финансовые инструменты: раскрытие информации»</w:t>
      </w:r>
      <w:r w:rsidR="00C77B3E" w:rsidRPr="002E293B">
        <w:rPr>
          <w:lang w:val="ru-RU"/>
        </w:rPr>
        <w:t xml:space="preserve"> </w:t>
      </w:r>
    </w:p>
    <w:p w14:paraId="7DC83CE9" w14:textId="77777777" w:rsidR="0079245D" w:rsidRPr="002E293B" w:rsidRDefault="0079245D">
      <w:pPr>
        <w:pStyle w:val="IASBNormalnpara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9245D" w:rsidRPr="002E293B" w14:paraId="749D8017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05D5C2C4" w14:textId="77777777" w:rsidR="0079245D" w:rsidRPr="002E293B" w:rsidRDefault="00592171" w:rsidP="00592171">
            <w:pPr>
              <w:pStyle w:val="IASBTableArial"/>
            </w:pPr>
            <w:r w:rsidRPr="002E293B">
              <w:rPr>
                <w:lang w:val="ru-RU"/>
              </w:rPr>
              <w:t>Пункт</w:t>
            </w:r>
            <w:r w:rsidR="00C77B3E" w:rsidRPr="002E293B">
              <w:rPr>
                <w:lang w:val="ru-RU"/>
              </w:rPr>
              <w:t xml:space="preserve"> 44</w:t>
            </w:r>
            <w:r w:rsidR="00C77B3E" w:rsidRPr="002E293B">
              <w:t>JJ</w:t>
            </w:r>
            <w:r w:rsidR="00C77B3E" w:rsidRPr="002E293B">
              <w:rPr>
                <w:lang w:val="ru-RU"/>
              </w:rPr>
              <w:t xml:space="preserve"> </w:t>
            </w:r>
            <w:r w:rsidRPr="002E293B">
              <w:rPr>
                <w:lang w:val="ru-RU"/>
              </w:rPr>
              <w:t>добавлен</w:t>
            </w:r>
            <w:r w:rsidR="00C77B3E" w:rsidRPr="002E293B">
              <w:rPr>
                <w:lang w:val="ru-RU"/>
              </w:rPr>
              <w:t xml:space="preserve">. </w:t>
            </w:r>
            <w:r w:rsidRPr="002E293B">
              <w:rPr>
                <w:lang w:val="ru-RU"/>
              </w:rPr>
              <w:t xml:space="preserve">В Приложении </w:t>
            </w:r>
            <w:r w:rsidRPr="002E293B">
              <w:t>B</w:t>
            </w:r>
            <w:r w:rsidRPr="002E293B">
              <w:rPr>
                <w:lang w:val="ru-RU"/>
              </w:rPr>
              <w:t xml:space="preserve"> внесены изменения в пункт</w:t>
            </w:r>
            <w:r w:rsidR="00C77B3E" w:rsidRPr="002E293B">
              <w:rPr>
                <w:lang w:val="ru-RU"/>
              </w:rPr>
              <w:t xml:space="preserve"> </w:t>
            </w:r>
            <w:r w:rsidR="00C77B3E" w:rsidRPr="002E293B">
              <w:t>B</w:t>
            </w:r>
            <w:r w:rsidR="00C77B3E" w:rsidRPr="002E293B">
              <w:rPr>
                <w:lang w:val="ru-RU"/>
              </w:rPr>
              <w:t>11</w:t>
            </w:r>
            <w:r w:rsidR="00C77B3E" w:rsidRPr="002E293B">
              <w:t>F</w:t>
            </w:r>
            <w:r w:rsidR="00C77B3E" w:rsidRPr="002E293B">
              <w:rPr>
                <w:lang w:val="ru-RU"/>
              </w:rPr>
              <w:t xml:space="preserve">. </w:t>
            </w:r>
            <w:proofErr w:type="spellStart"/>
            <w:r w:rsidRPr="002E293B">
              <w:t>Удаленный</w:t>
            </w:r>
            <w:proofErr w:type="spellEnd"/>
            <w:r w:rsidRPr="002E293B">
              <w:t xml:space="preserve"> </w:t>
            </w:r>
            <w:proofErr w:type="spellStart"/>
            <w:r w:rsidRPr="002E293B">
              <w:t>текст</w:t>
            </w:r>
            <w:proofErr w:type="spellEnd"/>
            <w:r w:rsidRPr="002E293B">
              <w:t xml:space="preserve"> </w:t>
            </w:r>
            <w:proofErr w:type="spellStart"/>
            <w:r w:rsidRPr="002E293B">
              <w:t>зачеркнут</w:t>
            </w:r>
            <w:proofErr w:type="spellEnd"/>
            <w:r w:rsidRPr="002E293B">
              <w:t xml:space="preserve">, </w:t>
            </w:r>
            <w:r w:rsidRPr="002E293B">
              <w:rPr>
                <w:lang w:val="ru-RU"/>
              </w:rPr>
              <w:t xml:space="preserve">а </w:t>
            </w:r>
            <w:proofErr w:type="spellStart"/>
            <w:r w:rsidRPr="002E293B">
              <w:t>новый</w:t>
            </w:r>
            <w:proofErr w:type="spellEnd"/>
            <w:r w:rsidRPr="002E293B">
              <w:t xml:space="preserve"> </w:t>
            </w:r>
            <w:proofErr w:type="spellStart"/>
            <w:r w:rsidRPr="002E293B">
              <w:t>или</w:t>
            </w:r>
            <w:proofErr w:type="spellEnd"/>
            <w:r w:rsidRPr="002E293B">
              <w:t xml:space="preserve"> </w:t>
            </w:r>
            <w:proofErr w:type="spellStart"/>
            <w:r w:rsidRPr="002E293B">
              <w:t>перенесенный</w:t>
            </w:r>
            <w:proofErr w:type="spellEnd"/>
            <w:r w:rsidRPr="002E293B">
              <w:t xml:space="preserve"> </w:t>
            </w:r>
            <w:proofErr w:type="spellStart"/>
            <w:r w:rsidRPr="002E293B">
              <w:t>текст</w:t>
            </w:r>
            <w:proofErr w:type="spellEnd"/>
            <w:r w:rsidRPr="002E293B">
              <w:t xml:space="preserve"> </w:t>
            </w:r>
            <w:proofErr w:type="spellStart"/>
            <w:r w:rsidRPr="002E293B">
              <w:t>подчеркнут</w:t>
            </w:r>
            <w:proofErr w:type="spellEnd"/>
            <w:r w:rsidR="00C77B3E" w:rsidRPr="002E293B">
              <w:t>.</w:t>
            </w:r>
          </w:p>
        </w:tc>
      </w:tr>
    </w:tbl>
    <w:p w14:paraId="5947D69C" w14:textId="77777777" w:rsidR="0079245D" w:rsidRPr="002E293B" w:rsidRDefault="0079245D">
      <w:pPr>
        <w:pStyle w:val="IASBNormalnpara"/>
      </w:pPr>
    </w:p>
    <w:p w14:paraId="3400FA03" w14:textId="77777777" w:rsidR="0079245D" w:rsidRPr="002E293B" w:rsidRDefault="00592171">
      <w:pPr>
        <w:pStyle w:val="IASBSectionTitle1NonInd"/>
        <w:rPr>
          <w:lang w:val="ru-RU"/>
        </w:rPr>
      </w:pPr>
      <w:r w:rsidRPr="002E293B">
        <w:rPr>
          <w:lang w:val="ru-RU"/>
        </w:rPr>
        <w:t>Дата вступления в силу и переходные положения</w:t>
      </w:r>
    </w:p>
    <w:p w14:paraId="248408AD" w14:textId="77777777" w:rsidR="0079245D" w:rsidRPr="002E293B" w:rsidRDefault="00C77B3E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784DA88A" w14:textId="03FE6975" w:rsidR="0079245D" w:rsidRPr="002E293B" w:rsidRDefault="00C77B3E" w:rsidP="00EF2AB6">
      <w:pPr>
        <w:pStyle w:val="IASBNormalnpara"/>
        <w:rPr>
          <w:lang w:val="ru-RU"/>
        </w:rPr>
      </w:pPr>
      <w:r w:rsidRPr="002E293B">
        <w:rPr>
          <w:u w:val="single"/>
          <w:lang w:val="ru-RU"/>
        </w:rPr>
        <w:t>44</w:t>
      </w:r>
      <w:r w:rsidRPr="002E293B">
        <w:rPr>
          <w:u w:val="single"/>
        </w:rPr>
        <w:t>JJ</w:t>
      </w:r>
      <w:r w:rsidRPr="002E293B">
        <w:rPr>
          <w:lang w:val="ru-RU"/>
        </w:rPr>
        <w:tab/>
      </w:r>
      <w:r w:rsidR="00592171" w:rsidRPr="002E293B">
        <w:rPr>
          <w:u w:val="single"/>
          <w:lang w:val="ru-RU"/>
        </w:rPr>
        <w:t xml:space="preserve">Документом </w:t>
      </w:r>
      <w:r w:rsidR="00592171" w:rsidRPr="002E293B">
        <w:rPr>
          <w:i/>
          <w:u w:val="single"/>
          <w:lang w:val="ru-RU"/>
        </w:rPr>
        <w:t xml:space="preserve">«Соглашения о финансировании </w:t>
      </w:r>
      <w:r w:rsidR="00363241" w:rsidRPr="002E293B">
        <w:rPr>
          <w:i/>
          <w:u w:val="single"/>
          <w:lang w:val="ru-RU"/>
        </w:rPr>
        <w:t>поставок</w:t>
      </w:r>
      <w:r w:rsidR="00592171" w:rsidRPr="002E293B">
        <w:rPr>
          <w:i/>
          <w:u w:val="single"/>
          <w:lang w:val="ru-RU"/>
        </w:rPr>
        <w:t>»</w:t>
      </w:r>
      <w:r w:rsidR="00592171" w:rsidRPr="002E293B">
        <w:rPr>
          <w:u w:val="single"/>
          <w:lang w:val="ru-RU"/>
        </w:rPr>
        <w:t>, выпущенным в мае 2023 года, которы</w:t>
      </w:r>
      <w:r w:rsidR="00A94DF2" w:rsidRPr="002E293B">
        <w:rPr>
          <w:u w:val="single"/>
          <w:lang w:val="ru-RU"/>
        </w:rPr>
        <w:t>м</w:t>
      </w:r>
      <w:r w:rsidR="00592171" w:rsidRPr="002E293B">
        <w:rPr>
          <w:u w:val="single"/>
          <w:lang w:val="ru-RU"/>
        </w:rPr>
        <w:t xml:space="preserve"> также </w:t>
      </w:r>
      <w:r w:rsidR="00B2598E" w:rsidRPr="002E293B">
        <w:rPr>
          <w:u w:val="single"/>
          <w:lang w:val="ru-RU"/>
        </w:rPr>
        <w:t>внес</w:t>
      </w:r>
      <w:r w:rsidR="00A94DF2" w:rsidRPr="002E293B">
        <w:rPr>
          <w:u w:val="single"/>
          <w:lang w:val="ru-RU"/>
        </w:rPr>
        <w:t>ены</w:t>
      </w:r>
      <w:r w:rsidR="00B2598E" w:rsidRPr="002E293B">
        <w:rPr>
          <w:u w:val="single"/>
          <w:lang w:val="ru-RU"/>
        </w:rPr>
        <w:t xml:space="preserve"> поправки в </w:t>
      </w:r>
      <w:r w:rsidR="00592171" w:rsidRPr="002E293B">
        <w:rPr>
          <w:u w:val="single"/>
          <w:lang w:val="ru-RU"/>
        </w:rPr>
        <w:t>МСФО</w:t>
      </w:r>
      <w:r w:rsidR="00D934AE" w:rsidRPr="002E293B">
        <w:rPr>
          <w:u w:val="single"/>
          <w:lang w:val="ru-RU"/>
        </w:rPr>
        <w:t> </w:t>
      </w:r>
      <w:r w:rsidR="00592171" w:rsidRPr="002E293B">
        <w:rPr>
          <w:u w:val="single"/>
          <w:lang w:val="ru-RU"/>
        </w:rPr>
        <w:t>(IAS)</w:t>
      </w:r>
      <w:r w:rsidR="00D934AE" w:rsidRPr="002E293B">
        <w:rPr>
          <w:u w:val="single"/>
          <w:lang w:val="ru-RU"/>
        </w:rPr>
        <w:t> </w:t>
      </w:r>
      <w:r w:rsidR="00592171" w:rsidRPr="002E293B">
        <w:rPr>
          <w:u w:val="single"/>
          <w:lang w:val="ru-RU"/>
        </w:rPr>
        <w:t xml:space="preserve">7, </w:t>
      </w:r>
      <w:r w:rsidR="00D934AE" w:rsidRPr="002E293B">
        <w:rPr>
          <w:u w:val="single"/>
          <w:lang w:val="ru-RU"/>
        </w:rPr>
        <w:t>внесен</w:t>
      </w:r>
      <w:r w:rsidR="00C04ADA" w:rsidRPr="002E293B">
        <w:rPr>
          <w:u w:val="single"/>
          <w:lang w:val="ru-RU"/>
        </w:rPr>
        <w:t>а</w:t>
      </w:r>
      <w:r w:rsidR="00D934AE" w:rsidRPr="002E293B">
        <w:rPr>
          <w:u w:val="single"/>
          <w:lang w:val="ru-RU"/>
        </w:rPr>
        <w:t xml:space="preserve"> поправк</w:t>
      </w:r>
      <w:r w:rsidR="00C04ADA" w:rsidRPr="002E293B">
        <w:rPr>
          <w:u w:val="single"/>
          <w:lang w:val="ru-RU"/>
        </w:rPr>
        <w:t>а</w:t>
      </w:r>
      <w:r w:rsidR="00D934AE" w:rsidRPr="002E293B">
        <w:rPr>
          <w:u w:val="single"/>
          <w:lang w:val="ru-RU"/>
        </w:rPr>
        <w:t xml:space="preserve"> в</w:t>
      </w:r>
      <w:r w:rsidR="00592171" w:rsidRPr="002E293B">
        <w:rPr>
          <w:u w:val="single"/>
          <w:lang w:val="ru-RU"/>
        </w:rPr>
        <w:t xml:space="preserve"> пункт B11F. Организация должна примен</w:t>
      </w:r>
      <w:r w:rsidR="00C04ADA" w:rsidRPr="002E293B">
        <w:rPr>
          <w:u w:val="single"/>
          <w:lang w:val="ru-RU"/>
        </w:rPr>
        <w:t>и</w:t>
      </w:r>
      <w:r w:rsidR="00592171" w:rsidRPr="002E293B">
        <w:rPr>
          <w:u w:val="single"/>
          <w:lang w:val="ru-RU"/>
        </w:rPr>
        <w:t>ть данную поправку</w:t>
      </w:r>
      <w:r w:rsidR="00EF2AB6" w:rsidRPr="002E293B">
        <w:rPr>
          <w:u w:val="single"/>
          <w:lang w:val="ru-RU"/>
        </w:rPr>
        <w:t xml:space="preserve"> одновременно с применением поправок</w:t>
      </w:r>
      <w:r w:rsidR="00592171" w:rsidRPr="002E293B">
        <w:rPr>
          <w:u w:val="single"/>
          <w:lang w:val="ru-RU"/>
        </w:rPr>
        <w:t xml:space="preserve"> к МСФО</w:t>
      </w:r>
      <w:r w:rsidR="00D934AE" w:rsidRPr="002E293B">
        <w:rPr>
          <w:u w:val="single"/>
          <w:lang w:val="ru-RU"/>
        </w:rPr>
        <w:t> </w:t>
      </w:r>
      <w:r w:rsidR="00592171" w:rsidRPr="002E293B">
        <w:rPr>
          <w:u w:val="single"/>
          <w:lang w:val="ru-RU"/>
        </w:rPr>
        <w:t>(IAS)</w:t>
      </w:r>
      <w:r w:rsidR="00D934AE" w:rsidRPr="002E293B">
        <w:rPr>
          <w:u w:val="single"/>
          <w:lang w:val="ru-RU"/>
        </w:rPr>
        <w:t> </w:t>
      </w:r>
      <w:r w:rsidR="00592171" w:rsidRPr="002E293B">
        <w:rPr>
          <w:u w:val="single"/>
          <w:lang w:val="ru-RU"/>
        </w:rPr>
        <w:t>7.</w:t>
      </w:r>
    </w:p>
    <w:p w14:paraId="5647B237" w14:textId="77777777" w:rsidR="0079245D" w:rsidRPr="002E293B" w:rsidRDefault="00C77B3E" w:rsidP="00EF2AB6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178CBA08" w14:textId="77777777" w:rsidR="006A1F84" w:rsidRPr="002E293B" w:rsidRDefault="006A1F84" w:rsidP="00EF2AB6">
      <w:pPr>
        <w:pStyle w:val="IASBNormalnpara"/>
        <w:rPr>
          <w:lang w:val="ru-RU"/>
        </w:rPr>
      </w:pPr>
    </w:p>
    <w:p w14:paraId="0CC9746A" w14:textId="77777777" w:rsidR="006A1F84" w:rsidRPr="002E293B" w:rsidRDefault="00764E50" w:rsidP="00EF2AB6">
      <w:pPr>
        <w:pStyle w:val="IASBSectionTitle2NonInd"/>
        <w:rPr>
          <w:lang w:val="ru-RU"/>
        </w:rPr>
      </w:pPr>
      <w:r w:rsidRPr="002E293B">
        <w:rPr>
          <w:lang w:val="ru-RU"/>
        </w:rPr>
        <w:t>Приложение</w:t>
      </w:r>
      <w:r w:rsidR="006A1F84" w:rsidRPr="002E293B">
        <w:rPr>
          <w:lang w:val="ru-RU"/>
        </w:rPr>
        <w:t xml:space="preserve"> </w:t>
      </w:r>
      <w:r w:rsidR="006A1F84" w:rsidRPr="002E293B">
        <w:t>B</w:t>
      </w:r>
      <w:r w:rsidR="006A1F84" w:rsidRPr="002E293B">
        <w:rPr>
          <w:lang w:val="ru-RU"/>
        </w:rPr>
        <w:br/>
      </w:r>
      <w:r w:rsidRPr="002E293B">
        <w:rPr>
          <w:lang w:val="ru-RU"/>
        </w:rPr>
        <w:t>Руководство по применению</w:t>
      </w:r>
    </w:p>
    <w:p w14:paraId="2783C021" w14:textId="77777777" w:rsidR="006A1F84" w:rsidRPr="002E293B" w:rsidRDefault="006A1F84" w:rsidP="006A1F84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046E7F9E" w14:textId="77777777" w:rsidR="006A1F84" w:rsidRPr="002E293B" w:rsidRDefault="00764E50" w:rsidP="006A1F84">
      <w:pPr>
        <w:pStyle w:val="IASBSectionTitle1NonInd"/>
        <w:rPr>
          <w:lang w:val="ru-RU"/>
        </w:rPr>
      </w:pPr>
      <w:r w:rsidRPr="002E293B">
        <w:rPr>
          <w:lang w:val="ru-RU"/>
        </w:rPr>
        <w:t>Характер и размер рисков, связанных с финансовыми инструментами (пункты 31–42)</w:t>
      </w:r>
    </w:p>
    <w:p w14:paraId="1E228AC5" w14:textId="77777777" w:rsidR="006A1F84" w:rsidRPr="002E293B" w:rsidRDefault="006A1F84" w:rsidP="006A1F84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2E326E26" w14:textId="77777777" w:rsidR="006A1F84" w:rsidRPr="002E293B" w:rsidRDefault="00A10475" w:rsidP="006A1F84">
      <w:pPr>
        <w:pStyle w:val="IASBSectionTitle2Ind"/>
        <w:rPr>
          <w:lang w:val="ru-RU"/>
        </w:rPr>
      </w:pPr>
      <w:r w:rsidRPr="002E293B">
        <w:rPr>
          <w:lang w:val="ru-RU"/>
        </w:rPr>
        <w:t>Раскрытие количественной информации о риске ликвидности</w:t>
      </w:r>
      <w:r w:rsidR="006A1F84" w:rsidRPr="002E293B">
        <w:rPr>
          <w:lang w:val="ru-RU"/>
        </w:rPr>
        <w:t xml:space="preserve"> (</w:t>
      </w:r>
      <w:r w:rsidRPr="002E293B">
        <w:rPr>
          <w:lang w:val="ru-RU"/>
        </w:rPr>
        <w:t>пункты</w:t>
      </w:r>
      <w:r w:rsidR="006A1F84" w:rsidRPr="002E293B">
        <w:rPr>
          <w:lang w:val="ru-RU"/>
        </w:rPr>
        <w:t xml:space="preserve"> 34(</w:t>
      </w:r>
      <w:r w:rsidR="006A1F84" w:rsidRPr="002E293B">
        <w:t>a</w:t>
      </w:r>
      <w:r w:rsidR="006A1F84" w:rsidRPr="002E293B">
        <w:rPr>
          <w:lang w:val="ru-RU"/>
        </w:rPr>
        <w:t xml:space="preserve">) </w:t>
      </w:r>
      <w:r w:rsidRPr="002E293B">
        <w:rPr>
          <w:lang w:val="ru-RU"/>
        </w:rPr>
        <w:t>и</w:t>
      </w:r>
      <w:r w:rsidR="006A1F84" w:rsidRPr="002E293B">
        <w:rPr>
          <w:lang w:val="ru-RU"/>
        </w:rPr>
        <w:t xml:space="preserve"> 39(</w:t>
      </w:r>
      <w:r w:rsidR="006A1F84" w:rsidRPr="002E293B">
        <w:t>a</w:t>
      </w:r>
      <w:r w:rsidR="006A1F84" w:rsidRPr="002E293B">
        <w:rPr>
          <w:lang w:val="ru-RU"/>
        </w:rPr>
        <w:t xml:space="preserve">) </w:t>
      </w:r>
      <w:r w:rsidRPr="002E293B">
        <w:rPr>
          <w:lang w:val="ru-RU"/>
        </w:rPr>
        <w:t>и</w:t>
      </w:r>
      <w:r w:rsidR="006A1F84" w:rsidRPr="002E293B">
        <w:rPr>
          <w:lang w:val="ru-RU"/>
        </w:rPr>
        <w:t xml:space="preserve"> (</w:t>
      </w:r>
      <w:r w:rsidR="006A1F84" w:rsidRPr="002E293B">
        <w:t>b</w:t>
      </w:r>
      <w:r w:rsidR="006A1F84" w:rsidRPr="002E293B">
        <w:rPr>
          <w:lang w:val="ru-RU"/>
        </w:rPr>
        <w:t>))</w:t>
      </w:r>
    </w:p>
    <w:p w14:paraId="5FB885B0" w14:textId="77777777" w:rsidR="006A1F84" w:rsidRPr="002E293B" w:rsidRDefault="006A1F84" w:rsidP="006A1F84">
      <w:pPr>
        <w:pStyle w:val="IASBNormalnpara"/>
        <w:rPr>
          <w:lang w:val="ru-RU"/>
        </w:rPr>
      </w:pPr>
      <w:r w:rsidRPr="002E293B">
        <w:rPr>
          <w:lang w:val="ru-RU"/>
        </w:rPr>
        <w:tab/>
        <w:t>...</w:t>
      </w:r>
    </w:p>
    <w:p w14:paraId="44EDA1A1" w14:textId="697641C5" w:rsidR="006A1F84" w:rsidRPr="002E293B" w:rsidRDefault="006A1F84" w:rsidP="006A1F84">
      <w:pPr>
        <w:pStyle w:val="IASBNormalnpara"/>
        <w:rPr>
          <w:lang w:val="ru-RU"/>
        </w:rPr>
      </w:pPr>
      <w:r w:rsidRPr="002E293B">
        <w:t>B</w:t>
      </w:r>
      <w:r w:rsidRPr="002E293B">
        <w:rPr>
          <w:lang w:val="ru-RU"/>
        </w:rPr>
        <w:t>11</w:t>
      </w:r>
      <w:r w:rsidRPr="002E293B">
        <w:t>F</w:t>
      </w:r>
      <w:r w:rsidRPr="002E293B">
        <w:rPr>
          <w:lang w:val="ru-RU"/>
        </w:rPr>
        <w:tab/>
      </w:r>
      <w:r w:rsidR="00A10475" w:rsidRPr="002E293B">
        <w:rPr>
          <w:lang w:val="ru-RU"/>
        </w:rPr>
        <w:t>Другие факторы, которые организация могла бы расс</w:t>
      </w:r>
      <w:r w:rsidR="003E21BD" w:rsidRPr="002E293B">
        <w:rPr>
          <w:lang w:val="ru-RU"/>
        </w:rPr>
        <w:t>матрива</w:t>
      </w:r>
      <w:r w:rsidR="00A10475" w:rsidRPr="002E293B">
        <w:rPr>
          <w:lang w:val="ru-RU"/>
        </w:rPr>
        <w:t>ть в рамках раскрытия информации, требуемой пунктом 39(</w:t>
      </w:r>
      <w:r w:rsidR="00A10475" w:rsidRPr="002E293B">
        <w:t>c</w:t>
      </w:r>
      <w:r w:rsidR="00A10475" w:rsidRPr="002E293B">
        <w:rPr>
          <w:lang w:val="ru-RU"/>
        </w:rPr>
        <w:t>), включают, но не огран</w:t>
      </w:r>
      <w:r w:rsidR="00D311FE" w:rsidRPr="002E293B">
        <w:rPr>
          <w:lang w:val="ru-RU"/>
        </w:rPr>
        <w:t>ичиваются следующ</w:t>
      </w:r>
      <w:r w:rsidR="003E21BD" w:rsidRPr="002E293B">
        <w:rPr>
          <w:lang w:val="ru-RU"/>
        </w:rPr>
        <w:t>ими</w:t>
      </w:r>
      <w:r w:rsidRPr="002E293B">
        <w:rPr>
          <w:lang w:val="ru-RU"/>
        </w:rPr>
        <w:t>:</w:t>
      </w:r>
    </w:p>
    <w:p w14:paraId="6B5E7E85" w14:textId="6B2DF07E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a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ED0993" w:rsidRPr="002E293B">
        <w:rPr>
          <w:lang w:val="ru-RU"/>
        </w:rPr>
        <w:t>обеспечила ли организация возможность привлечения заемных средств (например, возможность размещения необеспеченных краткосрочных долговых ценных бумаг) или другие кредитные линии (например, механизм резервного кредитования), которые она может использовать для поддержания ликвидности;</w:t>
      </w:r>
    </w:p>
    <w:p w14:paraId="232896C6" w14:textId="77777777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b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AC2A4A" w:rsidRPr="002E293B">
        <w:rPr>
          <w:lang w:val="ru-RU"/>
        </w:rPr>
        <w:t>имеет ли организация депозиты в центральных банках с целью поддержания ликвидности</w:t>
      </w:r>
      <w:r w:rsidRPr="002E293B">
        <w:rPr>
          <w:lang w:val="ru-RU"/>
        </w:rPr>
        <w:t>;</w:t>
      </w:r>
    </w:p>
    <w:p w14:paraId="672CF77A" w14:textId="235DFDD3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c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A63779" w:rsidRPr="002E293B">
        <w:rPr>
          <w:lang w:val="ru-RU"/>
        </w:rPr>
        <w:t>имеет ли</w:t>
      </w:r>
      <w:r w:rsidR="00AC2A4A" w:rsidRPr="002E293B">
        <w:rPr>
          <w:lang w:val="ru-RU"/>
        </w:rPr>
        <w:t xml:space="preserve"> организаци</w:t>
      </w:r>
      <w:r w:rsidR="00A63779" w:rsidRPr="002E293B">
        <w:rPr>
          <w:lang w:val="ru-RU"/>
        </w:rPr>
        <w:t>я</w:t>
      </w:r>
      <w:r w:rsidR="00AC2A4A" w:rsidRPr="002E293B">
        <w:rPr>
          <w:lang w:val="ru-RU"/>
        </w:rPr>
        <w:t xml:space="preserve"> разнообразны</w:t>
      </w:r>
      <w:r w:rsidR="00A63779" w:rsidRPr="002E293B">
        <w:rPr>
          <w:lang w:val="ru-RU"/>
        </w:rPr>
        <w:t>е источники финансирования</w:t>
      </w:r>
      <w:r w:rsidRPr="002E293B">
        <w:rPr>
          <w:lang w:val="ru-RU"/>
        </w:rPr>
        <w:t>;</w:t>
      </w:r>
    </w:p>
    <w:p w14:paraId="431F0373" w14:textId="77777777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d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AC2A4A" w:rsidRPr="002E293B">
        <w:rPr>
          <w:lang w:val="ru-RU"/>
        </w:rPr>
        <w:t>имеет ли организация значительные концентрации риска ликвидности по активам или источникам финансирования</w:t>
      </w:r>
      <w:r w:rsidRPr="002E293B">
        <w:rPr>
          <w:lang w:val="ru-RU"/>
        </w:rPr>
        <w:t>;</w:t>
      </w:r>
    </w:p>
    <w:p w14:paraId="17D41D7C" w14:textId="77777777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e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9621BF" w:rsidRPr="002E293B">
        <w:rPr>
          <w:lang w:val="ru-RU"/>
        </w:rPr>
        <w:t>имеет ли организация установленные процедуры внутреннего контроля и планы действий в случае непредвиденных обстоятельств с целью управления риском ликвидности</w:t>
      </w:r>
      <w:r w:rsidRPr="002E293B">
        <w:rPr>
          <w:lang w:val="ru-RU"/>
        </w:rPr>
        <w:t>;</w:t>
      </w:r>
    </w:p>
    <w:p w14:paraId="3F7BD532" w14:textId="77777777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f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9621BF" w:rsidRPr="002E293B">
        <w:rPr>
          <w:lang w:val="ru-RU"/>
        </w:rPr>
        <w:t>имеет ли организация инструменты, которые предусматривают возможность досрочного погашения (например, в случае снижения кредитного рейтинга организации)</w:t>
      </w:r>
      <w:r w:rsidRPr="002E293B">
        <w:rPr>
          <w:lang w:val="ru-RU"/>
        </w:rPr>
        <w:t>;</w:t>
      </w:r>
    </w:p>
    <w:p w14:paraId="0CAEAD05" w14:textId="3ADFB5D6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r w:rsidRPr="002E293B">
        <w:t>g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9621BF" w:rsidRPr="002E293B">
        <w:rPr>
          <w:lang w:val="ru-RU"/>
        </w:rPr>
        <w:t>имеет ли организация инструменты, которые могли бы потребовать предоставления залогового обеспечения (например, требование внести гарантийную маржу применительно к производным инструментам)</w:t>
      </w:r>
      <w:r w:rsidRPr="002E293B">
        <w:rPr>
          <w:lang w:val="ru-RU"/>
        </w:rPr>
        <w:t>;</w:t>
      </w:r>
    </w:p>
    <w:p w14:paraId="243041BB" w14:textId="78C61D98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lastRenderedPageBreak/>
        <w:t>(</w:t>
      </w:r>
      <w:r w:rsidRPr="002E293B">
        <w:t>h</w:t>
      </w:r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9621BF" w:rsidRPr="002E293B">
        <w:rPr>
          <w:lang w:val="ru-RU"/>
        </w:rPr>
        <w:t xml:space="preserve">имеет ли организация инструменты, которые позволяют ей выбрать способ урегулирования своих финансовых обязательств: денежными средствами (или </w:t>
      </w:r>
      <w:r w:rsidR="00A61AB1" w:rsidRPr="002E293B">
        <w:rPr>
          <w:lang w:val="ru-RU"/>
        </w:rPr>
        <w:t xml:space="preserve">другим </w:t>
      </w:r>
      <w:r w:rsidR="009621BF" w:rsidRPr="002E293B">
        <w:rPr>
          <w:lang w:val="ru-RU"/>
        </w:rPr>
        <w:t xml:space="preserve">финансовым активом) либо собственными акциями; </w:t>
      </w:r>
      <w:r w:rsidR="009621BF" w:rsidRPr="002E293B">
        <w:rPr>
          <w:strike/>
          <w:lang w:val="ru-RU"/>
        </w:rPr>
        <w:t>или</w:t>
      </w:r>
      <w:r w:rsidRPr="002E293B">
        <w:rPr>
          <w:lang w:val="ru-RU"/>
        </w:rPr>
        <w:t xml:space="preserve"> </w:t>
      </w:r>
    </w:p>
    <w:p w14:paraId="6A565D27" w14:textId="7149802C" w:rsidR="006A1F84" w:rsidRPr="002E293B" w:rsidRDefault="006A1F84" w:rsidP="006A1F84">
      <w:pPr>
        <w:pStyle w:val="IASBNormalnparaL1"/>
        <w:rPr>
          <w:lang w:val="ru-RU"/>
        </w:rPr>
      </w:pPr>
      <w:r w:rsidRPr="002E293B">
        <w:rPr>
          <w:lang w:val="ru-RU"/>
        </w:rPr>
        <w:t>(</w:t>
      </w:r>
      <w:proofErr w:type="spellStart"/>
      <w:r w:rsidRPr="002E293B">
        <w:t>i</w:t>
      </w:r>
      <w:proofErr w:type="spellEnd"/>
      <w:r w:rsidRPr="002E293B">
        <w:rPr>
          <w:lang w:val="ru-RU"/>
        </w:rPr>
        <w:t>)</w:t>
      </w:r>
      <w:r w:rsidRPr="002E293B">
        <w:rPr>
          <w:lang w:val="ru-RU"/>
        </w:rPr>
        <w:tab/>
      </w:r>
      <w:r w:rsidR="009621BF" w:rsidRPr="002E293B">
        <w:rPr>
          <w:lang w:val="ru-RU"/>
        </w:rPr>
        <w:t>имеет ли организация инструменты, которые являются предметом генерального соглашения о неттинге</w:t>
      </w:r>
      <w:r w:rsidRPr="002E293B">
        <w:rPr>
          <w:u w:val="single"/>
          <w:lang w:val="ru-RU"/>
        </w:rPr>
        <w:t xml:space="preserve">; </w:t>
      </w:r>
      <w:r w:rsidR="009621BF" w:rsidRPr="002E293B">
        <w:rPr>
          <w:u w:val="single"/>
          <w:lang w:val="ru-RU"/>
        </w:rPr>
        <w:t>или</w:t>
      </w:r>
    </w:p>
    <w:p w14:paraId="51963009" w14:textId="04712754" w:rsidR="00D62E06" w:rsidRPr="002E293B" w:rsidRDefault="006A1F84" w:rsidP="00606EF3">
      <w:pPr>
        <w:pStyle w:val="IASBNormalnparaL1"/>
        <w:rPr>
          <w:lang w:val="ru-RU"/>
        </w:rPr>
      </w:pPr>
      <w:r w:rsidRPr="002E293B">
        <w:rPr>
          <w:u w:val="single"/>
          <w:lang w:val="ru-RU"/>
        </w:rPr>
        <w:t>(</w:t>
      </w:r>
      <w:r w:rsidRPr="002E293B">
        <w:rPr>
          <w:u w:val="single"/>
        </w:rPr>
        <w:t>j</w:t>
      </w:r>
      <w:r w:rsidRPr="002E293B">
        <w:rPr>
          <w:u w:val="single"/>
          <w:lang w:val="ru-RU"/>
        </w:rPr>
        <w:t>)</w:t>
      </w:r>
      <w:r w:rsidRPr="002E293B">
        <w:rPr>
          <w:lang w:val="ru-RU"/>
        </w:rPr>
        <w:tab/>
      </w:r>
      <w:r w:rsidR="00052332" w:rsidRPr="002E293B">
        <w:rPr>
          <w:u w:val="single"/>
          <w:lang w:val="ru-RU"/>
        </w:rPr>
        <w:t>воспользовалась ли уже организация или имеет доступ к возможностям, которые предусматриваются соглашениями о финансировании поставок (как описано в пункте 44G МСФО (IAS) 7) и обеспечивают более длительные сроки оплаты для организации или досрочное получение оплаты для поставщиков этой организации</w:t>
      </w:r>
      <w:r w:rsidRPr="002E293B">
        <w:rPr>
          <w:lang w:val="ru-RU"/>
        </w:rPr>
        <w:t>.</w:t>
      </w:r>
    </w:p>
    <w:sectPr w:rsidR="00D62E06" w:rsidRPr="002E293B">
      <w:headerReference w:type="even" r:id="rId19"/>
      <w:headerReference w:type="default" r:id="rId20"/>
      <w:footerReference w:type="even" r:id="rId21"/>
      <w:footerReference w:type="default" r:id="rId22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441D" w14:textId="77777777" w:rsidR="00573B08" w:rsidRDefault="00573B08">
      <w:r>
        <w:separator/>
      </w:r>
    </w:p>
  </w:endnote>
  <w:endnote w:type="continuationSeparator" w:id="0">
    <w:p w14:paraId="1D442A2E" w14:textId="77777777" w:rsidR="00573B08" w:rsidRDefault="00573B08">
      <w:r>
        <w:continuationSeparator/>
      </w:r>
    </w:p>
  </w:endnote>
  <w:endnote w:type="continuationNotice" w:id="1">
    <w:p w14:paraId="7F293F82" w14:textId="77777777" w:rsidR="00573B08" w:rsidRDefault="00573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D52C" w14:textId="77777777" w:rsidR="00CA20D4" w:rsidRDefault="00CA20D4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EF26" w14:textId="77777777" w:rsidR="00CA20D4" w:rsidRDefault="00CA20D4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88418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A8E1" w14:textId="77777777" w:rsidR="00CA20D4" w:rsidRDefault="00CA20D4">
    <w:pPr>
      <w:pStyle w:val="Footer"/>
    </w:pPr>
    <w:r>
      <w:fldChar w:fldCharType="begin"/>
    </w:r>
    <w:r>
      <w:instrText>PAGE</w:instrText>
    </w:r>
    <w:r>
      <w:fldChar w:fldCharType="separate"/>
    </w:r>
    <w:r w:rsidR="00884187">
      <w:rPr>
        <w:noProof/>
      </w:rPr>
      <w:t>2</w:t>
    </w:r>
    <w:r>
      <w:fldChar w:fldCharType="end"/>
    </w:r>
    <w:r>
      <w:tab/>
      <w:t>© IFRS Foundation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A3E7" w14:textId="77777777" w:rsidR="00CA20D4" w:rsidRDefault="00CA20D4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884187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D21F" w14:textId="77777777" w:rsidR="00CA20D4" w:rsidRDefault="00CA20D4">
    <w:pPr>
      <w:pStyle w:val="Footer"/>
    </w:pPr>
    <w:r>
      <w:fldChar w:fldCharType="begin"/>
    </w:r>
    <w:r>
      <w:instrText>PAGE</w:instrText>
    </w:r>
    <w:r>
      <w:fldChar w:fldCharType="separate"/>
    </w:r>
    <w:r w:rsidR="00A63779">
      <w:rPr>
        <w:noProof/>
      </w:rPr>
      <w:t>4</w:t>
    </w:r>
    <w:r>
      <w:fldChar w:fldCharType="end"/>
    </w:r>
    <w:r>
      <w:tab/>
      <w:t>© IFRS Foundation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E8C7" w14:textId="77777777" w:rsidR="00CA20D4" w:rsidRDefault="00CA20D4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A6377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59D6" w14:textId="77777777" w:rsidR="00573B08" w:rsidRDefault="00573B08">
      <w:r>
        <w:separator/>
      </w:r>
    </w:p>
  </w:footnote>
  <w:footnote w:type="continuationSeparator" w:id="0">
    <w:p w14:paraId="497C5445" w14:textId="77777777" w:rsidR="00573B08" w:rsidRDefault="00573B08">
      <w:r>
        <w:continuationSeparator/>
      </w:r>
    </w:p>
  </w:footnote>
  <w:footnote w:type="continuationNotice" w:id="1">
    <w:p w14:paraId="0B7AE42C" w14:textId="77777777" w:rsidR="00573B08" w:rsidRDefault="00573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2DF8" w14:textId="77777777" w:rsidR="00CA20D4" w:rsidRDefault="00CA2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EB27" w14:textId="77777777" w:rsidR="00CA20D4" w:rsidRDefault="00CA20D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C113" w14:textId="77777777" w:rsidR="00CA20D4" w:rsidRDefault="00CA20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028F" w14:textId="77777777" w:rsidR="00CA20D4" w:rsidRDefault="00CA20D4">
    <w:pPr>
      <w:pStyle w:val="Header"/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F815" w14:textId="77777777" w:rsidR="00CA20D4" w:rsidRDefault="00CA20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E4C9" w14:textId="77777777" w:rsidR="00CA20D4" w:rsidRDefault="00CA20D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678A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5CA6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736A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4B49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6720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1BE7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93AC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89C9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76E4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46393C"/>
    <w:multiLevelType w:val="multilevel"/>
    <w:tmpl w:val="D33C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558885">
    <w:abstractNumId w:val="8"/>
  </w:num>
  <w:num w:numId="2" w16cid:durableId="991832162">
    <w:abstractNumId w:val="6"/>
  </w:num>
  <w:num w:numId="3" w16cid:durableId="1480264574">
    <w:abstractNumId w:val="5"/>
  </w:num>
  <w:num w:numId="4" w16cid:durableId="1835099546">
    <w:abstractNumId w:val="4"/>
  </w:num>
  <w:num w:numId="5" w16cid:durableId="1093941277">
    <w:abstractNumId w:val="3"/>
  </w:num>
  <w:num w:numId="6" w16cid:durableId="857815187">
    <w:abstractNumId w:val="7"/>
  </w:num>
  <w:num w:numId="7" w16cid:durableId="1064572526">
    <w:abstractNumId w:val="2"/>
  </w:num>
  <w:num w:numId="8" w16cid:durableId="9796127">
    <w:abstractNumId w:val="1"/>
  </w:num>
  <w:num w:numId="9" w16cid:durableId="67923162">
    <w:abstractNumId w:val="0"/>
  </w:num>
  <w:num w:numId="10" w16cid:durableId="1866288406">
    <w:abstractNumId w:val="9"/>
  </w:num>
  <w:num w:numId="11" w16cid:durableId="1396664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oNotTrackFormatting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5D"/>
    <w:rsid w:val="00004369"/>
    <w:rsid w:val="0001006C"/>
    <w:rsid w:val="000170EE"/>
    <w:rsid w:val="0001772D"/>
    <w:rsid w:val="00017AE1"/>
    <w:rsid w:val="00023ABE"/>
    <w:rsid w:val="000269A4"/>
    <w:rsid w:val="00031681"/>
    <w:rsid w:val="00032736"/>
    <w:rsid w:val="0003440D"/>
    <w:rsid w:val="00035BA9"/>
    <w:rsid w:val="0003641A"/>
    <w:rsid w:val="00036822"/>
    <w:rsid w:val="00040449"/>
    <w:rsid w:val="000464E2"/>
    <w:rsid w:val="00046EA9"/>
    <w:rsid w:val="000474CD"/>
    <w:rsid w:val="00047DBA"/>
    <w:rsid w:val="00052332"/>
    <w:rsid w:val="00052DB7"/>
    <w:rsid w:val="00054F04"/>
    <w:rsid w:val="00055E73"/>
    <w:rsid w:val="00060CF7"/>
    <w:rsid w:val="000763D1"/>
    <w:rsid w:val="00083530"/>
    <w:rsid w:val="00092686"/>
    <w:rsid w:val="000C3694"/>
    <w:rsid w:val="000C4A55"/>
    <w:rsid w:val="000C4FA3"/>
    <w:rsid w:val="000C7D1D"/>
    <w:rsid w:val="000D058B"/>
    <w:rsid w:val="000D0CBB"/>
    <w:rsid w:val="000D1250"/>
    <w:rsid w:val="000D1ECF"/>
    <w:rsid w:val="000D393E"/>
    <w:rsid w:val="000D652E"/>
    <w:rsid w:val="000D6F92"/>
    <w:rsid w:val="000D713D"/>
    <w:rsid w:val="000D7A10"/>
    <w:rsid w:val="000D7BFC"/>
    <w:rsid w:val="000E26D0"/>
    <w:rsid w:val="000E555C"/>
    <w:rsid w:val="000F6821"/>
    <w:rsid w:val="00106483"/>
    <w:rsid w:val="00110BC8"/>
    <w:rsid w:val="00113EA3"/>
    <w:rsid w:val="00120E05"/>
    <w:rsid w:val="001242AD"/>
    <w:rsid w:val="001274B7"/>
    <w:rsid w:val="00135243"/>
    <w:rsid w:val="00137DD2"/>
    <w:rsid w:val="00142F67"/>
    <w:rsid w:val="0014389F"/>
    <w:rsid w:val="00146F74"/>
    <w:rsid w:val="00151A0F"/>
    <w:rsid w:val="00157514"/>
    <w:rsid w:val="001622EC"/>
    <w:rsid w:val="00175947"/>
    <w:rsid w:val="00181A7D"/>
    <w:rsid w:val="00191354"/>
    <w:rsid w:val="00192F84"/>
    <w:rsid w:val="001A0C9F"/>
    <w:rsid w:val="001A23FD"/>
    <w:rsid w:val="001B1497"/>
    <w:rsid w:val="001B351C"/>
    <w:rsid w:val="001B38D5"/>
    <w:rsid w:val="001B5BC6"/>
    <w:rsid w:val="001B605C"/>
    <w:rsid w:val="001B6A03"/>
    <w:rsid w:val="001B7DF1"/>
    <w:rsid w:val="001C0C40"/>
    <w:rsid w:val="001C1216"/>
    <w:rsid w:val="001C302D"/>
    <w:rsid w:val="001E049F"/>
    <w:rsid w:val="001E3C4E"/>
    <w:rsid w:val="001E6A1C"/>
    <w:rsid w:val="001E6C48"/>
    <w:rsid w:val="001F01E2"/>
    <w:rsid w:val="001F73A4"/>
    <w:rsid w:val="002002C7"/>
    <w:rsid w:val="002002FF"/>
    <w:rsid w:val="00213793"/>
    <w:rsid w:val="00223FF6"/>
    <w:rsid w:val="00224F61"/>
    <w:rsid w:val="002463AB"/>
    <w:rsid w:val="002467E0"/>
    <w:rsid w:val="0024680C"/>
    <w:rsid w:val="002513A8"/>
    <w:rsid w:val="00254405"/>
    <w:rsid w:val="00256985"/>
    <w:rsid w:val="00261DD8"/>
    <w:rsid w:val="002639EB"/>
    <w:rsid w:val="00271252"/>
    <w:rsid w:val="00272AD5"/>
    <w:rsid w:val="00273113"/>
    <w:rsid w:val="00274D01"/>
    <w:rsid w:val="0028462A"/>
    <w:rsid w:val="00297875"/>
    <w:rsid w:val="002B2CF4"/>
    <w:rsid w:val="002B4AD2"/>
    <w:rsid w:val="002B4DED"/>
    <w:rsid w:val="002B59F9"/>
    <w:rsid w:val="002C0BDA"/>
    <w:rsid w:val="002C1D6E"/>
    <w:rsid w:val="002C5812"/>
    <w:rsid w:val="002C5D62"/>
    <w:rsid w:val="002C6FE6"/>
    <w:rsid w:val="002D353A"/>
    <w:rsid w:val="002E293B"/>
    <w:rsid w:val="002E4A20"/>
    <w:rsid w:val="002E7C79"/>
    <w:rsid w:val="002F2489"/>
    <w:rsid w:val="002F3E61"/>
    <w:rsid w:val="0030497A"/>
    <w:rsid w:val="00306AFC"/>
    <w:rsid w:val="00312FE2"/>
    <w:rsid w:val="003137A8"/>
    <w:rsid w:val="00316036"/>
    <w:rsid w:val="00316551"/>
    <w:rsid w:val="00316AA0"/>
    <w:rsid w:val="00317E22"/>
    <w:rsid w:val="003203D0"/>
    <w:rsid w:val="00320B16"/>
    <w:rsid w:val="003220CC"/>
    <w:rsid w:val="003255FA"/>
    <w:rsid w:val="00326ECF"/>
    <w:rsid w:val="003560EA"/>
    <w:rsid w:val="00363241"/>
    <w:rsid w:val="00380C2F"/>
    <w:rsid w:val="003839DA"/>
    <w:rsid w:val="00384221"/>
    <w:rsid w:val="00385DCC"/>
    <w:rsid w:val="003A6D44"/>
    <w:rsid w:val="003A7D52"/>
    <w:rsid w:val="003B4B49"/>
    <w:rsid w:val="003C0755"/>
    <w:rsid w:val="003C0B12"/>
    <w:rsid w:val="003C5C41"/>
    <w:rsid w:val="003C7079"/>
    <w:rsid w:val="003D1C53"/>
    <w:rsid w:val="003D1CB5"/>
    <w:rsid w:val="003D442D"/>
    <w:rsid w:val="003D6F9C"/>
    <w:rsid w:val="003E21BD"/>
    <w:rsid w:val="003F6DFE"/>
    <w:rsid w:val="004058C2"/>
    <w:rsid w:val="00406490"/>
    <w:rsid w:val="00416501"/>
    <w:rsid w:val="00416CDA"/>
    <w:rsid w:val="00421326"/>
    <w:rsid w:val="00425471"/>
    <w:rsid w:val="00425CCF"/>
    <w:rsid w:val="00436441"/>
    <w:rsid w:val="0044143B"/>
    <w:rsid w:val="0044170C"/>
    <w:rsid w:val="00450752"/>
    <w:rsid w:val="00451CDF"/>
    <w:rsid w:val="00453E9A"/>
    <w:rsid w:val="00457D23"/>
    <w:rsid w:val="00464412"/>
    <w:rsid w:val="00464F1B"/>
    <w:rsid w:val="004670DB"/>
    <w:rsid w:val="00470C4B"/>
    <w:rsid w:val="004758DF"/>
    <w:rsid w:val="0048046A"/>
    <w:rsid w:val="00483A81"/>
    <w:rsid w:val="00494534"/>
    <w:rsid w:val="0049528E"/>
    <w:rsid w:val="004953C7"/>
    <w:rsid w:val="00496E2C"/>
    <w:rsid w:val="004A2E0E"/>
    <w:rsid w:val="004B3092"/>
    <w:rsid w:val="004B33A9"/>
    <w:rsid w:val="004C2C17"/>
    <w:rsid w:val="004C2FC8"/>
    <w:rsid w:val="004C5EEB"/>
    <w:rsid w:val="004C789E"/>
    <w:rsid w:val="004D0B8A"/>
    <w:rsid w:val="004D2C60"/>
    <w:rsid w:val="004D4BD1"/>
    <w:rsid w:val="004D5164"/>
    <w:rsid w:val="004D609B"/>
    <w:rsid w:val="004D7887"/>
    <w:rsid w:val="004D790A"/>
    <w:rsid w:val="004E50A7"/>
    <w:rsid w:val="004E73CF"/>
    <w:rsid w:val="004E7573"/>
    <w:rsid w:val="0050569D"/>
    <w:rsid w:val="00516382"/>
    <w:rsid w:val="00517970"/>
    <w:rsid w:val="00520CA8"/>
    <w:rsid w:val="005239AB"/>
    <w:rsid w:val="00523D4B"/>
    <w:rsid w:val="0052550C"/>
    <w:rsid w:val="00532A46"/>
    <w:rsid w:val="0053532F"/>
    <w:rsid w:val="00535813"/>
    <w:rsid w:val="00536A1E"/>
    <w:rsid w:val="00536CCC"/>
    <w:rsid w:val="00541770"/>
    <w:rsid w:val="005479B0"/>
    <w:rsid w:val="00550D88"/>
    <w:rsid w:val="00551287"/>
    <w:rsid w:val="00551F3A"/>
    <w:rsid w:val="00557F9F"/>
    <w:rsid w:val="0056273C"/>
    <w:rsid w:val="00566A80"/>
    <w:rsid w:val="00571CC7"/>
    <w:rsid w:val="00573248"/>
    <w:rsid w:val="00573B08"/>
    <w:rsid w:val="00583F7E"/>
    <w:rsid w:val="005845DC"/>
    <w:rsid w:val="005855A2"/>
    <w:rsid w:val="00585B92"/>
    <w:rsid w:val="00592171"/>
    <w:rsid w:val="00592EF4"/>
    <w:rsid w:val="00594351"/>
    <w:rsid w:val="005A421F"/>
    <w:rsid w:val="005A690A"/>
    <w:rsid w:val="005A767C"/>
    <w:rsid w:val="005B6148"/>
    <w:rsid w:val="005B7021"/>
    <w:rsid w:val="005C1E7A"/>
    <w:rsid w:val="005C73C7"/>
    <w:rsid w:val="005D2C75"/>
    <w:rsid w:val="005D3F4A"/>
    <w:rsid w:val="005D4D85"/>
    <w:rsid w:val="005D6B6B"/>
    <w:rsid w:val="005E0BC8"/>
    <w:rsid w:val="005E3BCD"/>
    <w:rsid w:val="005E48F9"/>
    <w:rsid w:val="005E4AA4"/>
    <w:rsid w:val="005E5111"/>
    <w:rsid w:val="005E6C4B"/>
    <w:rsid w:val="005F18C0"/>
    <w:rsid w:val="005F6F25"/>
    <w:rsid w:val="006028FF"/>
    <w:rsid w:val="006053F7"/>
    <w:rsid w:val="0060603A"/>
    <w:rsid w:val="00606EF3"/>
    <w:rsid w:val="0061140D"/>
    <w:rsid w:val="0061158A"/>
    <w:rsid w:val="00611960"/>
    <w:rsid w:val="00614254"/>
    <w:rsid w:val="006156B7"/>
    <w:rsid w:val="00616934"/>
    <w:rsid w:val="00616FE9"/>
    <w:rsid w:val="0062031D"/>
    <w:rsid w:val="0062181F"/>
    <w:rsid w:val="0062213B"/>
    <w:rsid w:val="0062590C"/>
    <w:rsid w:val="00632606"/>
    <w:rsid w:val="00635EF0"/>
    <w:rsid w:val="006402BA"/>
    <w:rsid w:val="00642F94"/>
    <w:rsid w:val="0065176A"/>
    <w:rsid w:val="00653FED"/>
    <w:rsid w:val="0067036F"/>
    <w:rsid w:val="00670E90"/>
    <w:rsid w:val="00672400"/>
    <w:rsid w:val="006771FC"/>
    <w:rsid w:val="006800B3"/>
    <w:rsid w:val="00682435"/>
    <w:rsid w:val="00682AE9"/>
    <w:rsid w:val="0068546C"/>
    <w:rsid w:val="00690FC9"/>
    <w:rsid w:val="006921CC"/>
    <w:rsid w:val="006935A3"/>
    <w:rsid w:val="006A1F84"/>
    <w:rsid w:val="006A3DFF"/>
    <w:rsid w:val="006A6C49"/>
    <w:rsid w:val="006B043D"/>
    <w:rsid w:val="006B1535"/>
    <w:rsid w:val="006B1657"/>
    <w:rsid w:val="006B1CA5"/>
    <w:rsid w:val="006C0ADA"/>
    <w:rsid w:val="006C675F"/>
    <w:rsid w:val="006C7729"/>
    <w:rsid w:val="006E0E80"/>
    <w:rsid w:val="006E65EC"/>
    <w:rsid w:val="006F0927"/>
    <w:rsid w:val="006F18F0"/>
    <w:rsid w:val="00705492"/>
    <w:rsid w:val="00716AEC"/>
    <w:rsid w:val="00717BF8"/>
    <w:rsid w:val="007200C8"/>
    <w:rsid w:val="00721DCF"/>
    <w:rsid w:val="007230B4"/>
    <w:rsid w:val="0072365C"/>
    <w:rsid w:val="007305CC"/>
    <w:rsid w:val="00732197"/>
    <w:rsid w:val="00742FEE"/>
    <w:rsid w:val="00743CF4"/>
    <w:rsid w:val="00746DE6"/>
    <w:rsid w:val="00747D6E"/>
    <w:rsid w:val="007503D6"/>
    <w:rsid w:val="00761E7D"/>
    <w:rsid w:val="00764E50"/>
    <w:rsid w:val="007720B5"/>
    <w:rsid w:val="00781983"/>
    <w:rsid w:val="007833DB"/>
    <w:rsid w:val="00784F79"/>
    <w:rsid w:val="00785B24"/>
    <w:rsid w:val="00786033"/>
    <w:rsid w:val="0079245D"/>
    <w:rsid w:val="0079392C"/>
    <w:rsid w:val="0079670D"/>
    <w:rsid w:val="00796C3A"/>
    <w:rsid w:val="007A3B1A"/>
    <w:rsid w:val="007A50BC"/>
    <w:rsid w:val="007A749F"/>
    <w:rsid w:val="007B4760"/>
    <w:rsid w:val="007B7A5A"/>
    <w:rsid w:val="007C6B0E"/>
    <w:rsid w:val="007D1C27"/>
    <w:rsid w:val="007D7350"/>
    <w:rsid w:val="007D7438"/>
    <w:rsid w:val="007D7667"/>
    <w:rsid w:val="007E098D"/>
    <w:rsid w:val="007E0C7F"/>
    <w:rsid w:val="007E6843"/>
    <w:rsid w:val="007F28B5"/>
    <w:rsid w:val="007F29CE"/>
    <w:rsid w:val="007F5464"/>
    <w:rsid w:val="007F76BF"/>
    <w:rsid w:val="00805923"/>
    <w:rsid w:val="00805EC9"/>
    <w:rsid w:val="00810478"/>
    <w:rsid w:val="00814890"/>
    <w:rsid w:val="008157A6"/>
    <w:rsid w:val="00816977"/>
    <w:rsid w:val="00826F79"/>
    <w:rsid w:val="008345D5"/>
    <w:rsid w:val="00837AE4"/>
    <w:rsid w:val="00840E7F"/>
    <w:rsid w:val="008428A7"/>
    <w:rsid w:val="00843128"/>
    <w:rsid w:val="008506BD"/>
    <w:rsid w:val="00862C15"/>
    <w:rsid w:val="008634F1"/>
    <w:rsid w:val="008707E5"/>
    <w:rsid w:val="00883C82"/>
    <w:rsid w:val="00884187"/>
    <w:rsid w:val="00885AD3"/>
    <w:rsid w:val="00890107"/>
    <w:rsid w:val="008903B2"/>
    <w:rsid w:val="00890F35"/>
    <w:rsid w:val="008A5036"/>
    <w:rsid w:val="008B0BCC"/>
    <w:rsid w:val="008B167D"/>
    <w:rsid w:val="008B186B"/>
    <w:rsid w:val="008B1DA9"/>
    <w:rsid w:val="008B451C"/>
    <w:rsid w:val="008C04D5"/>
    <w:rsid w:val="008C378A"/>
    <w:rsid w:val="008C54FE"/>
    <w:rsid w:val="008C6B66"/>
    <w:rsid w:val="008D10CE"/>
    <w:rsid w:val="008D36BD"/>
    <w:rsid w:val="008D3815"/>
    <w:rsid w:val="008D41B7"/>
    <w:rsid w:val="008D6763"/>
    <w:rsid w:val="008E0F56"/>
    <w:rsid w:val="008E55C6"/>
    <w:rsid w:val="008F6537"/>
    <w:rsid w:val="008F674B"/>
    <w:rsid w:val="008F6CFE"/>
    <w:rsid w:val="008F72EA"/>
    <w:rsid w:val="008F7E58"/>
    <w:rsid w:val="009006BB"/>
    <w:rsid w:val="0090494B"/>
    <w:rsid w:val="00912300"/>
    <w:rsid w:val="009139A9"/>
    <w:rsid w:val="0092685A"/>
    <w:rsid w:val="00926A6B"/>
    <w:rsid w:val="0093226C"/>
    <w:rsid w:val="009323A7"/>
    <w:rsid w:val="009333A5"/>
    <w:rsid w:val="00933CC9"/>
    <w:rsid w:val="00942649"/>
    <w:rsid w:val="00946A5C"/>
    <w:rsid w:val="00946F9C"/>
    <w:rsid w:val="009574CF"/>
    <w:rsid w:val="0095767C"/>
    <w:rsid w:val="009621BF"/>
    <w:rsid w:val="009636AD"/>
    <w:rsid w:val="0096481F"/>
    <w:rsid w:val="009670C4"/>
    <w:rsid w:val="00971201"/>
    <w:rsid w:val="009717AA"/>
    <w:rsid w:val="00973260"/>
    <w:rsid w:val="009771A1"/>
    <w:rsid w:val="0097737D"/>
    <w:rsid w:val="009819DD"/>
    <w:rsid w:val="00981F5D"/>
    <w:rsid w:val="009863B1"/>
    <w:rsid w:val="009868A2"/>
    <w:rsid w:val="00991D57"/>
    <w:rsid w:val="00993409"/>
    <w:rsid w:val="0099371A"/>
    <w:rsid w:val="009A35DB"/>
    <w:rsid w:val="009A666B"/>
    <w:rsid w:val="009B0EC4"/>
    <w:rsid w:val="009B1EEA"/>
    <w:rsid w:val="009B2C5D"/>
    <w:rsid w:val="009B4FD4"/>
    <w:rsid w:val="009C21AD"/>
    <w:rsid w:val="009C3352"/>
    <w:rsid w:val="009C68E8"/>
    <w:rsid w:val="009D235A"/>
    <w:rsid w:val="009D4713"/>
    <w:rsid w:val="009D73D1"/>
    <w:rsid w:val="009E1768"/>
    <w:rsid w:val="009E57CB"/>
    <w:rsid w:val="009E61CB"/>
    <w:rsid w:val="009F52D4"/>
    <w:rsid w:val="00A01A84"/>
    <w:rsid w:val="00A103DD"/>
    <w:rsid w:val="00A10475"/>
    <w:rsid w:val="00A12BD1"/>
    <w:rsid w:val="00A157B5"/>
    <w:rsid w:val="00A17DD7"/>
    <w:rsid w:val="00A2014F"/>
    <w:rsid w:val="00A26B01"/>
    <w:rsid w:val="00A273F8"/>
    <w:rsid w:val="00A2745F"/>
    <w:rsid w:val="00A319E4"/>
    <w:rsid w:val="00A34E57"/>
    <w:rsid w:val="00A3692B"/>
    <w:rsid w:val="00A4482D"/>
    <w:rsid w:val="00A460EC"/>
    <w:rsid w:val="00A50C78"/>
    <w:rsid w:val="00A52192"/>
    <w:rsid w:val="00A52712"/>
    <w:rsid w:val="00A61206"/>
    <w:rsid w:val="00A61AB1"/>
    <w:rsid w:val="00A63779"/>
    <w:rsid w:val="00A669B5"/>
    <w:rsid w:val="00A67AE7"/>
    <w:rsid w:val="00A67E22"/>
    <w:rsid w:val="00A70A25"/>
    <w:rsid w:val="00A75256"/>
    <w:rsid w:val="00A83F3E"/>
    <w:rsid w:val="00A86BAB"/>
    <w:rsid w:val="00A94DF2"/>
    <w:rsid w:val="00A94F3E"/>
    <w:rsid w:val="00A95CCF"/>
    <w:rsid w:val="00AA29E9"/>
    <w:rsid w:val="00AA53B2"/>
    <w:rsid w:val="00AA6B14"/>
    <w:rsid w:val="00AB349D"/>
    <w:rsid w:val="00AB5509"/>
    <w:rsid w:val="00AB638C"/>
    <w:rsid w:val="00AC1323"/>
    <w:rsid w:val="00AC16F1"/>
    <w:rsid w:val="00AC2A4A"/>
    <w:rsid w:val="00AC64C9"/>
    <w:rsid w:val="00AD0DCB"/>
    <w:rsid w:val="00AD2ED7"/>
    <w:rsid w:val="00AE3149"/>
    <w:rsid w:val="00AE3493"/>
    <w:rsid w:val="00AE42D7"/>
    <w:rsid w:val="00AE50A0"/>
    <w:rsid w:val="00AE70FB"/>
    <w:rsid w:val="00AF0D85"/>
    <w:rsid w:val="00AF3704"/>
    <w:rsid w:val="00B1471E"/>
    <w:rsid w:val="00B1598E"/>
    <w:rsid w:val="00B15CB3"/>
    <w:rsid w:val="00B17686"/>
    <w:rsid w:val="00B2598E"/>
    <w:rsid w:val="00B33619"/>
    <w:rsid w:val="00B33C36"/>
    <w:rsid w:val="00B45F54"/>
    <w:rsid w:val="00B4636B"/>
    <w:rsid w:val="00B60EBC"/>
    <w:rsid w:val="00B626D4"/>
    <w:rsid w:val="00B63627"/>
    <w:rsid w:val="00B65A58"/>
    <w:rsid w:val="00B677F2"/>
    <w:rsid w:val="00B67DA0"/>
    <w:rsid w:val="00B75DCC"/>
    <w:rsid w:val="00B90467"/>
    <w:rsid w:val="00B90D7A"/>
    <w:rsid w:val="00B96666"/>
    <w:rsid w:val="00BA0C34"/>
    <w:rsid w:val="00BA3974"/>
    <w:rsid w:val="00BB0856"/>
    <w:rsid w:val="00BB43E0"/>
    <w:rsid w:val="00BB5E85"/>
    <w:rsid w:val="00BB6CAD"/>
    <w:rsid w:val="00BC2E96"/>
    <w:rsid w:val="00BE1210"/>
    <w:rsid w:val="00BF76AD"/>
    <w:rsid w:val="00C036BE"/>
    <w:rsid w:val="00C04ADA"/>
    <w:rsid w:val="00C1104F"/>
    <w:rsid w:val="00C219A7"/>
    <w:rsid w:val="00C2405E"/>
    <w:rsid w:val="00C25457"/>
    <w:rsid w:val="00C27037"/>
    <w:rsid w:val="00C30098"/>
    <w:rsid w:val="00C466BC"/>
    <w:rsid w:val="00C50B38"/>
    <w:rsid w:val="00C527C1"/>
    <w:rsid w:val="00C53C2E"/>
    <w:rsid w:val="00C53E52"/>
    <w:rsid w:val="00C56F7F"/>
    <w:rsid w:val="00C64AA1"/>
    <w:rsid w:val="00C700D7"/>
    <w:rsid w:val="00C77B3E"/>
    <w:rsid w:val="00C80CA8"/>
    <w:rsid w:val="00C82386"/>
    <w:rsid w:val="00C90B58"/>
    <w:rsid w:val="00C92436"/>
    <w:rsid w:val="00C9585F"/>
    <w:rsid w:val="00C95B91"/>
    <w:rsid w:val="00CA1B5A"/>
    <w:rsid w:val="00CA20D4"/>
    <w:rsid w:val="00CA3AF3"/>
    <w:rsid w:val="00CA40A7"/>
    <w:rsid w:val="00CA49B9"/>
    <w:rsid w:val="00CD27B6"/>
    <w:rsid w:val="00CD695E"/>
    <w:rsid w:val="00CD6ACE"/>
    <w:rsid w:val="00CE39F2"/>
    <w:rsid w:val="00CE5D72"/>
    <w:rsid w:val="00CE68CC"/>
    <w:rsid w:val="00CF10C7"/>
    <w:rsid w:val="00CF136A"/>
    <w:rsid w:val="00CF3005"/>
    <w:rsid w:val="00CF675B"/>
    <w:rsid w:val="00D00674"/>
    <w:rsid w:val="00D0252B"/>
    <w:rsid w:val="00D03737"/>
    <w:rsid w:val="00D10243"/>
    <w:rsid w:val="00D12276"/>
    <w:rsid w:val="00D13F04"/>
    <w:rsid w:val="00D27304"/>
    <w:rsid w:val="00D311FE"/>
    <w:rsid w:val="00D37278"/>
    <w:rsid w:val="00D40354"/>
    <w:rsid w:val="00D41005"/>
    <w:rsid w:val="00D41757"/>
    <w:rsid w:val="00D42232"/>
    <w:rsid w:val="00D52CE7"/>
    <w:rsid w:val="00D54720"/>
    <w:rsid w:val="00D57444"/>
    <w:rsid w:val="00D61D3A"/>
    <w:rsid w:val="00D62E06"/>
    <w:rsid w:val="00D6497B"/>
    <w:rsid w:val="00D66046"/>
    <w:rsid w:val="00D70364"/>
    <w:rsid w:val="00D70EDE"/>
    <w:rsid w:val="00D811AD"/>
    <w:rsid w:val="00D81856"/>
    <w:rsid w:val="00D82750"/>
    <w:rsid w:val="00D86049"/>
    <w:rsid w:val="00D90211"/>
    <w:rsid w:val="00D90E0C"/>
    <w:rsid w:val="00D934AE"/>
    <w:rsid w:val="00D94D1D"/>
    <w:rsid w:val="00D95FE1"/>
    <w:rsid w:val="00D96D4F"/>
    <w:rsid w:val="00D97AD0"/>
    <w:rsid w:val="00DA059D"/>
    <w:rsid w:val="00DA4FBF"/>
    <w:rsid w:val="00DA67BB"/>
    <w:rsid w:val="00DC0839"/>
    <w:rsid w:val="00DC564C"/>
    <w:rsid w:val="00DC716A"/>
    <w:rsid w:val="00DE1ACD"/>
    <w:rsid w:val="00DE4294"/>
    <w:rsid w:val="00DE66DF"/>
    <w:rsid w:val="00DF4BC4"/>
    <w:rsid w:val="00DF5C8C"/>
    <w:rsid w:val="00E012E8"/>
    <w:rsid w:val="00E018BE"/>
    <w:rsid w:val="00E05865"/>
    <w:rsid w:val="00E05C63"/>
    <w:rsid w:val="00E10925"/>
    <w:rsid w:val="00E16BEB"/>
    <w:rsid w:val="00E176F6"/>
    <w:rsid w:val="00E201B7"/>
    <w:rsid w:val="00E24599"/>
    <w:rsid w:val="00E30852"/>
    <w:rsid w:val="00E316E3"/>
    <w:rsid w:val="00E46298"/>
    <w:rsid w:val="00E5179A"/>
    <w:rsid w:val="00E54045"/>
    <w:rsid w:val="00E5561F"/>
    <w:rsid w:val="00E679DF"/>
    <w:rsid w:val="00E70474"/>
    <w:rsid w:val="00E73343"/>
    <w:rsid w:val="00E77C3D"/>
    <w:rsid w:val="00E80000"/>
    <w:rsid w:val="00E94458"/>
    <w:rsid w:val="00EA2DAC"/>
    <w:rsid w:val="00EA585C"/>
    <w:rsid w:val="00EB309F"/>
    <w:rsid w:val="00EB448D"/>
    <w:rsid w:val="00EC1714"/>
    <w:rsid w:val="00EC3A13"/>
    <w:rsid w:val="00EC7185"/>
    <w:rsid w:val="00ED0993"/>
    <w:rsid w:val="00ED1B16"/>
    <w:rsid w:val="00ED1CE9"/>
    <w:rsid w:val="00ED35C1"/>
    <w:rsid w:val="00EE0755"/>
    <w:rsid w:val="00EE4CB0"/>
    <w:rsid w:val="00EF2AB6"/>
    <w:rsid w:val="00EF6034"/>
    <w:rsid w:val="00F07360"/>
    <w:rsid w:val="00F15B6A"/>
    <w:rsid w:val="00F1705C"/>
    <w:rsid w:val="00F2313C"/>
    <w:rsid w:val="00F2350E"/>
    <w:rsid w:val="00F238F0"/>
    <w:rsid w:val="00F2554B"/>
    <w:rsid w:val="00F30FD6"/>
    <w:rsid w:val="00F3433A"/>
    <w:rsid w:val="00F43D0A"/>
    <w:rsid w:val="00F51809"/>
    <w:rsid w:val="00F55A73"/>
    <w:rsid w:val="00F6283E"/>
    <w:rsid w:val="00F628F8"/>
    <w:rsid w:val="00F63974"/>
    <w:rsid w:val="00F65569"/>
    <w:rsid w:val="00F774CB"/>
    <w:rsid w:val="00F776AB"/>
    <w:rsid w:val="00F84EE6"/>
    <w:rsid w:val="00F87B24"/>
    <w:rsid w:val="00F92ABD"/>
    <w:rsid w:val="00F938BC"/>
    <w:rsid w:val="00FA2AAA"/>
    <w:rsid w:val="00FA73E9"/>
    <w:rsid w:val="00FB5D6F"/>
    <w:rsid w:val="00FB6825"/>
    <w:rsid w:val="00FB74A5"/>
    <w:rsid w:val="00FC0347"/>
    <w:rsid w:val="00FC2576"/>
    <w:rsid w:val="00FC4573"/>
    <w:rsid w:val="00FC5267"/>
    <w:rsid w:val="00FD70C7"/>
    <w:rsid w:val="00FD7370"/>
    <w:rsid w:val="00FE58DB"/>
    <w:rsid w:val="00FE6B47"/>
    <w:rsid w:val="00FF474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BEF"/>
  <w15:docId w15:val="{D916A882-AC02-49FB-8912-8CF79726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82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val="en-US"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val="en-US"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  <w:lang w:val="en-US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  <w:lang w:val="en-US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  <w:lang w:val="en-US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  <w:lang w:val="en-US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val="en-US"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  <w:lang w:val="en-US"/>
    </w:rPr>
  </w:style>
  <w:style w:type="paragraph" w:customStyle="1" w:styleId="IASBTOCPrimaryMixedCase">
    <w:name w:val="IASB TOC Primary Mixed Case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sz w:val="20"/>
      <w:szCs w:val="20"/>
      <w:lang w:val="en-US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  <w:lang w:val="en-US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  <w:lang w:val="en-US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  <w:lang w:val="en-US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  <w:lang w:val="en-US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  <w:lang w:val="en-US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uiPriority w:val="99"/>
    <w:semiHidden/>
    <w:rsid w:val="00B35882"/>
    <w:pPr>
      <w:keepNext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DefaultParagraphFont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character" w:styleId="CommentReference">
    <w:name w:val="annotation reference"/>
    <w:basedOn w:val="DefaultParagraphFont"/>
    <w:uiPriority w:val="99"/>
    <w:semiHidden/>
    <w:unhideWhenUsed/>
    <w:rsid w:val="00D3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1F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F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F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12BD1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af2b0-f65d-434c-8a17-aadcdb553b78" xsi:nil="true"/>
    <lcf76f155ced4ddcb4097134ff3c332f xmlns="ec49eb38-6cb5-483f-a298-4a90bdd000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8" ma:contentTypeDescription="Create a new document." ma:contentTypeScope="" ma:versionID="6187c117f94730fb97e7ceeb0c2f4c80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98ac505a59f6717c6cc8d67ace61b3ed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0513-a2ef-49c9-8f64-129a7e78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6988c-21c8-4111-8ccb-b7eec4617890}" ma:internalName="TaxCatchAll" ma:showField="CatchAllData" ma:web="dd1af2b0-f65d-434c-8a17-aadcdb55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1AFD-5F85-4DFE-8A3D-13DA990A5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EEF6D-423F-4833-A2CD-ABED5EC262EB}">
  <ds:schemaRefs>
    <ds:schemaRef ds:uri="http://schemas.microsoft.com/office/2006/metadata/properties"/>
    <ds:schemaRef ds:uri="http://schemas.microsoft.com/office/infopath/2007/PartnerControls"/>
    <ds:schemaRef ds:uri="dd1af2b0-f65d-434c-8a17-aadcdb553b78"/>
    <ds:schemaRef ds:uri="ec49eb38-6cb5-483f-a298-4a90bdd00051"/>
  </ds:schemaRefs>
</ds:datastoreItem>
</file>

<file path=customXml/itemProps3.xml><?xml version="1.0" encoding="utf-8"?>
<ds:datastoreItem xmlns:ds="http://schemas.openxmlformats.org/officeDocument/2006/customXml" ds:itemID="{F21E53C6-A417-41D6-8AE6-0BC40ACFB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46D2D-52BF-433F-A7DE-5E7B07FC4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Larisa Bocharova</cp:lastModifiedBy>
  <cp:revision>3</cp:revision>
  <dcterms:created xsi:type="dcterms:W3CDTF">2023-12-18T11:34:00Z</dcterms:created>
  <dcterms:modified xsi:type="dcterms:W3CDTF">2023-12-18T11:45:00Z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0x0101004559C9985957DC46A05537B0C86F490E</vt:lpwstr>
  </property>
  <property fmtid="{D5CDD505-2E9C-101B-9397-08002B2CF9AE}" pid="3" name="MediaServiceImageTags">
    <vt:lpwstr/>
  </property>
</Properties>
</file>