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80AAD" w14:textId="77777777" w:rsidR="00FC798D" w:rsidRDefault="00FC798D" w:rsidP="00FC798D">
      <w:pPr>
        <w:jc w:val="center"/>
        <w:rPr>
          <w:b/>
        </w:rPr>
      </w:pPr>
    </w:p>
    <w:p w14:paraId="75A42406" w14:textId="77777777" w:rsidR="00FC798D" w:rsidRDefault="00FC798D" w:rsidP="00FC798D">
      <w:pPr>
        <w:jc w:val="center"/>
        <w:rPr>
          <w:b/>
        </w:rPr>
      </w:pPr>
    </w:p>
    <w:p w14:paraId="6908049A" w14:textId="77777777" w:rsidR="00FC798D" w:rsidRDefault="00FC798D" w:rsidP="00FC798D">
      <w:pPr>
        <w:jc w:val="center"/>
        <w:rPr>
          <w:b/>
        </w:rPr>
      </w:pPr>
    </w:p>
    <w:p w14:paraId="2FF4D086" w14:textId="77777777" w:rsidR="00FC798D" w:rsidRDefault="00FC798D" w:rsidP="00FC798D">
      <w:pPr>
        <w:jc w:val="center"/>
        <w:rPr>
          <w:b/>
        </w:rPr>
      </w:pPr>
    </w:p>
    <w:p w14:paraId="697B3C4E" w14:textId="77777777" w:rsidR="00FC798D" w:rsidRDefault="00FC798D" w:rsidP="00FC798D">
      <w:pPr>
        <w:jc w:val="center"/>
        <w:rPr>
          <w:b/>
        </w:rPr>
      </w:pPr>
    </w:p>
    <w:p w14:paraId="2923070A" w14:textId="77777777" w:rsidR="00FC798D" w:rsidRDefault="00FC798D" w:rsidP="00FC798D">
      <w:pPr>
        <w:jc w:val="center"/>
        <w:rPr>
          <w:b/>
        </w:rPr>
      </w:pPr>
    </w:p>
    <w:p w14:paraId="6D8AFD6D" w14:textId="77777777" w:rsidR="00FC798D" w:rsidRDefault="00FC798D" w:rsidP="00FC798D">
      <w:pPr>
        <w:jc w:val="center"/>
        <w:rPr>
          <w:b/>
        </w:rPr>
      </w:pPr>
    </w:p>
    <w:p w14:paraId="2F7DE5B0" w14:textId="77777777" w:rsidR="00FC798D" w:rsidRDefault="00FC798D" w:rsidP="00FC798D">
      <w:pPr>
        <w:jc w:val="center"/>
        <w:rPr>
          <w:b/>
        </w:rPr>
      </w:pPr>
    </w:p>
    <w:p w14:paraId="61CD05D5" w14:textId="77777777" w:rsidR="00FC798D" w:rsidRDefault="00FC798D" w:rsidP="00FC798D">
      <w:pPr>
        <w:jc w:val="center"/>
        <w:rPr>
          <w:b/>
        </w:rPr>
      </w:pPr>
    </w:p>
    <w:p w14:paraId="065119B2" w14:textId="77777777" w:rsidR="00FC798D" w:rsidRDefault="00FC798D" w:rsidP="00FC798D">
      <w:pPr>
        <w:jc w:val="center"/>
        <w:rPr>
          <w:b/>
        </w:rPr>
      </w:pPr>
    </w:p>
    <w:p w14:paraId="4A1E3624" w14:textId="77777777" w:rsidR="00FC798D" w:rsidRDefault="00FC798D" w:rsidP="00FC798D">
      <w:pPr>
        <w:jc w:val="center"/>
        <w:rPr>
          <w:b/>
        </w:rPr>
      </w:pPr>
    </w:p>
    <w:p w14:paraId="70F3E585" w14:textId="77777777" w:rsidR="00FC798D" w:rsidRDefault="00FC798D" w:rsidP="00FC798D">
      <w:pPr>
        <w:jc w:val="center"/>
        <w:rPr>
          <w:b/>
        </w:rPr>
      </w:pPr>
    </w:p>
    <w:p w14:paraId="748ABC98" w14:textId="77777777" w:rsidR="00FC798D" w:rsidRDefault="00FC798D" w:rsidP="00FC798D">
      <w:pPr>
        <w:jc w:val="center"/>
        <w:rPr>
          <w:b/>
        </w:rPr>
      </w:pPr>
    </w:p>
    <w:p w14:paraId="7737D539" w14:textId="77777777" w:rsidR="00FC798D" w:rsidRDefault="00FC798D" w:rsidP="00FC798D">
      <w:pPr>
        <w:jc w:val="center"/>
        <w:rPr>
          <w:b/>
        </w:rPr>
      </w:pPr>
    </w:p>
    <w:p w14:paraId="34F36071" w14:textId="601E72F8" w:rsidR="00C6412A" w:rsidRPr="00315F76" w:rsidRDefault="00315F76" w:rsidP="00FC798D">
      <w:pPr>
        <w:jc w:val="center"/>
        <w:rPr>
          <w:sz w:val="36"/>
          <w:szCs w:val="36"/>
        </w:rPr>
      </w:pPr>
      <w:r>
        <w:rPr>
          <w:b/>
          <w:sz w:val="36"/>
        </w:rPr>
        <w:t>Долгосрочные обязательства с</w:t>
      </w:r>
      <w:r w:rsidR="00185637">
        <w:rPr>
          <w:b/>
          <w:sz w:val="36"/>
        </w:rPr>
        <w:t xml:space="preserve"> </w:t>
      </w:r>
      <w:r>
        <w:rPr>
          <w:b/>
          <w:sz w:val="36"/>
        </w:rPr>
        <w:t>ковенантами</w:t>
      </w:r>
      <w:r>
        <w:rPr>
          <w:sz w:val="36"/>
        </w:rPr>
        <w:br/>
      </w:r>
      <w:r>
        <w:rPr>
          <w:sz w:val="36"/>
        </w:rPr>
        <w:br/>
        <w:t>Поправки к МСФО (IAS) 1</w:t>
      </w:r>
    </w:p>
    <w:p w14:paraId="34F36072" w14:textId="77777777" w:rsidR="00C6412A" w:rsidRDefault="00C6412A"/>
    <w:p w14:paraId="34F36073" w14:textId="77777777" w:rsidR="00C6412A" w:rsidRDefault="00C6412A">
      <w:pPr>
        <w:sectPr w:rsidR="00C6412A">
          <w:headerReference w:type="default" r:id="rId10"/>
          <w:footerReference w:type="even" r:id="rId11"/>
          <w:footerReference w:type="default" r:id="rId12"/>
          <w:type w:val="oddPage"/>
          <w:pgSz w:w="11880" w:h="16820"/>
          <w:pgMar w:top="1440" w:right="1440" w:bottom="1440" w:left="1440" w:header="720" w:footer="720" w:gutter="0"/>
          <w:cols w:space="720"/>
        </w:sectPr>
      </w:pPr>
    </w:p>
    <w:p w14:paraId="34F36092" w14:textId="77777777" w:rsidR="00C6412A" w:rsidRDefault="00315F76">
      <w:pPr>
        <w:pStyle w:val="IASBSectionTitle1NonInd"/>
      </w:pPr>
      <w:r>
        <w:lastRenderedPageBreak/>
        <w:t xml:space="preserve">Поправки к МСФО (IAS) 1 </w:t>
      </w:r>
      <w:r>
        <w:rPr>
          <w:i/>
        </w:rPr>
        <w:t>«Представление финансовой отчетности»</w:t>
      </w:r>
    </w:p>
    <w:p w14:paraId="34F36093" w14:textId="77777777" w:rsidR="00C6412A" w:rsidRDefault="00C6412A">
      <w:pPr>
        <w:pStyle w:val="IASBNormalnpara"/>
      </w:pP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Pr>
      <w:tblGrid>
        <w:gridCol w:w="9000"/>
      </w:tblGrid>
      <w:tr w:rsidR="00C6412A" w14:paraId="34F36095" w14:textId="77777777">
        <w:tc>
          <w:tcPr>
            <w:tcW w:w="50" w:type="pct"/>
            <w:tcBorders>
              <w:bottom w:val="single" w:sz="0" w:space="0" w:color="auto"/>
              <w:right w:val="single" w:sz="0" w:space="0" w:color="auto"/>
            </w:tcBorders>
          </w:tcPr>
          <w:p w14:paraId="34F36094" w14:textId="77777777" w:rsidR="00C6412A" w:rsidRDefault="00315F76">
            <w:pPr>
              <w:pStyle w:val="IASBTableArial"/>
            </w:pPr>
            <w:r>
              <w:t>В пункты 60, 71, 72А, 74 и 139U внесены изменения. Добавлены пункты 72B и 139W. Непосредственно после пункта 76 добавлен пункт 76ZA. Новый текст подчеркнут, удаленный текст зачеркнут. Пункты 69 и 75 изменены не были и включены в настоящий документ только для удобства чтения.</w:t>
            </w:r>
          </w:p>
        </w:tc>
      </w:tr>
    </w:tbl>
    <w:p w14:paraId="34F36096" w14:textId="77777777" w:rsidR="00C6412A" w:rsidRDefault="00C6412A">
      <w:pPr>
        <w:pStyle w:val="IASBNormalnpara"/>
      </w:pPr>
    </w:p>
    <w:p w14:paraId="34F36097" w14:textId="77777777" w:rsidR="00C6412A" w:rsidRDefault="00315F76">
      <w:pPr>
        <w:pStyle w:val="IASBSectionTitle1NonInd"/>
      </w:pPr>
      <w:r>
        <w:t>Структура и содержание</w:t>
      </w:r>
    </w:p>
    <w:p w14:paraId="34F36098" w14:textId="77777777" w:rsidR="00C6412A" w:rsidRDefault="00315F76">
      <w:pPr>
        <w:pStyle w:val="IASBNormalnpara"/>
      </w:pPr>
      <w:r>
        <w:tab/>
        <w:t>...</w:t>
      </w:r>
    </w:p>
    <w:p w14:paraId="34F36099" w14:textId="77777777" w:rsidR="00C6412A" w:rsidRDefault="00315F76">
      <w:pPr>
        <w:pStyle w:val="IASBSectionTitle2Ind"/>
      </w:pPr>
      <w:r>
        <w:t>Отчет о финансовом положении</w:t>
      </w:r>
    </w:p>
    <w:p w14:paraId="34F3609A" w14:textId="77777777" w:rsidR="00C6412A" w:rsidRDefault="00315F76">
      <w:pPr>
        <w:pStyle w:val="IASBNormalnpara"/>
      </w:pPr>
      <w:r>
        <w:tab/>
        <w:t>...</w:t>
      </w:r>
    </w:p>
    <w:p w14:paraId="34F3609B" w14:textId="77777777" w:rsidR="00C6412A" w:rsidRDefault="00315F76">
      <w:pPr>
        <w:pStyle w:val="IASBSectionTitle3Ind"/>
      </w:pPr>
      <w:r>
        <w:t>Разделение активов и обязательств на краткосрочные и долгосрочные</w:t>
      </w:r>
    </w:p>
    <w:p w14:paraId="34F3609C" w14:textId="77777777" w:rsidR="00C6412A" w:rsidRDefault="00315F76">
      <w:pPr>
        <w:pStyle w:val="IASBNormalnpara"/>
      </w:pPr>
      <w:r>
        <w:rPr>
          <w:b/>
        </w:rPr>
        <w:t>60</w:t>
      </w:r>
      <w:r>
        <w:tab/>
      </w:r>
      <w:r>
        <w:rPr>
          <w:b/>
        </w:rPr>
        <w:t>В своем отчете о финансовом положении организация должна раздельно представлять оборотные и внеоборотные активы, а также краткосрочные и долгосрочные обязательства в соответствии с пунктами 66–76</w:t>
      </w:r>
      <w:r>
        <w:rPr>
          <w:b/>
          <w:u w:val="single"/>
        </w:rPr>
        <w:t>B</w:t>
      </w:r>
      <w:r>
        <w:rPr>
          <w:b/>
        </w:rPr>
        <w:t>, за исключением случаев, когда способ представления по степени ликвидности обеспечивает надежную и более уместную информацию. Если применяется указанное исключение, организация должна представлять все активы и обязательства в порядке их ликвидности.</w:t>
      </w:r>
    </w:p>
    <w:p w14:paraId="34F3609D" w14:textId="77777777" w:rsidR="00C6412A" w:rsidRDefault="00315F76">
      <w:pPr>
        <w:pStyle w:val="IASBNormalnpara"/>
      </w:pPr>
      <w:r>
        <w:tab/>
        <w:t>...</w:t>
      </w:r>
    </w:p>
    <w:p w14:paraId="34F3609E" w14:textId="77777777" w:rsidR="00C6412A" w:rsidRDefault="00315F76">
      <w:pPr>
        <w:pStyle w:val="IASBSectionTitle3Ind"/>
      </w:pPr>
      <w:r>
        <w:t>Краткосрочные обязательства</w:t>
      </w:r>
    </w:p>
    <w:p w14:paraId="34F3609F" w14:textId="77777777" w:rsidR="00C6412A" w:rsidRDefault="00315F76">
      <w:pPr>
        <w:pStyle w:val="IASBNormalnpara"/>
      </w:pPr>
      <w:r>
        <w:rPr>
          <w:b/>
        </w:rPr>
        <w:t>69</w:t>
      </w:r>
      <w:r>
        <w:tab/>
      </w:r>
      <w:r>
        <w:rPr>
          <w:b/>
        </w:rPr>
        <w:t>Организация должна классифицировать обязательство как краткосрочное, когда:</w:t>
      </w:r>
    </w:p>
    <w:p w14:paraId="34F360A0" w14:textId="77777777" w:rsidR="00C6412A" w:rsidRDefault="00315F76">
      <w:pPr>
        <w:pStyle w:val="IASBNormalnparaL1"/>
      </w:pPr>
      <w:r>
        <w:rPr>
          <w:b/>
        </w:rPr>
        <w:t>(a)</w:t>
      </w:r>
      <w:r>
        <w:tab/>
      </w:r>
      <w:r>
        <w:rPr>
          <w:b/>
        </w:rPr>
        <w:t>она предполагает урегулировать это обязательство в рамках своего обычного операционного цикла;</w:t>
      </w:r>
    </w:p>
    <w:p w14:paraId="34F360A1" w14:textId="77777777" w:rsidR="00C6412A" w:rsidRDefault="00315F76">
      <w:pPr>
        <w:pStyle w:val="IASBNormalnparaL1"/>
      </w:pPr>
      <w:r>
        <w:rPr>
          <w:b/>
        </w:rPr>
        <w:t>(b)</w:t>
      </w:r>
      <w:r>
        <w:tab/>
      </w:r>
      <w:r>
        <w:rPr>
          <w:b/>
        </w:rPr>
        <w:t>она удерживает это обязательство преимущественно для целей торговли;</w:t>
      </w:r>
    </w:p>
    <w:p w14:paraId="34F360A2" w14:textId="77777777" w:rsidR="00C6412A" w:rsidRDefault="00315F76">
      <w:pPr>
        <w:pStyle w:val="IASBNormalnparaL1"/>
      </w:pPr>
      <w:r>
        <w:rPr>
          <w:b/>
        </w:rPr>
        <w:t>(c)</w:t>
      </w:r>
      <w:r>
        <w:tab/>
      </w:r>
      <w:r>
        <w:rPr>
          <w:b/>
        </w:rPr>
        <w:t>это обязательство подлежит урегулированию в течение двенадцати месяцев после окончания отчетного периода; или</w:t>
      </w:r>
    </w:p>
    <w:p w14:paraId="34F360A3" w14:textId="77777777" w:rsidR="00C6412A" w:rsidRDefault="00315F76">
      <w:pPr>
        <w:pStyle w:val="IASBNormalnparaL1"/>
      </w:pPr>
      <w:r>
        <w:rPr>
          <w:b/>
        </w:rPr>
        <w:t>(d)</w:t>
      </w:r>
      <w:r>
        <w:tab/>
      </w:r>
      <w:r>
        <w:rPr>
          <w:b/>
        </w:rPr>
        <w:t>на дату окончания отчетного периода у нее нет права отсрочить урегулирование обязательства по меньшей мере на двенадцать месяцев после окончания отчетного периода.</w:t>
      </w:r>
    </w:p>
    <w:p w14:paraId="34F360A4" w14:textId="77777777" w:rsidR="00C6412A" w:rsidRDefault="00315F76">
      <w:pPr>
        <w:pStyle w:val="IASBNormalnparaP"/>
      </w:pPr>
      <w:r>
        <w:rPr>
          <w:b/>
        </w:rPr>
        <w:t>Организация должна классифицировать все прочие обязательства как долгосрочные.</w:t>
      </w:r>
    </w:p>
    <w:p w14:paraId="34F360A5" w14:textId="77777777" w:rsidR="00C6412A" w:rsidRDefault="00315F76">
      <w:pPr>
        <w:pStyle w:val="IASBNormalnpara"/>
      </w:pPr>
      <w:r>
        <w:tab/>
        <w:t>...</w:t>
      </w:r>
    </w:p>
    <w:p w14:paraId="34F360A6" w14:textId="77777777" w:rsidR="00C6412A" w:rsidRDefault="00315F76">
      <w:pPr>
        <w:pStyle w:val="IASBSectionTitle4Ind"/>
      </w:pPr>
      <w:r>
        <w:t>Обязательство удерживается преимущественно для целей торговли (пункт 69(b)) или подлежит урегулированию в течение двенадцати месяцев (пункт 69(c))</w:t>
      </w:r>
    </w:p>
    <w:p w14:paraId="34F360A7" w14:textId="2507BF8F" w:rsidR="00C6412A" w:rsidRDefault="00315F76">
      <w:pPr>
        <w:pStyle w:val="IASBNormalnpara"/>
      </w:pPr>
      <w:r>
        <w:t>71</w:t>
      </w:r>
      <w:r>
        <w:tab/>
        <w:t>Другие краткосрочные обязательства не предполагают погашение в рамках обычного операционного цикла, но подлежат погашению в пределах двенадцати месяцев после окончания отчетного периода</w:t>
      </w:r>
      <w:r w:rsidR="00702EFE">
        <w:t>,</w:t>
      </w:r>
      <w:r>
        <w:t xml:space="preserve"> либо эти обязательства удерживаются главным образом для целей торговли. Примерами являются некоторые финансовые обязательства, отвечающие определению «предназначенные для торговли» согласно МСФО (IFRS) 9, банковские овердрафты, а также краткосрочная часть долгосрочных финансовых обязательств, задолженность по выплате дивидендов, налоги на прибыль и прочая неторговая кредиторская задолженность. Финансовые обязательства, обеспечивающие долгосрочное финансирование (т</w:t>
      </w:r>
      <w:r w:rsidR="005146F5">
        <w:t>. е.</w:t>
      </w:r>
      <w:r>
        <w:t xml:space="preserve"> не составляющие часть оборотного капитала, используемого в рамках обычного операционного цикла организации) и не подлежащие погашению в пределах двенадцати </w:t>
      </w:r>
      <w:r>
        <w:lastRenderedPageBreak/>
        <w:t xml:space="preserve">месяцев после окончания отчетного периода, представляют собой долгосрочные обязательства с учетом требований пунктов </w:t>
      </w:r>
      <w:r>
        <w:rPr>
          <w:u w:val="single"/>
        </w:rPr>
        <w:t>72A–75</w:t>
      </w:r>
      <w:r>
        <w:rPr>
          <w:strike/>
        </w:rPr>
        <w:t>74 и 75</w:t>
      </w:r>
      <w:r>
        <w:t>.</w:t>
      </w:r>
    </w:p>
    <w:p w14:paraId="34F360A8" w14:textId="77777777" w:rsidR="00C6412A" w:rsidRDefault="00315F76">
      <w:pPr>
        <w:pStyle w:val="IASBNormalnpara"/>
      </w:pPr>
      <w:r>
        <w:tab/>
        <w:t>...</w:t>
      </w:r>
    </w:p>
    <w:p w14:paraId="34F360A9" w14:textId="77777777" w:rsidR="00C6412A" w:rsidRDefault="00315F76">
      <w:pPr>
        <w:pStyle w:val="IASBSectionTitle4Ind"/>
      </w:pPr>
      <w:r>
        <w:t>Право отсрочить урегулирование обязательства по меньшей мере на двенадцать месяцев (пункт 69(d))</w:t>
      </w:r>
    </w:p>
    <w:p w14:paraId="34F360AA" w14:textId="77777777" w:rsidR="00C6412A" w:rsidRDefault="00315F76">
      <w:pPr>
        <w:pStyle w:val="IASBNormalnpara"/>
      </w:pPr>
      <w:r>
        <w:t>72A</w:t>
      </w:r>
      <w:r>
        <w:tab/>
        <w:t xml:space="preserve">Право организации отсрочить урегулирование обязательства по меньшей мере на двенадцать месяцев после окончания отчетного периода должно быть реальным и, как показано в пунктах </w:t>
      </w:r>
      <w:r>
        <w:rPr>
          <w:u w:val="single"/>
        </w:rPr>
        <w:t>72B–75</w:t>
      </w:r>
      <w:r>
        <w:rPr>
          <w:strike/>
        </w:rPr>
        <w:t xml:space="preserve"> 73–⁠75</w:t>
      </w:r>
      <w:r>
        <w:t>, должно существовать на дату окончания отчетного периода.</w:t>
      </w:r>
      <w:r>
        <w:rPr>
          <w:strike/>
        </w:rPr>
        <w:t xml:space="preserve"> Если право отсрочить урегулирование обязательства зависит от выполнения организацией определенных условий, то данное право существует на дату окончания отчетного периода только в том случае, если организация выполнила эти условия на дату окончания отчетного периода. Организация должна выполнить эти условия на дату окончания отчетного периода, даже если проверка их выполнения осуществляется кредитором позднее.</w:t>
      </w:r>
    </w:p>
    <w:p w14:paraId="34F360AB" w14:textId="4973DE79" w:rsidR="00C6412A" w:rsidRDefault="00315F76">
      <w:pPr>
        <w:pStyle w:val="IASBNormalnpara"/>
      </w:pPr>
      <w:r>
        <w:rPr>
          <w:u w:val="single"/>
        </w:rPr>
        <w:t>72B</w:t>
      </w:r>
      <w:r>
        <w:tab/>
      </w:r>
      <w:r>
        <w:rPr>
          <w:u w:val="single"/>
        </w:rPr>
        <w:t>Право организации отсрочить урегулирование обязательства, возник</w:t>
      </w:r>
      <w:r w:rsidR="001548CC">
        <w:rPr>
          <w:u w:val="single"/>
        </w:rPr>
        <w:t>ш</w:t>
      </w:r>
      <w:r>
        <w:rPr>
          <w:u w:val="single"/>
        </w:rPr>
        <w:t xml:space="preserve">его в результате кредитного соглашения, по меньшей мере на двенадцать месяцев после окончания отчетного периода может зависеть от </w:t>
      </w:r>
      <w:r w:rsidR="0042077F">
        <w:rPr>
          <w:u w:val="single"/>
        </w:rPr>
        <w:t>со</w:t>
      </w:r>
      <w:r w:rsidR="004C1A36">
        <w:rPr>
          <w:u w:val="single"/>
        </w:rPr>
        <w:t>блюдения</w:t>
      </w:r>
      <w:r>
        <w:rPr>
          <w:u w:val="single"/>
        </w:rPr>
        <w:t xml:space="preserve"> организацией условий, указанных в этом кредитном соглашении (далее</w:t>
      </w:r>
      <w:r w:rsidR="00C40622">
        <w:rPr>
          <w:u w:val="single"/>
        </w:rPr>
        <w:t xml:space="preserve"> именуемых «</w:t>
      </w:r>
      <w:r>
        <w:rPr>
          <w:u w:val="single"/>
        </w:rPr>
        <w:t>ковенант</w:t>
      </w:r>
      <w:r w:rsidR="00C40622">
        <w:rPr>
          <w:u w:val="single"/>
        </w:rPr>
        <w:t>ами»</w:t>
      </w:r>
      <w:r>
        <w:rPr>
          <w:u w:val="single"/>
        </w:rPr>
        <w:t>). Для целей применения пункта 69(d) такие ковенанты:</w:t>
      </w:r>
      <w:r>
        <w:t xml:space="preserve"> </w:t>
      </w:r>
    </w:p>
    <w:p w14:paraId="34F360AC" w14:textId="32B65D0E" w:rsidR="00C6412A" w:rsidRDefault="00315F76">
      <w:pPr>
        <w:pStyle w:val="IASBNormalnparaL1"/>
      </w:pPr>
      <w:r>
        <w:rPr>
          <w:u w:val="single"/>
        </w:rPr>
        <w:t>(a)</w:t>
      </w:r>
      <w:r>
        <w:tab/>
      </w:r>
      <w:r>
        <w:rPr>
          <w:u w:val="single"/>
        </w:rPr>
        <w:t>влияют на</w:t>
      </w:r>
      <w:r w:rsidR="0042077F">
        <w:rPr>
          <w:u w:val="single"/>
        </w:rPr>
        <w:t xml:space="preserve"> вывод о</w:t>
      </w:r>
      <w:r>
        <w:rPr>
          <w:u w:val="single"/>
        </w:rPr>
        <w:t xml:space="preserve"> существовани</w:t>
      </w:r>
      <w:r w:rsidR="0042077F">
        <w:rPr>
          <w:u w:val="single"/>
        </w:rPr>
        <w:t>и</w:t>
      </w:r>
      <w:r>
        <w:rPr>
          <w:u w:val="single"/>
        </w:rPr>
        <w:t xml:space="preserve"> </w:t>
      </w:r>
      <w:r w:rsidR="00C71731">
        <w:rPr>
          <w:u w:val="single"/>
        </w:rPr>
        <w:t>указанного</w:t>
      </w:r>
      <w:r>
        <w:rPr>
          <w:u w:val="single"/>
        </w:rPr>
        <w:t xml:space="preserve"> права </w:t>
      </w:r>
      <w:r w:rsidRPr="00822813">
        <w:rPr>
          <w:u w:val="single"/>
        </w:rPr>
        <w:t xml:space="preserve">на </w:t>
      </w:r>
      <w:bookmarkStart w:id="0" w:name="_Hlk127446303"/>
      <w:r w:rsidR="00822813" w:rsidRPr="00822813">
        <w:rPr>
          <w:u w:val="single"/>
        </w:rPr>
        <w:t>дату</w:t>
      </w:r>
      <w:r w:rsidR="00822813">
        <w:rPr>
          <w:u w:val="single"/>
        </w:rPr>
        <w:t xml:space="preserve"> окончания </w:t>
      </w:r>
      <w:bookmarkEnd w:id="0"/>
      <w:r>
        <w:rPr>
          <w:u w:val="single"/>
        </w:rPr>
        <w:t xml:space="preserve">отчетного периода (как показано в пунктах 74⁠–75), если </w:t>
      </w:r>
      <w:r w:rsidR="004C1A36">
        <w:rPr>
          <w:u w:val="single"/>
        </w:rPr>
        <w:t xml:space="preserve">от организации </w:t>
      </w:r>
      <w:r w:rsidR="00C71731">
        <w:rPr>
          <w:u w:val="single"/>
        </w:rPr>
        <w:t xml:space="preserve">требуется, чтобы </w:t>
      </w:r>
      <w:r w:rsidR="004C1A36">
        <w:rPr>
          <w:u w:val="single"/>
        </w:rPr>
        <w:t xml:space="preserve">ковенант был соблюден </w:t>
      </w:r>
      <w:r>
        <w:rPr>
          <w:u w:val="single"/>
        </w:rPr>
        <w:t>на дату окончания отчетного периода или до</w:t>
      </w:r>
      <w:r w:rsidR="00D80065">
        <w:rPr>
          <w:u w:val="single"/>
        </w:rPr>
        <w:t xml:space="preserve"> этой даты</w:t>
      </w:r>
      <w:r>
        <w:rPr>
          <w:u w:val="single"/>
        </w:rPr>
        <w:t xml:space="preserve">. Такой ковенант влияет на </w:t>
      </w:r>
      <w:r w:rsidR="00C71731">
        <w:rPr>
          <w:u w:val="single"/>
        </w:rPr>
        <w:t xml:space="preserve">вывод о </w:t>
      </w:r>
      <w:r>
        <w:rPr>
          <w:u w:val="single"/>
        </w:rPr>
        <w:t>существовани</w:t>
      </w:r>
      <w:r w:rsidR="00C71731">
        <w:rPr>
          <w:u w:val="single"/>
        </w:rPr>
        <w:t>и</w:t>
      </w:r>
      <w:r>
        <w:rPr>
          <w:u w:val="single"/>
        </w:rPr>
        <w:t xml:space="preserve"> </w:t>
      </w:r>
      <w:r w:rsidR="004C1A36">
        <w:rPr>
          <w:u w:val="single"/>
        </w:rPr>
        <w:t>указ</w:t>
      </w:r>
      <w:r>
        <w:rPr>
          <w:u w:val="single"/>
        </w:rPr>
        <w:t xml:space="preserve">анного права </w:t>
      </w:r>
      <w:r w:rsidRPr="00822813">
        <w:rPr>
          <w:u w:val="single"/>
        </w:rPr>
        <w:t>на дату окончания</w:t>
      </w:r>
      <w:r>
        <w:rPr>
          <w:u w:val="single"/>
        </w:rPr>
        <w:t xml:space="preserve"> отчетного периода, даже если </w:t>
      </w:r>
      <w:r w:rsidR="00C71731">
        <w:rPr>
          <w:u w:val="single"/>
        </w:rPr>
        <w:t>со</w:t>
      </w:r>
      <w:r w:rsidR="004C1A36">
        <w:rPr>
          <w:u w:val="single"/>
        </w:rPr>
        <w:t>блюдение</w:t>
      </w:r>
      <w:r>
        <w:rPr>
          <w:u w:val="single"/>
        </w:rPr>
        <w:t xml:space="preserve"> этого ковенанта </w:t>
      </w:r>
      <w:r w:rsidR="00C71731">
        <w:rPr>
          <w:u w:val="single"/>
        </w:rPr>
        <w:t xml:space="preserve">оценивается </w:t>
      </w:r>
      <w:r>
        <w:rPr>
          <w:u w:val="single"/>
        </w:rPr>
        <w:t xml:space="preserve">только после отчетного периода (например, ковенант </w:t>
      </w:r>
      <w:r w:rsidR="00C71731">
        <w:rPr>
          <w:u w:val="single"/>
        </w:rPr>
        <w:t>связан с</w:t>
      </w:r>
      <w:r>
        <w:rPr>
          <w:u w:val="single"/>
        </w:rPr>
        <w:t xml:space="preserve"> финансов</w:t>
      </w:r>
      <w:r w:rsidR="00C71731">
        <w:rPr>
          <w:u w:val="single"/>
        </w:rPr>
        <w:t>ы</w:t>
      </w:r>
      <w:r>
        <w:rPr>
          <w:u w:val="single"/>
        </w:rPr>
        <w:t>м положени</w:t>
      </w:r>
      <w:r w:rsidR="00C71731">
        <w:rPr>
          <w:u w:val="single"/>
        </w:rPr>
        <w:t>ем</w:t>
      </w:r>
      <w:r>
        <w:rPr>
          <w:u w:val="single"/>
        </w:rPr>
        <w:t xml:space="preserve"> организации на </w:t>
      </w:r>
      <w:r w:rsidR="00822813" w:rsidRPr="00822813">
        <w:rPr>
          <w:u w:val="single"/>
        </w:rPr>
        <w:t>дату окончания</w:t>
      </w:r>
      <w:r>
        <w:rPr>
          <w:u w:val="single"/>
        </w:rPr>
        <w:t xml:space="preserve"> отчетного периода, но</w:t>
      </w:r>
      <w:r w:rsidR="00C71731">
        <w:rPr>
          <w:u w:val="single"/>
        </w:rPr>
        <w:t xml:space="preserve"> </w:t>
      </w:r>
      <w:r w:rsidR="004C1A36">
        <w:rPr>
          <w:u w:val="single"/>
        </w:rPr>
        <w:t xml:space="preserve">его соблюдение </w:t>
      </w:r>
      <w:r>
        <w:rPr>
          <w:u w:val="single"/>
        </w:rPr>
        <w:t>оценивается только после отчетного периода);</w:t>
      </w:r>
    </w:p>
    <w:p w14:paraId="34F360AD" w14:textId="437053FB" w:rsidR="00C6412A" w:rsidRDefault="00315F76">
      <w:pPr>
        <w:pStyle w:val="IASBNormalnparaL1"/>
      </w:pPr>
      <w:r>
        <w:rPr>
          <w:u w:val="single"/>
        </w:rPr>
        <w:t>(b)</w:t>
      </w:r>
      <w:r>
        <w:tab/>
      </w:r>
      <w:r>
        <w:rPr>
          <w:u w:val="single"/>
        </w:rPr>
        <w:t xml:space="preserve">не влияют на </w:t>
      </w:r>
      <w:r w:rsidR="004E59B5">
        <w:rPr>
          <w:u w:val="single"/>
        </w:rPr>
        <w:t xml:space="preserve">вывод о </w:t>
      </w:r>
      <w:r>
        <w:rPr>
          <w:u w:val="single"/>
        </w:rPr>
        <w:t>существовани</w:t>
      </w:r>
      <w:r w:rsidR="004E59B5">
        <w:rPr>
          <w:u w:val="single"/>
        </w:rPr>
        <w:t>и</w:t>
      </w:r>
      <w:r>
        <w:rPr>
          <w:u w:val="single"/>
        </w:rPr>
        <w:t xml:space="preserve"> </w:t>
      </w:r>
      <w:r w:rsidR="004E59B5">
        <w:rPr>
          <w:u w:val="single"/>
        </w:rPr>
        <w:t>указ</w:t>
      </w:r>
      <w:r>
        <w:rPr>
          <w:u w:val="single"/>
        </w:rPr>
        <w:t>анного права на</w:t>
      </w:r>
      <w:r w:rsidR="00D47119" w:rsidRPr="00D47119">
        <w:rPr>
          <w:u w:val="single"/>
        </w:rPr>
        <w:t xml:space="preserve"> </w:t>
      </w:r>
      <w:r w:rsidR="00D47119">
        <w:rPr>
          <w:u w:val="single"/>
        </w:rPr>
        <w:t>дату окончания</w:t>
      </w:r>
      <w:r>
        <w:rPr>
          <w:u w:val="single"/>
        </w:rPr>
        <w:t xml:space="preserve"> отчетного периода, если </w:t>
      </w:r>
      <w:r w:rsidR="004C1A36">
        <w:rPr>
          <w:u w:val="single"/>
        </w:rPr>
        <w:t xml:space="preserve">от организации </w:t>
      </w:r>
      <w:r w:rsidR="004E59B5">
        <w:rPr>
          <w:u w:val="single"/>
        </w:rPr>
        <w:t>требуется</w:t>
      </w:r>
      <w:r w:rsidR="00A37A2F">
        <w:rPr>
          <w:u w:val="single"/>
        </w:rPr>
        <w:t xml:space="preserve"> соблюдение </w:t>
      </w:r>
      <w:r>
        <w:rPr>
          <w:u w:val="single"/>
        </w:rPr>
        <w:t>ковенант</w:t>
      </w:r>
      <w:r w:rsidR="00A37A2F">
        <w:rPr>
          <w:u w:val="single"/>
        </w:rPr>
        <w:t xml:space="preserve">а </w:t>
      </w:r>
      <w:r w:rsidR="00822813">
        <w:rPr>
          <w:u w:val="single"/>
        </w:rPr>
        <w:t xml:space="preserve">только </w:t>
      </w:r>
      <w:r>
        <w:rPr>
          <w:u w:val="single"/>
        </w:rPr>
        <w:t xml:space="preserve">после окончания отчетного периода (например, ковенант </w:t>
      </w:r>
      <w:r w:rsidR="004E59B5">
        <w:rPr>
          <w:u w:val="single"/>
        </w:rPr>
        <w:t xml:space="preserve">связан с </w:t>
      </w:r>
      <w:r>
        <w:rPr>
          <w:u w:val="single"/>
        </w:rPr>
        <w:t>финансов</w:t>
      </w:r>
      <w:r w:rsidR="004E59B5">
        <w:rPr>
          <w:u w:val="single"/>
        </w:rPr>
        <w:t>ы</w:t>
      </w:r>
      <w:r>
        <w:rPr>
          <w:u w:val="single"/>
        </w:rPr>
        <w:t>м положени</w:t>
      </w:r>
      <w:r w:rsidR="004E59B5">
        <w:rPr>
          <w:u w:val="single"/>
        </w:rPr>
        <w:t>ем</w:t>
      </w:r>
      <w:r>
        <w:rPr>
          <w:u w:val="single"/>
        </w:rPr>
        <w:t xml:space="preserve"> организации</w:t>
      </w:r>
      <w:r w:rsidR="00A37A2F">
        <w:rPr>
          <w:u w:val="single"/>
        </w:rPr>
        <w:t>, которое будет</w:t>
      </w:r>
      <w:r>
        <w:rPr>
          <w:u w:val="single"/>
        </w:rPr>
        <w:t xml:space="preserve"> через шесть месяцев после окончания отчетного периода). </w:t>
      </w:r>
    </w:p>
    <w:p w14:paraId="34F360AE" w14:textId="77777777" w:rsidR="00C6412A" w:rsidRDefault="00315F76">
      <w:pPr>
        <w:pStyle w:val="IASBNormalnpara"/>
      </w:pPr>
      <w:r>
        <w:tab/>
        <w:t>...</w:t>
      </w:r>
    </w:p>
    <w:p w14:paraId="34F360AF" w14:textId="77777777" w:rsidR="00C6412A" w:rsidRDefault="00315F76">
      <w:pPr>
        <w:pStyle w:val="IASBNormalnpara"/>
      </w:pPr>
      <w:r>
        <w:t>74</w:t>
      </w:r>
      <w:r>
        <w:tab/>
        <w:t xml:space="preserve">В том случае, когда организация нарушает </w:t>
      </w:r>
      <w:r>
        <w:rPr>
          <w:u w:val="single"/>
        </w:rPr>
        <w:t>какой-либо ковенант</w:t>
      </w:r>
      <w:r>
        <w:rPr>
          <w:strike/>
        </w:rPr>
        <w:t>какое-либо условие</w:t>
      </w:r>
      <w:r>
        <w:t xml:space="preserve"> долгосрочного кредитного соглашения на дату окончания отчетного периода или до этой даты, вследствие чего обязательство становится погашаемым по требованию, организация классифицирует данное обязательство как краткосрочное, даже если кредитор согласился, после окончания отчетного периода, но до одобрения финансовой отчетности к выпуску, не требовать досрочной выплаты кредита, несмотря на допущенное нарушение. Организация классифицирует данное обязательство как краткосрочное, поскольку на дату окончания отчетного периода организация не имеет права отсрочить его погашение по меньшей мере на двенадцать месяцев после указанной даты.</w:t>
      </w:r>
    </w:p>
    <w:p w14:paraId="34F360B0" w14:textId="266D83EA" w:rsidR="00C6412A" w:rsidRDefault="00164E62">
      <w:pPr>
        <w:pStyle w:val="IASBNormalnpara"/>
      </w:pPr>
      <w:r>
        <w:t>75</w:t>
      </w:r>
      <w:r>
        <w:tab/>
      </w:r>
      <w:r w:rsidR="00315F76">
        <w:t>Однако организация классифицирует это обязательство как долгосрочное, если до окончания отчетного периода кредитор согласился предоставить ей льготный период, заканчивающийся не ранее, чем через двенадцать месяцев после окончания отчетного периода, в течение которого организация может исправить нарушение, и при этом кредитор не может требовать немедленного погашения кредита.</w:t>
      </w:r>
    </w:p>
    <w:p w14:paraId="34F360B1" w14:textId="77777777" w:rsidR="00C6412A" w:rsidRDefault="00315F76">
      <w:pPr>
        <w:pStyle w:val="IASBNormalnpara"/>
      </w:pPr>
      <w:r>
        <w:tab/>
        <w:t>...</w:t>
      </w:r>
    </w:p>
    <w:p w14:paraId="34F360B2" w14:textId="1F401B00" w:rsidR="00C6412A" w:rsidRDefault="00315F76">
      <w:pPr>
        <w:pStyle w:val="IASBNormalnpara"/>
      </w:pPr>
      <w:r>
        <w:rPr>
          <w:b/>
          <w:u w:val="single"/>
        </w:rPr>
        <w:t>76ZA</w:t>
      </w:r>
      <w:r>
        <w:tab/>
      </w:r>
      <w:r>
        <w:rPr>
          <w:b/>
          <w:u w:val="single"/>
        </w:rPr>
        <w:t>При применении пунктов 69–75 организация может классифицировать обязательства, возник</w:t>
      </w:r>
      <w:r w:rsidR="00A37A2F">
        <w:rPr>
          <w:b/>
          <w:u w:val="single"/>
        </w:rPr>
        <w:t>ш</w:t>
      </w:r>
      <w:r>
        <w:rPr>
          <w:b/>
          <w:u w:val="single"/>
        </w:rPr>
        <w:t xml:space="preserve">ие в результате кредитных соглашений, как долгосрочные </w:t>
      </w:r>
      <w:r w:rsidR="00FE65B9">
        <w:rPr>
          <w:b/>
          <w:u w:val="single"/>
        </w:rPr>
        <w:t>в случаях</w:t>
      </w:r>
      <w:r w:rsidR="00B60F69">
        <w:rPr>
          <w:b/>
          <w:u w:val="single"/>
        </w:rPr>
        <w:t>,</w:t>
      </w:r>
      <w:r w:rsidR="00FE65B9">
        <w:rPr>
          <w:b/>
          <w:u w:val="single"/>
        </w:rPr>
        <w:t xml:space="preserve"> когда</w:t>
      </w:r>
      <w:r>
        <w:rPr>
          <w:b/>
          <w:u w:val="single"/>
        </w:rPr>
        <w:t xml:space="preserve"> право организации отсрочить урегулирование данных обязательств зависит от </w:t>
      </w:r>
      <w:r w:rsidR="00A37A2F">
        <w:rPr>
          <w:b/>
          <w:u w:val="single"/>
        </w:rPr>
        <w:t xml:space="preserve">соблюдения </w:t>
      </w:r>
      <w:r>
        <w:rPr>
          <w:b/>
          <w:u w:val="single"/>
        </w:rPr>
        <w:t xml:space="preserve">организацией ковенантов в </w:t>
      </w:r>
      <w:r w:rsidR="002B3ADC">
        <w:rPr>
          <w:b/>
          <w:u w:val="single"/>
        </w:rPr>
        <w:t xml:space="preserve">течение </w:t>
      </w:r>
      <w:r>
        <w:rPr>
          <w:b/>
          <w:u w:val="single"/>
        </w:rPr>
        <w:t xml:space="preserve">двенадцати месяцев после окончания отчетного периода (см. пункт 72B(b)). В таких случаях организация должна раскрыть </w:t>
      </w:r>
      <w:r w:rsidR="005D1317">
        <w:rPr>
          <w:b/>
          <w:u w:val="single"/>
        </w:rPr>
        <w:t xml:space="preserve">в примечаниях </w:t>
      </w:r>
      <w:r>
        <w:rPr>
          <w:b/>
          <w:u w:val="single"/>
        </w:rPr>
        <w:t>информацию, позволяющую пользователям финансовой отчетности понять риск того, что в течение двенадцати месяцев после окончания отчетного периода</w:t>
      </w:r>
      <w:r w:rsidR="00A37A2F" w:rsidRPr="00A37A2F">
        <w:rPr>
          <w:b/>
          <w:u w:val="single"/>
        </w:rPr>
        <w:t xml:space="preserve"> </w:t>
      </w:r>
      <w:r w:rsidR="00A37A2F">
        <w:rPr>
          <w:b/>
          <w:u w:val="single"/>
        </w:rPr>
        <w:t>эти обязательства могут стать подлежащими погашению</w:t>
      </w:r>
      <w:r>
        <w:rPr>
          <w:b/>
          <w:u w:val="single"/>
        </w:rPr>
        <w:t>, в том числе:</w:t>
      </w:r>
    </w:p>
    <w:p w14:paraId="34F360B3" w14:textId="75BD168E" w:rsidR="00C6412A" w:rsidRDefault="00315F76">
      <w:pPr>
        <w:pStyle w:val="IASBNormalnparaL1"/>
      </w:pPr>
      <w:r>
        <w:rPr>
          <w:b/>
          <w:u w:val="single"/>
        </w:rPr>
        <w:t>(a)</w:t>
      </w:r>
      <w:r>
        <w:tab/>
      </w:r>
      <w:r>
        <w:rPr>
          <w:b/>
          <w:u w:val="single"/>
        </w:rPr>
        <w:t xml:space="preserve">информацию о ковенантах (включая описание характера ковенантов и того, когда организация обязана их </w:t>
      </w:r>
      <w:r w:rsidR="00ED2FC5">
        <w:rPr>
          <w:b/>
          <w:u w:val="single"/>
        </w:rPr>
        <w:t>соблюсти</w:t>
      </w:r>
      <w:r>
        <w:rPr>
          <w:b/>
          <w:u w:val="single"/>
        </w:rPr>
        <w:t>) и балансовую стоимость соответствующих обязательств;</w:t>
      </w:r>
    </w:p>
    <w:p w14:paraId="34F360B4" w14:textId="429690B3" w:rsidR="00C6412A" w:rsidRDefault="00315F76">
      <w:pPr>
        <w:pStyle w:val="IASBNormalnparaL1"/>
      </w:pPr>
      <w:r>
        <w:rPr>
          <w:b/>
          <w:u w:val="single"/>
        </w:rPr>
        <w:t>(b)</w:t>
      </w:r>
      <w:r>
        <w:tab/>
      </w:r>
      <w:r>
        <w:rPr>
          <w:b/>
          <w:u w:val="single"/>
        </w:rPr>
        <w:t xml:space="preserve">факты и обстоятельства, </w:t>
      </w:r>
      <w:r w:rsidR="00ED2FC5">
        <w:rPr>
          <w:b/>
          <w:u w:val="single"/>
        </w:rPr>
        <w:t>если так</w:t>
      </w:r>
      <w:r w:rsidR="000B775E">
        <w:rPr>
          <w:b/>
          <w:u w:val="single"/>
        </w:rPr>
        <w:t>ие</w:t>
      </w:r>
      <w:r w:rsidR="00ED2FC5">
        <w:rPr>
          <w:b/>
          <w:u w:val="single"/>
        </w:rPr>
        <w:t xml:space="preserve"> </w:t>
      </w:r>
      <w:r w:rsidR="0062459B">
        <w:rPr>
          <w:b/>
          <w:u w:val="single"/>
        </w:rPr>
        <w:t>имеются</w:t>
      </w:r>
      <w:r>
        <w:rPr>
          <w:b/>
          <w:u w:val="single"/>
        </w:rPr>
        <w:t>, указываю</w:t>
      </w:r>
      <w:r w:rsidR="00633E33">
        <w:rPr>
          <w:b/>
          <w:u w:val="single"/>
        </w:rPr>
        <w:t>щие</w:t>
      </w:r>
      <w:r>
        <w:rPr>
          <w:b/>
          <w:u w:val="single"/>
        </w:rPr>
        <w:t xml:space="preserve"> на то, что организаци</w:t>
      </w:r>
      <w:r w:rsidR="00ED2FC5">
        <w:rPr>
          <w:b/>
          <w:u w:val="single"/>
        </w:rPr>
        <w:t>я может испытывать</w:t>
      </w:r>
      <w:r>
        <w:rPr>
          <w:b/>
          <w:u w:val="single"/>
        </w:rPr>
        <w:t xml:space="preserve"> </w:t>
      </w:r>
      <w:r w:rsidR="001C7C7A">
        <w:rPr>
          <w:b/>
          <w:u w:val="single"/>
        </w:rPr>
        <w:t>за</w:t>
      </w:r>
      <w:r>
        <w:rPr>
          <w:b/>
          <w:u w:val="single"/>
        </w:rPr>
        <w:t>трудн</w:t>
      </w:r>
      <w:r w:rsidR="001C7C7A">
        <w:rPr>
          <w:b/>
          <w:u w:val="single"/>
        </w:rPr>
        <w:t>ения</w:t>
      </w:r>
      <w:r w:rsidR="00ED2FC5">
        <w:rPr>
          <w:b/>
          <w:u w:val="single"/>
        </w:rPr>
        <w:t>, связанные с соблюдением</w:t>
      </w:r>
      <w:r>
        <w:rPr>
          <w:b/>
          <w:u w:val="single"/>
        </w:rPr>
        <w:t xml:space="preserve"> ковенантов, например </w:t>
      </w:r>
      <w:r w:rsidR="001C7C7A">
        <w:rPr>
          <w:b/>
          <w:u w:val="single"/>
        </w:rPr>
        <w:lastRenderedPageBreak/>
        <w:t xml:space="preserve">предпринятые организацией </w:t>
      </w:r>
      <w:r>
        <w:rPr>
          <w:b/>
          <w:u w:val="single"/>
        </w:rPr>
        <w:t xml:space="preserve">действия в течение или после отчетного периода, </w:t>
      </w:r>
      <w:r w:rsidR="00ED2FC5">
        <w:rPr>
          <w:b/>
          <w:u w:val="single"/>
        </w:rPr>
        <w:t xml:space="preserve">с </w:t>
      </w:r>
      <w:r w:rsidR="001C7C7A">
        <w:rPr>
          <w:b/>
          <w:u w:val="single"/>
        </w:rPr>
        <w:t>тем чтобы</w:t>
      </w:r>
      <w:r w:rsidR="00ED2FC5">
        <w:rPr>
          <w:b/>
          <w:u w:val="single"/>
        </w:rPr>
        <w:t xml:space="preserve"> </w:t>
      </w:r>
      <w:r>
        <w:rPr>
          <w:b/>
          <w:u w:val="single"/>
        </w:rPr>
        <w:t>избежа</w:t>
      </w:r>
      <w:r w:rsidR="00ED2FC5">
        <w:rPr>
          <w:b/>
          <w:u w:val="single"/>
        </w:rPr>
        <w:t>ть</w:t>
      </w:r>
      <w:r>
        <w:rPr>
          <w:b/>
          <w:u w:val="single"/>
        </w:rPr>
        <w:t xml:space="preserve"> или смягч</w:t>
      </w:r>
      <w:r w:rsidR="00ED2FC5">
        <w:rPr>
          <w:b/>
          <w:u w:val="single"/>
        </w:rPr>
        <w:t>ить</w:t>
      </w:r>
      <w:r>
        <w:rPr>
          <w:b/>
          <w:u w:val="single"/>
        </w:rPr>
        <w:t xml:space="preserve"> последстви</w:t>
      </w:r>
      <w:r w:rsidR="00ED2FC5">
        <w:rPr>
          <w:b/>
          <w:u w:val="single"/>
        </w:rPr>
        <w:t>я</w:t>
      </w:r>
      <w:r>
        <w:rPr>
          <w:b/>
          <w:u w:val="single"/>
        </w:rPr>
        <w:t xml:space="preserve"> </w:t>
      </w:r>
      <w:r w:rsidR="00ED2FC5">
        <w:rPr>
          <w:b/>
          <w:u w:val="single"/>
        </w:rPr>
        <w:t xml:space="preserve">потенциального </w:t>
      </w:r>
      <w:r>
        <w:rPr>
          <w:b/>
          <w:u w:val="single"/>
        </w:rPr>
        <w:t xml:space="preserve">нарушения. К таким фактам и обстоятельствам можно отнести </w:t>
      </w:r>
      <w:r w:rsidR="001C7C7A">
        <w:rPr>
          <w:b/>
          <w:u w:val="single"/>
        </w:rPr>
        <w:t xml:space="preserve">и </w:t>
      </w:r>
      <w:r>
        <w:rPr>
          <w:b/>
          <w:u w:val="single"/>
        </w:rPr>
        <w:t>т</w:t>
      </w:r>
      <w:r w:rsidR="00B60F69">
        <w:rPr>
          <w:b/>
          <w:u w:val="single"/>
        </w:rPr>
        <w:t>от</w:t>
      </w:r>
      <w:r>
        <w:rPr>
          <w:b/>
          <w:u w:val="single"/>
        </w:rPr>
        <w:t xml:space="preserve"> факт, что ковенанты</w:t>
      </w:r>
      <w:r w:rsidR="001C7C7A">
        <w:rPr>
          <w:b/>
          <w:u w:val="single"/>
        </w:rPr>
        <w:t xml:space="preserve"> не были бы соблюдены организацией</w:t>
      </w:r>
      <w:r>
        <w:rPr>
          <w:b/>
          <w:u w:val="single"/>
        </w:rPr>
        <w:t xml:space="preserve">, если бы их </w:t>
      </w:r>
      <w:r w:rsidR="001C7C7A">
        <w:rPr>
          <w:b/>
          <w:u w:val="single"/>
        </w:rPr>
        <w:t>соблюдение</w:t>
      </w:r>
      <w:r>
        <w:rPr>
          <w:b/>
          <w:u w:val="single"/>
        </w:rPr>
        <w:t xml:space="preserve"> оценивалось </w:t>
      </w:r>
      <w:r w:rsidR="001C7C7A">
        <w:rPr>
          <w:b/>
          <w:u w:val="single"/>
        </w:rPr>
        <w:t xml:space="preserve">исходя из </w:t>
      </w:r>
      <w:r>
        <w:rPr>
          <w:b/>
          <w:u w:val="single"/>
        </w:rPr>
        <w:t>обстоятельств</w:t>
      </w:r>
      <w:r w:rsidR="001C7C7A">
        <w:rPr>
          <w:b/>
          <w:u w:val="single"/>
        </w:rPr>
        <w:t xml:space="preserve"> организации</w:t>
      </w:r>
      <w:r>
        <w:rPr>
          <w:b/>
          <w:u w:val="single"/>
        </w:rPr>
        <w:t>, существовавших на конец отчетного периода.</w:t>
      </w:r>
    </w:p>
    <w:p w14:paraId="34F360B5" w14:textId="77777777" w:rsidR="00C6412A" w:rsidRDefault="00315F76">
      <w:pPr>
        <w:pStyle w:val="IASBNormalnpara"/>
      </w:pPr>
      <w:r>
        <w:tab/>
        <w:t>...</w:t>
      </w:r>
    </w:p>
    <w:p w14:paraId="34F360B6" w14:textId="77777777" w:rsidR="00C6412A" w:rsidRDefault="00315F76">
      <w:pPr>
        <w:pStyle w:val="IASBSectionTitle1NonInd"/>
      </w:pPr>
      <w:r>
        <w:t>Переходные положения и дата вступления в силу</w:t>
      </w:r>
    </w:p>
    <w:p w14:paraId="34F360B7" w14:textId="77777777" w:rsidR="00C6412A" w:rsidRDefault="00315F76">
      <w:pPr>
        <w:pStyle w:val="IASBNormalnpara"/>
      </w:pPr>
      <w:r>
        <w:tab/>
        <w:t>...</w:t>
      </w:r>
    </w:p>
    <w:p w14:paraId="34F360B9" w14:textId="6F1D5503" w:rsidR="00C6412A" w:rsidRDefault="00315F76">
      <w:pPr>
        <w:pStyle w:val="IASBNormalnpara"/>
      </w:pPr>
      <w:r>
        <w:t>139U</w:t>
      </w:r>
      <w:r>
        <w:tab/>
        <w:t xml:space="preserve">Документом </w:t>
      </w:r>
      <w:r>
        <w:rPr>
          <w:i/>
        </w:rPr>
        <w:t>«Классификация обязательств как краткосрочных или долгосрочных»</w:t>
      </w:r>
      <w:r>
        <w:t>, выпущенным в</w:t>
      </w:r>
      <w:r w:rsidR="00B20473">
        <w:t> </w:t>
      </w:r>
      <w:r>
        <w:t xml:space="preserve">январе 2020 года, внесены изменения в пункты 69, 73, 74 и 76, а также добавлены пункты 72A, 75A, 76A и 76B. Организация должна применять данные поправки в отношении годовых отчетных периодов, начинающихся </w:t>
      </w:r>
      <w:r>
        <w:rPr>
          <w:u w:val="single"/>
        </w:rPr>
        <w:t>1 января 2024 года</w:t>
      </w:r>
      <w:r>
        <w:rPr>
          <w:strike/>
        </w:rPr>
        <w:t>1 января 2023 года</w:t>
      </w:r>
      <w:r>
        <w:t xml:space="preserve"> или после этой даты, ретроспективно в соответствии с МСФО (IAS) 8. Допускается досрочное применение.</w:t>
      </w:r>
      <w:r>
        <w:rPr>
          <w:u w:val="single"/>
        </w:rPr>
        <w:t xml:space="preserve"> </w:t>
      </w:r>
      <w:r w:rsidR="009A2EF6" w:rsidRPr="009A2EF6">
        <w:rPr>
          <w:u w:val="single"/>
        </w:rPr>
        <w:t xml:space="preserve">Если организация применит данные поправки в отношении более раннего периода после выпуска поправок «Долгосрочные обязательства с ковенантами» (см. пункт 139W), она также должна применить поправки «Долгосрочные обязательства с ковенантами» в отношении данного периода. Если организация применит данные поправки «Классификация обязательств как краткосрочных или долгосрочных» в отношении более раннего периода, она должна раскрыть этот факт.  </w:t>
      </w:r>
      <w:r>
        <w:tab/>
        <w:t>...</w:t>
      </w:r>
    </w:p>
    <w:p w14:paraId="34F360BA" w14:textId="77777777" w:rsidR="00C6412A" w:rsidRDefault="00315F76">
      <w:pPr>
        <w:pStyle w:val="IASBNormalnpara"/>
      </w:pPr>
      <w:r>
        <w:rPr>
          <w:u w:val="single"/>
        </w:rPr>
        <w:t>139W</w:t>
      </w:r>
      <w:r>
        <w:tab/>
      </w:r>
      <w:r>
        <w:rPr>
          <w:u w:val="single"/>
        </w:rPr>
        <w:t xml:space="preserve">Документом </w:t>
      </w:r>
      <w:r>
        <w:rPr>
          <w:i/>
          <w:u w:val="single"/>
        </w:rPr>
        <w:t>«Долгосрочные обязательства с ковенантами»</w:t>
      </w:r>
      <w:r>
        <w:rPr>
          <w:u w:val="single"/>
        </w:rPr>
        <w:t>, выпущенным в октябре 2022 года, внесены изменения в пункты 60, 71, 72A, 74 и 139U, а также добавлены пункты 72B и 76ZA. Организация должна применять:</w:t>
      </w:r>
      <w:r>
        <w:t xml:space="preserve"> </w:t>
      </w:r>
    </w:p>
    <w:p w14:paraId="34F360BB" w14:textId="315DFDE3" w:rsidR="00C6412A" w:rsidRDefault="00315F76">
      <w:pPr>
        <w:pStyle w:val="IASBNormalnparaL1"/>
      </w:pPr>
      <w:r>
        <w:rPr>
          <w:u w:val="single"/>
        </w:rPr>
        <w:t>(a)</w:t>
      </w:r>
      <w:r>
        <w:tab/>
      </w:r>
      <w:r>
        <w:rPr>
          <w:u w:val="single"/>
        </w:rPr>
        <w:t>поправк</w:t>
      </w:r>
      <w:r w:rsidR="00FE65B9">
        <w:rPr>
          <w:u w:val="single"/>
        </w:rPr>
        <w:t>у</w:t>
      </w:r>
      <w:r>
        <w:rPr>
          <w:u w:val="single"/>
        </w:rPr>
        <w:t xml:space="preserve"> к пункту 139U сразу же после выпуска документа </w:t>
      </w:r>
      <w:r>
        <w:rPr>
          <w:i/>
          <w:u w:val="single"/>
        </w:rPr>
        <w:t>«Долгосрочные обязательства с ковенантами»</w:t>
      </w:r>
      <w:r>
        <w:rPr>
          <w:u w:val="single"/>
        </w:rPr>
        <w:t>;</w:t>
      </w:r>
    </w:p>
    <w:p w14:paraId="34F360BC" w14:textId="77777777" w:rsidR="00C6412A" w:rsidRDefault="00315F76">
      <w:pPr>
        <w:pStyle w:val="IASBNormalnparaL1"/>
      </w:pPr>
      <w:r>
        <w:rPr>
          <w:u w:val="single"/>
        </w:rPr>
        <w:t>(b)</w:t>
      </w:r>
      <w:r>
        <w:tab/>
      </w:r>
      <w:r>
        <w:rPr>
          <w:u w:val="single"/>
        </w:rPr>
        <w:t xml:space="preserve">все прочие поправки в отношении годовых отчетных периодов, начинающихся 1 января 2024 года или после этой даты, ретроспективно в соответствии с МСФО (IAS) 8. Допускается досрочное применение. Если организация применит данные поправки в отношении более раннего периода, она также должна применить поправки </w:t>
      </w:r>
      <w:r>
        <w:rPr>
          <w:i/>
          <w:u w:val="single"/>
        </w:rPr>
        <w:t>«Классификация обязательств как краткосрочных или долгосрочных»</w:t>
      </w:r>
      <w:r>
        <w:rPr>
          <w:u w:val="single"/>
        </w:rPr>
        <w:t xml:space="preserve"> в отношении данного периода. Если организация применит поправки </w:t>
      </w:r>
      <w:r>
        <w:rPr>
          <w:i/>
          <w:u w:val="single"/>
        </w:rPr>
        <w:t>«Долгосрочные обязательства с ковенантами»</w:t>
      </w:r>
      <w:r>
        <w:rPr>
          <w:u w:val="single"/>
        </w:rPr>
        <w:t xml:space="preserve"> в отношении более раннего периода, она должна раскрыть этот факт.</w:t>
      </w:r>
    </w:p>
    <w:p w14:paraId="34F36159" w14:textId="77777777" w:rsidR="00C6412A" w:rsidRDefault="00C6412A"/>
    <w:sectPr w:rsidR="00C6412A">
      <w:headerReference w:type="even" r:id="rId13"/>
      <w:headerReference w:type="default" r:id="rId14"/>
      <w:footerReference w:type="even" r:id="rId15"/>
      <w:footerReference w:type="default" r:id="rId16"/>
      <w:pgSz w:w="11880" w:h="1682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FBB34" w14:textId="77777777" w:rsidR="00E40261" w:rsidRDefault="00E40261">
      <w:r>
        <w:separator/>
      </w:r>
    </w:p>
  </w:endnote>
  <w:endnote w:type="continuationSeparator" w:id="0">
    <w:p w14:paraId="0AE8E356" w14:textId="77777777" w:rsidR="00E40261" w:rsidRDefault="00E40261">
      <w:r>
        <w:continuationSeparator/>
      </w:r>
    </w:p>
  </w:endnote>
  <w:endnote w:type="continuationNotice" w:id="1">
    <w:p w14:paraId="20033CAB" w14:textId="77777777" w:rsidR="00E40261" w:rsidRDefault="00E40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615C" w14:textId="77777777" w:rsidR="00C6412A" w:rsidRDefault="00315F76">
    <w:pPr>
      <w:pStyle w:val="Footer"/>
    </w:pPr>
    <w:r>
      <w:fldChar w:fldCharType="begin"/>
    </w:r>
    <w:r>
      <w:instrText>PAGE</w:instrText>
    </w:r>
    <w:r>
      <w:fldChar w:fldCharType="end"/>
    </w:r>
    <w:r>
      <w:tab/>
      <w:t>© IFRS Foundation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615D" w14:textId="2DB45300" w:rsidR="00C6412A" w:rsidRDefault="00315F76">
    <w:pPr>
      <w:pStyle w:val="Footer"/>
    </w:pPr>
    <w:r>
      <w:tab/>
      <w:t>© IFRS Foundation</w:t>
    </w:r>
    <w:r>
      <w:tab/>
    </w:r>
    <w:r>
      <w:fldChar w:fldCharType="begin"/>
    </w:r>
    <w:r>
      <w:instrText>PAGE</w:instrText>
    </w:r>
    <w:r>
      <w:fldChar w:fldCharType="separate"/>
    </w:r>
    <w:r w:rsidR="00D47119">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6180" w14:textId="7BBC8F16" w:rsidR="00C6412A" w:rsidRDefault="00315F76">
    <w:pPr>
      <w:pStyle w:val="Footer"/>
    </w:pPr>
    <w:r>
      <w:fldChar w:fldCharType="begin"/>
    </w:r>
    <w:r>
      <w:instrText>PAGE</w:instrText>
    </w:r>
    <w:r>
      <w:fldChar w:fldCharType="separate"/>
    </w:r>
    <w:r w:rsidR="00D221A8">
      <w:rPr>
        <w:noProof/>
      </w:rPr>
      <w:t>4</w:t>
    </w:r>
    <w:r>
      <w:fldChar w:fldCharType="end"/>
    </w:r>
    <w:r>
      <w:tab/>
      <w:t>© IFRS Foundation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6181" w14:textId="45FA609D" w:rsidR="00C6412A" w:rsidRDefault="00315F76">
    <w:pPr>
      <w:pStyle w:val="Footer"/>
    </w:pPr>
    <w:r>
      <w:tab/>
      <w:t>© IFRS Foundation</w:t>
    </w:r>
    <w:r>
      <w:tab/>
    </w:r>
    <w:r>
      <w:fldChar w:fldCharType="begin"/>
    </w:r>
    <w:r>
      <w:instrText>PAGE</w:instrText>
    </w:r>
    <w:r>
      <w:fldChar w:fldCharType="separate"/>
    </w:r>
    <w:r w:rsidR="00CD5BB5">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FB011" w14:textId="77777777" w:rsidR="00E40261" w:rsidRDefault="00E40261">
      <w:r>
        <w:separator/>
      </w:r>
    </w:p>
  </w:footnote>
  <w:footnote w:type="continuationSeparator" w:id="0">
    <w:p w14:paraId="45B4EFD5" w14:textId="77777777" w:rsidR="00E40261" w:rsidRDefault="00E40261">
      <w:r>
        <w:continuationSeparator/>
      </w:r>
    </w:p>
  </w:footnote>
  <w:footnote w:type="continuationNotice" w:id="1">
    <w:p w14:paraId="41587FA9" w14:textId="77777777" w:rsidR="00E40261" w:rsidRDefault="00E402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615B" w14:textId="77777777" w:rsidR="00C6412A" w:rsidRDefault="00315F76">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617E" w14:textId="77777777" w:rsidR="00C6412A" w:rsidRDefault="00C641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617F" w14:textId="77777777" w:rsidR="00C6412A" w:rsidRDefault="00315F76">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oNotTrackFormatting/>
  <w:documentProtection w:edit="trackedChanges" w:enforcement="0"/>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12A"/>
    <w:rsid w:val="00001923"/>
    <w:rsid w:val="00026CFB"/>
    <w:rsid w:val="00082AC8"/>
    <w:rsid w:val="00085C88"/>
    <w:rsid w:val="000B775E"/>
    <w:rsid w:val="000C46E9"/>
    <w:rsid w:val="00113743"/>
    <w:rsid w:val="00122D7B"/>
    <w:rsid w:val="001548CC"/>
    <w:rsid w:val="00164E62"/>
    <w:rsid w:val="00185637"/>
    <w:rsid w:val="001907CF"/>
    <w:rsid w:val="001C7C7A"/>
    <w:rsid w:val="00233209"/>
    <w:rsid w:val="00237694"/>
    <w:rsid w:val="002433FE"/>
    <w:rsid w:val="002B3ADC"/>
    <w:rsid w:val="002F6DC5"/>
    <w:rsid w:val="00315F76"/>
    <w:rsid w:val="003862E4"/>
    <w:rsid w:val="003F747A"/>
    <w:rsid w:val="0042077F"/>
    <w:rsid w:val="00492AEC"/>
    <w:rsid w:val="004C1A36"/>
    <w:rsid w:val="004E59B5"/>
    <w:rsid w:val="004F645F"/>
    <w:rsid w:val="00502DDC"/>
    <w:rsid w:val="005146F5"/>
    <w:rsid w:val="00515971"/>
    <w:rsid w:val="00534A78"/>
    <w:rsid w:val="005D1317"/>
    <w:rsid w:val="0062459B"/>
    <w:rsid w:val="00630439"/>
    <w:rsid w:val="00633E33"/>
    <w:rsid w:val="006503FC"/>
    <w:rsid w:val="006807A9"/>
    <w:rsid w:val="006B1440"/>
    <w:rsid w:val="006D165C"/>
    <w:rsid w:val="00702EFE"/>
    <w:rsid w:val="00720D1E"/>
    <w:rsid w:val="007F6781"/>
    <w:rsid w:val="00822813"/>
    <w:rsid w:val="008426D9"/>
    <w:rsid w:val="008A58E0"/>
    <w:rsid w:val="008B0479"/>
    <w:rsid w:val="008B5BB4"/>
    <w:rsid w:val="008E20C9"/>
    <w:rsid w:val="00906767"/>
    <w:rsid w:val="00915ACA"/>
    <w:rsid w:val="00970B31"/>
    <w:rsid w:val="009A2EF6"/>
    <w:rsid w:val="00A24BAC"/>
    <w:rsid w:val="00A261C5"/>
    <w:rsid w:val="00A306B4"/>
    <w:rsid w:val="00A37A2F"/>
    <w:rsid w:val="00A51F9B"/>
    <w:rsid w:val="00A65AC7"/>
    <w:rsid w:val="00A761C4"/>
    <w:rsid w:val="00AD31E4"/>
    <w:rsid w:val="00B0027C"/>
    <w:rsid w:val="00B20473"/>
    <w:rsid w:val="00B60F69"/>
    <w:rsid w:val="00B64F98"/>
    <w:rsid w:val="00BD02EB"/>
    <w:rsid w:val="00C101B0"/>
    <w:rsid w:val="00C40622"/>
    <w:rsid w:val="00C53969"/>
    <w:rsid w:val="00C6412A"/>
    <w:rsid w:val="00C71731"/>
    <w:rsid w:val="00CA7CE7"/>
    <w:rsid w:val="00CB280B"/>
    <w:rsid w:val="00CD5BB5"/>
    <w:rsid w:val="00CF5D00"/>
    <w:rsid w:val="00D221A8"/>
    <w:rsid w:val="00D47119"/>
    <w:rsid w:val="00D80065"/>
    <w:rsid w:val="00DA0E51"/>
    <w:rsid w:val="00DA3968"/>
    <w:rsid w:val="00DF545F"/>
    <w:rsid w:val="00E30D28"/>
    <w:rsid w:val="00E40261"/>
    <w:rsid w:val="00E450C0"/>
    <w:rsid w:val="00ED1CF0"/>
    <w:rsid w:val="00ED2F7E"/>
    <w:rsid w:val="00ED2FC5"/>
    <w:rsid w:val="00EF4A27"/>
    <w:rsid w:val="00FC798D"/>
    <w:rsid w:val="00FE65B9"/>
    <w:rsid w:val="534B9EEF"/>
    <w:rsid w:val="55152C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36071"/>
  <w15:docId w15:val="{30CCFEE8-0C31-4669-9535-C948FD0D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pPr>
      <w:tabs>
        <w:tab w:val="left" w:pos="4253"/>
      </w:tabs>
      <w:spacing w:before="100" w:after="100" w:line="240" w:lineRule="auto"/>
      <w:jc w:val="both"/>
    </w:pPr>
    <w:rPr>
      <w:sz w:val="19"/>
      <w:szCs w:val="20"/>
      <w:lang w:eastAsia="en-US"/>
    </w:rPr>
  </w:style>
  <w:style w:type="paragraph" w:customStyle="1" w:styleId="IASBNormalArial">
    <w:name w:val="IASB Normal Arial"/>
    <w:pPr>
      <w:tabs>
        <w:tab w:val="left" w:pos="4253"/>
      </w:tabs>
      <w:spacing w:before="100" w:after="100" w:line="240" w:lineRule="auto"/>
      <w:jc w:val="both"/>
    </w:pPr>
    <w:rPr>
      <w:rFonts w:ascii="Arial" w:hAnsi="Arial"/>
      <w:sz w:val="19"/>
      <w:szCs w:val="20"/>
      <w:lang w:eastAsia="en-US"/>
    </w:rPr>
  </w:style>
  <w:style w:type="paragraph" w:customStyle="1" w:styleId="IASBNormalnpara">
    <w:name w:val="IASB Normal npara"/>
    <w:basedOn w:val="IASBNormal"/>
    <w:pPr>
      <w:tabs>
        <w:tab w:val="clear" w:pos="4253"/>
      </w:tabs>
      <w:spacing w:after="0"/>
      <w:ind w:left="782" w:hanging="782"/>
    </w:pPr>
  </w:style>
  <w:style w:type="paragraph" w:customStyle="1" w:styleId="IASBSectionTitle1Ind">
    <w:name w:val="IASB Section Title 1 Ind"/>
    <w:basedOn w:val="Normal"/>
    <w:pPr>
      <w:keepNext/>
      <w:keepLines/>
      <w:pBdr>
        <w:bottom w:val="single" w:sz="4" w:space="0" w:color="auto"/>
      </w:pBdr>
      <w:spacing w:before="400" w:after="200"/>
      <w:ind w:left="782"/>
    </w:pPr>
    <w:rPr>
      <w:rFonts w:ascii="Arial" w:hAnsi="Arial" w:cs="Arial"/>
      <w:b/>
      <w:sz w:val="26"/>
      <w:szCs w:val="20"/>
    </w:rPr>
  </w:style>
  <w:style w:type="paragraph" w:customStyle="1" w:styleId="IASBSectionTitle1NonInd">
    <w:name w:val="IASB Section Title 1 NonInd"/>
    <w:basedOn w:val="Normal"/>
    <w:pPr>
      <w:keepNext/>
      <w:keepLines/>
      <w:pBdr>
        <w:bottom w:val="single" w:sz="4" w:space="0" w:color="auto"/>
      </w:pBdr>
      <w:spacing w:before="400" w:after="200"/>
    </w:pPr>
    <w:rPr>
      <w:rFonts w:ascii="Arial" w:hAnsi="Arial" w:cs="Arial"/>
      <w:b/>
      <w:sz w:val="26"/>
      <w:szCs w:val="20"/>
    </w:rPr>
  </w:style>
  <w:style w:type="paragraph" w:customStyle="1" w:styleId="IASBSectionTitle2NonInd">
    <w:name w:val="IASB Section Title 2 NonInd"/>
    <w:basedOn w:val="Normal"/>
    <w:pPr>
      <w:keepNext/>
      <w:keepLines/>
      <w:spacing w:before="300" w:after="200"/>
    </w:pPr>
    <w:rPr>
      <w:rFonts w:ascii="Arial" w:hAnsi="Arial" w:cs="Arial"/>
      <w:b/>
      <w:sz w:val="26"/>
      <w:szCs w:val="20"/>
    </w:rPr>
  </w:style>
  <w:style w:type="paragraph" w:customStyle="1" w:styleId="IASBSectionTitle2Ind">
    <w:name w:val="IASB Section Title 2 Ind"/>
    <w:basedOn w:val="IASBSectionTitle2NonInd"/>
    <w:pPr>
      <w:spacing w:before="240"/>
      <w:ind w:left="782"/>
    </w:pPr>
  </w:style>
  <w:style w:type="paragraph" w:customStyle="1" w:styleId="IASBSectionTitle3NonInd">
    <w:name w:val="IASB Section Title 3 NonInd"/>
    <w:basedOn w:val="Normal"/>
    <w:pPr>
      <w:keepNext/>
      <w:keepLines/>
      <w:spacing w:before="300" w:after="200"/>
    </w:pPr>
    <w:rPr>
      <w:rFonts w:ascii="Arial" w:hAnsi="Arial" w:cs="Arial"/>
      <w:b/>
      <w:sz w:val="22"/>
      <w:szCs w:val="20"/>
    </w:rPr>
  </w:style>
  <w:style w:type="paragraph" w:customStyle="1" w:styleId="IASBSectionTitle3Ind">
    <w:name w:val="IASB Section Title 3 Ind"/>
    <w:basedOn w:val="IASBSectionTitle3NonInd"/>
    <w:pPr>
      <w:spacing w:before="240"/>
      <w:ind w:left="782"/>
    </w:pPr>
  </w:style>
  <w:style w:type="paragraph" w:customStyle="1" w:styleId="IASBSectionTitle4NonInd">
    <w:name w:val="IASB Section Title 4 NonInd"/>
    <w:basedOn w:val="Normal"/>
    <w:pPr>
      <w:keepNext/>
      <w:keepLines/>
      <w:spacing w:before="300" w:after="200"/>
    </w:pPr>
    <w:rPr>
      <w:rFonts w:ascii="Arial" w:hAnsi="Arial" w:cs="Arial"/>
      <w:i/>
      <w:sz w:val="22"/>
      <w:szCs w:val="20"/>
    </w:rPr>
  </w:style>
  <w:style w:type="paragraph" w:customStyle="1" w:styleId="IASBSectionTitle4Ind">
    <w:name w:val="IASB Section Title 4 Ind"/>
    <w:basedOn w:val="IASBSectionTitle4NonInd"/>
    <w:pPr>
      <w:ind w:left="782"/>
    </w:pPr>
  </w:style>
  <w:style w:type="paragraph" w:customStyle="1" w:styleId="IASBSectionTitle5NonInd">
    <w:name w:val="IASB Section Title 5 NonInd"/>
    <w:basedOn w:val="Normal"/>
    <w:rsid w:val="00E20281"/>
    <w:pPr>
      <w:keepNext/>
      <w:keepLines/>
      <w:spacing w:before="300" w:after="200"/>
    </w:pPr>
    <w:rPr>
      <w:rFonts w:ascii="Arial" w:hAnsi="Arial" w:cs="Arial"/>
      <w:b/>
      <w:sz w:val="19"/>
      <w:szCs w:val="20"/>
    </w:rPr>
  </w:style>
  <w:style w:type="paragraph" w:customStyle="1" w:styleId="IASBSectionTitle5Ind">
    <w:name w:val="IASB Section Title 5 Ind"/>
    <w:basedOn w:val="IASBSectionTitle5NonInd"/>
    <w:rsid w:val="00E20281"/>
    <w:pPr>
      <w:ind w:left="782"/>
    </w:pPr>
  </w:style>
  <w:style w:type="paragraph" w:customStyle="1" w:styleId="IASBSectionTitle6NonInd">
    <w:name w:val="IASB Section Title 6 NonInd"/>
    <w:basedOn w:val="IASBSectionTitle5NonInd"/>
    <w:rPr>
      <w:b w:val="0"/>
      <w:i/>
    </w:rPr>
  </w:style>
  <w:style w:type="paragraph" w:customStyle="1" w:styleId="IASBSectionTitle6Ind">
    <w:name w:val="IASB Section Title 6 Ind"/>
    <w:basedOn w:val="IASBSectionTitle6NonInd"/>
    <w:pPr>
      <w:ind w:left="782"/>
    </w:pPr>
  </w:style>
  <w:style w:type="paragraph" w:customStyle="1" w:styleId="IASBTitle">
    <w:name w:val="IASB Title"/>
    <w:pPr>
      <w:keepNext/>
      <w:keepLines/>
      <w:spacing w:before="300" w:after="400" w:line="240" w:lineRule="auto"/>
    </w:pPr>
    <w:rPr>
      <w:rFonts w:cs="Arial"/>
      <w:sz w:val="36"/>
      <w:szCs w:val="20"/>
      <w:lang w:eastAsia="en-US"/>
    </w:rPr>
  </w:style>
  <w:style w:type="paragraph" w:customStyle="1" w:styleId="IASBNormalnparaL1">
    <w:name w:val="IASB Normal nparaL1"/>
    <w:basedOn w:val="IASBNormalnpara"/>
    <w:pPr>
      <w:ind w:left="1564"/>
    </w:pPr>
  </w:style>
  <w:style w:type="paragraph" w:customStyle="1" w:styleId="IASBNormalArialnparaL1">
    <w:name w:val="IASB Normal Arial nparaL1"/>
    <w:basedOn w:val="IASBNormalnpara"/>
    <w:pPr>
      <w:ind w:left="1564"/>
    </w:pPr>
    <w:rPr>
      <w:rFonts w:ascii="Arial" w:hAnsi="Arial"/>
    </w:rPr>
  </w:style>
  <w:style w:type="paragraph" w:customStyle="1" w:styleId="IASBNormalnparaP">
    <w:name w:val="IASB Normal nparaP"/>
    <w:basedOn w:val="IASBNormal"/>
    <w:pPr>
      <w:ind w:left="782"/>
    </w:pPr>
  </w:style>
  <w:style w:type="paragraph" w:customStyle="1" w:styleId="IASBIdentifier">
    <w:name w:val="IASB Identifier"/>
    <w:basedOn w:val="IASBTitle"/>
    <w:pPr>
      <w:spacing w:after="200"/>
    </w:pPr>
    <w:rPr>
      <w:rFonts w:ascii="Arial" w:hAnsi="Arial"/>
      <w:b/>
      <w:sz w:val="23"/>
    </w:rPr>
  </w:style>
  <w:style w:type="paragraph" w:customStyle="1" w:styleId="IASBTOCPrimaryPrimary">
    <w:name w:val="IASB TOC Primary Primary"/>
    <w:basedOn w:val="Normal"/>
    <w:pPr>
      <w:tabs>
        <w:tab w:val="right" w:pos="8647"/>
      </w:tabs>
      <w:spacing w:before="100" w:after="100"/>
    </w:pPr>
    <w:rPr>
      <w:rFonts w:ascii="Arial" w:hAnsi="Arial" w:cs="Arial"/>
      <w:b/>
      <w:caps/>
      <w:sz w:val="20"/>
      <w:szCs w:val="20"/>
    </w:rPr>
  </w:style>
  <w:style w:type="paragraph" w:customStyle="1" w:styleId="IASBTOCPrimary">
    <w:name w:val="IASB TOC Primary"/>
    <w:basedOn w:val="Normal"/>
    <w:pPr>
      <w:tabs>
        <w:tab w:val="right" w:pos="8647"/>
      </w:tabs>
      <w:spacing w:before="100" w:after="100"/>
    </w:pPr>
    <w:rPr>
      <w:rFonts w:ascii="Arial" w:hAnsi="Arial" w:cs="Arial"/>
      <w:b/>
      <w:caps/>
      <w:sz w:val="18"/>
      <w:szCs w:val="20"/>
    </w:rPr>
  </w:style>
  <w:style w:type="paragraph" w:customStyle="1" w:styleId="IASBTOCParagraph">
    <w:name w:val="IASB TOC Paragraph"/>
    <w:basedOn w:val="Normal"/>
    <w:pPr>
      <w:spacing w:before="30" w:after="30"/>
    </w:pPr>
    <w:rPr>
      <w:rFonts w:ascii="Arial" w:hAnsi="Arial" w:cs="Arial"/>
      <w:i/>
      <w:sz w:val="18"/>
      <w:szCs w:val="20"/>
    </w:rPr>
  </w:style>
  <w:style w:type="paragraph" w:customStyle="1" w:styleId="IASBTOCSecondary">
    <w:name w:val="IASB TOC Secondary"/>
    <w:basedOn w:val="Normal"/>
    <w:pPr>
      <w:tabs>
        <w:tab w:val="right" w:pos="8647"/>
      </w:tabs>
      <w:spacing w:before="30" w:after="30"/>
    </w:pPr>
    <w:rPr>
      <w:rFonts w:ascii="Arial" w:hAnsi="Arial" w:cs="Arial"/>
      <w:b/>
      <w:sz w:val="18"/>
      <w:szCs w:val="20"/>
    </w:rPr>
  </w:style>
  <w:style w:type="paragraph" w:customStyle="1" w:styleId="IASBTOCTertiary">
    <w:name w:val="IASB TOC Tertiary"/>
    <w:basedOn w:val="Normal"/>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rsid w:val="00E9784B"/>
  </w:style>
  <w:style w:type="paragraph" w:customStyle="1" w:styleId="IASBBlockquote">
    <w:name w:val="IASB Blockquote"/>
    <w:basedOn w:val="IASBNormal"/>
    <w:pPr>
      <w:ind w:left="1565"/>
    </w:pPr>
    <w:rPr>
      <w:sz w:val="16"/>
    </w:rPr>
  </w:style>
  <w:style w:type="character" w:customStyle="1" w:styleId="IASBEduinsert">
    <w:name w:val="IASB Edu insert"/>
    <w:qFormat/>
  </w:style>
  <w:style w:type="character" w:styleId="FootnoteReference">
    <w:name w:val="footnote reference"/>
    <w:basedOn w:val="DefaultParagraphFont"/>
    <w:uiPriority w:val="99"/>
    <w:semiHidden/>
    <w:unhideWhenUsed/>
    <w:rPr>
      <w:rFonts w:cs="Times New Roman"/>
      <w:vertAlign w:val="superscript"/>
    </w:rPr>
  </w:style>
  <w:style w:type="paragraph" w:styleId="FootnoteText">
    <w:name w:val="footnote text"/>
    <w:basedOn w:val="IASBSectionTitle2Ind"/>
    <w:next w:val="IASBBlockquote"/>
    <w:uiPriority w:val="99"/>
    <w:semiHidden/>
    <w:rsid w:val="00713675"/>
    <w:pPr>
      <w:keepNext w:val="0"/>
      <w:keepLines w:val="0"/>
      <w:spacing w:before="0" w:after="0"/>
      <w:ind w:hanging="782"/>
    </w:pPr>
    <w:rPr>
      <w:rFonts w:ascii="Times New Roman" w:hAnsi="Times New Roman" w:cs="Times New Roman"/>
      <w:b w:val="0"/>
      <w:sz w:val="16"/>
    </w:rPr>
  </w:style>
  <w:style w:type="paragraph" w:customStyle="1" w:styleId="edufootnotetext">
    <w:name w:val="edu footnote text"/>
    <w:basedOn w:val="IASBSectionTitle2Ind"/>
    <w:next w:val="IASBBlockquote"/>
    <w:link w:val="FootnoteTextChar"/>
    <w:uiPriority w:val="99"/>
    <w:semiHidden/>
    <w:rsid w:val="00713675"/>
    <w:pPr>
      <w:keepNext w:val="0"/>
      <w:keepLines w:val="0"/>
      <w:spacing w:before="0" w:after="0"/>
      <w:ind w:hanging="782"/>
    </w:pPr>
    <w:rPr>
      <w:sz w:val="16"/>
    </w:rPr>
  </w:style>
  <w:style w:type="character" w:customStyle="1" w:styleId="FootnoteTextChar">
    <w:name w:val="Footnote Text Char"/>
    <w:basedOn w:val="DefaultParagraphFont"/>
    <w:link w:val="edufootnotetext"/>
    <w:uiPriority w:val="99"/>
    <w:semiHidden/>
    <w:rPr>
      <w:sz w:val="20"/>
      <w:szCs w:val="20"/>
      <w:lang w:eastAsia="en-US"/>
    </w:rPr>
  </w:style>
  <w:style w:type="paragraph" w:customStyle="1" w:styleId="IASBNormalL1">
    <w:name w:val="IASB Normal L1"/>
    <w:basedOn w:val="IASBNormalnpara"/>
  </w:style>
  <w:style w:type="paragraph" w:customStyle="1" w:styleId="IASBNormalArialL1">
    <w:name w:val="IASB Normal Arial L1"/>
    <w:basedOn w:val="IASBNormalnpara"/>
    <w:rPr>
      <w:rFonts w:ascii="Arial" w:hAnsi="Arial"/>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sz w:val="24"/>
      <w:szCs w:val="24"/>
      <w:lang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4"/>
      <w:szCs w:val="24"/>
      <w:lang w:eastAsia="en-US"/>
    </w:rPr>
  </w:style>
  <w:style w:type="paragraph" w:customStyle="1" w:styleId="IASBRubricL1">
    <w:name w:val="IASB RubricL1"/>
    <w:basedOn w:val="IASBRubric"/>
    <w:pPr>
      <w:ind w:left="782" w:hanging="782"/>
      <w:jc w:val="left"/>
    </w:pPr>
    <w:rPr>
      <w:lang w:eastAsia="en-GB"/>
    </w:rPr>
  </w:style>
  <w:style w:type="paragraph" w:customStyle="1" w:styleId="IASBRubricL2">
    <w:name w:val="IASB RubricL2"/>
    <w:basedOn w:val="IASBRubricL1"/>
    <w:pPr>
      <w:tabs>
        <w:tab w:val="left" w:pos="782"/>
      </w:tabs>
      <w:ind w:left="1565" w:hanging="1565"/>
    </w:pPr>
  </w:style>
  <w:style w:type="paragraph" w:customStyle="1" w:styleId="IASBRubricL3">
    <w:name w:val="IASB RubricL3"/>
    <w:basedOn w:val="IASBRubricL2"/>
    <w:pPr>
      <w:tabs>
        <w:tab w:val="clear" w:pos="782"/>
        <w:tab w:val="left" w:pos="1565"/>
      </w:tabs>
      <w:ind w:left="2347" w:hanging="2347"/>
    </w:pPr>
  </w:style>
  <w:style w:type="paragraph" w:customStyle="1" w:styleId="IASBNormalnparaL2">
    <w:name w:val="IASB Normal nparaL2"/>
    <w:basedOn w:val="IASBNormalnparaL1"/>
    <w:pPr>
      <w:ind w:left="2347"/>
    </w:pPr>
  </w:style>
  <w:style w:type="paragraph" w:customStyle="1" w:styleId="IASBNormalnparaL3">
    <w:name w:val="IASB Normal nparaL3"/>
    <w:basedOn w:val="IASBNormalnparaL2"/>
    <w:pPr>
      <w:ind w:left="3129"/>
    </w:pPr>
  </w:style>
  <w:style w:type="paragraph" w:customStyle="1" w:styleId="IASBNormalnparaL4">
    <w:name w:val="IASB Normal nparaL4"/>
    <w:basedOn w:val="IASBNormalnparaL3"/>
    <w:pPr>
      <w:ind w:left="3912"/>
    </w:pPr>
  </w:style>
  <w:style w:type="paragraph" w:customStyle="1" w:styleId="IASBNormalnparaL5">
    <w:name w:val="IASB Normal nparaL5"/>
    <w:basedOn w:val="IASBNormalnparaL4"/>
    <w:pPr>
      <w:ind w:left="4694"/>
    </w:pPr>
  </w:style>
  <w:style w:type="paragraph" w:customStyle="1" w:styleId="IASBNormalArialnparaL2">
    <w:name w:val="IASB Normal Arial nparaL2"/>
    <w:basedOn w:val="IASBNormalnparaL1"/>
    <w:pPr>
      <w:ind w:left="2347"/>
    </w:pPr>
    <w:rPr>
      <w:rFonts w:ascii="Arial" w:hAnsi="Arial"/>
    </w:rPr>
  </w:style>
  <w:style w:type="paragraph" w:customStyle="1" w:styleId="IASBNormalArialnparaL3">
    <w:name w:val="IASB Normal Arial nparaL3"/>
    <w:basedOn w:val="IASBNormalnparaL2"/>
    <w:pPr>
      <w:ind w:left="3129"/>
    </w:pPr>
    <w:rPr>
      <w:rFonts w:ascii="Arial" w:hAnsi="Arial"/>
    </w:rPr>
  </w:style>
  <w:style w:type="paragraph" w:customStyle="1" w:styleId="IASBNormalArialnparaL4">
    <w:name w:val="IASB Normal Arial nparaL4"/>
    <w:basedOn w:val="IASBNormalnparaL3"/>
    <w:pPr>
      <w:ind w:left="3912"/>
    </w:pPr>
    <w:rPr>
      <w:rFonts w:ascii="Arial" w:hAnsi="Arial"/>
    </w:rPr>
  </w:style>
  <w:style w:type="paragraph" w:customStyle="1" w:styleId="IASBNormalArialnparaL5">
    <w:name w:val="IASB Normal Arial nparaL5"/>
    <w:basedOn w:val="IASBNormalnparaL4"/>
    <w:pPr>
      <w:ind w:left="4694"/>
    </w:pPr>
    <w:rPr>
      <w:rFonts w:ascii="Arial" w:hAnsi="Arial"/>
    </w:rPr>
  </w:style>
  <w:style w:type="paragraph" w:customStyle="1" w:styleId="IASBNormalnparaL1P">
    <w:name w:val="IASB Normal nparaL1P"/>
    <w:basedOn w:val="IASBNormalnparaL2"/>
    <w:pPr>
      <w:ind w:left="1565" w:firstLine="0"/>
    </w:pPr>
  </w:style>
  <w:style w:type="paragraph" w:customStyle="1" w:styleId="IASBNormalnparaL2P">
    <w:name w:val="IASB Normal nparaL2P"/>
    <w:basedOn w:val="IASBNormalnparaL1P"/>
    <w:pPr>
      <w:ind w:left="2347"/>
    </w:pPr>
  </w:style>
  <w:style w:type="paragraph" w:customStyle="1" w:styleId="IASBNormalnparaL3P">
    <w:name w:val="IASB Normal nparaL3P"/>
    <w:basedOn w:val="IASBNormalnparaL2P"/>
    <w:pPr>
      <w:ind w:left="3130"/>
    </w:pPr>
  </w:style>
  <w:style w:type="paragraph" w:customStyle="1" w:styleId="IASBNormalnparaL4P">
    <w:name w:val="IASB Normal nparaL4P"/>
    <w:basedOn w:val="IASBNormalnparaL3P"/>
    <w:pPr>
      <w:ind w:left="3912"/>
    </w:pPr>
  </w:style>
  <w:style w:type="paragraph" w:customStyle="1" w:styleId="IASBNormalnparaL5P">
    <w:name w:val="IASB Normal nparaL5P"/>
    <w:basedOn w:val="IASBNormalnparaL4P"/>
    <w:pPr>
      <w:ind w:left="4751"/>
    </w:pPr>
  </w:style>
  <w:style w:type="paragraph" w:customStyle="1" w:styleId="IASBBlockquoteL1">
    <w:name w:val="IASB BlockquoteL1"/>
    <w:basedOn w:val="IASBBlockquote"/>
    <w:pPr>
      <w:ind w:left="2347" w:hanging="782"/>
    </w:pPr>
  </w:style>
  <w:style w:type="paragraph" w:customStyle="1" w:styleId="IASBBlockquoteL2">
    <w:name w:val="IASB BlockquoteL2"/>
    <w:basedOn w:val="IASBBlockquoteL1"/>
    <w:pPr>
      <w:ind w:left="3129"/>
    </w:pPr>
  </w:style>
  <w:style w:type="paragraph" w:customStyle="1" w:styleId="IASBNormalL2">
    <w:name w:val="IASB Normal L2"/>
    <w:basedOn w:val="IASBNormalL1"/>
    <w:pPr>
      <w:ind w:left="1564"/>
    </w:pPr>
  </w:style>
  <w:style w:type="paragraph" w:customStyle="1" w:styleId="IASBNormalArialL2">
    <w:name w:val="IASB Normal Arial L2"/>
    <w:basedOn w:val="IASBNormalL1"/>
    <w:pPr>
      <w:ind w:left="1564"/>
    </w:pPr>
    <w:rPr>
      <w:rFonts w:ascii="Arial" w:hAnsi="Arial"/>
    </w:rPr>
  </w:style>
  <w:style w:type="paragraph" w:customStyle="1" w:styleId="IASBTOCQuartery">
    <w:name w:val="IASB TOC Quartery"/>
    <w:basedOn w:val="IASBTOCTertiary"/>
    <w:pPr>
      <w:ind w:left="851"/>
    </w:pPr>
  </w:style>
  <w:style w:type="paragraph" w:customStyle="1" w:styleId="IASBNoteTitle">
    <w:name w:val="IASB Note Title"/>
    <w:basedOn w:val="IASBTOCPrimary"/>
    <w:pPr>
      <w:jc w:val="center"/>
    </w:pPr>
    <w:rPr>
      <w:b w:val="0"/>
      <w:caps w:val="0"/>
      <w:sz w:val="24"/>
    </w:rPr>
  </w:style>
  <w:style w:type="paragraph" w:customStyle="1" w:styleId="IASBNormalL1P">
    <w:name w:val="IASB Normal L1P"/>
    <w:basedOn w:val="IASBNormalL1"/>
    <w:qFormat/>
    <w:pPr>
      <w:ind w:firstLine="0"/>
    </w:pPr>
  </w:style>
  <w:style w:type="paragraph" w:customStyle="1" w:styleId="IASBNormalL2P">
    <w:name w:val="IASB Normal L2P"/>
    <w:basedOn w:val="IASBNormalL1P"/>
    <w:qFormat/>
    <w:pPr>
      <w:ind w:left="1565"/>
    </w:pPr>
  </w:style>
  <w:style w:type="paragraph" w:customStyle="1" w:styleId="IASBNormalnparaC">
    <w:name w:val="IASB Normal nparaC"/>
    <w:basedOn w:val="IASBNormalnpara"/>
    <w:qFormat/>
    <w:pPr>
      <w:spacing w:before="0"/>
    </w:pPr>
  </w:style>
  <w:style w:type="paragraph" w:customStyle="1" w:styleId="IASBEdupara">
    <w:name w:val="IASB Edu para"/>
    <w:basedOn w:val="IASBNormal"/>
    <w:qFormat/>
  </w:style>
  <w:style w:type="paragraph" w:customStyle="1" w:styleId="IASBTableBoldTNR">
    <w:name w:val="IASB Table Bold TNR"/>
    <w:basedOn w:val="Normal"/>
    <w:qFormat/>
    <w:pPr>
      <w:spacing w:before="120"/>
    </w:pPr>
    <w:rPr>
      <w:b/>
      <w:sz w:val="19"/>
      <w:szCs w:val="20"/>
      <w:lang w:eastAsia="en-GB"/>
    </w:rPr>
  </w:style>
  <w:style w:type="paragraph" w:customStyle="1" w:styleId="IASBTableHeaderTNR">
    <w:name w:val="IASB Table Header TNR"/>
    <w:basedOn w:val="Normal"/>
    <w:qFormat/>
    <w:pPr>
      <w:keepNext/>
      <w:spacing w:before="120" w:after="200" w:line="276" w:lineRule="auto"/>
    </w:pPr>
    <w:rPr>
      <w:sz w:val="19"/>
      <w:szCs w:val="20"/>
      <w:lang w:eastAsia="en-GB"/>
    </w:rPr>
  </w:style>
  <w:style w:type="paragraph" w:customStyle="1" w:styleId="IASBTableTNR">
    <w:name w:val="IASB Table TNR"/>
    <w:basedOn w:val="Normal"/>
    <w:qFormat/>
    <w:pPr>
      <w:spacing w:before="120"/>
    </w:pPr>
    <w:rPr>
      <w:sz w:val="19"/>
      <w:szCs w:val="20"/>
      <w:lang w:eastAsia="en-GB"/>
    </w:rPr>
  </w:style>
  <w:style w:type="paragraph" w:customStyle="1" w:styleId="IASBTableNormal">
    <w:name w:val="IASB Table Normal"/>
    <w:basedOn w:val="Normal"/>
    <w:pPr>
      <w:spacing w:before="80" w:after="60"/>
    </w:pPr>
    <w:rPr>
      <w:sz w:val="19"/>
      <w:szCs w:val="20"/>
      <w:lang w:eastAsia="en-GB"/>
    </w:rPr>
  </w:style>
  <w:style w:type="paragraph" w:customStyle="1" w:styleId="IASBTableArial">
    <w:name w:val="IASB Table Arial"/>
    <w:basedOn w:val="Normal"/>
    <w:pPr>
      <w:spacing w:before="120"/>
    </w:pPr>
    <w:rPr>
      <w:rFonts w:ascii="Arial" w:hAnsi="Arial"/>
      <w:sz w:val="18"/>
      <w:szCs w:val="20"/>
      <w:lang w:eastAsia="en-GB"/>
    </w:rPr>
  </w:style>
  <w:style w:type="paragraph" w:customStyle="1" w:styleId="IASBTableBoldArial">
    <w:name w:val="IASB Table Bold Arial"/>
    <w:basedOn w:val="IASBTableArial"/>
    <w:qFormat/>
    <w:pPr>
      <w:spacing w:after="60"/>
    </w:pPr>
    <w:rPr>
      <w:b/>
    </w:rPr>
  </w:style>
  <w:style w:type="paragraph" w:customStyle="1" w:styleId="IASBTableHeaderArial">
    <w:name w:val="IASB Table Header Arial"/>
    <w:basedOn w:val="IASBTableArial"/>
    <w:qFormat/>
    <w:pPr>
      <w:keepNext/>
      <w:spacing w:after="100"/>
    </w:pPr>
    <w:rPr>
      <w:b/>
    </w:rPr>
  </w:style>
  <w:style w:type="character" w:styleId="EndnoteReference">
    <w:name w:val="endnote reference"/>
    <w:basedOn w:val="DefaultParagraphFont"/>
    <w:uiPriority w:val="99"/>
    <w:semiHidden/>
    <w:unhideWhenUsed/>
    <w:rsid w:val="004B3E7E"/>
    <w:rPr>
      <w:rFonts w:cs="Times New Roman"/>
      <w:vertAlign w:val="superscript"/>
    </w:rPr>
  </w:style>
  <w:style w:type="paragraph" w:customStyle="1" w:styleId="IASBNormalL3">
    <w:name w:val="IASB Normal L3"/>
    <w:basedOn w:val="IASBNormalL2"/>
    <w:qFormat/>
    <w:rsid w:val="0078108C"/>
    <w:pPr>
      <w:ind w:left="2268" w:hanging="708"/>
    </w:pPr>
  </w:style>
  <w:style w:type="paragraph" w:customStyle="1" w:styleId="IASBNormalArialL3">
    <w:name w:val="IASB Normal Arial L3"/>
    <w:basedOn w:val="IASBNormalL2"/>
    <w:qFormat/>
    <w:rsid w:val="0078108C"/>
    <w:pPr>
      <w:ind w:left="2268" w:hanging="708"/>
    </w:pPr>
    <w:rPr>
      <w:rFonts w:ascii="Arial" w:hAnsi="Arial"/>
    </w:rPr>
  </w:style>
  <w:style w:type="paragraph" w:customStyle="1" w:styleId="IASBNormalL3P">
    <w:name w:val="IASB Normal L3P"/>
    <w:basedOn w:val="IASBNormalL2P"/>
    <w:qFormat/>
    <w:rsid w:val="0078108C"/>
    <w:pPr>
      <w:ind w:left="2268"/>
    </w:pPr>
  </w:style>
  <w:style w:type="paragraph" w:customStyle="1" w:styleId="IASBNormalL4">
    <w:name w:val="IASB Normal L4"/>
    <w:basedOn w:val="IASBNormalL3"/>
    <w:qFormat/>
    <w:rsid w:val="0078108C"/>
    <w:pPr>
      <w:ind w:left="2977"/>
    </w:pPr>
  </w:style>
  <w:style w:type="paragraph" w:customStyle="1" w:styleId="IASBNormalArialL4">
    <w:name w:val="IASB Normal Arial L4"/>
    <w:basedOn w:val="IASBNormalL3"/>
    <w:qFormat/>
    <w:rsid w:val="0078108C"/>
    <w:pPr>
      <w:ind w:left="2977"/>
    </w:pPr>
    <w:rPr>
      <w:rFonts w:ascii="Arial" w:hAnsi="Arial"/>
    </w:rPr>
  </w:style>
  <w:style w:type="paragraph" w:customStyle="1" w:styleId="IASBNormalL4P">
    <w:name w:val="IASB Normal L4P"/>
    <w:basedOn w:val="IASBNormalL3P"/>
    <w:qFormat/>
    <w:rsid w:val="0078108C"/>
    <w:pPr>
      <w:ind w:left="2977"/>
    </w:pPr>
  </w:style>
  <w:style w:type="character" w:styleId="CommentReference">
    <w:name w:val="annotation reference"/>
    <w:basedOn w:val="DefaultParagraphFont"/>
    <w:uiPriority w:val="99"/>
    <w:semiHidden/>
    <w:unhideWhenUsed/>
    <w:rsid w:val="00185637"/>
    <w:rPr>
      <w:sz w:val="16"/>
      <w:szCs w:val="16"/>
    </w:rPr>
  </w:style>
  <w:style w:type="paragraph" w:styleId="CommentText">
    <w:name w:val="annotation text"/>
    <w:basedOn w:val="Normal"/>
    <w:link w:val="CommentTextChar"/>
    <w:uiPriority w:val="99"/>
    <w:unhideWhenUsed/>
    <w:rsid w:val="00185637"/>
    <w:rPr>
      <w:sz w:val="20"/>
      <w:szCs w:val="20"/>
    </w:rPr>
  </w:style>
  <w:style w:type="character" w:customStyle="1" w:styleId="CommentTextChar">
    <w:name w:val="Comment Text Char"/>
    <w:basedOn w:val="DefaultParagraphFont"/>
    <w:link w:val="CommentText"/>
    <w:uiPriority w:val="99"/>
    <w:rsid w:val="00185637"/>
    <w:rPr>
      <w:sz w:val="20"/>
      <w:szCs w:val="20"/>
      <w:lang w:eastAsia="en-US"/>
    </w:rPr>
  </w:style>
  <w:style w:type="paragraph" w:styleId="CommentSubject">
    <w:name w:val="annotation subject"/>
    <w:basedOn w:val="CommentText"/>
    <w:next w:val="CommentText"/>
    <w:link w:val="CommentSubjectChar"/>
    <w:uiPriority w:val="99"/>
    <w:semiHidden/>
    <w:unhideWhenUsed/>
    <w:rsid w:val="00185637"/>
    <w:rPr>
      <w:b/>
      <w:bCs/>
    </w:rPr>
  </w:style>
  <w:style w:type="character" w:customStyle="1" w:styleId="CommentSubjectChar">
    <w:name w:val="Comment Subject Char"/>
    <w:basedOn w:val="CommentTextChar"/>
    <w:link w:val="CommentSubject"/>
    <w:uiPriority w:val="99"/>
    <w:semiHidden/>
    <w:rsid w:val="00185637"/>
    <w:rPr>
      <w:b/>
      <w:bCs/>
      <w:sz w:val="20"/>
      <w:szCs w:val="20"/>
      <w:lang w:eastAsia="en-US"/>
    </w:rPr>
  </w:style>
  <w:style w:type="paragraph" w:styleId="BalloonText">
    <w:name w:val="Balloon Text"/>
    <w:basedOn w:val="Normal"/>
    <w:link w:val="BalloonTextChar"/>
    <w:uiPriority w:val="99"/>
    <w:semiHidden/>
    <w:unhideWhenUsed/>
    <w:rsid w:val="001856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637"/>
    <w:rPr>
      <w:rFonts w:ascii="Segoe UI" w:hAnsi="Segoe UI" w:cs="Segoe UI"/>
      <w:sz w:val="18"/>
      <w:szCs w:val="18"/>
      <w:lang w:eastAsia="en-US"/>
    </w:rPr>
  </w:style>
  <w:style w:type="character" w:styleId="Hyperlink">
    <w:name w:val="Hyperlink"/>
    <w:basedOn w:val="DefaultParagraphFont"/>
    <w:uiPriority w:val="99"/>
    <w:semiHidden/>
    <w:unhideWhenUsed/>
    <w:rsid w:val="00185637"/>
    <w:rPr>
      <w:color w:val="0000FF"/>
      <w:u w:val="single"/>
    </w:rPr>
  </w:style>
  <w:style w:type="paragraph" w:styleId="Revision">
    <w:name w:val="Revision"/>
    <w:hidden/>
    <w:uiPriority w:val="99"/>
    <w:semiHidden/>
    <w:rsid w:val="00C53969"/>
    <w:pPr>
      <w:spacing w:after="0" w:line="240" w:lineRule="auto"/>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072157">
      <w:bodyDiv w:val="1"/>
      <w:marLeft w:val="0"/>
      <w:marRight w:val="0"/>
      <w:marTop w:val="0"/>
      <w:marBottom w:val="0"/>
      <w:divBdr>
        <w:top w:val="none" w:sz="0" w:space="0" w:color="auto"/>
        <w:left w:val="none" w:sz="0" w:space="0" w:color="auto"/>
        <w:bottom w:val="none" w:sz="0" w:space="0" w:color="auto"/>
        <w:right w:val="none" w:sz="0" w:space="0" w:color="auto"/>
      </w:divBdr>
      <w:divsChild>
        <w:div w:id="2084643572">
          <w:marLeft w:val="0"/>
          <w:marRight w:val="0"/>
          <w:marTop w:val="0"/>
          <w:marBottom w:val="0"/>
          <w:divBdr>
            <w:top w:val="none" w:sz="0" w:space="0" w:color="auto"/>
            <w:left w:val="none" w:sz="0" w:space="0" w:color="auto"/>
            <w:bottom w:val="none" w:sz="0" w:space="0" w:color="auto"/>
            <w:right w:val="none" w:sz="0" w:space="0" w:color="auto"/>
          </w:divBdr>
        </w:div>
        <w:div w:id="1233057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E284443D39C047BFB7B26CC769F073" ma:contentTypeVersion="17" ma:contentTypeDescription="Create a new document." ma:contentTypeScope="" ma:versionID="e3cdb4ab884b898825e55b69f9fe61a7">
  <xsd:schema xmlns:xsd="http://www.w3.org/2001/XMLSchema" xmlns:xs="http://www.w3.org/2001/XMLSchema" xmlns:p="http://schemas.microsoft.com/office/2006/metadata/properties" xmlns:ns2="ec49eb38-6cb5-483f-a298-4a90bdd00051" xmlns:ns3="dd1af2b0-f65d-434c-8a17-aadcdb553b78" targetNamespace="http://schemas.microsoft.com/office/2006/metadata/properties" ma:root="true" ma:fieldsID="1f08cb3d13ae74dfede6920122535976" ns2:_="" ns3:_="">
    <xsd:import namespace="ec49eb38-6cb5-483f-a298-4a90bdd00051"/>
    <xsd:import namespace="dd1af2b0-f65d-434c-8a17-aadcdb553b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9eb38-6cb5-483f-a298-4a90bdd00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2f0513-a2ef-49c9-8f64-129a7e78443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1af2b0-f65d-434c-8a17-aadcdb553b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256988c-21c8-4111-8ccb-b7eec4617890}" ma:internalName="TaxCatchAll" ma:showField="CatchAllData" ma:web="dd1af2b0-f65d-434c-8a17-aadcdb553b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49eb38-6cb5-483f-a298-4a90bdd00051">
      <Terms xmlns="http://schemas.microsoft.com/office/infopath/2007/PartnerControls"/>
    </lcf76f155ced4ddcb4097134ff3c332f>
    <TaxCatchAll xmlns="dd1af2b0-f65d-434c-8a17-aadcdb553b78" xsi:nil="true"/>
    <SharedWithUsers xmlns="dd1af2b0-f65d-434c-8a17-aadcdb553b78">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1BF744-38A3-4DD1-BCD3-7450CF0BBCF9}"/>
</file>

<file path=customXml/itemProps2.xml><?xml version="1.0" encoding="utf-8"?>
<ds:datastoreItem xmlns:ds="http://schemas.openxmlformats.org/officeDocument/2006/customXml" ds:itemID="{5866B47C-485D-42D2-A808-667B932C92C6}">
  <ds:schemaRefs>
    <ds:schemaRef ds:uri="http://schemas.microsoft.com/office/2006/metadata/properties"/>
    <ds:schemaRef ds:uri="http://schemas.microsoft.com/office/infopath/2007/PartnerControls"/>
    <ds:schemaRef ds:uri="ec49eb38-6cb5-483f-a298-4a90bdd00051"/>
    <ds:schemaRef ds:uri="dd1af2b0-f65d-434c-8a17-aadcdb553b78"/>
  </ds:schemaRefs>
</ds:datastoreItem>
</file>

<file path=customXml/itemProps3.xml><?xml version="1.0" encoding="utf-8"?>
<ds:datastoreItem xmlns:ds="http://schemas.openxmlformats.org/officeDocument/2006/customXml" ds:itemID="{93B08257-5D51-4A2F-AE1D-537DC14BAFB5}">
  <ds:schemaRefs>
    <ds:schemaRef ds:uri="http://schemas.openxmlformats.org/officeDocument/2006/bibliography"/>
  </ds:schemaRefs>
</ds:datastoreItem>
</file>

<file path=customXml/itemProps4.xml><?xml version="1.0" encoding="utf-8"?>
<ds:datastoreItem xmlns:ds="http://schemas.openxmlformats.org/officeDocument/2006/customXml" ds:itemID="{624D81E5-EA6E-482B-A804-BC0F647F0C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1342</Words>
  <Characters>7656</Characters>
  <Application>Microsoft Office Word</Application>
  <DocSecurity>0</DocSecurity>
  <Lines>63</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Apache POI</dc:creator>
  <cp:keywords/>
  <cp:lastModifiedBy>Larisa Bocharova</cp:lastModifiedBy>
  <cp:revision>3</cp:revision>
  <dcterms:created xsi:type="dcterms:W3CDTF">2023-02-27T17:25:00Z</dcterms:created>
  <dcterms:modified xsi:type="dcterms:W3CDTF">2023-02-27T17:25:00Z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0x01010083E284443D39C047BFB7B26CC769F073</vt:lpwstr>
  </property>
  <property fmtid="{D5CDD505-2E9C-101B-9397-08002B2CF9AE}" pid="3" name="Order">
    <vt:r8>25922700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