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41438" w14:textId="77777777" w:rsidR="001E238B" w:rsidRPr="00D44D16" w:rsidRDefault="004D08BD">
      <w:pPr>
        <w:pStyle w:val="IASBSectionTitle1NonInd"/>
      </w:pPr>
      <w:bookmarkStart w:id="0" w:name="_GoBack"/>
      <w:bookmarkEnd w:id="0"/>
      <w:r w:rsidRPr="00D44D16">
        <w:t xml:space="preserve">Поправки к МСФО (IAS) 16 </w:t>
      </w:r>
      <w:r w:rsidRPr="00D44D16">
        <w:rPr>
          <w:i/>
        </w:rPr>
        <w:t>«Основные средства»</w:t>
      </w:r>
    </w:p>
    <w:p w14:paraId="19C87FF0" w14:textId="77777777" w:rsidR="001E238B" w:rsidRPr="00D44D16" w:rsidRDefault="001E238B">
      <w:pPr>
        <w:pStyle w:val="IASBNormalnpara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1E238B" w:rsidRPr="00D44D16" w14:paraId="3C300E0F" w14:textId="77777777">
        <w:tc>
          <w:tcPr>
            <w:tcW w:w="0" w:type="auto"/>
          </w:tcPr>
          <w:p w14:paraId="3BE0DAA0" w14:textId="77777777" w:rsidR="001E238B" w:rsidRPr="00D44D16" w:rsidRDefault="004D08BD">
            <w:pPr>
              <w:pStyle w:val="IASBTableArial"/>
            </w:pPr>
            <w:r w:rsidRPr="00D44D16">
              <w:t>В пункты 17 и 74 внесены изменения; пункты 20A, 74A, 80D и 81N добавлены. Требования, ранее изложенные в пункте 74(d), изменены не были, но были перенесены в пункт 74A(a). Удаленный текст зачеркнут, новый текст подчеркнут.</w:t>
            </w:r>
          </w:p>
        </w:tc>
      </w:tr>
    </w:tbl>
    <w:p w14:paraId="1A981870" w14:textId="77777777" w:rsidR="001E238B" w:rsidRPr="00D44D16" w:rsidRDefault="001E238B">
      <w:pPr>
        <w:pStyle w:val="IASBNormalnpara"/>
      </w:pPr>
    </w:p>
    <w:p w14:paraId="57EE42FF" w14:textId="77777777" w:rsidR="001E238B" w:rsidRPr="00D44D16" w:rsidRDefault="004D08BD">
      <w:pPr>
        <w:pStyle w:val="IASBSectionTitle1NonInd"/>
      </w:pPr>
      <w:r w:rsidRPr="00D44D16">
        <w:t>Оценка при признании</w:t>
      </w:r>
    </w:p>
    <w:p w14:paraId="6A8D2752" w14:textId="77777777" w:rsidR="001E238B" w:rsidRPr="00D44D16" w:rsidRDefault="004D08BD">
      <w:pPr>
        <w:pStyle w:val="IASBNormalnpara"/>
      </w:pPr>
      <w:r w:rsidRPr="00D44D16">
        <w:tab/>
        <w:t>...</w:t>
      </w:r>
    </w:p>
    <w:p w14:paraId="442A6A34" w14:textId="77777777" w:rsidR="001E238B" w:rsidRPr="00D44D16" w:rsidRDefault="004D08BD">
      <w:pPr>
        <w:pStyle w:val="IASBSectionTitle2Ind"/>
      </w:pPr>
      <w:r w:rsidRPr="00D44D16">
        <w:t>Элементы первоначальной стоимости</w:t>
      </w:r>
    </w:p>
    <w:p w14:paraId="2A391892" w14:textId="77777777" w:rsidR="001E238B" w:rsidRPr="00D44D16" w:rsidRDefault="004D08BD">
      <w:pPr>
        <w:pStyle w:val="IASBNormalnpara"/>
      </w:pPr>
      <w:r w:rsidRPr="00D44D16">
        <w:tab/>
        <w:t>...</w:t>
      </w:r>
    </w:p>
    <w:p w14:paraId="6B705E0C" w14:textId="77777777" w:rsidR="001E238B" w:rsidRPr="00D44D16" w:rsidRDefault="004D08BD">
      <w:pPr>
        <w:pStyle w:val="IASBNormalnpara"/>
      </w:pPr>
      <w:r w:rsidRPr="00D44D16">
        <w:t>17</w:t>
      </w:r>
      <w:r w:rsidRPr="00D44D16">
        <w:tab/>
        <w:t>Примерами непосредственно относящихся затрат являются:</w:t>
      </w:r>
    </w:p>
    <w:p w14:paraId="50D4D75D" w14:textId="77777777" w:rsidR="001E238B" w:rsidRPr="00D44D16" w:rsidRDefault="004D08BD">
      <w:pPr>
        <w:pStyle w:val="IASBNormalnparaL1"/>
      </w:pPr>
      <w:r w:rsidRPr="00D44D16">
        <w:tab/>
        <w:t>...</w:t>
      </w:r>
    </w:p>
    <w:p w14:paraId="1056DEEF" w14:textId="58DF96E9" w:rsidR="001E238B" w:rsidRPr="00D44D16" w:rsidRDefault="004D08BD">
      <w:pPr>
        <w:pStyle w:val="IASBNormalnparaL1"/>
      </w:pPr>
      <w:r w:rsidRPr="00D44D16">
        <w:t>(e)</w:t>
      </w:r>
      <w:r w:rsidRPr="00D44D16">
        <w:tab/>
        <w:t>затраты на проверку надлежащего функционирования актива </w:t>
      </w:r>
      <w:r w:rsidRPr="00D44D16">
        <w:rPr>
          <w:u w:val="single"/>
        </w:rPr>
        <w:t>(т</w:t>
      </w:r>
      <w:r w:rsidR="00B90E13" w:rsidRPr="00D44D16">
        <w:rPr>
          <w:u w:val="single"/>
        </w:rPr>
        <w:t>.</w:t>
      </w:r>
      <w:r w:rsidR="00B90E13" w:rsidRPr="00D44D16">
        <w:rPr>
          <w:rFonts w:eastAsia="Malgun Gothic"/>
          <w:u w:val="single"/>
          <w:lang w:eastAsia="ko-KR"/>
        </w:rPr>
        <w:t> </w:t>
      </w:r>
      <w:r w:rsidRPr="00D44D16">
        <w:rPr>
          <w:u w:val="single"/>
        </w:rPr>
        <w:t>е</w:t>
      </w:r>
      <w:r w:rsidR="00B90E13" w:rsidRPr="00D44D16">
        <w:rPr>
          <w:u w:val="single"/>
        </w:rPr>
        <w:t>. </w:t>
      </w:r>
      <w:r w:rsidR="001F5492" w:rsidRPr="00D44D16">
        <w:rPr>
          <w:u w:val="single"/>
        </w:rPr>
        <w:t>оценку того,</w:t>
      </w:r>
      <w:r w:rsidRPr="00D44D16">
        <w:rPr>
          <w:u w:val="single"/>
        </w:rPr>
        <w:t xml:space="preserve"> </w:t>
      </w:r>
      <w:r w:rsidR="001825AD">
        <w:rPr>
          <w:u w:val="single"/>
        </w:rPr>
        <w:t xml:space="preserve">насколько функционирование актива </w:t>
      </w:r>
      <w:r w:rsidR="00FB7AFA">
        <w:rPr>
          <w:u w:val="single"/>
        </w:rPr>
        <w:t xml:space="preserve">соответствует </w:t>
      </w:r>
      <w:r w:rsidR="001F5492" w:rsidRPr="00D44D16">
        <w:rPr>
          <w:u w:val="single"/>
        </w:rPr>
        <w:t>те</w:t>
      </w:r>
      <w:r w:rsidRPr="00D44D16">
        <w:rPr>
          <w:u w:val="single"/>
        </w:rPr>
        <w:t>хническ</w:t>
      </w:r>
      <w:r w:rsidR="001F5492" w:rsidRPr="00D44D16">
        <w:rPr>
          <w:u w:val="single"/>
        </w:rPr>
        <w:t>и</w:t>
      </w:r>
      <w:r w:rsidR="001825AD">
        <w:rPr>
          <w:u w:val="single"/>
        </w:rPr>
        <w:t>м</w:t>
      </w:r>
      <w:r w:rsidRPr="00D44D16">
        <w:rPr>
          <w:u w:val="single"/>
        </w:rPr>
        <w:t xml:space="preserve"> и физическ</w:t>
      </w:r>
      <w:r w:rsidR="001F5492" w:rsidRPr="00D44D16">
        <w:rPr>
          <w:u w:val="single"/>
        </w:rPr>
        <w:t>и</w:t>
      </w:r>
      <w:r w:rsidR="001825AD">
        <w:rPr>
          <w:u w:val="single"/>
        </w:rPr>
        <w:t>м</w:t>
      </w:r>
      <w:r w:rsidR="001F5492" w:rsidRPr="00D44D16">
        <w:rPr>
          <w:u w:val="single"/>
        </w:rPr>
        <w:t xml:space="preserve"> </w:t>
      </w:r>
      <w:r w:rsidR="00FB7AFA">
        <w:rPr>
          <w:u w:val="single"/>
        </w:rPr>
        <w:t>параметрам, необходимым для его</w:t>
      </w:r>
      <w:r w:rsidRPr="00D44D16">
        <w:rPr>
          <w:u w:val="single"/>
        </w:rPr>
        <w:t xml:space="preserve"> использова</w:t>
      </w:r>
      <w:r w:rsidR="00FB7AFA">
        <w:rPr>
          <w:u w:val="single"/>
        </w:rPr>
        <w:t>ния</w:t>
      </w:r>
      <w:r w:rsidRPr="00D44D16">
        <w:rPr>
          <w:u w:val="single"/>
        </w:rPr>
        <w:t xml:space="preserve"> в</w:t>
      </w:r>
      <w:r w:rsidR="00916BCA" w:rsidRPr="00D44D16">
        <w:rPr>
          <w:u w:val="single"/>
        </w:rPr>
        <w:t xml:space="preserve"> процессе</w:t>
      </w:r>
      <w:r w:rsidRPr="00D44D16">
        <w:rPr>
          <w:u w:val="single"/>
        </w:rPr>
        <w:t xml:space="preserve"> производств</w:t>
      </w:r>
      <w:r w:rsidR="00916BCA" w:rsidRPr="00D44D16">
        <w:rPr>
          <w:u w:val="single"/>
        </w:rPr>
        <w:t>а</w:t>
      </w:r>
      <w:r w:rsidRPr="00D44D16">
        <w:rPr>
          <w:u w:val="single"/>
        </w:rPr>
        <w:t xml:space="preserve"> </w:t>
      </w:r>
      <w:r w:rsidR="00916BCA" w:rsidRPr="00D44D16">
        <w:rPr>
          <w:u w:val="single"/>
        </w:rPr>
        <w:t xml:space="preserve">или поставки </w:t>
      </w:r>
      <w:proofErr w:type="gramStart"/>
      <w:r w:rsidRPr="00D44D16">
        <w:rPr>
          <w:u w:val="single"/>
        </w:rPr>
        <w:t>товаров</w:t>
      </w:r>
      <w:proofErr w:type="gramEnd"/>
      <w:r w:rsidRPr="00D44D16">
        <w:rPr>
          <w:u w:val="single"/>
        </w:rPr>
        <w:t xml:space="preserve"> или </w:t>
      </w:r>
      <w:r w:rsidR="00916BCA" w:rsidRPr="00D44D16">
        <w:rPr>
          <w:u w:val="single"/>
        </w:rPr>
        <w:t>предоставления</w:t>
      </w:r>
      <w:r w:rsidRPr="00D44D16">
        <w:rPr>
          <w:u w:val="single"/>
        </w:rPr>
        <w:t xml:space="preserve"> услуг, </w:t>
      </w:r>
      <w:r w:rsidR="00FB7AFA">
        <w:rPr>
          <w:u w:val="single"/>
        </w:rPr>
        <w:t xml:space="preserve">для </w:t>
      </w:r>
      <w:r w:rsidRPr="00D44D16">
        <w:rPr>
          <w:u w:val="single"/>
        </w:rPr>
        <w:t>сдач</w:t>
      </w:r>
      <w:r w:rsidR="00FB7AFA">
        <w:rPr>
          <w:u w:val="single"/>
        </w:rPr>
        <w:t>и</w:t>
      </w:r>
      <w:r w:rsidRPr="00D44D16">
        <w:rPr>
          <w:u w:val="single"/>
        </w:rPr>
        <w:t xml:space="preserve"> в аренду или </w:t>
      </w:r>
      <w:r w:rsidR="00FB7AFA">
        <w:rPr>
          <w:u w:val="single"/>
        </w:rPr>
        <w:t xml:space="preserve">использования </w:t>
      </w:r>
      <w:r w:rsidR="00916BCA" w:rsidRPr="00D44D16">
        <w:rPr>
          <w:u w:val="single"/>
        </w:rPr>
        <w:t>в</w:t>
      </w:r>
      <w:r w:rsidRPr="00D44D16">
        <w:rPr>
          <w:u w:val="single"/>
        </w:rPr>
        <w:t xml:space="preserve"> административных цел</w:t>
      </w:r>
      <w:r w:rsidR="00916BCA" w:rsidRPr="00D44D16">
        <w:rPr>
          <w:u w:val="single"/>
        </w:rPr>
        <w:t>ях</w:t>
      </w:r>
      <w:r w:rsidRPr="00D44D16">
        <w:rPr>
          <w:u w:val="single"/>
        </w:rPr>
        <w:t>)</w:t>
      </w:r>
      <w:r w:rsidRPr="00D44D16">
        <w:rPr>
          <w:strike/>
        </w:rPr>
        <w:t>, оставшиеся после вычета чистых поступлений от продажи изделий, произведенных в процессе доставки актива до предусмотренного местоположения и приведения его в требуемое состояние (например, образцов, полученных в процессе тестирования оборудования)</w:t>
      </w:r>
      <w:r w:rsidRPr="00D44D16">
        <w:t>; и</w:t>
      </w:r>
    </w:p>
    <w:p w14:paraId="6FB3299F" w14:textId="77777777" w:rsidR="001E238B" w:rsidRPr="00D44D16" w:rsidRDefault="004D08BD">
      <w:pPr>
        <w:pStyle w:val="IASBNormalnparaL1"/>
      </w:pPr>
      <w:r w:rsidRPr="00D44D16">
        <w:tab/>
        <w:t>...</w:t>
      </w:r>
    </w:p>
    <w:p w14:paraId="4750BECF" w14:textId="77777777" w:rsidR="001E238B" w:rsidRPr="00D44D16" w:rsidRDefault="004D08BD">
      <w:pPr>
        <w:pStyle w:val="IASBNormalnpara"/>
      </w:pPr>
      <w:r w:rsidRPr="00D44D16">
        <w:tab/>
        <w:t>...</w:t>
      </w:r>
    </w:p>
    <w:p w14:paraId="7FB4E363" w14:textId="02417EF9" w:rsidR="001E238B" w:rsidRPr="00D44D16" w:rsidRDefault="004D08BD">
      <w:pPr>
        <w:pStyle w:val="IASBNormalnpara"/>
        <w:rPr>
          <w:u w:val="single"/>
        </w:rPr>
      </w:pPr>
      <w:r w:rsidRPr="00D44D16">
        <w:rPr>
          <w:u w:val="single"/>
        </w:rPr>
        <w:t>20A</w:t>
      </w:r>
      <w:r w:rsidRPr="00D44D16">
        <w:tab/>
      </w:r>
      <w:proofErr w:type="gramStart"/>
      <w:r w:rsidRPr="00D44D16">
        <w:rPr>
          <w:u w:val="single"/>
        </w:rPr>
        <w:t>Возможно</w:t>
      </w:r>
      <w:proofErr w:type="gramEnd"/>
      <w:r w:rsidR="00FB7AFA">
        <w:rPr>
          <w:u w:val="single"/>
        </w:rPr>
        <w:t>, что</w:t>
      </w:r>
      <w:r w:rsidRPr="00D44D16">
        <w:rPr>
          <w:u w:val="single"/>
        </w:rPr>
        <w:t xml:space="preserve"> в процессе </w:t>
      </w:r>
      <w:r w:rsidR="00916BCA" w:rsidRPr="00D44D16">
        <w:rPr>
          <w:u w:val="single"/>
        </w:rPr>
        <w:t>доставки объекта до местоположения и приведения его в состояние, которые требуются для его эксплуатации в соответствии с намерениями руководства</w:t>
      </w:r>
      <w:r w:rsidR="00FB7AFA">
        <w:rPr>
          <w:u w:val="single"/>
        </w:rPr>
        <w:t>, будут производиться изделия</w:t>
      </w:r>
      <w:r w:rsidR="00916BCA" w:rsidRPr="00D44D16">
        <w:rPr>
          <w:u w:val="single"/>
        </w:rPr>
        <w:t xml:space="preserve"> </w:t>
      </w:r>
      <w:r w:rsidRPr="00D44D16">
        <w:rPr>
          <w:u w:val="single"/>
        </w:rPr>
        <w:t>(например, образц</w:t>
      </w:r>
      <w:r w:rsidR="00FB7AFA">
        <w:rPr>
          <w:u w:val="single"/>
        </w:rPr>
        <w:t>ы</w:t>
      </w:r>
      <w:r w:rsidRPr="00D44D16">
        <w:rPr>
          <w:u w:val="single"/>
        </w:rPr>
        <w:t>, произведенны</w:t>
      </w:r>
      <w:r w:rsidR="00FB7AFA">
        <w:rPr>
          <w:u w:val="single"/>
        </w:rPr>
        <w:t>е</w:t>
      </w:r>
      <w:r w:rsidRPr="00D44D16">
        <w:rPr>
          <w:u w:val="single"/>
        </w:rPr>
        <w:t xml:space="preserve"> в процессе тестирования </w:t>
      </w:r>
      <w:r w:rsidR="00916BCA" w:rsidRPr="00D44D16">
        <w:rPr>
          <w:u w:val="single"/>
        </w:rPr>
        <w:t xml:space="preserve">надлежащего функционирования </w:t>
      </w:r>
      <w:r w:rsidRPr="00D44D16">
        <w:rPr>
          <w:u w:val="single"/>
        </w:rPr>
        <w:t>актива)</w:t>
      </w:r>
      <w:r w:rsidR="00916BCA" w:rsidRPr="00D44D16">
        <w:rPr>
          <w:u w:val="single"/>
        </w:rPr>
        <w:t xml:space="preserve">. </w:t>
      </w:r>
      <w:r w:rsidRPr="00D44D16">
        <w:rPr>
          <w:u w:val="single"/>
        </w:rPr>
        <w:t>Организация признает поступления от продажи люб</w:t>
      </w:r>
      <w:r w:rsidR="00FB7AFA">
        <w:rPr>
          <w:u w:val="single"/>
        </w:rPr>
        <w:t>ых</w:t>
      </w:r>
      <w:r w:rsidRPr="00D44D16">
        <w:rPr>
          <w:u w:val="single"/>
        </w:rPr>
        <w:t xml:space="preserve"> так</w:t>
      </w:r>
      <w:r w:rsidR="00FB7AFA">
        <w:rPr>
          <w:u w:val="single"/>
        </w:rPr>
        <w:t>их</w:t>
      </w:r>
      <w:r w:rsidRPr="00D44D16">
        <w:rPr>
          <w:u w:val="single"/>
        </w:rPr>
        <w:t xml:space="preserve"> издели</w:t>
      </w:r>
      <w:r w:rsidR="00FB7AFA">
        <w:rPr>
          <w:u w:val="single"/>
        </w:rPr>
        <w:t>й</w:t>
      </w:r>
      <w:r w:rsidRPr="00D44D16">
        <w:rPr>
          <w:u w:val="single"/>
        </w:rPr>
        <w:t>, а также первоначальную стоимость эт</w:t>
      </w:r>
      <w:r w:rsidR="00FB7AFA">
        <w:rPr>
          <w:u w:val="single"/>
        </w:rPr>
        <w:t>их</w:t>
      </w:r>
      <w:r w:rsidRPr="00D44D16">
        <w:rPr>
          <w:u w:val="single"/>
        </w:rPr>
        <w:t xml:space="preserve"> издели</w:t>
      </w:r>
      <w:r w:rsidR="00FB7AFA">
        <w:rPr>
          <w:u w:val="single"/>
        </w:rPr>
        <w:t>й</w:t>
      </w:r>
      <w:r w:rsidRPr="00D44D16">
        <w:rPr>
          <w:u w:val="single"/>
        </w:rPr>
        <w:t xml:space="preserve"> в составе прибыли или убытка в соответствии с применимым</w:t>
      </w:r>
      <w:r w:rsidR="00FB7AFA">
        <w:rPr>
          <w:u w:val="single"/>
        </w:rPr>
        <w:t>и</w:t>
      </w:r>
      <w:r w:rsidRPr="00D44D16">
        <w:rPr>
          <w:u w:val="single"/>
        </w:rPr>
        <w:t xml:space="preserve"> стандарт</w:t>
      </w:r>
      <w:r w:rsidR="00FB7AFA">
        <w:rPr>
          <w:u w:val="single"/>
        </w:rPr>
        <w:t>ами</w:t>
      </w:r>
      <w:r w:rsidRPr="00D44D16">
        <w:rPr>
          <w:u w:val="single"/>
        </w:rPr>
        <w:t>. Организация оценивает первоначальную стоимость этих изделий в соответствии с требованиями к оценке</w:t>
      </w:r>
      <w:r w:rsidR="00FB7AFA">
        <w:rPr>
          <w:u w:val="single"/>
        </w:rPr>
        <w:t>, предусмотренными</w:t>
      </w:r>
      <w:r w:rsidRPr="00D44D16">
        <w:rPr>
          <w:u w:val="single"/>
        </w:rPr>
        <w:t xml:space="preserve"> МСФО (IAS) 2.</w:t>
      </w:r>
    </w:p>
    <w:p w14:paraId="59844526" w14:textId="77777777" w:rsidR="001E238B" w:rsidRPr="00D44D16" w:rsidRDefault="004D08BD">
      <w:pPr>
        <w:pStyle w:val="IASBNormalnpara"/>
      </w:pPr>
      <w:r w:rsidRPr="00D44D16">
        <w:tab/>
        <w:t>...</w:t>
      </w:r>
    </w:p>
    <w:p w14:paraId="425DAA22" w14:textId="77777777" w:rsidR="001E238B" w:rsidRPr="00D44D16" w:rsidRDefault="004D08BD">
      <w:pPr>
        <w:pStyle w:val="IASBSectionTitle1NonInd"/>
      </w:pPr>
      <w:r w:rsidRPr="00D44D16">
        <w:t>Раскрытие информации</w:t>
      </w:r>
    </w:p>
    <w:p w14:paraId="1E54A056" w14:textId="77777777" w:rsidR="001E238B" w:rsidRPr="00D44D16" w:rsidRDefault="004D08BD">
      <w:pPr>
        <w:pStyle w:val="IASBNormalnpara"/>
      </w:pPr>
      <w:r w:rsidRPr="00D44D16">
        <w:tab/>
        <w:t>...</w:t>
      </w:r>
    </w:p>
    <w:p w14:paraId="2F97CFBF" w14:textId="77777777" w:rsidR="001E238B" w:rsidRPr="00D44D16" w:rsidRDefault="004D08BD">
      <w:pPr>
        <w:pStyle w:val="IASBNormalnpara"/>
      </w:pPr>
      <w:r w:rsidRPr="00D44D16">
        <w:rPr>
          <w:b/>
        </w:rPr>
        <w:t>74</w:t>
      </w:r>
      <w:r w:rsidRPr="00D44D16">
        <w:tab/>
      </w:r>
      <w:proofErr w:type="gramStart"/>
      <w:r w:rsidRPr="00D44D16">
        <w:rPr>
          <w:b/>
        </w:rPr>
        <w:t>В</w:t>
      </w:r>
      <w:proofErr w:type="gramEnd"/>
      <w:r w:rsidRPr="00D44D16">
        <w:rPr>
          <w:b/>
        </w:rPr>
        <w:t xml:space="preserve"> финансовой отчетности также необходимо раскрыть:</w:t>
      </w:r>
    </w:p>
    <w:p w14:paraId="6E099751" w14:textId="77777777" w:rsidR="001E238B" w:rsidRPr="00D44D16" w:rsidRDefault="004D08BD">
      <w:pPr>
        <w:pStyle w:val="IASBNormalnparaL1"/>
      </w:pPr>
      <w:r w:rsidRPr="00D44D16">
        <w:tab/>
      </w:r>
      <w:r w:rsidRPr="00D44D16">
        <w:rPr>
          <w:b/>
        </w:rPr>
        <w:t>...</w:t>
      </w:r>
    </w:p>
    <w:p w14:paraId="00FF02D4" w14:textId="77777777" w:rsidR="001E238B" w:rsidRPr="00D44D16" w:rsidRDefault="004D08BD">
      <w:pPr>
        <w:pStyle w:val="IASBNormalnparaL1"/>
      </w:pPr>
      <w:r w:rsidRPr="00D44D16">
        <w:rPr>
          <w:b/>
        </w:rPr>
        <w:t>(b)</w:t>
      </w:r>
      <w:r w:rsidRPr="00D44D16">
        <w:tab/>
      </w:r>
      <w:r w:rsidRPr="00D44D16">
        <w:rPr>
          <w:b/>
        </w:rPr>
        <w:t xml:space="preserve">сумму затрат, признанных в составе балансовой стоимости объекта основных средств в ходе его строительства; </w:t>
      </w:r>
      <w:r w:rsidRPr="00D44D16">
        <w:rPr>
          <w:b/>
          <w:u w:val="single"/>
        </w:rPr>
        <w:t>и</w:t>
      </w:r>
    </w:p>
    <w:p w14:paraId="521C30FE" w14:textId="77777777" w:rsidR="001E238B" w:rsidRPr="00D44D16" w:rsidRDefault="004D08BD">
      <w:pPr>
        <w:pStyle w:val="IASBNormalnparaL1"/>
      </w:pPr>
      <w:r w:rsidRPr="00D44D16">
        <w:rPr>
          <w:b/>
        </w:rPr>
        <w:t>(c)</w:t>
      </w:r>
      <w:r w:rsidRPr="00D44D16">
        <w:rPr>
          <w:b/>
        </w:rPr>
        <w:tab/>
        <w:t>сумму договорных обязательств по будущим операциям по приобретению основных средств</w:t>
      </w:r>
      <w:r w:rsidRPr="00D44D16">
        <w:rPr>
          <w:b/>
          <w:strike/>
        </w:rPr>
        <w:t>; и</w:t>
      </w:r>
    </w:p>
    <w:p w14:paraId="1E906009" w14:textId="77777777" w:rsidR="001E238B" w:rsidRPr="00D44D16" w:rsidRDefault="004D08BD">
      <w:pPr>
        <w:pStyle w:val="IASBNormalnparaL1"/>
      </w:pPr>
      <w:r w:rsidRPr="00D44D16">
        <w:rPr>
          <w:b/>
          <w:bCs/>
          <w:strike/>
        </w:rPr>
        <w:t>(d)</w:t>
      </w:r>
      <w:r w:rsidRPr="00D44D16">
        <w:rPr>
          <w:b/>
          <w:bCs/>
          <w:strike/>
        </w:rPr>
        <w:tab/>
        <w:t>если эта информация не раскрыта отдельно в отчете о совокупном доходе, сумму компенсации, предоставляемой третьими лицами в случае обесценения, утраты или передачи объектов основных средств, которая включена в состав прибыли или убытка</w:t>
      </w:r>
      <w:r w:rsidRPr="00D44D16">
        <w:rPr>
          <w:b/>
        </w:rPr>
        <w:t>.</w:t>
      </w:r>
    </w:p>
    <w:p w14:paraId="23C0FD75" w14:textId="77777777" w:rsidR="001E238B" w:rsidRPr="00D44D16" w:rsidRDefault="004D08BD">
      <w:pPr>
        <w:pStyle w:val="IASBNormalnpara"/>
        <w:rPr>
          <w:u w:val="single"/>
        </w:rPr>
      </w:pPr>
      <w:r w:rsidRPr="00D44D16">
        <w:rPr>
          <w:b/>
          <w:u w:val="single"/>
        </w:rPr>
        <w:t>74A</w:t>
      </w:r>
      <w:r w:rsidRPr="00D44D16">
        <w:tab/>
      </w:r>
      <w:proofErr w:type="gramStart"/>
      <w:r w:rsidRPr="00D44D16">
        <w:rPr>
          <w:b/>
          <w:u w:val="single"/>
        </w:rPr>
        <w:t>Если</w:t>
      </w:r>
      <w:proofErr w:type="gramEnd"/>
      <w:r w:rsidRPr="00D44D16">
        <w:rPr>
          <w:b/>
          <w:u w:val="single"/>
        </w:rPr>
        <w:t xml:space="preserve"> эта информация не раскрыта отдельно в отчете о совокупном доходе, в финансовой отчетности также необходимо раскрыть:</w:t>
      </w:r>
    </w:p>
    <w:p w14:paraId="3DC83038" w14:textId="77777777" w:rsidR="001E238B" w:rsidRPr="00D44D16" w:rsidRDefault="004D08BD">
      <w:pPr>
        <w:pStyle w:val="IASBNormalnparaL1"/>
        <w:rPr>
          <w:u w:val="single"/>
        </w:rPr>
      </w:pPr>
      <w:r w:rsidRPr="00D44D16">
        <w:rPr>
          <w:b/>
          <w:u w:val="single"/>
        </w:rPr>
        <w:lastRenderedPageBreak/>
        <w:t>(a)</w:t>
      </w:r>
      <w:r w:rsidRPr="00D44D16">
        <w:rPr>
          <w:b/>
          <w:u w:val="single"/>
        </w:rPr>
        <w:tab/>
        <w:t>сумму компенсации, предоставляемой третьими лицами в случае обесценения, утраты или передачи объектов основных средств, которая включена в состав прибыли или убытка; и</w:t>
      </w:r>
    </w:p>
    <w:p w14:paraId="43EEAF75" w14:textId="362137AA" w:rsidR="001E238B" w:rsidRPr="00D44D16" w:rsidRDefault="004D08BD">
      <w:pPr>
        <w:pStyle w:val="IASBNormalnparaL1"/>
      </w:pPr>
      <w:r w:rsidRPr="00D44D16">
        <w:rPr>
          <w:b/>
          <w:u w:val="single"/>
        </w:rPr>
        <w:t>(b)</w:t>
      </w:r>
      <w:r w:rsidRPr="00D44D16">
        <w:tab/>
      </w:r>
      <w:r w:rsidRPr="00D44D16">
        <w:rPr>
          <w:b/>
          <w:u w:val="single"/>
        </w:rPr>
        <w:t>сумм</w:t>
      </w:r>
      <w:r w:rsidR="00916BCA" w:rsidRPr="00D44D16">
        <w:rPr>
          <w:b/>
          <w:u w:val="single"/>
        </w:rPr>
        <w:t>ы</w:t>
      </w:r>
      <w:r w:rsidRPr="00D44D16">
        <w:rPr>
          <w:b/>
          <w:u w:val="single"/>
        </w:rPr>
        <w:t xml:space="preserve"> поступлений и затрат, включенн</w:t>
      </w:r>
      <w:r w:rsidR="00916BCA" w:rsidRPr="00D44D16">
        <w:rPr>
          <w:b/>
          <w:u w:val="single"/>
        </w:rPr>
        <w:t>ые</w:t>
      </w:r>
      <w:r w:rsidRPr="00D44D16">
        <w:rPr>
          <w:b/>
          <w:u w:val="single"/>
        </w:rPr>
        <w:t xml:space="preserve"> в состав прибыли или убытка в соответствии с пунктом 20A, котор</w:t>
      </w:r>
      <w:r w:rsidR="00916BCA" w:rsidRPr="00D44D16">
        <w:rPr>
          <w:b/>
          <w:u w:val="single"/>
        </w:rPr>
        <w:t>ые</w:t>
      </w:r>
      <w:r w:rsidRPr="00D44D16">
        <w:rPr>
          <w:b/>
          <w:u w:val="single"/>
        </w:rPr>
        <w:t xml:space="preserve"> относ</w:t>
      </w:r>
      <w:r w:rsidR="00916BCA" w:rsidRPr="00D44D16">
        <w:rPr>
          <w:b/>
          <w:u w:val="single"/>
        </w:rPr>
        <w:t>я</w:t>
      </w:r>
      <w:r w:rsidRPr="00D44D16">
        <w:rPr>
          <w:b/>
          <w:u w:val="single"/>
        </w:rPr>
        <w:t xml:space="preserve">тся к </w:t>
      </w:r>
      <w:r w:rsidR="005E3E5E" w:rsidRPr="00D44D16">
        <w:rPr>
          <w:b/>
          <w:u w:val="single"/>
        </w:rPr>
        <w:t xml:space="preserve">произведенным </w:t>
      </w:r>
      <w:r w:rsidR="00916BCA" w:rsidRPr="00D44D16">
        <w:rPr>
          <w:b/>
          <w:u w:val="single"/>
        </w:rPr>
        <w:t>изделиям</w:t>
      </w:r>
      <w:r w:rsidRPr="00D44D16">
        <w:rPr>
          <w:b/>
          <w:u w:val="single"/>
        </w:rPr>
        <w:t>, не являющимся результатом обычной деятельности организации, а также инфо</w:t>
      </w:r>
      <w:r w:rsidR="005E3E5E" w:rsidRPr="00D44D16">
        <w:rPr>
          <w:b/>
          <w:u w:val="single"/>
        </w:rPr>
        <w:t>р</w:t>
      </w:r>
      <w:r w:rsidRPr="00D44D16">
        <w:rPr>
          <w:b/>
          <w:u w:val="single"/>
        </w:rPr>
        <w:t xml:space="preserve">мацию о том, </w:t>
      </w:r>
      <w:r w:rsidR="005E3E5E" w:rsidRPr="00D44D16">
        <w:rPr>
          <w:b/>
          <w:u w:val="single"/>
        </w:rPr>
        <w:t>по</w:t>
      </w:r>
      <w:r w:rsidRPr="00D44D16">
        <w:rPr>
          <w:b/>
          <w:u w:val="single"/>
        </w:rPr>
        <w:t xml:space="preserve"> какой статье (каки</w:t>
      </w:r>
      <w:r w:rsidR="005E3E5E" w:rsidRPr="00D44D16">
        <w:rPr>
          <w:b/>
          <w:u w:val="single"/>
        </w:rPr>
        <w:t>м</w:t>
      </w:r>
      <w:r w:rsidRPr="00D44D16">
        <w:rPr>
          <w:b/>
          <w:u w:val="single"/>
        </w:rPr>
        <w:t xml:space="preserve"> статья</w:t>
      </w:r>
      <w:r w:rsidR="005E3E5E" w:rsidRPr="00D44D16">
        <w:rPr>
          <w:b/>
          <w:u w:val="single"/>
        </w:rPr>
        <w:t>м</w:t>
      </w:r>
      <w:r w:rsidRPr="00D44D16">
        <w:rPr>
          <w:b/>
          <w:u w:val="single"/>
        </w:rPr>
        <w:t xml:space="preserve">) отчета о совокупном доходе отражены такие поступления и затраты. </w:t>
      </w:r>
    </w:p>
    <w:p w14:paraId="36CDF08C" w14:textId="77777777" w:rsidR="001E238B" w:rsidRPr="00D44D16" w:rsidRDefault="004D08BD">
      <w:pPr>
        <w:pStyle w:val="IASBSectionTitle1NonInd"/>
      </w:pPr>
      <w:r w:rsidRPr="00D44D16">
        <w:t>Переходные положения</w:t>
      </w:r>
    </w:p>
    <w:p w14:paraId="15920AEC" w14:textId="77777777" w:rsidR="001E238B" w:rsidRPr="00D44D16" w:rsidRDefault="004D08BD">
      <w:pPr>
        <w:pStyle w:val="IASBNormalnpara"/>
      </w:pPr>
      <w:r w:rsidRPr="00D44D16">
        <w:tab/>
        <w:t>...</w:t>
      </w:r>
    </w:p>
    <w:p w14:paraId="1EB9ADF8" w14:textId="30CAE486" w:rsidR="001E238B" w:rsidRPr="00D44D16" w:rsidRDefault="004D08BD">
      <w:pPr>
        <w:pStyle w:val="IASBNormalnpara"/>
      </w:pPr>
      <w:r w:rsidRPr="00D44D16">
        <w:rPr>
          <w:u w:val="single"/>
        </w:rPr>
        <w:t>80D</w:t>
      </w:r>
      <w:r w:rsidRPr="00D44D16">
        <w:tab/>
      </w:r>
      <w:r w:rsidRPr="00D44D16">
        <w:rPr>
          <w:u w:val="single"/>
        </w:rPr>
        <w:t xml:space="preserve">Документом </w:t>
      </w:r>
      <w:r w:rsidRPr="00D44D16">
        <w:rPr>
          <w:i/>
          <w:u w:val="single"/>
        </w:rPr>
        <w:t>«Основные средства — поступления до использования по назначению»</w:t>
      </w:r>
      <w:r w:rsidRPr="00D44D16">
        <w:rPr>
          <w:u w:val="single"/>
        </w:rPr>
        <w:t xml:space="preserve">, выпущенным в мае 2020 года, внесены изменения в пункты 17 и 74 и добавлены пункты 20A и 74A. Организация должна применять данные поправки ретроспективно, но только в отношении тех объектов основных средств, которые были доставлены до местоположения и приведены в состояние, требуемое для их эксплуатации в соответствии с намерениями руководства, на дату </w:t>
      </w:r>
      <w:r w:rsidR="00156BF7">
        <w:rPr>
          <w:u w:val="single"/>
        </w:rPr>
        <w:t xml:space="preserve">или после даты </w:t>
      </w:r>
      <w:r w:rsidRPr="00D44D16">
        <w:rPr>
          <w:u w:val="single"/>
        </w:rPr>
        <w:t xml:space="preserve">начала самого раннего из представленных в финансовой отчетности периода, в котором организация впервые применяет данные поправки. </w:t>
      </w:r>
      <w:r w:rsidR="00156BF7">
        <w:rPr>
          <w:u w:val="single"/>
        </w:rPr>
        <w:t>С</w:t>
      </w:r>
      <w:r w:rsidRPr="00D44D16">
        <w:rPr>
          <w:u w:val="single"/>
        </w:rPr>
        <w:t xml:space="preserve">уммарный эффект первоначального применения данных поправок </w:t>
      </w:r>
      <w:r w:rsidR="00156BF7">
        <w:rPr>
          <w:u w:val="single"/>
        </w:rPr>
        <w:t>о</w:t>
      </w:r>
      <w:r w:rsidR="00156BF7" w:rsidRPr="00D44D16">
        <w:rPr>
          <w:u w:val="single"/>
        </w:rPr>
        <w:t xml:space="preserve">рганизация должна признать </w:t>
      </w:r>
      <w:r w:rsidRPr="00D44D16">
        <w:rPr>
          <w:u w:val="single"/>
        </w:rPr>
        <w:t xml:space="preserve">в качестве корректировки </w:t>
      </w:r>
      <w:r w:rsidR="00680673" w:rsidRPr="00D44D16">
        <w:rPr>
          <w:u w:val="single"/>
        </w:rPr>
        <w:t>вступительно</w:t>
      </w:r>
      <w:r w:rsidR="00680673">
        <w:rPr>
          <w:u w:val="single"/>
        </w:rPr>
        <w:t xml:space="preserve">го сальдо </w:t>
      </w:r>
      <w:r w:rsidRPr="00D44D16">
        <w:rPr>
          <w:u w:val="single"/>
        </w:rPr>
        <w:t>нераспределенной прибыли (или другого компонента собственного капитала</w:t>
      </w:r>
      <w:r w:rsidR="001825AD" w:rsidRPr="001825AD">
        <w:rPr>
          <w:u w:val="single"/>
        </w:rPr>
        <w:t xml:space="preserve">, </w:t>
      </w:r>
      <w:r w:rsidR="001825AD">
        <w:rPr>
          <w:u w:val="single"/>
        </w:rPr>
        <w:t>если применимо</w:t>
      </w:r>
      <w:r w:rsidRPr="00D44D16">
        <w:rPr>
          <w:u w:val="single"/>
        </w:rPr>
        <w:t>) на дату начала</w:t>
      </w:r>
      <w:r w:rsidR="00A5588D" w:rsidRPr="00D44D16">
        <w:rPr>
          <w:u w:val="single"/>
        </w:rPr>
        <w:t xml:space="preserve"> этого</w:t>
      </w:r>
      <w:r w:rsidRPr="00D44D16">
        <w:rPr>
          <w:u w:val="single"/>
        </w:rPr>
        <w:t xml:space="preserve"> самого раннего представленного периода.</w:t>
      </w:r>
    </w:p>
    <w:p w14:paraId="5453B957" w14:textId="77777777" w:rsidR="001E238B" w:rsidRPr="00D44D16" w:rsidRDefault="004D08BD">
      <w:pPr>
        <w:pStyle w:val="IASBSectionTitle1NonInd"/>
      </w:pPr>
      <w:r w:rsidRPr="00D44D16">
        <w:t>Дата вступления в силу</w:t>
      </w:r>
    </w:p>
    <w:p w14:paraId="2AFA2BED" w14:textId="77777777" w:rsidR="001E238B" w:rsidRPr="00D44D16" w:rsidRDefault="004D08BD">
      <w:pPr>
        <w:pStyle w:val="IASBNormalnpara"/>
      </w:pPr>
      <w:r w:rsidRPr="00D44D16">
        <w:tab/>
        <w:t>...</w:t>
      </w:r>
    </w:p>
    <w:p w14:paraId="5A73FD76" w14:textId="14137DFF" w:rsidR="001E238B" w:rsidRPr="00D44D16" w:rsidRDefault="004D08BD">
      <w:pPr>
        <w:pStyle w:val="IASBNormalnpara"/>
      </w:pPr>
      <w:r w:rsidRPr="00D44D16">
        <w:rPr>
          <w:u w:val="single"/>
        </w:rPr>
        <w:t>81N</w:t>
      </w:r>
      <w:r w:rsidRPr="00D44D16">
        <w:tab/>
      </w:r>
      <w:r w:rsidRPr="00D44D16">
        <w:rPr>
          <w:u w:val="single"/>
        </w:rPr>
        <w:t xml:space="preserve">Документом </w:t>
      </w:r>
      <w:r w:rsidRPr="00D44D16">
        <w:rPr>
          <w:i/>
          <w:u w:val="single"/>
        </w:rPr>
        <w:t xml:space="preserve">«Основные средства — поступления </w:t>
      </w:r>
      <w:r w:rsidR="00916BCA" w:rsidRPr="00D44D16">
        <w:rPr>
          <w:i/>
          <w:u w:val="single"/>
        </w:rPr>
        <w:t xml:space="preserve">до </w:t>
      </w:r>
      <w:r w:rsidR="00A5588D" w:rsidRPr="00D44D16">
        <w:rPr>
          <w:i/>
          <w:u w:val="single"/>
        </w:rPr>
        <w:t>использования по назначению</w:t>
      </w:r>
      <w:r w:rsidRPr="00D44D16">
        <w:rPr>
          <w:i/>
          <w:u w:val="single"/>
        </w:rPr>
        <w:t>»</w:t>
      </w:r>
      <w:r w:rsidRPr="00D44D16">
        <w:rPr>
          <w:u w:val="single"/>
        </w:rPr>
        <w:t>, выпущенным в мае 2020 года, внесены изменения в пункты 17 и 74 и добавлены пункты 20A, 74A и 80D. Организация должна применять данные поправки в отношении годовых отчетных периодов, начинающихся 1 января 2022 года или после этой даты. Допускается досрочное применение. Если организация применит настоящие поправки в отношении более раннего периода, она должна раскрыть этот факт.</w:t>
      </w:r>
    </w:p>
    <w:sectPr w:rsidR="001E238B" w:rsidRPr="00D44D16">
      <w:headerReference w:type="default" r:id="rId9"/>
      <w:footerReference w:type="even" r:id="rId10"/>
      <w:footerReference w:type="default" r:id="rId11"/>
      <w:pgSz w:w="11880" w:h="16820"/>
      <w:pgMar w:top="1440" w:right="1440" w:bottom="1440" w:left="144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A7D55C" w16cid:durableId="2282C457"/>
  <w16cid:commentId w16cid:paraId="649C9676" w16cid:durableId="2280EEC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7862E" w14:textId="77777777" w:rsidR="006929BF" w:rsidRDefault="006929BF">
      <w:r>
        <w:separator/>
      </w:r>
    </w:p>
  </w:endnote>
  <w:endnote w:type="continuationSeparator" w:id="0">
    <w:p w14:paraId="140EC20A" w14:textId="77777777" w:rsidR="006929BF" w:rsidRDefault="0069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ADF0D" w14:textId="3CDF373A" w:rsidR="001E238B" w:rsidRDefault="004D08BD">
    <w:pPr>
      <w:pStyle w:val="Footer"/>
    </w:pPr>
    <w:r>
      <w:fldChar w:fldCharType="begin"/>
    </w:r>
    <w:r>
      <w:instrText>PAGE</w:instrText>
    </w:r>
    <w:r>
      <w:fldChar w:fldCharType="separate"/>
    </w:r>
    <w:r w:rsidR="003C6F99">
      <w:rPr>
        <w:noProof/>
      </w:rPr>
      <w:t>2</w:t>
    </w:r>
    <w:r>
      <w:fldChar w:fldCharType="end"/>
    </w:r>
    <w:r>
      <w:tab/>
      <w:t xml:space="preserve">© IFRS </w:t>
    </w:r>
    <w:proofErr w:type="spellStart"/>
    <w:r>
      <w:t>Foundation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2844B" w14:textId="665989F0" w:rsidR="001E238B" w:rsidRDefault="004D08BD">
    <w:pPr>
      <w:pStyle w:val="Footer"/>
    </w:pPr>
    <w:r>
      <w:tab/>
      <w:t xml:space="preserve">© IFRS </w:t>
    </w:r>
    <w:proofErr w:type="spellStart"/>
    <w:r>
      <w:t>Foundation</w:t>
    </w:r>
    <w:proofErr w:type="spellEnd"/>
    <w:r>
      <w:tab/>
    </w:r>
    <w:r>
      <w:fldChar w:fldCharType="begin"/>
    </w:r>
    <w:r>
      <w:instrText>PAGE</w:instrText>
    </w:r>
    <w:r>
      <w:fldChar w:fldCharType="separate"/>
    </w:r>
    <w:r w:rsidR="003C6F9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BB973" w14:textId="77777777" w:rsidR="006929BF" w:rsidRDefault="006929BF">
      <w:r>
        <w:separator/>
      </w:r>
    </w:p>
  </w:footnote>
  <w:footnote w:type="continuationSeparator" w:id="0">
    <w:p w14:paraId="28F09C1A" w14:textId="77777777" w:rsidR="006929BF" w:rsidRDefault="00692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F63C1" w14:textId="77777777" w:rsidR="001E238B" w:rsidRDefault="004D08BD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oNotTrackFormatting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8B"/>
    <w:rsid w:val="00013F0A"/>
    <w:rsid w:val="00041777"/>
    <w:rsid w:val="000E70A5"/>
    <w:rsid w:val="00122EEC"/>
    <w:rsid w:val="00156BF7"/>
    <w:rsid w:val="001825AD"/>
    <w:rsid w:val="001C1A7E"/>
    <w:rsid w:val="001E238B"/>
    <w:rsid w:val="001F5492"/>
    <w:rsid w:val="00220F1B"/>
    <w:rsid w:val="00241ED7"/>
    <w:rsid w:val="00272B6D"/>
    <w:rsid w:val="00394EBD"/>
    <w:rsid w:val="003C6F99"/>
    <w:rsid w:val="0042714C"/>
    <w:rsid w:val="004D08BD"/>
    <w:rsid w:val="005E3E5E"/>
    <w:rsid w:val="00680673"/>
    <w:rsid w:val="006929BF"/>
    <w:rsid w:val="006F5F71"/>
    <w:rsid w:val="00916BCA"/>
    <w:rsid w:val="0092405F"/>
    <w:rsid w:val="00952FA0"/>
    <w:rsid w:val="00A015EE"/>
    <w:rsid w:val="00A34186"/>
    <w:rsid w:val="00A5588D"/>
    <w:rsid w:val="00B90E13"/>
    <w:rsid w:val="00BD7E2D"/>
    <w:rsid w:val="00BE2FBF"/>
    <w:rsid w:val="00C1520C"/>
    <w:rsid w:val="00C93442"/>
    <w:rsid w:val="00D44D16"/>
    <w:rsid w:val="00D5567A"/>
    <w:rsid w:val="00FB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4EC0"/>
  <w15:docId w15:val="{A28399E8-DB96-4AEA-A3C5-C5342300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SBNormal">
    <w:name w:val="IASB Normal"/>
    <w:pPr>
      <w:tabs>
        <w:tab w:val="left" w:pos="4253"/>
      </w:tabs>
      <w:spacing w:before="100" w:after="100" w:line="240" w:lineRule="auto"/>
      <w:jc w:val="both"/>
    </w:pPr>
    <w:rPr>
      <w:sz w:val="19"/>
      <w:szCs w:val="20"/>
      <w:lang w:eastAsia="en-US"/>
    </w:rPr>
  </w:style>
  <w:style w:type="paragraph" w:customStyle="1" w:styleId="IASBNormalArial">
    <w:name w:val="IASB Normal Arial"/>
    <w:pPr>
      <w:tabs>
        <w:tab w:val="left" w:pos="4253"/>
      </w:tabs>
      <w:spacing w:before="100" w:after="100" w:line="240" w:lineRule="auto"/>
      <w:jc w:val="both"/>
    </w:pPr>
    <w:rPr>
      <w:rFonts w:ascii="Arial" w:hAnsi="Arial"/>
      <w:sz w:val="19"/>
      <w:szCs w:val="20"/>
      <w:lang w:eastAsia="en-US"/>
    </w:rPr>
  </w:style>
  <w:style w:type="paragraph" w:customStyle="1" w:styleId="IASBNormalnpara">
    <w:name w:val="IASB Normal npara"/>
    <w:basedOn w:val="IASBNormal"/>
    <w:pPr>
      <w:tabs>
        <w:tab w:val="clear" w:pos="4253"/>
      </w:tabs>
      <w:spacing w:after="0"/>
      <w:ind w:left="782" w:hanging="782"/>
    </w:pPr>
  </w:style>
  <w:style w:type="paragraph" w:customStyle="1" w:styleId="IASBSectionTitle1Ind">
    <w:name w:val="IASB Section Title 1 Ind"/>
    <w:basedOn w:val="Normal"/>
    <w:pPr>
      <w:keepNext/>
      <w:keepLines/>
      <w:pBdr>
        <w:bottom w:val="single" w:sz="4" w:space="0" w:color="auto"/>
      </w:pBdr>
      <w:spacing w:before="400" w:after="200"/>
      <w:ind w:left="782"/>
    </w:pPr>
    <w:rPr>
      <w:rFonts w:ascii="Arial" w:hAnsi="Arial" w:cs="Arial"/>
      <w:b/>
      <w:sz w:val="26"/>
      <w:szCs w:val="20"/>
    </w:rPr>
  </w:style>
  <w:style w:type="paragraph" w:customStyle="1" w:styleId="IASBSectionTitle1NonInd">
    <w:name w:val="IASB Section Title 1 NonInd"/>
    <w:basedOn w:val="Normal"/>
    <w:pPr>
      <w:keepNext/>
      <w:keepLines/>
      <w:pBdr>
        <w:bottom w:val="single" w:sz="4" w:space="0" w:color="auto"/>
      </w:pBdr>
      <w:spacing w:before="400" w:after="200"/>
    </w:pPr>
    <w:rPr>
      <w:rFonts w:ascii="Arial" w:hAnsi="Arial" w:cs="Arial"/>
      <w:b/>
      <w:sz w:val="26"/>
      <w:szCs w:val="20"/>
    </w:rPr>
  </w:style>
  <w:style w:type="paragraph" w:customStyle="1" w:styleId="IASBSectionTitle2NonInd">
    <w:name w:val="IASB Section Title 2 NonInd"/>
    <w:basedOn w:val="Normal"/>
    <w:pPr>
      <w:keepNext/>
      <w:keepLines/>
      <w:spacing w:before="300" w:after="200"/>
    </w:pPr>
    <w:rPr>
      <w:rFonts w:ascii="Arial" w:hAnsi="Arial" w:cs="Arial"/>
      <w:b/>
      <w:sz w:val="26"/>
      <w:szCs w:val="20"/>
    </w:rPr>
  </w:style>
  <w:style w:type="paragraph" w:customStyle="1" w:styleId="IASBSectionTitle2Ind">
    <w:name w:val="IASB Section Title 2 Ind"/>
    <w:basedOn w:val="IASBSectionTitle2NonInd"/>
    <w:pPr>
      <w:spacing w:before="240"/>
      <w:ind w:left="782"/>
    </w:pPr>
  </w:style>
  <w:style w:type="paragraph" w:customStyle="1" w:styleId="IASBSectionTitle3NonInd">
    <w:name w:val="IASB Section Title 3 NonInd"/>
    <w:basedOn w:val="Normal"/>
    <w:pPr>
      <w:keepNext/>
      <w:keepLines/>
      <w:spacing w:before="300" w:after="200"/>
    </w:pPr>
    <w:rPr>
      <w:rFonts w:ascii="Arial" w:hAnsi="Arial" w:cs="Arial"/>
      <w:b/>
      <w:sz w:val="22"/>
      <w:szCs w:val="20"/>
    </w:rPr>
  </w:style>
  <w:style w:type="paragraph" w:customStyle="1" w:styleId="IASBSectionTitle3Ind">
    <w:name w:val="IASB Section Title 3 Ind"/>
    <w:basedOn w:val="IASBSectionTitle3NonInd"/>
    <w:pPr>
      <w:spacing w:before="240"/>
      <w:ind w:left="782"/>
    </w:pPr>
  </w:style>
  <w:style w:type="paragraph" w:customStyle="1" w:styleId="IASBSectionTitle4NonInd">
    <w:name w:val="IASB Section Title 4 NonInd"/>
    <w:basedOn w:val="Normal"/>
    <w:pPr>
      <w:keepNext/>
      <w:keepLines/>
      <w:spacing w:before="300" w:after="200"/>
    </w:pPr>
    <w:rPr>
      <w:rFonts w:ascii="Arial" w:hAnsi="Arial" w:cs="Arial"/>
      <w:i/>
      <w:sz w:val="22"/>
      <w:szCs w:val="20"/>
    </w:rPr>
  </w:style>
  <w:style w:type="paragraph" w:customStyle="1" w:styleId="IASBSectionTitle4Ind">
    <w:name w:val="IASB Section Title 4 Ind"/>
    <w:basedOn w:val="IASBSectionTitle4NonInd"/>
    <w:pPr>
      <w:ind w:left="782"/>
    </w:pPr>
  </w:style>
  <w:style w:type="paragraph" w:customStyle="1" w:styleId="IASBSectionTitle5NonInd">
    <w:name w:val="IASB Section Title 5 NonInd"/>
    <w:basedOn w:val="Normal"/>
    <w:rsid w:val="00E20281"/>
    <w:pPr>
      <w:keepNext/>
      <w:keepLines/>
      <w:spacing w:before="300" w:after="200"/>
    </w:pPr>
    <w:rPr>
      <w:rFonts w:ascii="Arial" w:hAnsi="Arial" w:cs="Arial"/>
      <w:b/>
      <w:sz w:val="19"/>
      <w:szCs w:val="20"/>
    </w:rPr>
  </w:style>
  <w:style w:type="paragraph" w:customStyle="1" w:styleId="IASBSectionTitle5Ind">
    <w:name w:val="IASB Section Title 5 Ind"/>
    <w:basedOn w:val="IASBSectionTitle5NonInd"/>
    <w:rsid w:val="00E20281"/>
    <w:pPr>
      <w:ind w:left="782"/>
    </w:pPr>
  </w:style>
  <w:style w:type="paragraph" w:customStyle="1" w:styleId="IASBSectionTitle6NonInd">
    <w:name w:val="IASB Section Title 6 NonInd"/>
    <w:basedOn w:val="IASBSectionTitle5NonInd"/>
    <w:rPr>
      <w:b w:val="0"/>
      <w:i/>
    </w:rPr>
  </w:style>
  <w:style w:type="paragraph" w:customStyle="1" w:styleId="IASBSectionTitle6Ind">
    <w:name w:val="IASB Section Title 6 Ind"/>
    <w:basedOn w:val="IASBSectionTitle6NonInd"/>
    <w:pPr>
      <w:ind w:left="782"/>
    </w:pPr>
  </w:style>
  <w:style w:type="paragraph" w:customStyle="1" w:styleId="IASBTitle">
    <w:name w:val="IASB Title"/>
    <w:pPr>
      <w:keepNext/>
      <w:keepLines/>
      <w:spacing w:before="300" w:after="400" w:line="240" w:lineRule="auto"/>
    </w:pPr>
    <w:rPr>
      <w:rFonts w:cs="Arial"/>
      <w:sz w:val="36"/>
      <w:szCs w:val="20"/>
      <w:lang w:eastAsia="en-US"/>
    </w:rPr>
  </w:style>
  <w:style w:type="paragraph" w:customStyle="1" w:styleId="IASBNormalnparaL1">
    <w:name w:val="IASB Normal nparaL1"/>
    <w:basedOn w:val="IASBNormalnpara"/>
    <w:pPr>
      <w:ind w:left="1564"/>
    </w:pPr>
  </w:style>
  <w:style w:type="paragraph" w:customStyle="1" w:styleId="IASBNormalArialnparaL1">
    <w:name w:val="IASB Normal Arial nparaL1"/>
    <w:basedOn w:val="IASBNormalnpara"/>
    <w:pPr>
      <w:ind w:left="1564"/>
    </w:pPr>
    <w:rPr>
      <w:rFonts w:ascii="Arial" w:hAnsi="Arial"/>
    </w:rPr>
  </w:style>
  <w:style w:type="paragraph" w:customStyle="1" w:styleId="IASBNormalnparaP">
    <w:name w:val="IASB Normal nparaP"/>
    <w:basedOn w:val="IASBNormal"/>
    <w:pPr>
      <w:ind w:left="782"/>
    </w:pPr>
  </w:style>
  <w:style w:type="paragraph" w:customStyle="1" w:styleId="IASBIdentifier">
    <w:name w:val="IASB Identifier"/>
    <w:basedOn w:val="IASBTitle"/>
    <w:pPr>
      <w:spacing w:after="200"/>
    </w:pPr>
    <w:rPr>
      <w:rFonts w:ascii="Arial" w:hAnsi="Arial"/>
      <w:b/>
      <w:sz w:val="23"/>
    </w:rPr>
  </w:style>
  <w:style w:type="paragraph" w:customStyle="1" w:styleId="IASBTOCPrimaryPrimary">
    <w:name w:val="IASB TOC Primary Primary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caps/>
      <w:sz w:val="20"/>
      <w:szCs w:val="20"/>
    </w:rPr>
  </w:style>
  <w:style w:type="paragraph" w:customStyle="1" w:styleId="IASBTOCPrimary">
    <w:name w:val="IASB TOC Primary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caps/>
      <w:sz w:val="18"/>
      <w:szCs w:val="20"/>
    </w:rPr>
  </w:style>
  <w:style w:type="paragraph" w:customStyle="1" w:styleId="IASBTOCParagraph">
    <w:name w:val="IASB TOC Paragraph"/>
    <w:basedOn w:val="Normal"/>
    <w:pPr>
      <w:spacing w:before="30" w:after="30"/>
    </w:pPr>
    <w:rPr>
      <w:rFonts w:ascii="Arial" w:hAnsi="Arial" w:cs="Arial"/>
      <w:i/>
      <w:sz w:val="18"/>
      <w:szCs w:val="20"/>
    </w:rPr>
  </w:style>
  <w:style w:type="paragraph" w:customStyle="1" w:styleId="IASBTOCSecondary">
    <w:name w:val="IASB TOC Secondary"/>
    <w:basedOn w:val="Normal"/>
    <w:pPr>
      <w:tabs>
        <w:tab w:val="right" w:pos="8647"/>
      </w:tabs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TOCTertiary">
    <w:name w:val="IASB TOC Tertiary"/>
    <w:basedOn w:val="Normal"/>
    <w:pPr>
      <w:tabs>
        <w:tab w:val="right" w:pos="8647"/>
      </w:tabs>
      <w:spacing w:before="30" w:after="30"/>
      <w:ind w:left="390"/>
    </w:pPr>
    <w:rPr>
      <w:rFonts w:ascii="Arial" w:hAnsi="Arial" w:cs="Arial"/>
      <w:sz w:val="18"/>
      <w:szCs w:val="20"/>
    </w:rPr>
  </w:style>
  <w:style w:type="paragraph" w:customStyle="1" w:styleId="IASBTOCExternal">
    <w:name w:val="IASB TOC External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Rubric">
    <w:name w:val="IASB Rubric"/>
    <w:basedOn w:val="IASBNormal"/>
    <w:pPr>
      <w:pBdr>
        <w:top w:val="single" w:sz="2" w:space="8" w:color="auto"/>
        <w:left w:val="single" w:sz="2" w:space="5" w:color="auto"/>
        <w:bottom w:val="single" w:sz="2" w:space="5" w:color="auto"/>
        <w:right w:val="single" w:sz="2" w:space="5" w:color="auto"/>
      </w:pBdr>
    </w:pPr>
  </w:style>
  <w:style w:type="paragraph" w:customStyle="1" w:styleId="IASBNote">
    <w:name w:val="IASB Note"/>
    <w:basedOn w:val="IASBNormal"/>
    <w:rsid w:val="00E9784B"/>
  </w:style>
  <w:style w:type="paragraph" w:customStyle="1" w:styleId="IASBBlockquote">
    <w:name w:val="IASB Blockquote"/>
    <w:basedOn w:val="IASBNormal"/>
    <w:pPr>
      <w:ind w:left="1565"/>
    </w:pPr>
    <w:rPr>
      <w:sz w:val="16"/>
    </w:rPr>
  </w:style>
  <w:style w:type="character" w:customStyle="1" w:styleId="IASBEduinsert">
    <w:name w:val="IASB Edu insert"/>
    <w:qFormat/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paragraph" w:styleId="FootnoteText">
    <w:name w:val="footnote text"/>
    <w:basedOn w:val="IASBSectionTitle2Ind"/>
    <w:next w:val="IASBBlockquote"/>
    <w:link w:val="FootnoteTextChar"/>
    <w:uiPriority w:val="99"/>
    <w:semiHidden/>
    <w:rsid w:val="00713675"/>
    <w:pPr>
      <w:keepNext w:val="0"/>
      <w:keepLines w:val="0"/>
      <w:spacing w:before="0" w:after="0"/>
      <w:ind w:hanging="782"/>
    </w:pPr>
    <w:rPr>
      <w:rFonts w:ascii="Times New Roman" w:hAnsi="Times New Roman" w:cs="Times New Roman"/>
      <w:b w:val="0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eastAsia="en-US"/>
    </w:rPr>
  </w:style>
  <w:style w:type="paragraph" w:customStyle="1" w:styleId="IASBNormalL1">
    <w:name w:val="IASB Normal L1"/>
    <w:basedOn w:val="IASBNormalnpara"/>
  </w:style>
  <w:style w:type="paragraph" w:customStyle="1" w:styleId="IASBNormalArialL1">
    <w:name w:val="IASB Normal Arial L1"/>
    <w:basedOn w:val="IASBNormalnpara"/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en-US"/>
    </w:rPr>
  </w:style>
  <w:style w:type="paragraph" w:customStyle="1" w:styleId="IASBRubricL1">
    <w:name w:val="IASB RubricL1"/>
    <w:basedOn w:val="IASBRubric"/>
    <w:pPr>
      <w:ind w:left="782" w:hanging="782"/>
      <w:jc w:val="left"/>
    </w:pPr>
    <w:rPr>
      <w:lang w:eastAsia="en-GB"/>
    </w:rPr>
  </w:style>
  <w:style w:type="paragraph" w:customStyle="1" w:styleId="IASBRubricL2">
    <w:name w:val="IASB RubricL2"/>
    <w:basedOn w:val="IASBRubricL1"/>
    <w:pPr>
      <w:tabs>
        <w:tab w:val="left" w:pos="782"/>
      </w:tabs>
      <w:ind w:left="1565" w:hanging="1565"/>
    </w:pPr>
  </w:style>
  <w:style w:type="paragraph" w:customStyle="1" w:styleId="IASBRubricL3">
    <w:name w:val="IASB RubricL3"/>
    <w:basedOn w:val="IASBRubricL2"/>
    <w:pPr>
      <w:tabs>
        <w:tab w:val="clear" w:pos="782"/>
        <w:tab w:val="left" w:pos="1565"/>
      </w:tabs>
      <w:ind w:left="2347" w:hanging="2347"/>
    </w:pPr>
  </w:style>
  <w:style w:type="paragraph" w:customStyle="1" w:styleId="IASBNormalnparaL2">
    <w:name w:val="IASB Normal nparaL2"/>
    <w:basedOn w:val="IASBNormalnparaL1"/>
    <w:pPr>
      <w:ind w:left="2347"/>
    </w:pPr>
  </w:style>
  <w:style w:type="paragraph" w:customStyle="1" w:styleId="IASBNormalnparaL3">
    <w:name w:val="IASB Normal nparaL3"/>
    <w:basedOn w:val="IASBNormalnparaL2"/>
    <w:pPr>
      <w:ind w:left="3129"/>
    </w:pPr>
  </w:style>
  <w:style w:type="paragraph" w:customStyle="1" w:styleId="IASBNormalnparaL4">
    <w:name w:val="IASB Normal nparaL4"/>
    <w:basedOn w:val="IASBNormalnparaL3"/>
    <w:pPr>
      <w:ind w:left="3912"/>
    </w:pPr>
  </w:style>
  <w:style w:type="paragraph" w:customStyle="1" w:styleId="IASBNormalnparaL5">
    <w:name w:val="IASB Normal nparaL5"/>
    <w:basedOn w:val="IASBNormalnparaL4"/>
    <w:pPr>
      <w:ind w:left="4694"/>
    </w:pPr>
  </w:style>
  <w:style w:type="paragraph" w:customStyle="1" w:styleId="IASBNormalArialnparaL2">
    <w:name w:val="IASB Normal Arial nparaL2"/>
    <w:basedOn w:val="IASBNormalnparaL1"/>
    <w:pPr>
      <w:ind w:left="2347"/>
    </w:pPr>
    <w:rPr>
      <w:rFonts w:ascii="Arial" w:hAnsi="Arial"/>
    </w:rPr>
  </w:style>
  <w:style w:type="paragraph" w:customStyle="1" w:styleId="IASBNormalArialnparaL3">
    <w:name w:val="IASB Normal Arial nparaL3"/>
    <w:basedOn w:val="IASBNormalnparaL2"/>
    <w:pPr>
      <w:ind w:left="3129"/>
    </w:pPr>
    <w:rPr>
      <w:rFonts w:ascii="Arial" w:hAnsi="Arial"/>
    </w:rPr>
  </w:style>
  <w:style w:type="paragraph" w:customStyle="1" w:styleId="IASBNormalArialnparaL4">
    <w:name w:val="IASB Normal Arial nparaL4"/>
    <w:basedOn w:val="IASBNormalnparaL3"/>
    <w:pPr>
      <w:ind w:left="3912"/>
    </w:pPr>
    <w:rPr>
      <w:rFonts w:ascii="Arial" w:hAnsi="Arial"/>
    </w:rPr>
  </w:style>
  <w:style w:type="paragraph" w:customStyle="1" w:styleId="IASBNormalArialnparaL5">
    <w:name w:val="IASB Normal Arial nparaL5"/>
    <w:basedOn w:val="IASBNormalnparaL4"/>
    <w:pPr>
      <w:ind w:left="4694"/>
    </w:pPr>
    <w:rPr>
      <w:rFonts w:ascii="Arial" w:hAnsi="Arial"/>
    </w:rPr>
  </w:style>
  <w:style w:type="paragraph" w:customStyle="1" w:styleId="IASBNormalnparaL1P">
    <w:name w:val="IASB Normal nparaL1P"/>
    <w:basedOn w:val="IASBNormalnparaL2"/>
    <w:pPr>
      <w:ind w:left="1565" w:firstLine="0"/>
    </w:pPr>
  </w:style>
  <w:style w:type="paragraph" w:customStyle="1" w:styleId="IASBNormalnparaL2P">
    <w:name w:val="IASB Normal nparaL2P"/>
    <w:basedOn w:val="IASBNormalnparaL1P"/>
    <w:pPr>
      <w:ind w:left="2347"/>
    </w:pPr>
  </w:style>
  <w:style w:type="paragraph" w:customStyle="1" w:styleId="IASBNormalnparaL3P">
    <w:name w:val="IASB Normal nparaL3P"/>
    <w:basedOn w:val="IASBNormalnparaL2P"/>
    <w:pPr>
      <w:ind w:left="3130"/>
    </w:pPr>
  </w:style>
  <w:style w:type="paragraph" w:customStyle="1" w:styleId="IASBNormalnparaL4P">
    <w:name w:val="IASB Normal nparaL4P"/>
    <w:basedOn w:val="IASBNormalnparaL3P"/>
    <w:pPr>
      <w:ind w:left="3912"/>
    </w:pPr>
  </w:style>
  <w:style w:type="paragraph" w:customStyle="1" w:styleId="IASBNormalnparaL5P">
    <w:name w:val="IASB Normal nparaL5P"/>
    <w:basedOn w:val="IASBNormalnparaL4P"/>
    <w:pPr>
      <w:ind w:left="4751"/>
    </w:pPr>
  </w:style>
  <w:style w:type="paragraph" w:customStyle="1" w:styleId="IASBBlockquoteL1">
    <w:name w:val="IASB BlockquoteL1"/>
    <w:basedOn w:val="IASBBlockquote"/>
    <w:pPr>
      <w:ind w:left="2347" w:hanging="782"/>
    </w:pPr>
  </w:style>
  <w:style w:type="paragraph" w:customStyle="1" w:styleId="IASBBlockquoteL2">
    <w:name w:val="IASB BlockquoteL2"/>
    <w:basedOn w:val="IASBBlockquoteL1"/>
    <w:pPr>
      <w:ind w:left="3129"/>
    </w:pPr>
  </w:style>
  <w:style w:type="paragraph" w:customStyle="1" w:styleId="IASBNormalL2">
    <w:name w:val="IASB Normal L2"/>
    <w:basedOn w:val="IASBNormalL1"/>
    <w:pPr>
      <w:ind w:left="1564"/>
    </w:pPr>
  </w:style>
  <w:style w:type="paragraph" w:customStyle="1" w:styleId="IASBNormalArialL2">
    <w:name w:val="IASB Normal Arial L2"/>
    <w:basedOn w:val="IASBNormalL1"/>
    <w:pPr>
      <w:ind w:left="1564"/>
    </w:pPr>
    <w:rPr>
      <w:rFonts w:ascii="Arial" w:hAnsi="Arial"/>
    </w:rPr>
  </w:style>
  <w:style w:type="paragraph" w:customStyle="1" w:styleId="IASBTOCQuartery">
    <w:name w:val="IASB TOC Quartery"/>
    <w:basedOn w:val="IASBTOCTertiary"/>
    <w:pPr>
      <w:ind w:left="851"/>
    </w:pPr>
  </w:style>
  <w:style w:type="paragraph" w:customStyle="1" w:styleId="IASBNoteTitle">
    <w:name w:val="IASB Note Title"/>
    <w:basedOn w:val="IASBTOCPrimary"/>
    <w:pPr>
      <w:jc w:val="center"/>
    </w:pPr>
    <w:rPr>
      <w:b w:val="0"/>
      <w:caps w:val="0"/>
      <w:sz w:val="24"/>
    </w:rPr>
  </w:style>
  <w:style w:type="paragraph" w:customStyle="1" w:styleId="IASBNormalL1P">
    <w:name w:val="IASB Normal L1P"/>
    <w:basedOn w:val="IASBNormalL1"/>
    <w:qFormat/>
    <w:pPr>
      <w:ind w:firstLine="0"/>
    </w:pPr>
  </w:style>
  <w:style w:type="paragraph" w:customStyle="1" w:styleId="IASBNormalL2P">
    <w:name w:val="IASB Normal L2P"/>
    <w:basedOn w:val="IASBNormalL1P"/>
    <w:qFormat/>
    <w:pPr>
      <w:ind w:left="1565"/>
    </w:pPr>
  </w:style>
  <w:style w:type="paragraph" w:customStyle="1" w:styleId="IASBNormalnparaC">
    <w:name w:val="IASB Normal nparaC"/>
    <w:basedOn w:val="IASBNormalnpara"/>
    <w:qFormat/>
    <w:pPr>
      <w:spacing w:before="0"/>
    </w:pPr>
  </w:style>
  <w:style w:type="paragraph" w:customStyle="1" w:styleId="IASBEdupara">
    <w:name w:val="IASB Edu para"/>
    <w:basedOn w:val="IASBNormal"/>
    <w:qFormat/>
  </w:style>
  <w:style w:type="paragraph" w:customStyle="1" w:styleId="IASBTableBoldTNR">
    <w:name w:val="IASB Table Bold TNR"/>
    <w:basedOn w:val="Normal"/>
    <w:qFormat/>
    <w:pPr>
      <w:spacing w:before="120"/>
    </w:pPr>
    <w:rPr>
      <w:b/>
      <w:sz w:val="19"/>
      <w:szCs w:val="20"/>
      <w:lang w:eastAsia="en-GB"/>
    </w:rPr>
  </w:style>
  <w:style w:type="paragraph" w:customStyle="1" w:styleId="IASBTableHeaderTNR">
    <w:name w:val="IASB Table Header TNR"/>
    <w:basedOn w:val="Normal"/>
    <w:qFormat/>
    <w:pPr>
      <w:keepNext/>
      <w:spacing w:before="120" w:after="200" w:line="276" w:lineRule="auto"/>
    </w:pPr>
    <w:rPr>
      <w:sz w:val="19"/>
      <w:szCs w:val="20"/>
      <w:lang w:eastAsia="en-GB"/>
    </w:rPr>
  </w:style>
  <w:style w:type="paragraph" w:customStyle="1" w:styleId="IASBTableTNR">
    <w:name w:val="IASB Table TNR"/>
    <w:basedOn w:val="Normal"/>
    <w:qFormat/>
    <w:pPr>
      <w:spacing w:before="120"/>
    </w:pPr>
    <w:rPr>
      <w:sz w:val="19"/>
      <w:szCs w:val="20"/>
      <w:lang w:eastAsia="en-GB"/>
    </w:rPr>
  </w:style>
  <w:style w:type="paragraph" w:customStyle="1" w:styleId="IASBTableNormal">
    <w:name w:val="IASB Table Normal"/>
    <w:basedOn w:val="Normal"/>
    <w:pPr>
      <w:spacing w:before="80" w:after="60"/>
    </w:pPr>
    <w:rPr>
      <w:sz w:val="19"/>
      <w:szCs w:val="20"/>
      <w:lang w:eastAsia="en-GB"/>
    </w:rPr>
  </w:style>
  <w:style w:type="paragraph" w:customStyle="1" w:styleId="IASBTableArial">
    <w:name w:val="IASB Table Arial"/>
    <w:basedOn w:val="Normal"/>
    <w:pPr>
      <w:spacing w:before="120"/>
    </w:pPr>
    <w:rPr>
      <w:rFonts w:ascii="Arial" w:hAnsi="Arial"/>
      <w:sz w:val="18"/>
      <w:szCs w:val="20"/>
      <w:lang w:eastAsia="en-GB"/>
    </w:rPr>
  </w:style>
  <w:style w:type="paragraph" w:customStyle="1" w:styleId="IASBTableBoldArial">
    <w:name w:val="IASB Table Bold Arial"/>
    <w:basedOn w:val="IASBTableArial"/>
    <w:qFormat/>
    <w:pPr>
      <w:spacing w:after="60"/>
    </w:pPr>
    <w:rPr>
      <w:b/>
    </w:rPr>
  </w:style>
  <w:style w:type="paragraph" w:customStyle="1" w:styleId="IASBTableHeaderArial">
    <w:name w:val="IASB Table Header Arial"/>
    <w:basedOn w:val="IASBTableArial"/>
    <w:qFormat/>
    <w:pPr>
      <w:keepNext/>
      <w:spacing w:after="100"/>
    </w:pPr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4B3E7E"/>
    <w:rPr>
      <w:rFonts w:cs="Times New Roman"/>
      <w:vertAlign w:val="superscript"/>
    </w:rPr>
  </w:style>
  <w:style w:type="paragraph" w:customStyle="1" w:styleId="IASBNormalL3">
    <w:name w:val="IASB Normal L3"/>
    <w:basedOn w:val="IASBNormalL2"/>
    <w:qFormat/>
    <w:rsid w:val="0078108C"/>
    <w:pPr>
      <w:ind w:left="2268" w:hanging="708"/>
    </w:pPr>
  </w:style>
  <w:style w:type="paragraph" w:customStyle="1" w:styleId="IASBNormalArialL3">
    <w:name w:val="IASB Normal Arial L3"/>
    <w:basedOn w:val="IASBNormalL2"/>
    <w:qFormat/>
    <w:rsid w:val="0078108C"/>
    <w:pPr>
      <w:ind w:left="2268" w:hanging="708"/>
    </w:pPr>
    <w:rPr>
      <w:rFonts w:ascii="Arial" w:hAnsi="Arial"/>
    </w:rPr>
  </w:style>
  <w:style w:type="paragraph" w:customStyle="1" w:styleId="IASBNormalL3P">
    <w:name w:val="IASB Normal L3P"/>
    <w:basedOn w:val="IASBNormalL2P"/>
    <w:qFormat/>
    <w:rsid w:val="0078108C"/>
    <w:pPr>
      <w:ind w:left="2268"/>
    </w:pPr>
  </w:style>
  <w:style w:type="paragraph" w:customStyle="1" w:styleId="IASBNormalL4">
    <w:name w:val="IASB Normal L4"/>
    <w:basedOn w:val="IASBNormalL3"/>
    <w:qFormat/>
    <w:rsid w:val="0078108C"/>
    <w:pPr>
      <w:ind w:left="2977"/>
    </w:pPr>
  </w:style>
  <w:style w:type="paragraph" w:customStyle="1" w:styleId="IASBNormalArialL4">
    <w:name w:val="IASB Normal Arial L4"/>
    <w:basedOn w:val="IASBNormalL3"/>
    <w:qFormat/>
    <w:rsid w:val="0078108C"/>
    <w:pPr>
      <w:ind w:left="2977"/>
    </w:pPr>
    <w:rPr>
      <w:rFonts w:ascii="Arial" w:hAnsi="Arial"/>
    </w:rPr>
  </w:style>
  <w:style w:type="paragraph" w:customStyle="1" w:styleId="IASBNormalL4P">
    <w:name w:val="IASB Normal L4P"/>
    <w:basedOn w:val="IASBNormalL3P"/>
    <w:qFormat/>
    <w:rsid w:val="0078108C"/>
    <w:pPr>
      <w:ind w:left="2977"/>
    </w:pPr>
  </w:style>
  <w:style w:type="character" w:styleId="CommentReference">
    <w:name w:val="annotation reference"/>
    <w:basedOn w:val="DefaultParagraphFont"/>
    <w:uiPriority w:val="99"/>
    <w:semiHidden/>
    <w:unhideWhenUsed/>
    <w:rsid w:val="00156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B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BF7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BF7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B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284443D39C047BFB7B26CC769F073" ma:contentTypeVersion="12" ma:contentTypeDescription="Create a new document." ma:contentTypeScope="" ma:versionID="14a725435a93184da95e080976ca60cd">
  <xsd:schema xmlns:xsd="http://www.w3.org/2001/XMLSchema" xmlns:xs="http://www.w3.org/2001/XMLSchema" xmlns:p="http://schemas.microsoft.com/office/2006/metadata/properties" xmlns:ns2="ec49eb38-6cb5-483f-a298-4a90bdd00051" xmlns:ns3="dd1af2b0-f65d-434c-8a17-aadcdb553b78" targetNamespace="http://schemas.microsoft.com/office/2006/metadata/properties" ma:root="true" ma:fieldsID="5ea2c8799ecb1b8d9c6bfc2ae75c52a6" ns2:_="" ns3:_="">
    <xsd:import namespace="ec49eb38-6cb5-483f-a298-4a90bdd00051"/>
    <xsd:import namespace="dd1af2b0-f65d-434c-8a17-aadcdb553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9eb38-6cb5-483f-a298-4a90bdd00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af2b0-f65d-434c-8a17-aadcdb553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949AA-34F9-48DF-8F6E-784CC4FFC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9eb38-6cb5-483f-a298-4a90bdd00051"/>
    <ds:schemaRef ds:uri="dd1af2b0-f65d-434c-8a17-aadcdb553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75AAA-25AD-4ACC-ACB8-CF92E9F12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58D9C0-A7A0-4C14-BB1E-B4F1E979E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Property, Plant and Equipment—Proceeds before Intended Use</vt:lpstr>
    </vt:vector>
  </TitlesOfParts>
  <Company>IFRS Foundation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Property, Plant and Equipment—Proceeds before Intended Use</dc:title>
  <dc:creator>IFRS Foundation</dc:creator>
  <cp:lastModifiedBy>Бочарова Лариса</cp:lastModifiedBy>
  <cp:revision>2</cp:revision>
  <dcterms:created xsi:type="dcterms:W3CDTF">2020-10-05T13:37:00Z</dcterms:created>
  <dcterms:modified xsi:type="dcterms:W3CDTF">2020-10-05T13:37:00Z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0x01010083E284443D39C047BFB7B26CC769F073</vt:lpwstr>
  </property>
</Properties>
</file>