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C0F" w:rsidRDefault="004A7C0F">
      <w:pPr>
        <w:pStyle w:val="IASBSectionTitle2NonInd"/>
      </w:pPr>
      <w:bookmarkStart w:id="0" w:name="SL134533"/>
      <w:r>
        <w:t>Standardul Internaţional de Contabilitate 39</w:t>
      </w:r>
      <w:r>
        <w:rPr>
          <w:i/>
        </w:rPr>
        <w:t>Instrumente financiare: recunoaştere şi evaluare</w:t>
      </w:r>
      <w:bookmarkEnd w:id="0"/>
    </w:p>
    <w:p w:rsidR="004A7C0F" w:rsidRDefault="004A7C0F">
      <w:pPr>
        <w:pStyle w:val="IASBNormalnpara"/>
      </w:pPr>
      <w:r>
        <w:rPr>
          <w:b/>
        </w:rPr>
        <w:t>1</w:t>
      </w:r>
      <w:r>
        <w:tab/>
      </w:r>
      <w:bookmarkStart w:id="1" w:name="SL19041526"/>
      <w:r>
        <w:t>[Eliminat]</w:t>
      </w:r>
      <w:bookmarkEnd w:id="1"/>
    </w:p>
    <w:p w:rsidR="004A7C0F" w:rsidRDefault="004A7C0F">
      <w:pPr>
        <w:pStyle w:val="IASBSectionTitle1NonInd"/>
      </w:pPr>
      <w:bookmarkStart w:id="2" w:name="SL134535"/>
      <w:r>
        <w:t>Domeniu de aplicare</w:t>
      </w:r>
      <w:bookmarkEnd w:id="2"/>
    </w:p>
    <w:p w:rsidR="004A7C0F" w:rsidRDefault="004A7C0F">
      <w:pPr>
        <w:pStyle w:val="IASBNormalnpara"/>
        <w:rPr>
          <w:b/>
        </w:rPr>
      </w:pPr>
      <w:r>
        <w:t>2</w:t>
      </w:r>
      <w:bookmarkStart w:id="3" w:name="SL19041533"/>
      <w:r w:rsidR="002A4651">
        <w:tab/>
      </w:r>
      <w:r>
        <w:rPr>
          <w:b/>
        </w:rPr>
        <w:t xml:space="preserve">Prezentul standard trebuie aplicat de toate entităţile tuturor instrumentelor financiare care intră sub incidenţa IFRS 9 </w:t>
      </w:r>
      <w:r>
        <w:rPr>
          <w:b/>
          <w:i/>
        </w:rPr>
        <w:t xml:space="preserve">Instrumente financiare </w:t>
      </w:r>
      <w:r>
        <w:rPr>
          <w:b/>
        </w:rPr>
        <w:t>dacă şi în măsura în care:</w:t>
      </w:r>
      <w:bookmarkEnd w:id="3"/>
    </w:p>
    <w:p w:rsidR="004A7C0F" w:rsidRDefault="004A7C0F">
      <w:pPr>
        <w:pStyle w:val="IASBNormalnparaL1"/>
      </w:pPr>
      <w:r>
        <w:rPr>
          <w:b/>
        </w:rPr>
        <w:t>(a)</w:t>
      </w:r>
      <w:bookmarkStart w:id="4" w:name="SL19041537"/>
      <w:r w:rsidR="002A4651">
        <w:rPr>
          <w:b/>
        </w:rPr>
        <w:tab/>
      </w:r>
      <w:r>
        <w:rPr>
          <w:b/>
        </w:rPr>
        <w:t>IFRS 9 permite aplicarea dispoziţiilor contabilităţii de acoperire împotriva riscurilor din prezentul standard; și</w:t>
      </w:r>
      <w:bookmarkEnd w:id="4"/>
    </w:p>
    <w:p w:rsidR="004A7C0F" w:rsidRDefault="004A7C0F">
      <w:pPr>
        <w:pStyle w:val="IASBNormalnparaL1"/>
      </w:pPr>
      <w:r>
        <w:rPr>
          <w:b/>
        </w:rPr>
        <w:t>(b)</w:t>
      </w:r>
      <w:bookmarkStart w:id="5" w:name="SL19041568"/>
      <w:r w:rsidR="002A4651">
        <w:rPr>
          <w:b/>
        </w:rPr>
        <w:tab/>
      </w:r>
      <w:r>
        <w:rPr>
          <w:b/>
        </w:rPr>
        <w:t>instrumentul financiar face parte dintr-o relaţie de acoperire împotriva riscurilor care se califică pentru contabilitatea de acoperire împotriva riscurilor în conformitate cu prezentul standard.</w:t>
      </w:r>
      <w:bookmarkEnd w:id="5"/>
    </w:p>
    <w:p w:rsidR="004A7C0F" w:rsidRDefault="004A7C0F">
      <w:pPr>
        <w:pStyle w:val="IASBNormalnpara"/>
      </w:pPr>
      <w:r>
        <w:t>2A–</w:t>
      </w:r>
    </w:p>
    <w:p w:rsidR="004A7C0F" w:rsidRDefault="004A7C0F">
      <w:pPr>
        <w:pStyle w:val="IASBNormalnparaC"/>
      </w:pPr>
      <w:r>
        <w:t>7</w:t>
      </w:r>
      <w:r>
        <w:tab/>
      </w:r>
      <w:bookmarkStart w:id="6" w:name="SL36677291"/>
      <w:r>
        <w:t>[Eliminate]</w:t>
      </w:r>
      <w:bookmarkEnd w:id="6"/>
    </w:p>
    <w:p w:rsidR="004A7C0F" w:rsidRDefault="004A7C0F">
      <w:pPr>
        <w:pStyle w:val="IASBSectionTitle1NonInd"/>
      </w:pPr>
      <w:bookmarkStart w:id="7" w:name="SL134581"/>
      <w:r>
        <w:t>Definiţii</w:t>
      </w:r>
      <w:bookmarkEnd w:id="7"/>
    </w:p>
    <w:p w:rsidR="004A7C0F" w:rsidRDefault="004A7C0F">
      <w:pPr>
        <w:pStyle w:val="IASBNormalnpara"/>
      </w:pPr>
      <w:r>
        <w:t>8</w:t>
      </w:r>
      <w:r>
        <w:tab/>
      </w:r>
      <w:bookmarkStart w:id="8" w:name="SL19041922"/>
      <w:r>
        <w:t>Termenii definiţi în IFRS 13, IFRS 9 şi IAS 32 sunt utilizaţi în prezentul standard cu înţelesul specificat în Anexa A din IFRS 13, Anexa A din IFRS 9 şi la punctul 11 din IAS 32. IFRS 13, IFRS 9 şi IAS 32 definesc următorii termeni:</w:t>
      </w:r>
      <w:bookmarkEnd w:id="8"/>
    </w:p>
    <w:p w:rsidR="004A7C0F" w:rsidRDefault="004A7C0F">
      <w:pPr>
        <w:pStyle w:val="IASBNormalnparaL1"/>
      </w:pPr>
      <w:r>
        <w:t>•</w:t>
      </w:r>
      <w:r>
        <w:tab/>
      </w:r>
      <w:bookmarkStart w:id="9" w:name="F36763026"/>
      <w:r>
        <w:t>costul amortizat al unui activ financiar sau al unei datorii financiare</w:t>
      </w:r>
      <w:bookmarkEnd w:id="9"/>
    </w:p>
    <w:p w:rsidR="004A7C0F" w:rsidRDefault="004A7C0F">
      <w:pPr>
        <w:pStyle w:val="IASBNormalnparaL1"/>
      </w:pPr>
      <w:r>
        <w:t>•</w:t>
      </w:r>
      <w:r>
        <w:tab/>
      </w:r>
      <w:bookmarkStart w:id="10" w:name="F19041930"/>
      <w:r>
        <w:t>derecunoaştere</w:t>
      </w:r>
      <w:bookmarkEnd w:id="10"/>
    </w:p>
    <w:p w:rsidR="004A7C0F" w:rsidRDefault="004A7C0F">
      <w:pPr>
        <w:pStyle w:val="IASBNormalnparaL1"/>
      </w:pPr>
      <w:r>
        <w:t>•</w:t>
      </w:r>
      <w:r>
        <w:tab/>
      </w:r>
      <w:bookmarkStart w:id="11" w:name="F19041932"/>
      <w:r>
        <w:t>instrument derivat</w:t>
      </w:r>
      <w:bookmarkEnd w:id="11"/>
    </w:p>
    <w:p w:rsidR="004A7C0F" w:rsidRDefault="004A7C0F">
      <w:pPr>
        <w:pStyle w:val="IASBNormalnparaL1"/>
      </w:pPr>
      <w:r>
        <w:t>•</w:t>
      </w:r>
      <w:r>
        <w:tab/>
      </w:r>
      <w:bookmarkStart w:id="12" w:name="F36677681"/>
      <w:r>
        <w:t>metoda dobânzii efective</w:t>
      </w:r>
      <w:bookmarkEnd w:id="12"/>
    </w:p>
    <w:p w:rsidR="004A7C0F" w:rsidRDefault="004A7C0F">
      <w:pPr>
        <w:pStyle w:val="IASBNormalnparaL1"/>
      </w:pPr>
      <w:r>
        <w:t>•</w:t>
      </w:r>
      <w:r>
        <w:tab/>
      </w:r>
      <w:bookmarkStart w:id="13" w:name="F36677683"/>
      <w:r>
        <w:t>rata dobânzii efective</w:t>
      </w:r>
      <w:bookmarkEnd w:id="13"/>
    </w:p>
    <w:p w:rsidR="004A7C0F" w:rsidRDefault="004A7C0F">
      <w:pPr>
        <w:pStyle w:val="IASBNormalnparaL1"/>
      </w:pPr>
      <w:r>
        <w:t>•</w:t>
      </w:r>
      <w:r>
        <w:tab/>
      </w:r>
      <w:bookmarkStart w:id="14" w:name="SL19041935"/>
      <w:r>
        <w:t>instrument de capitaluri proprii</w:t>
      </w:r>
      <w:bookmarkEnd w:id="14"/>
    </w:p>
    <w:p w:rsidR="004A7C0F" w:rsidRDefault="004A7C0F">
      <w:pPr>
        <w:pStyle w:val="IASBNormalnparaL1"/>
      </w:pPr>
      <w:r>
        <w:t>•</w:t>
      </w:r>
      <w:r>
        <w:tab/>
      </w:r>
      <w:bookmarkStart w:id="15" w:name="F19041938"/>
      <w:r>
        <w:t>valoare justă</w:t>
      </w:r>
      <w:bookmarkEnd w:id="15"/>
    </w:p>
    <w:p w:rsidR="004A7C0F" w:rsidRDefault="004A7C0F">
      <w:pPr>
        <w:pStyle w:val="IASBNormalnparaL1"/>
      </w:pPr>
      <w:r>
        <w:t>•</w:t>
      </w:r>
      <w:r>
        <w:tab/>
      </w:r>
      <w:bookmarkStart w:id="16" w:name="SL19041941"/>
      <w:r>
        <w:t>activ financiar</w:t>
      </w:r>
      <w:bookmarkEnd w:id="16"/>
    </w:p>
    <w:p w:rsidR="004A7C0F" w:rsidRDefault="004A7C0F">
      <w:pPr>
        <w:pStyle w:val="IASBNormalnparaL1"/>
      </w:pPr>
      <w:r>
        <w:t>•</w:t>
      </w:r>
      <w:r>
        <w:tab/>
      </w:r>
      <w:bookmarkStart w:id="17" w:name="SL19041947"/>
      <w:r>
        <w:t>instrument financiar</w:t>
      </w:r>
      <w:bookmarkEnd w:id="17"/>
    </w:p>
    <w:p w:rsidR="004A7C0F" w:rsidRDefault="004A7C0F">
      <w:pPr>
        <w:pStyle w:val="IASBNormalnparaL1"/>
      </w:pPr>
      <w:r>
        <w:t>•</w:t>
      </w:r>
      <w:r>
        <w:tab/>
      </w:r>
      <w:bookmarkStart w:id="18" w:name="SL19041950"/>
      <w:r>
        <w:t>datorie financiară</w:t>
      </w:r>
      <w:bookmarkEnd w:id="18"/>
    </w:p>
    <w:p w:rsidR="004A7C0F" w:rsidRDefault="004A7C0F">
      <w:pPr>
        <w:pStyle w:val="IASBNormalnparaP"/>
      </w:pPr>
      <w:bookmarkStart w:id="19" w:name="SL19041952"/>
      <w:r>
        <w:t>şi oferă îndrumări pentru aplicarea acestor definiţii.</w:t>
      </w:r>
      <w:bookmarkEnd w:id="19"/>
    </w:p>
    <w:p w:rsidR="004A7C0F" w:rsidRDefault="004A7C0F">
      <w:pPr>
        <w:pStyle w:val="IASBNormalnpara"/>
        <w:rPr>
          <w:b/>
        </w:rPr>
      </w:pPr>
      <w:r>
        <w:t>9</w:t>
      </w:r>
      <w:bookmarkStart w:id="20" w:name="F19222261"/>
      <w:r w:rsidR="002A4651">
        <w:tab/>
      </w:r>
      <w:r>
        <w:rPr>
          <w:b/>
        </w:rPr>
        <w:t>Următorii termeni sunt utilizaţi în prezentul standard cu înţelesul specificat în continuare:</w:t>
      </w:r>
      <w:bookmarkEnd w:id="20"/>
    </w:p>
    <w:p w:rsidR="004A7C0F" w:rsidRDefault="004A7C0F">
      <w:pPr>
        <w:pStyle w:val="IASBSectionTitle3Ind"/>
      </w:pPr>
      <w:bookmarkStart w:id="21" w:name="F19071892"/>
      <w:r>
        <w:t>Definiţii privind contabilitatea operaţiunilor de acoperire împotriva riscurilor</w:t>
      </w:r>
      <w:bookmarkEnd w:id="21"/>
    </w:p>
    <w:p w:rsidR="004A7C0F" w:rsidRDefault="004A7C0F">
      <w:pPr>
        <w:pStyle w:val="IASBNormalnpara"/>
        <w:rPr>
          <w:b/>
        </w:rPr>
      </w:pPr>
      <w:r>
        <w:tab/>
      </w:r>
      <w:bookmarkStart w:id="22" w:name="SL134655"/>
      <w:r>
        <w:rPr>
          <w:b/>
        </w:rPr>
        <w:t>Un</w:t>
      </w:r>
      <w:r>
        <w:rPr>
          <w:b/>
          <w:i/>
        </w:rPr>
        <w:t xml:space="preserve"> angajament ferm</w:t>
      </w:r>
      <w:r>
        <w:rPr>
          <w:b/>
        </w:rPr>
        <w:t xml:space="preserve"> este un acord irevocabil de a schimba o cantitate specificată de resurse la un preţ specificat, la o dată viitoare specificată sau la date viitoare specificate. </w:t>
      </w:r>
      <w:bookmarkEnd w:id="22"/>
    </w:p>
    <w:p w:rsidR="004A7C0F" w:rsidRDefault="004A7C0F">
      <w:pPr>
        <w:pStyle w:val="IASBNormalnpara"/>
        <w:rPr>
          <w:b/>
        </w:rPr>
      </w:pPr>
      <w:r>
        <w:tab/>
      </w:r>
      <w:bookmarkStart w:id="23" w:name="SL134656"/>
      <w:r>
        <w:rPr>
          <w:b/>
        </w:rPr>
        <w:t>O</w:t>
      </w:r>
      <w:r>
        <w:rPr>
          <w:b/>
          <w:i/>
        </w:rPr>
        <w:t xml:space="preserve"> tranzacţie prognozată</w:t>
      </w:r>
      <w:r>
        <w:rPr>
          <w:b/>
        </w:rPr>
        <w:t xml:space="preserve"> este o tranzacţie viitoare neangajată, dar anticipată. </w:t>
      </w:r>
      <w:bookmarkEnd w:id="23"/>
    </w:p>
    <w:p w:rsidR="004A7C0F" w:rsidRDefault="004A7C0F">
      <w:pPr>
        <w:pStyle w:val="IASBNormalnpara"/>
        <w:rPr>
          <w:b/>
        </w:rPr>
      </w:pPr>
      <w:r>
        <w:tab/>
      </w:r>
      <w:bookmarkStart w:id="24" w:name="SL134657"/>
      <w:r>
        <w:rPr>
          <w:b/>
        </w:rPr>
        <w:t>Un</w:t>
      </w:r>
      <w:r>
        <w:rPr>
          <w:b/>
          <w:i/>
        </w:rPr>
        <w:t xml:space="preserve"> instrument de acoperire împotriva riscurilor</w:t>
      </w:r>
      <w:r>
        <w:rPr>
          <w:b/>
        </w:rPr>
        <w:t xml:space="preserve"> este un instrument derivat desemnat sau (doar pentru o acoperire împotriva riscurilor variaţiilor cursurilor de schimb valutar) un activ financiar nederivat sau o datorie financiară nederivată desemnat(ă) a cărui (cărei) valoare justă sau ale cărui (cărei) fluxuri de trezorerie sunt preconizate să compenseze modificările valorii juste sau ale fluxurilor de trezorerie ale unui element desemnat acoperit împotriva riscurilor (punctele 72-77 şi Anexa A punctele AG94-AG97 detaliază definiţia unui instrument de acoperire împotriva riscurilor). </w:t>
      </w:r>
      <w:bookmarkEnd w:id="24"/>
    </w:p>
    <w:p w:rsidR="004A7C0F" w:rsidRDefault="004A7C0F">
      <w:pPr>
        <w:pStyle w:val="IASBNormalnpara"/>
        <w:rPr>
          <w:b/>
        </w:rPr>
      </w:pPr>
      <w:r>
        <w:tab/>
      </w:r>
      <w:bookmarkStart w:id="25" w:name="SL134658"/>
      <w:r>
        <w:rPr>
          <w:b/>
        </w:rPr>
        <w:t xml:space="preserve">Un </w:t>
      </w:r>
      <w:r>
        <w:rPr>
          <w:b/>
          <w:i/>
        </w:rPr>
        <w:t>element acoperit împotriva riscurilor</w:t>
      </w:r>
      <w:r>
        <w:rPr>
          <w:b/>
        </w:rPr>
        <w:t xml:space="preserve"> este un activ, o datorie, un angajament ferm, o tranzacţie prognozată foarte probabilă sau o investiţie netă într-o operaţiune din străinătate care (a) expune entitatea la riscul modificărilor valorii juste sau ale fluxurilor de trezorerie viitoare şi (b) este desemnat(ă) drept acoperit(ă) împotriva riscurilor (punctele 78-84 şi Anexa A punctele AG98-AG101 detaliază definiţia elementelor acoperite împotriva riscurilor). </w:t>
      </w:r>
      <w:bookmarkEnd w:id="25"/>
    </w:p>
    <w:p w:rsidR="004A7C0F" w:rsidRDefault="004A7C0F">
      <w:pPr>
        <w:pStyle w:val="IASBNormalnpara"/>
        <w:rPr>
          <w:b/>
        </w:rPr>
      </w:pPr>
      <w:r>
        <w:lastRenderedPageBreak/>
        <w:tab/>
      </w:r>
      <w:bookmarkStart w:id="26" w:name="SL134659"/>
      <w:r>
        <w:rPr>
          <w:b/>
          <w:i/>
        </w:rPr>
        <w:t>Eficacitatea acoperirii împotriva riscurilor</w:t>
      </w:r>
      <w:r>
        <w:rPr>
          <w:b/>
        </w:rPr>
        <w:t xml:space="preserve"> este gradul în care modificările valorii juste sau ale fluxurilor de trezorerie ale elementului acoperit împotriva riscurilor care se pot atribui unui risc acoperit sunt compensate prin modificările valorii juste sau ale fluxurilor de trezorerie ale instrumentului de acoperire împotriva riscurilor (a se vedea Anexa A punctele AG105-AG113A). </w:t>
      </w:r>
      <w:bookmarkEnd w:id="26"/>
    </w:p>
    <w:p w:rsidR="004A7C0F" w:rsidRDefault="004A7C0F">
      <w:pPr>
        <w:pStyle w:val="IASBNormalnpara"/>
      </w:pPr>
      <w:r>
        <w:t>10–</w:t>
      </w:r>
    </w:p>
    <w:p w:rsidR="004A7C0F" w:rsidRDefault="004A7C0F">
      <w:pPr>
        <w:pStyle w:val="IASBNormalnparaC"/>
      </w:pPr>
      <w:r>
        <w:t>70</w:t>
      </w:r>
      <w:r>
        <w:tab/>
      </w:r>
      <w:bookmarkStart w:id="27" w:name="F19160211"/>
      <w:r>
        <w:t>[Eliminate]</w:t>
      </w:r>
      <w:bookmarkEnd w:id="27"/>
    </w:p>
    <w:p w:rsidR="004A7C0F" w:rsidRDefault="004A7C0F">
      <w:pPr>
        <w:pStyle w:val="IASBSectionTitle1NonInd"/>
      </w:pPr>
      <w:bookmarkStart w:id="28" w:name="SL134842"/>
      <w:r>
        <w:t>Acoperirea împotriva riscurilor</w:t>
      </w:r>
      <w:bookmarkEnd w:id="28"/>
    </w:p>
    <w:p w:rsidR="004A7C0F" w:rsidRDefault="004A7C0F">
      <w:pPr>
        <w:pStyle w:val="IASBNormalnpara"/>
        <w:rPr>
          <w:b/>
        </w:rPr>
      </w:pPr>
      <w:r>
        <w:t>71</w:t>
      </w:r>
      <w:bookmarkStart w:id="29" w:name="SL28555209"/>
      <w:r w:rsidR="002A4651">
        <w:tab/>
      </w:r>
      <w:r>
        <w:rPr>
          <w:b/>
        </w:rPr>
        <w:t xml:space="preserve">Dacă o entitate aplică IFRS 9 şi nu a ales, ca politică de contabilizare, să continue aplicarea dispoziţiilor contabilităţii de acoperire împotriva riscurilor din prezentul standard (a se vedea punctul 7.2.21 din IFRS 9), entitatea trebuie să aplice dispoziţiile privind contabilitatea de acoperire împotriva riscurilor din capitolul 6 al IFRS 9. Cu toate acestea, pentru o acoperire a valorii juste împotriva expunerii la riscul ratei dobânzii pentru un portofoliu de active financiare sau de datorii financiare, o entitate poate, în conformitate cu punctul 6.1.3 din IFRS 9, să aplice dispoziţiile din prezentul standard în locul celor din IFRS 9. În această situaţie, entitatea trebuie să aplice și dispoziţiile specifice referitoare la acoperirea valorii juste împotriva riscurilor pentru o acoperire a unui portofoliu împotriva riscului de rată a dobânzii (a se vedea punctele 81A, 89A şi AG114-AG132). </w:t>
      </w:r>
      <w:bookmarkEnd w:id="29"/>
    </w:p>
    <w:p w:rsidR="004A7C0F" w:rsidRDefault="004A7C0F">
      <w:pPr>
        <w:pStyle w:val="IASBSectionTitle2Ind"/>
      </w:pPr>
      <w:bookmarkStart w:id="30" w:name="SL134843"/>
      <w:r>
        <w:t>Instrumente de acoperire împotriva riscurilor</w:t>
      </w:r>
      <w:bookmarkEnd w:id="30"/>
    </w:p>
    <w:p w:rsidR="004A7C0F" w:rsidRDefault="004A7C0F">
      <w:pPr>
        <w:pStyle w:val="IASBSectionTitle3Ind"/>
      </w:pPr>
      <w:bookmarkStart w:id="31" w:name="SL134844"/>
      <w:r>
        <w:t>Instrumente care intră în această categorie</w:t>
      </w:r>
      <w:bookmarkEnd w:id="31"/>
    </w:p>
    <w:p w:rsidR="004A7C0F" w:rsidRDefault="004A7C0F">
      <w:pPr>
        <w:pStyle w:val="IASBNormalnpara"/>
      </w:pPr>
      <w:r>
        <w:t>72</w:t>
      </w:r>
      <w:r>
        <w:tab/>
      </w:r>
      <w:bookmarkStart w:id="32" w:name="SL33273"/>
      <w:r>
        <w:t>Prezentul standard nu restricţionează circumstanţele în care un instrument derivat poate fi desemnat drept instrument de acoperire împotriva riscurilor sub rezerva îndeplinirii condiţiilor de la punctul 88, excepţie făcând anumite opţiuni emise (a se vedea Anexa A punctul AG94). Totuşi, un activ financiar nederivat sau o datorie financiară nederivată poate fi desemnat(ă) ca instrument de acoperire împotriva riscurilor numai pentru o operaţiune de acoperire împotriva riscului valutar.</w:t>
      </w:r>
      <w:bookmarkEnd w:id="32"/>
    </w:p>
    <w:p w:rsidR="004A7C0F" w:rsidRDefault="004A7C0F">
      <w:pPr>
        <w:pStyle w:val="IASBNormalnpara"/>
      </w:pPr>
      <w:r>
        <w:t>73</w:t>
      </w:r>
      <w:r>
        <w:tab/>
      </w:r>
      <w:bookmarkStart w:id="33" w:name="SL33274"/>
      <w:r>
        <w:t>În sensul contabilităţii de acoperire împotriva riscurilor, doar instrumentele care implică o parte din afara entităţii raportoare (adică externă grupului sau entităţii individuale care face obiectul raportării) pot fi desemnate drept instrumente de acoperire împotriva riscurilor. Cu toate că entităţile individuale din cadrul unui grup consolidat sau diviziile din cadrul unei entităţi pot intra într-o tranzacţie de acoperire împotriva riscurilor cu alte entităţi din grup sau divizii din cadrul entităţii, orice tranzacţii de acest fel din cadrul grupului sunt eliminate la consolidare. De aceea, astfel de tranzacţii de acoperire împotriva riscurilor nu îndeplinesc condiţiile pentru contabilitatea de acoperire împotriva riscurilor în situaţiile financiare consolidate ale grupului. Totuşi, ele pot îndeplini condiţiile pentru contabilitatea de acoperire împotriva riscurilor în situaţiile financiare individuale sau separate ale entităţilor individuale din cadrul grupului, cu condiţia ca ele să fie externe entităţii individuale care face obiectul raportării.</w:t>
      </w:r>
      <w:bookmarkEnd w:id="33"/>
    </w:p>
    <w:p w:rsidR="004A7C0F" w:rsidRDefault="004A7C0F">
      <w:pPr>
        <w:pStyle w:val="IASBSectionTitle3Ind"/>
      </w:pPr>
      <w:bookmarkStart w:id="34" w:name="SL134845"/>
      <w:r>
        <w:t>Desemnarea instrumentelor de acoperire împotriva riscurilor</w:t>
      </w:r>
      <w:bookmarkEnd w:id="34"/>
    </w:p>
    <w:p w:rsidR="004A7C0F" w:rsidRDefault="004A7C0F">
      <w:pPr>
        <w:pStyle w:val="IASBNormalnpara"/>
      </w:pPr>
      <w:r>
        <w:t>74</w:t>
      </w:r>
      <w:r>
        <w:tab/>
      </w:r>
      <w:bookmarkStart w:id="35" w:name="SL33275"/>
      <w:r>
        <w:t xml:space="preserve">În mod normal există o singură evaluare a valorii juste a unui instrument de acoperire împotriva riscurilor în ansamblul său, iar factorii care generează modificări ale valorii juste sunt interdependenţi. Astfel, o relaţie de acoperire împotriva riscurilor este desemnată de către o entitate pentru un instrument de acoperire împotriva riscurilor în ansamblul său. Singurele excepţii permise sunt: </w:t>
      </w:r>
      <w:bookmarkEnd w:id="35"/>
    </w:p>
    <w:p w:rsidR="004A7C0F" w:rsidRDefault="004A7C0F">
      <w:pPr>
        <w:pStyle w:val="IASBNormalnparaL1"/>
      </w:pPr>
      <w:r>
        <w:t>(a)</w:t>
      </w:r>
      <w:r>
        <w:tab/>
      </w:r>
      <w:bookmarkStart w:id="36" w:name="SL134848"/>
      <w:r>
        <w:t>separarea valorii intrinsece şi a valorii-timp pentru un contract pe opţiuni şi desemnarea ca instrument de acoperire împotriva riscurilor doar a modificării valorii intrinsece a unei opţiuni şi excluderea modificării valorii sale timp; și</w:t>
      </w:r>
      <w:bookmarkEnd w:id="36"/>
    </w:p>
    <w:p w:rsidR="004A7C0F" w:rsidRDefault="004A7C0F">
      <w:pPr>
        <w:pStyle w:val="IASBNormalnparaL1"/>
      </w:pPr>
      <w:r>
        <w:t>(b)</w:t>
      </w:r>
      <w:r>
        <w:tab/>
      </w:r>
      <w:bookmarkStart w:id="37" w:name="SL134850"/>
      <w:r>
        <w:t>separarea elementelor de dobândă de cursul de schimb la vedere al unui contract forward.</w:t>
      </w:r>
      <w:bookmarkEnd w:id="37"/>
    </w:p>
    <w:p w:rsidR="004A7C0F" w:rsidRDefault="004A7C0F">
      <w:pPr>
        <w:pStyle w:val="IASBNormalnparaP"/>
      </w:pPr>
      <w:bookmarkStart w:id="38" w:name="SL134851"/>
      <w:r>
        <w:t>Aceste excepţii sunt permise deoarece valoarea intrinsecă a opţiunii şi prima contractului forward pot fi în general evaluate separat. O strategie dinamică de acoperire împotriva riscurilor care evaluează atât valoarea intrinsecă, cât şi valoarea-timp a unui contract pe opţiuni poate îndeplini condiţiile pentru contabilitatea de acoperire împotriva riscurilor.</w:t>
      </w:r>
      <w:bookmarkEnd w:id="38"/>
    </w:p>
    <w:p w:rsidR="004A7C0F" w:rsidRDefault="004A7C0F">
      <w:pPr>
        <w:pStyle w:val="IASBNormalnpara"/>
      </w:pPr>
      <w:r>
        <w:t>75</w:t>
      </w:r>
      <w:r>
        <w:tab/>
      </w:r>
      <w:bookmarkStart w:id="39" w:name="SL33276"/>
      <w:r>
        <w:t xml:space="preserve">O parte din întregul instrument de acoperire împotriva riscurilor, cum ar fi 50% din valoarea de referință, poate fi desemnată drept instrumentul de acoperire împotriva riscurilor într-o relaţie de acoperire împotriva riscurilor. Totuşi, o relaţie de acoperire împotriva riscurilor nu poate fi desemnată numai pentru o parte a perioadei de timp în care instrumentul de acoperire împotriva riscurilor rămâne în circulaţie. </w:t>
      </w:r>
      <w:bookmarkEnd w:id="39"/>
    </w:p>
    <w:p w:rsidR="004A7C0F" w:rsidRDefault="004A7C0F">
      <w:pPr>
        <w:pStyle w:val="IASBNormalnpara"/>
      </w:pPr>
      <w:r>
        <w:lastRenderedPageBreak/>
        <w:t>76</w:t>
      </w:r>
      <w:r>
        <w:tab/>
      </w:r>
      <w:bookmarkStart w:id="40" w:name="SL33277"/>
      <w:r>
        <w:t>Un singur instrument de acoperire împotriva riscurilor poate fi desemnat drept acoperire împotriva riscurilor aparţinând mai multor tipuri de risc, cu condiţia ca (a) riscurile acoperite să poată fi clar identificate; (b) să se poată demonstra eficacitatea acoperirii împotriva riscurilor; şi (c) să fie posibil să se asigure că există o destinaţie specifică a instrumentului de acoperire împotriva riscurilor şi a diferitelor poziţii de risc.</w:t>
      </w:r>
      <w:bookmarkEnd w:id="40"/>
    </w:p>
    <w:p w:rsidR="004A7C0F" w:rsidRDefault="004A7C0F">
      <w:pPr>
        <w:pStyle w:val="IASBNormalnpara"/>
      </w:pPr>
      <w:r>
        <w:t>77</w:t>
      </w:r>
      <w:r>
        <w:tab/>
      </w:r>
      <w:bookmarkStart w:id="41" w:name="SL33278"/>
      <w:r>
        <w:t>Două sau mai multe instrumente derivate sau diverse proporţii ale lor (sau, în cazul unei acoperiri împotriva riscului de fluctuaţie a cursului valutar, două sau mai multe instrumente nederivate sau o proporţie a lor, sau o combinare de instrumente derivate şi nederivate sau proporţii ale lor) pot fi considerate în combinare sau desemnate în comun ca instrument de acoperire împotriva riscurilor, inclusiv atunci când riscul (riscurile) care apare (apar) din anumite instrumente derivate compensează acele riscuri care apar din alte instrumente derivate. Totuşi, un instrument derivat de tip „collar” de dobândă sau un alt instrument derivat care combină o opţiune emisă şi o opţiune cumpărată nu îndeplineşte condiţiile unui instrument de acoperire împotriva riscurilor dacă este, de fapt, o opţiune netă emisă (pentru care se primeşte o primă netă). În mod asemănător, două sau mai multe instrumente (sau proporţii ale lor) pot fi desemnate drept instrumentul de acoperire împotriva riscurilor doar dacă niciunul dintre ele nu este o opţiune emisă sau o opţiune netă emisă.</w:t>
      </w:r>
      <w:bookmarkEnd w:id="41"/>
    </w:p>
    <w:p w:rsidR="004A7C0F" w:rsidRDefault="004A7C0F">
      <w:pPr>
        <w:pStyle w:val="IASBSectionTitle2Ind"/>
      </w:pPr>
      <w:bookmarkStart w:id="42" w:name="SL134852"/>
      <w:r>
        <w:t>Elemente acoperite împotriva riscurilor</w:t>
      </w:r>
      <w:bookmarkEnd w:id="42"/>
    </w:p>
    <w:p w:rsidR="004A7C0F" w:rsidRDefault="004A7C0F">
      <w:pPr>
        <w:pStyle w:val="IASBSectionTitle3Ind"/>
      </w:pPr>
      <w:bookmarkStart w:id="43" w:name="SL134853"/>
      <w:r>
        <w:t>Elemente care intră în această categorie</w:t>
      </w:r>
      <w:bookmarkEnd w:id="43"/>
    </w:p>
    <w:p w:rsidR="004A7C0F" w:rsidRDefault="004A7C0F">
      <w:pPr>
        <w:pStyle w:val="IASBNormalnpara"/>
      </w:pPr>
      <w:r>
        <w:t>78</w:t>
      </w:r>
      <w:r>
        <w:tab/>
      </w:r>
      <w:bookmarkStart w:id="44" w:name="SL33279"/>
      <w:r>
        <w:t>Un element acoperit împotriva riscurilor poate fi un activ sau o datorie recunoscut(ă), un angajament ferm nerecunoscut, o tranzacţie viitoare foarte probabilă prognozată sau o investiţie netă într-o operaţiune din străinătate. Elementul de acoperire poate fi (a) un singur activ, datorie, angajament ferm, tranzacţie prognozată foarte probabilă sau investiţie netă în operaţiuni din străinătate, (b) un grup de active, datorii, angajamente ferme sau tranzacţii prognozate foarte probabile sau investiţie netă în operaţiuni din străinătate cu caracteristici de risc similare sau (c) în acoperirea portofoliului doar împotriva riscului ratei dobânzii, o porţiune a portofoliului de active financiare sau datorii financiare care sunt expuse aceluiaşi risc împotriva căruia sunt acoperite.</w:t>
      </w:r>
      <w:bookmarkEnd w:id="44"/>
    </w:p>
    <w:p w:rsidR="004A7C0F" w:rsidRDefault="004A7C0F">
      <w:pPr>
        <w:pStyle w:val="IASBNormalnpara"/>
      </w:pPr>
      <w:r>
        <w:t>79</w:t>
      </w:r>
      <w:r>
        <w:tab/>
      </w:r>
      <w:bookmarkStart w:id="45" w:name="SL19043442"/>
      <w:r>
        <w:t>[Eliminat]</w:t>
      </w:r>
      <w:bookmarkEnd w:id="45"/>
    </w:p>
    <w:p w:rsidR="004A7C0F" w:rsidRDefault="004A7C0F">
      <w:pPr>
        <w:pStyle w:val="IASBNormalnpara"/>
      </w:pPr>
      <w:r>
        <w:t>80</w:t>
      </w:r>
      <w:r>
        <w:tab/>
      </w:r>
      <w:bookmarkStart w:id="46" w:name="SL21342021"/>
      <w:r>
        <w:t xml:space="preserve">În scopuri aferente contabilităţii de acoperire împotriva riscurilor, doar activele, datoriile, angajamentele ferme sau tranzacţiile prognozate foarte probabile care implică o parte externă entităţii pot fi desemnate ca elemente acoperite împotriva riscurilor. Prin urmare, contabilitatea de acoperire împotriva riscurilor poate fi aplicată tranzacţiilor dintre entităţi din acelaşi grup doar în situaţiile financiare separate sau individuale ale acelor entităţi, şi nu în situaţiile financiare consolidate ale grupului, cu excepţia situaţiilor financiare consolidate ale unei entităţi de investiţii, conform definiţiei din IFRS 10, în care tranzacţiile dintre o entitate de investiţii şi filialele sale evaluate la valoarea justă prin profit sau pierdere nu vor fi eliminate din situaţiile financiare consolidate. Ca excepţie, riscul valutar pentru un element monetar din interiorul grupului (de exemplu, o creanţă/datorie dintre două filiale) îndeplineşte condiţiile unui element acoperit împotriva riscurilor în situaţiile financiare consolidate dacă are drept rezultat expunerea la pierderi sau câştiguri din diferenţe de curs valutar care nu sunt eliminate pe deplin la consolidare conform IAS 21 </w:t>
      </w:r>
      <w:r>
        <w:rPr>
          <w:i/>
        </w:rPr>
        <w:t>Efectele variaţiei cursurilor de schimb valutar</w:t>
      </w:r>
      <w:r>
        <w:t>. În conformitate cu IAS 21, pierderile şi câştigurile din cursul de schimb valutar pentru elemente monetare din interiorul grupului nu sunt pe deplin eliminate la consolidare atunci când elementul monetar din interiorul grupului este tranzacţionat între două entităţi ale grupului care au monede funcţionale diferite. În plus, riscul valutar aferent unei tranzacţii prognozate foarte probabile din interiorul grupului poate îndeplini condiţiile unui element acoperit împotriva riscurilor în situaţiile financiare consolidate, cu condiţia ca tranzacţia să fie exprimată în altă monedă decât moneda funcţională a entităţii care iniţiază tranzacţia, iar riscul valutar să afecteze profitul consolidat sau pierderea consolidată.</w:t>
      </w:r>
      <w:bookmarkEnd w:id="46"/>
    </w:p>
    <w:p w:rsidR="004A7C0F" w:rsidRDefault="004A7C0F">
      <w:pPr>
        <w:pStyle w:val="IASBSectionTitle3Ind"/>
      </w:pPr>
      <w:bookmarkStart w:id="47" w:name="SL134854"/>
      <w:r>
        <w:t>Desemnarea elementelor financiare drept elemente acoperite împotriva riscurilor</w:t>
      </w:r>
      <w:bookmarkEnd w:id="47"/>
    </w:p>
    <w:p w:rsidR="004A7C0F" w:rsidRDefault="004A7C0F">
      <w:pPr>
        <w:pStyle w:val="IASBNormalnpara"/>
      </w:pPr>
      <w:r>
        <w:t>81</w:t>
      </w:r>
      <w:r>
        <w:tab/>
      </w:r>
      <w:bookmarkStart w:id="48" w:name="SL33282"/>
      <w:r>
        <w:t>Dacă elementul acoperit împotriva riscurilor este un activ financiar sau o datorie financiară, el poate fi un element acoperit împotriva riscurilor în ceea ce priveşte riscurile asociate doar cu o porţiune a fluxurilor sale de trezorerie sau a valorii sale juste (cum ar fi unul sau mai multe fluxuri de trezorerie contractuale selectate sau o porţiune a lor sau un procent din valoarea justă), cu condiţia ca eficienţa să poată fi evaluată. De exemplu, o porţiune care poate fi identificată şi evaluată separat din expunerea la rata dobânzii a unui activ purtător de dobândă sau a unei datorii purtătoare de dobândă poate fi clasificată drept riscul acoperit (cum ar fi componenta ratei dobânzii fără risc sau o rată a dobânzii de referinţă din expunerea totală la rata dobânzii a unui instrument financiar acoperit împotriva riscurilor).</w:t>
      </w:r>
      <w:bookmarkEnd w:id="48"/>
    </w:p>
    <w:p w:rsidR="004A7C0F" w:rsidRDefault="004A7C0F">
      <w:pPr>
        <w:pStyle w:val="IASBNormalnpara"/>
      </w:pPr>
      <w:r>
        <w:t>81A</w:t>
      </w:r>
      <w:r>
        <w:tab/>
      </w:r>
      <w:bookmarkStart w:id="49" w:name="SL33283"/>
      <w:r>
        <w:t xml:space="preserve">În acoperirea expunerii la riscul ratei dobânzii a valorii juste a unui portofoliu de active financiare sau de datorii financiare (şi doar în cazul unei astfel de acoperiri), porţiunea acoperită poate fi desemnată mai degrabă ca o sumă într-o monedă dată (de exemplu, o sumă în dolari, euro, lire sau ranzi) decât ca o sumă </w:t>
      </w:r>
      <w:r>
        <w:lastRenderedPageBreak/>
        <w:t>de active individuale (sau datorii). Cu toate că portofoliul poate include, în scopuri de gestionare a riscului, active şi datorii, valoarea desemnată este o valoare a activelor sau o valoare a datoriilor. Desemnarea unei valori nete care să includă active şi datorii nu este permisă. Entitatea poate acoperi o porţiune din riscul privind rata dobânzii asociată cu această sumă desemnată. De exemplu, în cazul unei acoperiri a unui portofoliu care conţine active care pot fi plătite în avans, entitatea poate acoperi împotriva riscurilor modificarea valorii juste care poate fi atribuită unei modificări a ratei dobânzii acoperite pe baza datelor preconizate de reevaluare mai degrabă decât pe baza celor contractuale. Atunci când porţiunea acoperită împotriva riscurilor se bazează pe datele preconizate de reevaluare, efectul pe care modificările ratei dobânzii acoperite împotriva riscurilor îl au asupra acelor date de reevaluare preconizate este inclus în determinarea modificării valorii juste a elementului acoperit împotriva riscurilor. În consecinţă, dacă un portofoliu care conţine elemente plătite în avans este acoperit împotriva riscurilor cu un instrument derivat care nu este plătibil în avans, ineficacitatea apare dacă datele la care se aşteaptă ca elementele din portofoliul acoperit împotriva riscurilor să fie plătite în avans sunt revizuite, sau dacă datele reale de plată în avans diferă de cele preconizate.</w:t>
      </w:r>
      <w:bookmarkEnd w:id="49"/>
    </w:p>
    <w:p w:rsidR="004A7C0F" w:rsidRDefault="004A7C0F">
      <w:pPr>
        <w:pStyle w:val="IASBSectionTitle3Ind"/>
      </w:pPr>
      <w:bookmarkStart w:id="50" w:name="SL134855"/>
      <w:r>
        <w:t>Desemnarea elementelor nefinanciare drept elemente acoperite împotriva riscurilor</w:t>
      </w:r>
      <w:bookmarkEnd w:id="50"/>
    </w:p>
    <w:p w:rsidR="004A7C0F" w:rsidRDefault="004A7C0F">
      <w:pPr>
        <w:pStyle w:val="IASBNormalnpara"/>
        <w:rPr>
          <w:b/>
        </w:rPr>
      </w:pPr>
      <w:r>
        <w:t>82</w:t>
      </w:r>
      <w:bookmarkStart w:id="51" w:name="SL33284"/>
      <w:r>
        <w:rPr>
          <w:b/>
        </w:rPr>
        <w:t>Dacă elementul acoperit împotriva riscurilor este un activ nefinanciar sau o datorie nefinanciară, el trebuie desemnat ca element acoperit împotriva riscurilor (a) pentru riscurile legate de cursul valutar sau (b) în întregime pentru toate riscurile din cauza dificultăţii de a izola şi de a evalua porţiunea corespunzătoare din modificările fluxurilor de trezorerie sau ale valorii juste care poate fi atribuită riscurilor specifice, altele decât riscul valutar.</w:t>
      </w:r>
      <w:bookmarkEnd w:id="51"/>
    </w:p>
    <w:p w:rsidR="004A7C0F" w:rsidRDefault="004A7C0F">
      <w:pPr>
        <w:pStyle w:val="IASBSectionTitle3Ind"/>
      </w:pPr>
      <w:bookmarkStart w:id="52" w:name="SL134856"/>
      <w:r>
        <w:t>Desemnarea grupurilor de elemente drept elemente acoperite împotriva riscurilor</w:t>
      </w:r>
      <w:bookmarkEnd w:id="52"/>
    </w:p>
    <w:p w:rsidR="004A7C0F" w:rsidRDefault="004A7C0F">
      <w:pPr>
        <w:pStyle w:val="IASBNormalnpara"/>
      </w:pPr>
      <w:r>
        <w:t>83</w:t>
      </w:r>
      <w:r>
        <w:tab/>
      </w:r>
      <w:bookmarkStart w:id="53" w:name="SL33285"/>
      <w:r>
        <w:t>Activele similare sau datoriile similare trebuie agregate şi acoperite împotriva riscurilor ca grup doar dacă activele individuale sau datoriile individuale din grup sunt expuse aceluiaşi risc care este desemnat drept acoperit. Mai mult, modificarea valorii juste care poate fi atribuită riscului acoperit pentru fiecare element individual din grup trebuie preconizată drept aproximativ proporţională cu modificarea generală a valorii juste care poate fi atribuită riscului acoperit al grupului de elemente.</w:t>
      </w:r>
      <w:bookmarkEnd w:id="53"/>
    </w:p>
    <w:p w:rsidR="004A7C0F" w:rsidRDefault="004A7C0F">
      <w:pPr>
        <w:pStyle w:val="IASBNormalnpara"/>
      </w:pPr>
      <w:r>
        <w:t>84</w:t>
      </w:r>
      <w:r>
        <w:tab/>
      </w:r>
      <w:bookmarkStart w:id="54" w:name="SL33286"/>
      <w:r>
        <w:t>Deoarece o entitate evaluează eficacitatea acoperirii împotriva riscurilor prin compararea modificării valorii juste sau a fluxurilor de trezorerie ale unui instrument de acoperire împotriva riscurilor (sau grup de instrumente similare de acoperire împotriva riscurilor) cu ale unui element acoperit împotriva riscurilor (sau grup de elemente similare acoperite împotriva riscurilor), compararea unui instrument de acoperire împotriva riscurilor mai degrabă cu o poziţie generală netă (de exemplu, suma netă a tuturor activelor cu rată fixă şi datoriilor cu rată fixă cu date de scadenţă similare) decât cu un element specific acoperit împotriva riscurilor nu îndeplineşte condiţiile pentru contabilitatea de acoperire împotriva riscurilor.</w:t>
      </w:r>
      <w:bookmarkEnd w:id="54"/>
    </w:p>
    <w:p w:rsidR="004A7C0F" w:rsidRDefault="004A7C0F">
      <w:pPr>
        <w:pStyle w:val="IASBSectionTitle2Ind"/>
      </w:pPr>
      <w:bookmarkStart w:id="55" w:name="SL134857"/>
      <w:r>
        <w:t>Contabilitatea de acoperire împotriva riscurilor</w:t>
      </w:r>
      <w:bookmarkEnd w:id="55"/>
    </w:p>
    <w:p w:rsidR="004A7C0F" w:rsidRDefault="004A7C0F">
      <w:pPr>
        <w:pStyle w:val="IASBNormalnpara"/>
      </w:pPr>
      <w:r>
        <w:t>85</w:t>
      </w:r>
      <w:r>
        <w:tab/>
      </w:r>
      <w:bookmarkStart w:id="56" w:name="SL33287"/>
      <w:r>
        <w:t>Contabilitatea de acoperire împotriva riscurilor recunoaşte efectele compensatoare asupra profitului sau pierderii aferente modificărilor valorii juste a instrumentului de acoperire împotriva riscurilor şi a elementului acoperit împotriva riscurilor.</w:t>
      </w:r>
      <w:bookmarkEnd w:id="56"/>
    </w:p>
    <w:p w:rsidR="004A7C0F" w:rsidRDefault="004A7C0F">
      <w:pPr>
        <w:pStyle w:val="IASBNormalnpara"/>
        <w:rPr>
          <w:b/>
        </w:rPr>
      </w:pPr>
      <w:r>
        <w:t>86</w:t>
      </w:r>
      <w:bookmarkStart w:id="57" w:name="SL33288"/>
      <w:r w:rsidR="002A4651">
        <w:tab/>
      </w:r>
      <w:r>
        <w:rPr>
          <w:b/>
        </w:rPr>
        <w:t xml:space="preserve">Relaţiile de acoperire împotriva riscurilor sunt de trei tipuri: </w:t>
      </w:r>
      <w:bookmarkEnd w:id="57"/>
    </w:p>
    <w:p w:rsidR="004A7C0F" w:rsidRDefault="004A7C0F">
      <w:pPr>
        <w:pStyle w:val="IASBNormalnparaL1"/>
      </w:pPr>
      <w:r>
        <w:rPr>
          <w:b/>
        </w:rPr>
        <w:t>(a)</w:t>
      </w:r>
      <w:bookmarkStart w:id="58" w:name="SL134860"/>
      <w:r w:rsidR="002A4651">
        <w:rPr>
          <w:b/>
        </w:rPr>
        <w:tab/>
      </w:r>
      <w:r>
        <w:rPr>
          <w:b/>
          <w:i/>
        </w:rPr>
        <w:t>de acoperire a valorii juste împotriva riscurilor</w:t>
      </w:r>
      <w:r>
        <w:rPr>
          <w:b/>
        </w:rPr>
        <w:t xml:space="preserve">: acoperirea împotriva riscurilor a expunerii la modificările valorii juste a unui activ sau a unei datorii recunoscut(e) sau a unui angajament ferm nerecunoscut, sau a unui segment identificat al unui astfel de activ, al unei astfel de datorii sau al unui astfel de angajament ferm care poate fi atribuit unui risc specific şi care ar putea afecta profitul sau pierderea. </w:t>
      </w:r>
      <w:bookmarkEnd w:id="58"/>
    </w:p>
    <w:p w:rsidR="004A7C0F" w:rsidRDefault="004A7C0F">
      <w:pPr>
        <w:pStyle w:val="IASBNormalnparaL1"/>
      </w:pPr>
      <w:r>
        <w:rPr>
          <w:b/>
        </w:rPr>
        <w:t>(b)</w:t>
      </w:r>
      <w:bookmarkStart w:id="59" w:name="SL134862"/>
      <w:r w:rsidR="002A4651">
        <w:rPr>
          <w:b/>
        </w:rPr>
        <w:tab/>
      </w:r>
      <w:r>
        <w:rPr>
          <w:b/>
          <w:i/>
        </w:rPr>
        <w:t>de acoperire a fluxurilor de trezorerie împotriva riscurilor</w:t>
      </w:r>
      <w:r>
        <w:rPr>
          <w:b/>
        </w:rPr>
        <w:t xml:space="preserve">: acoperirea împotriva riscurilor a expunerii la variaţia fluxurilor de trezorerie care (i) poate fi atribuită unui risc specific asociat cu un activ sau cu o datorie recunoscut(ă) (cum ar fi toate sau o parte din plăţile de dobândă aferente creditelor cu dobândă variabilă) sau cu o tranzacţie prognozată foarte probabilă şi care (ii) ar putea afecta profitul sau pierderea. </w:t>
      </w:r>
      <w:bookmarkEnd w:id="59"/>
    </w:p>
    <w:p w:rsidR="004A7C0F" w:rsidRDefault="004A7C0F">
      <w:pPr>
        <w:pStyle w:val="IASBNormalnparaL1"/>
      </w:pPr>
      <w:r>
        <w:rPr>
          <w:b/>
        </w:rPr>
        <w:t>(c)</w:t>
      </w:r>
      <w:bookmarkStart w:id="60" w:name="SL134864"/>
      <w:r w:rsidR="002A4651">
        <w:rPr>
          <w:b/>
        </w:rPr>
        <w:tab/>
      </w:r>
      <w:r>
        <w:rPr>
          <w:b/>
          <w:i/>
        </w:rPr>
        <w:t>de acoperire împotriva riscurilor a unei investiţii nete într-o operaţiune din străinătate</w:t>
      </w:r>
      <w:r>
        <w:t xml:space="preserve"> </w:t>
      </w:r>
      <w:r>
        <w:rPr>
          <w:b/>
        </w:rPr>
        <w:t xml:space="preserve">conform definiţiei din IAS 21. </w:t>
      </w:r>
      <w:bookmarkEnd w:id="60"/>
    </w:p>
    <w:p w:rsidR="004A7C0F" w:rsidRDefault="004A7C0F">
      <w:pPr>
        <w:pStyle w:val="IASBNormalnpara"/>
      </w:pPr>
      <w:r>
        <w:t>87</w:t>
      </w:r>
      <w:r>
        <w:tab/>
      </w:r>
      <w:bookmarkStart w:id="61" w:name="SL33289"/>
      <w:r>
        <w:t>O acoperire a riscului valutar aferent unui angajament ferm poate fi contabilizată drept o acoperire a valorii juste împotriva riscurilor sau ca o acoperire împotriva riscului asociat fluxurilor de trezorerie.</w:t>
      </w:r>
      <w:bookmarkEnd w:id="61"/>
    </w:p>
    <w:p w:rsidR="004A7C0F" w:rsidRDefault="004A7C0F">
      <w:pPr>
        <w:pStyle w:val="IASBNormalnpara"/>
        <w:rPr>
          <w:b/>
        </w:rPr>
      </w:pPr>
      <w:r>
        <w:lastRenderedPageBreak/>
        <w:t>88</w:t>
      </w:r>
      <w:bookmarkStart w:id="62" w:name="SL28555236"/>
      <w:r w:rsidR="002A4651">
        <w:tab/>
      </w:r>
      <w:r>
        <w:rPr>
          <w:b/>
        </w:rPr>
        <w:t>O relaţie de acoperire împotriva riscurilor îndeplineşte condiţiile pentru contabilitatea operaţiunilor de acoperire împotriva riscurilor conform punctelor 89-102 dacă şi numai dacă sunt îndeplinite toate condiţiile de mai jos.</w:t>
      </w:r>
      <w:bookmarkEnd w:id="62"/>
    </w:p>
    <w:p w:rsidR="004A7C0F" w:rsidRDefault="004A7C0F">
      <w:pPr>
        <w:pStyle w:val="IASBNormalnparaL1"/>
      </w:pPr>
      <w:r>
        <w:rPr>
          <w:b/>
        </w:rPr>
        <w:t>(a)</w:t>
      </w:r>
      <w:bookmarkStart w:id="63" w:name="SL28555239"/>
      <w:r w:rsidR="002A4651">
        <w:rPr>
          <w:b/>
        </w:rPr>
        <w:tab/>
      </w:r>
      <w:r>
        <w:rPr>
          <w:b/>
        </w:rPr>
        <w:t>La iniţierea operaţiunii de acoperire împotriva riscurilor există o desemnare şi o documentaţie oficială privind relaţia de acoperire împotriva riscurilor, precum şi obiectivul şi strategia entităţii de gestionare a riscului pentru a întreprinde operaţiunea de acoperire împotriva riscurilor. Documentaţia respectivă trebuie să includă identificarea instrumentului de acoperire împotriva riscurilor, elementul acoperit sau tranzacţia acoperită, natura riscului care se acoperă şi modul în care entitatea va efectua evaluarea eficacităţii instrumentului de acoperire împotriva riscurilor în compensarea expunerii la modificările valorii juste a elementului acoperit sau a fluxurilor de trezorerie care pot fi atribuite riscului acoperit.</w:t>
      </w:r>
      <w:bookmarkEnd w:id="63"/>
    </w:p>
    <w:p w:rsidR="004A7C0F" w:rsidRDefault="004A7C0F">
      <w:pPr>
        <w:pStyle w:val="IASBNormalnparaL1"/>
      </w:pPr>
      <w:r>
        <w:rPr>
          <w:b/>
        </w:rPr>
        <w:t>(b)</w:t>
      </w:r>
      <w:bookmarkStart w:id="64" w:name="SL28555251"/>
      <w:r w:rsidR="002A4651">
        <w:rPr>
          <w:b/>
        </w:rPr>
        <w:tab/>
      </w:r>
      <w:r>
        <w:rPr>
          <w:b/>
        </w:rPr>
        <w:t>Operaţiunea de acoperire împotriva riscurilor se preconizează a fi foarte eficace (a se vedea Anexa A punctele AG105-AG113A) în procesul de compensare a modificărilor valorii juste sau ale fluxurilor de trezorerie aferente riscului acoperit, de o manieră consecventă cu strategia de gestionare a riscului pentru relaţia de acoperire împotriva riscurilor respectivă.</w:t>
      </w:r>
      <w:bookmarkEnd w:id="64"/>
    </w:p>
    <w:p w:rsidR="004A7C0F" w:rsidRDefault="004A7C0F">
      <w:pPr>
        <w:pStyle w:val="IASBNormalnparaL1"/>
      </w:pPr>
      <w:r>
        <w:rPr>
          <w:b/>
        </w:rPr>
        <w:t>(c)</w:t>
      </w:r>
      <w:bookmarkStart w:id="65" w:name="SL28555262"/>
      <w:r w:rsidR="002A4651">
        <w:rPr>
          <w:b/>
        </w:rPr>
        <w:tab/>
      </w:r>
      <w:r>
        <w:rPr>
          <w:b/>
        </w:rPr>
        <w:t>Pentru operaţiunile de acoperire a fluxurilor de trezorerie împotriva riscurilor, o tranzacţie prognozată care face obiectul operaţiunii de acoperire trebuie să aibă un grad ridicat de probabilitate şi trebuie să prezinte o expunere la variaţiile fluxurilor de trezorerie care ar putea în final să afecteze profitul sau pierderea.</w:t>
      </w:r>
      <w:bookmarkEnd w:id="65"/>
    </w:p>
    <w:p w:rsidR="004A7C0F" w:rsidRDefault="004A7C0F">
      <w:pPr>
        <w:pStyle w:val="IASBNormalnparaL1"/>
        <w:rPr>
          <w:b/>
        </w:rPr>
      </w:pPr>
      <w:r>
        <w:rPr>
          <w:b/>
        </w:rPr>
        <w:t>(d)</w:t>
      </w:r>
      <w:bookmarkStart w:id="66" w:name="SL28555275"/>
      <w:r>
        <w:rPr>
          <w:b/>
        </w:rPr>
        <w:t>Eficacitatea operaţiunii de acoperire împotriva riscurilor poate fi evaluată în mod fiabil, adică valoarea justă sau fluxurile de trezorerie aferente elementului acoperit care pot fi atribuite riscului acoperit şi valoarea justă a instrumentului de acoperire împotriva riscurilor pot fi evaluate în mod fiabil.</w:t>
      </w:r>
      <w:bookmarkEnd w:id="66"/>
    </w:p>
    <w:p w:rsidR="004A7C0F" w:rsidRDefault="004A7C0F">
      <w:pPr>
        <w:pStyle w:val="IASBNormalnparaL1"/>
      </w:pPr>
      <w:r>
        <w:rPr>
          <w:b/>
        </w:rPr>
        <w:t>(e)</w:t>
      </w:r>
      <w:bookmarkStart w:id="67" w:name="SL28555286"/>
      <w:r w:rsidR="002A4651">
        <w:rPr>
          <w:b/>
        </w:rPr>
        <w:tab/>
      </w:r>
      <w:r>
        <w:rPr>
          <w:b/>
        </w:rPr>
        <w:t>Operaţiunea de acoperire împotriva riscurilor este evaluată pe principiul continuităţii şi determinată ca şi când ar fi avut în mod real un grad înalt de eficacitate pe parcursul perioadelor de raportare financiară pentru care a fost desemnată acoperirea împotriva riscurilor.</w:t>
      </w:r>
      <w:bookmarkEnd w:id="67"/>
    </w:p>
    <w:p w:rsidR="004A7C0F" w:rsidRDefault="004A7C0F">
      <w:pPr>
        <w:pStyle w:val="IASBSectionTitle3Ind"/>
      </w:pPr>
      <w:bookmarkStart w:id="68" w:name="SL134876"/>
      <w:r>
        <w:t>Acoperiri ale valorii juste împotriva riscurilor</w:t>
      </w:r>
      <w:bookmarkEnd w:id="68"/>
    </w:p>
    <w:p w:rsidR="004A7C0F" w:rsidRDefault="004A7C0F">
      <w:pPr>
        <w:pStyle w:val="IASBNormalnpara"/>
        <w:rPr>
          <w:b/>
        </w:rPr>
      </w:pPr>
      <w:r>
        <w:t>89</w:t>
      </w:r>
      <w:bookmarkStart w:id="69" w:name="F19043528"/>
      <w:r w:rsidR="002A4651">
        <w:tab/>
      </w:r>
      <w:r>
        <w:rPr>
          <w:b/>
        </w:rPr>
        <w:t>Dacă o operaţiune de acoperire a valorii juste împotriva riscurilor îndeplineşte condiţiile prevăzute la punctul 88 pe toată durata perioadei, ea trebuie contabilizată după cum urmează:</w:t>
      </w:r>
      <w:bookmarkEnd w:id="69"/>
    </w:p>
    <w:p w:rsidR="004A7C0F" w:rsidRDefault="004A7C0F">
      <w:pPr>
        <w:pStyle w:val="IASBNormalnparaL1"/>
        <w:rPr>
          <w:b/>
        </w:rPr>
      </w:pPr>
      <w:r>
        <w:rPr>
          <w:b/>
        </w:rPr>
        <w:t>(a)</w:t>
      </w:r>
      <w:bookmarkStart w:id="70" w:name="SL19043532"/>
      <w:r w:rsidR="002A4651">
        <w:rPr>
          <w:b/>
        </w:rPr>
        <w:tab/>
      </w:r>
      <w:r>
        <w:rPr>
          <w:b/>
        </w:rPr>
        <w:t>câştigul sau pierderea rezultat(ă) din reevaluarea instrumentului de acoperire împotriva riscurilor la valoarea justă (pentru un instrument derivat de acoperire împotriva riscurilor) sau componenta valutară a valorii sale contabile evaluată în conformitate cu IAS 21 (pentru un instrument de acoperire împotriva riscurilor nederivat) trebuie recunoscut(ă) imediat în profit sau pierdere; și</w:t>
      </w:r>
      <w:bookmarkEnd w:id="70"/>
    </w:p>
    <w:p w:rsidR="004A7C0F" w:rsidRDefault="004A7C0F">
      <w:pPr>
        <w:pStyle w:val="IASBNormalnparaL1"/>
        <w:rPr>
          <w:b/>
        </w:rPr>
      </w:pPr>
      <w:r>
        <w:rPr>
          <w:b/>
        </w:rPr>
        <w:t>(b)</w:t>
      </w:r>
      <w:bookmarkStart w:id="71" w:name="SL28555704"/>
      <w:r w:rsidR="002A4651">
        <w:rPr>
          <w:b/>
        </w:rPr>
        <w:tab/>
      </w:r>
      <w:r>
        <w:rPr>
          <w:b/>
        </w:rPr>
        <w:t>câştigul sau pierderea aferent(ă) elementului acoperit împotriva riscurilor care poate fi atribuit(ă) riscului acoperit trebuie să ajusteze valoarea contabilă a elementului acoperit şi trebuie recunoscut(ă) în profit sau pierdere. Acest principiu se aplică dacă un element acoperit este, altfel, evaluat la cost. Recunoaşterea câştigului sau pierderii atribuibil(e) riscurilor acoperite în profit sau pierdere se aplică dacă elementul acoperit împotriva riscurilor este un activ financiar evaluat la valoarea justă prin alte elemente ale rezultatului global în conformitate cu punctul 4.1.2A din IFRS 9.</w:t>
      </w:r>
      <w:bookmarkEnd w:id="71"/>
    </w:p>
    <w:p w:rsidR="004A7C0F" w:rsidRDefault="004A7C0F">
      <w:pPr>
        <w:pStyle w:val="IASBNormalnpara"/>
      </w:pPr>
      <w:r>
        <w:t>89A</w:t>
      </w:r>
      <w:r>
        <w:tab/>
      </w:r>
      <w:bookmarkStart w:id="72" w:name="SL33292"/>
      <w:r>
        <w:t xml:space="preserve">Pentru o operaţiune de acoperire a valorii juste la expunerea unei porţiuni dintr-un portofoliu de active financiare sau datorii financiare la riscul ratei dobânzii (şi doar într-o astfel de acoperire), dispoziţia de la punctul 89 litera (b) poate fi îndeplinită prin prezentarea câştigului sau pierderii care poate fi atribuit(ă) elementului acoperit împotriva riscurilor fie: </w:t>
      </w:r>
      <w:bookmarkEnd w:id="72"/>
    </w:p>
    <w:p w:rsidR="004A7C0F" w:rsidRDefault="004A7C0F">
      <w:pPr>
        <w:pStyle w:val="IASBNormalnparaL1"/>
      </w:pPr>
      <w:r>
        <w:t>(a)</w:t>
      </w:r>
      <w:r>
        <w:tab/>
      </w:r>
      <w:bookmarkStart w:id="73" w:name="SL134884"/>
      <w:r>
        <w:t>într-un singur element-rând separat în cadrul activelor, pentru acele perioade de timp în care se realizează reevaluarea, în care elementul acoperit împotriva riscurilor este un activ; fie</w:t>
      </w:r>
      <w:bookmarkEnd w:id="73"/>
    </w:p>
    <w:p w:rsidR="004A7C0F" w:rsidRDefault="004A7C0F">
      <w:pPr>
        <w:pStyle w:val="IASBNormalnparaL1"/>
      </w:pPr>
      <w:r>
        <w:t>(b)</w:t>
      </w:r>
      <w:r>
        <w:tab/>
      </w:r>
      <w:bookmarkStart w:id="74" w:name="SL134886"/>
      <w:r>
        <w:t>într-un singur element-rând separat în cadrul datoriilor, pentru acele perioade de timp în care se realizează reevaluarea în care elementul acoperit împotriva riscurilor este o datorie.</w:t>
      </w:r>
      <w:bookmarkEnd w:id="74"/>
    </w:p>
    <w:p w:rsidR="004A7C0F" w:rsidRDefault="004A7C0F">
      <w:pPr>
        <w:pStyle w:val="IASBNormalnparaP"/>
      </w:pPr>
      <w:bookmarkStart w:id="75" w:name="SL134887"/>
      <w:r>
        <w:t>Elementele-rând separate la care se face referire la literele (a) şi (b) de mai sus trebuie prezentate alături de activele financiare sau de datoriile financiare. Valorile incluse în aceste elemente-rând trebuie să fie înlăturate din situaţia poziţiei financiare atunci când activele sau datoriile de care sunt legate sunt derecunoscute.</w:t>
      </w:r>
      <w:bookmarkEnd w:id="75"/>
    </w:p>
    <w:p w:rsidR="004A7C0F" w:rsidRDefault="004A7C0F">
      <w:pPr>
        <w:pStyle w:val="IASBNormalnpara"/>
      </w:pPr>
      <w:r>
        <w:lastRenderedPageBreak/>
        <w:t>90</w:t>
      </w:r>
      <w:r>
        <w:tab/>
      </w:r>
      <w:bookmarkStart w:id="76" w:name="SL19043583"/>
      <w:r>
        <w:t>Dacă sunt acoperite doar anumite riscuri care pot fi atribuite unui element acoperit împotriva riscurilor, modificările recunoscute ale valorii juste a elementului acoperit împotriva riscurilor care nu sunt legate de riscul acoperit sunt recunoscute după cum se arată la punctul 5.7.1 din IFRS 9.</w:t>
      </w:r>
      <w:bookmarkEnd w:id="76"/>
    </w:p>
    <w:p w:rsidR="004A7C0F" w:rsidRDefault="004A7C0F">
      <w:pPr>
        <w:pStyle w:val="IASBNormalnpara"/>
        <w:rPr>
          <w:b/>
        </w:rPr>
      </w:pPr>
      <w:r>
        <w:t>91</w:t>
      </w:r>
      <w:bookmarkStart w:id="77" w:name="SL24159526"/>
      <w:r w:rsidR="002A4651">
        <w:tab/>
      </w:r>
      <w:r>
        <w:rPr>
          <w:b/>
        </w:rPr>
        <w:t xml:space="preserve">O entitate trebuie să întrerupă prospectiv contabilitatea de acoperire împotriva riscurilor specificată la punctul 89 dacă: </w:t>
      </w:r>
      <w:bookmarkEnd w:id="77"/>
    </w:p>
    <w:p w:rsidR="004A7C0F" w:rsidRDefault="004A7C0F">
      <w:pPr>
        <w:pStyle w:val="IASBNormalnparaL1"/>
      </w:pPr>
      <w:r>
        <w:rPr>
          <w:b/>
        </w:rPr>
        <w:t>(a)</w:t>
      </w:r>
      <w:bookmarkStart w:id="78" w:name="SL24159530"/>
      <w:r w:rsidR="002A4651">
        <w:rPr>
          <w:b/>
        </w:rPr>
        <w:tab/>
      </w:r>
      <w:r>
        <w:rPr>
          <w:b/>
        </w:rPr>
        <w:t>instrumentul de acoperire împotriva riscurilor expiră sau este vândut, încetat sau exercitat. În acest sens, înlocuirea sau convertirea unui instrument de acoperire împotriva riscurilor în alt instrument de acoperire împotriva riscurilor nu constituie o expirare sau o încetare dacă o astfel de înlocuire sau convertire face parte din strategia documentată de acoperire împotriva riscurilor a entităţii. Suplimentar, în acest sens nu există o expirare sau încetare a instrumentului acoperit dacă:</w:t>
      </w:r>
      <w:bookmarkEnd w:id="78"/>
    </w:p>
    <w:p w:rsidR="004A7C0F" w:rsidRDefault="004A7C0F">
      <w:pPr>
        <w:pStyle w:val="IASBNormalnparaL2"/>
        <w:rPr>
          <w:b/>
        </w:rPr>
      </w:pPr>
      <w:r>
        <w:rPr>
          <w:b/>
        </w:rPr>
        <w:t>(i)</w:t>
      </w:r>
      <w:bookmarkStart w:id="79" w:name="F24159598"/>
      <w:r w:rsidR="002A4651">
        <w:rPr>
          <w:b/>
        </w:rPr>
        <w:tab/>
      </w:r>
      <w:r>
        <w:rPr>
          <w:b/>
        </w:rPr>
        <w:t>drept consecinţă a legilor şi reglementărilor sau a introducerii de legi sau reglementări, părţile instrumentului de acoperire sunt de acord ca unul sau mai mulţi parteneri de compensare să înlocuiască partenerul iniţial pentru a deveni noul partener al fiecăreia dintre părţi. În acest sens, un partener de compensare este un partener central (uneori numit „organizaţie de compensare” sau „agenţie de compensare”) ori o entitate entităţi sau entităţi, de exemplu, un membru de compensare al unei organizaţii de compensare sau un client al unui membru de compensare al unei organizaţii de compensare care acţionează în calitate de partener pentru a compensa printr-un partener central. Cu toate acestea, atunci când părţile instrumentului de acoperire înlocuiesc partenerii iniţiali cu alţi parteneri, prezentul punct se va aplica doar dacă fiecare dintre acele părţi realizează compensări cu acelaşi partener de compensare.</w:t>
      </w:r>
      <w:bookmarkEnd w:id="79"/>
    </w:p>
    <w:p w:rsidR="004A7C0F" w:rsidRDefault="004A7C0F">
      <w:pPr>
        <w:pStyle w:val="IASBNormalnparaL2"/>
        <w:rPr>
          <w:b/>
        </w:rPr>
      </w:pPr>
      <w:r>
        <w:rPr>
          <w:b/>
        </w:rPr>
        <w:t>(ii)</w:t>
      </w:r>
      <w:bookmarkStart w:id="80" w:name="F24159600"/>
      <w:r w:rsidR="002A4651">
        <w:rPr>
          <w:b/>
        </w:rPr>
        <w:tab/>
      </w:r>
      <w:r>
        <w:rPr>
          <w:b/>
        </w:rPr>
        <w:t>în cazul în care există alte modificări la instrumentul de acoperire împotriva riscurilor, acestea sunt limitate la cele necesare pentru a efectua o astfel de înlocuire a partenerului. Astfel de modificări sunt limitate la cele care sunt consecvente cu termenele preconizate dacă instrumentul de acoperire împotriva riscurilor ar fi fost iniţial compensat cu partenerul de compensare. Aceste modificări includ modificările în dispoziţiile privind garanțiile reale, drepturile de a compensa soldurile de creanţe şi datorii şi taxele percepute.</w:t>
      </w:r>
      <w:bookmarkEnd w:id="80"/>
    </w:p>
    <w:p w:rsidR="004A7C0F" w:rsidRDefault="004A7C0F">
      <w:pPr>
        <w:pStyle w:val="IASBNormalnparaL1"/>
      </w:pPr>
      <w:r>
        <w:rPr>
          <w:b/>
        </w:rPr>
        <w:t>(b)</w:t>
      </w:r>
      <w:bookmarkStart w:id="81" w:name="SL24159534"/>
      <w:r w:rsidR="002A4651">
        <w:rPr>
          <w:b/>
        </w:rPr>
        <w:tab/>
      </w:r>
      <w:r>
        <w:rPr>
          <w:b/>
        </w:rPr>
        <w:t>acoperirea împotriva riscurilor nu mai îndeplineşte criteriile pentru contabilitatea de acoperire împotriva riscurilor de la punctul 88; sau</w:t>
      </w:r>
      <w:bookmarkEnd w:id="81"/>
    </w:p>
    <w:p w:rsidR="004A7C0F" w:rsidRDefault="004A7C0F">
      <w:pPr>
        <w:pStyle w:val="IASBNormalnparaL1"/>
      </w:pPr>
      <w:r>
        <w:rPr>
          <w:b/>
        </w:rPr>
        <w:t>(c)</w:t>
      </w:r>
      <w:bookmarkStart w:id="82" w:name="SL24159540"/>
      <w:r w:rsidR="002A4651">
        <w:rPr>
          <w:b/>
        </w:rPr>
        <w:tab/>
      </w:r>
      <w:r>
        <w:rPr>
          <w:b/>
        </w:rPr>
        <w:t>entitatea revocă desemnarea făcută.</w:t>
      </w:r>
      <w:bookmarkEnd w:id="82"/>
    </w:p>
    <w:p w:rsidR="004A7C0F" w:rsidRDefault="004A7C0F">
      <w:pPr>
        <w:pStyle w:val="IASBNormalnpara"/>
        <w:rPr>
          <w:b/>
        </w:rPr>
      </w:pPr>
      <w:r>
        <w:t>92</w:t>
      </w:r>
      <w:bookmarkStart w:id="83" w:name="SL33295"/>
      <w:r w:rsidR="002A4651">
        <w:tab/>
      </w:r>
      <w:r>
        <w:rPr>
          <w:b/>
        </w:rPr>
        <w:t xml:space="preserve">Orice ajustare a valorii contabile a unui instrument financiar acoperit împotriva riscurilor, conform punctului 89 litera (b), pentru care este utilizată metoda dobânzii efective (sau, în cazul unei acoperiri a portofoliului împotriva riscului ratei dobânzii, orice ajustare a elementului-rând separat din situaţia poziţiei financiare descrisă la punctul 89A) trebuie amortizată în profit sau pierdere. Amortizarea poate începe imediat ce există o ajustare şi nu trebuie să înceapă mai târziu de data la care elementul acoperit împotriva riscurilor încetează a fi ajustat pentru modificările valorii sale juste care pot fi atribuite riscului acoperit. Ajustarea este bazată pe o rată a dobânzii efective recalculată la data la care începe amortizarea. Totuşi, dacă în cazul unei acoperiri a valorii juste pentru expunerea la rata dobânzii a unui portofoliu de active financiare sau datorii financiare (şi doar pentru un astfel de instrument de acoperire) amortizarea utilizând o rată a dobânzii efective recalculată nu este posibilă, ajustarea trebuie amortizată folosind metoda liniară. Ajustarea trebuie amortizată în totalitate până la data scadenţei instrumentului financiar sau, în cazul unei acoperiri a unui portofoliu împotriva riscului ratei dobânzii, până la expirarea perioadei relevante în care se realizează reevaluarea. </w:t>
      </w:r>
      <w:bookmarkEnd w:id="83"/>
    </w:p>
    <w:p w:rsidR="004A7C0F" w:rsidRDefault="004A7C0F">
      <w:pPr>
        <w:pStyle w:val="IASBNormalnpara"/>
      </w:pPr>
      <w:r>
        <w:t>93</w:t>
      </w:r>
      <w:r>
        <w:tab/>
      </w:r>
      <w:bookmarkStart w:id="84" w:name="SL33296"/>
      <w:r>
        <w:t xml:space="preserve">Atunci când un angajament ferm nerecunoscut este desemnat drept element acoperit împotriva riscului, modificarea ulterioară cumulată a valorii juste a angajamentului ferm care poate fi atribuită riscului acoperit este recunoscută drept activ sau datorie în câştigul sau pierderea corespunzătoare recunoscut(ă) în profit sau pierdere (a se vedea punctul 89 litera (b)). Modificările valorii juste a instrumentului de acoperire împotriva riscului sunt, de asemenea, recunoscute în profit sau pierdere. </w:t>
      </w:r>
      <w:bookmarkEnd w:id="84"/>
    </w:p>
    <w:p w:rsidR="004A7C0F" w:rsidRDefault="004A7C0F">
      <w:pPr>
        <w:pStyle w:val="IASBNormalnpara"/>
      </w:pPr>
      <w:r>
        <w:t>94</w:t>
      </w:r>
      <w:r>
        <w:tab/>
      </w:r>
      <w:bookmarkStart w:id="85" w:name="SL33297"/>
      <w:r>
        <w:t>Atunci când o entitate încheie un angajament ferm de a dobândi un activ sau de a-şi asuma o datorie care este un element acoperit împotriva riscurilor într-o acoperire a valorii juste împotriva riscurilor, valoarea contabilă iniţială a activului sau a datoriei care rezultă din faptul că entitatea şi-a onorat angajamentul ferm este ajustată pentru a include şi modificarea cumulată a valorii juste a angajamentului ferm care poate fi atribuită riscului acoperit care a fost recunoscut în situaţia poziţiei financiare.</w:t>
      </w:r>
      <w:bookmarkEnd w:id="85"/>
    </w:p>
    <w:p w:rsidR="004A7C0F" w:rsidRDefault="004A7C0F">
      <w:pPr>
        <w:pStyle w:val="IASBSectionTitle3Ind"/>
      </w:pPr>
      <w:bookmarkStart w:id="86" w:name="SL134895"/>
      <w:r>
        <w:lastRenderedPageBreak/>
        <w:t>Acoperiri ale fluxurilor de trezorerie împotriva riscurilor</w:t>
      </w:r>
      <w:bookmarkEnd w:id="86"/>
    </w:p>
    <w:p w:rsidR="004A7C0F" w:rsidRDefault="004A7C0F">
      <w:pPr>
        <w:pStyle w:val="IASBNormalnpara"/>
        <w:rPr>
          <w:b/>
        </w:rPr>
      </w:pPr>
      <w:r>
        <w:t>95</w:t>
      </w:r>
      <w:bookmarkStart w:id="87" w:name="SL33298"/>
      <w:r w:rsidR="002A4651">
        <w:tab/>
      </w:r>
      <w:r>
        <w:rPr>
          <w:b/>
        </w:rPr>
        <w:t xml:space="preserve">Dacă o operaţiune de acoperire împotriva riscului asociat fluxurilor de trezorerie îndeplineşte condiţiile prevăzute la punctul 88 pe toată durata perioadei, ea trebuie contabilizată după cum urmează: </w:t>
      </w:r>
      <w:bookmarkEnd w:id="87"/>
    </w:p>
    <w:p w:rsidR="004A7C0F" w:rsidRDefault="004A7C0F">
      <w:pPr>
        <w:pStyle w:val="IASBNormalnparaL1"/>
      </w:pPr>
      <w:r>
        <w:rPr>
          <w:b/>
        </w:rPr>
        <w:t>(a)</w:t>
      </w:r>
      <w:bookmarkStart w:id="88" w:name="SL134898"/>
      <w:r w:rsidR="002A4651">
        <w:rPr>
          <w:b/>
        </w:rPr>
        <w:tab/>
      </w:r>
      <w:r>
        <w:rPr>
          <w:b/>
        </w:rPr>
        <w:t>partea din câştig sau pierdere atribuită instrumentului de acoperire împotriva riscurilor care este determinată drept o acoperire eficientă (a se vedea punctul 88) trebuie recunoscută la alte elemente ale rezultatului global; și</w:t>
      </w:r>
      <w:bookmarkEnd w:id="88"/>
    </w:p>
    <w:p w:rsidR="004A7C0F" w:rsidRDefault="004A7C0F">
      <w:pPr>
        <w:pStyle w:val="IASBNormalnparaL1"/>
      </w:pPr>
      <w:r>
        <w:rPr>
          <w:b/>
        </w:rPr>
        <w:t>(b)</w:t>
      </w:r>
      <w:bookmarkStart w:id="89" w:name="SL134900"/>
      <w:r w:rsidR="002A4651">
        <w:rPr>
          <w:b/>
        </w:rPr>
        <w:tab/>
      </w:r>
      <w:r>
        <w:rPr>
          <w:b/>
        </w:rPr>
        <w:t>partea ineficientă din câştig sau pierdere atribuită instrumentului de acoperire împotriva riscurilor trebuie să fie recunoscută în profit sau pierdere.</w:t>
      </w:r>
      <w:bookmarkEnd w:id="89"/>
    </w:p>
    <w:p w:rsidR="004A7C0F" w:rsidRDefault="004A7C0F">
      <w:pPr>
        <w:pStyle w:val="IASBNormalnpara"/>
      </w:pPr>
      <w:r>
        <w:t>96</w:t>
      </w:r>
      <w:r>
        <w:tab/>
      </w:r>
      <w:bookmarkStart w:id="90" w:name="F19043652"/>
      <w:r>
        <w:t xml:space="preserve">Mai precis, o operaţiune de acoperire împotriva riscului asociat fluxurilor de trezorerie este contabilizată după cum urmează: </w:t>
      </w:r>
      <w:bookmarkEnd w:id="90"/>
    </w:p>
    <w:p w:rsidR="004A7C0F" w:rsidRDefault="004A7C0F">
      <w:pPr>
        <w:pStyle w:val="IASBNormalnparaL1"/>
      </w:pPr>
      <w:r>
        <w:t>(a)</w:t>
      </w:r>
      <w:r>
        <w:tab/>
      </w:r>
      <w:bookmarkStart w:id="91" w:name="SL134903"/>
      <w:r>
        <w:t>componenta distinctă a capitalului propriu asociată elementului acoperit împotriva riscurilor este ajustată la cea mai mică valoare dintre următoarele (în valori absolute):</w:t>
      </w:r>
      <w:bookmarkEnd w:id="91"/>
    </w:p>
    <w:p w:rsidR="004A7C0F" w:rsidRDefault="004A7C0F">
      <w:pPr>
        <w:pStyle w:val="IASBNormalnparaL2"/>
      </w:pPr>
      <w:r>
        <w:t>(i)</w:t>
      </w:r>
      <w:r>
        <w:tab/>
      </w:r>
      <w:bookmarkStart w:id="92" w:name="SL134906"/>
      <w:r>
        <w:t>câştigul cumulat sau pierderea cumulată aferent(ă) instrumentului de acoperire împotriva riscurilor de la începutul acoperirii; și</w:t>
      </w:r>
      <w:bookmarkEnd w:id="92"/>
    </w:p>
    <w:p w:rsidR="004A7C0F" w:rsidRDefault="004A7C0F">
      <w:pPr>
        <w:pStyle w:val="IASBNormalnparaL2"/>
      </w:pPr>
      <w:r>
        <w:t>(ii)</w:t>
      </w:r>
      <w:r>
        <w:tab/>
      </w:r>
      <w:bookmarkStart w:id="93" w:name="SL134908"/>
      <w:r>
        <w:t>modificarea cumulată a valorii juste (valoarea actualizată) a fluxurilor de trezorerie viitoare preconizate aferente elementului acoperit de la iniţierea operaţiunii de acoperire;</w:t>
      </w:r>
      <w:bookmarkEnd w:id="93"/>
    </w:p>
    <w:p w:rsidR="004A7C0F" w:rsidRDefault="004A7C0F">
      <w:pPr>
        <w:pStyle w:val="IASBNormalnparaL1"/>
      </w:pPr>
      <w:r>
        <w:t>(b)</w:t>
      </w:r>
      <w:r>
        <w:tab/>
      </w:r>
      <w:bookmarkStart w:id="94" w:name="SL134910"/>
      <w:r>
        <w:t>orice câştig sau pierdere rămas(ă) aferent(ă) instrumentului de acoperire sau unei componente desemnate a acestuia (care nu reprezintă o operaţiune de acoperire eficace) este recunoscut(ă) în profit sau pierdere; și</w:t>
      </w:r>
      <w:bookmarkEnd w:id="94"/>
    </w:p>
    <w:p w:rsidR="004A7C0F" w:rsidRDefault="004A7C0F">
      <w:pPr>
        <w:pStyle w:val="IASBNormalnparaL1"/>
      </w:pPr>
      <w:r>
        <w:t>(c)</w:t>
      </w:r>
      <w:r>
        <w:tab/>
      </w:r>
      <w:bookmarkStart w:id="95" w:name="SL28555705"/>
      <w:r>
        <w:t>dacă strategia documentată de gestionare a riscului unei entităţi pentru o anumită relaţie de acoperire împotriva riscurilor exclude din evaluarea eficacităţii acoperirii riscurilor o componentă distinctă a câştigului sau pierderii sau a fluxurilor de trezorerie aferente instrumentului de acoperire (a se vedea punctele 74, 75 şi 88 litera (a)), atunci acea componentă a câştigului sau pierderii care a fost exclusă este recunoscută în conformitate cu punctul 5.7.1 din IFRS 9.</w:t>
      </w:r>
      <w:bookmarkEnd w:id="95"/>
    </w:p>
    <w:p w:rsidR="004A7C0F" w:rsidRDefault="004A7C0F">
      <w:pPr>
        <w:pStyle w:val="IASBNormalnpara"/>
        <w:rPr>
          <w:b/>
        </w:rPr>
      </w:pPr>
      <w:r>
        <w:t>97</w:t>
      </w:r>
      <w:bookmarkStart w:id="96" w:name="SL33300"/>
      <w:r w:rsidR="002A4651">
        <w:tab/>
      </w:r>
      <w:r>
        <w:rPr>
          <w:b/>
        </w:rPr>
        <w:t xml:space="preserve">Dacă o acoperire a unei tranzacţii prognozate împotriva riscurilor are drept rezultat ulterior recunoaşterea unui activ financiar sau a unei datorii financiare, câştigurile sau pierderile asociate care au fost recunoscute la alte elemente ale rezultatului global în conformitate cu punctul 95 trebuie să fie reclasificate din capitaluri proprii în profit sau pierdere drept ajustare din reclasificare (a se vedea IAS 1 (revizuit în 2007)) în aceeaşi perioadă sau în perioade în care activul dobândit sau datoria asumată afectează profitul sau pierderea (cum ar fi în perioadele în care se recunoaşte venitul sau cheltuiala cu dobânda). Totuşi, dacă o entitate preconizează că toată sau o parte din pierderea recunoscută la alte elemente ale rezultatului global nu va fi recuperată în una sau mai multe perioade viitoare, ea trebuie să reclasifice la profit sau pierdere valoarea care nu se preconizează că va fi recuperată. </w:t>
      </w:r>
      <w:bookmarkEnd w:id="96"/>
    </w:p>
    <w:p w:rsidR="004A7C0F" w:rsidRDefault="004A7C0F">
      <w:pPr>
        <w:pStyle w:val="IASBNormalnpara"/>
        <w:rPr>
          <w:b/>
        </w:rPr>
      </w:pPr>
      <w:r>
        <w:t>98</w:t>
      </w:r>
      <w:bookmarkStart w:id="97" w:name="SL33301"/>
      <w:r w:rsidR="002A4651">
        <w:tab/>
      </w:r>
      <w:r>
        <w:rPr>
          <w:b/>
        </w:rPr>
        <w:t xml:space="preserve">Dacă o acoperire a unei tranzacţii prognozate împotriva riscurilor are drept rezultat ulterior recunoaşterea unui activ nefinanciar sau a unei datorii nefinanciare, sau dacă o tranzacţie prognozată pentru un activ nefinanciar sau o datorie nefinanciară devine un angajament ferm pentru care se aplică contabilitatea acoperirii valorii juste împotriva riscurilor, entitatea trebuie să adopte literele (a) sau (b) de mai jos: </w:t>
      </w:r>
      <w:bookmarkEnd w:id="97"/>
    </w:p>
    <w:p w:rsidR="004A7C0F" w:rsidRDefault="004A7C0F">
      <w:pPr>
        <w:pStyle w:val="IASBNormalnparaL1"/>
      </w:pPr>
      <w:r>
        <w:rPr>
          <w:b/>
        </w:rPr>
        <w:t>(a)</w:t>
      </w:r>
      <w:bookmarkStart w:id="98" w:name="SL134915"/>
      <w:r w:rsidR="002A4651">
        <w:rPr>
          <w:b/>
        </w:rPr>
        <w:tab/>
      </w:r>
      <w:r>
        <w:rPr>
          <w:b/>
        </w:rPr>
        <w:t xml:space="preserve">Aceasta reclasifică pierderile şi câştigurile asociate care au fost recunoscute la alte elemente ale rezultatului global în conformitate cu punctul 95 în profit sau pierdere drept o ajustare din reclasificare (a se vedea IAS 1 (revizuit în 2007)) în aceeaşi perioadă sau în aceleași perioade în timpul căreia (cărora) activul dobândit sau datoria asumată afectează profitul sau pierderea (cum ar fi perioadele în care este recunoscută cheltuiala cu amortizarea sau costul vânzărilor). Totuşi, dacă o entitate preconizează că o parte din sau toată pierderea recunoscută la alte elemente ale rezultatului global nu va fi recuperată în una sau mai multe perioade viitoare, ea trebuie să reclasifice din capitalurile proprii în profit sau pierdere valoarea care nu se preconizează că va fi recuperată, drept ajustare din reclasificare. </w:t>
      </w:r>
      <w:bookmarkEnd w:id="98"/>
    </w:p>
    <w:p w:rsidR="004A7C0F" w:rsidRDefault="004A7C0F">
      <w:pPr>
        <w:pStyle w:val="IASBNormalnparaL1"/>
      </w:pPr>
      <w:r>
        <w:rPr>
          <w:b/>
        </w:rPr>
        <w:t>(b)</w:t>
      </w:r>
      <w:bookmarkStart w:id="99" w:name="SL134917"/>
      <w:r w:rsidR="002A4651">
        <w:rPr>
          <w:b/>
        </w:rPr>
        <w:tab/>
      </w:r>
      <w:r>
        <w:rPr>
          <w:b/>
        </w:rPr>
        <w:t>Aceasta îndepărtează câştigurile şi pierderile asociate care au fost recunoscute la alte elemente ale rezultatului global în conformitate cu punctul 95 şi le include în costul iniţial sau în altă valoare contabilă a activului sau datoriei.</w:t>
      </w:r>
      <w:bookmarkEnd w:id="99"/>
    </w:p>
    <w:p w:rsidR="004A7C0F" w:rsidRDefault="004A7C0F">
      <w:pPr>
        <w:pStyle w:val="IASBNormalnpara"/>
        <w:rPr>
          <w:b/>
        </w:rPr>
      </w:pPr>
      <w:r>
        <w:t>99</w:t>
      </w:r>
      <w:bookmarkStart w:id="100" w:name="SL33302"/>
      <w:r w:rsidR="002A4651">
        <w:tab/>
      </w:r>
      <w:r>
        <w:rPr>
          <w:b/>
        </w:rPr>
        <w:t xml:space="preserve">O entitate trebuie să adopte fie litera (a), fie litera (b) de la punctul 98 drept politica sa contabilă şi trebuie să o aplice consecvent tuturor acoperirilor împotriva riscurilor la care se referă punctul 98. </w:t>
      </w:r>
      <w:bookmarkEnd w:id="100"/>
    </w:p>
    <w:p w:rsidR="004A7C0F" w:rsidRDefault="004A7C0F">
      <w:pPr>
        <w:pStyle w:val="IASBNormalnpara"/>
        <w:rPr>
          <w:b/>
        </w:rPr>
      </w:pPr>
      <w:r>
        <w:lastRenderedPageBreak/>
        <w:t>100</w:t>
      </w:r>
      <w:bookmarkStart w:id="101" w:name="SL33303"/>
      <w:r w:rsidR="002A4651">
        <w:tab/>
      </w:r>
      <w:r>
        <w:rPr>
          <w:b/>
        </w:rPr>
        <w:t>Pentru operaţiunile de acoperire împotriva riscului asociat fluxurilor de trezorerie, altele decât cele la care se referă punctele 97 şi 98, valorile care fuseseră recunoscute la alte elemente ale rezultatului global trebuie reclasificate din capitalurile proprii în profit sau pierdere ca o ajustare din reclasificare (a se vedea IAS 1 (revizuit în 2007)) în aceeaşi perioadă sau în aceleaşi perioade în care tranzacţia prognozată acoperită afectează profitul sau pierderea (de exemplu, atunci când are loc o vânzare prognozată).</w:t>
      </w:r>
      <w:bookmarkEnd w:id="101"/>
    </w:p>
    <w:p w:rsidR="004A7C0F" w:rsidRDefault="004A7C0F">
      <w:pPr>
        <w:pStyle w:val="IASBNormalnpara"/>
        <w:rPr>
          <w:b/>
        </w:rPr>
      </w:pPr>
      <w:r>
        <w:t>101</w:t>
      </w:r>
      <w:bookmarkStart w:id="102" w:name="SL24159636"/>
      <w:r w:rsidR="002A4651">
        <w:tab/>
      </w:r>
      <w:r>
        <w:rPr>
          <w:b/>
        </w:rPr>
        <w:t xml:space="preserve">În oricare dintre următoarele circumstanţe, o entitate trebuie să întrerupă prospectiv contabilitatea de acoperire împotriva riscurilor specificată la punctele 95-100: </w:t>
      </w:r>
      <w:bookmarkEnd w:id="102"/>
    </w:p>
    <w:p w:rsidR="004A7C0F" w:rsidRDefault="004A7C0F">
      <w:pPr>
        <w:pStyle w:val="IASBNormalnparaL1"/>
      </w:pPr>
      <w:r>
        <w:rPr>
          <w:b/>
        </w:rPr>
        <w:t>(a)</w:t>
      </w:r>
      <w:bookmarkStart w:id="103" w:name="SL24159640"/>
      <w:r w:rsidR="002A4651">
        <w:rPr>
          <w:b/>
        </w:rPr>
        <w:tab/>
      </w:r>
      <w:r>
        <w:rPr>
          <w:b/>
        </w:rPr>
        <w:t>Instrumentul de acoperire împotriva riscurilor expiră sau este vândut, încetat sau exercitat. În acest caz, câştigul sau pierderea cumulat(ă) de pe urma instrumentului de acoperire împotriva riscurilor care rămâne recunoscut(ă) la alte elemente ale rezultatului global din perioada în care acoperirea era în vigoare (a se vedea punctul 95 litera (a)) trebuie să rămână recunoscut(ă) separat în capitalurile proprii până la momentul la care are loc tranzacţia prognozată. Atunci când aceasta are loc, se va aplica punctul 97, 98 sau 100. În sensul prezentului subpunct, înlocuirea sau convertirea unui instrument de acoperire împotriva riscurilor în alt instrument de acoperire împotriva riscurilor nu constituie o expirare sau o încetare dacă o astfel de înlocuire sau convertire face parte din strategia documentată de acoperire împotriva riscurilor a entităţii. Suplimentar, în scopul prezentului subpunct nu există o expirare sau o încetare a instrumentului acoperit dacă:</w:t>
      </w:r>
      <w:bookmarkEnd w:id="103"/>
    </w:p>
    <w:p w:rsidR="004A7C0F" w:rsidRDefault="004A7C0F">
      <w:pPr>
        <w:pStyle w:val="IASBNormalnparaL2"/>
        <w:rPr>
          <w:b/>
        </w:rPr>
      </w:pPr>
      <w:r>
        <w:rPr>
          <w:b/>
        </w:rPr>
        <w:t>(i)</w:t>
      </w:r>
      <w:bookmarkStart w:id="104" w:name="F24159603"/>
      <w:r w:rsidR="002A4651">
        <w:rPr>
          <w:b/>
        </w:rPr>
        <w:tab/>
      </w:r>
      <w:r>
        <w:rPr>
          <w:b/>
        </w:rPr>
        <w:t>drept consecinţă a legilor şi reglementărilor sau a introducerii de legi sau reglementări, părţile instrumentului de acoperire sunt de acord ca unul sau mai mulţi parteneri de compensare să înlocuiască partenerul iniţial pentru a deveni noul partener al fiecăreia dintre părţi. În acest sens, un partener de compensare este un partener central (uneori numit „organizaţie de compensare” sau „agenţie de compensare”) ori o entitate sau entităţi, de exemplu, un membru de compensare al unei organizaţii de compensare sau un client al unui membru de compensare al unei organizaţii de compensare care acţionează în calitate de partener pentru a compensa printr-un partener central. Cu toate acestea, atunci când părţile instrumentului de acoperire înlocuiesc partenerii iniţiali cu alţi parteneri, prezentul punct se va aplica doar dacă fiecare dintre acele părţi realizează compensări cu acelaşi partener de compensare.</w:t>
      </w:r>
      <w:bookmarkEnd w:id="104"/>
    </w:p>
    <w:p w:rsidR="004A7C0F" w:rsidRDefault="004A7C0F">
      <w:pPr>
        <w:pStyle w:val="IASBNormalnparaL2"/>
        <w:rPr>
          <w:b/>
        </w:rPr>
      </w:pPr>
      <w:r>
        <w:rPr>
          <w:b/>
        </w:rPr>
        <w:t>(ii)</w:t>
      </w:r>
      <w:bookmarkStart w:id="105" w:name="F24159605"/>
      <w:r w:rsidR="002A4651">
        <w:rPr>
          <w:b/>
        </w:rPr>
        <w:tab/>
      </w:r>
      <w:r>
        <w:rPr>
          <w:b/>
        </w:rPr>
        <w:t>în cazul în care există alte modificări la instrumentul de acoperire împotriva riscurilor, acestea sunt limitate la cele necesare pentru a efectua o astfel de înlocuire a partenerului. Astfel de modificări sunt limitate la cele care sunt consecvente cu termenele preconizate dacă instrumentul de acoperire împotriva riscurilor ar fi fost iniţial compensat cu partenerul de compensare. Aceste modificări includ modificările în dispoziţiile privind garanțiile reale, drepturile de a compensa soldurile de creanţe şi datorii şi taxele percepute.</w:t>
      </w:r>
      <w:bookmarkEnd w:id="105"/>
    </w:p>
    <w:p w:rsidR="004A7C0F" w:rsidRDefault="004A7C0F">
      <w:pPr>
        <w:pStyle w:val="IASBNormalnparaL1"/>
      </w:pPr>
      <w:r>
        <w:rPr>
          <w:b/>
        </w:rPr>
        <w:t>(b)</w:t>
      </w:r>
      <w:bookmarkStart w:id="106" w:name="SL24159649"/>
      <w:r w:rsidR="002A4651">
        <w:rPr>
          <w:b/>
        </w:rPr>
        <w:tab/>
      </w:r>
      <w:r>
        <w:rPr>
          <w:b/>
        </w:rPr>
        <w:t xml:space="preserve">Acoperirea împotriva riscurilor nu mai îndeplineşte criteriile pentru contabilitatea de acoperire împotriva riscurilor de la punctul 88. În acest caz, câştigul sau pierderea cumulat(ă) de pe urma instrumentului de acoperire împotriva riscurilor care rămâne recunoscut(ă) la alte elemente ale rezultatului global din perioada în care acoperirea era în vigoare (a se vedea punctul 95 litera (a)) trebuie să rămână recunoscut(ă) separat în capitalurile proprii până la momentul la care are loc tranzacţia prognozată. Atunci când aceasta are loc, se va aplica punctul 97, 98 sau 100. </w:t>
      </w:r>
      <w:bookmarkEnd w:id="106"/>
    </w:p>
    <w:p w:rsidR="004A7C0F" w:rsidRDefault="004A7C0F">
      <w:pPr>
        <w:pStyle w:val="IASBNormalnparaL1"/>
      </w:pPr>
      <w:r>
        <w:rPr>
          <w:b/>
        </w:rPr>
        <w:t>(c)</w:t>
      </w:r>
      <w:bookmarkStart w:id="107" w:name="SL24159663"/>
      <w:r w:rsidR="002A4651">
        <w:rPr>
          <w:b/>
        </w:rPr>
        <w:tab/>
      </w:r>
      <w:r>
        <w:rPr>
          <w:b/>
        </w:rPr>
        <w:t xml:space="preserve">Nu se mai preconizează ca tranzacţia prognozată să mai aibă loc, caz în care orice câştig sau pierdere cumulat(ă) aferent(ă) de pe urma instrumentului de acoperire împotriva riscurilor care rămâne recunoscut(ă) la alte elemente ale rezultatului global din perioada în care acoperirea era în vigoare (a se vedea punctul 95 litera (a)) trebuie reclasificat(ă) de la capitaluri proprii în profit sau pierdere, ca ajustare din reclasificare. O tranzacţie prognozată care nu mai este foarte probabilă (a se vedea punctul 88 litera (c)) poate să fie în continuare aşteptată să aibă loc. </w:t>
      </w:r>
      <w:bookmarkEnd w:id="107"/>
    </w:p>
    <w:p w:rsidR="004A7C0F" w:rsidRDefault="004A7C0F">
      <w:pPr>
        <w:pStyle w:val="IASBNormalnparaL1"/>
      </w:pPr>
      <w:r>
        <w:rPr>
          <w:b/>
        </w:rPr>
        <w:t>(d)</w:t>
      </w:r>
      <w:bookmarkStart w:id="108" w:name="SL24159674"/>
      <w:r w:rsidR="002A4651">
        <w:rPr>
          <w:b/>
        </w:rPr>
        <w:tab/>
      </w:r>
      <w:r>
        <w:rPr>
          <w:b/>
        </w:rPr>
        <w:t xml:space="preserve">Entitatea revocă desemnarea făcută. Pentru acoperirile unei tranzacţii prognozate împotriva riscurilor, câştigul sau pierderea cumulat(ă) de pe urma instrumentului de acoperire împotriva riscurilor care rămâne recunoscut(ă) la alte elemente ale rezultatului global din perioada în care acoperirea era în vigoare (a se vedea punctul 95 litera (a)) trebuie să rămână recunoscut(ă) separat în capitalurile proprii până la momentul la care are loc tranzacţia prognozată sau până când aceasta nu se mai preconizează să aibă loc. Atunci când aceasta are loc, se va aplica punctul 97, 98 sau 100. Dacă nu se mai preconizează ca tranzacţia să mai aibă loc, câştigul sau pierderea cumulat(ă) care a fost </w:t>
      </w:r>
      <w:r>
        <w:rPr>
          <w:b/>
        </w:rPr>
        <w:lastRenderedPageBreak/>
        <w:t xml:space="preserve">recunoscut(ă) la alte elemente ale rezultatului global trebuie reclasificat(ă) de la capitalurile proprii în profit sau pierdere ca o ajustare din reclasificare. </w:t>
      </w:r>
      <w:bookmarkEnd w:id="108"/>
    </w:p>
    <w:p w:rsidR="004A7C0F" w:rsidRDefault="004A7C0F">
      <w:pPr>
        <w:pStyle w:val="IASBSectionTitle3Ind"/>
      </w:pPr>
      <w:bookmarkStart w:id="109" w:name="SL134927"/>
      <w:r>
        <w:t>Acoperiri ale unei investiţii nete împotriva riscurilor</w:t>
      </w:r>
      <w:bookmarkEnd w:id="109"/>
    </w:p>
    <w:p w:rsidR="004A7C0F" w:rsidRDefault="004A7C0F">
      <w:pPr>
        <w:pStyle w:val="IASBNormalnpara"/>
        <w:rPr>
          <w:b/>
        </w:rPr>
      </w:pPr>
      <w:r>
        <w:t>102</w:t>
      </w:r>
      <w:bookmarkStart w:id="110" w:name="SL33305"/>
      <w:r w:rsidR="002A4651">
        <w:tab/>
      </w:r>
      <w:r>
        <w:rPr>
          <w:b/>
        </w:rPr>
        <w:t xml:space="preserve">Acoperirile împotriva riscurilor ale unei investiţii nete într-o operaţiune din străinătate, inclusiv o acoperire împotriva riscurilor a unui element monetar care este contabilizat ca parte a unei investiţii nete (a se vedea IAS 21), trebuie contabilizate similar acoperirilor fluxurilor de trezorerie împotriva riscului: </w:t>
      </w:r>
      <w:bookmarkEnd w:id="110"/>
    </w:p>
    <w:p w:rsidR="004A7C0F" w:rsidRDefault="004A7C0F">
      <w:pPr>
        <w:pStyle w:val="IASBNormalnparaL1"/>
      </w:pPr>
      <w:r>
        <w:rPr>
          <w:b/>
        </w:rPr>
        <w:t>(a)</w:t>
      </w:r>
      <w:bookmarkStart w:id="111" w:name="SL134930"/>
      <w:r w:rsidR="002A4651">
        <w:rPr>
          <w:b/>
        </w:rPr>
        <w:tab/>
      </w:r>
      <w:r>
        <w:rPr>
          <w:b/>
        </w:rPr>
        <w:t>partea din câştig sau pierdere atribuită instrumentului de acoperire împotriva riscurilor care este determinată drept o acoperire eficientă (a se vedea punctul 88) trebuie recunoscută la alte elemente ale rezultatului global; și</w:t>
      </w:r>
      <w:bookmarkEnd w:id="111"/>
    </w:p>
    <w:p w:rsidR="004A7C0F" w:rsidRDefault="004A7C0F">
      <w:pPr>
        <w:pStyle w:val="IASBNormalnparaL1"/>
      </w:pPr>
      <w:r>
        <w:rPr>
          <w:b/>
        </w:rPr>
        <w:t>(b)</w:t>
      </w:r>
      <w:bookmarkStart w:id="112" w:name="SL134932"/>
      <w:r w:rsidR="002A4651">
        <w:rPr>
          <w:b/>
        </w:rPr>
        <w:tab/>
      </w:r>
      <w:r>
        <w:rPr>
          <w:b/>
        </w:rPr>
        <w:t>partea ineficientă trebuie recunoscută în profit sau pierdere.</w:t>
      </w:r>
      <w:bookmarkEnd w:id="112"/>
    </w:p>
    <w:p w:rsidR="004A7C0F" w:rsidRDefault="004A7C0F">
      <w:pPr>
        <w:pStyle w:val="IASBNormalnparaP"/>
      </w:pPr>
      <w:bookmarkStart w:id="113" w:name="SL134933"/>
      <w:r>
        <w:rPr>
          <w:b/>
        </w:rPr>
        <w:t>Câştigul sau pierderea atribuit(ă) instrumentului de acoperire împotriva riscurilor în legătură cu partea eficientă a acoperirii care a fost recunoscută la alte elemente ale rezultatului global trebuie reclasificată de la capitaluri proprii în profit sau pierdere ca o ajustare din reclasificare (a se vedea IAS 1 (revizuit în 2007)) în conformitate cu punctele 48-49 din IAS 21 privind cedarea sau cedarea parţială a operaţiunii din străinătate.</w:t>
      </w:r>
      <w:bookmarkEnd w:id="113"/>
    </w:p>
    <w:p w:rsidR="004A7C0F" w:rsidRDefault="004A7C0F">
      <w:pPr>
        <w:pStyle w:val="IASBSectionTitle1NonInd"/>
      </w:pPr>
      <w:bookmarkStart w:id="114" w:name="F7015729"/>
      <w:r>
        <w:t>Data intrării în vigoare şi tranziţia</w:t>
      </w:r>
      <w:bookmarkEnd w:id="114"/>
    </w:p>
    <w:p w:rsidR="004A7C0F" w:rsidRDefault="004A7C0F">
      <w:pPr>
        <w:pStyle w:val="IASBNormalnpara"/>
      </w:pPr>
      <w:r>
        <w:t>103</w:t>
      </w:r>
      <w:r>
        <w:tab/>
      </w:r>
      <w:bookmarkStart w:id="115" w:name="SL33306"/>
      <w:r>
        <w:t>O entitate trebuie să aplice prezentul standard (inclusiv amendamentele emise în martie 2004) pentru perioadele anuale care încep la 1 ianuarie 2005 sau ulterior acestei date. Se permite aplicarea anterior acestei date. O entitate nu trebuie să aplice prezentul standard (inclusiv amendamentele emise în martie 2004) pentru perioadele anuale care încep anterior datei de 1 ianuarie 2005 decât în cazul în care ea aplică, de asemenea, IAS 32 (emis în decembrie 2003). Dacă o entitate aplică prezentul standard pentru o perioadă care începe anterior datei de 1 ianuarie 2005, entitatea trebuie să prezinte acest fapt.</w:t>
      </w:r>
      <w:bookmarkEnd w:id="115"/>
    </w:p>
    <w:p w:rsidR="004A7C0F" w:rsidRDefault="004A7C0F">
      <w:pPr>
        <w:pStyle w:val="IASBNormalnpara"/>
      </w:pPr>
      <w:r>
        <w:t>103A</w:t>
      </w:r>
      <w:r>
        <w:tab/>
      </w:r>
      <w:bookmarkStart w:id="116" w:name="F75413"/>
      <w:r>
        <w:t xml:space="preserve">O entitate trebuie să aplice amendamentul de la punctul 2 litera (j) pentru perioadele anuale care încep la 1 ianuarie 2006 sau ulterior acestei date. Dacă o entitate aplică IFRIC 5 </w:t>
      </w:r>
      <w:r>
        <w:rPr>
          <w:i/>
        </w:rPr>
        <w:t xml:space="preserve">Drepturi la interese din fonduri de dezafectare, de restaurare şi de reabilitare a mediului </w:t>
      </w:r>
      <w:r>
        <w:t>pentru o perioadă anterioară, acest amendament trebuie aplicat pentru acea perioadă anterioară.</w:t>
      </w:r>
      <w:bookmarkEnd w:id="116"/>
    </w:p>
    <w:p w:rsidR="004A7C0F" w:rsidRDefault="004A7C0F">
      <w:pPr>
        <w:pStyle w:val="IASBNormalnpara"/>
      </w:pPr>
      <w:r>
        <w:t>103B</w:t>
      </w:r>
      <w:r>
        <w:tab/>
      </w:r>
      <w:bookmarkStart w:id="117" w:name="F19043682"/>
      <w:r>
        <w:t>[Eliminat]</w:t>
      </w:r>
      <w:bookmarkEnd w:id="117"/>
    </w:p>
    <w:p w:rsidR="004A7C0F" w:rsidRDefault="004A7C0F">
      <w:pPr>
        <w:pStyle w:val="IASBNormalnpara"/>
      </w:pPr>
      <w:r>
        <w:t>103C</w:t>
      </w:r>
      <w:r>
        <w:tab/>
      </w:r>
      <w:bookmarkStart w:id="118" w:name="F19043758"/>
      <w:r>
        <w:t>IAS 1 (revizuit în 2007) a modificat terminologia folosită în cadrul IFRS-urilor. De asemenea, a modificat punctele 95 litera (a), 97, 98, 100, 102, 108 şi AG99B. O entitate trebuie să aplice acele amendamente pentru perioadele anuale care încep la 1 ianuarie 2009 sau ulterior acestei date. Dacă o entitate aplică IAS 1 (revizuit în 2007) pentru o perioadă anterioară, amendamentele trebuie aplicate pentru acea perioadă anterioară.</w:t>
      </w:r>
      <w:bookmarkEnd w:id="118"/>
    </w:p>
    <w:p w:rsidR="004A7C0F" w:rsidRDefault="004A7C0F">
      <w:pPr>
        <w:pStyle w:val="IASBNormalnpara"/>
      </w:pPr>
      <w:r>
        <w:t>103D</w:t>
      </w:r>
      <w:r>
        <w:tab/>
      </w:r>
      <w:bookmarkStart w:id="119" w:name="F36677707"/>
      <w:r>
        <w:t>[Eliminate]</w:t>
      </w:r>
      <w:bookmarkEnd w:id="119"/>
    </w:p>
    <w:p w:rsidR="004A7C0F" w:rsidRDefault="004A7C0F">
      <w:pPr>
        <w:pStyle w:val="IASBNormalnpara"/>
      </w:pPr>
      <w:r>
        <w:t>103E</w:t>
      </w:r>
      <w:r>
        <w:tab/>
      </w:r>
      <w:bookmarkStart w:id="120" w:name="F4974140"/>
      <w:r>
        <w:t>IAS 27 (modificat în 2008) a modificat punctul 102. O entitate trebuie să aplice acel amendament pentru perioadele anuale care încep la 1 iulie 2009 sau ulterior acestei date. Dacă o entitate aplică IAS 27 (modificat în 2008) pentru o perioadă anterioară, amendamentul trebuie aplicat pentru acea perioadă anterioară.</w:t>
      </w:r>
      <w:bookmarkEnd w:id="120"/>
    </w:p>
    <w:p w:rsidR="004A7C0F" w:rsidRDefault="004A7C0F">
      <w:pPr>
        <w:pStyle w:val="IASBNormalnpara"/>
      </w:pPr>
      <w:r>
        <w:t>103F</w:t>
      </w:r>
      <w:r>
        <w:tab/>
      </w:r>
      <w:bookmarkStart w:id="121" w:name="F36677725"/>
      <w:r>
        <w:t>[Eliminate]</w:t>
      </w:r>
      <w:bookmarkEnd w:id="121"/>
    </w:p>
    <w:p w:rsidR="004A7C0F" w:rsidRDefault="004A7C0F">
      <w:pPr>
        <w:pStyle w:val="IASBNormalnpara"/>
      </w:pPr>
      <w:r>
        <w:t>103G</w:t>
      </w:r>
      <w:r>
        <w:tab/>
      </w:r>
      <w:bookmarkStart w:id="122" w:name="F7160312"/>
      <w:r>
        <w:t xml:space="preserve">O entitate trebuie să aplice punctele AG99BA, AG99E, AG99F, AG110A şi AG110B retroactiv pentru perioadele anuale care încep la 1 iulie 2009 sau ulterior acestei date, în conformitate cu IAS 8 </w:t>
      </w:r>
      <w:r>
        <w:rPr>
          <w:i/>
        </w:rPr>
        <w:t>Politici contabile, modificări ale estimărilor contabile şi erori.</w:t>
      </w:r>
      <w:r>
        <w:t xml:space="preserve"> Se permite aplicarea anterior acestei date. Dacă o entitate aplică documentul </w:t>
      </w:r>
      <w:r>
        <w:rPr>
          <w:i/>
        </w:rPr>
        <w:t>Elemente eligibile acoperite împotriva riscurilor</w:t>
      </w:r>
      <w:r>
        <w:t xml:space="preserve"> (Amendament la IAS 39) pentru perioadele care încep anterior datei de 1 iulie 2009, ea trebuie să prezinte acest fapt.</w:t>
      </w:r>
      <w:bookmarkEnd w:id="122"/>
    </w:p>
    <w:p w:rsidR="004A7C0F" w:rsidRDefault="004A7C0F">
      <w:pPr>
        <w:pStyle w:val="IASBNormalnpara"/>
      </w:pPr>
      <w:r>
        <w:t>103H–</w:t>
      </w:r>
    </w:p>
    <w:p w:rsidR="004A7C0F" w:rsidRDefault="004A7C0F">
      <w:pPr>
        <w:pStyle w:val="IASBNormalnparaC"/>
      </w:pPr>
      <w:r>
        <w:t>103J</w:t>
      </w:r>
      <w:r>
        <w:tab/>
      </w:r>
      <w:bookmarkStart w:id="123" w:name="F36677685"/>
      <w:r>
        <w:t>[Eliminate]</w:t>
      </w:r>
      <w:bookmarkEnd w:id="123"/>
    </w:p>
    <w:p w:rsidR="004A7C0F" w:rsidRDefault="004A7C0F">
      <w:pPr>
        <w:pStyle w:val="IASBNormalnpara"/>
      </w:pPr>
      <w:r>
        <w:t>103K</w:t>
      </w:r>
      <w:r>
        <w:tab/>
      </w:r>
      <w:bookmarkStart w:id="124" w:name="F19043851"/>
      <w:r>
        <w:t xml:space="preserve">Documentul </w:t>
      </w:r>
      <w:r>
        <w:rPr>
          <w:i/>
        </w:rPr>
        <w:t>Îmbunătăţiri la IFRS-uri</w:t>
      </w:r>
      <w:r>
        <w:t xml:space="preserve"> emis în aprilie 2009 a modificat punctele 2 litera (g), 97 şi 100. O entitate trebuie să aplice prospectiv amendamentele la acele puncte pentru toate contractele în vigoare, pentru perioadele anuale care încep la 1 ianuarie 2010 sau ulterior acestei date. Se permite aplicarea anterior acestei date. Dacă o entitate aplică amendamentele pentru o perioadă anterioară, entitatea trebuie să prezinte acest fapt.</w:t>
      </w:r>
      <w:bookmarkEnd w:id="124"/>
    </w:p>
    <w:p w:rsidR="004A7C0F" w:rsidRDefault="004A7C0F">
      <w:pPr>
        <w:pStyle w:val="IASBNormalnpara"/>
      </w:pPr>
      <w:r>
        <w:t>103L–</w:t>
      </w:r>
    </w:p>
    <w:p w:rsidR="004A7C0F" w:rsidRDefault="004A7C0F">
      <w:pPr>
        <w:pStyle w:val="IASBNormalnparaC"/>
      </w:pPr>
      <w:r>
        <w:lastRenderedPageBreak/>
        <w:t>103P</w:t>
      </w:r>
      <w:r>
        <w:tab/>
      </w:r>
      <w:bookmarkStart w:id="125" w:name="F36677686"/>
      <w:r>
        <w:t>[Eliminate]</w:t>
      </w:r>
      <w:bookmarkEnd w:id="125"/>
    </w:p>
    <w:p w:rsidR="004A7C0F" w:rsidRDefault="004A7C0F">
      <w:pPr>
        <w:pStyle w:val="IASBNormalnpara"/>
      </w:pPr>
      <w:r>
        <w:t>103Q</w:t>
      </w:r>
      <w:r>
        <w:tab/>
      </w:r>
      <w:bookmarkStart w:id="126" w:name="F16141538"/>
      <w:r>
        <w:t xml:space="preserve">IFRS 13, emis în mai 2011, a modificat punctele 9, 13, 28, 47, 88, AG46, AG52, AG64, AG76, AG76A, AG80, AG81 şi AG96, a adăugat punctul 43A şi a eliminat punctele 48–49, AG69–AG75, AG77–AG79 şi AG82. O entitate trebuie să aplice aceste amendamente atunci când aplică IFRS 13. </w:t>
      </w:r>
      <w:bookmarkEnd w:id="126"/>
    </w:p>
    <w:p w:rsidR="004A7C0F" w:rsidRDefault="004A7C0F">
      <w:pPr>
        <w:pStyle w:val="IASBNormalnpara"/>
      </w:pPr>
      <w:r>
        <w:t>103R</w:t>
      </w:r>
      <w:r>
        <w:tab/>
      </w:r>
      <w:bookmarkStart w:id="127" w:name="F21341304"/>
      <w:r>
        <w:t xml:space="preserve">Documentul </w:t>
      </w:r>
      <w:r>
        <w:rPr>
          <w:i/>
        </w:rPr>
        <w:t>Entităţi de investiţii</w:t>
      </w:r>
      <w:r>
        <w:t xml:space="preserve"> (Amendamente la IFRS 10, IFRS 12 şi IAS 27), emis în octombrie 2012, a modificat punctele 2 şi 80. O entitate trebuie să aplice acele amendamente pentru perioadele anuale care încep la 1 ianuarie 2014 sau ulterior acestei date. Se permite aplicarea documentului </w:t>
      </w:r>
      <w:r>
        <w:rPr>
          <w:i/>
        </w:rPr>
        <w:t>Entităţi de investiţii</w:t>
      </w:r>
      <w:r>
        <w:t xml:space="preserve"> anterior acestei date. Dacă o entitate aplică aceste amendamente mai devreme, entitatea trebuie să aplice, de asemenea, toate amendamentele incluse în documentul </w:t>
      </w:r>
      <w:r>
        <w:rPr>
          <w:i/>
        </w:rPr>
        <w:t>Entităţi de investiţii</w:t>
      </w:r>
      <w:r>
        <w:t xml:space="preserve"> în acelaşi timp.</w:t>
      </w:r>
      <w:bookmarkEnd w:id="127"/>
    </w:p>
    <w:p w:rsidR="004A7C0F" w:rsidRDefault="004A7C0F">
      <w:pPr>
        <w:pStyle w:val="IASBNormalnpara"/>
      </w:pPr>
      <w:r>
        <w:t>103S</w:t>
      </w:r>
      <w:r>
        <w:tab/>
      </w:r>
      <w:bookmarkStart w:id="128" w:name="F34669052"/>
      <w:r>
        <w:t>[Eliminate]</w:t>
      </w:r>
      <w:bookmarkEnd w:id="128"/>
    </w:p>
    <w:p w:rsidR="004A7C0F" w:rsidRDefault="004A7C0F">
      <w:pPr>
        <w:pStyle w:val="IASBNormalnpara"/>
      </w:pPr>
      <w:r>
        <w:t>103T</w:t>
      </w:r>
      <w:r>
        <w:tab/>
      </w:r>
      <w:bookmarkStart w:id="129" w:name="F32767530"/>
      <w:r>
        <w:t xml:space="preserve">IFRS 15 </w:t>
      </w:r>
      <w:r>
        <w:rPr>
          <w:i/>
        </w:rPr>
        <w:t>Venituri din contractele cu clienții</w:t>
      </w:r>
      <w:r>
        <w:t>, emis în mai 2014, a modificat punctele 2, 9, 43, 47, 55, AG2, AG4 și AG48 și a adăugat punctele 2A, 44A, 55A și AG8A–AG8C. O entitate trebuie să aplice aceste amendamente atunci când aplică IFRS 15.</w:t>
      </w:r>
      <w:bookmarkEnd w:id="129"/>
    </w:p>
    <w:p w:rsidR="004A7C0F" w:rsidRDefault="004A7C0F">
      <w:pPr>
        <w:pStyle w:val="IASBNormalnpara"/>
      </w:pPr>
      <w:r>
        <w:t>103U</w:t>
      </w:r>
      <w:r>
        <w:tab/>
      </w:r>
      <w:bookmarkStart w:id="130" w:name="F36678662"/>
      <w:r>
        <w:t>IFRS 9, modificat în iulie 2014, a modificat punctele 2, 8, 9, 71, 88-90, 96, AG95, AG114, AG118 şi titlurile care preced punctul AG133 şi a eliminat punctele 1, 4–7, 10–70, 79, 103B, 103D, 103F, 103H–103J, 103L–103P, 103S, 105–107A, 108E–108F, AG1–AG93 şi AG96. O entitate trebuie să aplice aceste amendamente atunci când aplică IFRS 9.</w:t>
      </w:r>
      <w:bookmarkEnd w:id="130"/>
    </w:p>
    <w:p w:rsidR="004A7C0F" w:rsidRDefault="004A7C0F">
      <w:pPr>
        <w:pStyle w:val="IASBNormalnpara"/>
      </w:pPr>
      <w:r>
        <w:t>103V</w:t>
      </w:r>
      <w:r>
        <w:tab/>
      </w:r>
      <w:bookmarkStart w:id="131" w:name="F47222638"/>
      <w:r>
        <w:rPr>
          <w:i/>
        </w:rPr>
        <w:t>[Acest punct a fost adăugat pentru o entitate care nu a adoptat IFRS 9.]</w:t>
      </w:r>
      <w:bookmarkEnd w:id="131"/>
    </w:p>
    <w:p w:rsidR="004A7C0F" w:rsidRDefault="004A7C0F">
      <w:pPr>
        <w:pStyle w:val="IASBNormalnpara"/>
      </w:pPr>
      <w:r>
        <w:t>104</w:t>
      </w:r>
      <w:r>
        <w:tab/>
      </w:r>
      <w:bookmarkStart w:id="132" w:name="SL19043898"/>
      <w:r>
        <w:t>Prezentul standard trebuie să fie aplicat retroactiv, cu excepţia cazurilor specificate la punctul 108. Soldul iniţial al rezultatului reportat pentru cea mai îndepărtată perioadă anterioară prezentată şi pentru toate celelalte valori comparative trebuie să fie ajustat ca şi cum prezentul standard ar fi fost întotdeauna în vigoare, cu excepţia cazului în care retratarea informaţiilor ar fi imposibilă. Dacă retratarea este imposibilă, entitatea trebuie să prezinte acest fapt şi va indica măsura în care informaţiile au fost retratate.</w:t>
      </w:r>
      <w:bookmarkEnd w:id="132"/>
    </w:p>
    <w:p w:rsidR="004A7C0F" w:rsidRDefault="004A7C0F">
      <w:pPr>
        <w:pStyle w:val="IASBNormalnpara"/>
      </w:pPr>
      <w:r>
        <w:t>105–</w:t>
      </w:r>
    </w:p>
    <w:p w:rsidR="004A7C0F" w:rsidRDefault="004A7C0F">
      <w:pPr>
        <w:pStyle w:val="IASBNormalnparaC"/>
      </w:pPr>
      <w:r>
        <w:t>107A</w:t>
      </w:r>
      <w:r>
        <w:tab/>
      </w:r>
      <w:bookmarkStart w:id="133" w:name="F19160317"/>
      <w:r>
        <w:t>[Eliminate]</w:t>
      </w:r>
      <w:bookmarkEnd w:id="133"/>
    </w:p>
    <w:p w:rsidR="004A7C0F" w:rsidRDefault="004A7C0F">
      <w:pPr>
        <w:pStyle w:val="IASBNormalnpara"/>
      </w:pPr>
      <w:r>
        <w:t>108</w:t>
      </w:r>
      <w:r>
        <w:tab/>
      </w:r>
      <w:bookmarkStart w:id="134" w:name="SL33311"/>
      <w:r>
        <w:t>O entitate nu trebuie să ajusteze valoarea contabilă a activelor nefinanciare şi a datoriilor nefinanciare pentru a exclude câştigurile şi pierderile legate de acoperirile împotriva riscului asociat fluxurilor de trezorerie care au fost incluse în valoarea contabilă înainte de începutul exerciţiului financiar în care prezentul standard a fost aplicat pentru prima dată. La începutul perioadei financiare în care prezentul standard a fost aplicat pentru prima dată, orice valoare recunoscută în afara profitului sau pierderii (în alte elemente ale rezultatului global sau direct în capitalurile proprii) pentru o acoperire împotriva riscurilor a unui angajament ferm care, în baza prezentului standard, este contabilizată ca o acoperire a valorii juste împotriva riscurilor trebuie să fie reclasificată drept activ sau datorie, cu excepţia unei acoperiri împotriva riscului valutar care continuă să fie tratată ca acoperire împotriva riscului asociat fluxurilor de trezorerie.</w:t>
      </w:r>
      <w:bookmarkEnd w:id="134"/>
    </w:p>
    <w:p w:rsidR="004A7C0F" w:rsidRDefault="004A7C0F">
      <w:pPr>
        <w:pStyle w:val="IASBNormalnpara"/>
      </w:pPr>
      <w:r>
        <w:t>108A</w:t>
      </w:r>
      <w:r>
        <w:tab/>
      </w:r>
      <w:bookmarkStart w:id="135" w:name="F89947"/>
      <w:r>
        <w:t xml:space="preserve">O entitate trebuie să aplice ultima propoziţie de la punctul 80, şi punctele AG99A şi AG99B pentru perioadele anuale care încep la 1 ianuarie 2006 sau ulterior acestei date. Se încurajează aplicarea anterior acestei date. Dacă o entitate a desemnat ca element acoperit împotriva riscurilor o tranzacţie externă prognozată care </w:t>
      </w:r>
      <w:bookmarkEnd w:id="135"/>
    </w:p>
    <w:p w:rsidR="004A7C0F" w:rsidRDefault="004A7C0F">
      <w:pPr>
        <w:pStyle w:val="IASBNormalnparaL1"/>
      </w:pPr>
      <w:r>
        <w:t>(a)</w:t>
      </w:r>
      <w:r>
        <w:tab/>
      </w:r>
      <w:bookmarkStart w:id="136" w:name="SL134963"/>
      <w:r>
        <w:t>este exprimată în moneda funcţională a entităţii care încheie tranzacţia,</w:t>
      </w:r>
      <w:bookmarkEnd w:id="136"/>
    </w:p>
    <w:p w:rsidR="004A7C0F" w:rsidRDefault="004A7C0F">
      <w:pPr>
        <w:pStyle w:val="IASBNormalnparaL1"/>
      </w:pPr>
      <w:r>
        <w:t>(b)</w:t>
      </w:r>
      <w:r>
        <w:tab/>
      </w:r>
      <w:bookmarkStart w:id="137" w:name="SL134965"/>
      <w:r>
        <w:t>generează o expunere care va avea un efect asupra profitului sau pierderii consolidat(e) (adică este exprimată în altă monedă decât moneda de prezentare a grupului) şi</w:t>
      </w:r>
      <w:bookmarkEnd w:id="137"/>
    </w:p>
    <w:p w:rsidR="004A7C0F" w:rsidRDefault="004A7C0F">
      <w:pPr>
        <w:pStyle w:val="IASBNormalnparaL1"/>
      </w:pPr>
      <w:r>
        <w:t>(c)</w:t>
      </w:r>
      <w:r>
        <w:tab/>
      </w:r>
      <w:bookmarkStart w:id="138" w:name="SL134967"/>
      <w:r>
        <w:t>ar fi îndeplinit condiţiile pentru contabilitatea de acoperire împotriva riscurilor dacă nu ar fi fost exprimată în moneda funcţională a entităţii care o încheie,</w:t>
      </w:r>
      <w:bookmarkEnd w:id="138"/>
    </w:p>
    <w:p w:rsidR="004A7C0F" w:rsidRDefault="004A7C0F">
      <w:pPr>
        <w:pStyle w:val="IASBNormalnparaP"/>
      </w:pPr>
      <w:bookmarkStart w:id="139" w:name="SL134968"/>
      <w:r>
        <w:t>aceasta ar putea să aplice contabilitatea de acoperire împotriva riscurilor în situaţiile financiare consolidate din perioada (perioadele) anterioară (anterioare) datei aplicării ultimei propoziţii de la punctul 80, şi a punctelor AG99A şi AG99B.</w:t>
      </w:r>
      <w:bookmarkEnd w:id="139"/>
    </w:p>
    <w:p w:rsidR="004A7C0F" w:rsidRDefault="004A7C0F">
      <w:pPr>
        <w:pStyle w:val="IASBNormalnpara"/>
      </w:pPr>
      <w:r>
        <w:t>108B</w:t>
      </w:r>
      <w:r>
        <w:tab/>
      </w:r>
      <w:bookmarkStart w:id="140" w:name="F89948"/>
      <w:r>
        <w:t>Nu este necesar ca o entitate să aplice punctul AG99B informaţiilor comparative legate de perioadele anterioare datei aplicării ultimei propoziţii de la punctul 80 şi a punctului AG99A.</w:t>
      </w:r>
      <w:bookmarkEnd w:id="140"/>
    </w:p>
    <w:p w:rsidR="004A7C0F" w:rsidRDefault="004A7C0F">
      <w:pPr>
        <w:pStyle w:val="IASBNormalnpara"/>
      </w:pPr>
      <w:r>
        <w:t>108C</w:t>
      </w:r>
      <w:r>
        <w:tab/>
      </w:r>
      <w:bookmarkStart w:id="141" w:name="F19043986"/>
      <w:r>
        <w:t xml:space="preserve">Punctele 73 şi AG8 au fost modificate de documentul </w:t>
      </w:r>
      <w:r>
        <w:rPr>
          <w:i/>
        </w:rPr>
        <w:t xml:space="preserve">Îmbunătăţiri la IFRS-uri </w:t>
      </w:r>
      <w:r>
        <w:t xml:space="preserve">emis în mai 2008. Punctul 80 a fost modificat de documentul </w:t>
      </w:r>
      <w:r>
        <w:rPr>
          <w:i/>
        </w:rPr>
        <w:t>Îmbunătăţiri la IFRS-uri</w:t>
      </w:r>
      <w:r>
        <w:t xml:space="preserve"> emis în aprilie 2009. O entitate trebuie să aplice acele amendamente pentru perioadele anuale care încep la 1 ianuarie 2009 sau ulterior acestei date. Aplicarea anterioară a tuturor amendamentelor este permisă. Dacă o entitate aplică amendamentele pentru o perioadă anterioară, entitatea trebuie să prezinte acest fapt.</w:t>
      </w:r>
      <w:bookmarkEnd w:id="141"/>
    </w:p>
    <w:p w:rsidR="004A7C0F" w:rsidRDefault="004A7C0F">
      <w:pPr>
        <w:pStyle w:val="IASBNormalnpara"/>
      </w:pPr>
      <w:r>
        <w:t>108D</w:t>
      </w:r>
      <w:r>
        <w:tab/>
      </w:r>
      <w:bookmarkStart w:id="142" w:name="F24159823"/>
      <w:r>
        <w:t xml:space="preserve">Documentul </w:t>
      </w:r>
      <w:r>
        <w:rPr>
          <w:i/>
        </w:rPr>
        <w:t>Novaţia instrumentelor derivate şi continuarea aplicării contabilităţii de acoperire împotriva riscurilor</w:t>
      </w:r>
      <w:r>
        <w:t xml:space="preserve"> (Amendamente la IAS 39), emis în iunie 2013, a modificat punctele 91 şi 101 şi a adăugat punctul AG113A. O entitate trebuie să aplice aceste puncte pentru perioadele anuale care încep la 1 ianuarie 2014 </w:t>
      </w:r>
      <w:r>
        <w:lastRenderedPageBreak/>
        <w:t xml:space="preserve">sau ulterior acestei date. O entitate trebuie să aplice retroactiv aceste amendamente, în conformitate cu IAS 8 </w:t>
      </w:r>
      <w:r>
        <w:rPr>
          <w:i/>
        </w:rPr>
        <w:t>Politici contabile, modificări ale estimărilor contabile şi erori</w:t>
      </w:r>
      <w:r>
        <w:t>. Se permite aplicarea anterior acestei date. Dacă o entitate aplică anterior aceste amendamente, ea trebuie să prezinte acest fapt.</w:t>
      </w:r>
      <w:bookmarkEnd w:id="142"/>
    </w:p>
    <w:p w:rsidR="004A7C0F" w:rsidRDefault="004A7C0F">
      <w:pPr>
        <w:pStyle w:val="IASBNormalnpara"/>
      </w:pPr>
      <w:r>
        <w:t>108E–</w:t>
      </w:r>
    </w:p>
    <w:p w:rsidR="004A7C0F" w:rsidRDefault="004A7C0F">
      <w:pPr>
        <w:pStyle w:val="IASBNormalnparaC"/>
      </w:pPr>
      <w:r>
        <w:t>108F</w:t>
      </w:r>
      <w:r>
        <w:tab/>
      </w:r>
      <w:bookmarkStart w:id="143" w:name="F28555673"/>
      <w:r>
        <w:t>[Eliminate]</w:t>
      </w:r>
      <w:bookmarkEnd w:id="143"/>
    </w:p>
    <w:p w:rsidR="004A7C0F" w:rsidRDefault="004A7C0F">
      <w:pPr>
        <w:pStyle w:val="IASBSectionTitle1NonInd"/>
      </w:pPr>
      <w:bookmarkStart w:id="144" w:name="SL134969"/>
      <w:r>
        <w:t>Retragerea altor norme</w:t>
      </w:r>
      <w:bookmarkEnd w:id="144"/>
    </w:p>
    <w:p w:rsidR="004A7C0F" w:rsidRDefault="004A7C0F">
      <w:pPr>
        <w:pStyle w:val="IASBNormalnpara"/>
      </w:pPr>
      <w:r>
        <w:t>109</w:t>
      </w:r>
      <w:r>
        <w:tab/>
      </w:r>
      <w:bookmarkStart w:id="145" w:name="SL33312"/>
      <w:r>
        <w:t xml:space="preserve">Prezentul standard înlocuieşte IAS 39 </w:t>
      </w:r>
      <w:r>
        <w:rPr>
          <w:i/>
        </w:rPr>
        <w:t>Instrumente financiare: recunoaştere şi evaluare</w:t>
      </w:r>
      <w:r>
        <w:t xml:space="preserve"> revizuit în octombrie 2000. </w:t>
      </w:r>
      <w:bookmarkEnd w:id="145"/>
    </w:p>
    <w:p w:rsidR="004A7C0F" w:rsidRDefault="004A7C0F">
      <w:pPr>
        <w:pStyle w:val="IASBNormalnpara"/>
      </w:pPr>
      <w:r>
        <w:t>110</w:t>
      </w:r>
      <w:r>
        <w:tab/>
      </w:r>
      <w:bookmarkStart w:id="146" w:name="SL33313"/>
      <w:r>
        <w:t>Prezentul standard şi Îndrumările de implementare care îl însoţesc înlocuiesc Îndrumările de implementare emise de Comitetul pentru Îndrumări de Implementare a IAS 39, înfiinţat de fostul IASC.</w:t>
      </w:r>
      <w:bookmarkEnd w:id="146"/>
    </w:p>
    <w:p w:rsidR="004A7C0F" w:rsidRDefault="004A7C0F">
      <w:pPr>
        <w:widowControl w:val="0"/>
        <w:autoSpaceDE w:val="0"/>
        <w:autoSpaceDN w:val="0"/>
        <w:adjustRightInd w:val="0"/>
        <w:sectPr w:rsidR="004A7C0F">
          <w:headerReference w:type="even" r:id="rId6"/>
          <w:headerReference w:type="default" r:id="rId7"/>
          <w:footerReference w:type="even" r:id="rId8"/>
          <w:footerReference w:type="default" r:id="rId9"/>
          <w:pgSz w:w="11907" w:h="16839"/>
          <w:pgMar w:top="1440" w:right="1440" w:bottom="1440" w:left="1440" w:header="709" w:footer="709" w:gutter="0"/>
          <w:cols w:space="708"/>
          <w:docGrid w:linePitch="360"/>
        </w:sectPr>
      </w:pPr>
    </w:p>
    <w:p w:rsidR="004A7C0F" w:rsidRDefault="004A7C0F">
      <w:pPr>
        <w:pStyle w:val="IASBSectionTitle1NonInd"/>
        <w:pBdr>
          <w:bottom w:val="none" w:sz="0" w:space="0" w:color="auto"/>
        </w:pBdr>
      </w:pPr>
      <w:bookmarkStart w:id="147" w:name="SL134984"/>
      <w:r>
        <w:lastRenderedPageBreak/>
        <w:t>Anexa A Îndrumări de aplicare</w:t>
      </w:r>
      <w:bookmarkEnd w:id="147"/>
    </w:p>
    <w:p w:rsidR="004A7C0F" w:rsidRDefault="004A7C0F">
      <w:pPr>
        <w:pStyle w:val="IASBNote"/>
      </w:pPr>
      <w:bookmarkStart w:id="148" w:name="SL72410"/>
      <w:r>
        <w:t>Prezenta anexă este parte integrantă din prezentul standard.</w:t>
      </w:r>
      <w:bookmarkEnd w:id="148"/>
    </w:p>
    <w:p w:rsidR="004A7C0F" w:rsidRDefault="004A7C0F">
      <w:pPr>
        <w:pStyle w:val="IASBNormalnpara"/>
      </w:pPr>
      <w:r>
        <w:t>AG1–</w:t>
      </w:r>
    </w:p>
    <w:p w:rsidR="004A7C0F" w:rsidRDefault="004A7C0F">
      <w:pPr>
        <w:pStyle w:val="IASBNormalnparaC"/>
      </w:pPr>
      <w:r>
        <w:t>AG93</w:t>
      </w:r>
      <w:r>
        <w:tab/>
      </w:r>
      <w:bookmarkStart w:id="149" w:name="F36773479"/>
      <w:r>
        <w:t>[Eliminate]</w:t>
      </w:r>
      <w:bookmarkEnd w:id="149"/>
    </w:p>
    <w:p w:rsidR="004A7C0F" w:rsidRDefault="004A7C0F">
      <w:pPr>
        <w:pStyle w:val="IASBSectionTitle1NonInd"/>
      </w:pPr>
      <w:bookmarkStart w:id="150" w:name="SL135259"/>
      <w:r>
        <w:t>Acoperirea împotriva riscurilor (punctele 71-102)</w:t>
      </w:r>
      <w:bookmarkEnd w:id="150"/>
    </w:p>
    <w:p w:rsidR="004A7C0F" w:rsidRDefault="004A7C0F">
      <w:pPr>
        <w:pStyle w:val="IASBSectionTitle2Ind"/>
      </w:pPr>
      <w:bookmarkStart w:id="151" w:name="SL135260"/>
      <w:r>
        <w:t>Instrumente de acoperire împotriva riscurilor (punctele 72-77)</w:t>
      </w:r>
      <w:bookmarkEnd w:id="151"/>
    </w:p>
    <w:p w:rsidR="004A7C0F" w:rsidRDefault="004A7C0F">
      <w:pPr>
        <w:pStyle w:val="IASBSectionTitle3Ind"/>
      </w:pPr>
      <w:bookmarkStart w:id="152" w:name="SL135261"/>
      <w:r>
        <w:t>Instrumente care intră în această categorie (punctele 72 şi 73)</w:t>
      </w:r>
      <w:bookmarkEnd w:id="152"/>
    </w:p>
    <w:p w:rsidR="004A7C0F" w:rsidRDefault="004A7C0F">
      <w:pPr>
        <w:pStyle w:val="IASBNormalnpara"/>
      </w:pPr>
      <w:r>
        <w:t>AG94</w:t>
      </w:r>
      <w:r>
        <w:tab/>
      </w:r>
      <w:bookmarkStart w:id="153" w:name="SL32858"/>
      <w:r>
        <w:t>Pierderea potenţială dintr-o opţiune a cărei valoare contabilă este redusă de către entitate ar putea fi mult mai mare ca valoare decât câştigul potenţial din valoarea unui element conex acoperit împotriva riscurilor. Cu alte cuvinte, o opţiune emisă nu este eficace în reducerea expunerii elementului acoperit la riscul aferent profitului sau pierderii. Aşadar, o opţiune emisă nu îndeplineşte condiţiile pentru a fi instrument de acoperire împotriva riscurilor decât dacă este desemnată ca o compensare a unei opţiuni cumpărate, inclusiv una încorporată într-un alt instrument financiar (de exemplu, o opţiune call emisă utilizată pentru a acoperi împotriva riscurilor o datorie răscumpărabilă înainte de scadenţă). Pe de altă parte, o opţiune cumpărată are câştiguri potenţiale mai mari sau egale cu pierderile şi deci are potenţialul de a reduce expunerea profitului sau pierderii la modificările valorii juste a fluxurilor de trezorerie. În consecinţă, poate îndeplini condiţiile unui instrument de acoperire împotriva riscurilor.</w:t>
      </w:r>
      <w:bookmarkEnd w:id="153"/>
    </w:p>
    <w:p w:rsidR="004A7C0F" w:rsidRDefault="004A7C0F">
      <w:pPr>
        <w:pStyle w:val="IASBNormalnpara"/>
      </w:pPr>
      <w:r>
        <w:t>AG95</w:t>
      </w:r>
      <w:r>
        <w:tab/>
      </w:r>
      <w:bookmarkStart w:id="154" w:name="SL19045586"/>
      <w:r>
        <w:t>Un activ financiar evaluat la costul amortizat poate fi desemnat drept instrument de acoperire împotriva riscurilor într-o acoperire împotriva riscului de schimb valutar.</w:t>
      </w:r>
      <w:bookmarkEnd w:id="154"/>
    </w:p>
    <w:p w:rsidR="004A7C0F" w:rsidRDefault="004A7C0F">
      <w:pPr>
        <w:pStyle w:val="IASBNormalnpara"/>
      </w:pPr>
      <w:r>
        <w:t>AG96</w:t>
      </w:r>
      <w:r>
        <w:tab/>
      </w:r>
      <w:bookmarkStart w:id="155" w:name="F19045558"/>
      <w:r>
        <w:t>[Eliminate]</w:t>
      </w:r>
      <w:bookmarkEnd w:id="155"/>
    </w:p>
    <w:p w:rsidR="004A7C0F" w:rsidRDefault="004A7C0F">
      <w:pPr>
        <w:pStyle w:val="IASBNormalnpara"/>
      </w:pPr>
      <w:r>
        <w:t>AG97</w:t>
      </w:r>
      <w:r>
        <w:tab/>
      </w:r>
      <w:bookmarkStart w:id="156" w:name="SL32861"/>
      <w:r>
        <w:t>Propriile instrumente de capitaluri proprii ale unei entităţi nu sunt active financiare sau datorii financiare ale entităţii şi, prin urmare, nu pot fi desemnate ca instrumente de acoperire împotriva riscurilor.</w:t>
      </w:r>
      <w:bookmarkEnd w:id="156"/>
    </w:p>
    <w:p w:rsidR="004A7C0F" w:rsidRDefault="004A7C0F">
      <w:pPr>
        <w:pStyle w:val="IASBSectionTitle2Ind"/>
      </w:pPr>
      <w:bookmarkStart w:id="157" w:name="SL135262"/>
      <w:r>
        <w:t>Elemente acoperite împotriva riscurilor (punctele 78–84)</w:t>
      </w:r>
      <w:bookmarkEnd w:id="157"/>
    </w:p>
    <w:p w:rsidR="004A7C0F" w:rsidRDefault="004A7C0F">
      <w:pPr>
        <w:pStyle w:val="IASBSectionTitle3Ind"/>
      </w:pPr>
      <w:bookmarkStart w:id="158" w:name="SL135263"/>
      <w:r>
        <w:t>Elemente care intră în această categorie (punctele 78–80)</w:t>
      </w:r>
      <w:bookmarkEnd w:id="158"/>
    </w:p>
    <w:p w:rsidR="004A7C0F" w:rsidRDefault="004A7C0F">
      <w:pPr>
        <w:pStyle w:val="IASBNormalnpara"/>
      </w:pPr>
      <w:r>
        <w:t>AG98</w:t>
      </w:r>
      <w:r>
        <w:tab/>
      </w:r>
      <w:bookmarkStart w:id="159" w:name="SL32862"/>
      <w:r>
        <w:t>Un angajament ferm de a achiziţiona o activitate într-o combinare de întreprinderi nu poate fi un element acoperit împotriva riscului, cu excepţia riscului de schimb valutar, deoarece celelalte riscuri de acoperit nu pot fi identificate sau evaluate în mod specific. Aceste alte riscuri sunt riscuri generale de activitate.</w:t>
      </w:r>
      <w:bookmarkEnd w:id="159"/>
    </w:p>
    <w:p w:rsidR="004A7C0F" w:rsidRDefault="004A7C0F">
      <w:pPr>
        <w:pStyle w:val="IASBNormalnpara"/>
      </w:pPr>
      <w:r>
        <w:t>AG99</w:t>
      </w:r>
      <w:r>
        <w:tab/>
      </w:r>
      <w:bookmarkStart w:id="160" w:name="SL32863"/>
      <w:r>
        <w:t>O investiţie contabilizată prin metoda punerii în echivalenţă nu poate fi un element acoperit împotriva riscului într-o acoperire a valorii juste împotriva riscurilor deoarece metoda punerii în echivalenţă recunoaşte în profit sau în pierdere mai degrabă cota-parte a investitorului din pierderea sau profitul entităţii asociate decât modificările valorii juste a investiţiei. Dintr-un motiv similar, o investiţie într-o filială consolidată nu poate fi un element acoperit împotriva riscului deoarece consolidarea recunoaşte în profit sau în pierdere mai degrabă profitul sau pierderea filialei decât modificările valorii juste a investiţiei. O acoperire a unei investiţii nete într-o operaţiune din străinătate este diferită deoarece este o acoperire a unei expuneri la riscul valutar, nu o acoperire a valorii juste împotriva riscurilor aferente modificării valorii investiţiei.</w:t>
      </w:r>
      <w:bookmarkEnd w:id="160"/>
    </w:p>
    <w:p w:rsidR="004A7C0F" w:rsidRDefault="004A7C0F">
      <w:pPr>
        <w:pStyle w:val="IASBNormalnpara"/>
      </w:pPr>
      <w:r>
        <w:t>AG99A</w:t>
      </w:r>
      <w:r>
        <w:tab/>
      </w:r>
      <w:bookmarkStart w:id="161" w:name="F89950"/>
      <w:r>
        <w:t xml:space="preserve">Punctul 80 stipulează că în situaţiile financiare consolidate riscul valutar dintr-o tranzacţie prognozată din interiorul grupului şi care este foarte probabilă poate îndeplini condiţiile pentru un element acoperit împotriva riscurilor într-o acoperire împotriva riscului asociat fluxurilor de trezorerie, cu condiţia ca tranzacţia să fie exprimată într-o altă monedă decât moneda funcţională a entităţii care iniţiază acea tranzacţie, iar riscul valutar va afecta profitul sau pierderea consolidat(ă). În acest scop, o entitate poate fi o societate-mamă, o filială, o entitate asociată, o asociere în participaţie sau o sucursală. Dacă riscul valutar al unei tranzacţii prognozate din interiorul grupului nu afectează profitul sau pierderea consolidat(ă), tranzacţia în interiorul grupului nu îndeplineşte condiţiile unui element acoperit împotriva riscurilor. Acesta este de obicei cazul plăţilor redevențelor, dobânzilor sau modificărilor de management între membrii aceluiaşi grup dacă nu este vorba de o tranzacţie externă aferentă. Totuşi, atunci când riscul valutar al unei tranzacţii prognozate în interiorul grupului va afecta profitul sau pierderea consolidat(ă), tranzacţia din interiorul grupului poate îndeplini condiţiile unui element acoperit împotriva riscurilor. Un exemplu îl </w:t>
      </w:r>
      <w:r>
        <w:lastRenderedPageBreak/>
        <w:t>constituie vânzările sau achiziţiile prognozate de stocuri între membrii aceluiaşi grup, dacă există o vânzare în curs a stocului către o parte din afara grupului. În mod similar, o vânzare prognozată de imobilizări corporale în interiorul grupului între o entitate care face parte din grup și care le-a produs şi o entitate din grup care va utiliza imobilizările corporale în operaţiunile sale poate afecta profitul sau pierderea consolidat(ă). Acest lucru se poate întâmpla, de exemplu, deoarece imobilizările corporale vor fi depreciate de către entitatea care le cumpără, iar valoarea recunoscută iniţial pentru imobilizările corporale se poate modifica dacă tranzacţia prognozată din interiorul grupului este exprimată în altă monedă decât moneda funcţională a entităţii care le cumpără.</w:t>
      </w:r>
      <w:bookmarkEnd w:id="161"/>
    </w:p>
    <w:p w:rsidR="004A7C0F" w:rsidRDefault="004A7C0F">
      <w:pPr>
        <w:pStyle w:val="IASBNormalnpara"/>
      </w:pPr>
      <w:r>
        <w:t>AG99B</w:t>
      </w:r>
      <w:r>
        <w:tab/>
      </w:r>
      <w:bookmarkStart w:id="162" w:name="F89951"/>
      <w:r>
        <w:t>Dacă acoperirea împotriva riscului a unei tranzacţii prognozate din interiorul grupului îndeplineşte condiţiile pentru contabilitatea de acoperire împotriva riscurilor, orice câştig sau pierdere recunoscut(ă) la alte elemente ale rezultatului global în conformitate cu punctul 95 litera (a) trebuie reclasificat(ă) în profit sau pierdere ca ajustare din reclasificare din aceeaşi perioadă sau aceleaşi perioade în care riscul valutar al tranzacţiei acoperite împotriva riscurilor afectează profitul sau pierderea consolidat(ă).</w:t>
      </w:r>
      <w:bookmarkEnd w:id="162"/>
    </w:p>
    <w:p w:rsidR="004A7C0F" w:rsidRDefault="004A7C0F">
      <w:pPr>
        <w:pStyle w:val="IASBNormalnpara"/>
      </w:pPr>
      <w:r>
        <w:t>AG99BA</w:t>
      </w:r>
      <w:r>
        <w:tab/>
      </w:r>
      <w:bookmarkStart w:id="163" w:name="F7160316"/>
      <w:r>
        <w:t xml:space="preserve">O entitate poate desemna toate modificările fluxurilor de trezorerie sau ale valorii juste a unui element acoperit împotriva riscurilor într-o relaţie de acoperire împotriva riscurilor. O entitate poate desemna, de asemenea, numai modificări ale fluxurilor de trezorerie sau ale valorii juste a unui element acoperit împotriva riscurilor peste sau sub un preţ specificat sau o altă variabilă (un risc parţial). Valoarea intrinsecă a unui instrument de acoperire împotriva riscurilor a opţiunii cumpărate (presupunând că are aceleași termene de bază ca riscul desemnat), dar nu valoarea sa timp, reflectă un risc unilateral într-un element acoperit împotriva riscurilor. De exemplu, o entitate poate desemna variabilitatea rezultatelor viitoare ale fluxurilor de trezorerie generate de o creştere a preţului unei achiziții prognozate de mărfuri. Într-o asemenea situaţie, sunt desemnate numai pierderile aferente fluxurilor de trezorerie rezultate dintr-o creştere a preţului peste nivelul specificat. Riscul acoperit nu cuprinde valoarea-timp a unei opţiuni de cumpărare deoarece valoarea-timp nu este o componentă a tranzacţiei prognozate care afectează profitul sau pierderea (punctul 86 litera (b)). </w:t>
      </w:r>
      <w:bookmarkEnd w:id="163"/>
    </w:p>
    <w:p w:rsidR="004A7C0F" w:rsidRDefault="004A7C0F">
      <w:pPr>
        <w:pStyle w:val="IASBSectionTitle3Ind"/>
      </w:pPr>
      <w:bookmarkStart w:id="164" w:name="SL135264"/>
      <w:r>
        <w:t>Desemnarea elementelor financiare drept elemente acoperite împotriva riscurilor (punctele 81 şi 81A)</w:t>
      </w:r>
      <w:bookmarkEnd w:id="164"/>
    </w:p>
    <w:p w:rsidR="004A7C0F" w:rsidRDefault="004A7C0F">
      <w:pPr>
        <w:pStyle w:val="IASBNormalnpara"/>
      </w:pPr>
      <w:r>
        <w:t>AG99C</w:t>
      </w:r>
      <w:r>
        <w:tab/>
      </w:r>
      <w:bookmarkStart w:id="165" w:name="SL32864"/>
      <w:r>
        <w:t>Dacă o parte a fluxurilor de trezorerie ale unui activ financiar sau ale unei datorii financiare este desemnată drept element acoperit împotriva riscurilor, acea parte desemnată trebuie să fie mai mică decât fluxurile de trezorerie totale ale activului sau datoriei. De exemplu, în cazul unei datorii a cărei rată a dobânzii efective este sub LIBOR, o entitate nu poate desemna (a) o parte a datoriei egală cu valoarea principalului plus dobânda la LIBOR şi (b) o parte reziduală negativă. Totuşi, entitatea poate desemna toate fluxurile de trezorerie ale întregului activ financiar sau ale întregii datorii financiare drept element acoperit şi le poate acoperi doar pentru un anumit risc (de exemplu, doar pentru modificările care se pot atribui modificărilor LIBOR). De exemplu, în cazul unei datorii financiare a cărei rată a dobânzii efective este de 100 puncte de bază sub LIBOR, o entitate poate desemna ca element acoperit întreaga datorie (adică principalul plus dobânda la LIBOR minus 100 puncte de bază) şi acoperi modificarea valorii juste sau a fluxurilor de trezorerie pentru întreaga datorie care se atribuie modificărilor LIBOR. Entitatea poate să aleagă, de asemenea, un indice de acoperire, altul decât unu la unu, pentru a îmbunătăţi eficacitatea acoperirii, după cum este descris la punctul AG100.</w:t>
      </w:r>
      <w:bookmarkEnd w:id="165"/>
    </w:p>
    <w:p w:rsidR="004A7C0F" w:rsidRDefault="004A7C0F">
      <w:pPr>
        <w:pStyle w:val="IASBNormalnpara"/>
      </w:pPr>
      <w:r>
        <w:t>AG99D</w:t>
      </w:r>
      <w:r>
        <w:tab/>
      </w:r>
      <w:bookmarkStart w:id="166" w:name="SL32865"/>
      <w:r>
        <w:t>În plus, dacă un instrument financiar cu rată fixă este acoperit la un moment ulterior emiterii sale şi ratele dobânzii s-au modificat între timp, entitatea poate desemna o parte egală cu o rată de referinţă care este mai mare decât rata contractuală plătită pentru elementul respectiv. Entitatea poate face acest lucru cu condiţia ca rata de referinţă să fie mai mică decât rata dobânzii efective calculată presupunând că entitatea a cumpărat instrumentul în ziua în care a desemnat pentru prima dată elementul acoperit împotriva riscurilor. De exemplu, să presupunem că entitatea emite un activ financiar cu rată fixă în valoare de 100 u.m. care are o rată a dobânzii efective de 6% în momentul în care LIBOR este 4%. Entitatea începe să acopere acel activ la un moment ulterior, când LIBOR a crescut la 8% şi valoarea justă a activului a scăzut la 90 u.m. Entitatea calculează că dacă ar fi cumpărat activul la data la care l-a desemnat pentru prima dată ca element acoperit pentru valoarea sa justă de 90 u.m., randamentul efectiv ar fi fost de 9,5%. Deoarece LIBOR este mai mic decât acest randament efectiv, entitatea poate desemna o parte a LIBOR de 8% care constă parţial în fluxuri de trezorerie din dobândă contractuale şi parţial în diferenţa dintre valoarea justă curentă (adică 90 u.m.) şi valoarea rambursabilă la scadenţă (adică 100 u.m.).</w:t>
      </w:r>
      <w:bookmarkEnd w:id="166"/>
    </w:p>
    <w:p w:rsidR="004A7C0F" w:rsidRDefault="004A7C0F">
      <w:pPr>
        <w:pStyle w:val="IASBNormalnpara"/>
      </w:pPr>
      <w:r>
        <w:t>AG99E</w:t>
      </w:r>
      <w:r>
        <w:tab/>
      </w:r>
      <w:bookmarkStart w:id="167" w:name="F7160317"/>
      <w:r>
        <w:t>Punctul 81 permite unei entităţi să desemneze altceva decât modificarea întregii valori juste sau variabilitatea fluxurilor de trezorerie aferente unui instrument financiar. De exemplu:</w:t>
      </w:r>
      <w:bookmarkEnd w:id="167"/>
    </w:p>
    <w:p w:rsidR="004A7C0F" w:rsidRDefault="004A7C0F">
      <w:pPr>
        <w:pStyle w:val="IASBNormalnparaL1"/>
      </w:pPr>
      <w:r>
        <w:t>(a)</w:t>
      </w:r>
      <w:r>
        <w:tab/>
      </w:r>
      <w:bookmarkStart w:id="168" w:name="F7160391"/>
      <w:r>
        <w:t>toate fluxurile de trezorerie aferente unui instrument financiar pot fi desemnate pentru modificări ale fluxurilor de trezorerie sau ale valorii juste atribuibile unor riscuri (dar nu tuturor riscurilor); sau</w:t>
      </w:r>
      <w:bookmarkEnd w:id="168"/>
    </w:p>
    <w:p w:rsidR="004A7C0F" w:rsidRDefault="004A7C0F">
      <w:pPr>
        <w:pStyle w:val="IASBNormalnparaL1"/>
      </w:pPr>
      <w:r>
        <w:lastRenderedPageBreak/>
        <w:t>(b)</w:t>
      </w:r>
      <w:r>
        <w:tab/>
      </w:r>
      <w:bookmarkStart w:id="169" w:name="F7160393"/>
      <w:r>
        <w:t>unele fluxuri de trezorerie (dar nu toate) aferente unui instrument financiar pot fi desemnate pentru modificări ale fluxurilor de trezorerie sau ale valorii juste atribuibile tuturor sau numai unora dintre riscuri (adică o „parte” a fluxurilor de trezorerie aferente instrumentului financiar poate fi desemnată pentru modificări atribuibile tuturor sau numai unora dintre riscuri).</w:t>
      </w:r>
      <w:bookmarkEnd w:id="169"/>
    </w:p>
    <w:p w:rsidR="004A7C0F" w:rsidRDefault="004A7C0F">
      <w:pPr>
        <w:pStyle w:val="IASBNormalnpara"/>
      </w:pPr>
      <w:r>
        <w:t>AG99F</w:t>
      </w:r>
      <w:r>
        <w:tab/>
      </w:r>
      <w:bookmarkStart w:id="170" w:name="F7160433"/>
      <w:r>
        <w:t>Pentru a îndeplini condiţiile contabilităţii de acoperire împotriva riscurilor, riscurile desemnate şi părţile trebuie să fie componente identificabile separat ale instrumentului financiar, iar modificările fluxurilor de trezorerie sau ale valorii juste aferente întregului instrument financiar care rezultă din modificările riscurilor şi părţilor trebuie să poată fi evaluate în mod fiabil. De exemplu:</w:t>
      </w:r>
      <w:bookmarkEnd w:id="170"/>
    </w:p>
    <w:p w:rsidR="004A7C0F" w:rsidRDefault="004A7C0F">
      <w:pPr>
        <w:pStyle w:val="IASBNormalnparaL1"/>
      </w:pPr>
      <w:r>
        <w:t>(a)</w:t>
      </w:r>
      <w:r>
        <w:tab/>
      </w:r>
      <w:bookmarkStart w:id="171" w:name="F7160436"/>
      <w:r>
        <w:t>pentru un instrument financiar cu rată fixă acoperit împotriva modificărilor valorii juste atribuibile modificărilor ratei dobânzii de referinţă fără riscuri, rata de referinţă fără riscuri este considerată în mod normal atât ca o componentă identificabilă separat a instrumentului financiar, cât şi evaluabilă în mod fiabil.</w:t>
      </w:r>
      <w:bookmarkEnd w:id="171"/>
    </w:p>
    <w:p w:rsidR="004A7C0F" w:rsidRDefault="004A7C0F">
      <w:pPr>
        <w:pStyle w:val="IASBNormalnparaL1"/>
      </w:pPr>
      <w:r>
        <w:t>(b)</w:t>
      </w:r>
      <w:r>
        <w:tab/>
      </w:r>
      <w:bookmarkStart w:id="172" w:name="F7160438"/>
      <w:r>
        <w:t>inflaţia nu este identificabilă separat şi evaluabilă în mod fiabil şi nu poate fi desemnată ca un risc sau o parte a unui instrument financiar dacă nu sunt îndeplinite condiţiile de la litera (c).</w:t>
      </w:r>
      <w:bookmarkEnd w:id="172"/>
    </w:p>
    <w:p w:rsidR="004A7C0F" w:rsidRDefault="004A7C0F">
      <w:pPr>
        <w:pStyle w:val="IASBNormalnparaL1"/>
      </w:pPr>
      <w:r>
        <w:t>(c)</w:t>
      </w:r>
      <w:r>
        <w:tab/>
      </w:r>
      <w:bookmarkStart w:id="173" w:name="F7160440"/>
      <w:r>
        <w:t>o parte a inflaţiei specificate în contract aferentă fluxurilor de trezorerie ale unei obligaţiuni recunoscute legate de inflaţie (presupunând că nu există nicio dispoziţie de contabilizare separată a unui instrument derivat încorporat) este identificabilă separat şi evaluabilă în mod fiabil atât timp cât alte fluxuri de trezorerie aferente instrumentului nu sunt afectate de partea de inflaţie.</w:t>
      </w:r>
      <w:bookmarkEnd w:id="173"/>
    </w:p>
    <w:p w:rsidR="004A7C0F" w:rsidRDefault="004A7C0F">
      <w:pPr>
        <w:pStyle w:val="IASBSectionTitle3Ind"/>
      </w:pPr>
      <w:bookmarkStart w:id="174" w:name="SL135265"/>
      <w:r>
        <w:t>Desemnarea elementelor nefinanciare drept elemente acoperite împotriva riscurilor (punctul 82)</w:t>
      </w:r>
      <w:bookmarkEnd w:id="174"/>
    </w:p>
    <w:p w:rsidR="004A7C0F" w:rsidRDefault="004A7C0F">
      <w:pPr>
        <w:pStyle w:val="IASBNormalnpara"/>
      </w:pPr>
      <w:r>
        <w:t>AG100</w:t>
      </w:r>
      <w:r>
        <w:tab/>
      </w:r>
      <w:bookmarkStart w:id="175" w:name="SL32866"/>
      <w:r>
        <w:t>Modificările preţului unui ingredient sau al unei componente a unui activ nefinanciar sau a unei datorii nefinanciare în general nu au un efect previzibil, evaluabil separat asupra preţului elementului care să fie comparabil cu efectul, să zicem, al unei modificări a ratelor dobânzii pe piaţă asupra preţului unei obligaţiuni. Astfel, un activ nefinanciar sau o datorie nefinanciară este un element acoperit doar în totalitatea sa sau doar pentru riscul de schimb valutar. Dacă există o diferenţă între condiţiile instrumentului de acoperire împotriva riscurilor şi cele ale elementului acoperit (cum ar fi pentru o acoperire a unei achiziţii prognozate de cafea braziliană utilizând un contract forward pentru a achiziţiona cafea columbiană în condiţii de altfel similare), relaţia de acoperire împotriva riscurilor îndeplineşte condiţiile unei relaţii acoperite, cu condiţia să fie îndeplinite toate dispoziţiile de la punctul 88, inclusiv aceea că se preconizează ca acoperirea să fie foarte eficace. În acest scop, valoarea instrumentului de acoperire împotriva riscurilor poate fi mai mare sau mai mică decât cea a elementului acoperit dacă aceasta îmbunătăţeşte eficacitatea relaţiei de acoperire împotriva riscurilor. De exemplu, o analiză de regresie poate fi efectuată pentru a determina o relaţie statistică între elementul acoperit (de exemplu, o tranzacţie cu cafea braziliană) şi instrumentul de acoperire împotriva riscurilor (de exemplu, o tranzacţie cu cafea columbiană). Dacă există o relaţie statistică între cele două variabile (adică între preţurile unitare ale cafelei braziliene şi cele ale cafelei columbiene), panta dreptei de regresie poate fi utilizată pentru a stabili indicele de acoperire care va maximiza eficacitatea aşteptată. De exemplu, dacă panta dreptei de regresie este 1,02, eficacitatea estimată este maximizată de un indice de acoperire bazat pe 0,98 unităţi de elemente acoperite ce corespund cu 1,00 unităţi de instrument de acoperire împotriva riscurilor. Cu toate acestea, relaţia de acoperire împotriva riscurilor poate duce la ineficacitate, care este recunoscută în profit sau pierdere pe durata relaţiei de acoperire împotriva riscurilor.</w:t>
      </w:r>
      <w:bookmarkEnd w:id="175"/>
    </w:p>
    <w:p w:rsidR="004A7C0F" w:rsidRDefault="004A7C0F">
      <w:pPr>
        <w:pStyle w:val="IASBSectionTitle3Ind"/>
      </w:pPr>
      <w:bookmarkStart w:id="176" w:name="SL135266"/>
      <w:r>
        <w:t>Desemnarea grupurilor de elemente drept elemente acoperite împotriva riscurilor (punctele 83 şi 84)</w:t>
      </w:r>
      <w:bookmarkEnd w:id="176"/>
    </w:p>
    <w:p w:rsidR="004A7C0F" w:rsidRDefault="004A7C0F">
      <w:pPr>
        <w:pStyle w:val="IASBNormalnpara"/>
      </w:pPr>
      <w:r>
        <w:t>AG101</w:t>
      </w:r>
      <w:r>
        <w:tab/>
      </w:r>
      <w:bookmarkStart w:id="177" w:name="SL32867"/>
      <w:r>
        <w:t xml:space="preserve">O acoperire a unei poziţii nete generale (de exemplu, fără niciun activ cu rată fixă şi fără nicio datorie cu rată fixă cu scadenţe similare) mai degrabă decât a unui element acoperit specific nu îndeplineşte condiţiile pentru contabilitatea de acoperire împotriva riscurilor. Cu toate acestea, aproape acelaşi efect asupra profitului sau pierderii contabilităţii de acoperire împotriva riscurilor pentru acest tip de relaţie de acoperire împotriva riscurilor poate fi realizat prin desemnarea ca o parte a elementului acoperit din elementele de bază. De exemplu, dacă o bancă are active în valoare de 100 u.m. şi datorii în valoare de 90 u.m., cu riscuri şi termene de natură similară, şi acoperă expunerea netă de 10 u.m., ea poate desemna ca element acoperit împotriva riscurilor 10 u.m. din acele active. Această desemnare poate fi utilizată dacă astfel de active şi datorii sunt instrumente cu rată fixă, caz în care aceasta reprezintă acoperirea valorii juste împotriva riscurilor, sau dacă sunt instrumente cu rate variabile, caz în care aceasta reprezintă acoperirea împotriva riscului asociat fluxurilor de trezorerie. În mod similar, dacă o entitate are un angajament ferm de a face o achiziţie în valută de 100 u.m. şi un angajament ferm de a face o vânzare în valută de 90 u.m., aceasta poate acoperi împotriva riscurilor valoarea netă de 10 u.m. prin dobândirea unui instrument derivat şi prin </w:t>
      </w:r>
      <w:r>
        <w:lastRenderedPageBreak/>
        <w:t>desemnarea acestuia ca instrument de acoperire împotriva riscurilor asociat cu 10 u.m. din angajamentul ferm de achiziţionare a 100 u.m.</w:t>
      </w:r>
      <w:bookmarkEnd w:id="177"/>
    </w:p>
    <w:p w:rsidR="004A7C0F" w:rsidRDefault="004A7C0F">
      <w:pPr>
        <w:pStyle w:val="IASBSectionTitle2Ind"/>
      </w:pPr>
      <w:bookmarkStart w:id="178" w:name="SL135267"/>
      <w:r>
        <w:t>Contabilitatea de acoperire împotriva riscurilor (punctele 85–102)</w:t>
      </w:r>
      <w:bookmarkEnd w:id="178"/>
    </w:p>
    <w:p w:rsidR="004A7C0F" w:rsidRDefault="004A7C0F">
      <w:pPr>
        <w:pStyle w:val="IASBNormalnpara"/>
      </w:pPr>
      <w:r>
        <w:t>AG102</w:t>
      </w:r>
      <w:r>
        <w:tab/>
      </w:r>
      <w:bookmarkStart w:id="179" w:name="SL32868"/>
      <w:r>
        <w:t>Un exemplu de acoperire a valorii juste împotriva riscurilor este o acoperire a expunerii la modificările valorii juste a unui instrument de datorie cu rată fixă ca rezultat al modificărilor ratelor dobânzii. O astfel de acoperire împotriva riscurilor poate fi iniţiată de către emitent sau de către deţinător.</w:t>
      </w:r>
      <w:bookmarkEnd w:id="179"/>
    </w:p>
    <w:p w:rsidR="004A7C0F" w:rsidRDefault="004A7C0F">
      <w:pPr>
        <w:pStyle w:val="IASBNormalnpara"/>
      </w:pPr>
      <w:r>
        <w:t>AG103</w:t>
      </w:r>
      <w:r>
        <w:tab/>
      </w:r>
      <w:bookmarkStart w:id="180" w:name="SL32869"/>
      <w:r>
        <w:t>Un exemplu de acoperire împotriva riscului asociat fluxurilor de trezorerie este utilizarea unui swap pentru a modifica datoria cu rată fluctuantă într-o datorie cu rată fixă (adică o acoperire a unei tranzacţii viitoare în care fluxurile de trezorerie viitoare acoperite reprezintă plăţi viitoare ale dobânzii).</w:t>
      </w:r>
      <w:bookmarkEnd w:id="180"/>
    </w:p>
    <w:p w:rsidR="004A7C0F" w:rsidRDefault="004A7C0F">
      <w:pPr>
        <w:pStyle w:val="IASBNormalnpara"/>
      </w:pPr>
      <w:r>
        <w:t>AG104</w:t>
      </w:r>
      <w:r>
        <w:tab/>
      </w:r>
      <w:bookmarkStart w:id="181" w:name="SL32870"/>
      <w:r>
        <w:t>O acoperire împotriva riscurilor a unui angajament ferm (de exemplu, o acoperire a modificării preţului carburantului aferentă unui angajament contractual nerecunoscut de către o reţea publică de distribuţie a energiei electrice de a cumpăra carburant la un preţ fix) reprezintă o acoperire a unei expuneri la o modificare a valorii juste. În consecinţă, o astfel de acoperire reprezintă o acoperire a valorii juste împotriva riscurilor. Totuși, în conformitate cu punctul 87, o acoperire a riscului valutar aferent unui angajament ferm poate fi contabilizată în mod alternativ ca acoperire împotriva riscului asociat fluxurilor de trezorerie.</w:t>
      </w:r>
      <w:bookmarkEnd w:id="181"/>
    </w:p>
    <w:p w:rsidR="004A7C0F" w:rsidRDefault="004A7C0F">
      <w:pPr>
        <w:pStyle w:val="IASBSectionTitle3Ind"/>
      </w:pPr>
      <w:bookmarkStart w:id="182" w:name="SL135268"/>
      <w:r>
        <w:t>Evaluarea eficacităţii acoperirii împotriva riscurilor</w:t>
      </w:r>
      <w:bookmarkEnd w:id="182"/>
    </w:p>
    <w:p w:rsidR="004A7C0F" w:rsidRDefault="004A7C0F">
      <w:pPr>
        <w:pStyle w:val="IASBNormalnpara"/>
      </w:pPr>
      <w:r>
        <w:t>AG105</w:t>
      </w:r>
      <w:r>
        <w:tab/>
      </w:r>
      <w:bookmarkStart w:id="183" w:name="SL32871"/>
      <w:r>
        <w:t xml:space="preserve">O acoperire este considerată a fi foarte eficace dacă următoarele condiţii sunt îndeplinite: </w:t>
      </w:r>
      <w:bookmarkEnd w:id="183"/>
    </w:p>
    <w:p w:rsidR="004A7C0F" w:rsidRDefault="004A7C0F">
      <w:pPr>
        <w:pStyle w:val="IASBNormalnparaL1"/>
      </w:pPr>
      <w:r>
        <w:t>(a)</w:t>
      </w:r>
      <w:r>
        <w:tab/>
      </w:r>
      <w:bookmarkStart w:id="184" w:name="SL135271"/>
      <w:r>
        <w:t>La începutul acoperirii împotriva riscurilor şi în perioadele ulterioare se preconizează ca acoperirea să fie foarte eficace în realizarea compensării modificărilor valorii juste sau ale fluxurilor de trezorerie atribuibile riscului acoperit în decursul perioadei pentru care este desemnată acoperirea. O astfel de preconizare poate fi demonstrată prin metode diferite, inclusiv o comparare a modificărilor anterioare ale valorii juste sau ale fluxurilor de trezorerie ale elementului acoperit atribuibile riscului acoperit cu modificările anterioare ale valorii juste sau ale fluxurilor de trezorerie ale instrumentului de acoperire împotriva riscurilor, sau prin demonstrarea unei corelări statistice pronunţate între valoarea justă sau fluxurile de trezorerie ale elementului acoperit şi cele ale instrumentului de acoperire împotriva riscurilor. Entitatea poate să aleagă, de asemenea, un indice de acoperire, altul decât unu la unu, pentru a îmbunătăţi eficacitatea acoperirii, aşa cum este descris la punctul AG100.</w:t>
      </w:r>
      <w:bookmarkEnd w:id="184"/>
    </w:p>
    <w:p w:rsidR="004A7C0F" w:rsidRDefault="004A7C0F">
      <w:pPr>
        <w:pStyle w:val="IASBNormalnparaL1"/>
      </w:pPr>
      <w:r>
        <w:t>(b)</w:t>
      </w:r>
      <w:r>
        <w:tab/>
      </w:r>
      <w:bookmarkStart w:id="185" w:name="SL135273"/>
      <w:r>
        <w:t>Rezultatele reale ale acoperirii se regăsesc în intervalul de 80-125%. De exemplu, dacă rezultatele reale sunt de aşa natură încât pierderea aferentă instrumentului de acoperire împotriva riscurilor este de 120 u.m. şi câştigul aferent instrumentului de numerar este de 100 u.m., compensarea poate fi evaluată prin 120/100, care reprezintă 120%, sau prin 100/120, care reprezintă 83%. În acest exemplu, presupunând că acoperirea îndeplineşte condiţiile de la litera (a), entitatea ar ajunge la concluzia că acoperirea a fost foarte eficace.</w:t>
      </w:r>
      <w:bookmarkEnd w:id="185"/>
    </w:p>
    <w:p w:rsidR="004A7C0F" w:rsidRDefault="004A7C0F">
      <w:pPr>
        <w:pStyle w:val="IASBNormalnpara"/>
      </w:pPr>
      <w:r>
        <w:t>AG106</w:t>
      </w:r>
      <w:r>
        <w:tab/>
      </w:r>
      <w:bookmarkStart w:id="186" w:name="SL32872"/>
      <w:r>
        <w:t>Eficacitatea este evaluată cel puţin la momentul la care entitatea întocmeşte situaţiile sale financiare anuale sau interimare.</w:t>
      </w:r>
      <w:bookmarkEnd w:id="186"/>
    </w:p>
    <w:p w:rsidR="004A7C0F" w:rsidRDefault="004A7C0F">
      <w:pPr>
        <w:pStyle w:val="IASBNormalnpara"/>
      </w:pPr>
      <w:r>
        <w:t>AG107</w:t>
      </w:r>
      <w:r>
        <w:tab/>
      </w:r>
      <w:bookmarkStart w:id="187" w:name="SL32873"/>
      <w:r>
        <w:t>Prezentul standard nu specifică o metodă unică pentru evaluarea eficacităţii acoperirii împotriva riscurilor. Metoda pe care o entitate o adoptă pentru evaluarea eficacităţii acoperirii împotriva riscurilor depinde de strategia sa de gestionare a riscului. De exemplu, dacă strategia unei entităţi de gestionare a riscului este de a ajusta valoarea instrumentului de acoperire împotriva riscurilor periodic pentru a reflecta modificările poziţiei acoperite împotriva riscurilor, entitatea trebuie să demonstreze că se aşteaptă ca acoperirea împotriva riscurilor să fie foarte eficace doar pentru perioada până când valoarea instrumentului de acoperire împotriva riscului este ajustată data următoare. În anumite cazuri, entitatea adoptă diferite metode pentru diferite tipuri de acoperiri împotriva riscurilor. Documentaţia unei entităţi cu privire la strategia sa de acoperire împotriva riscurilor cuprinde procedurile sale pentru evaluarea eficacităţii. Aceste proceduri stipulează dacă evaluarea include toate câştigurile sau pierderile aferente unui instrument de acoperire împotriva riscurilor sau dacă valoarea-timp a instrumentului este exclusă.</w:t>
      </w:r>
      <w:bookmarkEnd w:id="187"/>
    </w:p>
    <w:p w:rsidR="004A7C0F" w:rsidRDefault="004A7C0F">
      <w:pPr>
        <w:pStyle w:val="IASBNormalnpara"/>
      </w:pPr>
      <w:r>
        <w:t>AG107A</w:t>
      </w:r>
      <w:r>
        <w:tab/>
      </w:r>
      <w:bookmarkStart w:id="188" w:name="SL32874"/>
      <w:r>
        <w:t>Dacă o entitate acoperă împotriva riscurilor mai puţin de 100% din expunerea unui element, cum ar fi 85%, ea trebuie să desemneze elementul acoperit drept 85% din expunere şi trebuie să evalueze ineficacitatea pe baza modificării acelei expuneri desemnate de 85%. Totuşi, atunci când acoperă împotriva riscurilor expunerea desemnată de 85%, entitatea poate utiliza altă rată de acoperire decât unu la unu dacă aceasta îmbunătăţeşte eficacitatea preconizată a acoperirii împotriva riscurilor, aşa cum s-a explicat la punctul AG100.</w:t>
      </w:r>
      <w:bookmarkEnd w:id="188"/>
    </w:p>
    <w:p w:rsidR="004A7C0F" w:rsidRDefault="004A7C0F">
      <w:pPr>
        <w:pStyle w:val="IASBNormalnpara"/>
      </w:pPr>
      <w:r>
        <w:t>AG108</w:t>
      </w:r>
      <w:r>
        <w:tab/>
      </w:r>
      <w:bookmarkStart w:id="189" w:name="SL32875"/>
      <w:r>
        <w:t xml:space="preserve">În cazul în care condiţiile principale ale instrumentului de acoperire împotriva riscurilor şi ale activului, datoriei, angajamentului ferm sau tranzacţiei prognozate foarte probabile care este acoperită împotriva </w:t>
      </w:r>
      <w:r>
        <w:lastRenderedPageBreak/>
        <w:t>riscurilor sunt aceleaşi, modificările valorii juste şi ale fluxurilor de trezorerie care se pot atribui riscului care este acoperit s-ar putea să se compenseze pe deplin şi atunci când începe acoperirea împotriva riscului, şi după aceea. De exemplu, este probabil ca un swap pe rata dobânzii să fie o acoperire eficace împotriva riscurilor dacă valorile de referință şi ale principalului, termenele, datele de reevaluare, datele primirii şi plăţii dobânzii şi ale principalului şi baza pentru evaluarea ratelor dobânzii sunt aceleaşi pentru instrumentul de acoperire împotriva riscurilor şi pentru elementul acoperit. În plus, o acoperire a unei cumpărări prognozate foarte probabile a unei mărfi cu un contract forward poate fi foarte eficace dacă:</w:t>
      </w:r>
      <w:bookmarkEnd w:id="189"/>
    </w:p>
    <w:p w:rsidR="004A7C0F" w:rsidRDefault="004A7C0F">
      <w:pPr>
        <w:pStyle w:val="IASBNormalnparaL1"/>
      </w:pPr>
      <w:r>
        <w:t>(a)</w:t>
      </w:r>
      <w:r>
        <w:tab/>
      </w:r>
      <w:bookmarkStart w:id="190" w:name="SL135276"/>
      <w:r>
        <w:t>contractul forward este pentru cumpărarea aceleiaşi cantităţi din aceeaşi marfă la acelaşi moment şi aceeaşi locaţie ca şi cumpărarea prognozată acoperită;</w:t>
      </w:r>
      <w:bookmarkEnd w:id="190"/>
    </w:p>
    <w:p w:rsidR="004A7C0F" w:rsidRDefault="004A7C0F">
      <w:pPr>
        <w:pStyle w:val="IASBNormalnparaL1"/>
      </w:pPr>
      <w:r>
        <w:t>(b)</w:t>
      </w:r>
      <w:r>
        <w:tab/>
      </w:r>
      <w:bookmarkStart w:id="191" w:name="SL135278"/>
      <w:r>
        <w:t>valoarea justă a contractului forward la început este zero; și</w:t>
      </w:r>
      <w:bookmarkEnd w:id="191"/>
    </w:p>
    <w:p w:rsidR="004A7C0F" w:rsidRDefault="004A7C0F">
      <w:pPr>
        <w:pStyle w:val="IASBNormalnparaL1"/>
      </w:pPr>
      <w:r>
        <w:t>(c)</w:t>
      </w:r>
      <w:r>
        <w:tab/>
      </w:r>
      <w:bookmarkStart w:id="192" w:name="SL135280"/>
      <w:r>
        <w:t>fie modificarea reducerii sau primei contractului forward este exclusă din evaluarea eficacităţii şi este recunoscută în profit sau pierdere, fie modificarea fluxurilor de trezorerie aşteptate din tranzacţia prognozată foarte probabilă este bazată pe preţul forward al mărfii.</w:t>
      </w:r>
      <w:bookmarkEnd w:id="192"/>
    </w:p>
    <w:p w:rsidR="004A7C0F" w:rsidRDefault="004A7C0F">
      <w:pPr>
        <w:pStyle w:val="IASBNormalnpara"/>
      </w:pPr>
      <w:r>
        <w:t>AG109</w:t>
      </w:r>
      <w:r>
        <w:tab/>
      </w:r>
      <w:bookmarkStart w:id="193" w:name="SL32876"/>
      <w:r>
        <w:t>Uneori, instrumentul de acoperire împotriva riscurilor compensează doar o parte din riscul acoperit. De exemplu, o acoperire nu este pe deplin eficace dacă instrumentul de acoperire şi elementul acoperit sunt exprimate în monezi diferite care nu evoluează în tandem. De asemenea, o acoperire împotriva riscului ratei dobânzii utilizând un instrument derivat nu ar fi pe deplin eficace dacă o parte din modificarea valorii juste a instrumentului derivat s-ar putea atribui riscului de credit al partenerului.</w:t>
      </w:r>
      <w:bookmarkEnd w:id="193"/>
    </w:p>
    <w:p w:rsidR="004A7C0F" w:rsidRDefault="004A7C0F">
      <w:pPr>
        <w:pStyle w:val="IASBNormalnpara"/>
      </w:pPr>
      <w:r>
        <w:t>AG110</w:t>
      </w:r>
      <w:r>
        <w:tab/>
      </w:r>
      <w:bookmarkStart w:id="194" w:name="SL32877"/>
      <w:r>
        <w:t>Pentru a îndeplini condiţiile pentru contabilitatea de acoperire împotriva riscurilor, acoperirea trebuie să fie aferentă unui risc identificat şi desemnat specific, şi nu numai riscului asociat activităţii generale a entităţii, şi trebuie, în cele din urmă, să afecteze profitul sau pierderea entităţii. O acoperire împotriva riscurilor de uzură morală a unui activ fizic sau a riscurilor exproprierii proprietăţii de către un guvern nu este eligibilă pentru contabilitatea de acoperire împotriva riscurilor; eficacitatea nu poate fi evaluată deoarece aceste riscuri nu pot fi evaluate în mod fiabil.</w:t>
      </w:r>
      <w:bookmarkEnd w:id="194"/>
    </w:p>
    <w:p w:rsidR="004A7C0F" w:rsidRDefault="004A7C0F">
      <w:pPr>
        <w:pStyle w:val="IASBNormalnpara"/>
      </w:pPr>
      <w:r>
        <w:t>AG110A</w:t>
      </w:r>
      <w:r>
        <w:tab/>
      </w:r>
      <w:bookmarkStart w:id="195" w:name="F7160441"/>
      <w:r>
        <w:t>Punctul 74 litera (a) permite unei entităţi să separe valoarea intrinsecă şi valoarea-timp a unui contract pe opţiuni şi să desemneze drept instrument de acoperire împotriva riscurilor numai modificarea valorii intrinsece a contractului pe opţiuni. O astfel de desemnare poate avea drept rezultat o relaţie de acoperire împotriva riscurilor care este perfect eficace în realizarea modificărilor de compensare a fluxurilor de trezorerie atribuibilă unui risc acoperit parţial aferent unei tranzacţii prognozate, dacă termenele principale ale tranzacţiei prognozate şi ale instrumentului de acoperire împotriva riscurilor sunt aceleaşi.</w:t>
      </w:r>
      <w:bookmarkEnd w:id="195"/>
    </w:p>
    <w:p w:rsidR="004A7C0F" w:rsidRDefault="004A7C0F">
      <w:pPr>
        <w:pStyle w:val="IASBNormalnpara"/>
      </w:pPr>
      <w:r>
        <w:t>AG110B</w:t>
      </w:r>
      <w:r>
        <w:tab/>
      </w:r>
      <w:bookmarkStart w:id="196" w:name="F7160459"/>
      <w:r>
        <w:t xml:space="preserve">Dacă o entitate desemnează o opţiune cumpărată în totalitate drept instrument de acoperire împotriva riscurilor aferent unui risc acoperit parţial dintr-o tranzacţie prognozată, relaţia de acoperire nu va fi perfect eficace. Aceasta deoarece prima plătită pentru opţiune cuprinde valoarea-timp şi, aşa cum se arată la punctul AG99BA, un risc desemnat parţial nu cuprinde valoarea-timp a unei opţiuni. Prin urmare, în această situaţie, nu va exista nicio compensare între fluxurile de trezorerie cu privire la valoarea-timp a primei plătite pentru opţiune şi riscul desemnat acoperit. </w:t>
      </w:r>
      <w:bookmarkEnd w:id="196"/>
    </w:p>
    <w:p w:rsidR="004A7C0F" w:rsidRDefault="004A7C0F">
      <w:pPr>
        <w:pStyle w:val="IASBNormalnpara"/>
      </w:pPr>
      <w:r>
        <w:t>AG111</w:t>
      </w:r>
      <w:r>
        <w:tab/>
      </w:r>
      <w:bookmarkStart w:id="197" w:name="SL32878"/>
      <w:r>
        <w:t>În cazul riscului ratei dobânzii, eficacitatea acoperirii împotriva riscurilor poate fi evaluată prin întocmirea unui scadenţar pentru activele financiare şi datoriile financiare care să prezinte expunerea la rata netă a dobânzii pentru fiecare perioadă de timp, cu condiţia ca expunerea netă să fie asociată cu un activ sau cu o datorie specifică (sau un grup specific de active sau datorii sau o parte specifică a acestora), rezultând expunerea netă, şi eficacitatea acoperirii împotriva riscurilor este evaluată în funcţie de acel activ sau acea datorie.</w:t>
      </w:r>
      <w:bookmarkEnd w:id="197"/>
    </w:p>
    <w:p w:rsidR="004A7C0F" w:rsidRDefault="004A7C0F">
      <w:pPr>
        <w:pStyle w:val="IASBNormalnpara"/>
      </w:pPr>
      <w:r>
        <w:t>AG112</w:t>
      </w:r>
      <w:r>
        <w:tab/>
      </w:r>
      <w:bookmarkStart w:id="198" w:name="SL32879"/>
      <w:r>
        <w:t>La evaluarea eficacităţii unei acoperiri, o entitate ia în considerare în general valoarea-timp a banilor. Rata fixă a dobânzii a unui element acoperit nu trebuie să corespundă exact ratei fixe a dobânzii a unui swap desemnat ca acoperire a valorii juste împotriva riscurilor. Nici rata variabilă a dobânzii a unui activ sau a unei datorii purtătoare de dobândă nu trebuie să fie aceeaşi cu rata dobânzii variabile a unui swap desemnat ca acoperire împotriva riscului asociat fluxurilor de trezorerie. Valoarea justă a unui swap derivă din suma netă a decontărilor sale. Ratele fixe şi variabile ale unui swap pot fi modificate fără a afecta decontarea netă dacă ambele sunt modificate cu aceeaşi valoare.</w:t>
      </w:r>
      <w:bookmarkEnd w:id="198"/>
    </w:p>
    <w:p w:rsidR="004A7C0F" w:rsidRDefault="004A7C0F">
      <w:pPr>
        <w:pStyle w:val="IASBNormalnpara"/>
      </w:pPr>
      <w:r>
        <w:t>AG113</w:t>
      </w:r>
      <w:r>
        <w:tab/>
      </w:r>
      <w:bookmarkStart w:id="199" w:name="SL32880"/>
      <w:r>
        <w:t>Dacă o entitate nu îndeplineşte criteriile de eficacitate, entitatea întrerupe contabilitatea de acoperire împotriva riscurilor de la ultima dată la care a fost demonstrată eficacitatea acoperirii împotriva riscurilor. Cu toate acestea, dacă entitatea identifică evenimentul sau modificarea circumstanţelor care a făcut ca relaţia de acoperire împotriva riscurilor să nu îndeplinească criteriile de eficacitate şi demonstrează că acoperirea a fost eficace înainte ca evenimentul sau modificarea circumstanţelor să fi apărut, entitatea întrerupe contabilitatea de acoperire împotriva riscurilor de la data evenimentului sau modificării circumstanţelor.</w:t>
      </w:r>
      <w:bookmarkEnd w:id="199"/>
    </w:p>
    <w:p w:rsidR="004A7C0F" w:rsidRDefault="004A7C0F">
      <w:pPr>
        <w:pStyle w:val="IASBNormalnpara"/>
      </w:pPr>
      <w:r>
        <w:t>AG113A</w:t>
      </w:r>
      <w:r>
        <w:tab/>
      </w:r>
      <w:bookmarkStart w:id="200" w:name="F24159854"/>
      <w:r>
        <w:t xml:space="preserve">Pentru a evita orice incertitudine, efectele înlocuirii partenerului iniţial cu un partener de compensare şi efectuarea schimbărilor corespunzătoare descrise la punctele 91 litera (a) subpunctul (ii) şi 101 litera (a) </w:t>
      </w:r>
      <w:r>
        <w:lastRenderedPageBreak/>
        <w:t>subpunctul (ii) trebuie reflectate în evaluarea instrumentului de acoperire şi, prin urmare, în estimarea şi evaluarea eficacităţii acoperii riscurilor.</w:t>
      </w:r>
      <w:bookmarkEnd w:id="200"/>
    </w:p>
    <w:p w:rsidR="004A7C0F" w:rsidRDefault="004A7C0F">
      <w:pPr>
        <w:pStyle w:val="IASBSectionTitle3Ind"/>
      </w:pPr>
      <w:bookmarkStart w:id="201" w:name="SL135281"/>
      <w:r>
        <w:t>Contabilitatea de acoperire a valorii juste împotriva riscurilor în cazul acoperirii unui portofoliu împotriva riscului ratei dobânzii</w:t>
      </w:r>
      <w:bookmarkEnd w:id="201"/>
    </w:p>
    <w:p w:rsidR="004A7C0F" w:rsidRDefault="004A7C0F">
      <w:pPr>
        <w:pStyle w:val="IASBNormalnpara"/>
      </w:pPr>
      <w:r>
        <w:t>AG114</w:t>
      </w:r>
      <w:r>
        <w:tab/>
      </w:r>
      <w:bookmarkStart w:id="202" w:name="SL19045598"/>
      <w:r>
        <w:t>Pentru o acoperire a valorii juste împotriva riscului ratei dobânzii asociat unui portofoliu de active financiare sau datorii financiare, o entitate îndeplineşte dispoziţiile prezentului standard dacă se conformează procedurilor stabilite la literele (a)-(i) şi la punctele AG115–AG132 de mai jos.</w:t>
      </w:r>
      <w:bookmarkEnd w:id="202"/>
    </w:p>
    <w:p w:rsidR="004A7C0F" w:rsidRDefault="004A7C0F">
      <w:pPr>
        <w:pStyle w:val="IASBNormalnparaL1"/>
      </w:pPr>
      <w:r>
        <w:t>(a)</w:t>
      </w:r>
      <w:r>
        <w:tab/>
      </w:r>
      <w:bookmarkStart w:id="203" w:name="SL19045605"/>
      <w:r>
        <w:t>Ca parte a procesului de gestionare a riscului entitatea identifică un portofoliu de elemente al căror risc al ratei dobânzii doreşte să fie acoperit. Portofoliul poate cuprinde doar active, doar datorii sau atât active, cât şi datorii. Entitatea poate identifica două sau mai multe portofolii, caz în care aplică îndrumările de mai jos fiecărui portofoliu separat.</w:t>
      </w:r>
      <w:bookmarkEnd w:id="203"/>
    </w:p>
    <w:p w:rsidR="004A7C0F" w:rsidRDefault="004A7C0F">
      <w:pPr>
        <w:pStyle w:val="IASBNormalnparaL1"/>
      </w:pPr>
      <w:r>
        <w:t>(b)</w:t>
      </w:r>
      <w:r>
        <w:tab/>
      </w:r>
      <w:bookmarkStart w:id="204" w:name="SL19045609"/>
      <w:r>
        <w:t>Entitatea analizează portofoliul în perioadele de reevaluare mai degrabă pe baza datelor de reevaluare prognozate decât pe baza datelor contractuale. Analiza în perioadele de reevaluare poate fi efectuată în diferite moduri, inclusiv prin programarea fluxurilor de trezorerie în perioade în care se preconizează că acestea vor avea loc sau prin programarea valorilor nominale ale capitalului în toate perioadele până la momentul la care se anticipează reevaluarea.</w:t>
      </w:r>
      <w:bookmarkEnd w:id="204"/>
    </w:p>
    <w:p w:rsidR="004A7C0F" w:rsidRDefault="004A7C0F">
      <w:pPr>
        <w:pStyle w:val="IASBNormalnparaL1"/>
      </w:pPr>
      <w:r>
        <w:t>(c)</w:t>
      </w:r>
      <w:r>
        <w:tab/>
      </w:r>
      <w:bookmarkStart w:id="205" w:name="SL19045613"/>
      <w:r>
        <w:t>Pe baza acestei analize, entitatea decide valoarea pe care doreşte să o acopere împotriva riscurilor. Entitatea desemnează ca element acoperit împotriva riscurilor o valoare a activelor sau a datoriilor (dar nu o valoare netă) din portofoliul identificat, egală cu valoarea pe care doreşte să o desemneze drept acoperită. Această valoare determină, de asemenea, evaluarea procentuală care este utilizată pentru testarea eficacităţii în conformitate cu punctul AG126 litera (b).</w:t>
      </w:r>
      <w:bookmarkEnd w:id="205"/>
    </w:p>
    <w:p w:rsidR="004A7C0F" w:rsidRDefault="004A7C0F">
      <w:pPr>
        <w:pStyle w:val="IASBNormalnparaL1"/>
      </w:pPr>
      <w:r>
        <w:t>(d)</w:t>
      </w:r>
      <w:r>
        <w:tab/>
      </w:r>
      <w:bookmarkStart w:id="206" w:name="SL19045620"/>
      <w:r>
        <w:t>Entitatea desemnează riscul ratei dobânzii care este acoperit. Acest risc poate fi o parte a riscului ratei dobânzii în fiecare dintre elementele de acoperit, cum ar fi rata dobânzii de referinţă (LIBOR, de exemplu).</w:t>
      </w:r>
      <w:bookmarkEnd w:id="206"/>
    </w:p>
    <w:p w:rsidR="004A7C0F" w:rsidRDefault="004A7C0F">
      <w:pPr>
        <w:pStyle w:val="IASBNormalnparaL1"/>
      </w:pPr>
      <w:r>
        <w:t>(e)</w:t>
      </w:r>
      <w:r>
        <w:tab/>
      </w:r>
      <w:bookmarkStart w:id="207" w:name="SL19045622"/>
      <w:r>
        <w:t>Entitatea desemnează unul sau mai multe instrumente de acoperire împotriva riscurilor pentru fiecare perioadă de reevaluare.</w:t>
      </w:r>
      <w:bookmarkEnd w:id="207"/>
    </w:p>
    <w:p w:rsidR="004A7C0F" w:rsidRDefault="004A7C0F">
      <w:pPr>
        <w:pStyle w:val="IASBNormalnparaL1"/>
      </w:pPr>
      <w:r>
        <w:t>(f)</w:t>
      </w:r>
      <w:r>
        <w:tab/>
      </w:r>
      <w:bookmarkStart w:id="208" w:name="SL19045627"/>
      <w:r>
        <w:t>Utilizând desemnările făcute la literele (c)-(e) de mai sus, entitatea evaluează la început şi în perioadele ulterioare măsura în care se aşteaptă ca acoperirea să fie foarte eficace în decursul perioadei pentru care este desemnată acoperirea.</w:t>
      </w:r>
      <w:bookmarkEnd w:id="208"/>
    </w:p>
    <w:p w:rsidR="004A7C0F" w:rsidRDefault="004A7C0F">
      <w:pPr>
        <w:pStyle w:val="IASBNormalnparaL1"/>
      </w:pPr>
      <w:r>
        <w:t>(g)</w:t>
      </w:r>
      <w:r>
        <w:tab/>
      </w:r>
      <w:bookmarkStart w:id="209" w:name="SL19045629"/>
      <w:r>
        <w:t>Periodic, entitatea evaluează modificarea valorii juste a elementului acoperit (aşa cum a fost desemnat la litera (c)) care se poate atribui riscului acoperit (aşa cum a fost desemnat la litera (d)), pe baza datelor preconizate de reevaluare determinate la litera (b). Cu condiţia să se determine de fapt că acoperirea a fost foarte eficientă atunci când a fost evaluată folosindu-se metoda documentată a entităţii de evaluare a eficacităţii, entitatea recunoaşte modificarea valorii juste a elementului acoperit drept câştig sau pierdere în profit sau pierdere şi în unul sau două elemente-rând din situaţia poziţiei financiare, aşa cum ilustrează punctul 89A. Nu este necesar ca modificarea valorii juste să fie alocată activelor sau datoriilor individuale.</w:t>
      </w:r>
      <w:bookmarkEnd w:id="209"/>
    </w:p>
    <w:p w:rsidR="004A7C0F" w:rsidRDefault="004A7C0F">
      <w:pPr>
        <w:pStyle w:val="IASBNormalnparaL1"/>
      </w:pPr>
      <w:r>
        <w:t>(h)</w:t>
      </w:r>
      <w:r>
        <w:tab/>
      </w:r>
      <w:bookmarkStart w:id="210" w:name="SL19045640"/>
      <w:r>
        <w:t>Entitatea evaluează modificarea valorii juste a instrumentului (instrumentelor) de acoperire împotriva riscurilor (desemnate la litera (e)) şi o recunoaşte drept câştig sau pierdere în profit sau pierdere. Valoarea justă a instrumentului (instrumentelor) de acoperire împotriva riscurilor este recunoscută drept activ sau datorie în situaţia poziţiei financiare.</w:t>
      </w:r>
      <w:bookmarkEnd w:id="210"/>
    </w:p>
    <w:p w:rsidR="004A7C0F" w:rsidRDefault="004A7C0F">
      <w:pPr>
        <w:pStyle w:val="IASBNormalnparaL1"/>
      </w:pPr>
      <w:r>
        <w:t>(i)</w:t>
      </w:r>
      <w:r>
        <w:tab/>
      </w:r>
      <w:bookmarkStart w:id="211" w:name="SL19045646"/>
      <w:r>
        <w:t>Orice ineficienţă</w:t>
      </w:r>
      <w:r>
        <w:rPr>
          <w:rStyle w:val="FootnoteReference"/>
        </w:rPr>
        <w:footnoteReference w:id="1"/>
      </w:r>
      <w:r>
        <w:t xml:space="preserve"> va fi recunoscută în profit sau pierdere drept diferenţa între valoarea justă la care se referă litera (g) şi cea la care se referă litera (h).</w:t>
      </w:r>
      <w:bookmarkEnd w:id="211"/>
    </w:p>
    <w:p w:rsidR="004A7C0F" w:rsidRDefault="004A7C0F">
      <w:pPr>
        <w:pStyle w:val="IASBNormalnpara"/>
      </w:pPr>
      <w:r>
        <w:t>AG115</w:t>
      </w:r>
      <w:r>
        <w:tab/>
      </w:r>
      <w:bookmarkStart w:id="212" w:name="SL32882"/>
      <w:r>
        <w:t>Această abordare este descrisă mai detaliat în cele ce urmează. Abordarea trebuie aplicată doar acoperirii valorii juste împotriva riscurilor pentru riscul ratei dobânzii asociat unui portofoliu de active financiare sau datorii financiare.</w:t>
      </w:r>
      <w:bookmarkEnd w:id="212"/>
    </w:p>
    <w:p w:rsidR="004A7C0F" w:rsidRDefault="004A7C0F">
      <w:pPr>
        <w:pStyle w:val="IASBNormalnpara"/>
      </w:pPr>
      <w:r>
        <w:t>AG116</w:t>
      </w:r>
      <w:r>
        <w:tab/>
      </w:r>
      <w:bookmarkStart w:id="213" w:name="SL32883"/>
      <w:r>
        <w:t>Portofoliul identificat la punctul AG114 litera (a) poate conţine active şi datorii. În mod alternativ, ar putea fi un portofoliu care conţine numai active sau numai datorii. Portofoliul este utilizat pentru determinarea valorii activelor sau datoriilor pe care entitatea doreşte să le acopere împotriva riscurilor. Cu toate acestea, portofoliul în sine nu este desemnat ca un element acoperit.</w:t>
      </w:r>
      <w:bookmarkEnd w:id="213"/>
    </w:p>
    <w:p w:rsidR="004A7C0F" w:rsidRDefault="004A7C0F">
      <w:pPr>
        <w:pStyle w:val="IASBNormalnpara"/>
      </w:pPr>
      <w:r>
        <w:t>AG117</w:t>
      </w:r>
      <w:r>
        <w:tab/>
      </w:r>
      <w:bookmarkStart w:id="214" w:name="SL32884"/>
      <w:r>
        <w:t xml:space="preserve">La aplicarea punctului AG114 litera (b), entitatea determină data preconizată de reevaluare a unui element ca prima dintre datele la care se preconizează ca elementul să ajungă la scadenţă sau să se reevalueze la nivelul pieţei. Datele preconizate de reevaluare sunt estimate la începutul acoperirii şi pe parcursul </w:t>
      </w:r>
      <w:r>
        <w:lastRenderedPageBreak/>
        <w:t>perioadei de acoperire, pe baza experienţei istorice şi a altor informaţii disponibile, inclusiv informaţii şi aşteptări cu privire la ratele de plată în avans, ratele dobânzii şi interacţiunea între acestea. Entităţile care nu dețin o experienţă specifică sau nu dețin suficientă experiență utilizează experienţa grupurilor similare pentru instrumentele financiare comparabile. Aceste estimări sunt revizuite în mod periodic şi actualizate pe baza experienţei. În cazul unui element cu rată fixă cu plată în avans, data estimată de reevaluare este data la care elementul se aşteaptă să fie plătit în avans, cu excepţia cazului când se reevaluează la nivelul pieţei la o dată anterioară. Pentru un grup de elemente similare, analiza pe perioade de timp pe baza datelor aşteptate de reevaluare poate lua forma alocării unui procent al unui grup, mai degrabă decât pe baza elementelor individuale, fiecărei perioade de timp. O entitate poate aplica alte metodologii în scopul realizării acestor alocări. De exemplu, ea poate utiliza un multiplicator al ratelor de plată în avans pentru alocarea amortizării împrumutului perioadelor pe baza datelor aşteptate de reevaluare. Cu toate acestea, metodologia pentru o astfel de alocare trebuie să fie conformă cu procedurile şi obiectivele entităţii de gestionare a riscului.</w:t>
      </w:r>
      <w:bookmarkEnd w:id="214"/>
    </w:p>
    <w:p w:rsidR="004A7C0F" w:rsidRDefault="004A7C0F">
      <w:pPr>
        <w:pStyle w:val="IASBNormalnpara"/>
      </w:pPr>
      <w:r>
        <w:t>AG118</w:t>
      </w:r>
      <w:r>
        <w:tab/>
      </w:r>
      <w:bookmarkStart w:id="215" w:name="SL32885"/>
      <w:r>
        <w:t>Ca exemplu al desemnării prezentate la punctul AG114 litera (c), dacă într-o anumită perioadă de reevaluare o entitate estimează că deține active cu rate fixe de 100 u.m. şi datorii cu rate fixe de 80 u.m. şi decide să acopere întreaga poziţie netă de 20 u.m., entitatea desemnează active în valoare de 20 u.m. (o parte a activelor) ca element acoperit.</w:t>
      </w:r>
      <w:r>
        <w:rPr>
          <w:rStyle w:val="FootnoteReference"/>
        </w:rPr>
        <w:footnoteReference w:id="2"/>
      </w:r>
      <w:r>
        <w:t xml:space="preserve">  Desemnarea este exprimată mai degrabă ca „o sumă într-o anumită monedă” (de exemplu, o sumă în dolari, euro, lire sau ranzi) decât ca active individuale. Rezultă că toate activele (sau datoriile) din care derivă valoarea acoperită împotriva riscurilor – adică toate cele 100 u.m. ale activelor din exemplul de mai sus – trebuie să fie:</w:t>
      </w:r>
      <w:bookmarkEnd w:id="215"/>
    </w:p>
    <w:p w:rsidR="004A7C0F" w:rsidRDefault="004A7C0F">
      <w:pPr>
        <w:pStyle w:val="IASBNormalnparaL1"/>
      </w:pPr>
      <w:r>
        <w:t>(a)</w:t>
      </w:r>
      <w:r>
        <w:tab/>
      </w:r>
      <w:bookmarkStart w:id="216" w:name="SL19213520"/>
      <w:r>
        <w:t>elemente a căror valoare justă se modifică în urma modificării ratei dobânzii care este acoperită împotriva riscurilor; și</w:t>
      </w:r>
      <w:bookmarkEnd w:id="216"/>
    </w:p>
    <w:p w:rsidR="004A7C0F" w:rsidRDefault="004A7C0F">
      <w:pPr>
        <w:pStyle w:val="IASBNormalnparaL1"/>
      </w:pPr>
      <w:r>
        <w:t>(b)</w:t>
      </w:r>
      <w:r>
        <w:tab/>
      </w:r>
      <w:bookmarkStart w:id="217" w:name="SL135305"/>
      <w:r>
        <w:t>elemente care ar fi putut îndeplini condiţiile contabilităţii de acoperire împotriva riscurilor dacă ar fi fost desemnate individual drept acoperite împotriva riscurilor. În special, deoarece IFRS 13 specifică faptul că valoarea justă a datoriei financiare cu o caracteristică „la vedere” (cum ar fi depunerile la vedere şi unele tipuri de depuneri cu termen fix) nu este mai mică decât suma plătibilă la vedere actualizată de la prima dată la care s-ar putea impune plata sumei, un astfel de element nu îndeplineşte condiţiile contabilităţii de acoperire a valorii juste împotriva riscurilor pentru nicio perioadă de timp care depăşeşte cea mai scurtă perioadă în care deţinătorul poate solicita plata. În exemplul de mai sus, poziţia acoperită împotriva riscurilor este o valoare a activelor. Prin urmare, astfel de datorii nu fac parte din elementul desemnat ca acoperit împotriva riscurilor, dar sunt utilizate de entitate pentru a determina valoarea activului care este desemnat drept acoperit împotriva riscurilor. Dacă poziţia pe care entitatea dorea să o acopere împotriva riscurilor era o valoare a datoriilor, valoarea care reprezintă elementul desemnat ca fiind acoperit împotriva riscurilor trebuie să fie extrasă din datoriile cu rată fixă, altele decât datoriile pe care entitatea ar putea fi obligată să le ramburseze într-o perioadă anterioară, iar procentul utilizat pentru evaluarea eficacităţii acoperirii în conformitate cu punctul AG126 litera (b) ar fi calculat ca procent al acestor alte datorii. De exemplu, să presupunem că o entitate estimează că într-o anumită perioadă de reevaluare are datorii cu rată fixă de 100 u.m., care cuprind 40 u.m. din depuneri la vedere şi 60 u.m. din datorii fără caracteristică la vedere şi 70 u.m. din active cu rată fixă. Dacă entitatea decide să acopere împotriva riscurilor toate elementele din poziţia netă de 30 u.m., entitatea desemnează drept elemente acoperite împotriva riscurilor datorii de 30 u.m. sau 50% din datoriile</w:t>
      </w:r>
      <w:r>
        <w:rPr>
          <w:rStyle w:val="FootnoteReference"/>
        </w:rPr>
        <w:footnoteReference w:id="3"/>
      </w:r>
      <w:r>
        <w:t xml:space="preserve"> fără caracteristică la vedere.</w:t>
      </w:r>
      <w:bookmarkEnd w:id="217"/>
    </w:p>
    <w:p w:rsidR="004A7C0F" w:rsidRDefault="004A7C0F">
      <w:pPr>
        <w:pStyle w:val="IASBNormalnpara"/>
      </w:pPr>
      <w:r>
        <w:t>AG119</w:t>
      </w:r>
      <w:r>
        <w:tab/>
      </w:r>
      <w:bookmarkStart w:id="218" w:name="SL32886"/>
      <w:r>
        <w:t xml:space="preserve">Entitatea se conformează, de asemenea, altor dispoziţii de desemnare şi documentare stabilite la punctul 88 litera (a). Pentru acoperirea unui portofoliu împotriva riscului ratei dobânzii, această desemnare şi această documentare specifică politica entităţii pentru toate variabilele care sunt utilizate pentru a identifica valoarea care este acoperită împotriva riscurilor şi modul în care este evaluată eficacitatea, inclusiv următoarele: </w:t>
      </w:r>
      <w:bookmarkEnd w:id="218"/>
    </w:p>
    <w:p w:rsidR="004A7C0F" w:rsidRDefault="004A7C0F">
      <w:pPr>
        <w:pStyle w:val="IASBNormalnparaL1"/>
      </w:pPr>
      <w:r>
        <w:t>(a)</w:t>
      </w:r>
      <w:r>
        <w:tab/>
      </w:r>
      <w:bookmarkStart w:id="219" w:name="SL135308"/>
      <w:r>
        <w:t>care active sau datorii trebuie incluse în acoperirea portofoliului şi baza de utilizat pentru înlăturarea acestora din portofoliu.</w:t>
      </w:r>
      <w:bookmarkEnd w:id="219"/>
    </w:p>
    <w:p w:rsidR="004A7C0F" w:rsidRDefault="004A7C0F">
      <w:pPr>
        <w:pStyle w:val="IASBNormalnparaL1"/>
      </w:pPr>
      <w:r>
        <w:t>(b)</w:t>
      </w:r>
      <w:r>
        <w:tab/>
      </w:r>
      <w:bookmarkStart w:id="220" w:name="SL135310"/>
      <w:r>
        <w:t>modul în care entitatea estimează datele de reevaluare, inclusiv ipotezele privind rata dobânzii care susţin estimările ratelor de plată în avans şi baza pentru modificarea acelor estimări. Aceeaşi metodă este utilizată atât pentru estimările iniţiale făcute la momentul în care un activ sau o datorie este inclus(ă) în portofoliul acoperit, cât şi pentru orice revizuiri ulterioare ale acelor estimări.</w:t>
      </w:r>
      <w:bookmarkEnd w:id="220"/>
    </w:p>
    <w:p w:rsidR="004A7C0F" w:rsidRDefault="004A7C0F">
      <w:pPr>
        <w:pStyle w:val="IASBNormalnparaL1"/>
      </w:pPr>
      <w:r>
        <w:t>(c)</w:t>
      </w:r>
      <w:r>
        <w:tab/>
      </w:r>
      <w:bookmarkStart w:id="221" w:name="SL135312"/>
      <w:r>
        <w:t>numărul şi durata perioadelor de reevaluare.</w:t>
      </w:r>
      <w:bookmarkEnd w:id="221"/>
    </w:p>
    <w:p w:rsidR="004A7C0F" w:rsidRDefault="004A7C0F">
      <w:pPr>
        <w:pStyle w:val="IASBNormalnparaL1"/>
      </w:pPr>
      <w:r>
        <w:lastRenderedPageBreak/>
        <w:t>(d)</w:t>
      </w:r>
      <w:r>
        <w:tab/>
      </w:r>
      <w:bookmarkStart w:id="222" w:name="SL135314"/>
      <w:r>
        <w:t>cât de des va testa entitatea eficacitatea şi care dintre cele două metode de la punctul AG126 va fi folosită.</w:t>
      </w:r>
      <w:bookmarkEnd w:id="222"/>
    </w:p>
    <w:p w:rsidR="004A7C0F" w:rsidRDefault="004A7C0F">
      <w:pPr>
        <w:pStyle w:val="IASBNormalnparaL1"/>
      </w:pPr>
      <w:r>
        <w:t>(e)</w:t>
      </w:r>
      <w:r>
        <w:tab/>
      </w:r>
      <w:bookmarkStart w:id="223" w:name="SL135316"/>
      <w:r>
        <w:t>metodologia utilizată de entitate pentru determinarea valorii activelor sau datoriilor care sunt desemnate drept element acoperit împotriva riscurilor şi, prin urmare, evaluarea procentuală folosită atunci când entitatea testează eficacitatea utilizând metoda descrisă la punctul AG126 litera (b).</w:t>
      </w:r>
      <w:bookmarkEnd w:id="223"/>
    </w:p>
    <w:p w:rsidR="004A7C0F" w:rsidRDefault="004A7C0F">
      <w:pPr>
        <w:pStyle w:val="IASBNormalnparaL1"/>
      </w:pPr>
      <w:r>
        <w:t>(f)</w:t>
      </w:r>
      <w:r>
        <w:tab/>
      </w:r>
      <w:bookmarkStart w:id="224" w:name="SL135318"/>
      <w:r>
        <w:t>atunci când entitatea testează eficacitatea prin utilizarea metodei descrise la punctul AG126 litera (b), dacă entitatea va testa eficacitatea pentru fiecare perioadă de reevaluare individual, pentru toate perioadele agregate sau prin utilizarea unei combinaţii a celor două.</w:t>
      </w:r>
      <w:bookmarkEnd w:id="224"/>
    </w:p>
    <w:p w:rsidR="004A7C0F" w:rsidRDefault="004A7C0F">
      <w:pPr>
        <w:pStyle w:val="IASBNormalnparaP"/>
      </w:pPr>
      <w:bookmarkStart w:id="225" w:name="SL135319"/>
      <w:r>
        <w:t>Politicile specificate în desemnarea şi documentarea relaţiei de acoperire împotriva riscurilor trebuie să fie în conformitate cu procedurile şi obiectivele entităţii de gestionare a riscului. Modificările politicilor nu trebuie făcute arbitrar. Acestea vor fi justificate pe baza modificărilor condiţiilor de piaţă şi a altor factori, şi trebuie fundamentate pe procedurile şi obiectivele de gestionare a riscului ale entităţii şi să fie consecvente cu acestea.</w:t>
      </w:r>
      <w:bookmarkEnd w:id="225"/>
    </w:p>
    <w:p w:rsidR="004A7C0F" w:rsidRDefault="004A7C0F">
      <w:pPr>
        <w:pStyle w:val="IASBNormalnpara"/>
      </w:pPr>
      <w:r>
        <w:t>AG120</w:t>
      </w:r>
      <w:r>
        <w:tab/>
      </w:r>
      <w:bookmarkStart w:id="226" w:name="SL32887"/>
      <w:r>
        <w:t>Instrumentul de acoperire împotriva riscurilor menţionat la punctul AG114 litera (e) poate fi un instrument derivat unic sau un portofoliu de instrumente derivate, toate conţinând expunerea la riscul acoperit al ratei dobânzii desemnat la punctul AG114 litera (d) (de exemplu, un portofoliu de swapuri pe rate ale dobânzii care conţin, toate, expunerea la LIBOR). Un astfel de portofoliu de instrumente derivate poate conţine poziţii de compensare a riscului. Cu toate acestea, el poate să nu includă opţiuni emise sau opţiuni nete emise, deoarece standardul</w:t>
      </w:r>
      <w:r>
        <w:rPr>
          <w:rStyle w:val="FootnoteReference"/>
        </w:rPr>
        <w:footnoteReference w:id="4"/>
      </w:r>
      <w:r>
        <w:t xml:space="preserve"> nu permite ca astfel de opţiuni să fie desemnate ca instrumente de acoperire împotriva riscurilor (cu excepţia cazului când o opţiune emisă este desemnată drept compensarea unei opţiuni cumpărate). Dacă instrumentul de acoperire împotriva riscurilor acoperă valoarea desemnată la punctul AG114 litera (c) pentru mai mult decât o perioadă de reevaluare, el se alocă tuturor perioadelor pe care le acoperă. Totuşi, întregul instrument de acoperire împotriva riscurilor trebuie alocat acelor perioade de reevaluare deoarece standardul</w:t>
      </w:r>
      <w:r>
        <w:rPr>
          <w:rStyle w:val="FootnoteReference"/>
        </w:rPr>
        <w:footnoteReference w:id="5"/>
      </w:r>
      <w:r>
        <w:t xml:space="preserve"> nu permite ca o relaţie de acoperire împotriva riscurilor să fie desemnată doar pentru o parte din perioada în care un instrument de acoperire rămâne în circulaţie.</w:t>
      </w:r>
      <w:bookmarkEnd w:id="226"/>
    </w:p>
    <w:p w:rsidR="004A7C0F" w:rsidRDefault="004A7C0F">
      <w:pPr>
        <w:pStyle w:val="IASBNormalnpara"/>
      </w:pPr>
      <w:r>
        <w:t>AG121</w:t>
      </w:r>
      <w:r>
        <w:tab/>
      </w:r>
      <w:bookmarkStart w:id="227" w:name="SL32888"/>
      <w:r>
        <w:t xml:space="preserve">Atunci când entitatea evaluează modificarea valorii juste a unui element plătit în avans în conformitate cu punctul AG114 litera (g), o modificare a ratelor dobânzii afectează valoarea justă a elementului plătit în avans în două moduri: afectează valoarea justă a fluxurilor de trezorerie contractuale şi valoarea justă a opţiunii de plată în avans care este cuprinsă în elementul plătit în avans. Punctul 81 al standardului permite ca o entitate să desemneze o parte din activul financiar sau din datoria financiară, care împarte aceeaşi expunere la risc, ca element acoperit împotriva riscurilor, cu condiţia ca eficacitatea să poată fi evaluată. Pentru elementele plătite în avans, punctul 81A permite ca acest lucru să se realizeze prin desemnarea elementului acoperit împotriva riscurilor conform modificării valorii juste care poate fi atribuită modificărilor ratei dobânzii desemnate pe baza datelor de reevaluare </w:t>
      </w:r>
      <w:r>
        <w:rPr>
          <w:i/>
        </w:rPr>
        <w:t>preconizate</w:t>
      </w:r>
      <w:r>
        <w:t xml:space="preserve">, mai degrabă decât pe baza celor </w:t>
      </w:r>
      <w:r>
        <w:rPr>
          <w:i/>
        </w:rPr>
        <w:t>contractuale</w:t>
      </w:r>
      <w:r>
        <w:t>. Totuşi, efectul acelor modificări ale ratei dobânzii acoperite împotriva riscurilor pentru acele date preconizate de reevaluare trebuie inclus la determinarea modificării valorii juste a elementului acoperit împotriva riscurilor. În consecinţă, dacă datele de reevaluare preconizate sunt revizuite (de exemplu, pentru a reflecta o modificare a plăţilor în avans preconizate) sau dacă datele reale de reevaluare diferă de cele preconizate, ineficacitatea va rezulta conform descrierii de la punctul AG126. În schimb, modificările datelor preconizate de reevaluare care (a) rezultă clar din alţi factori în afara modificărilor ratei dobânzii acoperite împotriva riscurilor, (b) nu sunt corelate cu modificările ratei dobânzii acoperite împotriva riscurilor şi (c) pot fi separate în mod fiabil de modificările care pot fi atribuite ratei dobânzii acoperite împotriva riscurilor (de exemplu, modificările în ratele de plată în avans rezultă clar dintr-o modificare a factorilor demografici sau a reglementărilor fiscale mai degrabă decât din modificările ratei dobânzii) sunt excluse la determinarea modificării valorii juste a elementului acoperit împotriva riscurilor, deoarece ele nu se pot atribui riscului acoperit. Dacă există incertitudine asupra factorului care generează modificarea datelor preconizate de reevaluare sau dacă entitatea nu este capabilă să separe în mod fiabil modificările care rezultă din rata dobânzii acoperite împotriva riscurilor de cele care rezultă din alţi factori, se presupune că modificarea rezultă din modificările ratei dobânzii acoperite împotriva riscurilor.</w:t>
      </w:r>
      <w:bookmarkEnd w:id="227"/>
    </w:p>
    <w:p w:rsidR="004A7C0F" w:rsidRDefault="004A7C0F">
      <w:pPr>
        <w:pStyle w:val="IASBNormalnpara"/>
      </w:pPr>
      <w:r>
        <w:t>AG122</w:t>
      </w:r>
      <w:r>
        <w:tab/>
      </w:r>
      <w:bookmarkStart w:id="228" w:name="SL32889"/>
      <w:r>
        <w:t>Standardul nu specifică tehnicile utilizate pentru determinarea valorii la care se face referire la punctul AG114 litera (g), adică modificarea valorii juste a elementului acoperit împotriva riscurilor, care este atribuibilă riscului acoperit. Dacă pentru o astfel de evaluare se utilizează tehnici statistice sau alte tehnici de estimare, conducerea trebuie să preconizeze că rezultatul îl va aproxima îndeaproape pe cel care ar fi fost obţinut din evaluarea tuturor activelor sau datoriilor individuale care constituie elementul acoperit împotriva riscurilor. Nu este adecvat să se presupună că modificările valorii juste a elementului acoperit împotriva riscurilor sunt egale cu modificările valorii instrumentului de acoperire împotriva riscurilor.</w:t>
      </w:r>
      <w:bookmarkEnd w:id="228"/>
    </w:p>
    <w:p w:rsidR="004A7C0F" w:rsidRDefault="004A7C0F">
      <w:pPr>
        <w:pStyle w:val="IASBNormalnpara"/>
      </w:pPr>
      <w:r>
        <w:lastRenderedPageBreak/>
        <w:t>AG123</w:t>
      </w:r>
      <w:r>
        <w:tab/>
      </w:r>
      <w:bookmarkStart w:id="229" w:name="SL32890"/>
      <w:r>
        <w:t>Punctul 89A prevede ca în cazul în care elementul acoperit împotriva riscurilor pentru o perioadă anume de reevaluare este un activ, modificarea valorii sale să fie prezentată într-un element-rând separat în cadrul activelor. Dimpotrivă, dacă elementul acoperit împotriva riscurilor pentru o anumită perioadă de reevaluare este o datorie, modificarea valorii sale este prezentată într-un element-rând separat din cadrul datoriilor. Acestea sunt elementele-rând separate la care se face referire la punctul AG114 litera (g). Alocarea specifică în activele (sau datoriile) individuale nu este impusă.</w:t>
      </w:r>
      <w:bookmarkEnd w:id="229"/>
    </w:p>
    <w:p w:rsidR="004A7C0F" w:rsidRDefault="004A7C0F">
      <w:pPr>
        <w:pStyle w:val="IASBNormalnpara"/>
      </w:pPr>
      <w:r>
        <w:t>AG124</w:t>
      </w:r>
      <w:r>
        <w:tab/>
      </w:r>
      <w:bookmarkStart w:id="230" w:name="SL32891"/>
      <w:r>
        <w:t xml:space="preserve">Punctul AG114 litera (i) arată că ineficacitatea apare în măsura în care modificarea valorii juste a elementului acoperit împotriva riscurilor, care se poate atribui riscului acoperit, diferă de modificarea valorii juste a instrumentului derivat de acoperire împotriva riscurilor. O astfel de diferenţă poate apărea din mai multe motive, care includ: </w:t>
      </w:r>
      <w:bookmarkEnd w:id="230"/>
    </w:p>
    <w:p w:rsidR="004A7C0F" w:rsidRDefault="004A7C0F">
      <w:pPr>
        <w:pStyle w:val="IASBNormalnparaL1"/>
      </w:pPr>
      <w:r>
        <w:t>(a)</w:t>
      </w:r>
      <w:r>
        <w:tab/>
      </w:r>
      <w:bookmarkStart w:id="231" w:name="SL135322"/>
      <w:r>
        <w:t>datele reale de reevaluare diferite de cele preconizate sau datele de reevaluare preconizate revizuite;</w:t>
      </w:r>
      <w:bookmarkEnd w:id="231"/>
    </w:p>
    <w:p w:rsidR="004A7C0F" w:rsidRDefault="004A7C0F">
      <w:pPr>
        <w:pStyle w:val="IASBNormalnparaL1"/>
      </w:pPr>
      <w:r>
        <w:t>(b)</w:t>
      </w:r>
      <w:r>
        <w:tab/>
      </w:r>
      <w:bookmarkStart w:id="232" w:name="SL135324"/>
      <w:r>
        <w:t>elementele din portofoliul acoperit împotriva riscurilor care s-au depreciat sau au fost derecunoscute;</w:t>
      </w:r>
      <w:bookmarkEnd w:id="232"/>
    </w:p>
    <w:p w:rsidR="004A7C0F" w:rsidRDefault="004A7C0F">
      <w:pPr>
        <w:pStyle w:val="IASBNormalnparaL1"/>
      </w:pPr>
      <w:r>
        <w:t>(c)</w:t>
      </w:r>
      <w:r>
        <w:tab/>
      </w:r>
      <w:bookmarkStart w:id="233" w:name="SL135326"/>
      <w:r>
        <w:t>datele de plată a instrumentului de acoperire împotriva riscurilor şi a elementului acoperit împotriva riscurilor, care sunt diferite; și</w:t>
      </w:r>
      <w:bookmarkEnd w:id="233"/>
    </w:p>
    <w:p w:rsidR="004A7C0F" w:rsidRDefault="004A7C0F">
      <w:pPr>
        <w:pStyle w:val="IASBNormalnparaL1"/>
      </w:pPr>
      <w:r>
        <w:t>(d)</w:t>
      </w:r>
      <w:r>
        <w:tab/>
      </w:r>
      <w:bookmarkStart w:id="234" w:name="SL135328"/>
      <w:r>
        <w:t>alte cauze (de exemplu, atunci când câteva elemente acoperite împotriva riscurilor sunt purtătoare de dobândă la o rată sub rata de referinţă pentru care sunt desemnate drept acoperite împotriva riscurilor şi ineficacitatea care rezultă nu este atât de mare încât întregul portofoliu să nu îndeplinească condiţiile contabilităţii de acoperire împotriva riscurilor).</w:t>
      </w:r>
      <w:bookmarkEnd w:id="234"/>
    </w:p>
    <w:p w:rsidR="004A7C0F" w:rsidRDefault="004A7C0F">
      <w:pPr>
        <w:pStyle w:val="IASBNormalnparaP"/>
      </w:pPr>
      <w:bookmarkStart w:id="235" w:name="SL135329"/>
      <w:r>
        <w:t>O asemenea lipsă de eficacitate</w:t>
      </w:r>
      <w:r>
        <w:rPr>
          <w:rStyle w:val="FootnoteReference"/>
        </w:rPr>
        <w:footnoteReference w:id="6"/>
      </w:r>
      <w:r>
        <w:t xml:space="preserve"> trebuie identificată şi recunoscută în profit sau pierdere.</w:t>
      </w:r>
      <w:bookmarkEnd w:id="235"/>
    </w:p>
    <w:p w:rsidR="004A7C0F" w:rsidRDefault="004A7C0F">
      <w:pPr>
        <w:pStyle w:val="IASBNormalnpara"/>
      </w:pPr>
      <w:r>
        <w:t>AG125</w:t>
      </w:r>
      <w:r>
        <w:tab/>
      </w:r>
      <w:bookmarkStart w:id="236" w:name="SL32892"/>
      <w:r>
        <w:t xml:space="preserve">În general, eficacitatea acoperirii împotriva riscurilor va fi îmbunătăţită: </w:t>
      </w:r>
      <w:bookmarkEnd w:id="236"/>
    </w:p>
    <w:p w:rsidR="004A7C0F" w:rsidRDefault="004A7C0F">
      <w:pPr>
        <w:pStyle w:val="IASBNormalnparaL1"/>
      </w:pPr>
      <w:r>
        <w:t>(a)</w:t>
      </w:r>
      <w:r>
        <w:tab/>
      </w:r>
      <w:bookmarkStart w:id="237" w:name="SL135332"/>
      <w:r>
        <w:t>dacă entitatea îşi planifică elementele cu caracteristici diferite de plată în avans într-un mod care ia în considerare diferenţele din procedura de plată în avans.</w:t>
      </w:r>
      <w:bookmarkEnd w:id="237"/>
    </w:p>
    <w:p w:rsidR="004A7C0F" w:rsidRDefault="004A7C0F">
      <w:pPr>
        <w:pStyle w:val="IASBNormalnparaL1"/>
      </w:pPr>
      <w:r>
        <w:t>(b)</w:t>
      </w:r>
      <w:r>
        <w:tab/>
      </w:r>
      <w:bookmarkStart w:id="238" w:name="SL135334"/>
      <w:r>
        <w:t>atunci când numărul elementelor din portofoliu este mai mare. Atunci când numai câteva elemente sunt cuprinse în portofoliu, este probabilă o ineficacitate relativ mare dacă unul dintre elemente este plătit mai devreme sau mai târziu decât s-a prevăzut. Dimpotrivă, atunci când portofoliul conţine multe elemente, procedura de plată în avans poate fi prognozată cu mai multă precizie.</w:t>
      </w:r>
      <w:bookmarkEnd w:id="238"/>
    </w:p>
    <w:p w:rsidR="004A7C0F" w:rsidRDefault="004A7C0F">
      <w:pPr>
        <w:pStyle w:val="IASBNormalnparaL1"/>
      </w:pPr>
      <w:r>
        <w:t>(c)</w:t>
      </w:r>
      <w:r>
        <w:tab/>
      </w:r>
      <w:bookmarkStart w:id="239" w:name="SL135336"/>
      <w:r>
        <w:t>atunci când perioadele utilizate pentru recalcularea preţului sunt mai mici (de exemplu, o perioadă de o lună faţă de o perioadă de reevaluare de trei luni). Micşorarea perioadelor de reevaluare reduce efectul oricărei nepotriviri dintre datele de reevaluare şi cele de plată (din perioada de reevaluare) a elementului acoperit împotriva riscurilor şi cele ale instrumentului de acoperire împotriva riscurilor.</w:t>
      </w:r>
      <w:bookmarkEnd w:id="239"/>
    </w:p>
    <w:p w:rsidR="004A7C0F" w:rsidRDefault="004A7C0F">
      <w:pPr>
        <w:pStyle w:val="IASBNormalnparaL1"/>
      </w:pPr>
      <w:r>
        <w:t>(d)</w:t>
      </w:r>
      <w:r>
        <w:tab/>
      </w:r>
      <w:bookmarkStart w:id="240" w:name="SL135338"/>
      <w:r>
        <w:t>cu cât este mai mare frecvenţa cu care valoarea instrumentului de acoperire împotriva riscurilor este ajustată pentru a reflecta modificările elementului acoperit împotriva riscurilor (de exemplu, din cauza modificărilor preconizărilor plăţilor în avans).</w:t>
      </w:r>
      <w:bookmarkEnd w:id="240"/>
    </w:p>
    <w:p w:rsidR="004A7C0F" w:rsidRDefault="004A7C0F">
      <w:pPr>
        <w:pStyle w:val="IASBNormalnpara"/>
      </w:pPr>
      <w:r>
        <w:t>AG126</w:t>
      </w:r>
      <w:r>
        <w:tab/>
      </w:r>
      <w:bookmarkStart w:id="241" w:name="SL32893"/>
      <w:r>
        <w:t xml:space="preserve">O entitate îşi testează periodic eficacitatea. Dacă estimările datelor de reevaluare se schimbă de la o dată la care entitatea îşi evaluează eficacitatea la alta, ea trebuie să calculeze valoarea eficacităţii fie: </w:t>
      </w:r>
      <w:bookmarkEnd w:id="241"/>
    </w:p>
    <w:p w:rsidR="004A7C0F" w:rsidRDefault="004A7C0F">
      <w:pPr>
        <w:pStyle w:val="IASBNormalnparaL1"/>
      </w:pPr>
      <w:r>
        <w:t>(a)</w:t>
      </w:r>
      <w:r>
        <w:tab/>
      </w:r>
      <w:bookmarkStart w:id="242" w:name="SL135341"/>
      <w:r>
        <w:t>ca diferenţă între modificarea valorii juste a elementului de acoperire împotriva riscurilor (a se vedea punctul AG114 litera (h)) şi modificarea valorii juste a întregului element acoperit împotriva riscurilor care poate fi atribuită ratei dobânzii acoperite împotriva riscurilor (inclusiv efectul pe care îl au modificările ratei dobânzii acoperite împotriva riscurilor asupra valorii juste sau a oricărei opţiuni de plată în avans încorporată); fie</w:t>
      </w:r>
      <w:bookmarkEnd w:id="242"/>
    </w:p>
    <w:p w:rsidR="004A7C0F" w:rsidRDefault="004A7C0F">
      <w:pPr>
        <w:pStyle w:val="IASBNormalnparaL1"/>
      </w:pPr>
      <w:r>
        <w:t>(b)</w:t>
      </w:r>
      <w:r>
        <w:tab/>
      </w:r>
      <w:bookmarkStart w:id="243" w:name="SL135343"/>
      <w:r>
        <w:t>utilizând următoarea aproximare. Entitatea:</w:t>
      </w:r>
      <w:bookmarkEnd w:id="243"/>
    </w:p>
    <w:p w:rsidR="004A7C0F" w:rsidRDefault="004A7C0F">
      <w:pPr>
        <w:pStyle w:val="IASBNormalnparaL2"/>
      </w:pPr>
      <w:r>
        <w:t>(i)</w:t>
      </w:r>
      <w:r>
        <w:tab/>
      </w:r>
      <w:bookmarkStart w:id="244" w:name="SL135346"/>
      <w:r>
        <w:t>calculează procentul activelor (sau datoriilor) din fiecare perioadă de reevaluare care a fost acoperit împotriva riscurilor, pe baza datelor de reevaluare estimate la ultima dată la care s-a testat eficacitatea.</w:t>
      </w:r>
      <w:bookmarkEnd w:id="244"/>
    </w:p>
    <w:p w:rsidR="004A7C0F" w:rsidRDefault="004A7C0F">
      <w:pPr>
        <w:pStyle w:val="IASBNormalnparaL2"/>
      </w:pPr>
      <w:r>
        <w:t>(ii)</w:t>
      </w:r>
      <w:r>
        <w:tab/>
      </w:r>
      <w:bookmarkStart w:id="245" w:name="SL135348"/>
      <w:r>
        <w:t>aplică procentul estimării sale revizuite a valorii din acea perioadă de reevaluare pentru a calcula valoarea elementului acoperit împotriva riscurilor pe baza estimării sale revizuite.</w:t>
      </w:r>
      <w:bookmarkEnd w:id="245"/>
    </w:p>
    <w:p w:rsidR="004A7C0F" w:rsidRDefault="004A7C0F">
      <w:pPr>
        <w:pStyle w:val="IASBNormalnparaL2"/>
      </w:pPr>
      <w:r>
        <w:lastRenderedPageBreak/>
        <w:t>(iii)</w:t>
      </w:r>
      <w:r>
        <w:tab/>
      </w:r>
      <w:bookmarkStart w:id="246" w:name="SL135350"/>
      <w:r>
        <w:t>calculează modificarea valorii juste a estimării revizuite a elementului acoperit împotriva riscurilor care poate fi atribuită riscului acoperit şi o prezintă conform punctului AG114 litera (g).</w:t>
      </w:r>
      <w:bookmarkEnd w:id="246"/>
    </w:p>
    <w:p w:rsidR="004A7C0F" w:rsidRDefault="004A7C0F">
      <w:pPr>
        <w:pStyle w:val="IASBNormalnparaL2"/>
      </w:pPr>
      <w:r>
        <w:t>(iv)</w:t>
      </w:r>
      <w:r>
        <w:tab/>
      </w:r>
      <w:bookmarkStart w:id="247" w:name="SL135352"/>
      <w:r>
        <w:t>recunoaşte ineficacitatea egală cu diferenţa dintre valoarea determinată la subpunctul (iii) şi modificarea valorii juste a instrumentului de acoperire împotriva riscurilor (a se vedea punctul AG114 litera (h)).</w:t>
      </w:r>
      <w:bookmarkEnd w:id="247"/>
    </w:p>
    <w:p w:rsidR="004A7C0F" w:rsidRDefault="004A7C0F">
      <w:pPr>
        <w:pStyle w:val="IASBNormalnpara"/>
      </w:pPr>
      <w:r>
        <w:t>AG127</w:t>
      </w:r>
      <w:r>
        <w:tab/>
      </w:r>
      <w:bookmarkStart w:id="248" w:name="SL32894"/>
      <w:r>
        <w:t>La evaluarea eficacităţii, entitatea delimitează revizuirile datelor de reevaluare a activelor (sau a datoriilor) existente de la iniţierea noilor active (sau datorii), din care numai primele generează ineficacitate. Toate revizuirile datelor de reevaluare estimate (altele decât cele excluse în conformitate cu punctul AG121), inclusiv orice realocare a elementelor existente între perioade, sunt incluse la revizuirea valorii estimate într-o perioadă în conformitate cu punctul AG126 litera (b) subpunctul (ii) şi, de aici, la evaluarea eficacităţii. Odată ce ineficacitatea a fost recunoscută aşa cum s-a stabilit mai sus, entitatea stabileşte o nouă estimare a activelor (sau a datoriilor) totale din fiecare perioadă de reevaluare, inclusiv noile active (sau datorii) care au fost iniţiate de la ultima testare a eficacităţii, şi desemnează o nouă valoare drept elementul acoperit împotriva riscurilor şi un nou procent drept procentul acoperit împotriva riscurilor. Procedurile prezentate la punctul AG126 litera (b) sunt apoi repetate la următoarea dată când îşi testează eficacitatea.</w:t>
      </w:r>
      <w:bookmarkEnd w:id="248"/>
    </w:p>
    <w:p w:rsidR="004A7C0F" w:rsidRDefault="004A7C0F">
      <w:pPr>
        <w:pStyle w:val="IASBNormalnpara"/>
      </w:pPr>
      <w:r>
        <w:t>AG128</w:t>
      </w:r>
      <w:r>
        <w:tab/>
      </w:r>
      <w:bookmarkStart w:id="249" w:name="SL32895"/>
      <w:r>
        <w:t>Elementele care au fost iniţial programate într-o perioadă de reevaluare pot fi derecunoscute datorită plăţii în avans care a avut loc mai devreme decât se preconizase sau datorită anulărilor cauzate de depreciere sau de vânzare. Atunci când apare, valoarea modificării valorii juste incluse într-un element-rând separat la care se face referire la punctul AG114 litera (g), care are legătură cu elementul derecunoscut, trebuie să fie eliminată din situaţia poziţiei financiare şi inclusă în câştigul sau pierderea care apare la derecunoaşterea elementului. În acest scop, este necesar să se cunoască perioada (perioadele) de reevaluare în care a fost programat elementul derecunoscut, deoarece aceasta determină perioada (perioadele) de reevaluare din care să fie scos şi, de aici, valoarea de scăzut dintr-un element-rând separat, prezentat la punctul AG114 litera (g). Atunci când un element este derecunoscut, dacă se poate determina în ce perioadă a fost inclus, el este scos din perioada respectivă. În caz contrar, el este scos din perioada iniţială, dacă derecunoaşterea a rezultat din plăţi în avans mai mari decât cele preconizate, sau este alocat tuturor perioadelor care conţin elementul derecunoscut pe bază sistematică şi raţională, dacă elementul a fost vândut sau s-a depreciat.</w:t>
      </w:r>
      <w:bookmarkEnd w:id="249"/>
    </w:p>
    <w:p w:rsidR="004A7C0F" w:rsidRDefault="004A7C0F">
      <w:pPr>
        <w:pStyle w:val="IASBNormalnpara"/>
      </w:pPr>
      <w:r>
        <w:t>AG129</w:t>
      </w:r>
      <w:r>
        <w:tab/>
      </w:r>
      <w:bookmarkStart w:id="250" w:name="SL32896"/>
      <w:r>
        <w:t>În plus, orice valoare legată de o anumită perioadă de timp care nu a fost derecunoscută la expirarea perioadei este recunoscută în profitul sau pierderea din acea perioadă (a se vedea punctul 89A). Să presupunem, de exemplu, că o entitate îşi programează elementele în trei perioade de reevaluare. La redesemnarea anterioară, modificarea valorii juste raportate într-un singur element-rând din situaţia poziţiei financiare a fost un activ de 25 u.m. Valoarea reprezintă valorile atribuibile perioadelor 1, 2 şi 3, de 7 u.m., 8 u.m. și respectiv 10 u.m. La următoarea redesemnare, activele atribuibile perioadei 1 au fost fie realizate, fie reprogramate în alte perioade. Prin urmare, 7 u.m. sunt derecunoscute din situaţia poziţiei financiare şi recunoscute în profit sau pierdere. 8 u.m. şi 10 u.m. sunt acum atribuibile perioadelor 1, respectiv 2. Aceste perioade rămase sunt apoi ajustate, după caz, pentru modificările valorii juste conform descrierii de la punctul AG114 litera (g).</w:t>
      </w:r>
      <w:bookmarkEnd w:id="250"/>
    </w:p>
    <w:p w:rsidR="004A7C0F" w:rsidRDefault="004A7C0F">
      <w:pPr>
        <w:pStyle w:val="IASBNormalnpara"/>
      </w:pPr>
      <w:r>
        <w:t>AG130</w:t>
      </w:r>
      <w:r>
        <w:tab/>
      </w:r>
      <w:bookmarkStart w:id="251" w:name="SL32897"/>
      <w:r>
        <w:t>Ca o ilustrare a dispoziţiilor de la cele două puncte anterioare, să presupunem că entitatea şi-a programat activele prin alocarea unui procent din portofoliu în fiecare perioadă de reevaluare. Să presupunem că aceasta a programat 100 u.m. în fiecare dintre cele două perioade. La expirarea primei perioade de reevaluare, 100 u.m. din active sunt derecunoscute din cauza plăţilor în avans preconizate şi nepreconizate. În acest caz, toată valoarea cuprinsă în elementul-rând separat prezentat la punctul AG114 litera (g) care se referă la prima perioadă de timp este eliminată din situaţia poziţiei financiare, plus 10% din valoarea aferentă celei de-a doua perioade.</w:t>
      </w:r>
      <w:bookmarkEnd w:id="251"/>
    </w:p>
    <w:p w:rsidR="004A7C0F" w:rsidRDefault="004A7C0F">
      <w:pPr>
        <w:pStyle w:val="IASBNormalnpara"/>
      </w:pPr>
      <w:r>
        <w:t>AG131</w:t>
      </w:r>
      <w:r>
        <w:tab/>
      </w:r>
      <w:bookmarkStart w:id="252" w:name="SL32898"/>
      <w:r>
        <w:t>Dacă valoarea acoperită împotriva riscurilor pentru o perioadă de reevaluare se reduce fără ca activele (sau datoriile) aferente să fie derecunoscute, valoarea inclusă în elementul-rând separat prezentat la punctul AG114 litera (g), care se referă la reducere, trebuie să fie amortizată în conformitate cu punctul 92.</w:t>
      </w:r>
      <w:bookmarkEnd w:id="252"/>
    </w:p>
    <w:p w:rsidR="004A7C0F" w:rsidRDefault="004A7C0F">
      <w:pPr>
        <w:pStyle w:val="IASBNormalnpara"/>
      </w:pPr>
      <w:r>
        <w:t>AG132</w:t>
      </w:r>
      <w:r>
        <w:tab/>
      </w:r>
      <w:bookmarkStart w:id="253" w:name="SL32899"/>
      <w:r>
        <w:t>O entitate poate dori să aplice abordarea stabilită la punctele AG114-AG131 pentru o acoperire împotriva riscurilor a unui portofoliu care a fost anterior contabilizată ca o acoperire împotriva riscului asociat fluxurilor de trezorerie, în conformitate cu IAS 39. O astfel de entitate va revoca desemnarea anterioară a acoperirii împotriva riscurilor aferente fluxurilor de trezorerie, în conformitate cu punctul 101 litera (d) şi va aplica dispoziţiile stabilite la acel punct. De asemenea, ea va redesemna acoperirea împotriva riscurilor ca o acoperire a valorii juste şi va aplica prospectiv abordarea stabilită la punctele AG114-AG131 perioadelor contabile ulterioare.</w:t>
      </w:r>
      <w:bookmarkEnd w:id="253"/>
    </w:p>
    <w:p w:rsidR="004A7C0F" w:rsidRDefault="004A7C0F">
      <w:pPr>
        <w:pStyle w:val="IASBSectionTitle1NonInd"/>
      </w:pPr>
      <w:bookmarkStart w:id="254" w:name="SL19045812"/>
      <w:r>
        <w:lastRenderedPageBreak/>
        <w:t>Tranziţia (punctele 103-108C)</w:t>
      </w:r>
      <w:bookmarkEnd w:id="254"/>
    </w:p>
    <w:p w:rsidR="004A7C0F" w:rsidRDefault="004A7C0F">
      <w:pPr>
        <w:pStyle w:val="IASBNormalnpara"/>
      </w:pPr>
      <w:r>
        <w:t>AG133</w:t>
      </w:r>
      <w:r>
        <w:tab/>
      </w:r>
      <w:bookmarkStart w:id="255" w:name="F19045814"/>
      <w:r>
        <w:t>O entitate poate să fi desemnat o tranzacţie prognozată în interiorul grupului ca element acoperit împotriva riscurilor la debutul unei perioade anuale care începe la 1 ianuarie 2005 sau ulterior acestei date (sau, în sensul reformulării informaţiilor comparative, la începutul unei perioade comparative anterioare) într-o acoperire care ar îndeplini condiţiile pentru contabilitatea de acoperire împotriva riscurilor în conformitate cu prezentul standard (modificat prin ultima propoziţie de la punctul 80). O astfel de entitate poate utiliza această desemnare pentru aplicarea contabilităţii de acoperire împotriva riscurilor din situaţiile financiare consolidate de la începutul perioadei anuale care începe la 1 ianuarie 2005 sau ulterior acestei date (sau de la începutul unei perioade comparative anterioare). O astfel de entitate trebuie să aplice şi punctele AG99A şi AG99B de la debutul perioadei anuale care începe la 1 ianuarie 2005 sau ulterior acestei date. Totuşi, în conformitate cu punctul 108B, ea nu trebuie să aplice punctul AG99B pentru informaţiile comparative din perioadele anterioare.</w:t>
      </w:r>
      <w:bookmarkEnd w:id="255"/>
    </w:p>
    <w:p w:rsidR="004A7C0F" w:rsidRDefault="004A7C0F" w:rsidP="001069D0">
      <w:pPr>
        <w:pStyle w:val="IASBIdentifier"/>
      </w:pPr>
      <w:bookmarkStart w:id="256" w:name="_GoBack"/>
      <w:bookmarkEnd w:id="256"/>
    </w:p>
    <w:sectPr w:rsidR="004A7C0F">
      <w:headerReference w:type="even" r:id="rId10"/>
      <w:headerReference w:type="default" r:id="rId11"/>
      <w:footerReference w:type="even" r:id="rId12"/>
      <w:footerReference w:type="default" r:id="rId13"/>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23F" w:rsidRDefault="00D1423F">
      <w:r>
        <w:separator/>
      </w:r>
    </w:p>
  </w:endnote>
  <w:endnote w:type="continuationSeparator" w:id="0">
    <w:p w:rsidR="00D1423F" w:rsidRDefault="00D14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2A4651">
      <w:rPr>
        <w:noProof/>
        <w:sz w:val="17"/>
      </w:rPr>
      <w:t>10</w:t>
    </w:r>
    <w:r>
      <w:rPr>
        <w:sz w:val="17"/>
      </w:rPr>
      <w:fldChar w:fldCharType="end"/>
    </w:r>
    <w:r>
      <w:tab/>
    </w:r>
    <w:r>
      <w:rPr>
        <w:sz w:val="17"/>
        <w:vertAlign w:val="superscript"/>
      </w:rPr>
      <w:t>©</w:t>
    </w:r>
    <w:r>
      <w:rPr>
        <w:sz w:val="17"/>
      </w:rPr>
      <w:t xml:space="preserve"> Fundaţia IFRS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2A4651">
      <w:rPr>
        <w:noProof/>
        <w:sz w:val="17"/>
      </w:rPr>
      <w:t>11</w:t>
    </w:r>
    <w:r>
      <w:rPr>
        <w:sz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2A4651">
      <w:rPr>
        <w:noProof/>
        <w:sz w:val="17"/>
      </w:rPr>
      <w:t>22</w:t>
    </w:r>
    <w:r>
      <w:rPr>
        <w:sz w:val="17"/>
      </w:rPr>
      <w:fldChar w:fldCharType="end"/>
    </w:r>
    <w:r>
      <w:tab/>
    </w:r>
    <w:r>
      <w:rPr>
        <w:sz w:val="17"/>
        <w:vertAlign w:val="superscript"/>
      </w:rPr>
      <w:t>©</w:t>
    </w:r>
    <w:r>
      <w:rPr>
        <w:sz w:val="17"/>
      </w:rPr>
      <w:t xml:space="preserve"> Fundaţia IFRS</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2A4651">
      <w:rPr>
        <w:noProof/>
        <w:sz w:val="17"/>
      </w:rPr>
      <w:t>21</w:t>
    </w:r>
    <w:r>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23F" w:rsidRDefault="00D1423F">
      <w:r>
        <w:separator/>
      </w:r>
    </w:p>
  </w:footnote>
  <w:footnote w:type="continuationSeparator" w:id="0">
    <w:p w:rsidR="00D1423F" w:rsidRDefault="00D1423F">
      <w:r>
        <w:continuationSeparator/>
      </w:r>
    </w:p>
  </w:footnote>
  <w:footnote w:id="1">
    <w:p w:rsidR="004A7C0F" w:rsidRDefault="004A7C0F" w:rsidP="001069D0">
      <w:pPr>
        <w:ind w:left="709" w:hanging="709"/>
        <w:rPr>
          <w:rStyle w:val="FootnoteReference"/>
          <w:sz w:val="16"/>
          <w:szCs w:val="20"/>
          <w:vertAlign w:val="baseline"/>
          <w:lang w:val="en-US"/>
        </w:rPr>
      </w:pPr>
      <w:r>
        <w:rPr>
          <w:rStyle w:val="FootnoteReference"/>
        </w:rPr>
        <w:footnoteRef/>
      </w:r>
      <w:r>
        <w:tab/>
      </w:r>
      <w:r>
        <w:rPr>
          <w:rStyle w:val="FootnoteReference"/>
          <w:sz w:val="16"/>
          <w:vertAlign w:val="baseline"/>
        </w:rPr>
        <w:t>Aceleaşi consideraţii privind pragul de semnificaţie se aplică în acest context, aşa cum se aplică în toate IFRS-urile.</w:t>
      </w:r>
    </w:p>
  </w:footnote>
  <w:footnote w:id="2">
    <w:p w:rsidR="004A7C0F" w:rsidRDefault="004A7C0F" w:rsidP="001069D0">
      <w:pPr>
        <w:ind w:left="709" w:hanging="709"/>
        <w:rPr>
          <w:rStyle w:val="FootnoteReference"/>
          <w:sz w:val="16"/>
          <w:szCs w:val="20"/>
          <w:vertAlign w:val="baseline"/>
          <w:lang w:val="en-US"/>
        </w:rPr>
      </w:pPr>
      <w:r>
        <w:rPr>
          <w:rStyle w:val="FootnoteReference"/>
        </w:rPr>
        <w:footnoteRef/>
      </w:r>
      <w:r>
        <w:tab/>
      </w:r>
      <w:r>
        <w:rPr>
          <w:rStyle w:val="FootnoteReference"/>
          <w:sz w:val="16"/>
          <w:vertAlign w:val="baseline"/>
        </w:rPr>
        <w:t>Standardul permite unei entităţi să desemneze orice valoare a activelor sau datoriilor disponibile care îndeplinesc condiţiile, adică în acest exemplu, orice valoare a activelor între 0 u.m. şi 100 u.m.</w:t>
      </w:r>
    </w:p>
  </w:footnote>
  <w:footnote w:id="3">
    <w:p w:rsidR="004A7C0F" w:rsidRDefault="004A7C0F" w:rsidP="001069D0">
      <w:pPr>
        <w:ind w:left="709" w:hanging="709"/>
        <w:rPr>
          <w:rStyle w:val="FootnoteReference"/>
          <w:sz w:val="16"/>
          <w:szCs w:val="20"/>
          <w:vertAlign w:val="baseline"/>
          <w:lang w:val="en-US"/>
        </w:rPr>
      </w:pPr>
      <w:r>
        <w:rPr>
          <w:rStyle w:val="FootnoteReference"/>
        </w:rPr>
        <w:footnoteRef/>
      </w:r>
      <w:r>
        <w:tab/>
      </w:r>
      <w:r>
        <w:rPr>
          <w:rStyle w:val="FootnoteReference"/>
          <w:sz w:val="16"/>
          <w:vertAlign w:val="baseline"/>
        </w:rPr>
        <w:t>30 u.m. ÷ (100 u.m. – 40 u.m.) = 50%</w:t>
      </w:r>
    </w:p>
  </w:footnote>
  <w:footnote w:id="4">
    <w:p w:rsidR="004A7C0F" w:rsidRDefault="004A7C0F" w:rsidP="001069D0">
      <w:pPr>
        <w:rPr>
          <w:rStyle w:val="FootnoteReference"/>
          <w:sz w:val="16"/>
          <w:szCs w:val="20"/>
          <w:vertAlign w:val="baseline"/>
          <w:lang w:val="en-US"/>
        </w:rPr>
      </w:pPr>
      <w:r>
        <w:rPr>
          <w:rStyle w:val="FootnoteReference"/>
        </w:rPr>
        <w:footnoteRef/>
      </w:r>
      <w:r>
        <w:tab/>
      </w:r>
      <w:r>
        <w:rPr>
          <w:rStyle w:val="FootnoteReference"/>
          <w:sz w:val="16"/>
          <w:vertAlign w:val="baseline"/>
        </w:rPr>
        <w:t>a se vedea punctele 77 şi AG94</w:t>
      </w:r>
    </w:p>
  </w:footnote>
  <w:footnote w:id="5">
    <w:p w:rsidR="004A7C0F" w:rsidRDefault="004A7C0F" w:rsidP="001069D0">
      <w:pPr>
        <w:rPr>
          <w:rStyle w:val="FootnoteReference"/>
          <w:sz w:val="16"/>
          <w:szCs w:val="20"/>
          <w:vertAlign w:val="baseline"/>
          <w:lang w:val="en-US"/>
        </w:rPr>
      </w:pPr>
      <w:r>
        <w:rPr>
          <w:rStyle w:val="FootnoteReference"/>
        </w:rPr>
        <w:footnoteRef/>
      </w:r>
      <w:r>
        <w:tab/>
      </w:r>
      <w:r>
        <w:rPr>
          <w:rStyle w:val="FootnoteReference"/>
          <w:sz w:val="16"/>
          <w:vertAlign w:val="baseline"/>
        </w:rPr>
        <w:t>a se vedea punctul 75</w:t>
      </w:r>
    </w:p>
  </w:footnote>
  <w:footnote w:id="6">
    <w:p w:rsidR="004A7C0F" w:rsidRDefault="004A7C0F" w:rsidP="001069D0">
      <w:pPr>
        <w:rPr>
          <w:rStyle w:val="FootnoteReference"/>
          <w:sz w:val="16"/>
          <w:szCs w:val="20"/>
          <w:vertAlign w:val="baseline"/>
          <w:lang w:val="en-US"/>
        </w:rPr>
      </w:pPr>
      <w:r>
        <w:rPr>
          <w:rStyle w:val="FootnoteReference"/>
        </w:rPr>
        <w:footnoteRef/>
      </w:r>
      <w:r>
        <w:tab/>
      </w:r>
      <w:r>
        <w:rPr>
          <w:rStyle w:val="FootnoteReference"/>
          <w:sz w:val="16"/>
          <w:vertAlign w:val="baseline"/>
        </w:rPr>
        <w:t>În acest context se aplică aceleași considerente privind pragul de semnificația ca în toate IFRS-urile.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IAS 39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r>
      <w:rPr>
        <w:sz w:val="20"/>
      </w:rPr>
      <w:t>IAS 39</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IAS 39 IG</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A76"/>
    <w:rsid w:val="000B4EC8"/>
    <w:rsid w:val="001069D0"/>
    <w:rsid w:val="002A4651"/>
    <w:rsid w:val="003A31FE"/>
    <w:rsid w:val="004A7C0F"/>
    <w:rsid w:val="004E3A76"/>
    <w:rsid w:val="005F7281"/>
    <w:rsid w:val="00736422"/>
    <w:rsid w:val="0081458A"/>
    <w:rsid w:val="00A17902"/>
    <w:rsid w:val="00CE358A"/>
    <w:rsid w:val="00D14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803F54"/>
  <w14:defaultImageDpi w14:val="0"/>
  <w15:docId w15:val="{E7856D3D-0EBD-4598-939F-875618387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jc w:val="both"/>
    </w:pPr>
    <w:rPr>
      <w:sz w:val="19"/>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pPr>
    <w:rPr>
      <w:rFonts w:cs="Arial"/>
      <w:sz w:val="36"/>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rPr>
  </w:style>
  <w:style w:type="paragraph" w:customStyle="1" w:styleId="IASBTOCParagraph">
    <w:name w:val="IASB TOC Paragraph"/>
    <w:basedOn w:val="Normal"/>
    <w:rsid w:val="005D06EB"/>
    <w:pPr>
      <w:spacing w:before="30" w:after="30"/>
    </w:pPr>
    <w:rPr>
      <w:rFonts w:ascii="Arial" w:hAnsi="Arial" w:cs="Arial"/>
      <w:i/>
      <w:sz w:val="18"/>
      <w:szCs w:val="20"/>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20"/>
      <w:szCs w:val="20"/>
      <w:lang w:eastAsia="ro-RO"/>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link w:val="Header"/>
    <w:uiPriority w:val="99"/>
    <w:semiHidden/>
    <w:rPr>
      <w:sz w:val="24"/>
      <w:szCs w:val="24"/>
      <w:lang w:eastAsia="ro-RO"/>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link w:val="Footer"/>
    <w:uiPriority w:val="99"/>
    <w:semiHidden/>
    <w:rPr>
      <w:sz w:val="24"/>
      <w:szCs w:val="24"/>
      <w:lang w:eastAsia="ro-RO"/>
    </w:rPr>
  </w:style>
  <w:style w:type="paragraph" w:customStyle="1" w:styleId="IASBRubricL1">
    <w:name w:val="IASB RubricL1"/>
    <w:basedOn w:val="IASBRubric"/>
    <w:rsid w:val="00AE7B5D"/>
    <w:pPr>
      <w:ind w:left="782" w:hanging="782"/>
      <w:jc w:val="left"/>
    </w:p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rPr>
  </w:style>
  <w:style w:type="paragraph" w:customStyle="1" w:styleId="IASBTableHeaderTNR">
    <w:name w:val="IASB Table Header TNR"/>
    <w:basedOn w:val="Normal"/>
    <w:qFormat/>
    <w:rsid w:val="003656D2"/>
    <w:pPr>
      <w:keepNext/>
      <w:spacing w:before="120" w:after="200" w:line="276" w:lineRule="auto"/>
    </w:pPr>
    <w:rPr>
      <w:sz w:val="19"/>
      <w:szCs w:val="20"/>
    </w:rPr>
  </w:style>
  <w:style w:type="paragraph" w:customStyle="1" w:styleId="IASBTableTNR">
    <w:name w:val="IASB Table TNR"/>
    <w:basedOn w:val="Normal"/>
    <w:qFormat/>
    <w:rsid w:val="003656D2"/>
    <w:pPr>
      <w:spacing w:before="120"/>
    </w:pPr>
    <w:rPr>
      <w:sz w:val="19"/>
      <w:szCs w:val="20"/>
    </w:rPr>
  </w:style>
  <w:style w:type="paragraph" w:customStyle="1" w:styleId="IASBTableArial">
    <w:name w:val="IASB Table Arial"/>
    <w:basedOn w:val="Normal"/>
    <w:rsid w:val="00B90BDB"/>
    <w:pPr>
      <w:spacing w:before="120"/>
    </w:pPr>
    <w:rPr>
      <w:rFonts w:ascii="Arial" w:hAnsi="Arial"/>
      <w:sz w:val="18"/>
      <w:szCs w:val="20"/>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uiPriority w:val="99"/>
    <w:semiHidden/>
    <w:unhideWhenUsed/>
    <w:rsid w:val="004E3A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22</Pages>
  <Words>14961</Words>
  <Characters>85280</Characters>
  <Application>Microsoft Office Word</Application>
  <DocSecurity>0</DocSecurity>
  <Lines>710</Lines>
  <Paragraphs>200</Paragraphs>
  <ScaleCrop>false</ScaleCrop>
  <HeadingPairs>
    <vt:vector size="2" baseType="variant">
      <vt:variant>
        <vt:lpstr>Title</vt:lpstr>
      </vt:variant>
      <vt:variant>
        <vt:i4>1</vt:i4>
      </vt:variant>
    </vt:vector>
  </HeadingPairs>
  <TitlesOfParts>
    <vt:vector size="1" baseType="lpstr">
      <vt:lpstr/>
    </vt:vector>
  </TitlesOfParts>
  <Company>IFRS</Company>
  <LinksUpToDate>false</LinksUpToDate>
  <CharactersWithSpaces>100041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Jeacock, Jacqueline</dc:creator>
  <cp:lastModifiedBy>Hemmant, Anna</cp:lastModifiedBy>
  <cp:revision>3</cp:revision>
  <dcterms:created xsi:type="dcterms:W3CDTF">2017-03-13T12:39:00Z</dcterms:created>
  <dcterms:modified xsi:type="dcterms:W3CDTF">2018-01-03T09:50:00Z</dcterms:modified>
</cp:coreProperties>
</file>