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86" w:rsidRDefault="004C5A86" w:rsidP="00451286">
      <w:pPr>
        <w:jc w:val="center"/>
        <w:rPr>
          <w:b/>
          <w:sz w:val="20"/>
          <w:szCs w:val="20"/>
          <w:lang w:val="ro-RO"/>
        </w:rPr>
      </w:pPr>
    </w:p>
    <w:p w:rsidR="004C5A86" w:rsidRDefault="004C5A86" w:rsidP="00451286">
      <w:pPr>
        <w:jc w:val="center"/>
        <w:rPr>
          <w:b/>
          <w:sz w:val="20"/>
          <w:szCs w:val="20"/>
          <w:lang w:val="ro-RO"/>
        </w:rPr>
      </w:pPr>
    </w:p>
    <w:p w:rsidR="00451286" w:rsidRPr="00801F29" w:rsidRDefault="00451286" w:rsidP="00451286">
      <w:pPr>
        <w:jc w:val="center"/>
        <w:rPr>
          <w:b/>
          <w:sz w:val="20"/>
          <w:szCs w:val="20"/>
          <w:lang w:val="ro-RO"/>
        </w:rPr>
      </w:pPr>
      <w:bookmarkStart w:id="0" w:name="_GoBack"/>
      <w:bookmarkEnd w:id="0"/>
      <w:r w:rsidRPr="00801F29">
        <w:rPr>
          <w:b/>
          <w:sz w:val="20"/>
          <w:szCs w:val="20"/>
          <w:lang w:val="ro-RO"/>
        </w:rPr>
        <w:t>Informația</w:t>
      </w:r>
    </w:p>
    <w:p w:rsidR="00451286" w:rsidRPr="00801F29" w:rsidRDefault="00451286" w:rsidP="00451286">
      <w:pPr>
        <w:jc w:val="center"/>
        <w:rPr>
          <w:i/>
          <w:sz w:val="20"/>
          <w:szCs w:val="20"/>
          <w:lang w:val="ro-RO"/>
        </w:rPr>
      </w:pPr>
      <w:r w:rsidRPr="00801F29">
        <w:rPr>
          <w:b/>
          <w:sz w:val="20"/>
          <w:szCs w:val="20"/>
          <w:lang w:val="ro-RO"/>
        </w:rPr>
        <w:t>privind realizările-cheie înregistrate de către Ministerul Finanțelor</w:t>
      </w:r>
      <w:r w:rsidRPr="00801F29">
        <w:rPr>
          <w:i/>
          <w:sz w:val="20"/>
          <w:szCs w:val="20"/>
          <w:lang w:val="ro-RO"/>
        </w:rPr>
        <w:t xml:space="preserve"> (inclusiv autoritățile administrative din subordine)</w:t>
      </w:r>
    </w:p>
    <w:p w:rsidR="00451286" w:rsidRDefault="00451286" w:rsidP="00451286">
      <w:pPr>
        <w:jc w:val="center"/>
        <w:rPr>
          <w:b/>
          <w:sz w:val="20"/>
          <w:szCs w:val="20"/>
          <w:lang w:val="ro-RO"/>
        </w:rPr>
      </w:pPr>
      <w:r w:rsidRPr="00801F29">
        <w:rPr>
          <w:b/>
          <w:sz w:val="20"/>
          <w:szCs w:val="20"/>
          <w:lang w:val="ro-RO"/>
        </w:rPr>
        <w:t xml:space="preserve">pe parcursul celor 5 ani de la semnarea Acordului de Asociere RM-UE </w:t>
      </w: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7655"/>
        <w:gridCol w:w="7938"/>
      </w:tblGrid>
      <w:tr w:rsidR="00451286" w:rsidRPr="003973DD" w:rsidTr="005126EC">
        <w:tc>
          <w:tcPr>
            <w:tcW w:w="7655" w:type="dxa"/>
            <w:shd w:val="clear" w:color="auto" w:fill="FFFF66"/>
          </w:tcPr>
          <w:p w:rsidR="00451286" w:rsidRPr="00FA72AA" w:rsidRDefault="00451286" w:rsidP="005126EC">
            <w:pPr>
              <w:jc w:val="center"/>
              <w:rPr>
                <w:sz w:val="20"/>
                <w:szCs w:val="20"/>
                <w:lang w:val="ro-RO"/>
              </w:rPr>
            </w:pPr>
            <w:r w:rsidRPr="00FA72AA">
              <w:rPr>
                <w:b/>
                <w:sz w:val="20"/>
                <w:szCs w:val="20"/>
                <w:lang w:val="ro-RO"/>
              </w:rPr>
              <w:t xml:space="preserve">Realizări </w:t>
            </w:r>
            <w:r w:rsidRPr="00FA72AA">
              <w:rPr>
                <w:i/>
                <w:sz w:val="20"/>
                <w:szCs w:val="20"/>
                <w:lang w:val="ro-RO"/>
              </w:rPr>
              <w:t>(realizări măsurabile cantitativ și/sau calitativ)</w:t>
            </w:r>
          </w:p>
        </w:tc>
        <w:tc>
          <w:tcPr>
            <w:tcW w:w="7938" w:type="dxa"/>
            <w:shd w:val="clear" w:color="auto" w:fill="FFFF66"/>
          </w:tcPr>
          <w:p w:rsidR="00451286" w:rsidRPr="00FA72AA" w:rsidRDefault="00451286" w:rsidP="005126EC">
            <w:pPr>
              <w:jc w:val="center"/>
              <w:rPr>
                <w:sz w:val="20"/>
                <w:szCs w:val="20"/>
                <w:lang w:val="ro-RO"/>
              </w:rPr>
            </w:pPr>
            <w:r w:rsidRPr="00FA72AA">
              <w:rPr>
                <w:b/>
                <w:sz w:val="20"/>
                <w:szCs w:val="20"/>
                <w:lang w:val="ro-RO"/>
              </w:rPr>
              <w:t xml:space="preserve">Impact </w:t>
            </w:r>
            <w:r w:rsidRPr="00FA72AA">
              <w:rPr>
                <w:i/>
                <w:sz w:val="20"/>
                <w:szCs w:val="20"/>
                <w:lang w:val="ro-RO"/>
              </w:rPr>
              <w:t>(beneficii directe și/sau indirecte)</w:t>
            </w: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t xml:space="preserve">TITLUL III. </w:t>
            </w:r>
          </w:p>
          <w:p w:rsidR="00451286" w:rsidRPr="00FA72AA" w:rsidRDefault="00451286" w:rsidP="005126EC">
            <w:pPr>
              <w:jc w:val="center"/>
              <w:rPr>
                <w:b/>
                <w:sz w:val="20"/>
                <w:szCs w:val="20"/>
                <w:lang w:val="ro-RO"/>
              </w:rPr>
            </w:pPr>
            <w:r w:rsidRPr="00FA72AA">
              <w:rPr>
                <w:b/>
                <w:sz w:val="20"/>
                <w:szCs w:val="20"/>
                <w:lang w:val="ro-RO"/>
              </w:rPr>
              <w:t>JUSTIŢIE, LIBERTATE ŞI SECURITATE</w:t>
            </w:r>
          </w:p>
        </w:tc>
      </w:tr>
      <w:tr w:rsidR="00451286" w:rsidRPr="003973DD" w:rsidTr="005126EC">
        <w:tc>
          <w:tcPr>
            <w:tcW w:w="15593" w:type="dxa"/>
            <w:gridSpan w:val="2"/>
            <w:shd w:val="clear" w:color="auto" w:fill="DEEAF6" w:themeFill="accent1" w:themeFillTint="33"/>
          </w:tcPr>
          <w:p w:rsidR="00451286" w:rsidRPr="00FA72AA" w:rsidRDefault="00451286" w:rsidP="005126EC">
            <w:pPr>
              <w:rPr>
                <w:b/>
                <w:sz w:val="20"/>
                <w:szCs w:val="20"/>
                <w:lang w:val="ro-RO"/>
              </w:rPr>
            </w:pPr>
            <w:r w:rsidRPr="00FA72AA">
              <w:rPr>
                <w:b/>
                <w:sz w:val="20"/>
                <w:szCs w:val="20"/>
                <w:lang w:val="ro-RO"/>
              </w:rPr>
              <w:t xml:space="preserve">Realizare-cheie: Instituirea </w:t>
            </w:r>
            <w:proofErr w:type="spellStart"/>
            <w:r w:rsidRPr="00FA72AA">
              <w:rPr>
                <w:b/>
                <w:sz w:val="20"/>
                <w:szCs w:val="20"/>
                <w:lang w:val="ro-RO"/>
              </w:rPr>
              <w:t>şi</w:t>
            </w:r>
            <w:proofErr w:type="spellEnd"/>
            <w:r w:rsidRPr="00FA72AA">
              <w:rPr>
                <w:b/>
                <w:sz w:val="20"/>
                <w:szCs w:val="20"/>
                <w:lang w:val="ro-RO"/>
              </w:rPr>
              <w:t xml:space="preserve"> gestionarea Registrului conturilor de </w:t>
            </w:r>
            <w:proofErr w:type="spellStart"/>
            <w:r w:rsidRPr="00FA72AA">
              <w:rPr>
                <w:b/>
                <w:sz w:val="20"/>
                <w:szCs w:val="20"/>
                <w:lang w:val="ro-RO"/>
              </w:rPr>
              <w:t>plăţi</w:t>
            </w:r>
            <w:proofErr w:type="spellEnd"/>
            <w:r w:rsidRPr="00FA72AA">
              <w:rPr>
                <w:b/>
                <w:sz w:val="20"/>
                <w:szCs w:val="20"/>
                <w:lang w:val="ro-RO"/>
              </w:rPr>
              <w:t xml:space="preserve"> </w:t>
            </w:r>
            <w:proofErr w:type="spellStart"/>
            <w:r w:rsidRPr="00FA72AA">
              <w:rPr>
                <w:b/>
                <w:sz w:val="20"/>
                <w:szCs w:val="20"/>
                <w:lang w:val="ro-RO"/>
              </w:rPr>
              <w:t>şi</w:t>
            </w:r>
            <w:proofErr w:type="spellEnd"/>
            <w:r w:rsidRPr="00FA72AA">
              <w:rPr>
                <w:b/>
                <w:sz w:val="20"/>
                <w:szCs w:val="20"/>
                <w:lang w:val="ro-RO"/>
              </w:rPr>
              <w:t xml:space="preserve"> bancare ale persoanelor fizice </w:t>
            </w:r>
            <w:proofErr w:type="spellStart"/>
            <w:r w:rsidRPr="00FA72AA">
              <w:rPr>
                <w:b/>
                <w:sz w:val="20"/>
                <w:szCs w:val="20"/>
                <w:lang w:val="ro-RO"/>
              </w:rPr>
              <w:t>şi</w:t>
            </w:r>
            <w:proofErr w:type="spellEnd"/>
            <w:r w:rsidRPr="00FA72AA">
              <w:rPr>
                <w:b/>
                <w:sz w:val="20"/>
                <w:szCs w:val="20"/>
                <w:lang w:val="ro-RO"/>
              </w:rPr>
              <w:t xml:space="preserve"> juridice</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Crearea și gestionarea de către SFS a </w:t>
            </w:r>
            <w:r w:rsidRPr="00FA72AA">
              <w:rPr>
                <w:b/>
                <w:i/>
                <w:sz w:val="20"/>
                <w:szCs w:val="20"/>
                <w:lang w:val="ro-RO"/>
              </w:rPr>
              <w:t>Registrului conturilor bancare și de plăți ale persoanelor fizice/juridice</w:t>
            </w:r>
            <w:r w:rsidRPr="00FA72AA">
              <w:rPr>
                <w:sz w:val="20"/>
                <w:szCs w:val="20"/>
                <w:lang w:val="ro-RO"/>
              </w:rPr>
              <w:t>.</w:t>
            </w:r>
          </w:p>
        </w:tc>
        <w:tc>
          <w:tcPr>
            <w:tcW w:w="7938" w:type="dxa"/>
            <w:shd w:val="clear" w:color="auto" w:fill="FFFFFF" w:themeFill="background1"/>
          </w:tcPr>
          <w:p w:rsidR="00451286" w:rsidRPr="00FA72AA" w:rsidRDefault="00451286" w:rsidP="005126EC">
            <w:pPr>
              <w:numPr>
                <w:ilvl w:val="0"/>
                <w:numId w:val="3"/>
              </w:numPr>
              <w:contextualSpacing/>
              <w:jc w:val="both"/>
              <w:rPr>
                <w:sz w:val="20"/>
                <w:szCs w:val="20"/>
                <w:lang w:val="ro-RO"/>
              </w:rPr>
            </w:pPr>
            <w:r w:rsidRPr="00FA72AA">
              <w:rPr>
                <w:sz w:val="20"/>
                <w:szCs w:val="20"/>
                <w:lang w:val="ro-RO"/>
              </w:rPr>
              <w:t>Alinierea legislației naționale la cea de a IV-a Directivă privind combaterea spălării banilor și finanțării terorismului;</w:t>
            </w:r>
          </w:p>
          <w:p w:rsidR="00451286" w:rsidRPr="00FA72AA" w:rsidRDefault="00451286" w:rsidP="005126EC">
            <w:pPr>
              <w:numPr>
                <w:ilvl w:val="0"/>
                <w:numId w:val="3"/>
              </w:numPr>
              <w:contextualSpacing/>
              <w:jc w:val="both"/>
              <w:rPr>
                <w:sz w:val="20"/>
                <w:szCs w:val="20"/>
                <w:lang w:val="ro-RO"/>
              </w:rPr>
            </w:pPr>
            <w:r w:rsidRPr="00FA72AA">
              <w:rPr>
                <w:sz w:val="20"/>
                <w:szCs w:val="20"/>
                <w:lang w:val="ro-RO"/>
              </w:rPr>
              <w:t>Ridicarea calității procesului de deservire a contribuabililor;</w:t>
            </w:r>
          </w:p>
          <w:p w:rsidR="00451286" w:rsidRPr="00FA72AA" w:rsidRDefault="00451286" w:rsidP="005126EC">
            <w:pPr>
              <w:numPr>
                <w:ilvl w:val="0"/>
                <w:numId w:val="3"/>
              </w:numPr>
              <w:contextualSpacing/>
              <w:jc w:val="both"/>
              <w:rPr>
                <w:sz w:val="20"/>
                <w:szCs w:val="20"/>
                <w:lang w:val="ro-RO"/>
              </w:rPr>
            </w:pPr>
            <w:r w:rsidRPr="00FA72AA">
              <w:rPr>
                <w:sz w:val="20"/>
                <w:szCs w:val="20"/>
                <w:lang w:val="ro-RO"/>
              </w:rPr>
              <w:t>Întărirea capacității administrative a instituției de a-și îndeplini rolul și obiectivele de a asigura furnizarea informațiilor într-o manieră transparentă;</w:t>
            </w:r>
          </w:p>
          <w:p w:rsidR="00451286" w:rsidRPr="00FA72AA" w:rsidRDefault="00451286" w:rsidP="005126EC">
            <w:pPr>
              <w:numPr>
                <w:ilvl w:val="0"/>
                <w:numId w:val="3"/>
              </w:numPr>
              <w:contextualSpacing/>
              <w:jc w:val="both"/>
              <w:rPr>
                <w:sz w:val="20"/>
                <w:szCs w:val="20"/>
                <w:lang w:val="ro-RO"/>
              </w:rPr>
            </w:pPr>
            <w:r w:rsidRPr="00FA72AA">
              <w:rPr>
                <w:sz w:val="20"/>
                <w:szCs w:val="20"/>
                <w:lang w:val="ro-RO"/>
              </w:rPr>
              <w:t>Îmbunătățirea calității deciziilor adoptate prin diminuarea timpului de prelucrare a documentelor, care circulă între SFS și instituțiile financiare;</w:t>
            </w:r>
          </w:p>
          <w:p w:rsidR="00451286" w:rsidRPr="00FA72AA" w:rsidRDefault="00451286" w:rsidP="005126EC">
            <w:pPr>
              <w:numPr>
                <w:ilvl w:val="0"/>
                <w:numId w:val="3"/>
              </w:numPr>
              <w:contextualSpacing/>
              <w:jc w:val="both"/>
              <w:rPr>
                <w:sz w:val="20"/>
                <w:szCs w:val="20"/>
                <w:lang w:val="ro-RO"/>
              </w:rPr>
            </w:pPr>
            <w:r w:rsidRPr="00FA72AA">
              <w:rPr>
                <w:sz w:val="20"/>
                <w:szCs w:val="20"/>
                <w:lang w:val="ro-RO"/>
              </w:rPr>
              <w:t>Administrarea mai eficientă a conturilor bancare ale persoanelor fizice.</w:t>
            </w: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t>TITLUL IV</w:t>
            </w:r>
          </w:p>
          <w:p w:rsidR="00451286" w:rsidRPr="00FA72AA" w:rsidRDefault="00451286" w:rsidP="005126EC">
            <w:pPr>
              <w:jc w:val="center"/>
              <w:rPr>
                <w:b/>
                <w:sz w:val="20"/>
                <w:szCs w:val="20"/>
                <w:lang w:val="ro-RO"/>
              </w:rPr>
            </w:pPr>
            <w:r w:rsidRPr="00FA72AA">
              <w:rPr>
                <w:b/>
                <w:sz w:val="20"/>
                <w:szCs w:val="20"/>
                <w:lang w:val="ro-RO"/>
              </w:rPr>
              <w:t>COOPERAREA ECONOMICĂ ŞI ALTE TIPURI DE COOPERARE SECTORIALĂ</w:t>
            </w: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t>CAPITOLUL I</w:t>
            </w:r>
          </w:p>
          <w:p w:rsidR="00451286" w:rsidRPr="00FA72AA" w:rsidRDefault="00451286" w:rsidP="005126EC">
            <w:pPr>
              <w:jc w:val="center"/>
              <w:rPr>
                <w:b/>
                <w:sz w:val="20"/>
                <w:szCs w:val="20"/>
                <w:lang w:val="ro-RO"/>
              </w:rPr>
            </w:pPr>
            <w:r w:rsidRPr="00FA72AA">
              <w:rPr>
                <w:b/>
                <w:sz w:val="20"/>
                <w:szCs w:val="20"/>
                <w:lang w:val="ro-RO"/>
              </w:rPr>
              <w:t>REFORMA ADMINISTRAȚIEI PUBLICE</w:t>
            </w:r>
          </w:p>
        </w:tc>
      </w:tr>
      <w:tr w:rsidR="00451286" w:rsidRPr="003973DD" w:rsidTr="005126EC">
        <w:tc>
          <w:tcPr>
            <w:tcW w:w="15593" w:type="dxa"/>
            <w:gridSpan w:val="2"/>
            <w:shd w:val="clear" w:color="auto" w:fill="DEEAF6" w:themeFill="accent1" w:themeFillTint="33"/>
          </w:tcPr>
          <w:p w:rsidR="00451286" w:rsidRPr="00FA72AA" w:rsidRDefault="00451286" w:rsidP="005126EC">
            <w:pPr>
              <w:rPr>
                <w:b/>
                <w:sz w:val="20"/>
                <w:szCs w:val="20"/>
                <w:lang w:val="ro-RO"/>
              </w:rPr>
            </w:pPr>
            <w:r w:rsidRPr="00FA72AA">
              <w:rPr>
                <w:b/>
                <w:sz w:val="20"/>
                <w:szCs w:val="20"/>
                <w:lang w:val="ro-RO"/>
              </w:rPr>
              <w:t>Realizare-cheie: Introducerea unui sistem de salarizare transparent și mai competitiv pentru angajații din sectorul public</w:t>
            </w:r>
          </w:p>
        </w:tc>
      </w:tr>
      <w:tr w:rsidR="00451286" w:rsidRPr="003973DD" w:rsidTr="005126EC">
        <w:tc>
          <w:tcPr>
            <w:tcW w:w="7655" w:type="dxa"/>
            <w:shd w:val="clear" w:color="auto" w:fill="FFFFFF" w:themeFill="background1"/>
          </w:tcPr>
          <w:p w:rsidR="00451286" w:rsidRPr="00FA72AA" w:rsidRDefault="00451286" w:rsidP="005126EC">
            <w:pPr>
              <w:rPr>
                <w:b/>
                <w:i/>
                <w:sz w:val="20"/>
                <w:szCs w:val="20"/>
                <w:lang w:val="ro-RO"/>
              </w:rPr>
            </w:pPr>
            <w:r w:rsidRPr="00FA72AA">
              <w:rPr>
                <w:b/>
                <w:i/>
                <w:sz w:val="20"/>
                <w:szCs w:val="20"/>
                <w:lang w:val="ro-RO"/>
              </w:rPr>
              <w:t xml:space="preserve"> </w:t>
            </w:r>
            <w:r w:rsidRPr="00FA72AA">
              <w:rPr>
                <w:sz w:val="20"/>
                <w:szCs w:val="20"/>
                <w:lang w:val="ro-RO"/>
              </w:rPr>
              <w:t>Adoptarea</w:t>
            </w:r>
            <w:r w:rsidRPr="00FA72AA">
              <w:rPr>
                <w:b/>
                <w:i/>
                <w:sz w:val="20"/>
                <w:szCs w:val="20"/>
                <w:lang w:val="ro-RO"/>
              </w:rPr>
              <w:t xml:space="preserve"> Legii privind sistemul unitar de salarizare în sectorul bugetar nr.270/2018, </w:t>
            </w:r>
            <w:r w:rsidRPr="00FA72AA">
              <w:rPr>
                <w:sz w:val="20"/>
                <w:szCs w:val="20"/>
                <w:u w:val="single"/>
                <w:lang w:val="ro-RO"/>
              </w:rPr>
              <w:t>în vigoare din 01.12.2018</w:t>
            </w:r>
            <w:r w:rsidRPr="00FA72AA">
              <w:rPr>
                <w:i/>
                <w:sz w:val="20"/>
                <w:szCs w:val="20"/>
                <w:lang w:val="ro-RO"/>
              </w:rPr>
              <w:t xml:space="preserve"> </w:t>
            </w:r>
          </w:p>
        </w:tc>
        <w:tc>
          <w:tcPr>
            <w:tcW w:w="7938" w:type="dxa"/>
            <w:shd w:val="clear" w:color="auto" w:fill="FFFFFF" w:themeFill="background1"/>
          </w:tcPr>
          <w:p w:rsidR="00451286" w:rsidRPr="00FA72AA" w:rsidRDefault="00451286" w:rsidP="005126EC">
            <w:pPr>
              <w:pStyle w:val="ListParagraph"/>
              <w:numPr>
                <w:ilvl w:val="0"/>
                <w:numId w:val="3"/>
              </w:numPr>
              <w:spacing w:after="0" w:line="240" w:lineRule="auto"/>
              <w:rPr>
                <w:rFonts w:ascii="Times New Roman" w:eastAsia="Times New Roman" w:hAnsi="Times New Roman"/>
                <w:sz w:val="20"/>
                <w:szCs w:val="20"/>
                <w:lang w:val="ro-RO" w:eastAsia="ru-RU"/>
              </w:rPr>
            </w:pPr>
            <w:r w:rsidRPr="00FA72AA">
              <w:rPr>
                <w:rFonts w:ascii="Times New Roman" w:eastAsia="Times New Roman" w:hAnsi="Times New Roman"/>
                <w:sz w:val="20"/>
                <w:szCs w:val="20"/>
                <w:lang w:val="ro-RO" w:eastAsia="ru-RU"/>
              </w:rPr>
              <w:t>Creșterea motivării personalului din serviciul public;</w:t>
            </w:r>
          </w:p>
          <w:p w:rsidR="00451286" w:rsidRPr="00FA72AA" w:rsidRDefault="00451286" w:rsidP="005126EC">
            <w:pPr>
              <w:pStyle w:val="ListParagraph"/>
              <w:numPr>
                <w:ilvl w:val="0"/>
                <w:numId w:val="3"/>
              </w:numPr>
              <w:spacing w:after="0" w:line="240" w:lineRule="auto"/>
              <w:jc w:val="both"/>
              <w:rPr>
                <w:rFonts w:ascii="Times New Roman" w:eastAsia="Times New Roman" w:hAnsi="Times New Roman"/>
                <w:sz w:val="20"/>
                <w:szCs w:val="20"/>
                <w:lang w:val="ro-RO" w:eastAsia="ru-RU"/>
              </w:rPr>
            </w:pPr>
            <w:r w:rsidRPr="00FA72AA">
              <w:rPr>
                <w:rFonts w:ascii="Times New Roman" w:eastAsia="Times New Roman" w:hAnsi="Times New Roman"/>
                <w:sz w:val="20"/>
                <w:szCs w:val="20"/>
                <w:lang w:val="ro-RO" w:eastAsia="ru-RU"/>
              </w:rPr>
              <w:t>Atractivitatea sporită pentru tinerii specialiști;</w:t>
            </w:r>
          </w:p>
          <w:p w:rsidR="00451286" w:rsidRPr="00FA72AA" w:rsidRDefault="00451286" w:rsidP="005126EC">
            <w:pPr>
              <w:pStyle w:val="ListParagraph"/>
              <w:numPr>
                <w:ilvl w:val="0"/>
                <w:numId w:val="3"/>
              </w:numPr>
              <w:shd w:val="clear" w:color="auto" w:fill="FFFFFF" w:themeFill="background1"/>
              <w:spacing w:after="0" w:line="240" w:lineRule="auto"/>
              <w:jc w:val="both"/>
              <w:rPr>
                <w:rFonts w:ascii="Times New Roman" w:eastAsia="Times New Roman" w:hAnsi="Times New Roman"/>
                <w:sz w:val="20"/>
                <w:szCs w:val="20"/>
                <w:lang w:val="ro-RO" w:eastAsia="ru-RU"/>
              </w:rPr>
            </w:pPr>
            <w:r w:rsidRPr="00FA72AA">
              <w:rPr>
                <w:rFonts w:ascii="Times New Roman" w:eastAsia="Times New Roman" w:hAnsi="Times New Roman"/>
                <w:sz w:val="20"/>
                <w:szCs w:val="20"/>
                <w:lang w:val="ro-RO" w:eastAsia="ru-RU"/>
              </w:rPr>
              <w:t>Instituirea unui sistem salarial unitar, transparent, flexibil, ușor de administrat;</w:t>
            </w:r>
          </w:p>
          <w:p w:rsidR="00451286" w:rsidRPr="00FA72AA" w:rsidRDefault="00451286" w:rsidP="005126EC">
            <w:pPr>
              <w:pStyle w:val="ListParagraph"/>
              <w:numPr>
                <w:ilvl w:val="0"/>
                <w:numId w:val="3"/>
              </w:numPr>
              <w:shd w:val="clear" w:color="auto" w:fill="FFFFFF" w:themeFill="background1"/>
              <w:spacing w:after="0" w:line="240" w:lineRule="auto"/>
              <w:jc w:val="both"/>
              <w:rPr>
                <w:rFonts w:ascii="Times New Roman" w:eastAsia="Times New Roman" w:hAnsi="Times New Roman"/>
                <w:sz w:val="20"/>
                <w:szCs w:val="20"/>
                <w:lang w:val="ro-RO" w:eastAsia="ru-RU"/>
              </w:rPr>
            </w:pPr>
            <w:r w:rsidRPr="00FA72AA">
              <w:rPr>
                <w:rFonts w:ascii="Times New Roman" w:eastAsia="Times New Roman" w:hAnsi="Times New Roman"/>
                <w:sz w:val="20"/>
                <w:szCs w:val="20"/>
                <w:lang w:val="ro-RO" w:eastAsia="ru-RU"/>
              </w:rPr>
              <w:t xml:space="preserve">Garantarea păstrării venitului salariat total în cazul în care, conform noilor reguli de salarizare, angajatului i se stabilește un salariu total mai mic </w:t>
            </w:r>
            <w:proofErr w:type="spellStart"/>
            <w:r w:rsidRPr="00FA72AA">
              <w:rPr>
                <w:rFonts w:ascii="Times New Roman" w:eastAsia="Times New Roman" w:hAnsi="Times New Roman"/>
                <w:sz w:val="20"/>
                <w:szCs w:val="20"/>
                <w:lang w:val="ro-RO" w:eastAsia="ru-RU"/>
              </w:rPr>
              <w:t>decît</w:t>
            </w:r>
            <w:proofErr w:type="spellEnd"/>
            <w:r w:rsidRPr="00FA72AA">
              <w:rPr>
                <w:rFonts w:ascii="Times New Roman" w:eastAsia="Times New Roman" w:hAnsi="Times New Roman"/>
                <w:sz w:val="20"/>
                <w:szCs w:val="20"/>
                <w:lang w:val="ro-RO" w:eastAsia="ru-RU"/>
              </w:rPr>
              <w:t xml:space="preserve"> cel deținut anterior;</w:t>
            </w:r>
          </w:p>
          <w:p w:rsidR="00451286" w:rsidRPr="00FA72AA" w:rsidRDefault="00451286" w:rsidP="005126EC">
            <w:pPr>
              <w:pStyle w:val="ListParagraph"/>
              <w:numPr>
                <w:ilvl w:val="0"/>
                <w:numId w:val="3"/>
              </w:numPr>
              <w:shd w:val="clear" w:color="auto" w:fill="FFFFFF" w:themeFill="background1"/>
              <w:spacing w:after="0" w:line="240" w:lineRule="auto"/>
              <w:jc w:val="both"/>
              <w:rPr>
                <w:rFonts w:ascii="Times New Roman" w:eastAsia="Times New Roman" w:hAnsi="Times New Roman"/>
                <w:b/>
                <w:sz w:val="20"/>
                <w:szCs w:val="20"/>
                <w:lang w:val="ro-RO" w:eastAsia="ru-RU"/>
              </w:rPr>
            </w:pPr>
            <w:r w:rsidRPr="00FA72AA">
              <w:rPr>
                <w:rFonts w:ascii="Times New Roman" w:eastAsia="Times New Roman" w:hAnsi="Times New Roman"/>
                <w:sz w:val="20"/>
                <w:szCs w:val="20"/>
                <w:lang w:val="ro-RO" w:eastAsia="ru-RU"/>
              </w:rPr>
              <w:t>Garantarea ajustării anuale ascendente a salariilor în sectorul bugetar cel puțin la nivelul inflației.</w:t>
            </w: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t>CAPITOLUL 3</w:t>
            </w:r>
          </w:p>
          <w:p w:rsidR="00451286" w:rsidRPr="00FA72AA" w:rsidRDefault="00451286" w:rsidP="005126EC">
            <w:pPr>
              <w:jc w:val="center"/>
              <w:rPr>
                <w:b/>
                <w:sz w:val="20"/>
                <w:szCs w:val="20"/>
                <w:lang w:val="ro-RO"/>
              </w:rPr>
            </w:pPr>
            <w:r w:rsidRPr="00FA72AA">
              <w:rPr>
                <w:b/>
                <w:sz w:val="20"/>
                <w:szCs w:val="20"/>
                <w:lang w:val="ro-RO"/>
              </w:rPr>
              <w:t>DREPTUL SOCIETĂŢILOR COMERCIALE, CONTABILITATE ŞI AUDIT ŞI GUVERNANŢA CORPORATIVĂ</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Realizare-cheie: Ajustarea parțială a normelor naționale la standardele europene prin transpunerea Aquis-ului comunitar</w:t>
            </w:r>
          </w:p>
        </w:tc>
      </w:tr>
      <w:tr w:rsidR="00451286" w:rsidRPr="003973DD" w:rsidTr="005126EC">
        <w:tc>
          <w:tcPr>
            <w:tcW w:w="7655" w:type="dxa"/>
            <w:shd w:val="clear" w:color="auto" w:fill="FFFFFF" w:themeFill="background1"/>
          </w:tcPr>
          <w:p w:rsidR="00451286" w:rsidRPr="00FA72AA" w:rsidRDefault="00451286" w:rsidP="005126EC">
            <w:pPr>
              <w:pStyle w:val="ListParagraph"/>
              <w:spacing w:after="0" w:line="240" w:lineRule="auto"/>
              <w:ind w:left="30"/>
              <w:jc w:val="both"/>
              <w:rPr>
                <w:rFonts w:ascii="Times New Roman" w:eastAsia="Times New Roman" w:hAnsi="Times New Roman"/>
                <w:i/>
                <w:sz w:val="20"/>
                <w:szCs w:val="20"/>
                <w:lang w:val="ro-RO" w:eastAsia="ru-RU"/>
              </w:rPr>
            </w:pPr>
            <w:r w:rsidRPr="00FA72AA">
              <w:rPr>
                <w:rFonts w:ascii="Times New Roman" w:eastAsia="Times New Roman" w:hAnsi="Times New Roman"/>
                <w:sz w:val="20"/>
                <w:szCs w:val="20"/>
                <w:lang w:val="ro-RO" w:eastAsia="ru-RU"/>
              </w:rPr>
              <w:t>Adoptarea</w:t>
            </w:r>
            <w:r w:rsidRPr="00FA72AA">
              <w:rPr>
                <w:rFonts w:ascii="Times New Roman" w:eastAsia="Times New Roman" w:hAnsi="Times New Roman"/>
                <w:b/>
                <w:i/>
                <w:sz w:val="20"/>
                <w:szCs w:val="20"/>
                <w:lang w:val="ro-RO" w:eastAsia="ru-RU"/>
              </w:rPr>
              <w:t xml:space="preserve"> Legii privind auditul situațiilor financiare nr.271/2017</w:t>
            </w:r>
            <w:r w:rsidRPr="00FA72AA">
              <w:rPr>
                <w:rFonts w:ascii="Times New Roman" w:eastAsia="Times New Roman" w:hAnsi="Times New Roman"/>
                <w:sz w:val="20"/>
                <w:szCs w:val="20"/>
                <w:lang w:val="ro-RO" w:eastAsia="ru-RU"/>
              </w:rPr>
              <w:t xml:space="preserve">, </w:t>
            </w:r>
            <w:r w:rsidRPr="00FA72AA">
              <w:rPr>
                <w:rFonts w:ascii="Times New Roman" w:eastAsia="Times New Roman" w:hAnsi="Times New Roman"/>
                <w:sz w:val="20"/>
                <w:szCs w:val="20"/>
                <w:u w:val="single"/>
                <w:lang w:val="ro-RO" w:eastAsia="ru-RU"/>
              </w:rPr>
              <w:t xml:space="preserve">cu intrarea în vigoare din 01 ianuarie 2019, cu </w:t>
            </w:r>
            <w:proofErr w:type="spellStart"/>
            <w:r w:rsidRPr="00FA72AA">
              <w:rPr>
                <w:rFonts w:ascii="Times New Roman" w:eastAsia="Times New Roman" w:hAnsi="Times New Roman"/>
                <w:sz w:val="20"/>
                <w:szCs w:val="20"/>
                <w:u w:val="single"/>
                <w:lang w:val="ro-RO" w:eastAsia="ru-RU"/>
              </w:rPr>
              <w:t>excepţia</w:t>
            </w:r>
            <w:proofErr w:type="spellEnd"/>
            <w:r w:rsidRPr="00FA72AA">
              <w:rPr>
                <w:rFonts w:ascii="Times New Roman" w:eastAsia="Times New Roman" w:hAnsi="Times New Roman"/>
                <w:sz w:val="20"/>
                <w:szCs w:val="20"/>
                <w:u w:val="single"/>
                <w:lang w:val="ro-RO" w:eastAsia="ru-RU"/>
              </w:rPr>
              <w:t xml:space="preserve"> art.36–38 - 01.09.2018</w:t>
            </w:r>
            <w:r w:rsidRPr="00FA72AA">
              <w:rPr>
                <w:rFonts w:ascii="Times New Roman" w:eastAsia="Times New Roman" w:hAnsi="Times New Roman"/>
                <w:sz w:val="20"/>
                <w:szCs w:val="20"/>
                <w:lang w:val="ro-RO" w:eastAsia="ru-RU"/>
              </w:rPr>
              <w:t xml:space="preserve"> (transpune </w:t>
            </w:r>
            <w:r w:rsidRPr="00FA72AA">
              <w:rPr>
                <w:rFonts w:ascii="Times New Roman" w:eastAsia="Times New Roman" w:hAnsi="Times New Roman"/>
                <w:i/>
                <w:sz w:val="20"/>
                <w:szCs w:val="20"/>
                <w:lang w:val="ro-RO" w:eastAsia="ru-RU"/>
              </w:rPr>
              <w:t xml:space="preserve">Directiva UE 2006/43/CE a Parlamentului European </w:t>
            </w:r>
            <w:proofErr w:type="spellStart"/>
            <w:r w:rsidRPr="00FA72AA">
              <w:rPr>
                <w:rFonts w:ascii="Times New Roman" w:eastAsia="Times New Roman" w:hAnsi="Times New Roman"/>
                <w:i/>
                <w:sz w:val="20"/>
                <w:szCs w:val="20"/>
                <w:lang w:val="ro-RO" w:eastAsia="ru-RU"/>
              </w:rPr>
              <w:t>şi</w:t>
            </w:r>
            <w:proofErr w:type="spellEnd"/>
            <w:r w:rsidRPr="00FA72AA">
              <w:rPr>
                <w:rFonts w:ascii="Times New Roman" w:eastAsia="Times New Roman" w:hAnsi="Times New Roman"/>
                <w:i/>
                <w:sz w:val="20"/>
                <w:szCs w:val="20"/>
                <w:lang w:val="ro-RO" w:eastAsia="ru-RU"/>
              </w:rPr>
              <w:t xml:space="preserve"> a Consiliului din 17 mai 2006 privind auditul legal al conturilor anuale </w:t>
            </w:r>
            <w:proofErr w:type="spellStart"/>
            <w:r w:rsidRPr="00FA72AA">
              <w:rPr>
                <w:rFonts w:ascii="Times New Roman" w:eastAsia="Times New Roman" w:hAnsi="Times New Roman"/>
                <w:i/>
                <w:sz w:val="20"/>
                <w:szCs w:val="20"/>
                <w:lang w:val="ro-RO" w:eastAsia="ru-RU"/>
              </w:rPr>
              <w:t>şi</w:t>
            </w:r>
            <w:proofErr w:type="spellEnd"/>
            <w:r w:rsidRPr="00FA72AA">
              <w:rPr>
                <w:rFonts w:ascii="Times New Roman" w:eastAsia="Times New Roman" w:hAnsi="Times New Roman"/>
                <w:i/>
                <w:sz w:val="20"/>
                <w:szCs w:val="20"/>
                <w:lang w:val="ro-RO" w:eastAsia="ru-RU"/>
              </w:rPr>
              <w:t xml:space="preserve"> al conturilor consolidate</w:t>
            </w:r>
            <w:r w:rsidRPr="00FA72AA">
              <w:rPr>
                <w:rFonts w:ascii="Times New Roman" w:eastAsia="Times New Roman" w:hAnsi="Times New Roman"/>
                <w:sz w:val="20"/>
                <w:szCs w:val="20"/>
                <w:lang w:val="ro-RO" w:eastAsia="ru-RU"/>
              </w:rPr>
              <w:t>)</w:t>
            </w:r>
          </w:p>
          <w:p w:rsidR="00451286" w:rsidRPr="00FA72AA" w:rsidRDefault="00451286" w:rsidP="005126EC">
            <w:pPr>
              <w:jc w:val="both"/>
              <w:rPr>
                <w:sz w:val="20"/>
                <w:szCs w:val="20"/>
                <w:lang w:val="ro-RO"/>
              </w:rPr>
            </w:pPr>
          </w:p>
        </w:tc>
        <w:tc>
          <w:tcPr>
            <w:tcW w:w="7938" w:type="dxa"/>
            <w:shd w:val="clear" w:color="auto" w:fill="FFFFFF" w:themeFill="background1"/>
          </w:tcPr>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Reformarea și reglementarea sistemului de supraveghere publică a auditului;</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Stabilirea unor condiții clare de accedere în profesie;</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 Simplificarea modalității de obținere de către entitatea de audit a dreptului de a efectua audit;</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Crearea și implementarea unui sistem eficient de investigații și sancțiuni pentru a detecta, corecta și preveni efectuarea necorespunzătoare a auditului;</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Organizarea activității entității de audit și instituirea controlului intern al calității;</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Perfecționarea procedurilor de raportare a entității de audit și asigurarea transparenței;</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Instituirea unui sistem de control extern al calității auditului;</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Constituirea comitetelor de audit de către entitățile de interes public, prezentarea de către entitățile de audit a raportului suplimentar comitetului, ca urmare auditului;</w:t>
            </w:r>
          </w:p>
          <w:p w:rsidR="00451286" w:rsidRPr="00FA72AA" w:rsidRDefault="00451286" w:rsidP="005126EC">
            <w:pPr>
              <w:pStyle w:val="ListParagraph"/>
              <w:numPr>
                <w:ilvl w:val="0"/>
                <w:numId w:val="13"/>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Instituirea cerințelor extinse privind etica profesională și scepticismul profesional.</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lastRenderedPageBreak/>
              <w:t xml:space="preserve">Adoptarea </w:t>
            </w:r>
            <w:r w:rsidRPr="00FA72AA">
              <w:rPr>
                <w:b/>
                <w:i/>
                <w:sz w:val="20"/>
                <w:szCs w:val="20"/>
                <w:lang w:val="ro-RO"/>
              </w:rPr>
              <w:t xml:space="preserve">Legii </w:t>
            </w:r>
            <w:proofErr w:type="spellStart"/>
            <w:r w:rsidRPr="00FA72AA">
              <w:rPr>
                <w:b/>
                <w:i/>
                <w:sz w:val="20"/>
                <w:szCs w:val="20"/>
                <w:lang w:val="ro-RO"/>
              </w:rPr>
              <w:t>contabilităţii</w:t>
            </w:r>
            <w:proofErr w:type="spellEnd"/>
            <w:r w:rsidRPr="00FA72AA">
              <w:rPr>
                <w:b/>
                <w:i/>
                <w:sz w:val="20"/>
                <w:szCs w:val="20"/>
                <w:lang w:val="ro-RO"/>
              </w:rPr>
              <w:t xml:space="preserve"> </w:t>
            </w:r>
            <w:proofErr w:type="spellStart"/>
            <w:r w:rsidRPr="00FA72AA">
              <w:rPr>
                <w:b/>
                <w:i/>
                <w:sz w:val="20"/>
                <w:szCs w:val="20"/>
                <w:lang w:val="ro-RO"/>
              </w:rPr>
              <w:t>şi</w:t>
            </w:r>
            <w:proofErr w:type="spellEnd"/>
            <w:r w:rsidRPr="00FA72AA">
              <w:rPr>
                <w:b/>
                <w:i/>
                <w:sz w:val="20"/>
                <w:szCs w:val="20"/>
                <w:lang w:val="ro-RO"/>
              </w:rPr>
              <w:t xml:space="preserve"> raportării financiare nr.287/2017</w:t>
            </w:r>
            <w:r w:rsidRPr="00FA72AA">
              <w:rPr>
                <w:sz w:val="20"/>
                <w:szCs w:val="20"/>
                <w:lang w:val="ro-RO"/>
              </w:rPr>
              <w:t xml:space="preserve">, </w:t>
            </w:r>
            <w:r w:rsidRPr="00FA72AA">
              <w:rPr>
                <w:sz w:val="20"/>
                <w:szCs w:val="20"/>
                <w:u w:val="single"/>
                <w:lang w:val="ro-RO"/>
              </w:rPr>
              <w:t>cu intrarea în vigoare din 01 ianuarie 2019</w:t>
            </w:r>
            <w:r w:rsidRPr="00FA72AA">
              <w:rPr>
                <w:sz w:val="20"/>
                <w:szCs w:val="20"/>
                <w:lang w:val="ro-RO"/>
              </w:rPr>
              <w:t xml:space="preserve">, (transpune </w:t>
            </w:r>
            <w:r w:rsidRPr="00FA72AA">
              <w:rPr>
                <w:i/>
                <w:sz w:val="20"/>
                <w:szCs w:val="20"/>
                <w:lang w:val="ro-RO"/>
              </w:rPr>
              <w:t xml:space="preserve">Directiva 2013/34/UE a Parlamentului European </w:t>
            </w:r>
            <w:proofErr w:type="spellStart"/>
            <w:r w:rsidRPr="00FA72AA">
              <w:rPr>
                <w:i/>
                <w:sz w:val="20"/>
                <w:szCs w:val="20"/>
                <w:lang w:val="ro-RO"/>
              </w:rPr>
              <w:t>şi</w:t>
            </w:r>
            <w:proofErr w:type="spellEnd"/>
            <w:r w:rsidRPr="00FA72AA">
              <w:rPr>
                <w:i/>
                <w:sz w:val="20"/>
                <w:szCs w:val="20"/>
                <w:lang w:val="ro-RO"/>
              </w:rPr>
              <w:t xml:space="preserve"> a Consiliului din 26 iunie 2013 privind </w:t>
            </w:r>
            <w:proofErr w:type="spellStart"/>
            <w:r w:rsidRPr="00FA72AA">
              <w:rPr>
                <w:i/>
                <w:sz w:val="20"/>
                <w:szCs w:val="20"/>
                <w:lang w:val="ro-RO"/>
              </w:rPr>
              <w:t>situaţiile</w:t>
            </w:r>
            <w:proofErr w:type="spellEnd"/>
            <w:r w:rsidRPr="00FA72AA">
              <w:rPr>
                <w:i/>
                <w:sz w:val="20"/>
                <w:szCs w:val="20"/>
                <w:lang w:val="ro-RO"/>
              </w:rPr>
              <w:t xml:space="preserve"> financiare anuale, </w:t>
            </w:r>
            <w:proofErr w:type="spellStart"/>
            <w:r w:rsidRPr="00FA72AA">
              <w:rPr>
                <w:i/>
                <w:sz w:val="20"/>
                <w:szCs w:val="20"/>
                <w:lang w:val="ro-RO"/>
              </w:rPr>
              <w:t>situaţiile</w:t>
            </w:r>
            <w:proofErr w:type="spellEnd"/>
            <w:r w:rsidRPr="00FA72AA">
              <w:rPr>
                <w:i/>
                <w:sz w:val="20"/>
                <w:szCs w:val="20"/>
                <w:lang w:val="ro-RO"/>
              </w:rPr>
              <w:t xml:space="preserve"> financiare consolidate </w:t>
            </w:r>
            <w:proofErr w:type="spellStart"/>
            <w:r w:rsidRPr="00FA72AA">
              <w:rPr>
                <w:i/>
                <w:sz w:val="20"/>
                <w:szCs w:val="20"/>
                <w:lang w:val="ro-RO"/>
              </w:rPr>
              <w:t>şi</w:t>
            </w:r>
            <w:proofErr w:type="spellEnd"/>
            <w:r w:rsidRPr="00FA72AA">
              <w:rPr>
                <w:i/>
                <w:sz w:val="20"/>
                <w:szCs w:val="20"/>
                <w:lang w:val="ro-RO"/>
              </w:rPr>
              <w:t xml:space="preserve"> rapoartele conexe ale anumitor tipuri de întreprinderi)</w:t>
            </w:r>
          </w:p>
        </w:tc>
        <w:tc>
          <w:tcPr>
            <w:tcW w:w="7938" w:type="dxa"/>
            <w:shd w:val="clear" w:color="auto" w:fill="FFFFFF" w:themeFill="background1"/>
          </w:tcPr>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Reglementarea clasificării entităților în entități micro, mici, mijlocii și mari corespunzător următoarelor criterii: numărul mediu al salariaților în perioada de gestiune, totalul activelor și veniturile din vânzări  la finele perioadei de gestiune;</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Determinarea modului de </w:t>
            </w:r>
            <w:proofErr w:type="spellStart"/>
            <w:r w:rsidRPr="00FA72AA">
              <w:rPr>
                <w:rFonts w:ascii="Times New Roman" w:hAnsi="Times New Roman"/>
                <w:sz w:val="20"/>
                <w:szCs w:val="20"/>
                <w:lang w:val="ro-RO"/>
              </w:rPr>
              <w:t>ţinere</w:t>
            </w:r>
            <w:proofErr w:type="spellEnd"/>
            <w:r w:rsidRPr="00FA72AA">
              <w:rPr>
                <w:rFonts w:ascii="Times New Roman" w:hAnsi="Times New Roman"/>
                <w:sz w:val="20"/>
                <w:szCs w:val="20"/>
                <w:lang w:val="ro-RO"/>
              </w:rPr>
              <w:t xml:space="preserve"> a </w:t>
            </w:r>
            <w:proofErr w:type="spellStart"/>
            <w:r w:rsidRPr="00FA72AA">
              <w:rPr>
                <w:rFonts w:ascii="Times New Roman" w:hAnsi="Times New Roman"/>
                <w:sz w:val="20"/>
                <w:szCs w:val="20"/>
                <w:lang w:val="ro-RO"/>
              </w:rPr>
              <w:t>contabilităţii</w:t>
            </w:r>
            <w:proofErr w:type="spellEnd"/>
            <w:r w:rsidRPr="00FA72AA">
              <w:rPr>
                <w:rFonts w:ascii="Times New Roman" w:hAnsi="Times New Roman"/>
                <w:sz w:val="20"/>
                <w:szCs w:val="20"/>
                <w:lang w:val="ro-RO"/>
              </w:rPr>
              <w:t xml:space="preserv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de aplicare a standardelor de contabilitate în </w:t>
            </w:r>
            <w:proofErr w:type="spellStart"/>
            <w:r w:rsidRPr="00FA72AA">
              <w:rPr>
                <w:rFonts w:ascii="Times New Roman" w:hAnsi="Times New Roman"/>
                <w:sz w:val="20"/>
                <w:szCs w:val="20"/>
                <w:lang w:val="ro-RO"/>
              </w:rPr>
              <w:t>dependenţă</w:t>
            </w:r>
            <w:proofErr w:type="spellEnd"/>
            <w:r w:rsidRPr="00FA72AA">
              <w:rPr>
                <w:rFonts w:ascii="Times New Roman" w:hAnsi="Times New Roman"/>
                <w:sz w:val="20"/>
                <w:szCs w:val="20"/>
                <w:lang w:val="ro-RO"/>
              </w:rPr>
              <w:t xml:space="preserve"> de mărimea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tipul </w:t>
            </w:r>
            <w:proofErr w:type="spellStart"/>
            <w:r w:rsidRPr="00FA72AA">
              <w:rPr>
                <w:rFonts w:ascii="Times New Roman" w:hAnsi="Times New Roman"/>
                <w:sz w:val="20"/>
                <w:szCs w:val="20"/>
                <w:lang w:val="ro-RO"/>
              </w:rPr>
              <w:t>entităţii</w:t>
            </w:r>
            <w:proofErr w:type="spellEnd"/>
            <w:r w:rsidRPr="00FA72AA">
              <w:rPr>
                <w:rFonts w:ascii="Times New Roman" w:hAnsi="Times New Roman"/>
                <w:sz w:val="20"/>
                <w:szCs w:val="20"/>
                <w:lang w:val="ro-RO"/>
              </w:rPr>
              <w:t>;</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Stabilirea regulilor generale de organizare a </w:t>
            </w:r>
            <w:proofErr w:type="spellStart"/>
            <w:r w:rsidRPr="00FA72AA">
              <w:rPr>
                <w:rFonts w:ascii="Times New Roman" w:hAnsi="Times New Roman"/>
                <w:sz w:val="20"/>
                <w:szCs w:val="20"/>
                <w:lang w:val="ro-RO"/>
              </w:rPr>
              <w:t>contabilităţii</w:t>
            </w:r>
            <w:proofErr w:type="spellEnd"/>
            <w:r w:rsidRPr="00FA72AA">
              <w:rPr>
                <w:rFonts w:ascii="Times New Roman" w:hAnsi="Times New Roman"/>
                <w:sz w:val="20"/>
                <w:szCs w:val="20"/>
                <w:lang w:val="ro-RO"/>
              </w:rPr>
              <w:t xml:space="preserve">; </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Prevederi privind </w:t>
            </w:r>
            <w:proofErr w:type="spellStart"/>
            <w:r w:rsidRPr="00FA72AA">
              <w:rPr>
                <w:rFonts w:ascii="Times New Roman" w:hAnsi="Times New Roman"/>
                <w:sz w:val="20"/>
                <w:szCs w:val="20"/>
                <w:lang w:val="ro-RO"/>
              </w:rPr>
              <w:t>situaţiile</w:t>
            </w:r>
            <w:proofErr w:type="spellEnd"/>
            <w:r w:rsidRPr="00FA72AA">
              <w:rPr>
                <w:rFonts w:ascii="Times New Roman" w:hAnsi="Times New Roman"/>
                <w:sz w:val="20"/>
                <w:szCs w:val="20"/>
                <w:lang w:val="ro-RO"/>
              </w:rPr>
              <w:t xml:space="preserve"> financiare individuale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w:t>
            </w:r>
            <w:proofErr w:type="spellStart"/>
            <w:r w:rsidRPr="00FA72AA">
              <w:rPr>
                <w:rFonts w:ascii="Times New Roman" w:hAnsi="Times New Roman"/>
                <w:sz w:val="20"/>
                <w:szCs w:val="20"/>
                <w:lang w:val="ro-RO"/>
              </w:rPr>
              <w:t>situaţiile</w:t>
            </w:r>
            <w:proofErr w:type="spellEnd"/>
            <w:r w:rsidRPr="00FA72AA">
              <w:rPr>
                <w:rFonts w:ascii="Times New Roman" w:hAnsi="Times New Roman"/>
                <w:sz w:val="20"/>
                <w:szCs w:val="20"/>
                <w:lang w:val="ro-RO"/>
              </w:rPr>
              <w:t xml:space="preserve"> financiare consolidate;</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Creșterea dezvăluirilor în dependență de mărimea entității. Ordonarea cerințelor de prezentare a informațiilor în nota explicativă, care vor varia în funcție de categoria entităților;</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Reducerea numărului de opțiuni disponibile referitor la recunoaștere, măsurare și prezentare precum și crearea unui regim al entităților mici armonizat în mare măsură cu limitarea volumului de  informații ce pot fi solicitate de la entitățile mici în situațiile financiare anuale;</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Instituirea cerinței auditului obligatoriu al situațiilor financiare individuale și situațiile financiare consolidate anuale ale entităților de interes public precum și ale entităților mijlocii și mari;</w:t>
            </w:r>
          </w:p>
          <w:p w:rsidR="00451286" w:rsidRPr="00FA72AA" w:rsidRDefault="00451286" w:rsidP="005126EC">
            <w:pPr>
              <w:pStyle w:val="ListParagraph"/>
              <w:numPr>
                <w:ilvl w:val="0"/>
                <w:numId w:val="13"/>
              </w:numPr>
              <w:spacing w:line="240" w:lineRule="auto"/>
              <w:jc w:val="both"/>
              <w:rPr>
                <w:rFonts w:ascii="Times New Roman" w:hAnsi="Times New Roman"/>
                <w:sz w:val="20"/>
                <w:szCs w:val="20"/>
                <w:lang w:val="ro-RO"/>
              </w:rPr>
            </w:pPr>
            <w:r w:rsidRPr="00FA72AA">
              <w:rPr>
                <w:rFonts w:ascii="Times New Roman" w:hAnsi="Times New Roman"/>
                <w:sz w:val="20"/>
                <w:szCs w:val="20"/>
                <w:lang w:val="ro-RO"/>
              </w:rPr>
              <w:t>Reducerea cheltuielilor administrative legate de pregătirea, auditarea și publicarea situațiilor financiare, în special pentru entitățile mici;</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Stabilirea modului de semnare, prezentare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publicare a </w:t>
            </w:r>
            <w:proofErr w:type="spellStart"/>
            <w:r w:rsidRPr="00FA72AA">
              <w:rPr>
                <w:rFonts w:ascii="Times New Roman" w:hAnsi="Times New Roman"/>
                <w:sz w:val="20"/>
                <w:szCs w:val="20"/>
                <w:lang w:val="ro-RO"/>
              </w:rPr>
              <w:t>situaţiilor</w:t>
            </w:r>
            <w:proofErr w:type="spellEnd"/>
            <w:r w:rsidRPr="00FA72AA">
              <w:rPr>
                <w:rFonts w:ascii="Times New Roman" w:hAnsi="Times New Roman"/>
                <w:sz w:val="20"/>
                <w:szCs w:val="20"/>
                <w:lang w:val="ro-RO"/>
              </w:rPr>
              <w:t xml:space="preserve"> financiare individuale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w:t>
            </w:r>
            <w:proofErr w:type="spellStart"/>
            <w:r w:rsidRPr="00FA72AA">
              <w:rPr>
                <w:rFonts w:ascii="Times New Roman" w:hAnsi="Times New Roman"/>
                <w:sz w:val="20"/>
                <w:szCs w:val="20"/>
                <w:lang w:val="ro-RO"/>
              </w:rPr>
              <w:t>situaţiile</w:t>
            </w:r>
            <w:proofErr w:type="spellEnd"/>
            <w:r w:rsidRPr="00FA72AA">
              <w:rPr>
                <w:rFonts w:ascii="Times New Roman" w:hAnsi="Times New Roman"/>
                <w:sz w:val="20"/>
                <w:szCs w:val="20"/>
                <w:lang w:val="ro-RO"/>
              </w:rPr>
              <w:t xml:space="preserve"> financiare consolidate.</w:t>
            </w:r>
          </w:p>
        </w:tc>
      </w:tr>
      <w:tr w:rsidR="00451286" w:rsidRPr="003973DD" w:rsidTr="005126EC">
        <w:trPr>
          <w:trHeight w:val="1414"/>
        </w:trPr>
        <w:tc>
          <w:tcPr>
            <w:tcW w:w="7655" w:type="dxa"/>
            <w:shd w:val="clear" w:color="auto" w:fill="FFFFFF" w:themeFill="background1"/>
          </w:tcPr>
          <w:p w:rsidR="00451286" w:rsidRPr="00FA72AA" w:rsidRDefault="00451286" w:rsidP="005126EC">
            <w:pPr>
              <w:contextualSpacing/>
              <w:jc w:val="both"/>
              <w:rPr>
                <w:b/>
                <w:i/>
                <w:sz w:val="20"/>
                <w:szCs w:val="20"/>
                <w:lang w:val="ro-RO"/>
              </w:rPr>
            </w:pPr>
            <w:r w:rsidRPr="00FA72AA">
              <w:rPr>
                <w:sz w:val="20"/>
                <w:szCs w:val="20"/>
                <w:lang w:val="ro-RO"/>
              </w:rPr>
              <w:t>Aprobarea</w:t>
            </w:r>
            <w:r w:rsidRPr="00FA72AA">
              <w:rPr>
                <w:b/>
                <w:i/>
                <w:sz w:val="20"/>
                <w:szCs w:val="20"/>
                <w:lang w:val="ro-RO"/>
              </w:rPr>
              <w:t xml:space="preserve"> Ordinului MF nr. 105/2015 privind acceptarea, publicarea </w:t>
            </w:r>
            <w:proofErr w:type="spellStart"/>
            <w:r w:rsidRPr="00FA72AA">
              <w:rPr>
                <w:b/>
                <w:i/>
                <w:sz w:val="20"/>
                <w:szCs w:val="20"/>
                <w:lang w:val="ro-RO"/>
              </w:rPr>
              <w:t>şi</w:t>
            </w:r>
            <w:proofErr w:type="spellEnd"/>
            <w:r w:rsidRPr="00FA72AA">
              <w:rPr>
                <w:b/>
                <w:i/>
                <w:sz w:val="20"/>
                <w:szCs w:val="20"/>
                <w:lang w:val="ro-RO"/>
              </w:rPr>
              <w:t xml:space="preserve"> modificarea Standardelor </w:t>
            </w:r>
            <w:proofErr w:type="spellStart"/>
            <w:r w:rsidRPr="00FA72AA">
              <w:rPr>
                <w:b/>
                <w:i/>
                <w:sz w:val="20"/>
                <w:szCs w:val="20"/>
                <w:lang w:val="ro-RO"/>
              </w:rPr>
              <w:t>Internaţionale</w:t>
            </w:r>
            <w:proofErr w:type="spellEnd"/>
            <w:r w:rsidRPr="00FA72AA">
              <w:rPr>
                <w:b/>
                <w:i/>
                <w:sz w:val="20"/>
                <w:szCs w:val="20"/>
                <w:lang w:val="ro-RO"/>
              </w:rPr>
              <w:t xml:space="preserve"> de Raportare Financiară </w:t>
            </w:r>
            <w:r w:rsidRPr="00FA72AA">
              <w:rPr>
                <w:sz w:val="20"/>
                <w:szCs w:val="20"/>
                <w:lang w:val="ro-RO"/>
              </w:rPr>
              <w:t xml:space="preserve"> (transpune </w:t>
            </w:r>
            <w:r w:rsidRPr="00FA72AA">
              <w:rPr>
                <w:i/>
                <w:sz w:val="20"/>
                <w:szCs w:val="20"/>
                <w:lang w:val="ro-RO"/>
              </w:rPr>
              <w:t xml:space="preserve">Regulamentul (CE) nr. 1606/2002 al Parlamentului European </w:t>
            </w:r>
            <w:proofErr w:type="spellStart"/>
            <w:r w:rsidRPr="00FA72AA">
              <w:rPr>
                <w:i/>
                <w:sz w:val="20"/>
                <w:szCs w:val="20"/>
                <w:lang w:val="ro-RO"/>
              </w:rPr>
              <w:t>şi</w:t>
            </w:r>
            <w:proofErr w:type="spellEnd"/>
            <w:r w:rsidRPr="00FA72AA">
              <w:rPr>
                <w:i/>
                <w:sz w:val="20"/>
                <w:szCs w:val="20"/>
                <w:lang w:val="ro-RO"/>
              </w:rPr>
              <w:t xml:space="preserve"> al Consiliului din 19 iulie 2002 privind aplicarea standardelor </w:t>
            </w:r>
            <w:proofErr w:type="spellStart"/>
            <w:r w:rsidRPr="00FA72AA">
              <w:rPr>
                <w:i/>
                <w:sz w:val="20"/>
                <w:szCs w:val="20"/>
                <w:lang w:val="ro-RO"/>
              </w:rPr>
              <w:t>internaţionale</w:t>
            </w:r>
            <w:proofErr w:type="spellEnd"/>
            <w:r w:rsidRPr="00FA72AA">
              <w:rPr>
                <w:i/>
                <w:sz w:val="20"/>
                <w:szCs w:val="20"/>
                <w:lang w:val="ro-RO"/>
              </w:rPr>
              <w:t xml:space="preserve"> de contabilitate)</w:t>
            </w:r>
          </w:p>
        </w:tc>
        <w:tc>
          <w:tcPr>
            <w:tcW w:w="7938" w:type="dxa"/>
            <w:shd w:val="clear" w:color="auto" w:fill="FFFFFF" w:themeFill="background1"/>
          </w:tcPr>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Asigurarea </w:t>
            </w:r>
            <w:proofErr w:type="spellStart"/>
            <w:r w:rsidRPr="00FA72AA">
              <w:rPr>
                <w:rFonts w:ascii="Times New Roman" w:hAnsi="Times New Roman"/>
                <w:sz w:val="20"/>
                <w:szCs w:val="20"/>
                <w:lang w:val="ro-RO"/>
              </w:rPr>
              <w:t>comparabilităţii</w:t>
            </w:r>
            <w:proofErr w:type="spellEnd"/>
            <w:r w:rsidRPr="00FA72AA">
              <w:rPr>
                <w:rFonts w:ascii="Times New Roman" w:hAnsi="Times New Roman"/>
                <w:sz w:val="20"/>
                <w:szCs w:val="20"/>
                <w:lang w:val="ro-RO"/>
              </w:rPr>
              <w:t xml:space="preserve"> datelor din situațiile financiare ale entităților autohtone cu cel din spațiul comunitar;</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Asigurarea transparenței semnificativ mai bune a informațiilor din situațiile financiare, care va oferi posibilitatea accesării și utilizării situațiilor financiare, rapoartelor conducerii și rapoartelor auditorilor, după caz, de către diverși utilizatori de informație prin intermediul Depozitarului public al situațiilor financiare</w:t>
            </w:r>
            <w:r w:rsidRPr="00FA72AA">
              <w:rPr>
                <w:rFonts w:ascii="Times New Roman" w:hAnsi="Times New Roman"/>
                <w:color w:val="000000"/>
                <w:sz w:val="20"/>
                <w:szCs w:val="20"/>
                <w:lang w:val="ro-RO"/>
              </w:rPr>
              <w:t xml:space="preserve">. </w:t>
            </w: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sz w:val="20"/>
                <w:szCs w:val="20"/>
                <w:lang w:val="ro-RO"/>
              </w:rPr>
            </w:pPr>
            <w:r w:rsidRPr="00FA72AA">
              <w:rPr>
                <w:b/>
                <w:bCs/>
                <w:sz w:val="20"/>
                <w:szCs w:val="20"/>
                <w:lang w:val="ro-RO"/>
              </w:rPr>
              <w:t>CAPITOLUL 7</w:t>
            </w:r>
            <w:r w:rsidRPr="00FA72AA">
              <w:rPr>
                <w:b/>
                <w:bCs/>
                <w:sz w:val="20"/>
                <w:szCs w:val="20"/>
                <w:lang w:val="ro-RO"/>
              </w:rPr>
              <w:br/>
              <w:t>GESTIONAREA FINANŢELOR PUBLICE: POLITICA BUGETARĂ, CONTROLUL INTERN,</w:t>
            </w:r>
          </w:p>
          <w:p w:rsidR="00451286" w:rsidRPr="00FA72AA" w:rsidRDefault="00451286" w:rsidP="005126EC">
            <w:pPr>
              <w:jc w:val="center"/>
              <w:rPr>
                <w:sz w:val="20"/>
                <w:szCs w:val="20"/>
                <w:lang w:val="ro-RO"/>
              </w:rPr>
            </w:pPr>
            <w:r w:rsidRPr="00FA72AA">
              <w:rPr>
                <w:b/>
                <w:bCs/>
                <w:sz w:val="20"/>
                <w:szCs w:val="20"/>
                <w:lang w:val="ro-RO"/>
              </w:rPr>
              <w:t>INSPECŢIA FINANCIARĂ ŞI AUDITUL EXTERN</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bCs/>
                <w:sz w:val="20"/>
                <w:szCs w:val="20"/>
                <w:lang w:val="ro-RO"/>
              </w:rPr>
            </w:pPr>
            <w:r w:rsidRPr="00FA72AA">
              <w:rPr>
                <w:b/>
                <w:bCs/>
                <w:sz w:val="20"/>
                <w:szCs w:val="20"/>
                <w:lang w:val="ro-RO"/>
              </w:rPr>
              <w:t>Realizare-cheie: Dezvoltarea unui sistem modern de gestionare a finanțelor publice, compatibil cu principiile de bază și bunele practici ale UE</w:t>
            </w:r>
          </w:p>
        </w:tc>
      </w:tr>
      <w:tr w:rsidR="00451286" w:rsidRPr="003973DD" w:rsidTr="005126EC">
        <w:trPr>
          <w:trHeight w:val="390"/>
        </w:trPr>
        <w:tc>
          <w:tcPr>
            <w:tcW w:w="7655" w:type="dxa"/>
            <w:shd w:val="clear" w:color="auto" w:fill="FFFFFF" w:themeFill="background1"/>
          </w:tcPr>
          <w:p w:rsidR="00451286" w:rsidRPr="00FA72AA" w:rsidRDefault="00451286" w:rsidP="005126EC">
            <w:pPr>
              <w:jc w:val="both"/>
              <w:rPr>
                <w:sz w:val="20"/>
                <w:szCs w:val="20"/>
                <w:highlight w:val="yellow"/>
                <w:lang w:val="ro-RO"/>
              </w:rPr>
            </w:pPr>
            <w:r w:rsidRPr="00FA72AA">
              <w:rPr>
                <w:bCs/>
                <w:sz w:val="20"/>
                <w:szCs w:val="20"/>
                <w:lang w:val="ro-RO"/>
              </w:rPr>
              <w:t>Adoptarea</w:t>
            </w:r>
            <w:r w:rsidRPr="00FA72AA">
              <w:rPr>
                <w:b/>
                <w:bCs/>
                <w:i/>
                <w:sz w:val="20"/>
                <w:szCs w:val="20"/>
                <w:lang w:val="ro-RO"/>
              </w:rPr>
              <w:t xml:space="preserve"> Legii </w:t>
            </w:r>
            <w:proofErr w:type="spellStart"/>
            <w:r w:rsidRPr="00FA72AA">
              <w:rPr>
                <w:b/>
                <w:bCs/>
                <w:i/>
                <w:sz w:val="20"/>
                <w:szCs w:val="20"/>
                <w:lang w:val="ro-RO"/>
              </w:rPr>
              <w:t>finanţelor</w:t>
            </w:r>
            <w:proofErr w:type="spellEnd"/>
            <w:r w:rsidRPr="00FA72AA">
              <w:rPr>
                <w:b/>
                <w:bCs/>
                <w:i/>
                <w:sz w:val="20"/>
                <w:szCs w:val="20"/>
                <w:lang w:val="ro-RO"/>
              </w:rPr>
              <w:t xml:space="preserve"> publice </w:t>
            </w:r>
            <w:proofErr w:type="spellStart"/>
            <w:r w:rsidRPr="00FA72AA">
              <w:rPr>
                <w:b/>
                <w:bCs/>
                <w:i/>
                <w:sz w:val="20"/>
                <w:szCs w:val="20"/>
                <w:lang w:val="ro-RO"/>
              </w:rPr>
              <w:t>şi</w:t>
            </w:r>
            <w:proofErr w:type="spellEnd"/>
            <w:r w:rsidRPr="00FA72AA">
              <w:rPr>
                <w:b/>
                <w:bCs/>
                <w:i/>
                <w:sz w:val="20"/>
                <w:szCs w:val="20"/>
                <w:lang w:val="ro-RO"/>
              </w:rPr>
              <w:t xml:space="preserve"> </w:t>
            </w:r>
            <w:proofErr w:type="spellStart"/>
            <w:r w:rsidRPr="00FA72AA">
              <w:rPr>
                <w:b/>
                <w:bCs/>
                <w:i/>
                <w:sz w:val="20"/>
                <w:szCs w:val="20"/>
                <w:lang w:val="ro-RO"/>
              </w:rPr>
              <w:t>responsabilităţii</w:t>
            </w:r>
            <w:proofErr w:type="spellEnd"/>
            <w:r w:rsidRPr="00FA72AA">
              <w:rPr>
                <w:b/>
                <w:bCs/>
                <w:i/>
                <w:sz w:val="20"/>
                <w:szCs w:val="20"/>
                <w:lang w:val="ro-RO"/>
              </w:rPr>
              <w:t xml:space="preserve"> bugetar-fiscale</w:t>
            </w:r>
            <w:r w:rsidRPr="00FA72AA">
              <w:rPr>
                <w:b/>
                <w:i/>
                <w:sz w:val="20"/>
                <w:szCs w:val="20"/>
                <w:lang w:val="ro-RO"/>
              </w:rPr>
              <w:t xml:space="preserve"> nr. 181/2014, </w:t>
            </w:r>
            <w:r w:rsidRPr="00FA72AA">
              <w:rPr>
                <w:i/>
                <w:sz w:val="20"/>
                <w:szCs w:val="20"/>
                <w:lang w:val="ro-RO"/>
              </w:rPr>
              <w:t>cu modificările și completările ulterioare</w:t>
            </w:r>
          </w:p>
        </w:tc>
        <w:tc>
          <w:tcPr>
            <w:tcW w:w="7938" w:type="dxa"/>
            <w:vMerge w:val="restart"/>
            <w:shd w:val="clear" w:color="auto" w:fill="FFFFFF" w:themeFill="background1"/>
          </w:tcPr>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Consolidarea finanțelor publice și a stabilității financiare;</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Asigurarea gestionării eficiente și transparente a resurselor financiare publice;</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Aplicarea standardelor internaționale în acest domeniu;</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Armonizarea legislației în domeniul finanțelor publice;</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Gestionarea promptă a situațiilor imprevizibile, care implică surse financiare.</w:t>
            </w:r>
          </w:p>
        </w:tc>
      </w:tr>
      <w:tr w:rsidR="00451286" w:rsidRPr="003973DD" w:rsidTr="005126EC">
        <w:trPr>
          <w:trHeight w:val="469"/>
        </w:trPr>
        <w:tc>
          <w:tcPr>
            <w:tcW w:w="7655" w:type="dxa"/>
            <w:shd w:val="clear" w:color="auto" w:fill="FFFFFF" w:themeFill="background1"/>
          </w:tcPr>
          <w:p w:rsidR="00451286" w:rsidRPr="00FA72AA" w:rsidRDefault="00451286" w:rsidP="005126EC">
            <w:pPr>
              <w:jc w:val="both"/>
              <w:rPr>
                <w:sz w:val="20"/>
                <w:szCs w:val="20"/>
                <w:lang w:val="ro-RO"/>
              </w:rPr>
            </w:pPr>
            <w:r w:rsidRPr="00FA72AA">
              <w:rPr>
                <w:rFonts w:eastAsia="Calibri"/>
                <w:sz w:val="20"/>
                <w:szCs w:val="20"/>
                <w:lang w:val="ro-RO"/>
              </w:rPr>
              <w:t xml:space="preserve">Adoptarea </w:t>
            </w:r>
            <w:r w:rsidRPr="00FA72AA">
              <w:rPr>
                <w:rFonts w:eastAsia="Calibri"/>
                <w:b/>
                <w:i/>
                <w:sz w:val="20"/>
                <w:szCs w:val="20"/>
                <w:lang w:val="ro-RO"/>
              </w:rPr>
              <w:t>Legii nr.172/2018 pentru modificarea unor acte legislative</w:t>
            </w:r>
            <w:r w:rsidRPr="00FA72AA">
              <w:rPr>
                <w:rFonts w:eastAsia="Calibri"/>
                <w:sz w:val="20"/>
                <w:szCs w:val="20"/>
                <w:lang w:val="ro-RO"/>
              </w:rPr>
              <w:t xml:space="preserve">, reieșind din prevederile Legii nr.181/2014 </w:t>
            </w:r>
          </w:p>
        </w:tc>
        <w:tc>
          <w:tcPr>
            <w:tcW w:w="7938" w:type="dxa"/>
            <w:vMerge/>
            <w:shd w:val="clear" w:color="auto" w:fill="FFFFFF" w:themeFill="background1"/>
          </w:tcPr>
          <w:p w:rsidR="00451286" w:rsidRPr="00FA72AA" w:rsidRDefault="00451286" w:rsidP="005126EC">
            <w:pPr>
              <w:contextualSpacing/>
              <w:jc w:val="both"/>
              <w:rPr>
                <w:sz w:val="20"/>
                <w:szCs w:val="20"/>
                <w:highlight w:val="yellow"/>
                <w:lang w:val="ro-RO"/>
              </w:rPr>
            </w:pPr>
          </w:p>
        </w:tc>
      </w:tr>
      <w:tr w:rsidR="00451286" w:rsidRPr="003973DD" w:rsidTr="005126EC">
        <w:trPr>
          <w:trHeight w:val="423"/>
        </w:trPr>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 xml:space="preserve">Aprobarea </w:t>
            </w:r>
            <w:r w:rsidRPr="00FA72AA">
              <w:rPr>
                <w:b/>
                <w:i/>
                <w:sz w:val="20"/>
                <w:szCs w:val="20"/>
                <w:lang w:val="ro-RO"/>
              </w:rPr>
              <w:t xml:space="preserve">Regulamentului privind gestionarea fondurilor de </w:t>
            </w:r>
            <w:proofErr w:type="spellStart"/>
            <w:r w:rsidRPr="00FA72AA">
              <w:rPr>
                <w:b/>
                <w:i/>
                <w:sz w:val="20"/>
                <w:szCs w:val="20"/>
                <w:lang w:val="ro-RO"/>
              </w:rPr>
              <w:t>urgenţă</w:t>
            </w:r>
            <w:proofErr w:type="spellEnd"/>
            <w:r w:rsidRPr="00FA72AA">
              <w:rPr>
                <w:b/>
                <w:i/>
                <w:sz w:val="20"/>
                <w:szCs w:val="20"/>
                <w:lang w:val="ro-RO"/>
              </w:rPr>
              <w:t xml:space="preserve"> ale Guvernului</w:t>
            </w:r>
            <w:r w:rsidRPr="00FA72AA">
              <w:rPr>
                <w:sz w:val="20"/>
                <w:szCs w:val="20"/>
                <w:lang w:val="ro-RO"/>
              </w:rPr>
              <w:t xml:space="preserve"> (</w:t>
            </w:r>
            <w:proofErr w:type="spellStart"/>
            <w:r w:rsidRPr="00FA72AA">
              <w:rPr>
                <w:sz w:val="20"/>
                <w:szCs w:val="20"/>
                <w:lang w:val="ro-RO"/>
              </w:rPr>
              <w:t>Hotărîrea</w:t>
            </w:r>
            <w:proofErr w:type="spellEnd"/>
            <w:r w:rsidRPr="00FA72AA">
              <w:rPr>
                <w:sz w:val="20"/>
                <w:szCs w:val="20"/>
                <w:lang w:val="ro-RO"/>
              </w:rPr>
              <w:t xml:space="preserve"> Guvernului nr.892/2015)</w:t>
            </w:r>
          </w:p>
        </w:tc>
        <w:tc>
          <w:tcPr>
            <w:tcW w:w="7938" w:type="dxa"/>
            <w:vMerge/>
            <w:shd w:val="clear" w:color="auto" w:fill="FFFFFF" w:themeFill="background1"/>
          </w:tcPr>
          <w:p w:rsidR="00451286" w:rsidRPr="00FA72AA" w:rsidRDefault="00451286" w:rsidP="005126EC">
            <w:pPr>
              <w:jc w:val="both"/>
              <w:rPr>
                <w:sz w:val="20"/>
                <w:szCs w:val="20"/>
                <w:shd w:val="clear" w:color="auto" w:fill="FFFFFF"/>
                <w:lang w:val="ro-RO"/>
              </w:rPr>
            </w:pPr>
          </w:p>
        </w:tc>
      </w:tr>
      <w:tr w:rsidR="00451286" w:rsidRPr="003973DD" w:rsidTr="005126EC">
        <w:trPr>
          <w:trHeight w:val="739"/>
        </w:trPr>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 xml:space="preserve">Elaborarea bugetului în conformitate cu indicatorii din Acordul FMI, totodată </w:t>
            </w:r>
            <w:proofErr w:type="spellStart"/>
            <w:r w:rsidRPr="00FA72AA">
              <w:rPr>
                <w:bCs/>
                <w:sz w:val="20"/>
                <w:szCs w:val="20"/>
                <w:lang w:val="ro-RO"/>
              </w:rPr>
              <w:t>începînd</w:t>
            </w:r>
            <w:proofErr w:type="spellEnd"/>
            <w:r w:rsidRPr="00FA72AA">
              <w:rPr>
                <w:bCs/>
                <w:sz w:val="20"/>
                <w:szCs w:val="20"/>
                <w:lang w:val="ro-RO"/>
              </w:rPr>
              <w:t xml:space="preserve"> cu anul 2018 fiind elaborată </w:t>
            </w:r>
            <w:r w:rsidRPr="00FA72AA">
              <w:rPr>
                <w:b/>
                <w:i/>
                <w:sz w:val="20"/>
                <w:szCs w:val="20"/>
                <w:lang w:val="ro-RO"/>
              </w:rPr>
              <w:t>Nota privind riscurile bugetar-fiscale</w:t>
            </w:r>
            <w:r w:rsidRPr="00FA72AA">
              <w:rPr>
                <w:sz w:val="20"/>
                <w:szCs w:val="20"/>
                <w:lang w:val="ro-RO"/>
              </w:rPr>
              <w:t xml:space="preserve"> anexată la setul documentației bugetare anuale</w:t>
            </w:r>
          </w:p>
        </w:tc>
        <w:tc>
          <w:tcPr>
            <w:tcW w:w="7938" w:type="dxa"/>
            <w:shd w:val="clear" w:color="auto" w:fill="FFFFFF" w:themeFill="background1"/>
          </w:tcPr>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Stabilirea unui buget echilibrat;</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Asigurarea resurselor financiare suficiente pentru realizarea reformelor planificate;</w:t>
            </w:r>
          </w:p>
          <w:p w:rsidR="00451286" w:rsidRPr="00FA72AA" w:rsidRDefault="00451286" w:rsidP="005126EC">
            <w:pPr>
              <w:pStyle w:val="ListParagraph"/>
              <w:numPr>
                <w:ilvl w:val="0"/>
                <w:numId w:val="14"/>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Protejarea cheltuielilor prioritare;</w:t>
            </w:r>
          </w:p>
          <w:p w:rsidR="00451286" w:rsidRPr="00FA72AA" w:rsidRDefault="00451286" w:rsidP="005126EC">
            <w:pPr>
              <w:pStyle w:val="ListParagraph"/>
              <w:numPr>
                <w:ilvl w:val="0"/>
                <w:numId w:val="15"/>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Sporirea transparenței politicilor bugetar-fiscale și a riscurilor asociate.</w:t>
            </w:r>
          </w:p>
        </w:tc>
      </w:tr>
      <w:tr w:rsidR="00451286" w:rsidRPr="003973DD" w:rsidTr="005126EC">
        <w:trPr>
          <w:trHeight w:val="70"/>
        </w:trPr>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 xml:space="preserve">Aprobarea </w:t>
            </w:r>
            <w:r w:rsidRPr="00FA72AA">
              <w:rPr>
                <w:b/>
                <w:bCs/>
                <w:i/>
                <w:sz w:val="20"/>
                <w:szCs w:val="20"/>
                <w:lang w:val="ro-RO"/>
              </w:rPr>
              <w:t>Conceptului și Planului de acțiuni pentru elaborarea Standardelor Naționale de Contabilitate pentru Sectorul Public</w:t>
            </w:r>
            <w:r w:rsidRPr="00FA72AA">
              <w:rPr>
                <w:bCs/>
                <w:sz w:val="20"/>
                <w:szCs w:val="20"/>
                <w:lang w:val="ro-RO"/>
              </w:rPr>
              <w:t>, prin Ordinul ministerului finanțelor nr. 159 din 27.12.2016, la moment fiind elaborate 22 (din 30) proiecte de Standarde Naționale de Contabilitate pentru Sectorul Public.</w:t>
            </w:r>
          </w:p>
        </w:tc>
        <w:tc>
          <w:tcPr>
            <w:tcW w:w="7938" w:type="dxa"/>
            <w:shd w:val="clear" w:color="auto" w:fill="FFFFFF" w:themeFill="background1"/>
          </w:tcPr>
          <w:p w:rsidR="00451286" w:rsidRPr="00FA72AA" w:rsidRDefault="00451286" w:rsidP="005126EC">
            <w:pPr>
              <w:jc w:val="both"/>
              <w:rPr>
                <w:sz w:val="20"/>
                <w:szCs w:val="20"/>
                <w:lang w:val="ro-RO"/>
              </w:rPr>
            </w:pPr>
          </w:p>
        </w:tc>
      </w:tr>
      <w:tr w:rsidR="00451286" w:rsidRPr="003973DD" w:rsidTr="005126EC">
        <w:trPr>
          <w:trHeight w:val="70"/>
        </w:trPr>
        <w:tc>
          <w:tcPr>
            <w:tcW w:w="7655" w:type="dxa"/>
            <w:shd w:val="clear" w:color="auto" w:fill="FFFFFF" w:themeFill="background1"/>
          </w:tcPr>
          <w:p w:rsidR="00451286" w:rsidRPr="00FA72AA" w:rsidRDefault="00451286" w:rsidP="005126EC">
            <w:pPr>
              <w:jc w:val="both"/>
              <w:rPr>
                <w:bCs/>
                <w:sz w:val="20"/>
                <w:szCs w:val="20"/>
                <w:shd w:val="clear" w:color="auto" w:fill="FFFFFF"/>
                <w:lang w:val="ro-RO"/>
              </w:rPr>
            </w:pPr>
            <w:r w:rsidRPr="00FA72AA">
              <w:rPr>
                <w:bCs/>
                <w:sz w:val="20"/>
                <w:szCs w:val="20"/>
                <w:shd w:val="clear" w:color="auto" w:fill="FFFFFF"/>
                <w:lang w:val="ro-RO"/>
              </w:rPr>
              <w:lastRenderedPageBreak/>
              <w:t xml:space="preserve">Aprobarea </w:t>
            </w:r>
            <w:r w:rsidRPr="00FA72AA">
              <w:rPr>
                <w:b/>
                <w:bCs/>
                <w:i/>
                <w:sz w:val="20"/>
                <w:szCs w:val="20"/>
                <w:shd w:val="clear" w:color="auto" w:fill="FFFFFF"/>
                <w:lang w:val="ro-RO"/>
              </w:rPr>
              <w:t xml:space="preserve">Regulamentului privind </w:t>
            </w:r>
            <w:proofErr w:type="spellStart"/>
            <w:r w:rsidRPr="00FA72AA">
              <w:rPr>
                <w:b/>
                <w:bCs/>
                <w:i/>
                <w:sz w:val="20"/>
                <w:szCs w:val="20"/>
                <w:shd w:val="clear" w:color="auto" w:fill="FFFFFF"/>
                <w:lang w:val="ro-RO"/>
              </w:rPr>
              <w:t>monitoringul</w:t>
            </w:r>
            <w:proofErr w:type="spellEnd"/>
            <w:r w:rsidRPr="00FA72AA">
              <w:rPr>
                <w:b/>
                <w:bCs/>
                <w:i/>
                <w:sz w:val="20"/>
                <w:szCs w:val="20"/>
                <w:shd w:val="clear" w:color="auto" w:fill="FFFFFF"/>
                <w:lang w:val="ro-RO"/>
              </w:rPr>
              <w:t xml:space="preserve"> financiar al întreprinderilor de stat/municipale </w:t>
            </w:r>
            <w:proofErr w:type="spellStart"/>
            <w:r w:rsidRPr="00FA72AA">
              <w:rPr>
                <w:b/>
                <w:bCs/>
                <w:i/>
                <w:sz w:val="20"/>
                <w:szCs w:val="20"/>
                <w:shd w:val="clear" w:color="auto" w:fill="FFFFFF"/>
                <w:lang w:val="ro-RO"/>
              </w:rPr>
              <w:t>şi</w:t>
            </w:r>
            <w:proofErr w:type="spellEnd"/>
            <w:r w:rsidRPr="00FA72AA">
              <w:rPr>
                <w:b/>
                <w:bCs/>
                <w:i/>
                <w:sz w:val="20"/>
                <w:szCs w:val="20"/>
                <w:shd w:val="clear" w:color="auto" w:fill="FFFFFF"/>
                <w:lang w:val="ro-RO"/>
              </w:rPr>
              <w:t xml:space="preserve"> al </w:t>
            </w:r>
            <w:proofErr w:type="spellStart"/>
            <w:r w:rsidRPr="00FA72AA">
              <w:rPr>
                <w:b/>
                <w:bCs/>
                <w:i/>
                <w:sz w:val="20"/>
                <w:szCs w:val="20"/>
                <w:shd w:val="clear" w:color="auto" w:fill="FFFFFF"/>
                <w:lang w:val="ro-RO"/>
              </w:rPr>
              <w:t>societăţilor</w:t>
            </w:r>
            <w:proofErr w:type="spellEnd"/>
            <w:r w:rsidRPr="00FA72AA">
              <w:rPr>
                <w:b/>
                <w:bCs/>
                <w:i/>
                <w:sz w:val="20"/>
                <w:szCs w:val="20"/>
                <w:shd w:val="clear" w:color="auto" w:fill="FFFFFF"/>
                <w:lang w:val="ro-RO"/>
              </w:rPr>
              <w:t xml:space="preserve"> comerciale cu capital integral sau majoritar public</w:t>
            </w:r>
            <w:r w:rsidRPr="00FA72AA">
              <w:rPr>
                <w:bCs/>
                <w:sz w:val="20"/>
                <w:szCs w:val="20"/>
                <w:shd w:val="clear" w:color="auto" w:fill="FFFFFF"/>
                <w:lang w:val="ro-RO"/>
              </w:rPr>
              <w:t xml:space="preserve">, </w:t>
            </w:r>
          </w:p>
          <w:p w:rsidR="00451286" w:rsidRPr="00FA72AA" w:rsidRDefault="00451286" w:rsidP="005126EC">
            <w:pPr>
              <w:jc w:val="both"/>
              <w:rPr>
                <w:bCs/>
                <w:sz w:val="20"/>
                <w:szCs w:val="20"/>
                <w:shd w:val="clear" w:color="auto" w:fill="FFFFFF"/>
                <w:lang w:val="ro-RO"/>
              </w:rPr>
            </w:pPr>
            <w:r w:rsidRPr="00FA72AA">
              <w:rPr>
                <w:bCs/>
                <w:sz w:val="20"/>
                <w:szCs w:val="20"/>
                <w:shd w:val="clear" w:color="auto" w:fill="FFFFFF"/>
                <w:lang w:val="ro-RO"/>
              </w:rPr>
              <w:t>(</w:t>
            </w:r>
            <w:proofErr w:type="spellStart"/>
            <w:r w:rsidRPr="00FA72AA">
              <w:rPr>
                <w:bCs/>
                <w:sz w:val="20"/>
                <w:szCs w:val="20"/>
                <w:shd w:val="clear" w:color="auto" w:fill="FFFFFF"/>
                <w:lang w:val="ro-RO"/>
              </w:rPr>
              <w:t>Hotărîrea</w:t>
            </w:r>
            <w:proofErr w:type="spellEnd"/>
            <w:r w:rsidRPr="00FA72AA">
              <w:rPr>
                <w:bCs/>
                <w:sz w:val="20"/>
                <w:szCs w:val="20"/>
                <w:shd w:val="clear" w:color="auto" w:fill="FFFFFF"/>
                <w:lang w:val="ro-RO"/>
              </w:rPr>
              <w:t xml:space="preserve"> Guvernului nr. 875/2014)</w:t>
            </w:r>
          </w:p>
        </w:tc>
        <w:tc>
          <w:tcPr>
            <w:tcW w:w="7938" w:type="dxa"/>
            <w:vMerge w:val="restart"/>
            <w:shd w:val="clear" w:color="auto" w:fill="FFFFFF" w:themeFill="background1"/>
          </w:tcPr>
          <w:p w:rsidR="00451286" w:rsidRPr="00FA72AA" w:rsidRDefault="00451286" w:rsidP="005126EC">
            <w:pPr>
              <w:pStyle w:val="ListParagraph"/>
              <w:numPr>
                <w:ilvl w:val="0"/>
                <w:numId w:val="20"/>
              </w:numPr>
              <w:spacing w:after="0" w:line="240" w:lineRule="auto"/>
              <w:jc w:val="both"/>
              <w:rPr>
                <w:rFonts w:ascii="Times New Roman" w:hAnsi="Times New Roman"/>
                <w:sz w:val="20"/>
                <w:szCs w:val="20"/>
                <w:lang w:val="ro-RO"/>
              </w:rPr>
            </w:pPr>
            <w:r w:rsidRPr="00FA72AA">
              <w:rPr>
                <w:rFonts w:ascii="Times New Roman" w:hAnsi="Times New Roman"/>
                <w:sz w:val="20"/>
                <w:szCs w:val="20"/>
                <w:shd w:val="clear" w:color="auto" w:fill="FFFFFF"/>
                <w:lang w:val="ro-RO"/>
              </w:rPr>
              <w:t xml:space="preserve">Eficientizarea mecanismelor privind procesul de efectuare a </w:t>
            </w:r>
            <w:proofErr w:type="spellStart"/>
            <w:r w:rsidRPr="00FA72AA">
              <w:rPr>
                <w:rFonts w:ascii="Times New Roman" w:hAnsi="Times New Roman"/>
                <w:sz w:val="20"/>
                <w:szCs w:val="20"/>
                <w:shd w:val="clear" w:color="auto" w:fill="FFFFFF"/>
                <w:lang w:val="ro-RO"/>
              </w:rPr>
              <w:t>monitoringului</w:t>
            </w:r>
            <w:proofErr w:type="spellEnd"/>
            <w:r w:rsidRPr="00FA72AA">
              <w:rPr>
                <w:rFonts w:ascii="Times New Roman" w:hAnsi="Times New Roman"/>
                <w:sz w:val="20"/>
                <w:szCs w:val="20"/>
                <w:shd w:val="clear" w:color="auto" w:fill="FFFFFF"/>
                <w:lang w:val="ro-RO"/>
              </w:rPr>
              <w:t xml:space="preserve"> financiar al întreprinderilor de stat </w:t>
            </w:r>
            <w:proofErr w:type="spellStart"/>
            <w:r w:rsidRPr="00FA72AA">
              <w:rPr>
                <w:rFonts w:ascii="Times New Roman" w:hAnsi="Times New Roman"/>
                <w:sz w:val="20"/>
                <w:szCs w:val="20"/>
                <w:shd w:val="clear" w:color="auto" w:fill="FFFFFF"/>
                <w:lang w:val="ro-RO"/>
              </w:rPr>
              <w:t>şi</w:t>
            </w:r>
            <w:proofErr w:type="spellEnd"/>
            <w:r w:rsidRPr="00FA72AA">
              <w:rPr>
                <w:rFonts w:ascii="Times New Roman" w:hAnsi="Times New Roman"/>
                <w:sz w:val="20"/>
                <w:szCs w:val="20"/>
                <w:shd w:val="clear" w:color="auto" w:fill="FFFFFF"/>
                <w:lang w:val="ro-RO"/>
              </w:rPr>
              <w:t xml:space="preserve"> </w:t>
            </w:r>
            <w:proofErr w:type="spellStart"/>
            <w:r w:rsidRPr="00FA72AA">
              <w:rPr>
                <w:rFonts w:ascii="Times New Roman" w:hAnsi="Times New Roman"/>
                <w:sz w:val="20"/>
                <w:szCs w:val="20"/>
                <w:shd w:val="clear" w:color="auto" w:fill="FFFFFF"/>
                <w:lang w:val="ro-RO"/>
              </w:rPr>
              <w:t>societăţilor</w:t>
            </w:r>
            <w:proofErr w:type="spellEnd"/>
            <w:r w:rsidRPr="00FA72AA">
              <w:rPr>
                <w:rFonts w:ascii="Times New Roman" w:hAnsi="Times New Roman"/>
                <w:sz w:val="20"/>
                <w:szCs w:val="20"/>
                <w:shd w:val="clear" w:color="auto" w:fill="FFFFFF"/>
                <w:lang w:val="ro-RO"/>
              </w:rPr>
              <w:t xml:space="preserve"> comerciale cu capital integral sau majoritar de stat, </w:t>
            </w:r>
            <w:proofErr w:type="spellStart"/>
            <w:r w:rsidRPr="00FA72AA">
              <w:rPr>
                <w:rFonts w:ascii="Times New Roman" w:hAnsi="Times New Roman"/>
                <w:sz w:val="20"/>
                <w:szCs w:val="20"/>
                <w:shd w:val="clear" w:color="auto" w:fill="FFFFFF"/>
                <w:lang w:val="ro-RO"/>
              </w:rPr>
              <w:t>înglobînd</w:t>
            </w:r>
            <w:proofErr w:type="spellEnd"/>
            <w:r w:rsidRPr="00FA72AA">
              <w:rPr>
                <w:rFonts w:ascii="Times New Roman" w:hAnsi="Times New Roman"/>
                <w:sz w:val="20"/>
                <w:szCs w:val="20"/>
                <w:shd w:val="clear" w:color="auto" w:fill="FFFFFF"/>
                <w:lang w:val="ro-RO"/>
              </w:rPr>
              <w:t xml:space="preserve"> date noi referitoare la rapoartele auditorului, datoria sectorului public, precum </w:t>
            </w:r>
            <w:proofErr w:type="spellStart"/>
            <w:r w:rsidRPr="00FA72AA">
              <w:rPr>
                <w:rFonts w:ascii="Times New Roman" w:hAnsi="Times New Roman"/>
                <w:sz w:val="20"/>
                <w:szCs w:val="20"/>
                <w:shd w:val="clear" w:color="auto" w:fill="FFFFFF"/>
                <w:lang w:val="ro-RO"/>
              </w:rPr>
              <w:t>şi</w:t>
            </w:r>
            <w:proofErr w:type="spellEnd"/>
            <w:r w:rsidRPr="00FA72AA">
              <w:rPr>
                <w:rFonts w:ascii="Times New Roman" w:hAnsi="Times New Roman"/>
                <w:sz w:val="20"/>
                <w:szCs w:val="20"/>
                <w:shd w:val="clear" w:color="auto" w:fill="FFFFFF"/>
                <w:lang w:val="ro-RO"/>
              </w:rPr>
              <w:t xml:space="preserve"> alte date relevante pentru analiza </w:t>
            </w:r>
            <w:proofErr w:type="spellStart"/>
            <w:r w:rsidRPr="00FA72AA">
              <w:rPr>
                <w:rFonts w:ascii="Times New Roman" w:hAnsi="Times New Roman"/>
                <w:sz w:val="20"/>
                <w:szCs w:val="20"/>
                <w:shd w:val="clear" w:color="auto" w:fill="FFFFFF"/>
                <w:lang w:val="ro-RO"/>
              </w:rPr>
              <w:t>economico</w:t>
            </w:r>
            <w:proofErr w:type="spellEnd"/>
            <w:r w:rsidRPr="00FA72AA">
              <w:rPr>
                <w:rFonts w:ascii="Times New Roman" w:hAnsi="Times New Roman"/>
                <w:sz w:val="20"/>
                <w:szCs w:val="20"/>
                <w:shd w:val="clear" w:color="auto" w:fill="FFFFFF"/>
                <w:lang w:val="ro-RO"/>
              </w:rPr>
              <w:t xml:space="preserve">-financiară a </w:t>
            </w:r>
            <w:proofErr w:type="spellStart"/>
            <w:r w:rsidRPr="00FA72AA">
              <w:rPr>
                <w:rFonts w:ascii="Times New Roman" w:hAnsi="Times New Roman"/>
                <w:sz w:val="20"/>
                <w:szCs w:val="20"/>
                <w:shd w:val="clear" w:color="auto" w:fill="FFFFFF"/>
                <w:lang w:val="ro-RO"/>
              </w:rPr>
              <w:t>entităţilor</w:t>
            </w:r>
            <w:proofErr w:type="spellEnd"/>
            <w:r w:rsidRPr="00FA72AA">
              <w:rPr>
                <w:rFonts w:ascii="Times New Roman" w:hAnsi="Times New Roman"/>
                <w:sz w:val="20"/>
                <w:szCs w:val="20"/>
                <w:shd w:val="clear" w:color="auto" w:fill="FFFFFF"/>
                <w:lang w:val="ro-RO"/>
              </w:rPr>
              <w:t xml:space="preserve"> economice vizate.</w:t>
            </w:r>
          </w:p>
        </w:tc>
      </w:tr>
      <w:tr w:rsidR="00451286" w:rsidRPr="003973DD" w:rsidTr="005126EC">
        <w:trPr>
          <w:trHeight w:val="70"/>
        </w:trPr>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 xml:space="preserve">Aprobarea în </w:t>
            </w:r>
            <w:r w:rsidRPr="00FA72AA">
              <w:rPr>
                <w:b/>
                <w:bCs/>
                <w:i/>
                <w:sz w:val="20"/>
                <w:szCs w:val="20"/>
                <w:lang w:val="ro-RO"/>
              </w:rPr>
              <w:t>redacție nouă</w:t>
            </w:r>
            <w:r w:rsidRPr="00FA72AA">
              <w:rPr>
                <w:bCs/>
                <w:sz w:val="20"/>
                <w:szCs w:val="20"/>
                <w:lang w:val="ro-RO"/>
              </w:rPr>
              <w:t xml:space="preserve"> a Regulamentului privind </w:t>
            </w:r>
            <w:proofErr w:type="spellStart"/>
            <w:r w:rsidRPr="00FA72AA">
              <w:rPr>
                <w:bCs/>
                <w:sz w:val="20"/>
                <w:szCs w:val="20"/>
                <w:lang w:val="ro-RO"/>
              </w:rPr>
              <w:t>monitoringul</w:t>
            </w:r>
            <w:proofErr w:type="spellEnd"/>
            <w:r w:rsidRPr="00FA72AA">
              <w:rPr>
                <w:bCs/>
                <w:sz w:val="20"/>
                <w:szCs w:val="20"/>
                <w:lang w:val="ro-RO"/>
              </w:rPr>
              <w:t xml:space="preserve"> financiar al </w:t>
            </w:r>
            <w:proofErr w:type="spellStart"/>
            <w:r w:rsidRPr="00FA72AA">
              <w:rPr>
                <w:bCs/>
                <w:sz w:val="20"/>
                <w:szCs w:val="20"/>
                <w:lang w:val="ro-RO"/>
              </w:rPr>
              <w:t>autorităţilor</w:t>
            </w:r>
            <w:proofErr w:type="spellEnd"/>
            <w:r w:rsidRPr="00FA72AA">
              <w:rPr>
                <w:bCs/>
                <w:sz w:val="20"/>
                <w:szCs w:val="20"/>
                <w:lang w:val="ro-RO"/>
              </w:rPr>
              <w:t xml:space="preserve"> publice la autogestiune, al întreprinderilor de stat/municipale </w:t>
            </w:r>
            <w:proofErr w:type="spellStart"/>
            <w:r w:rsidRPr="00FA72AA">
              <w:rPr>
                <w:bCs/>
                <w:sz w:val="20"/>
                <w:szCs w:val="20"/>
                <w:lang w:val="ro-RO"/>
              </w:rPr>
              <w:t>şi</w:t>
            </w:r>
            <w:proofErr w:type="spellEnd"/>
            <w:r w:rsidRPr="00FA72AA">
              <w:rPr>
                <w:bCs/>
                <w:sz w:val="20"/>
                <w:szCs w:val="20"/>
                <w:lang w:val="ro-RO"/>
              </w:rPr>
              <w:t xml:space="preserve"> al </w:t>
            </w:r>
            <w:proofErr w:type="spellStart"/>
            <w:r w:rsidRPr="00FA72AA">
              <w:rPr>
                <w:bCs/>
                <w:sz w:val="20"/>
                <w:szCs w:val="20"/>
                <w:lang w:val="ro-RO"/>
              </w:rPr>
              <w:t>societăţilor</w:t>
            </w:r>
            <w:proofErr w:type="spellEnd"/>
            <w:r w:rsidRPr="00FA72AA">
              <w:rPr>
                <w:bCs/>
                <w:sz w:val="20"/>
                <w:szCs w:val="20"/>
                <w:lang w:val="ro-RO"/>
              </w:rPr>
              <w:t xml:space="preserve"> comerciale cu capital integral sau majoritar public, (</w:t>
            </w:r>
            <w:proofErr w:type="spellStart"/>
            <w:r w:rsidRPr="00FA72AA">
              <w:rPr>
                <w:bCs/>
                <w:sz w:val="20"/>
                <w:szCs w:val="20"/>
                <w:lang w:val="ro-RO"/>
              </w:rPr>
              <w:t>Hotărîrea</w:t>
            </w:r>
            <w:proofErr w:type="spellEnd"/>
            <w:r w:rsidRPr="00FA72AA">
              <w:rPr>
                <w:bCs/>
                <w:sz w:val="20"/>
                <w:szCs w:val="20"/>
                <w:lang w:val="ro-RO"/>
              </w:rPr>
              <w:t xml:space="preserve"> Guvernului nr. 56/2018)</w:t>
            </w:r>
          </w:p>
          <w:p w:rsidR="00451286" w:rsidRPr="00FA72AA" w:rsidRDefault="00451286" w:rsidP="005126EC">
            <w:pPr>
              <w:jc w:val="both"/>
              <w:rPr>
                <w:bCs/>
                <w:i/>
                <w:sz w:val="20"/>
                <w:szCs w:val="20"/>
                <w:shd w:val="clear" w:color="auto" w:fill="FFFFFF"/>
                <w:lang w:val="ro-RO"/>
              </w:rPr>
            </w:pPr>
            <w:r w:rsidRPr="00FA72AA">
              <w:rPr>
                <w:bCs/>
                <w:i/>
                <w:sz w:val="20"/>
                <w:szCs w:val="20"/>
                <w:lang w:val="ro-RO"/>
              </w:rPr>
              <w:t xml:space="preserve">elaborat în vederea implementării recomandărilor Curții de Conturi expuse în </w:t>
            </w:r>
            <w:proofErr w:type="spellStart"/>
            <w:r w:rsidRPr="00FA72AA">
              <w:rPr>
                <w:bCs/>
                <w:i/>
                <w:sz w:val="20"/>
                <w:szCs w:val="20"/>
                <w:lang w:val="ro-RO"/>
              </w:rPr>
              <w:t>Hotărîrea</w:t>
            </w:r>
            <w:proofErr w:type="spellEnd"/>
            <w:r w:rsidRPr="00FA72AA">
              <w:rPr>
                <w:bCs/>
                <w:i/>
                <w:sz w:val="20"/>
                <w:szCs w:val="20"/>
                <w:lang w:val="ro-RO"/>
              </w:rPr>
              <w:t xml:space="preserve"> nr. 3 din 25 februarie 2016 cu privire la Raportul auditului privind realizarea de către Ministerul </w:t>
            </w:r>
            <w:proofErr w:type="spellStart"/>
            <w:r w:rsidRPr="00FA72AA">
              <w:rPr>
                <w:bCs/>
                <w:i/>
                <w:sz w:val="20"/>
                <w:szCs w:val="20"/>
                <w:lang w:val="ro-RO"/>
              </w:rPr>
              <w:t>Finanţelor</w:t>
            </w:r>
            <w:proofErr w:type="spellEnd"/>
            <w:r w:rsidRPr="00FA72AA">
              <w:rPr>
                <w:bCs/>
                <w:i/>
                <w:sz w:val="20"/>
                <w:szCs w:val="20"/>
                <w:lang w:val="ro-RO"/>
              </w:rPr>
              <w:t xml:space="preserve"> a sarcinilor </w:t>
            </w:r>
            <w:proofErr w:type="spellStart"/>
            <w:r w:rsidRPr="00FA72AA">
              <w:rPr>
                <w:bCs/>
                <w:i/>
                <w:sz w:val="20"/>
                <w:szCs w:val="20"/>
                <w:lang w:val="ro-RO"/>
              </w:rPr>
              <w:t>şi</w:t>
            </w:r>
            <w:proofErr w:type="spellEnd"/>
            <w:r w:rsidRPr="00FA72AA">
              <w:rPr>
                <w:bCs/>
                <w:i/>
                <w:sz w:val="20"/>
                <w:szCs w:val="20"/>
                <w:lang w:val="ro-RO"/>
              </w:rPr>
              <w:t xml:space="preserve"> </w:t>
            </w:r>
            <w:proofErr w:type="spellStart"/>
            <w:r w:rsidRPr="00FA72AA">
              <w:rPr>
                <w:bCs/>
                <w:i/>
                <w:sz w:val="20"/>
                <w:szCs w:val="20"/>
                <w:lang w:val="ro-RO"/>
              </w:rPr>
              <w:t>activităţilor</w:t>
            </w:r>
            <w:proofErr w:type="spellEnd"/>
            <w:r w:rsidRPr="00FA72AA">
              <w:rPr>
                <w:bCs/>
                <w:i/>
                <w:sz w:val="20"/>
                <w:szCs w:val="20"/>
                <w:lang w:val="ro-RO"/>
              </w:rPr>
              <w:t xml:space="preserve"> în procesul de monitoring financiar al întreprinderilor de stat </w:t>
            </w:r>
            <w:proofErr w:type="spellStart"/>
            <w:r w:rsidRPr="00FA72AA">
              <w:rPr>
                <w:bCs/>
                <w:i/>
                <w:sz w:val="20"/>
                <w:szCs w:val="20"/>
                <w:lang w:val="ro-RO"/>
              </w:rPr>
              <w:t>şi</w:t>
            </w:r>
            <w:proofErr w:type="spellEnd"/>
            <w:r w:rsidRPr="00FA72AA">
              <w:rPr>
                <w:bCs/>
                <w:i/>
                <w:sz w:val="20"/>
                <w:szCs w:val="20"/>
                <w:lang w:val="ro-RO"/>
              </w:rPr>
              <w:t xml:space="preserve"> </w:t>
            </w:r>
            <w:proofErr w:type="spellStart"/>
            <w:r w:rsidRPr="00FA72AA">
              <w:rPr>
                <w:bCs/>
                <w:i/>
                <w:sz w:val="20"/>
                <w:szCs w:val="20"/>
                <w:lang w:val="ro-RO"/>
              </w:rPr>
              <w:t>societăţilor</w:t>
            </w:r>
            <w:proofErr w:type="spellEnd"/>
            <w:r w:rsidRPr="00FA72AA">
              <w:rPr>
                <w:bCs/>
                <w:i/>
                <w:sz w:val="20"/>
                <w:szCs w:val="20"/>
                <w:lang w:val="ro-RO"/>
              </w:rPr>
              <w:t xml:space="preserve"> comerciale cu capital integral sau majoritar de stat, precum și în vederea implementării prevederilor art. 76 alin. (1) și (4) din Legea finanțelor publice și responsabilității bugetar-fiscale nr. 181/2014.</w:t>
            </w:r>
          </w:p>
        </w:tc>
        <w:tc>
          <w:tcPr>
            <w:tcW w:w="7938" w:type="dxa"/>
            <w:vMerge/>
            <w:shd w:val="clear" w:color="auto" w:fill="FFFFFF" w:themeFill="background1"/>
          </w:tcPr>
          <w:p w:rsidR="00451286" w:rsidRPr="00FA72AA" w:rsidRDefault="00451286" w:rsidP="005126EC">
            <w:pPr>
              <w:jc w:val="both"/>
              <w:rPr>
                <w:sz w:val="20"/>
                <w:szCs w:val="20"/>
                <w:shd w:val="clear" w:color="auto" w:fill="FFFFFF"/>
                <w:lang w:val="ro-RO"/>
              </w:rPr>
            </w:pPr>
          </w:p>
        </w:tc>
      </w:tr>
      <w:tr w:rsidR="00451286" w:rsidRPr="003973DD" w:rsidTr="005126EC">
        <w:trPr>
          <w:trHeight w:val="107"/>
        </w:trPr>
        <w:tc>
          <w:tcPr>
            <w:tcW w:w="7655" w:type="dxa"/>
            <w:shd w:val="clear" w:color="auto" w:fill="FFFFFF" w:themeFill="background1"/>
          </w:tcPr>
          <w:p w:rsidR="00451286" w:rsidRPr="00FA72AA" w:rsidRDefault="00451286" w:rsidP="005126EC">
            <w:pPr>
              <w:jc w:val="both"/>
              <w:rPr>
                <w:bCs/>
                <w:i/>
                <w:sz w:val="20"/>
                <w:szCs w:val="20"/>
                <w:lang w:val="ro-RO"/>
              </w:rPr>
            </w:pPr>
            <w:r w:rsidRPr="00FA72AA">
              <w:rPr>
                <w:sz w:val="20"/>
                <w:szCs w:val="20"/>
                <w:lang w:val="ro-RO"/>
              </w:rPr>
              <w:t xml:space="preserve">Elaborarea </w:t>
            </w:r>
            <w:r w:rsidRPr="00FA72AA">
              <w:rPr>
                <w:b/>
                <w:bCs/>
                <w:i/>
                <w:sz w:val="20"/>
                <w:szCs w:val="20"/>
                <w:lang w:val="ro-RO"/>
              </w:rPr>
              <w:t>Clasificației bugetare nouă aliniată la COFOG și GFS 2001</w:t>
            </w:r>
            <w:r w:rsidRPr="00FA72AA">
              <w:rPr>
                <w:bCs/>
                <w:sz w:val="20"/>
                <w:szCs w:val="20"/>
                <w:lang w:val="ro-RO"/>
              </w:rPr>
              <w:t xml:space="preserve">, aprobată prin Ordinul </w:t>
            </w:r>
            <w:proofErr w:type="spellStart"/>
            <w:r w:rsidRPr="00FA72AA">
              <w:rPr>
                <w:bCs/>
                <w:sz w:val="20"/>
                <w:szCs w:val="20"/>
                <w:lang w:val="ro-RO"/>
              </w:rPr>
              <w:t>MFr</w:t>
            </w:r>
            <w:proofErr w:type="spellEnd"/>
            <w:r w:rsidRPr="00FA72AA">
              <w:rPr>
                <w:bCs/>
                <w:sz w:val="20"/>
                <w:szCs w:val="20"/>
                <w:lang w:val="ro-RO"/>
              </w:rPr>
              <w:t xml:space="preserve"> nr.190/2014 și a </w:t>
            </w:r>
            <w:r w:rsidRPr="00FA72AA">
              <w:rPr>
                <w:b/>
                <w:bCs/>
                <w:i/>
                <w:sz w:val="20"/>
                <w:szCs w:val="20"/>
                <w:lang w:val="ro-RO"/>
              </w:rPr>
              <w:t>Setului metodologic privind elaborarea, aprobarea și modificarea bugetului</w:t>
            </w:r>
            <w:r w:rsidRPr="00FA72AA">
              <w:rPr>
                <w:bCs/>
                <w:sz w:val="20"/>
                <w:szCs w:val="20"/>
                <w:lang w:val="ro-RO"/>
              </w:rPr>
              <w:t xml:space="preserve">, aprobat prin Ordinul MF nr.191/2014, cu aplicabilitate </w:t>
            </w:r>
            <w:proofErr w:type="spellStart"/>
            <w:r w:rsidRPr="00FA72AA">
              <w:rPr>
                <w:bCs/>
                <w:sz w:val="20"/>
                <w:szCs w:val="20"/>
                <w:lang w:val="ro-RO"/>
              </w:rPr>
              <w:t>începînd</w:t>
            </w:r>
            <w:proofErr w:type="spellEnd"/>
            <w:r w:rsidRPr="00FA72AA">
              <w:rPr>
                <w:bCs/>
                <w:sz w:val="20"/>
                <w:szCs w:val="20"/>
                <w:lang w:val="ro-RO"/>
              </w:rPr>
              <w:t xml:space="preserve"> cu planificarea bugetară pe anii 2016-2018 </w:t>
            </w:r>
            <w:r w:rsidRPr="00FA72AA">
              <w:rPr>
                <w:bCs/>
                <w:i/>
                <w:sz w:val="20"/>
                <w:szCs w:val="20"/>
                <w:lang w:val="ro-RO"/>
              </w:rPr>
              <w:t xml:space="preserve">(ca urmare a elaborării modulului informațional „Gestionarea alocațiilor bugetare”, </w:t>
            </w:r>
            <w:proofErr w:type="spellStart"/>
            <w:r w:rsidRPr="00FA72AA">
              <w:rPr>
                <w:bCs/>
                <w:i/>
                <w:sz w:val="20"/>
                <w:szCs w:val="20"/>
                <w:lang w:val="ro-RO"/>
              </w:rPr>
              <w:t>cît</w:t>
            </w:r>
            <w:proofErr w:type="spellEnd"/>
            <w:r w:rsidRPr="00FA72AA">
              <w:rPr>
                <w:bCs/>
                <w:i/>
                <w:sz w:val="20"/>
                <w:szCs w:val="20"/>
                <w:lang w:val="ro-RO"/>
              </w:rPr>
              <w:t xml:space="preserve"> și în legătură cu necesitatea introducerii anumitor modificări/completări referitor la unele prevederi, Setul metodologic a fost ajustat/completat și reaprobat prin Ordinul ministrului finanțelor nr.209 din 24 decembrie 2015. De asemenea, prin Ordinul ministrului finanțelor nr.208 din 24 decembrie 2015 a fost reaprobată noua clasificație bugetară </w:t>
            </w:r>
            <w:proofErr w:type="spellStart"/>
            <w:r w:rsidRPr="00FA72AA">
              <w:rPr>
                <w:bCs/>
                <w:i/>
                <w:sz w:val="20"/>
                <w:szCs w:val="20"/>
                <w:lang w:val="ro-RO"/>
              </w:rPr>
              <w:t>şi</w:t>
            </w:r>
            <w:proofErr w:type="spellEnd"/>
            <w:r w:rsidRPr="00FA72AA">
              <w:rPr>
                <w:bCs/>
                <w:i/>
                <w:sz w:val="20"/>
                <w:szCs w:val="20"/>
                <w:lang w:val="ro-RO"/>
              </w:rPr>
              <w:t xml:space="preserve"> normele metodologice privind aplicarea acesteia, aliniată la standarde internaționale).</w:t>
            </w:r>
          </w:p>
        </w:tc>
        <w:tc>
          <w:tcPr>
            <w:tcW w:w="7938" w:type="dxa"/>
            <w:shd w:val="clear" w:color="auto" w:fill="FFFFFF" w:themeFill="background1"/>
          </w:tcPr>
          <w:p w:rsidR="00451286" w:rsidRPr="00FA72AA" w:rsidRDefault="00451286" w:rsidP="005126EC">
            <w:pPr>
              <w:pStyle w:val="ListParagraph"/>
              <w:numPr>
                <w:ilvl w:val="0"/>
                <w:numId w:val="15"/>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Alinierea la standardele internaționale;</w:t>
            </w:r>
          </w:p>
          <w:p w:rsidR="00451286" w:rsidRPr="00FA72AA" w:rsidRDefault="00451286" w:rsidP="005126EC">
            <w:pPr>
              <w:pStyle w:val="ListParagraph"/>
              <w:numPr>
                <w:ilvl w:val="0"/>
                <w:numId w:val="15"/>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Proceduri unificate în procesul elaborării, aprobării și modificării bugetului.</w:t>
            </w:r>
          </w:p>
          <w:p w:rsidR="00451286" w:rsidRPr="00FA72AA" w:rsidRDefault="00451286" w:rsidP="005126EC">
            <w:pPr>
              <w:jc w:val="both"/>
              <w:rPr>
                <w:sz w:val="20"/>
                <w:szCs w:val="20"/>
                <w:lang w:val="ro-RO"/>
              </w:rPr>
            </w:pPr>
          </w:p>
        </w:tc>
      </w:tr>
      <w:tr w:rsidR="00451286" w:rsidRPr="003973DD" w:rsidTr="005126EC">
        <w:trPr>
          <w:trHeight w:val="107"/>
        </w:trPr>
        <w:tc>
          <w:tcPr>
            <w:tcW w:w="7655" w:type="dxa"/>
            <w:shd w:val="clear" w:color="auto" w:fill="FFFFFF" w:themeFill="background1"/>
          </w:tcPr>
          <w:p w:rsidR="00451286" w:rsidRPr="00FA72AA" w:rsidRDefault="00451286" w:rsidP="005126EC">
            <w:pPr>
              <w:jc w:val="both"/>
              <w:rPr>
                <w:i/>
                <w:sz w:val="20"/>
                <w:szCs w:val="20"/>
                <w:lang w:val="ro-RO"/>
              </w:rPr>
            </w:pPr>
            <w:r w:rsidRPr="00FA72AA">
              <w:rPr>
                <w:sz w:val="20"/>
                <w:szCs w:val="20"/>
                <w:lang w:val="ro-RO"/>
              </w:rPr>
              <w:t>Asigurarea, conform Planului</w:t>
            </w:r>
            <w:r w:rsidRPr="00FA72AA">
              <w:rPr>
                <w:bCs/>
                <w:sz w:val="20"/>
                <w:szCs w:val="20"/>
                <w:lang w:val="ro-RO"/>
              </w:rPr>
              <w:t xml:space="preserve"> de implementare a Proiectului pentru dezvoltarea capacităților de bugetare pe programe în Republica Moldova pe anii 2014-2016 (faza 3), a procesului de </w:t>
            </w:r>
            <w:r w:rsidRPr="00FA72AA">
              <w:rPr>
                <w:b/>
                <w:bCs/>
                <w:i/>
                <w:sz w:val="20"/>
                <w:szCs w:val="20"/>
                <w:lang w:val="ro-RO"/>
              </w:rPr>
              <w:t>furnizare a asistenței autorităților publice centrale și locale în dezvoltarea capacităților de bugetare pe programe</w:t>
            </w:r>
            <w:r w:rsidRPr="00FA72AA">
              <w:rPr>
                <w:bCs/>
                <w:sz w:val="20"/>
                <w:szCs w:val="20"/>
                <w:lang w:val="ro-RO"/>
              </w:rPr>
              <w:t>, cu suportul Programului Finanțele publice pentru Dezvoltare în cadrul Acordului de Cooperare dintre Ministerul Finanțelor al Republicii Moldova și Ministerul Finanțelor al Republicii Slovacia.</w:t>
            </w:r>
          </w:p>
        </w:tc>
        <w:tc>
          <w:tcPr>
            <w:tcW w:w="7938" w:type="dxa"/>
            <w:shd w:val="clear" w:color="auto" w:fill="FFFFFF" w:themeFill="background1"/>
          </w:tcPr>
          <w:p w:rsidR="00451286" w:rsidRPr="00FA72AA" w:rsidRDefault="00451286" w:rsidP="005126EC">
            <w:pPr>
              <w:pStyle w:val="ListParagraph"/>
              <w:numPr>
                <w:ilvl w:val="0"/>
                <w:numId w:val="15"/>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Consolidarea </w:t>
            </w:r>
            <w:proofErr w:type="spellStart"/>
            <w:r w:rsidRPr="00FA72AA">
              <w:rPr>
                <w:rFonts w:ascii="Times New Roman" w:hAnsi="Times New Roman"/>
                <w:sz w:val="20"/>
                <w:szCs w:val="20"/>
                <w:lang w:val="ro-RO"/>
              </w:rPr>
              <w:t>capacităţilor</w:t>
            </w:r>
            <w:proofErr w:type="spellEnd"/>
            <w:r w:rsidRPr="00FA72AA">
              <w:rPr>
                <w:rFonts w:ascii="Times New Roman" w:hAnsi="Times New Roman"/>
                <w:sz w:val="20"/>
                <w:szCs w:val="20"/>
                <w:lang w:val="ro-RO"/>
              </w:rPr>
              <w:t xml:space="preserve"> în domeniul bugetării pe programe (110 formatori instruiți din cadrul APC și APL, programe bugetare revizuite la locul de muncă și la distanță);</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Consolidarea capacităților în domeniul monitorizării și evaluării programelor bugetare (128 formatori instruiți din cadrul APC și APL, proiectul metodologiei de monitorizare și evaluare a programelor bugetare elaborat).</w:t>
            </w:r>
          </w:p>
        </w:tc>
      </w:tr>
      <w:tr w:rsidR="00451286" w:rsidRPr="003973DD" w:rsidTr="005126EC">
        <w:trPr>
          <w:trHeight w:val="107"/>
        </w:trPr>
        <w:tc>
          <w:tcPr>
            <w:tcW w:w="7655" w:type="dxa"/>
            <w:shd w:val="clear" w:color="auto" w:fill="FFFFFF" w:themeFill="background1"/>
          </w:tcPr>
          <w:p w:rsidR="00451286" w:rsidRPr="00FA72AA" w:rsidRDefault="00451286" w:rsidP="005126EC">
            <w:pPr>
              <w:jc w:val="both"/>
              <w:rPr>
                <w:i/>
                <w:sz w:val="20"/>
                <w:szCs w:val="20"/>
                <w:lang w:val="ro-RO"/>
              </w:rPr>
            </w:pPr>
            <w:r w:rsidRPr="00FA72AA">
              <w:rPr>
                <w:b/>
                <w:i/>
                <w:sz w:val="20"/>
                <w:szCs w:val="20"/>
                <w:lang w:val="ro-RO"/>
              </w:rPr>
              <w:t xml:space="preserve">Actualizarea Strategiei de dezvoltare a managementului </w:t>
            </w:r>
            <w:proofErr w:type="spellStart"/>
            <w:r w:rsidRPr="00FA72AA">
              <w:rPr>
                <w:b/>
                <w:i/>
                <w:sz w:val="20"/>
                <w:szCs w:val="20"/>
                <w:lang w:val="ro-RO"/>
              </w:rPr>
              <w:t>finanţelor</w:t>
            </w:r>
            <w:proofErr w:type="spellEnd"/>
            <w:r w:rsidRPr="00FA72AA">
              <w:rPr>
                <w:b/>
                <w:i/>
                <w:sz w:val="20"/>
                <w:szCs w:val="20"/>
                <w:lang w:val="ro-RO"/>
              </w:rPr>
              <w:t xml:space="preserve"> publice 2013-2020</w:t>
            </w:r>
            <w:r w:rsidRPr="00FA72AA">
              <w:rPr>
                <w:i/>
                <w:sz w:val="20"/>
                <w:szCs w:val="20"/>
                <w:lang w:val="ro-RO"/>
              </w:rPr>
              <w:t xml:space="preserve"> (</w:t>
            </w:r>
            <w:proofErr w:type="spellStart"/>
            <w:r w:rsidRPr="00FA72AA">
              <w:rPr>
                <w:i/>
                <w:sz w:val="20"/>
                <w:szCs w:val="20"/>
                <w:lang w:val="ro-RO"/>
              </w:rPr>
              <w:t>Hotărîrea</w:t>
            </w:r>
            <w:proofErr w:type="spellEnd"/>
            <w:r w:rsidRPr="00FA72AA">
              <w:rPr>
                <w:i/>
                <w:sz w:val="20"/>
                <w:szCs w:val="20"/>
                <w:lang w:val="ro-RO"/>
              </w:rPr>
              <w:t xml:space="preserve"> Guvernului nr.1149/2017)</w:t>
            </w:r>
          </w:p>
        </w:tc>
        <w:tc>
          <w:tcPr>
            <w:tcW w:w="7938" w:type="dxa"/>
            <w:shd w:val="clear" w:color="auto" w:fill="FFFFFF" w:themeFill="background1"/>
          </w:tcPr>
          <w:p w:rsidR="00451286" w:rsidRPr="00FA72AA" w:rsidRDefault="00451286" w:rsidP="005126EC">
            <w:pPr>
              <w:jc w:val="both"/>
              <w:rPr>
                <w:sz w:val="20"/>
                <w:szCs w:val="20"/>
                <w:lang w:val="ro-RO"/>
              </w:rPr>
            </w:pPr>
          </w:p>
        </w:tc>
      </w:tr>
      <w:tr w:rsidR="00451286" w:rsidRPr="00FA72AA" w:rsidTr="005126EC">
        <w:trPr>
          <w:trHeight w:val="107"/>
        </w:trPr>
        <w:tc>
          <w:tcPr>
            <w:tcW w:w="7655" w:type="dxa"/>
            <w:shd w:val="clear" w:color="auto" w:fill="FFFFFF" w:themeFill="background1"/>
          </w:tcPr>
          <w:p w:rsidR="00451286" w:rsidRPr="00FA72AA" w:rsidRDefault="00451286" w:rsidP="005126EC">
            <w:pPr>
              <w:jc w:val="both"/>
              <w:rPr>
                <w:b/>
                <w:i/>
                <w:sz w:val="20"/>
                <w:szCs w:val="20"/>
                <w:lang w:val="ro-RO"/>
              </w:rPr>
            </w:pPr>
            <w:r w:rsidRPr="00FA72AA">
              <w:rPr>
                <w:sz w:val="20"/>
                <w:szCs w:val="20"/>
                <w:lang w:val="ro-RO"/>
              </w:rPr>
              <w:t>Instituirea</w:t>
            </w:r>
            <w:r w:rsidRPr="00FA72AA">
              <w:rPr>
                <w:b/>
                <w:i/>
                <w:sz w:val="20"/>
                <w:szCs w:val="20"/>
                <w:lang w:val="ro-RO"/>
              </w:rPr>
              <w:t xml:space="preserve"> Programului de investiții publice multianual continuu</w:t>
            </w:r>
          </w:p>
        </w:tc>
        <w:tc>
          <w:tcPr>
            <w:tcW w:w="7938" w:type="dxa"/>
            <w:shd w:val="clear" w:color="auto" w:fill="FFFFFF" w:themeFill="background1"/>
          </w:tcPr>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Asigurarea investițiilor prioritare la nivel național în cadrul bugetar multianual;</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Eficientizarea cheltuielilor publice;</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Creșterea oportunităților economice.</w:t>
            </w:r>
          </w:p>
        </w:tc>
      </w:tr>
      <w:tr w:rsidR="00451286" w:rsidRPr="003973DD" w:rsidTr="005126EC">
        <w:trPr>
          <w:trHeight w:val="144"/>
        </w:trPr>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 xml:space="preserve"> Realizare-cheie: Elaborarea </w:t>
            </w:r>
            <w:proofErr w:type="spellStart"/>
            <w:r w:rsidRPr="00FA72AA">
              <w:rPr>
                <w:b/>
                <w:sz w:val="20"/>
                <w:szCs w:val="20"/>
                <w:lang w:val="ro-RO"/>
              </w:rPr>
              <w:t>şi</w:t>
            </w:r>
            <w:proofErr w:type="spellEnd"/>
            <w:r w:rsidRPr="00FA72AA">
              <w:rPr>
                <w:b/>
                <w:sz w:val="20"/>
                <w:szCs w:val="20"/>
                <w:lang w:val="ro-RO"/>
              </w:rPr>
              <w:t xml:space="preserve"> actualizarea cadrului normativ/legislativ în domeniul controlului financiar public intern</w:t>
            </w:r>
          </w:p>
        </w:tc>
      </w:tr>
      <w:tr w:rsidR="00451286" w:rsidRPr="003973DD" w:rsidTr="005126EC">
        <w:trPr>
          <w:trHeight w:val="107"/>
        </w:trPr>
        <w:tc>
          <w:tcPr>
            <w:tcW w:w="7655" w:type="dxa"/>
            <w:shd w:val="clear" w:color="auto" w:fill="FFFFFF" w:themeFill="background1"/>
          </w:tcPr>
          <w:p w:rsidR="00451286" w:rsidRPr="00FA72AA" w:rsidRDefault="00451286" w:rsidP="005126EC">
            <w:pPr>
              <w:tabs>
                <w:tab w:val="left" w:pos="342"/>
              </w:tabs>
              <w:jc w:val="both"/>
              <w:rPr>
                <w:rFonts w:eastAsia="SimSun"/>
                <w:color w:val="000000"/>
                <w:sz w:val="20"/>
                <w:szCs w:val="20"/>
                <w:lang w:val="ro-RO"/>
              </w:rPr>
            </w:pPr>
            <w:r w:rsidRPr="00FA72AA">
              <w:rPr>
                <w:bCs/>
                <w:sz w:val="20"/>
                <w:szCs w:val="20"/>
                <w:lang w:val="ro-RO"/>
              </w:rPr>
              <w:t xml:space="preserve">Aprobarea </w:t>
            </w:r>
            <w:r w:rsidRPr="00FA72AA">
              <w:rPr>
                <w:rFonts w:eastAsia="SimSun"/>
                <w:b/>
                <w:i/>
                <w:color w:val="000000"/>
                <w:sz w:val="20"/>
                <w:szCs w:val="20"/>
                <w:lang w:val="ro-RO"/>
              </w:rPr>
              <w:t>Programului de dezvoltare a controlului financiar public intern pentru anii 2018-2020 și Planul de acțiuni pentru implementarea acestuia</w:t>
            </w:r>
            <w:r w:rsidRPr="00FA72AA">
              <w:rPr>
                <w:rFonts w:eastAsia="SimSun"/>
                <w:i/>
                <w:color w:val="000000"/>
                <w:sz w:val="20"/>
                <w:szCs w:val="20"/>
                <w:lang w:val="ro-RO"/>
              </w:rPr>
              <w:t>, (</w:t>
            </w:r>
            <w:proofErr w:type="spellStart"/>
            <w:r w:rsidRPr="00FA72AA">
              <w:rPr>
                <w:rFonts w:eastAsia="SimSun"/>
                <w:color w:val="000000"/>
                <w:sz w:val="20"/>
                <w:szCs w:val="20"/>
                <w:lang w:val="ro-RO"/>
              </w:rPr>
              <w:t>Hotărîrea</w:t>
            </w:r>
            <w:proofErr w:type="spellEnd"/>
            <w:r w:rsidRPr="00FA72AA">
              <w:rPr>
                <w:rFonts w:eastAsia="SimSun"/>
                <w:color w:val="000000"/>
                <w:sz w:val="20"/>
                <w:szCs w:val="20"/>
                <w:lang w:val="ro-RO"/>
              </w:rPr>
              <w:t xml:space="preserve"> Guvernului nr.124/2018) </w:t>
            </w:r>
          </w:p>
        </w:tc>
        <w:tc>
          <w:tcPr>
            <w:tcW w:w="7938" w:type="dxa"/>
            <w:vMerge w:val="restart"/>
            <w:shd w:val="clear" w:color="auto" w:fill="FFFFFF" w:themeFill="background1"/>
          </w:tcPr>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Consolidarea cadrului normativ în domeniul controlului financiar public intern (CFPI), inclusiv în domeniul controlului intern managerial (CIM)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auditului intern în sectorul public conform bunelor practici ale UE;</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Facilitarea înțelegerii și aplicării de către părțile interesate a cadrului normativ aferent domeniului CFPI;</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Crearea premiselor pentru acoperirea cu servicii de audit intern a unui număr mai mare de entități publice;</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Stabilirea obligativității privind certificarea persoanelor cu funcții de conducere a subdiviziunilor de audit intern;</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lastRenderedPageBreak/>
              <w:t>Fortificarea rolului Consiliului CFPI în calitate de organism consultativ pe lângă Ministerul Finanțelor;</w:t>
            </w:r>
          </w:p>
          <w:p w:rsidR="00451286" w:rsidRPr="00FA72AA" w:rsidRDefault="00451286" w:rsidP="005126EC">
            <w:pPr>
              <w:pStyle w:val="ListParagraph"/>
              <w:numPr>
                <w:ilvl w:val="0"/>
                <w:numId w:val="17"/>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Sporirea răspunderii manageriale prin modificarea procedurii de raportare cu privire la rezultatele autoevaluării sistemelor de CIM.</w:t>
            </w:r>
          </w:p>
        </w:tc>
      </w:tr>
      <w:tr w:rsidR="00451286" w:rsidRPr="003973DD" w:rsidTr="005126EC">
        <w:trPr>
          <w:trHeight w:val="107"/>
        </w:trPr>
        <w:tc>
          <w:tcPr>
            <w:tcW w:w="7655" w:type="dxa"/>
            <w:shd w:val="clear" w:color="auto" w:fill="FFFFFF" w:themeFill="background1"/>
          </w:tcPr>
          <w:p w:rsidR="00451286" w:rsidRPr="00FA72AA" w:rsidRDefault="00451286" w:rsidP="005126EC">
            <w:pPr>
              <w:tabs>
                <w:tab w:val="left" w:pos="342"/>
              </w:tabs>
              <w:contextualSpacing/>
              <w:jc w:val="both"/>
              <w:rPr>
                <w:rFonts w:eastAsia="SimSun"/>
                <w:color w:val="000000"/>
                <w:sz w:val="20"/>
                <w:szCs w:val="20"/>
                <w:lang w:val="ro-RO"/>
              </w:rPr>
            </w:pPr>
            <w:r w:rsidRPr="00FA72AA">
              <w:rPr>
                <w:rFonts w:eastAsia="SimSun"/>
                <w:color w:val="000000"/>
                <w:sz w:val="20"/>
                <w:szCs w:val="20"/>
                <w:lang w:val="ro-RO"/>
              </w:rPr>
              <w:t xml:space="preserve">Modificarea </w:t>
            </w:r>
            <w:r w:rsidRPr="00FA72AA">
              <w:rPr>
                <w:rFonts w:eastAsia="SimSun"/>
                <w:b/>
                <w:i/>
                <w:color w:val="000000"/>
                <w:sz w:val="20"/>
                <w:szCs w:val="20"/>
                <w:lang w:val="ro-RO"/>
              </w:rPr>
              <w:t>Legii privind controlul financiar public intern nr.229/2010</w:t>
            </w:r>
            <w:r w:rsidRPr="00FA72AA">
              <w:rPr>
                <w:rFonts w:eastAsia="SimSun"/>
                <w:color w:val="000000"/>
                <w:sz w:val="20"/>
                <w:szCs w:val="20"/>
                <w:lang w:val="ro-RO"/>
              </w:rPr>
              <w:t xml:space="preserve"> (Legea nr.234/2018), în scopul eliminării carențelor și dezvoltării principiilor generale de organizare a sistemului vizat</w:t>
            </w:r>
          </w:p>
        </w:tc>
        <w:tc>
          <w:tcPr>
            <w:tcW w:w="7938" w:type="dxa"/>
            <w:vMerge/>
            <w:shd w:val="clear" w:color="auto" w:fill="FFFFFF" w:themeFill="background1"/>
          </w:tcPr>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p>
        </w:tc>
      </w:tr>
      <w:tr w:rsidR="00451286" w:rsidRPr="003973DD" w:rsidTr="005126EC">
        <w:trPr>
          <w:trHeight w:val="107"/>
        </w:trPr>
        <w:tc>
          <w:tcPr>
            <w:tcW w:w="7655" w:type="dxa"/>
            <w:shd w:val="clear" w:color="auto" w:fill="FFFFFF" w:themeFill="background1"/>
          </w:tcPr>
          <w:p w:rsidR="00451286" w:rsidRPr="00FA72AA" w:rsidRDefault="00451286" w:rsidP="005126EC">
            <w:pPr>
              <w:tabs>
                <w:tab w:val="left" w:pos="288"/>
              </w:tabs>
              <w:contextualSpacing/>
              <w:jc w:val="both"/>
              <w:rPr>
                <w:rFonts w:eastAsia="SimSun"/>
                <w:color w:val="000000"/>
                <w:sz w:val="20"/>
                <w:szCs w:val="20"/>
                <w:lang w:val="ro-RO"/>
              </w:rPr>
            </w:pPr>
            <w:r w:rsidRPr="00FA72AA">
              <w:rPr>
                <w:rFonts w:eastAsia="SimSun"/>
                <w:color w:val="000000"/>
                <w:sz w:val="20"/>
                <w:szCs w:val="20"/>
                <w:lang w:val="ro-RO"/>
              </w:rPr>
              <w:t>Revizuirea și dezvoltarea cadrului normativ secundar în vederea facilitării implementării prevederilor legislative, conform standardelor și bunelor practici UE, fiind aprobate:</w:t>
            </w:r>
          </w:p>
          <w:p w:rsidR="00451286" w:rsidRPr="00FA72AA" w:rsidRDefault="00451286" w:rsidP="005126EC">
            <w:pPr>
              <w:tabs>
                <w:tab w:val="left" w:pos="288"/>
              </w:tabs>
              <w:ind w:left="288"/>
              <w:contextualSpacing/>
              <w:jc w:val="both"/>
              <w:rPr>
                <w:rFonts w:eastAsia="SimSun"/>
                <w:color w:val="000000"/>
                <w:sz w:val="20"/>
                <w:szCs w:val="20"/>
                <w:lang w:val="ro-RO"/>
              </w:rPr>
            </w:pPr>
            <w:r w:rsidRPr="00FA72AA">
              <w:rPr>
                <w:rFonts w:eastAsia="SimSun"/>
                <w:i/>
                <w:color w:val="000000"/>
                <w:sz w:val="20"/>
                <w:szCs w:val="20"/>
                <w:lang w:val="ro-RO"/>
              </w:rPr>
              <w:t>- Standardele Naționale de Audit Intern</w:t>
            </w:r>
            <w:r w:rsidRPr="00FA72AA">
              <w:rPr>
                <w:rFonts w:eastAsia="SimSun"/>
                <w:color w:val="000000"/>
                <w:sz w:val="20"/>
                <w:szCs w:val="20"/>
                <w:lang w:val="ro-RO"/>
              </w:rPr>
              <w:t>, (Ordinul MF nr. 153/2018);</w:t>
            </w:r>
          </w:p>
          <w:p w:rsidR="00451286" w:rsidRPr="00FA72AA" w:rsidRDefault="00451286" w:rsidP="005126EC">
            <w:pPr>
              <w:tabs>
                <w:tab w:val="left" w:pos="288"/>
              </w:tabs>
              <w:ind w:left="288"/>
              <w:contextualSpacing/>
              <w:jc w:val="both"/>
              <w:rPr>
                <w:rFonts w:eastAsia="SimSun"/>
                <w:color w:val="000000"/>
                <w:sz w:val="20"/>
                <w:szCs w:val="20"/>
                <w:lang w:val="ro-RO"/>
              </w:rPr>
            </w:pPr>
            <w:r w:rsidRPr="00FA72AA">
              <w:rPr>
                <w:rFonts w:eastAsia="SimSun"/>
                <w:color w:val="000000"/>
                <w:sz w:val="20"/>
                <w:szCs w:val="20"/>
                <w:lang w:val="ro-RO"/>
              </w:rPr>
              <w:t xml:space="preserve">- </w:t>
            </w:r>
            <w:r w:rsidRPr="00FA72AA">
              <w:rPr>
                <w:rFonts w:eastAsia="SimSun"/>
                <w:i/>
                <w:color w:val="000000"/>
                <w:sz w:val="20"/>
                <w:szCs w:val="20"/>
                <w:lang w:val="ro-RO"/>
              </w:rPr>
              <w:t xml:space="preserve">Standardele </w:t>
            </w:r>
            <w:proofErr w:type="spellStart"/>
            <w:r w:rsidRPr="00FA72AA">
              <w:rPr>
                <w:rFonts w:eastAsia="SimSun"/>
                <w:i/>
                <w:color w:val="000000"/>
                <w:sz w:val="20"/>
                <w:szCs w:val="20"/>
                <w:lang w:val="ro-RO"/>
              </w:rPr>
              <w:t>naţionale</w:t>
            </w:r>
            <w:proofErr w:type="spellEnd"/>
            <w:r w:rsidRPr="00FA72AA">
              <w:rPr>
                <w:rFonts w:eastAsia="SimSun"/>
                <w:i/>
                <w:color w:val="000000"/>
                <w:sz w:val="20"/>
                <w:szCs w:val="20"/>
                <w:lang w:val="ro-RO"/>
              </w:rPr>
              <w:t xml:space="preserve"> de control intern în sectorul public</w:t>
            </w:r>
            <w:r w:rsidRPr="00FA72AA">
              <w:rPr>
                <w:rFonts w:eastAsia="SimSun"/>
                <w:color w:val="000000"/>
                <w:sz w:val="20"/>
                <w:szCs w:val="20"/>
                <w:lang w:val="ro-RO"/>
              </w:rPr>
              <w:t>, (Ordinul MF nr.189/2015);</w:t>
            </w:r>
          </w:p>
          <w:p w:rsidR="00451286" w:rsidRPr="00FA72AA" w:rsidRDefault="00451286" w:rsidP="005126EC">
            <w:pPr>
              <w:tabs>
                <w:tab w:val="left" w:pos="342"/>
              </w:tabs>
              <w:ind w:left="288"/>
              <w:contextualSpacing/>
              <w:jc w:val="both"/>
              <w:rPr>
                <w:rFonts w:eastAsia="SimSun"/>
                <w:i/>
                <w:color w:val="000000"/>
                <w:sz w:val="20"/>
                <w:szCs w:val="20"/>
                <w:lang w:val="ro-RO"/>
              </w:rPr>
            </w:pPr>
            <w:r w:rsidRPr="00FA72AA">
              <w:rPr>
                <w:rFonts w:eastAsia="SimSun"/>
                <w:i/>
                <w:color w:val="000000"/>
                <w:sz w:val="20"/>
                <w:szCs w:val="20"/>
                <w:lang w:val="ro-RO"/>
              </w:rPr>
              <w:lastRenderedPageBreak/>
              <w:t>-</w:t>
            </w:r>
            <w:r w:rsidRPr="00FA72AA">
              <w:rPr>
                <w:rFonts w:eastAsia="SimSun"/>
                <w:b/>
                <w:i/>
                <w:color w:val="000000"/>
                <w:sz w:val="20"/>
                <w:szCs w:val="20"/>
                <w:lang w:val="ro-RO"/>
              </w:rPr>
              <w:t xml:space="preserve"> </w:t>
            </w:r>
            <w:r w:rsidRPr="00FA72AA">
              <w:rPr>
                <w:rFonts w:eastAsia="SimSun"/>
                <w:i/>
                <w:color w:val="000000"/>
                <w:sz w:val="20"/>
                <w:szCs w:val="20"/>
                <w:lang w:val="ro-RO"/>
              </w:rPr>
              <w:t xml:space="preserve">Codul etic al auditorului intern </w:t>
            </w:r>
            <w:proofErr w:type="spellStart"/>
            <w:r w:rsidRPr="00FA72AA">
              <w:rPr>
                <w:rFonts w:eastAsia="SimSun"/>
                <w:i/>
                <w:color w:val="000000"/>
                <w:sz w:val="20"/>
                <w:szCs w:val="20"/>
                <w:lang w:val="ro-RO"/>
              </w:rPr>
              <w:t>şi</w:t>
            </w:r>
            <w:proofErr w:type="spellEnd"/>
            <w:r w:rsidRPr="00FA72AA">
              <w:rPr>
                <w:rFonts w:eastAsia="SimSun"/>
                <w:i/>
                <w:color w:val="000000"/>
                <w:sz w:val="20"/>
                <w:szCs w:val="20"/>
                <w:lang w:val="ro-RO"/>
              </w:rPr>
              <w:t xml:space="preserve"> Carta de audit intern (Regulament – model de </w:t>
            </w:r>
            <w:proofErr w:type="spellStart"/>
            <w:r w:rsidRPr="00FA72AA">
              <w:rPr>
                <w:rFonts w:eastAsia="SimSun"/>
                <w:i/>
                <w:color w:val="000000"/>
                <w:sz w:val="20"/>
                <w:szCs w:val="20"/>
                <w:lang w:val="ro-RO"/>
              </w:rPr>
              <w:t>funcţionare</w:t>
            </w:r>
            <w:proofErr w:type="spellEnd"/>
            <w:r w:rsidRPr="00FA72AA">
              <w:rPr>
                <w:rFonts w:eastAsia="SimSun"/>
                <w:i/>
                <w:color w:val="000000"/>
                <w:sz w:val="20"/>
                <w:szCs w:val="20"/>
                <w:lang w:val="ro-RO"/>
              </w:rPr>
              <w:t xml:space="preserve"> a </w:t>
            </w:r>
            <w:proofErr w:type="spellStart"/>
            <w:r w:rsidRPr="00FA72AA">
              <w:rPr>
                <w:rFonts w:eastAsia="SimSun"/>
                <w:i/>
                <w:color w:val="000000"/>
                <w:sz w:val="20"/>
                <w:szCs w:val="20"/>
                <w:lang w:val="ro-RO"/>
              </w:rPr>
              <w:t>unităţii</w:t>
            </w:r>
            <w:proofErr w:type="spellEnd"/>
            <w:r w:rsidRPr="00FA72AA">
              <w:rPr>
                <w:rFonts w:eastAsia="SimSun"/>
                <w:i/>
                <w:color w:val="000000"/>
                <w:sz w:val="20"/>
                <w:szCs w:val="20"/>
                <w:lang w:val="ro-RO"/>
              </w:rPr>
              <w:t xml:space="preserve"> de audit intern), </w:t>
            </w:r>
            <w:r w:rsidRPr="00FA72AA">
              <w:rPr>
                <w:rFonts w:eastAsia="SimSun"/>
                <w:color w:val="000000"/>
                <w:sz w:val="20"/>
                <w:szCs w:val="20"/>
                <w:lang w:val="ro-RO"/>
              </w:rPr>
              <w:t>(Ordinul MF nr.74/2014);</w:t>
            </w:r>
          </w:p>
          <w:p w:rsidR="00451286" w:rsidRPr="00FA72AA" w:rsidRDefault="00451286" w:rsidP="005126EC">
            <w:pPr>
              <w:tabs>
                <w:tab w:val="left" w:pos="288"/>
              </w:tabs>
              <w:ind w:left="288"/>
              <w:contextualSpacing/>
              <w:jc w:val="both"/>
              <w:rPr>
                <w:rFonts w:eastAsia="SimSun"/>
                <w:i/>
                <w:color w:val="000000"/>
                <w:sz w:val="20"/>
                <w:szCs w:val="20"/>
                <w:lang w:val="ro-RO"/>
              </w:rPr>
            </w:pPr>
            <w:r w:rsidRPr="00FA72AA">
              <w:rPr>
                <w:rFonts w:eastAsia="SimSun"/>
                <w:color w:val="000000"/>
                <w:sz w:val="20"/>
                <w:szCs w:val="20"/>
                <w:lang w:val="ro-RO"/>
              </w:rPr>
              <w:t xml:space="preserve">- </w:t>
            </w:r>
            <w:r w:rsidRPr="00FA72AA">
              <w:rPr>
                <w:rFonts w:eastAsia="SimSun"/>
                <w:i/>
                <w:color w:val="000000"/>
                <w:sz w:val="20"/>
                <w:szCs w:val="20"/>
                <w:lang w:val="ro-RO"/>
              </w:rPr>
              <w:t>Regulamentul privind autoevaluarea, raportarea sistemului de control intern managerial și emiterea Declarației de răspundere managerială</w:t>
            </w:r>
            <w:r w:rsidRPr="00FA72AA">
              <w:rPr>
                <w:rFonts w:eastAsia="SimSun"/>
                <w:color w:val="000000"/>
                <w:sz w:val="20"/>
                <w:szCs w:val="20"/>
                <w:lang w:val="ro-RO"/>
              </w:rPr>
              <w:t>, (Ordinul MF nr. 4/2019);</w:t>
            </w:r>
          </w:p>
          <w:p w:rsidR="00451286" w:rsidRPr="00FA72AA" w:rsidRDefault="00451286" w:rsidP="005126EC">
            <w:pPr>
              <w:tabs>
                <w:tab w:val="left" w:pos="288"/>
              </w:tabs>
              <w:ind w:left="288"/>
              <w:contextualSpacing/>
              <w:jc w:val="both"/>
              <w:rPr>
                <w:rFonts w:eastAsia="SimSun"/>
                <w:color w:val="000000"/>
                <w:sz w:val="20"/>
                <w:szCs w:val="20"/>
                <w:lang w:val="ro-RO"/>
              </w:rPr>
            </w:pPr>
            <w:r w:rsidRPr="00FA72AA">
              <w:rPr>
                <w:rFonts w:eastAsia="SimSun"/>
                <w:color w:val="000000"/>
                <w:sz w:val="20"/>
                <w:szCs w:val="20"/>
                <w:lang w:val="ro-RO"/>
              </w:rPr>
              <w:t xml:space="preserve">- </w:t>
            </w:r>
            <w:r w:rsidRPr="00FA72AA">
              <w:rPr>
                <w:rFonts w:eastAsia="SimSun"/>
                <w:i/>
                <w:color w:val="000000"/>
                <w:sz w:val="20"/>
                <w:szCs w:val="20"/>
                <w:lang w:val="ro-RO"/>
              </w:rPr>
              <w:t>Regulamentul de organizare și funcționare a Consiliului controlului financiar public intern</w:t>
            </w:r>
            <w:r w:rsidRPr="00FA72AA">
              <w:rPr>
                <w:rFonts w:eastAsia="SimSun"/>
                <w:color w:val="000000"/>
                <w:sz w:val="20"/>
                <w:szCs w:val="20"/>
                <w:lang w:val="ro-RO"/>
              </w:rPr>
              <w:t>, (Ordinul MF nr.140/2018);</w:t>
            </w:r>
          </w:p>
          <w:p w:rsidR="00451286" w:rsidRPr="00FA72AA" w:rsidRDefault="00451286" w:rsidP="005126EC">
            <w:pPr>
              <w:tabs>
                <w:tab w:val="left" w:pos="342"/>
              </w:tabs>
              <w:ind w:left="288"/>
              <w:contextualSpacing/>
              <w:jc w:val="both"/>
              <w:rPr>
                <w:rFonts w:eastAsia="SimSun"/>
                <w:color w:val="000000"/>
                <w:sz w:val="20"/>
                <w:szCs w:val="20"/>
                <w:lang w:val="ro-RO"/>
              </w:rPr>
            </w:pPr>
            <w:r w:rsidRPr="00FA72AA">
              <w:rPr>
                <w:rFonts w:eastAsia="SimSun"/>
                <w:color w:val="000000"/>
                <w:sz w:val="20"/>
                <w:szCs w:val="20"/>
                <w:lang w:val="ro-RO"/>
              </w:rPr>
              <w:t xml:space="preserve">- </w:t>
            </w:r>
            <w:r w:rsidRPr="00FA72AA">
              <w:rPr>
                <w:rFonts w:eastAsia="SimSun"/>
                <w:i/>
                <w:color w:val="000000"/>
                <w:sz w:val="20"/>
                <w:szCs w:val="20"/>
                <w:lang w:val="ro-RO"/>
              </w:rPr>
              <w:t>Regulamentul-cadru de activitate a serviciilor financiare</w:t>
            </w:r>
            <w:r w:rsidRPr="00FA72AA">
              <w:rPr>
                <w:rFonts w:eastAsia="SimSun"/>
                <w:color w:val="000000"/>
                <w:sz w:val="20"/>
                <w:szCs w:val="20"/>
                <w:lang w:val="ro-RO"/>
              </w:rPr>
              <w:t>, (</w:t>
            </w:r>
            <w:proofErr w:type="spellStart"/>
            <w:r w:rsidRPr="00FA72AA">
              <w:rPr>
                <w:rFonts w:eastAsia="SimSun"/>
                <w:color w:val="000000"/>
                <w:sz w:val="20"/>
                <w:szCs w:val="20"/>
                <w:lang w:val="ro-RO"/>
              </w:rPr>
              <w:t>Hotărîrea</w:t>
            </w:r>
            <w:proofErr w:type="spellEnd"/>
            <w:r w:rsidRPr="00FA72AA">
              <w:rPr>
                <w:rFonts w:eastAsia="SimSun"/>
                <w:color w:val="000000"/>
                <w:sz w:val="20"/>
                <w:szCs w:val="20"/>
                <w:lang w:val="ro-RO"/>
              </w:rPr>
              <w:t xml:space="preserve"> Guvernului nr. 433/2015);</w:t>
            </w:r>
          </w:p>
          <w:p w:rsidR="00451286" w:rsidRPr="00FA72AA" w:rsidRDefault="00451286" w:rsidP="005126EC">
            <w:pPr>
              <w:tabs>
                <w:tab w:val="left" w:pos="288"/>
              </w:tabs>
              <w:ind w:left="288"/>
              <w:contextualSpacing/>
              <w:jc w:val="both"/>
              <w:rPr>
                <w:rFonts w:eastAsia="SimSun"/>
                <w:color w:val="000000"/>
                <w:sz w:val="20"/>
                <w:szCs w:val="20"/>
                <w:lang w:val="ro-RO"/>
              </w:rPr>
            </w:pPr>
            <w:r w:rsidRPr="00FA72AA">
              <w:rPr>
                <w:bCs/>
                <w:sz w:val="20"/>
                <w:szCs w:val="20"/>
                <w:lang w:val="ro-RO"/>
              </w:rPr>
              <w:t xml:space="preserve">- </w:t>
            </w:r>
            <w:r w:rsidRPr="00FA72AA">
              <w:rPr>
                <w:rFonts w:eastAsia="SimSun"/>
                <w:i/>
                <w:color w:val="000000"/>
                <w:sz w:val="20"/>
                <w:szCs w:val="20"/>
                <w:lang w:val="ro-RO"/>
              </w:rPr>
              <w:t xml:space="preserve">Modificările </w:t>
            </w:r>
            <w:proofErr w:type="spellStart"/>
            <w:r w:rsidRPr="00FA72AA">
              <w:rPr>
                <w:rFonts w:eastAsia="SimSun"/>
                <w:i/>
                <w:color w:val="000000"/>
                <w:sz w:val="20"/>
                <w:szCs w:val="20"/>
                <w:lang w:val="ro-RO"/>
              </w:rPr>
              <w:t>şi</w:t>
            </w:r>
            <w:proofErr w:type="spellEnd"/>
            <w:r w:rsidRPr="00FA72AA">
              <w:rPr>
                <w:rFonts w:eastAsia="SimSun"/>
                <w:i/>
                <w:color w:val="000000"/>
                <w:sz w:val="20"/>
                <w:szCs w:val="20"/>
                <w:lang w:val="ro-RO"/>
              </w:rPr>
              <w:t xml:space="preserve"> completările la Regulamentul privind certificarea auditorilor interni din sectorul public</w:t>
            </w:r>
            <w:r w:rsidRPr="00FA72AA">
              <w:rPr>
                <w:rFonts w:eastAsia="SimSun"/>
                <w:color w:val="000000"/>
                <w:sz w:val="20"/>
                <w:szCs w:val="20"/>
                <w:lang w:val="ro-RO"/>
              </w:rPr>
              <w:t>,  (Ordinul MF nr.195/2015).</w:t>
            </w:r>
          </w:p>
        </w:tc>
        <w:tc>
          <w:tcPr>
            <w:tcW w:w="7938" w:type="dxa"/>
            <w:vMerge/>
            <w:shd w:val="clear" w:color="auto" w:fill="FFFFFF" w:themeFill="background1"/>
          </w:tcPr>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p>
        </w:tc>
      </w:tr>
      <w:tr w:rsidR="00451286" w:rsidRPr="003973DD" w:rsidTr="005126EC">
        <w:trPr>
          <w:trHeight w:val="107"/>
        </w:trPr>
        <w:tc>
          <w:tcPr>
            <w:tcW w:w="7655" w:type="dxa"/>
            <w:shd w:val="clear" w:color="auto" w:fill="FFFFFF" w:themeFill="background1"/>
          </w:tcPr>
          <w:p w:rsidR="00451286" w:rsidRPr="00FA72AA" w:rsidRDefault="00451286" w:rsidP="005126EC">
            <w:pPr>
              <w:tabs>
                <w:tab w:val="left" w:pos="288"/>
              </w:tabs>
              <w:contextualSpacing/>
              <w:jc w:val="both"/>
              <w:rPr>
                <w:rFonts w:eastAsia="SimSun"/>
                <w:color w:val="000000"/>
                <w:sz w:val="20"/>
                <w:szCs w:val="20"/>
                <w:lang w:val="ro-RO"/>
              </w:rPr>
            </w:pPr>
            <w:r w:rsidRPr="00FA72AA">
              <w:rPr>
                <w:rFonts w:eastAsia="SimSun"/>
                <w:color w:val="000000"/>
                <w:sz w:val="20"/>
                <w:szCs w:val="20"/>
                <w:lang w:val="ro-RO"/>
              </w:rPr>
              <w:t xml:space="preserve">Revizuirea, editarea (în anul 2016) </w:t>
            </w:r>
            <w:proofErr w:type="spellStart"/>
            <w:r w:rsidRPr="00FA72AA">
              <w:rPr>
                <w:rFonts w:eastAsia="SimSun"/>
                <w:color w:val="000000"/>
                <w:sz w:val="20"/>
                <w:szCs w:val="20"/>
                <w:lang w:val="ro-RO"/>
              </w:rPr>
              <w:t>şi</w:t>
            </w:r>
            <w:proofErr w:type="spellEnd"/>
            <w:r w:rsidRPr="00FA72AA">
              <w:rPr>
                <w:rFonts w:eastAsia="SimSun"/>
                <w:color w:val="000000"/>
                <w:sz w:val="20"/>
                <w:szCs w:val="20"/>
                <w:lang w:val="ro-RO"/>
              </w:rPr>
              <w:t xml:space="preserve"> distribuirea </w:t>
            </w:r>
            <w:proofErr w:type="spellStart"/>
            <w:r w:rsidRPr="00FA72AA">
              <w:rPr>
                <w:rFonts w:eastAsia="SimSun"/>
                <w:color w:val="000000"/>
                <w:sz w:val="20"/>
                <w:szCs w:val="20"/>
                <w:lang w:val="ro-RO"/>
              </w:rPr>
              <w:t>autorităţilor</w:t>
            </w:r>
            <w:proofErr w:type="spellEnd"/>
            <w:r w:rsidRPr="00FA72AA">
              <w:rPr>
                <w:rFonts w:eastAsia="SimSun"/>
                <w:color w:val="000000"/>
                <w:sz w:val="20"/>
                <w:szCs w:val="20"/>
                <w:lang w:val="ro-RO"/>
              </w:rPr>
              <w:t xml:space="preserve"> publice centrale</w:t>
            </w:r>
            <w:r w:rsidRPr="00FA72AA">
              <w:rPr>
                <w:bCs/>
                <w:sz w:val="20"/>
                <w:szCs w:val="20"/>
                <w:lang w:val="ro-RO"/>
              </w:rPr>
              <w:t xml:space="preserve"> a </w:t>
            </w:r>
            <w:r w:rsidRPr="00FA72AA">
              <w:rPr>
                <w:rFonts w:eastAsia="SimSun"/>
                <w:i/>
                <w:color w:val="000000"/>
                <w:sz w:val="20"/>
                <w:szCs w:val="20"/>
                <w:lang w:val="ro-RO"/>
              </w:rPr>
              <w:t xml:space="preserve">Manualului de management financiar </w:t>
            </w:r>
            <w:proofErr w:type="spellStart"/>
            <w:r w:rsidRPr="00FA72AA">
              <w:rPr>
                <w:rFonts w:eastAsia="SimSun"/>
                <w:i/>
                <w:color w:val="000000"/>
                <w:sz w:val="20"/>
                <w:szCs w:val="20"/>
                <w:lang w:val="ro-RO"/>
              </w:rPr>
              <w:t>şi</w:t>
            </w:r>
            <w:proofErr w:type="spellEnd"/>
            <w:r w:rsidRPr="00FA72AA">
              <w:rPr>
                <w:rFonts w:eastAsia="SimSun"/>
                <w:i/>
                <w:color w:val="000000"/>
                <w:sz w:val="20"/>
                <w:szCs w:val="20"/>
                <w:lang w:val="ro-RO"/>
              </w:rPr>
              <w:t xml:space="preserve"> control</w:t>
            </w:r>
            <w:r w:rsidRPr="00FA72AA">
              <w:rPr>
                <w:rFonts w:eastAsia="SimSun"/>
                <w:color w:val="000000"/>
                <w:sz w:val="20"/>
                <w:szCs w:val="20"/>
                <w:lang w:val="ro-RO"/>
              </w:rPr>
              <w:t>.</w:t>
            </w:r>
          </w:p>
        </w:tc>
        <w:tc>
          <w:tcPr>
            <w:tcW w:w="7938" w:type="dxa"/>
            <w:vMerge/>
            <w:shd w:val="clear" w:color="auto" w:fill="FFFFFF" w:themeFill="background1"/>
          </w:tcPr>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p>
        </w:tc>
      </w:tr>
      <w:tr w:rsidR="00451286" w:rsidRPr="003973DD" w:rsidTr="005126EC">
        <w:trPr>
          <w:trHeight w:val="107"/>
        </w:trPr>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 xml:space="preserve">Realizare-cheie:  Finalizarea procesului de instituire a </w:t>
            </w:r>
            <w:proofErr w:type="spellStart"/>
            <w:r w:rsidRPr="00FA72AA">
              <w:rPr>
                <w:b/>
                <w:sz w:val="20"/>
                <w:szCs w:val="20"/>
                <w:lang w:val="ro-RO"/>
              </w:rPr>
              <w:t>unităţilor</w:t>
            </w:r>
            <w:proofErr w:type="spellEnd"/>
            <w:r w:rsidRPr="00FA72AA">
              <w:rPr>
                <w:b/>
                <w:sz w:val="20"/>
                <w:szCs w:val="20"/>
                <w:lang w:val="ro-RO"/>
              </w:rPr>
              <w:t xml:space="preserve"> de audit intern pentru </w:t>
            </w:r>
            <w:proofErr w:type="spellStart"/>
            <w:r w:rsidRPr="00FA72AA">
              <w:rPr>
                <w:b/>
                <w:sz w:val="20"/>
                <w:szCs w:val="20"/>
                <w:lang w:val="ro-RO"/>
              </w:rPr>
              <w:t>autorităţile</w:t>
            </w:r>
            <w:proofErr w:type="spellEnd"/>
            <w:r w:rsidRPr="00FA72AA">
              <w:rPr>
                <w:b/>
                <w:sz w:val="20"/>
                <w:szCs w:val="20"/>
                <w:lang w:val="ro-RO"/>
              </w:rPr>
              <w:t xml:space="preserve"> publice centrale </w:t>
            </w:r>
            <w:proofErr w:type="spellStart"/>
            <w:r w:rsidRPr="00FA72AA">
              <w:rPr>
                <w:b/>
                <w:sz w:val="20"/>
                <w:szCs w:val="20"/>
                <w:lang w:val="ro-RO"/>
              </w:rPr>
              <w:t>şi</w:t>
            </w:r>
            <w:proofErr w:type="spellEnd"/>
            <w:r w:rsidRPr="00FA72AA">
              <w:rPr>
                <w:b/>
                <w:sz w:val="20"/>
                <w:szCs w:val="20"/>
                <w:lang w:val="ro-RO"/>
              </w:rPr>
              <w:t xml:space="preserve"> locale de nivelul al doilea</w:t>
            </w:r>
          </w:p>
        </w:tc>
      </w:tr>
      <w:tr w:rsidR="00451286" w:rsidRPr="003973DD" w:rsidTr="005126EC">
        <w:trPr>
          <w:trHeight w:val="107"/>
        </w:trPr>
        <w:tc>
          <w:tcPr>
            <w:tcW w:w="7655" w:type="dxa"/>
            <w:shd w:val="clear" w:color="auto" w:fill="FFFFFF" w:themeFill="background1"/>
          </w:tcPr>
          <w:p w:rsidR="00451286" w:rsidRPr="00FA72AA" w:rsidRDefault="00451286" w:rsidP="005126EC">
            <w:pPr>
              <w:jc w:val="both"/>
              <w:rPr>
                <w:b/>
                <w:bCs/>
                <w:sz w:val="20"/>
                <w:szCs w:val="20"/>
                <w:lang w:val="ro-RO"/>
              </w:rPr>
            </w:pPr>
            <w:r w:rsidRPr="00FA72AA">
              <w:rPr>
                <w:sz w:val="20"/>
                <w:szCs w:val="20"/>
                <w:lang w:val="ro-RO"/>
              </w:rPr>
              <w:t>Sporirea gradului de acoperire cu servicii de audit intern, prin instituirea subdiviziunilor specializate în structurile organizatorice a tuturor organelor centrale de specialitate ale administrației publice, precum și a autorităților administrației publice locale de nivelul doi.</w:t>
            </w:r>
          </w:p>
        </w:tc>
        <w:tc>
          <w:tcPr>
            <w:tcW w:w="7938" w:type="dxa"/>
            <w:shd w:val="clear" w:color="auto" w:fill="FFFFFF" w:themeFill="background1"/>
          </w:tcPr>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În cadrul </w:t>
            </w:r>
            <w:proofErr w:type="spellStart"/>
            <w:r w:rsidRPr="00FA72AA">
              <w:rPr>
                <w:rFonts w:ascii="Times New Roman" w:hAnsi="Times New Roman"/>
                <w:sz w:val="20"/>
                <w:szCs w:val="20"/>
                <w:lang w:val="ro-RO"/>
              </w:rPr>
              <w:t>autorităţilor</w:t>
            </w:r>
            <w:proofErr w:type="spellEnd"/>
            <w:r w:rsidRPr="00FA72AA">
              <w:rPr>
                <w:rFonts w:ascii="Times New Roman" w:hAnsi="Times New Roman"/>
                <w:sz w:val="20"/>
                <w:szCs w:val="20"/>
                <w:lang w:val="ro-RO"/>
              </w:rPr>
              <w:t xml:space="preserve"> </w:t>
            </w:r>
            <w:proofErr w:type="spellStart"/>
            <w:r w:rsidRPr="00FA72AA">
              <w:rPr>
                <w:rFonts w:ascii="Times New Roman" w:hAnsi="Times New Roman"/>
                <w:sz w:val="20"/>
                <w:szCs w:val="20"/>
                <w:lang w:val="ro-RO"/>
              </w:rPr>
              <w:t>administraţiei</w:t>
            </w:r>
            <w:proofErr w:type="spellEnd"/>
            <w:r w:rsidRPr="00FA72AA">
              <w:rPr>
                <w:rFonts w:ascii="Times New Roman" w:hAnsi="Times New Roman"/>
                <w:sz w:val="20"/>
                <w:szCs w:val="20"/>
                <w:lang w:val="ro-RO"/>
              </w:rPr>
              <w:t xml:space="preserve"> publice locale de nivelul al doilea sunt create 31 de subdiviziuni de audit intern, dintre care 12 subdiviziuni de audit intern  sunt suplinite cu personal;</w:t>
            </w:r>
          </w:p>
          <w:p w:rsidR="00451286" w:rsidRPr="00FA72AA" w:rsidRDefault="00451286" w:rsidP="005126EC">
            <w:pPr>
              <w:pStyle w:val="ListParagraph"/>
              <w:numPr>
                <w:ilvl w:val="0"/>
                <w:numId w:val="16"/>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În cadrul </w:t>
            </w:r>
            <w:proofErr w:type="spellStart"/>
            <w:r w:rsidRPr="00FA72AA">
              <w:rPr>
                <w:rFonts w:ascii="Times New Roman" w:hAnsi="Times New Roman"/>
                <w:sz w:val="20"/>
                <w:szCs w:val="20"/>
                <w:lang w:val="ro-RO"/>
              </w:rPr>
              <w:t>autorităţilor</w:t>
            </w:r>
            <w:proofErr w:type="spellEnd"/>
            <w:r w:rsidRPr="00FA72AA">
              <w:rPr>
                <w:rFonts w:ascii="Times New Roman" w:hAnsi="Times New Roman"/>
                <w:sz w:val="20"/>
                <w:szCs w:val="20"/>
                <w:lang w:val="ro-RO"/>
              </w:rPr>
              <w:t xml:space="preserve"> </w:t>
            </w:r>
            <w:proofErr w:type="spellStart"/>
            <w:r w:rsidRPr="00FA72AA">
              <w:rPr>
                <w:rFonts w:ascii="Times New Roman" w:hAnsi="Times New Roman"/>
                <w:sz w:val="20"/>
                <w:szCs w:val="20"/>
                <w:lang w:val="ro-RO"/>
              </w:rPr>
              <w:t>administraţiei</w:t>
            </w:r>
            <w:proofErr w:type="spellEnd"/>
            <w:r w:rsidRPr="00FA72AA">
              <w:rPr>
                <w:rFonts w:ascii="Times New Roman" w:hAnsi="Times New Roman"/>
                <w:sz w:val="20"/>
                <w:szCs w:val="20"/>
                <w:lang w:val="ro-RO"/>
              </w:rPr>
              <w:t xml:space="preserve"> publice centrale sunt  create 19 subdiviziuni de audit intern (inclusiv 9 SAI în  ministere și 10 SAI în alte APC), dintre care 14 subdiviziuni de audit intern sunt suplinite cu personal.</w:t>
            </w:r>
          </w:p>
        </w:tc>
      </w:tr>
      <w:tr w:rsidR="00451286" w:rsidRPr="003973DD" w:rsidTr="005126EC">
        <w:trPr>
          <w:trHeight w:val="107"/>
        </w:trPr>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rFonts w:eastAsia="SimSun"/>
                <w:b/>
                <w:color w:val="000000"/>
                <w:sz w:val="20"/>
                <w:szCs w:val="20"/>
                <w:lang w:val="ro-RO"/>
              </w:rPr>
              <w:t xml:space="preserve">Realizare-cheie: Fortificarea </w:t>
            </w:r>
            <w:proofErr w:type="spellStart"/>
            <w:r w:rsidRPr="00FA72AA">
              <w:rPr>
                <w:rFonts w:eastAsia="SimSun"/>
                <w:b/>
                <w:color w:val="000000"/>
                <w:sz w:val="20"/>
                <w:szCs w:val="20"/>
                <w:lang w:val="ro-RO"/>
              </w:rPr>
              <w:t>capacităţilor</w:t>
            </w:r>
            <w:proofErr w:type="spellEnd"/>
            <w:r w:rsidRPr="00FA72AA">
              <w:rPr>
                <w:rFonts w:eastAsia="SimSun"/>
                <w:b/>
                <w:color w:val="000000"/>
                <w:sz w:val="20"/>
                <w:szCs w:val="20"/>
                <w:lang w:val="ro-RO"/>
              </w:rPr>
              <w:t xml:space="preserve"> auditorilor interni prin instituirea unui sistem de dezvoltare profesională continuă a auditorilor interni din sectorul public</w:t>
            </w:r>
          </w:p>
        </w:tc>
      </w:tr>
      <w:tr w:rsidR="00451286" w:rsidRPr="003973DD" w:rsidTr="005126EC">
        <w:trPr>
          <w:trHeight w:val="107"/>
        </w:trPr>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Alinierea activității de audit intern la standardele naționale și normele metodologice în domeniu, a fost </w:t>
            </w:r>
            <w:proofErr w:type="spellStart"/>
            <w:r w:rsidRPr="00FA72AA">
              <w:rPr>
                <w:sz w:val="20"/>
                <w:szCs w:val="20"/>
                <w:lang w:val="ro-RO"/>
              </w:rPr>
              <w:t>susţinută</w:t>
            </w:r>
            <w:proofErr w:type="spellEnd"/>
            <w:r w:rsidRPr="00FA72AA">
              <w:rPr>
                <w:sz w:val="20"/>
                <w:szCs w:val="20"/>
                <w:lang w:val="ro-RO"/>
              </w:rPr>
              <w:t xml:space="preserve">, pe toată perioada de raportare, printr-un proces continuu </w:t>
            </w:r>
            <w:proofErr w:type="spellStart"/>
            <w:r w:rsidRPr="00FA72AA">
              <w:rPr>
                <w:sz w:val="20"/>
                <w:szCs w:val="20"/>
                <w:lang w:val="ro-RO"/>
              </w:rPr>
              <w:t>şi</w:t>
            </w:r>
            <w:proofErr w:type="spellEnd"/>
            <w:r w:rsidRPr="00FA72AA">
              <w:rPr>
                <w:sz w:val="20"/>
                <w:szCs w:val="20"/>
                <w:lang w:val="ro-RO"/>
              </w:rPr>
              <w:t xml:space="preserve"> sistematic de </w:t>
            </w:r>
            <w:proofErr w:type="spellStart"/>
            <w:r w:rsidRPr="00FA72AA">
              <w:rPr>
                <w:sz w:val="20"/>
                <w:szCs w:val="20"/>
                <w:lang w:val="ro-RO"/>
              </w:rPr>
              <w:t>asistenţă</w:t>
            </w:r>
            <w:proofErr w:type="spellEnd"/>
            <w:r w:rsidRPr="00FA72AA">
              <w:rPr>
                <w:sz w:val="20"/>
                <w:szCs w:val="20"/>
                <w:lang w:val="ro-RO"/>
              </w:rPr>
              <w:t xml:space="preserve"> la </w:t>
            </w:r>
            <w:proofErr w:type="spellStart"/>
            <w:r w:rsidRPr="00FA72AA">
              <w:rPr>
                <w:sz w:val="20"/>
                <w:szCs w:val="20"/>
                <w:lang w:val="ro-RO"/>
              </w:rPr>
              <w:t>faţa</w:t>
            </w:r>
            <w:proofErr w:type="spellEnd"/>
            <w:r w:rsidRPr="00FA72AA">
              <w:rPr>
                <w:sz w:val="20"/>
                <w:szCs w:val="20"/>
                <w:lang w:val="ro-RO"/>
              </w:rPr>
              <w:t xml:space="preserve"> locului, instruiri </w:t>
            </w:r>
            <w:proofErr w:type="spellStart"/>
            <w:r w:rsidRPr="00FA72AA">
              <w:rPr>
                <w:sz w:val="20"/>
                <w:szCs w:val="20"/>
                <w:lang w:val="ro-RO"/>
              </w:rPr>
              <w:t>şi</w:t>
            </w:r>
            <w:proofErr w:type="spellEnd"/>
            <w:r w:rsidRPr="00FA72AA">
              <w:rPr>
                <w:sz w:val="20"/>
                <w:szCs w:val="20"/>
                <w:lang w:val="ro-RO"/>
              </w:rPr>
              <w:t xml:space="preserve"> diseminare a bunelor practici, activități furnizate de Ministerul </w:t>
            </w:r>
            <w:proofErr w:type="spellStart"/>
            <w:r w:rsidRPr="00FA72AA">
              <w:rPr>
                <w:sz w:val="20"/>
                <w:szCs w:val="20"/>
                <w:lang w:val="ro-RO"/>
              </w:rPr>
              <w:t>Finanţelor</w:t>
            </w:r>
            <w:proofErr w:type="spellEnd"/>
            <w:r w:rsidRPr="00FA72AA">
              <w:rPr>
                <w:sz w:val="20"/>
                <w:szCs w:val="20"/>
                <w:lang w:val="ro-RO"/>
              </w:rPr>
              <w:t xml:space="preserve"> </w:t>
            </w:r>
            <w:proofErr w:type="spellStart"/>
            <w:r w:rsidRPr="00FA72AA">
              <w:rPr>
                <w:sz w:val="20"/>
                <w:szCs w:val="20"/>
                <w:lang w:val="ro-RO"/>
              </w:rPr>
              <w:t>autorităţilor</w:t>
            </w:r>
            <w:proofErr w:type="spellEnd"/>
            <w:r w:rsidRPr="00FA72AA">
              <w:rPr>
                <w:sz w:val="20"/>
                <w:szCs w:val="20"/>
                <w:lang w:val="ro-RO"/>
              </w:rPr>
              <w:t xml:space="preserve">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instituţiilor</w:t>
            </w:r>
            <w:proofErr w:type="spellEnd"/>
            <w:r w:rsidRPr="00FA72AA">
              <w:rPr>
                <w:sz w:val="20"/>
                <w:szCs w:val="20"/>
                <w:lang w:val="ro-RO"/>
              </w:rPr>
              <w:t xml:space="preserve"> publice atât la nivel central cât </w:t>
            </w:r>
            <w:proofErr w:type="spellStart"/>
            <w:r w:rsidRPr="00FA72AA">
              <w:rPr>
                <w:sz w:val="20"/>
                <w:szCs w:val="20"/>
                <w:lang w:val="ro-RO"/>
              </w:rPr>
              <w:t>şi</w:t>
            </w:r>
            <w:proofErr w:type="spellEnd"/>
            <w:r w:rsidRPr="00FA72AA">
              <w:rPr>
                <w:sz w:val="20"/>
                <w:szCs w:val="20"/>
                <w:lang w:val="ro-RO"/>
              </w:rPr>
              <w:t xml:space="preserve"> local.  </w:t>
            </w:r>
          </w:p>
          <w:p w:rsidR="00451286" w:rsidRPr="00FA72AA" w:rsidRDefault="00451286" w:rsidP="005126EC">
            <w:pPr>
              <w:jc w:val="both"/>
              <w:rPr>
                <w:sz w:val="20"/>
                <w:szCs w:val="20"/>
                <w:lang w:val="ro-RO"/>
              </w:rPr>
            </w:pPr>
            <w:r w:rsidRPr="00FA72AA">
              <w:rPr>
                <w:sz w:val="20"/>
                <w:szCs w:val="20"/>
                <w:lang w:val="ro-RO"/>
              </w:rPr>
              <w:t xml:space="preserve">Aceste realizări au avut ca scop consolidarea cunoștințelor teoretice și dezvoltarea abilităților practice de organizare a activității de audit intern și desfășurare a misiunilor de audit, inclusiv prin aplicarea instrumentelor și tehnicilor profesionale specifice.  </w:t>
            </w:r>
          </w:p>
          <w:p w:rsidR="00451286" w:rsidRPr="00FA72AA" w:rsidRDefault="00451286" w:rsidP="005126EC">
            <w:pPr>
              <w:contextualSpacing/>
              <w:jc w:val="both"/>
              <w:rPr>
                <w:rFonts w:eastAsia="SimSun"/>
                <w:color w:val="000000"/>
                <w:sz w:val="20"/>
                <w:szCs w:val="20"/>
                <w:lang w:val="ro-RO"/>
              </w:rPr>
            </w:pPr>
            <w:r w:rsidRPr="00FA72AA">
              <w:rPr>
                <w:rFonts w:eastAsia="SimSun"/>
                <w:color w:val="000000"/>
                <w:sz w:val="20"/>
                <w:szCs w:val="20"/>
                <w:lang w:val="ro-RO"/>
              </w:rPr>
              <w:t xml:space="preserve">În domeniul auditului intern au fost </w:t>
            </w:r>
            <w:proofErr w:type="spellStart"/>
            <w:r w:rsidRPr="00FA72AA">
              <w:rPr>
                <w:rFonts w:eastAsia="SimSun"/>
                <w:color w:val="000000"/>
                <w:sz w:val="20"/>
                <w:szCs w:val="20"/>
                <w:lang w:val="ro-RO"/>
              </w:rPr>
              <w:t>desfăşurate</w:t>
            </w:r>
            <w:proofErr w:type="spellEnd"/>
            <w:r w:rsidRPr="00FA72AA">
              <w:rPr>
                <w:rFonts w:eastAsia="SimSun"/>
                <w:color w:val="000000"/>
                <w:sz w:val="20"/>
                <w:szCs w:val="20"/>
                <w:lang w:val="ro-RO"/>
              </w:rPr>
              <w:t xml:space="preserve"> peste 30 seminare de instruire, ateliere de lucru cu tematici:</w:t>
            </w:r>
          </w:p>
          <w:p w:rsidR="00451286" w:rsidRPr="00FA72AA" w:rsidRDefault="00451286" w:rsidP="005126EC">
            <w:pPr>
              <w:contextualSpacing/>
              <w:jc w:val="both"/>
              <w:rPr>
                <w:rFonts w:eastAsia="SimSun"/>
                <w:color w:val="000000"/>
                <w:sz w:val="20"/>
                <w:szCs w:val="20"/>
                <w:lang w:val="ro-RO"/>
              </w:rPr>
            </w:pPr>
            <w:r w:rsidRPr="00FA72AA">
              <w:rPr>
                <w:rFonts w:eastAsia="SimSun"/>
                <w:color w:val="000000"/>
                <w:sz w:val="20"/>
                <w:szCs w:val="20"/>
                <w:lang w:val="ro-RO"/>
              </w:rPr>
              <w:t xml:space="preserve">- „Alinierea Controlului Financiar Public Intern la </w:t>
            </w:r>
            <w:proofErr w:type="spellStart"/>
            <w:r w:rsidRPr="00FA72AA">
              <w:rPr>
                <w:rFonts w:eastAsia="SimSun"/>
                <w:color w:val="000000"/>
                <w:sz w:val="20"/>
                <w:szCs w:val="20"/>
                <w:lang w:val="ro-RO"/>
              </w:rPr>
              <w:t>cerinţele</w:t>
            </w:r>
            <w:proofErr w:type="spellEnd"/>
            <w:r w:rsidRPr="00FA72AA">
              <w:rPr>
                <w:rFonts w:eastAsia="SimSun"/>
                <w:color w:val="000000"/>
                <w:sz w:val="20"/>
                <w:szCs w:val="20"/>
                <w:lang w:val="ro-RO"/>
              </w:rPr>
              <w:t xml:space="preserve"> Uniunii Europene – dezvoltare, abordări </w:t>
            </w:r>
            <w:proofErr w:type="spellStart"/>
            <w:r w:rsidRPr="00FA72AA">
              <w:rPr>
                <w:rFonts w:eastAsia="SimSun"/>
                <w:color w:val="000000"/>
                <w:sz w:val="20"/>
                <w:szCs w:val="20"/>
                <w:lang w:val="ro-RO"/>
              </w:rPr>
              <w:t>şi</w:t>
            </w:r>
            <w:proofErr w:type="spellEnd"/>
            <w:r w:rsidRPr="00FA72AA">
              <w:rPr>
                <w:rFonts w:eastAsia="SimSun"/>
                <w:color w:val="000000"/>
                <w:sz w:val="20"/>
                <w:szCs w:val="20"/>
                <w:lang w:val="ro-RO"/>
              </w:rPr>
              <w:t xml:space="preserve"> provocări”;</w:t>
            </w:r>
          </w:p>
          <w:p w:rsidR="00451286" w:rsidRPr="00FA72AA" w:rsidRDefault="00451286" w:rsidP="005126EC">
            <w:pPr>
              <w:contextualSpacing/>
              <w:jc w:val="both"/>
              <w:rPr>
                <w:rFonts w:eastAsia="SimSun"/>
                <w:color w:val="000000"/>
                <w:sz w:val="20"/>
                <w:szCs w:val="20"/>
                <w:lang w:val="ro-RO"/>
              </w:rPr>
            </w:pPr>
            <w:r w:rsidRPr="00FA72AA">
              <w:rPr>
                <w:rFonts w:eastAsia="SimSun"/>
                <w:color w:val="000000"/>
                <w:sz w:val="20"/>
                <w:szCs w:val="20"/>
                <w:lang w:val="ro-RO"/>
              </w:rPr>
              <w:t xml:space="preserve">- „Organizarea </w:t>
            </w:r>
            <w:proofErr w:type="spellStart"/>
            <w:r w:rsidRPr="00FA72AA">
              <w:rPr>
                <w:rFonts w:eastAsia="SimSun"/>
                <w:color w:val="000000"/>
                <w:sz w:val="20"/>
                <w:szCs w:val="20"/>
                <w:lang w:val="ro-RO"/>
              </w:rPr>
              <w:t>funcţiei</w:t>
            </w:r>
            <w:proofErr w:type="spellEnd"/>
            <w:r w:rsidRPr="00FA72AA">
              <w:rPr>
                <w:rFonts w:eastAsia="SimSun"/>
                <w:color w:val="000000"/>
                <w:sz w:val="20"/>
                <w:szCs w:val="20"/>
                <w:lang w:val="ro-RO"/>
              </w:rPr>
              <w:t xml:space="preserve"> de audit intern în cadrul </w:t>
            </w:r>
            <w:proofErr w:type="spellStart"/>
            <w:r w:rsidRPr="00FA72AA">
              <w:rPr>
                <w:rFonts w:eastAsia="SimSun"/>
                <w:color w:val="000000"/>
                <w:sz w:val="20"/>
                <w:szCs w:val="20"/>
                <w:lang w:val="ro-RO"/>
              </w:rPr>
              <w:t>autorităţilor</w:t>
            </w:r>
            <w:proofErr w:type="spellEnd"/>
            <w:r w:rsidRPr="00FA72AA">
              <w:rPr>
                <w:rFonts w:eastAsia="SimSun"/>
                <w:color w:val="000000"/>
                <w:sz w:val="20"/>
                <w:szCs w:val="20"/>
                <w:lang w:val="ro-RO"/>
              </w:rPr>
              <w:t xml:space="preserve"> APL”;</w:t>
            </w:r>
          </w:p>
          <w:p w:rsidR="00451286" w:rsidRPr="00FA72AA" w:rsidRDefault="00451286" w:rsidP="005126EC">
            <w:pPr>
              <w:contextualSpacing/>
              <w:jc w:val="both"/>
              <w:rPr>
                <w:rFonts w:eastAsia="SimSun"/>
                <w:color w:val="000000"/>
                <w:sz w:val="20"/>
                <w:szCs w:val="20"/>
                <w:lang w:val="ro-RO"/>
              </w:rPr>
            </w:pPr>
            <w:r w:rsidRPr="00FA72AA">
              <w:rPr>
                <w:rFonts w:eastAsia="SimSun"/>
                <w:color w:val="000000"/>
                <w:sz w:val="20"/>
                <w:szCs w:val="20"/>
                <w:lang w:val="ro-RO"/>
              </w:rPr>
              <w:t xml:space="preserve">- „Planificarea </w:t>
            </w:r>
            <w:proofErr w:type="spellStart"/>
            <w:r w:rsidRPr="00FA72AA">
              <w:rPr>
                <w:rFonts w:eastAsia="SimSun"/>
                <w:color w:val="000000"/>
                <w:sz w:val="20"/>
                <w:szCs w:val="20"/>
                <w:lang w:val="ro-RO"/>
              </w:rPr>
              <w:t>activităţii</w:t>
            </w:r>
            <w:proofErr w:type="spellEnd"/>
            <w:r w:rsidRPr="00FA72AA">
              <w:rPr>
                <w:rFonts w:eastAsia="SimSun"/>
                <w:color w:val="000000"/>
                <w:sz w:val="20"/>
                <w:szCs w:val="20"/>
                <w:lang w:val="ro-RO"/>
              </w:rPr>
              <w:t xml:space="preserve"> de audit intern pentru anul 2017 </w:t>
            </w:r>
            <w:proofErr w:type="spellStart"/>
            <w:r w:rsidRPr="00FA72AA">
              <w:rPr>
                <w:rFonts w:eastAsia="SimSun"/>
                <w:color w:val="000000"/>
                <w:sz w:val="20"/>
                <w:szCs w:val="20"/>
                <w:lang w:val="ro-RO"/>
              </w:rPr>
              <w:t>şi</w:t>
            </w:r>
            <w:proofErr w:type="spellEnd"/>
            <w:r w:rsidRPr="00FA72AA">
              <w:rPr>
                <w:rFonts w:eastAsia="SimSun"/>
                <w:color w:val="000000"/>
                <w:sz w:val="20"/>
                <w:szCs w:val="20"/>
                <w:lang w:val="ro-RO"/>
              </w:rPr>
              <w:t xml:space="preserve"> raportarea </w:t>
            </w:r>
            <w:proofErr w:type="spellStart"/>
            <w:r w:rsidRPr="00FA72AA">
              <w:rPr>
                <w:rFonts w:eastAsia="SimSun"/>
                <w:color w:val="000000"/>
                <w:sz w:val="20"/>
                <w:szCs w:val="20"/>
                <w:lang w:val="ro-RO"/>
              </w:rPr>
              <w:t>activităţii</w:t>
            </w:r>
            <w:proofErr w:type="spellEnd"/>
            <w:r w:rsidRPr="00FA72AA">
              <w:rPr>
                <w:rFonts w:eastAsia="SimSun"/>
                <w:color w:val="000000"/>
                <w:sz w:val="20"/>
                <w:szCs w:val="20"/>
                <w:lang w:val="ro-RO"/>
              </w:rPr>
              <w:t xml:space="preserve"> de audit intern pentru anul 2016”;</w:t>
            </w:r>
          </w:p>
          <w:p w:rsidR="00451286" w:rsidRPr="00FA72AA" w:rsidRDefault="00451286" w:rsidP="005126EC">
            <w:pPr>
              <w:contextualSpacing/>
              <w:jc w:val="both"/>
              <w:rPr>
                <w:rFonts w:eastAsia="SimSun"/>
                <w:color w:val="000000"/>
                <w:sz w:val="20"/>
                <w:szCs w:val="20"/>
                <w:lang w:val="ro-RO"/>
              </w:rPr>
            </w:pPr>
            <w:r w:rsidRPr="00FA72AA">
              <w:rPr>
                <w:rFonts w:eastAsia="SimSun"/>
                <w:color w:val="000000"/>
                <w:sz w:val="20"/>
                <w:szCs w:val="20"/>
                <w:lang w:val="ro-RO"/>
              </w:rPr>
              <w:t>- „Standardele naționale de control intern”;</w:t>
            </w:r>
          </w:p>
          <w:p w:rsidR="00451286" w:rsidRPr="00FA72AA" w:rsidRDefault="00451286" w:rsidP="005126EC">
            <w:pPr>
              <w:contextualSpacing/>
              <w:jc w:val="both"/>
              <w:rPr>
                <w:rFonts w:eastAsia="SimSun"/>
                <w:color w:val="000000"/>
                <w:sz w:val="20"/>
                <w:szCs w:val="20"/>
                <w:lang w:val="ro-RO"/>
              </w:rPr>
            </w:pPr>
            <w:r w:rsidRPr="00FA72AA">
              <w:rPr>
                <w:rFonts w:eastAsia="SimSun"/>
                <w:color w:val="000000"/>
                <w:sz w:val="20"/>
                <w:szCs w:val="20"/>
                <w:lang w:val="ro-RO"/>
              </w:rPr>
              <w:t>-„Asigurarea calității în procesul de efectuare a auditului financiar”</w:t>
            </w:r>
          </w:p>
        </w:tc>
        <w:tc>
          <w:tcPr>
            <w:tcW w:w="7938" w:type="dxa"/>
            <w:shd w:val="clear" w:color="auto" w:fill="FFFFFF" w:themeFill="background1"/>
          </w:tcPr>
          <w:p w:rsidR="00451286" w:rsidRPr="00FA72AA" w:rsidRDefault="00451286" w:rsidP="005126EC">
            <w:pPr>
              <w:pStyle w:val="ListParagraph"/>
              <w:numPr>
                <w:ilvl w:val="0"/>
                <w:numId w:val="20"/>
              </w:numPr>
              <w:spacing w:after="0" w:line="240" w:lineRule="auto"/>
              <w:jc w:val="both"/>
              <w:rPr>
                <w:rFonts w:ascii="Times New Roman" w:hAnsi="Times New Roman"/>
                <w:sz w:val="20"/>
                <w:szCs w:val="20"/>
                <w:lang w:val="ro-RO"/>
              </w:rPr>
            </w:pPr>
            <w:r w:rsidRPr="00FA72AA">
              <w:rPr>
                <w:rFonts w:ascii="Times New Roman" w:hAnsi="Times New Roman"/>
                <w:bCs/>
                <w:sz w:val="20"/>
                <w:szCs w:val="20"/>
                <w:lang w:val="ro-RO"/>
              </w:rPr>
              <w:t xml:space="preserve">Conform datelor Registrului auditorilor interni </w:t>
            </w:r>
            <w:proofErr w:type="spellStart"/>
            <w:r w:rsidRPr="00FA72AA">
              <w:rPr>
                <w:rFonts w:ascii="Times New Roman" w:hAnsi="Times New Roman"/>
                <w:bCs/>
                <w:sz w:val="20"/>
                <w:szCs w:val="20"/>
                <w:lang w:val="ro-RO"/>
              </w:rPr>
              <w:t>certificaţi</w:t>
            </w:r>
            <w:proofErr w:type="spellEnd"/>
            <w:r w:rsidRPr="00FA72AA">
              <w:rPr>
                <w:rFonts w:ascii="Times New Roman" w:hAnsi="Times New Roman"/>
                <w:bCs/>
                <w:sz w:val="20"/>
                <w:szCs w:val="20"/>
                <w:lang w:val="ro-RO"/>
              </w:rPr>
              <w:t xml:space="preserve"> din sectorul public, aprobat prin Ordinul ministrului </w:t>
            </w:r>
            <w:proofErr w:type="spellStart"/>
            <w:r w:rsidRPr="00FA72AA">
              <w:rPr>
                <w:rFonts w:ascii="Times New Roman" w:hAnsi="Times New Roman"/>
                <w:bCs/>
                <w:sz w:val="20"/>
                <w:szCs w:val="20"/>
                <w:lang w:val="ro-RO"/>
              </w:rPr>
              <w:t>finanţelor</w:t>
            </w:r>
            <w:proofErr w:type="spellEnd"/>
            <w:r w:rsidRPr="00FA72AA">
              <w:rPr>
                <w:rFonts w:ascii="Times New Roman" w:hAnsi="Times New Roman"/>
                <w:bCs/>
                <w:sz w:val="20"/>
                <w:szCs w:val="20"/>
                <w:lang w:val="ro-RO"/>
              </w:rPr>
              <w:t xml:space="preserve"> nr.97/2013, la </w:t>
            </w:r>
            <w:proofErr w:type="spellStart"/>
            <w:r w:rsidRPr="00FA72AA">
              <w:rPr>
                <w:rFonts w:ascii="Times New Roman" w:hAnsi="Times New Roman"/>
                <w:bCs/>
                <w:sz w:val="20"/>
                <w:szCs w:val="20"/>
                <w:lang w:val="ro-RO"/>
              </w:rPr>
              <w:t>situaţia</w:t>
            </w:r>
            <w:proofErr w:type="spellEnd"/>
            <w:r w:rsidRPr="00FA72AA">
              <w:rPr>
                <w:rFonts w:ascii="Times New Roman" w:hAnsi="Times New Roman"/>
                <w:bCs/>
                <w:sz w:val="20"/>
                <w:szCs w:val="20"/>
                <w:lang w:val="ro-RO"/>
              </w:rPr>
              <w:t xml:space="preserve"> din 31 </w:t>
            </w:r>
            <w:r w:rsidRPr="00FA72AA">
              <w:rPr>
                <w:rFonts w:ascii="Times New Roman" w:hAnsi="Times New Roman"/>
                <w:sz w:val="20"/>
                <w:szCs w:val="20"/>
                <w:lang w:val="ro-RO"/>
              </w:rPr>
              <w:t>decembrie </w:t>
            </w:r>
            <w:r w:rsidRPr="00FA72AA">
              <w:rPr>
                <w:rFonts w:ascii="Times New Roman" w:hAnsi="Times New Roman"/>
                <w:bCs/>
                <w:sz w:val="20"/>
                <w:szCs w:val="20"/>
                <w:lang w:val="ro-RO"/>
              </w:rPr>
              <w:t>2018</w:t>
            </w:r>
            <w:r w:rsidRPr="00FA72AA">
              <w:rPr>
                <w:rFonts w:ascii="Times New Roman" w:hAnsi="Times New Roman"/>
                <w:sz w:val="20"/>
                <w:szCs w:val="20"/>
                <w:lang w:val="ro-RO"/>
              </w:rPr>
              <w:t> (care se menține până la moment),</w:t>
            </w:r>
            <w:r w:rsidRPr="00FA72AA">
              <w:rPr>
                <w:rFonts w:ascii="Times New Roman" w:hAnsi="Times New Roman"/>
                <w:bCs/>
                <w:sz w:val="20"/>
                <w:szCs w:val="20"/>
                <w:lang w:val="ro-RO"/>
              </w:rPr>
              <w:t xml:space="preserve"> de către Ministerul Finanțelor sunt eliberate 57 certificate de calificare al auditorului din sectorul public, din care 12 sunt suspendate </w:t>
            </w:r>
            <w:proofErr w:type="spellStart"/>
            <w:r w:rsidRPr="00FA72AA">
              <w:rPr>
                <w:rFonts w:ascii="Times New Roman" w:hAnsi="Times New Roman"/>
                <w:bCs/>
                <w:sz w:val="20"/>
                <w:szCs w:val="20"/>
                <w:lang w:val="ro-RO"/>
              </w:rPr>
              <w:t>şi</w:t>
            </w:r>
            <w:proofErr w:type="spellEnd"/>
            <w:r w:rsidRPr="00FA72AA">
              <w:rPr>
                <w:rFonts w:ascii="Times New Roman" w:hAnsi="Times New Roman"/>
                <w:bCs/>
                <w:sz w:val="20"/>
                <w:szCs w:val="20"/>
                <w:lang w:val="ro-RO"/>
              </w:rPr>
              <w:t>, respectiv, 32 certificate de calificare în domeniul specializat al auditorului din sectorul public, din care 6 sunt suspendate.</w:t>
            </w:r>
          </w:p>
        </w:tc>
      </w:tr>
      <w:tr w:rsidR="00451286" w:rsidRPr="003973DD" w:rsidTr="005126EC">
        <w:trPr>
          <w:trHeight w:val="107"/>
        </w:trPr>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rFonts w:eastAsia="SimSun"/>
                <w:b/>
                <w:color w:val="000000"/>
                <w:sz w:val="20"/>
                <w:szCs w:val="20"/>
                <w:lang w:val="ro-RO"/>
              </w:rPr>
              <w:t xml:space="preserve">Realizare-cheie: Fortificarea </w:t>
            </w:r>
            <w:proofErr w:type="spellStart"/>
            <w:r w:rsidRPr="00FA72AA">
              <w:rPr>
                <w:rFonts w:eastAsia="SimSun"/>
                <w:b/>
                <w:color w:val="000000"/>
                <w:sz w:val="20"/>
                <w:szCs w:val="20"/>
                <w:lang w:val="ro-RO"/>
              </w:rPr>
              <w:t>capacităţilor</w:t>
            </w:r>
            <w:proofErr w:type="spellEnd"/>
            <w:r w:rsidRPr="00FA72AA">
              <w:rPr>
                <w:rFonts w:eastAsia="SimSun"/>
                <w:b/>
                <w:color w:val="000000"/>
                <w:sz w:val="20"/>
                <w:szCs w:val="20"/>
                <w:lang w:val="ro-RO"/>
              </w:rPr>
              <w:t xml:space="preserve"> managerilor </w:t>
            </w:r>
            <w:proofErr w:type="spellStart"/>
            <w:r w:rsidRPr="00FA72AA">
              <w:rPr>
                <w:rFonts w:eastAsia="SimSun"/>
                <w:b/>
                <w:color w:val="000000"/>
                <w:sz w:val="20"/>
                <w:szCs w:val="20"/>
                <w:lang w:val="ro-RO"/>
              </w:rPr>
              <w:t>entităţilor</w:t>
            </w:r>
            <w:proofErr w:type="spellEnd"/>
            <w:r w:rsidRPr="00FA72AA">
              <w:rPr>
                <w:rFonts w:eastAsia="SimSun"/>
                <w:b/>
                <w:color w:val="000000"/>
                <w:sz w:val="20"/>
                <w:szCs w:val="20"/>
                <w:lang w:val="ro-RO"/>
              </w:rPr>
              <w:t xml:space="preserve"> </w:t>
            </w:r>
            <w:proofErr w:type="spellStart"/>
            <w:r w:rsidRPr="00FA72AA">
              <w:rPr>
                <w:rFonts w:eastAsia="SimSun"/>
                <w:b/>
                <w:color w:val="000000"/>
                <w:sz w:val="20"/>
                <w:szCs w:val="20"/>
                <w:lang w:val="ro-RO"/>
              </w:rPr>
              <w:t>şi</w:t>
            </w:r>
            <w:proofErr w:type="spellEnd"/>
            <w:r w:rsidRPr="00FA72AA">
              <w:rPr>
                <w:rFonts w:eastAsia="SimSun"/>
                <w:b/>
                <w:color w:val="000000"/>
                <w:sz w:val="20"/>
                <w:szCs w:val="20"/>
                <w:lang w:val="ro-RO"/>
              </w:rPr>
              <w:t xml:space="preserve"> managerilor </w:t>
            </w:r>
            <w:proofErr w:type="spellStart"/>
            <w:r w:rsidRPr="00FA72AA">
              <w:rPr>
                <w:rFonts w:eastAsia="SimSun"/>
                <w:b/>
                <w:color w:val="000000"/>
                <w:sz w:val="20"/>
                <w:szCs w:val="20"/>
                <w:lang w:val="ro-RO"/>
              </w:rPr>
              <w:t>operaţionali</w:t>
            </w:r>
            <w:proofErr w:type="spellEnd"/>
            <w:r w:rsidRPr="00FA72AA">
              <w:rPr>
                <w:rFonts w:eastAsia="SimSun"/>
                <w:b/>
                <w:color w:val="000000"/>
                <w:sz w:val="20"/>
                <w:szCs w:val="20"/>
                <w:lang w:val="ro-RO"/>
              </w:rPr>
              <w:t xml:space="preserve"> pentru implementarea/dezvoltarea sistemului de management financiar </w:t>
            </w:r>
            <w:proofErr w:type="spellStart"/>
            <w:r w:rsidRPr="00FA72AA">
              <w:rPr>
                <w:rFonts w:eastAsia="SimSun"/>
                <w:b/>
                <w:color w:val="000000"/>
                <w:sz w:val="20"/>
                <w:szCs w:val="20"/>
                <w:lang w:val="ro-RO"/>
              </w:rPr>
              <w:t>şi</w:t>
            </w:r>
            <w:proofErr w:type="spellEnd"/>
            <w:r w:rsidRPr="00FA72AA">
              <w:rPr>
                <w:rFonts w:eastAsia="SimSun"/>
                <w:b/>
                <w:color w:val="000000"/>
                <w:sz w:val="20"/>
                <w:szCs w:val="20"/>
                <w:lang w:val="ro-RO"/>
              </w:rPr>
              <w:t xml:space="preserve"> control în </w:t>
            </w:r>
            <w:proofErr w:type="spellStart"/>
            <w:r w:rsidRPr="00FA72AA">
              <w:rPr>
                <w:rFonts w:eastAsia="SimSun"/>
                <w:b/>
                <w:color w:val="000000"/>
                <w:sz w:val="20"/>
                <w:szCs w:val="20"/>
                <w:lang w:val="ro-RO"/>
              </w:rPr>
              <w:t>entităţile</w:t>
            </w:r>
            <w:proofErr w:type="spellEnd"/>
            <w:r w:rsidRPr="00FA72AA">
              <w:rPr>
                <w:rFonts w:eastAsia="SimSun"/>
                <w:b/>
                <w:color w:val="000000"/>
                <w:sz w:val="20"/>
                <w:szCs w:val="20"/>
                <w:lang w:val="ro-RO"/>
              </w:rPr>
              <w:t xml:space="preserve"> publice</w:t>
            </w:r>
          </w:p>
        </w:tc>
      </w:tr>
      <w:tr w:rsidR="00451286" w:rsidRPr="003973DD" w:rsidTr="005126EC">
        <w:trPr>
          <w:trHeight w:val="107"/>
        </w:trPr>
        <w:tc>
          <w:tcPr>
            <w:tcW w:w="7655" w:type="dxa"/>
            <w:shd w:val="clear" w:color="auto" w:fill="FFFFFF" w:themeFill="background1"/>
          </w:tcPr>
          <w:p w:rsidR="00451286" w:rsidRPr="00FA72AA" w:rsidRDefault="00451286" w:rsidP="005126EC">
            <w:pPr>
              <w:jc w:val="both"/>
              <w:rPr>
                <w:sz w:val="20"/>
                <w:szCs w:val="20"/>
                <w:lang w:val="ro-RO"/>
              </w:rPr>
            </w:pPr>
            <w:proofErr w:type="spellStart"/>
            <w:r w:rsidRPr="00FA72AA">
              <w:rPr>
                <w:sz w:val="20"/>
                <w:szCs w:val="20"/>
                <w:lang w:val="ro-RO"/>
              </w:rPr>
              <w:t>Desfăşurarea</w:t>
            </w:r>
            <w:proofErr w:type="spellEnd"/>
            <w:r w:rsidRPr="00FA72AA">
              <w:rPr>
                <w:sz w:val="20"/>
                <w:szCs w:val="20"/>
                <w:lang w:val="ro-RO"/>
              </w:rPr>
              <w:t xml:space="preserve"> a peste 50 seminare de instruire în domeniul managementului financiar </w:t>
            </w:r>
            <w:proofErr w:type="spellStart"/>
            <w:r w:rsidRPr="00FA72AA">
              <w:rPr>
                <w:sz w:val="20"/>
                <w:szCs w:val="20"/>
                <w:lang w:val="ro-RO"/>
              </w:rPr>
              <w:t>şi</w:t>
            </w:r>
            <w:proofErr w:type="spellEnd"/>
            <w:r w:rsidRPr="00FA72AA">
              <w:rPr>
                <w:sz w:val="20"/>
                <w:szCs w:val="20"/>
                <w:lang w:val="ro-RO"/>
              </w:rPr>
              <w:t xml:space="preserve"> controlului (MFC), cu tematici din  domeniile:</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 xml:space="preserve">Organizarea </w:t>
            </w:r>
            <w:proofErr w:type="spellStart"/>
            <w:r w:rsidRPr="00FA72AA">
              <w:rPr>
                <w:sz w:val="20"/>
                <w:szCs w:val="20"/>
                <w:lang w:val="ro-RO"/>
              </w:rPr>
              <w:t>şi</w:t>
            </w:r>
            <w:proofErr w:type="spellEnd"/>
            <w:r w:rsidRPr="00FA72AA">
              <w:rPr>
                <w:sz w:val="20"/>
                <w:szCs w:val="20"/>
                <w:lang w:val="ro-RO"/>
              </w:rPr>
              <w:t xml:space="preserve"> implementarea MFC;</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 xml:space="preserve">Identificarea </w:t>
            </w:r>
            <w:proofErr w:type="spellStart"/>
            <w:r w:rsidRPr="00FA72AA">
              <w:rPr>
                <w:sz w:val="20"/>
                <w:szCs w:val="20"/>
                <w:lang w:val="ro-RO"/>
              </w:rPr>
              <w:t>şi</w:t>
            </w:r>
            <w:proofErr w:type="spellEnd"/>
            <w:r w:rsidRPr="00FA72AA">
              <w:rPr>
                <w:sz w:val="20"/>
                <w:szCs w:val="20"/>
                <w:lang w:val="ro-RO"/>
              </w:rPr>
              <w:t xml:space="preserve"> descrierea proceselor;</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Stabilirea obiectivelor;</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r>
            <w:proofErr w:type="spellStart"/>
            <w:r w:rsidRPr="00FA72AA">
              <w:rPr>
                <w:sz w:val="20"/>
                <w:szCs w:val="20"/>
                <w:lang w:val="ro-RO"/>
              </w:rPr>
              <w:t>Activităţi</w:t>
            </w:r>
            <w:proofErr w:type="spellEnd"/>
            <w:r w:rsidRPr="00FA72AA">
              <w:rPr>
                <w:sz w:val="20"/>
                <w:szCs w:val="20"/>
                <w:lang w:val="ro-RO"/>
              </w:rPr>
              <w:t xml:space="preserve"> de control;</w:t>
            </w:r>
          </w:p>
          <w:p w:rsidR="00451286" w:rsidRPr="00FA72AA" w:rsidRDefault="00451286" w:rsidP="005126EC">
            <w:pPr>
              <w:tabs>
                <w:tab w:val="left" w:pos="162"/>
              </w:tabs>
              <w:jc w:val="both"/>
              <w:rPr>
                <w:sz w:val="20"/>
                <w:szCs w:val="20"/>
                <w:lang w:val="ro-RO"/>
              </w:rPr>
            </w:pPr>
            <w:r w:rsidRPr="00FA72AA">
              <w:rPr>
                <w:sz w:val="20"/>
                <w:szCs w:val="20"/>
                <w:lang w:val="ro-RO"/>
              </w:rPr>
              <w:lastRenderedPageBreak/>
              <w:t>-</w:t>
            </w:r>
            <w:r w:rsidRPr="00FA72AA">
              <w:rPr>
                <w:sz w:val="20"/>
                <w:szCs w:val="20"/>
                <w:lang w:val="ro-RO"/>
              </w:rPr>
              <w:tab/>
              <w:t>Conceptul de MFC;</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Implementarea managementului riscurilor;</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Documentarea proceselor operaționale;</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Autoevaluarea sistemului de MFC;</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Răspunderea managerială;</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 xml:space="preserve">Implementarea Standardelor </w:t>
            </w:r>
            <w:proofErr w:type="spellStart"/>
            <w:r w:rsidRPr="00FA72AA">
              <w:rPr>
                <w:sz w:val="20"/>
                <w:szCs w:val="20"/>
                <w:lang w:val="ro-RO"/>
              </w:rPr>
              <w:t>naţionale</w:t>
            </w:r>
            <w:proofErr w:type="spellEnd"/>
            <w:r w:rsidRPr="00FA72AA">
              <w:rPr>
                <w:sz w:val="20"/>
                <w:szCs w:val="20"/>
                <w:lang w:val="ro-RO"/>
              </w:rPr>
              <w:t xml:space="preserve"> de control intern în sectorul public;</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 xml:space="preserve">Managementul </w:t>
            </w:r>
            <w:proofErr w:type="spellStart"/>
            <w:r w:rsidRPr="00FA72AA">
              <w:rPr>
                <w:sz w:val="20"/>
                <w:szCs w:val="20"/>
                <w:lang w:val="ro-RO"/>
              </w:rPr>
              <w:t>performanţelor</w:t>
            </w:r>
            <w:proofErr w:type="spellEnd"/>
            <w:r w:rsidRPr="00FA72AA">
              <w:rPr>
                <w:sz w:val="20"/>
                <w:szCs w:val="20"/>
                <w:lang w:val="ro-RO"/>
              </w:rPr>
              <w:t xml:space="preserve"> </w:t>
            </w:r>
            <w:proofErr w:type="spellStart"/>
            <w:r w:rsidRPr="00FA72AA">
              <w:rPr>
                <w:sz w:val="20"/>
                <w:szCs w:val="20"/>
                <w:lang w:val="ro-RO"/>
              </w:rPr>
              <w:t>şi</w:t>
            </w:r>
            <w:proofErr w:type="spellEnd"/>
            <w:r w:rsidRPr="00FA72AA">
              <w:rPr>
                <w:sz w:val="20"/>
                <w:szCs w:val="20"/>
                <w:lang w:val="ro-RO"/>
              </w:rPr>
              <w:t xml:space="preserve"> al riscurilor;</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Controlul managerial;</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Cultura de control adecvată;</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Conceptul de control financiar public intern;</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 xml:space="preserve">Rolul managementului în implementarea Standardelor </w:t>
            </w:r>
            <w:proofErr w:type="spellStart"/>
            <w:r w:rsidRPr="00FA72AA">
              <w:rPr>
                <w:sz w:val="20"/>
                <w:szCs w:val="20"/>
                <w:lang w:val="ro-RO"/>
              </w:rPr>
              <w:t>naţionale</w:t>
            </w:r>
            <w:proofErr w:type="spellEnd"/>
            <w:r w:rsidRPr="00FA72AA">
              <w:rPr>
                <w:sz w:val="20"/>
                <w:szCs w:val="20"/>
                <w:lang w:val="ro-RO"/>
              </w:rPr>
              <w:t xml:space="preserve"> de control intern în sectorul public;</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Cadrul normativ în domeniul MFC;</w:t>
            </w:r>
          </w:p>
          <w:p w:rsidR="00451286" w:rsidRPr="00FA72AA" w:rsidRDefault="00451286" w:rsidP="005126EC">
            <w:pPr>
              <w:tabs>
                <w:tab w:val="left" w:pos="162"/>
              </w:tabs>
              <w:jc w:val="both"/>
              <w:rPr>
                <w:sz w:val="20"/>
                <w:szCs w:val="20"/>
                <w:lang w:val="ro-RO"/>
              </w:rPr>
            </w:pPr>
            <w:r w:rsidRPr="00FA72AA">
              <w:rPr>
                <w:sz w:val="20"/>
                <w:szCs w:val="20"/>
                <w:lang w:val="ro-RO"/>
              </w:rPr>
              <w:t>-</w:t>
            </w:r>
            <w:r w:rsidRPr="00FA72AA">
              <w:rPr>
                <w:sz w:val="20"/>
                <w:szCs w:val="20"/>
                <w:lang w:val="ro-RO"/>
              </w:rPr>
              <w:tab/>
              <w:t>Consolidarea MFC ca rezultat al recomandărilor Curții de Conturi</w:t>
            </w:r>
          </w:p>
          <w:p w:rsidR="00451286" w:rsidRPr="00FA72AA" w:rsidRDefault="00451286" w:rsidP="005126EC">
            <w:pPr>
              <w:jc w:val="both"/>
              <w:rPr>
                <w:rFonts w:eastAsia="SimSun"/>
                <w:i/>
                <w:sz w:val="20"/>
                <w:szCs w:val="20"/>
                <w:lang w:val="ro-RO"/>
              </w:rPr>
            </w:pPr>
            <w:r w:rsidRPr="00FA72AA">
              <w:rPr>
                <w:b/>
                <w:bCs/>
                <w:sz w:val="20"/>
                <w:szCs w:val="20"/>
                <w:lang w:val="ro-RO"/>
              </w:rPr>
              <w:t>-</w:t>
            </w:r>
            <w:r w:rsidRPr="00FA72AA">
              <w:rPr>
                <w:sz w:val="20"/>
                <w:szCs w:val="20"/>
                <w:lang w:val="ro-RO"/>
              </w:rPr>
              <w:t xml:space="preserve"> Regulamentul model de organizare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funcţionare</w:t>
            </w:r>
            <w:proofErr w:type="spellEnd"/>
            <w:r w:rsidRPr="00FA72AA">
              <w:rPr>
                <w:sz w:val="20"/>
                <w:szCs w:val="20"/>
                <w:lang w:val="ro-RO"/>
              </w:rPr>
              <w:t xml:space="preserve"> a </w:t>
            </w:r>
            <w:proofErr w:type="spellStart"/>
            <w:r w:rsidRPr="00FA72AA">
              <w:rPr>
                <w:sz w:val="20"/>
                <w:szCs w:val="20"/>
                <w:lang w:val="ro-RO"/>
              </w:rPr>
              <w:t>Direcţiei</w:t>
            </w:r>
            <w:proofErr w:type="spellEnd"/>
            <w:r w:rsidRPr="00FA72AA">
              <w:rPr>
                <w:sz w:val="20"/>
                <w:szCs w:val="20"/>
                <w:lang w:val="ro-RO"/>
              </w:rPr>
              <w:t xml:space="preserve"> economie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finanţe</w:t>
            </w:r>
            <w:proofErr w:type="spellEnd"/>
            <w:r w:rsidRPr="00FA72AA">
              <w:rPr>
                <w:sz w:val="20"/>
                <w:szCs w:val="20"/>
                <w:lang w:val="ro-RO"/>
              </w:rPr>
              <w:t>.</w:t>
            </w:r>
            <w:r w:rsidRPr="00FA72AA">
              <w:rPr>
                <w:rFonts w:eastAsia="SimSun"/>
                <w:i/>
                <w:sz w:val="20"/>
                <w:szCs w:val="20"/>
                <w:lang w:val="ro-RO"/>
              </w:rPr>
              <w:t xml:space="preserve"> </w:t>
            </w:r>
          </w:p>
        </w:tc>
        <w:tc>
          <w:tcPr>
            <w:tcW w:w="7938" w:type="dxa"/>
            <w:shd w:val="clear" w:color="auto" w:fill="FFFFFF" w:themeFill="background1"/>
          </w:tcPr>
          <w:p w:rsidR="00451286" w:rsidRPr="00FA72AA" w:rsidRDefault="00451286" w:rsidP="005126EC">
            <w:pPr>
              <w:jc w:val="both"/>
              <w:rPr>
                <w:sz w:val="20"/>
                <w:szCs w:val="20"/>
                <w:highlight w:val="yellow"/>
                <w:lang w:val="ro-RO"/>
              </w:rPr>
            </w:pPr>
            <w:r w:rsidRPr="00FA72AA">
              <w:rPr>
                <w:rFonts w:eastAsia="SimSun"/>
                <w:sz w:val="20"/>
                <w:szCs w:val="20"/>
                <w:lang w:val="ro-RO"/>
              </w:rPr>
              <w:lastRenderedPageBreak/>
              <w:t xml:space="preserve">Au fost consolidate </w:t>
            </w:r>
            <w:r w:rsidRPr="00FA72AA">
              <w:rPr>
                <w:sz w:val="20"/>
                <w:szCs w:val="20"/>
                <w:lang w:val="ro-RO"/>
              </w:rPr>
              <w:t xml:space="preserve">cunoștințele și dezvoltate abilitățile practice ale managerilor operaționali, precum și altor persoane responsabile din cadrul autorităților și instituțiilor publice de nivel central și local cu privire la implementarea și dezvoltarea sistemelor de Control intern managerial (CIM), inclusiv aplicarea în practică a metodelor </w:t>
            </w:r>
            <w:proofErr w:type="spellStart"/>
            <w:r w:rsidRPr="00FA72AA">
              <w:rPr>
                <w:sz w:val="20"/>
                <w:szCs w:val="20"/>
                <w:lang w:val="ro-RO"/>
              </w:rPr>
              <w:t>şi</w:t>
            </w:r>
            <w:proofErr w:type="spellEnd"/>
            <w:r w:rsidRPr="00FA72AA">
              <w:rPr>
                <w:sz w:val="20"/>
                <w:szCs w:val="20"/>
                <w:lang w:val="ro-RO"/>
              </w:rPr>
              <w:t xml:space="preserve"> instrumentelor de lucru aferente stabilirii obiectivelor, identificării </w:t>
            </w:r>
            <w:proofErr w:type="spellStart"/>
            <w:r w:rsidRPr="00FA72AA">
              <w:rPr>
                <w:sz w:val="20"/>
                <w:szCs w:val="20"/>
                <w:lang w:val="ro-RO"/>
              </w:rPr>
              <w:t>şi</w:t>
            </w:r>
            <w:proofErr w:type="spellEnd"/>
            <w:r w:rsidRPr="00FA72AA">
              <w:rPr>
                <w:sz w:val="20"/>
                <w:szCs w:val="20"/>
                <w:lang w:val="ro-RO"/>
              </w:rPr>
              <w:t xml:space="preserve"> descrierii proceselor de bază, instituirii managementului riscurilor la </w:t>
            </w:r>
            <w:r w:rsidRPr="00FA72AA">
              <w:rPr>
                <w:sz w:val="20"/>
                <w:szCs w:val="20"/>
                <w:lang w:val="ro-RO"/>
              </w:rPr>
              <w:lastRenderedPageBreak/>
              <w:t xml:space="preserve">nivel de subdiviziune/la nivel de entitate, precum </w:t>
            </w:r>
            <w:proofErr w:type="spellStart"/>
            <w:r w:rsidRPr="00FA72AA">
              <w:rPr>
                <w:sz w:val="20"/>
                <w:szCs w:val="20"/>
                <w:lang w:val="ro-RO"/>
              </w:rPr>
              <w:t>şi</w:t>
            </w:r>
            <w:proofErr w:type="spellEnd"/>
            <w:r w:rsidRPr="00FA72AA">
              <w:rPr>
                <w:sz w:val="20"/>
                <w:szCs w:val="20"/>
                <w:lang w:val="ro-RO"/>
              </w:rPr>
              <w:t xml:space="preserve"> a </w:t>
            </w:r>
            <w:proofErr w:type="spellStart"/>
            <w:r w:rsidRPr="00FA72AA">
              <w:rPr>
                <w:sz w:val="20"/>
                <w:szCs w:val="20"/>
                <w:lang w:val="ro-RO"/>
              </w:rPr>
              <w:t>modalităţii</w:t>
            </w:r>
            <w:proofErr w:type="spellEnd"/>
            <w:r w:rsidRPr="00FA72AA">
              <w:rPr>
                <w:sz w:val="20"/>
                <w:szCs w:val="20"/>
                <w:lang w:val="ro-RO"/>
              </w:rPr>
              <w:t xml:space="preserve"> de efectuare a autoevaluării și raportării </w:t>
            </w:r>
            <w:r w:rsidRPr="00FA72AA">
              <w:rPr>
                <w:rFonts w:eastAsia="SimSun"/>
                <w:color w:val="000000"/>
                <w:sz w:val="20"/>
                <w:szCs w:val="20"/>
                <w:lang w:val="ro-RO"/>
              </w:rPr>
              <w:t>sistemului de CIM.</w:t>
            </w:r>
          </w:p>
          <w:p w:rsidR="00451286" w:rsidRPr="00FA72AA" w:rsidRDefault="00451286" w:rsidP="005126EC">
            <w:pPr>
              <w:jc w:val="both"/>
              <w:rPr>
                <w:sz w:val="20"/>
                <w:szCs w:val="20"/>
                <w:highlight w:val="yellow"/>
                <w:lang w:val="ro-RO"/>
              </w:rPr>
            </w:pPr>
          </w:p>
          <w:p w:rsidR="00451286" w:rsidRPr="00FA72AA" w:rsidRDefault="00451286" w:rsidP="005126EC">
            <w:pPr>
              <w:jc w:val="both"/>
              <w:rPr>
                <w:rFonts w:eastAsia="SimSun"/>
                <w:color w:val="000000"/>
                <w:sz w:val="20"/>
                <w:szCs w:val="20"/>
                <w:lang w:val="ro-RO"/>
              </w:rPr>
            </w:pPr>
          </w:p>
          <w:p w:rsidR="00451286" w:rsidRPr="00FA72AA" w:rsidRDefault="00451286" w:rsidP="005126EC">
            <w:pPr>
              <w:rPr>
                <w:rFonts w:eastAsia="SimSun"/>
                <w:sz w:val="20"/>
                <w:szCs w:val="20"/>
                <w:lang w:val="ro-RO"/>
              </w:rPr>
            </w:pPr>
          </w:p>
          <w:p w:rsidR="00451286" w:rsidRPr="00FA72AA" w:rsidRDefault="00451286" w:rsidP="005126EC">
            <w:pPr>
              <w:jc w:val="both"/>
              <w:rPr>
                <w:sz w:val="20"/>
                <w:szCs w:val="20"/>
                <w:lang w:val="ro-RO"/>
              </w:rPr>
            </w:pPr>
          </w:p>
          <w:p w:rsidR="00451286" w:rsidRPr="00FA72AA" w:rsidRDefault="00451286" w:rsidP="005126EC">
            <w:pPr>
              <w:jc w:val="both"/>
              <w:rPr>
                <w:sz w:val="20"/>
                <w:szCs w:val="20"/>
                <w:lang w:val="ro-RO"/>
              </w:rPr>
            </w:pPr>
          </w:p>
          <w:p w:rsidR="00451286" w:rsidRPr="00FA72AA" w:rsidRDefault="00451286" w:rsidP="005126EC">
            <w:pPr>
              <w:tabs>
                <w:tab w:val="left" w:pos="180"/>
              </w:tabs>
              <w:suppressAutoHyphens/>
              <w:jc w:val="both"/>
              <w:rPr>
                <w:sz w:val="20"/>
                <w:szCs w:val="20"/>
                <w:lang w:val="ro-RO"/>
              </w:rPr>
            </w:pPr>
          </w:p>
          <w:p w:rsidR="00451286" w:rsidRPr="00FA72AA" w:rsidRDefault="00451286" w:rsidP="005126EC">
            <w:pPr>
              <w:jc w:val="both"/>
              <w:rPr>
                <w:sz w:val="20"/>
                <w:szCs w:val="20"/>
                <w:lang w:val="ro-RO"/>
              </w:rPr>
            </w:pPr>
          </w:p>
        </w:tc>
      </w:tr>
      <w:tr w:rsidR="00451286" w:rsidRPr="00FA72AA"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lastRenderedPageBreak/>
              <w:t>CAPITOLUL 8</w:t>
            </w:r>
          </w:p>
          <w:p w:rsidR="00451286" w:rsidRPr="00FA72AA" w:rsidRDefault="00451286" w:rsidP="005126EC">
            <w:pPr>
              <w:jc w:val="center"/>
              <w:rPr>
                <w:sz w:val="20"/>
                <w:szCs w:val="20"/>
                <w:lang w:val="ro-RO"/>
              </w:rPr>
            </w:pPr>
            <w:r w:rsidRPr="00FA72AA">
              <w:rPr>
                <w:b/>
                <w:sz w:val="20"/>
                <w:szCs w:val="20"/>
                <w:lang w:val="ro-RO"/>
              </w:rPr>
              <w:t>FISCALITATE</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Realizare-cheie: Consolidarea bunei guvernanțe în domeniul fiscal prin eficientizarea procedurilor de administrare fiscală, pentru excluderea barierelor care împiedică facilitarea colectării impozitelor și taxelor</w:t>
            </w:r>
          </w:p>
        </w:tc>
      </w:tr>
      <w:tr w:rsidR="00451286" w:rsidRPr="003973DD" w:rsidTr="005126EC">
        <w:trPr>
          <w:trHeight w:val="3118"/>
        </w:trPr>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Aprobarea </w:t>
            </w:r>
            <w:r w:rsidRPr="00FA72AA">
              <w:rPr>
                <w:b/>
                <w:i/>
                <w:color w:val="000000"/>
                <w:sz w:val="20"/>
                <w:szCs w:val="20"/>
                <w:lang w:val="ro-RO"/>
              </w:rPr>
              <w:t>Strategiei de dezvoltare a Serviciului Fiscal de Stat  pentru anii 2016 – 2020</w:t>
            </w:r>
            <w:r w:rsidRPr="00FA72AA">
              <w:rPr>
                <w:color w:val="000000"/>
                <w:sz w:val="20"/>
                <w:szCs w:val="20"/>
                <w:lang w:val="ro-RO"/>
              </w:rPr>
              <w:t xml:space="preserve"> de către Colegiul Ministerului </w:t>
            </w:r>
            <w:proofErr w:type="spellStart"/>
            <w:r w:rsidRPr="00FA72AA">
              <w:rPr>
                <w:color w:val="000000"/>
                <w:sz w:val="20"/>
                <w:szCs w:val="20"/>
                <w:lang w:val="ro-RO"/>
              </w:rPr>
              <w:t>Finanţelor</w:t>
            </w:r>
            <w:proofErr w:type="spellEnd"/>
            <w:r w:rsidRPr="00FA72AA">
              <w:rPr>
                <w:color w:val="000000"/>
                <w:sz w:val="20"/>
                <w:szCs w:val="20"/>
                <w:lang w:val="ro-RO"/>
              </w:rPr>
              <w:t xml:space="preserve"> la data de  03 august 2016 (</w:t>
            </w:r>
            <w:r w:rsidRPr="00FA72AA">
              <w:rPr>
                <w:i/>
                <w:color w:val="000000"/>
                <w:sz w:val="20"/>
                <w:szCs w:val="20"/>
                <w:lang w:val="ro-RO"/>
              </w:rPr>
              <w:t>extrasul din procesul – verbal nr. 4/1 din 03 august 2016</w:t>
            </w:r>
            <w:r w:rsidRPr="00FA72AA">
              <w:rPr>
                <w:color w:val="000000"/>
                <w:sz w:val="20"/>
                <w:szCs w:val="20"/>
                <w:lang w:val="ro-RO"/>
              </w:rPr>
              <w:t>);</w:t>
            </w:r>
          </w:p>
          <w:p w:rsidR="00451286" w:rsidRPr="00FA72AA" w:rsidRDefault="00451286" w:rsidP="005126EC">
            <w:pPr>
              <w:jc w:val="both"/>
              <w:rPr>
                <w:sz w:val="20"/>
                <w:szCs w:val="20"/>
                <w:lang w:val="ro-RO"/>
              </w:rPr>
            </w:pPr>
            <w:r w:rsidRPr="00FA72AA">
              <w:rPr>
                <w:noProof/>
                <w:sz w:val="20"/>
                <w:szCs w:val="20"/>
                <w:lang w:val="ro-RO"/>
              </w:rPr>
              <w:t xml:space="preserve">Aprobarea </w:t>
            </w:r>
            <w:r w:rsidRPr="00FA72AA">
              <w:rPr>
                <w:b/>
                <w:i/>
                <w:noProof/>
                <w:sz w:val="20"/>
                <w:szCs w:val="20"/>
                <w:lang w:val="ro-RO"/>
              </w:rPr>
              <w:t xml:space="preserve">Strategiei </w:t>
            </w:r>
            <w:r w:rsidRPr="00FA72AA">
              <w:rPr>
                <w:b/>
                <w:i/>
                <w:sz w:val="20"/>
                <w:szCs w:val="20"/>
                <w:lang w:val="ro-RO"/>
              </w:rPr>
              <w:t>de deservire a contribuabililor</w:t>
            </w:r>
            <w:r w:rsidRPr="00FA72AA">
              <w:rPr>
                <w:sz w:val="20"/>
                <w:szCs w:val="20"/>
                <w:lang w:val="ro-RO"/>
              </w:rPr>
              <w:t xml:space="preserve"> pentru anii 2016 – 2018 (Ordinul IFPS nr.1125/2015);</w:t>
            </w:r>
          </w:p>
          <w:p w:rsidR="00451286" w:rsidRPr="00FA72AA" w:rsidRDefault="00451286" w:rsidP="005126EC">
            <w:pPr>
              <w:jc w:val="both"/>
              <w:rPr>
                <w:sz w:val="20"/>
                <w:szCs w:val="20"/>
                <w:lang w:val="ro-RO"/>
              </w:rPr>
            </w:pPr>
            <w:r w:rsidRPr="00FA72AA">
              <w:rPr>
                <w:noProof/>
                <w:sz w:val="20"/>
                <w:szCs w:val="20"/>
                <w:lang w:val="ro-RO"/>
              </w:rPr>
              <w:t xml:space="preserve">Aprobarea </w:t>
            </w:r>
            <w:r w:rsidRPr="00FA72AA">
              <w:rPr>
                <w:b/>
                <w:i/>
                <w:noProof/>
                <w:sz w:val="20"/>
                <w:szCs w:val="20"/>
                <w:lang w:val="ro-RO"/>
              </w:rPr>
              <w:t xml:space="preserve">Strategiei </w:t>
            </w:r>
            <w:r w:rsidRPr="00FA72AA">
              <w:rPr>
                <w:b/>
                <w:i/>
                <w:sz w:val="20"/>
                <w:szCs w:val="20"/>
                <w:lang w:val="ro-RO"/>
              </w:rPr>
              <w:t>de deservire a contribuabililor</w:t>
            </w:r>
            <w:r w:rsidRPr="00FA72AA">
              <w:rPr>
                <w:sz w:val="20"/>
                <w:szCs w:val="20"/>
                <w:lang w:val="ro-RO"/>
              </w:rPr>
              <w:t xml:space="preserve"> pentru anii 2018 – 2020 (Ordinul SFS nr.473/2018);</w:t>
            </w:r>
          </w:p>
          <w:p w:rsidR="00451286" w:rsidRPr="00FA72AA" w:rsidRDefault="00451286" w:rsidP="005126EC">
            <w:pPr>
              <w:jc w:val="both"/>
              <w:rPr>
                <w:sz w:val="20"/>
                <w:szCs w:val="20"/>
                <w:lang w:val="ro-RO"/>
              </w:rPr>
            </w:pPr>
            <w:r w:rsidRPr="00FA72AA">
              <w:rPr>
                <w:noProof/>
                <w:sz w:val="20"/>
                <w:szCs w:val="20"/>
                <w:lang w:val="ro-RO"/>
              </w:rPr>
              <w:t xml:space="preserve">Aprobarea </w:t>
            </w:r>
            <w:r w:rsidRPr="00FA72AA">
              <w:rPr>
                <w:b/>
                <w:i/>
                <w:noProof/>
                <w:sz w:val="20"/>
                <w:szCs w:val="20"/>
                <w:lang w:val="ro-RO"/>
              </w:rPr>
              <w:t xml:space="preserve">Strategiilor de comunicare </w:t>
            </w:r>
            <w:r w:rsidRPr="00FA72AA">
              <w:rPr>
                <w:b/>
                <w:i/>
                <w:sz w:val="20"/>
                <w:szCs w:val="20"/>
                <w:lang w:val="ro-RO"/>
              </w:rPr>
              <w:t>a Serviciului Fiscal de Stat</w:t>
            </w:r>
            <w:r w:rsidRPr="00FA72AA">
              <w:rPr>
                <w:sz w:val="20"/>
                <w:szCs w:val="20"/>
                <w:lang w:val="ro-RO"/>
              </w:rPr>
              <w:t xml:space="preserve"> (pentru anii 2016 – 2018;  pentru anii 2017 – 2019).</w:t>
            </w:r>
          </w:p>
        </w:tc>
        <w:tc>
          <w:tcPr>
            <w:tcW w:w="7938" w:type="dxa"/>
            <w:shd w:val="clear" w:color="auto" w:fill="FFFFFF" w:themeFill="background1"/>
          </w:tcPr>
          <w:p w:rsidR="00451286" w:rsidRPr="00FA72AA" w:rsidRDefault="00451286" w:rsidP="005126EC">
            <w:pPr>
              <w:pStyle w:val="ListParagraph"/>
              <w:numPr>
                <w:ilvl w:val="0"/>
                <w:numId w:val="5"/>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Creșterea eficienței procedurilor de administrare fiscală prin excluderea barierelor care împiedică facilitarea colectării impozitelor și taxelor. Sporirea gradului de conformare a contribuabililor datorită înlăturării acestor bariere.</w:t>
            </w:r>
            <w:r w:rsidRPr="00FA72AA">
              <w:rPr>
                <w:rFonts w:ascii="Times New Roman" w:hAnsi="Times New Roman"/>
                <w:sz w:val="20"/>
                <w:szCs w:val="20"/>
                <w:vertAlign w:val="superscript"/>
                <w:lang w:val="ro-RO" w:eastAsia="ru-RU"/>
              </w:rPr>
              <w:t xml:space="preserve"> </w:t>
            </w:r>
          </w:p>
          <w:p w:rsidR="00451286" w:rsidRPr="00FA72AA" w:rsidRDefault="00451286" w:rsidP="005126EC">
            <w:pPr>
              <w:pStyle w:val="ListParagraph"/>
              <w:numPr>
                <w:ilvl w:val="0"/>
                <w:numId w:val="5"/>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rPr>
              <w:t xml:space="preserve">Sporirea eficienței </w:t>
            </w:r>
            <w:proofErr w:type="spellStart"/>
            <w:r w:rsidRPr="00FA72AA">
              <w:rPr>
                <w:rFonts w:ascii="Times New Roman" w:hAnsi="Times New Roman"/>
                <w:sz w:val="20"/>
                <w:szCs w:val="20"/>
                <w:lang w:val="ro-RO"/>
              </w:rPr>
              <w:t>activităţii</w:t>
            </w:r>
            <w:proofErr w:type="spellEnd"/>
            <w:r w:rsidRPr="00FA72AA">
              <w:rPr>
                <w:rFonts w:ascii="Times New Roman" w:hAnsi="Times New Roman"/>
                <w:sz w:val="20"/>
                <w:szCs w:val="20"/>
                <w:lang w:val="ro-RO"/>
              </w:rPr>
              <w:t xml:space="preserve"> administrației fiscale și majorarea veniturilor la buget, asigurate prin unificarea Serviciului Fiscal de Stat, excluderea activităților improprii și reorganizarea instituțională cu accent pe specializarea pe domenii funcționale. </w:t>
            </w:r>
          </w:p>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Standardizarea și eficientizarea proceselor de deservire a contribuabililor.</w:t>
            </w:r>
          </w:p>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Informarea corectă a opiniei publice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mass-media despre activitatea Serviciului Fiscal de Stat;</w:t>
            </w:r>
          </w:p>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Obținerea unei încrederi maxime a cetățenilor față de activitatea desfășurată;</w:t>
            </w:r>
          </w:p>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Dezvoltarea unor forme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metode eficiente de colaborare cu societatea în scopul realizării atribuțiilor stabilite prin lege.</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b/>
                <w:i/>
                <w:sz w:val="20"/>
                <w:szCs w:val="20"/>
                <w:lang w:val="ro-RO"/>
              </w:rPr>
              <w:t>Reformarea Serviciului Fiscal de Stat,</w:t>
            </w:r>
            <w:r w:rsidRPr="00FA72AA">
              <w:rPr>
                <w:sz w:val="20"/>
                <w:szCs w:val="20"/>
                <w:lang w:val="ro-RO"/>
              </w:rPr>
              <w:t xml:space="preserve"> care a constat în crearea unui organ unificat cu competență teritorială pe întreg teritoriul Republicii Moldova prin reorganizarea Inspectoratului Fiscal Principal de Stat și absorbirea inspectoratelor fiscale de stat teritoriale, cu centralizarea funcțiilor de control, gestionare arierate și asistență juridică și păstrarea la nivel teritorial a funcțiilor de deservire și prestări servicii (1 aprilie 2017).</w:t>
            </w:r>
          </w:p>
          <w:p w:rsidR="00451286" w:rsidRPr="00FA72AA" w:rsidRDefault="00451286" w:rsidP="005126EC">
            <w:pPr>
              <w:jc w:val="both"/>
              <w:rPr>
                <w:sz w:val="20"/>
                <w:szCs w:val="20"/>
                <w:lang w:val="ro-RO"/>
              </w:rPr>
            </w:pPr>
            <w:r w:rsidRPr="00FA72AA">
              <w:rPr>
                <w:sz w:val="20"/>
                <w:szCs w:val="20"/>
                <w:lang w:val="ro-RO"/>
              </w:rPr>
              <w:t xml:space="preserve">Ulterior, a avut loc o nouă restructurare organizațională (1 octombrie 2018), urmare și în contextul modificărilor legislative operate, care au venit în susținerea și promovarea reformelor </w:t>
            </w:r>
            <w:proofErr w:type="spellStart"/>
            <w:r w:rsidRPr="00FA72AA">
              <w:rPr>
                <w:sz w:val="20"/>
                <w:szCs w:val="20"/>
                <w:lang w:val="ro-RO"/>
              </w:rPr>
              <w:t>adminsitrației</w:t>
            </w:r>
            <w:proofErr w:type="spellEnd"/>
            <w:r w:rsidRPr="00FA72AA">
              <w:rPr>
                <w:sz w:val="20"/>
                <w:szCs w:val="20"/>
                <w:lang w:val="ro-RO"/>
              </w:rPr>
              <w:t xml:space="preserve"> fiscale. </w:t>
            </w:r>
          </w:p>
        </w:tc>
        <w:tc>
          <w:tcPr>
            <w:tcW w:w="7938" w:type="dxa"/>
            <w:shd w:val="clear" w:color="auto" w:fill="FFFFFF" w:themeFill="background1"/>
          </w:tcPr>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Optimizarea resurselor de personal și redirecționarea acestora preponderent în procese de administrare fiscală, conformare și prestări servicii;</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costurilor de administrare fiscală;</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Tratarea univocă a contribuabililor și a legislației fiscale precum și standardizarea serviciilor oferite contribuabililor;</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Concentrarea potențialului de control al SFS pe procese operaționale cu cel mai mare risc pentru interesele BPN;</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Diminuarea riscurilor de corupție și protecționism în autoritatea fiscal;</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rPr>
              <w:t>Revizuirea și descrierea business proceselor din cadrul SFS;</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Depistarea/înlăturarea lacunelor existente în activitate;</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Standardizarea procedurilor și proceselor de administrare fiscală; </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lastRenderedPageBreak/>
              <w:t>Excluderea din atribuțiile Serviciului Fiscal de Stat a funcțiilor improprii (de evaluare și comercializare a bunurilor sechestrate);</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Revizuirea sistemului de aplicare a amenzilor, în vederea individualizării sancțiunilor (executarea </w:t>
            </w:r>
            <w:proofErr w:type="spellStart"/>
            <w:r w:rsidRPr="00FA72AA">
              <w:rPr>
                <w:rFonts w:ascii="Times New Roman" w:hAnsi="Times New Roman"/>
                <w:sz w:val="20"/>
                <w:szCs w:val="20"/>
                <w:lang w:val="ro-RO" w:eastAsia="ru-RU"/>
              </w:rPr>
              <w:t>Hotărîrii</w:t>
            </w:r>
            <w:proofErr w:type="spellEnd"/>
            <w:r w:rsidRPr="00FA72AA">
              <w:rPr>
                <w:rFonts w:ascii="Times New Roman" w:hAnsi="Times New Roman"/>
                <w:sz w:val="20"/>
                <w:szCs w:val="20"/>
                <w:lang w:val="ro-RO" w:eastAsia="ru-RU"/>
              </w:rPr>
              <w:t xml:space="preserve"> Curții Constituționale);</w:t>
            </w:r>
          </w:p>
          <w:p w:rsidR="00451286" w:rsidRPr="00FA72AA" w:rsidRDefault="00451286" w:rsidP="005126EC">
            <w:pPr>
              <w:pStyle w:val="ListParagraph"/>
              <w:numPr>
                <w:ilvl w:val="0"/>
                <w:numId w:val="6"/>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Eficientizarea proceselor de deservire a contribuabililor.</w:t>
            </w:r>
          </w:p>
        </w:tc>
      </w:tr>
      <w:tr w:rsidR="00451286" w:rsidRPr="003973DD" w:rsidTr="005126EC">
        <w:tc>
          <w:tcPr>
            <w:tcW w:w="7655" w:type="dxa"/>
            <w:shd w:val="clear" w:color="auto" w:fill="FFFFFF" w:themeFill="background1"/>
          </w:tcPr>
          <w:p w:rsidR="00451286" w:rsidRPr="00FA72AA" w:rsidRDefault="00451286" w:rsidP="005126EC">
            <w:pPr>
              <w:jc w:val="both"/>
              <w:rPr>
                <w:noProof/>
                <w:sz w:val="20"/>
                <w:szCs w:val="20"/>
                <w:lang w:val="ro-RO"/>
              </w:rPr>
            </w:pPr>
            <w:r w:rsidRPr="00FA72AA">
              <w:rPr>
                <w:rFonts w:eastAsia="Calibri"/>
                <w:sz w:val="20"/>
                <w:szCs w:val="20"/>
                <w:lang w:val="ro-RO"/>
              </w:rPr>
              <w:lastRenderedPageBreak/>
              <w:t xml:space="preserve">Investirea Serviciului Fiscal de Stat cu </w:t>
            </w:r>
            <w:r w:rsidRPr="00FA72AA">
              <w:rPr>
                <w:rFonts w:eastAsia="Calibri"/>
                <w:b/>
                <w:i/>
                <w:sz w:val="20"/>
                <w:szCs w:val="20"/>
                <w:lang w:val="ro-RO"/>
              </w:rPr>
              <w:t>atribuția de constatare a infracțiunilor</w:t>
            </w:r>
            <w:r w:rsidRPr="00FA72AA">
              <w:rPr>
                <w:rFonts w:eastAsia="Calibri"/>
                <w:sz w:val="20"/>
                <w:szCs w:val="20"/>
                <w:lang w:val="ro-RO"/>
              </w:rPr>
              <w:t xml:space="preserve"> prevăzute la art.241-242, 244, 244</w:t>
            </w:r>
            <w:r w:rsidRPr="00FA72AA">
              <w:rPr>
                <w:rFonts w:eastAsia="Calibri"/>
                <w:sz w:val="20"/>
                <w:szCs w:val="20"/>
                <w:vertAlign w:val="superscript"/>
                <w:lang w:val="ro-RO"/>
              </w:rPr>
              <w:t>1</w:t>
            </w:r>
            <w:r w:rsidRPr="00FA72AA">
              <w:rPr>
                <w:rFonts w:eastAsia="Calibri"/>
                <w:sz w:val="20"/>
                <w:szCs w:val="20"/>
                <w:lang w:val="ro-RO"/>
              </w:rPr>
              <w:t>, 250-253 și 335</w:t>
            </w:r>
            <w:r w:rsidRPr="00FA72AA">
              <w:rPr>
                <w:rFonts w:eastAsia="Calibri"/>
                <w:sz w:val="20"/>
                <w:szCs w:val="20"/>
                <w:vertAlign w:val="superscript"/>
                <w:lang w:val="ro-RO"/>
              </w:rPr>
              <w:t>1</w:t>
            </w:r>
            <w:r w:rsidRPr="00FA72AA">
              <w:rPr>
                <w:rFonts w:eastAsia="Calibri"/>
                <w:sz w:val="20"/>
                <w:szCs w:val="20"/>
                <w:lang w:val="ro-RO"/>
              </w:rPr>
              <w:t xml:space="preserve"> din Codul Penal (Legea nr.49/2018) </w:t>
            </w:r>
          </w:p>
        </w:tc>
        <w:tc>
          <w:tcPr>
            <w:tcW w:w="7938" w:type="dxa"/>
            <w:shd w:val="clear" w:color="auto" w:fill="FFFFFF" w:themeFill="background1"/>
          </w:tcPr>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Eficiența sporită a </w:t>
            </w:r>
            <w:proofErr w:type="spellStart"/>
            <w:r w:rsidRPr="00FA72AA">
              <w:rPr>
                <w:rFonts w:ascii="Times New Roman" w:hAnsi="Times New Roman"/>
                <w:sz w:val="20"/>
                <w:szCs w:val="20"/>
                <w:lang w:val="ro-RO" w:eastAsia="ru-RU"/>
              </w:rPr>
              <w:t>acţiunilor</w:t>
            </w:r>
            <w:proofErr w:type="spellEnd"/>
            <w:r w:rsidRPr="00FA72AA">
              <w:rPr>
                <w:rFonts w:ascii="Times New Roman" w:hAnsi="Times New Roman"/>
                <w:sz w:val="20"/>
                <w:szCs w:val="20"/>
                <w:lang w:val="ro-RO" w:eastAsia="ru-RU"/>
              </w:rPr>
              <w:t xml:space="preserve"> întreprinse în vederea constatării elementelor constitutive ale </w:t>
            </w:r>
            <w:proofErr w:type="spellStart"/>
            <w:r w:rsidRPr="00FA72AA">
              <w:rPr>
                <w:rFonts w:ascii="Times New Roman" w:hAnsi="Times New Roman"/>
                <w:sz w:val="20"/>
                <w:szCs w:val="20"/>
                <w:lang w:val="ro-RO" w:eastAsia="ru-RU"/>
              </w:rPr>
              <w:t>infracţiuni</w:t>
            </w:r>
            <w:proofErr w:type="spellEnd"/>
            <w:r w:rsidRPr="00FA72AA">
              <w:rPr>
                <w:rFonts w:ascii="Times New Roman" w:hAnsi="Times New Roman"/>
                <w:sz w:val="20"/>
                <w:szCs w:val="20"/>
                <w:lang w:val="ro-RO" w:eastAsia="ru-RU"/>
              </w:rPr>
              <w:t xml:space="preserve"> de evaziune fiscală, precum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ale altor </w:t>
            </w:r>
            <w:proofErr w:type="spellStart"/>
            <w:r w:rsidRPr="00FA72AA">
              <w:rPr>
                <w:rFonts w:ascii="Times New Roman" w:hAnsi="Times New Roman"/>
                <w:sz w:val="20"/>
                <w:szCs w:val="20"/>
                <w:lang w:val="ro-RO" w:eastAsia="ru-RU"/>
              </w:rPr>
              <w:t>infracţiuni</w:t>
            </w:r>
            <w:proofErr w:type="spellEnd"/>
            <w:r w:rsidRPr="00FA72AA">
              <w:rPr>
                <w:rFonts w:ascii="Times New Roman" w:hAnsi="Times New Roman"/>
                <w:sz w:val="20"/>
                <w:szCs w:val="20"/>
                <w:lang w:val="ro-RO" w:eastAsia="ru-RU"/>
              </w:rPr>
              <w:t xml:space="preserve"> din domeniul </w:t>
            </w:r>
            <w:proofErr w:type="spellStart"/>
            <w:r w:rsidRPr="00FA72AA">
              <w:rPr>
                <w:rFonts w:ascii="Times New Roman" w:hAnsi="Times New Roman"/>
                <w:sz w:val="20"/>
                <w:szCs w:val="20"/>
                <w:lang w:val="ro-RO" w:eastAsia="ru-RU"/>
              </w:rPr>
              <w:t>economico</w:t>
            </w:r>
            <w:proofErr w:type="spellEnd"/>
            <w:r w:rsidRPr="00FA72AA">
              <w:rPr>
                <w:rFonts w:ascii="Times New Roman" w:hAnsi="Times New Roman"/>
                <w:sz w:val="20"/>
                <w:szCs w:val="20"/>
                <w:lang w:val="ro-RO" w:eastAsia="ru-RU"/>
              </w:rPr>
              <w:t>-financiar;</w:t>
            </w:r>
          </w:p>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Optimizarea proceselor de investigare penală la nivel </w:t>
            </w:r>
            <w:proofErr w:type="spellStart"/>
            <w:r w:rsidRPr="00FA72AA">
              <w:rPr>
                <w:rFonts w:ascii="Times New Roman" w:hAnsi="Times New Roman"/>
                <w:sz w:val="20"/>
                <w:szCs w:val="20"/>
                <w:lang w:val="ro-RO" w:eastAsia="ru-RU"/>
              </w:rPr>
              <w:t>national</w:t>
            </w:r>
            <w:proofErr w:type="spellEnd"/>
            <w:r w:rsidRPr="00FA72AA">
              <w:rPr>
                <w:rFonts w:ascii="Times New Roman" w:hAnsi="Times New Roman"/>
                <w:sz w:val="20"/>
                <w:szCs w:val="20"/>
                <w:lang w:val="ro-RO" w:eastAsia="ru-RU"/>
              </w:rPr>
              <w:t>.</w:t>
            </w:r>
          </w:p>
        </w:tc>
      </w:tr>
      <w:tr w:rsidR="00451286" w:rsidRPr="003973DD" w:rsidTr="005126EC">
        <w:tc>
          <w:tcPr>
            <w:tcW w:w="7655" w:type="dxa"/>
            <w:shd w:val="clear" w:color="auto" w:fill="FFFFFF" w:themeFill="background1"/>
          </w:tcPr>
          <w:p w:rsidR="00451286" w:rsidRPr="00FA72AA" w:rsidRDefault="00451286" w:rsidP="005126EC">
            <w:pPr>
              <w:tabs>
                <w:tab w:val="left" w:pos="318"/>
              </w:tabs>
              <w:contextualSpacing/>
              <w:jc w:val="both"/>
              <w:rPr>
                <w:color w:val="000000"/>
                <w:sz w:val="20"/>
                <w:szCs w:val="20"/>
                <w:lang w:val="ro-RO"/>
              </w:rPr>
            </w:pPr>
            <w:r w:rsidRPr="00FA72AA">
              <w:rPr>
                <w:color w:val="000000"/>
                <w:sz w:val="20"/>
                <w:szCs w:val="20"/>
                <w:lang w:val="ro-RO"/>
              </w:rPr>
              <w:t xml:space="preserve">Dezvoltarea și consolidarea conceptului de management al conformării fiscale, cu direcționarea instrumentelor SFS spre cele mai mari riscuri de neconformare </w:t>
            </w:r>
            <w:proofErr w:type="spellStart"/>
            <w:r w:rsidRPr="00FA72AA">
              <w:rPr>
                <w:color w:val="000000"/>
                <w:sz w:val="20"/>
                <w:szCs w:val="20"/>
                <w:lang w:val="ro-RO"/>
              </w:rPr>
              <w:t>şi</w:t>
            </w:r>
            <w:proofErr w:type="spellEnd"/>
            <w:r w:rsidRPr="00FA72AA">
              <w:rPr>
                <w:color w:val="000000"/>
                <w:sz w:val="20"/>
                <w:szCs w:val="20"/>
                <w:lang w:val="ro-RO"/>
              </w:rPr>
              <w:t xml:space="preserve"> asigurarea îmbunătățirii comportamentelor de conformare prin:</w:t>
            </w:r>
          </w:p>
          <w:p w:rsidR="00451286" w:rsidRPr="00FA72AA" w:rsidRDefault="00451286" w:rsidP="005126EC">
            <w:pPr>
              <w:numPr>
                <w:ilvl w:val="0"/>
                <w:numId w:val="8"/>
              </w:numPr>
              <w:tabs>
                <w:tab w:val="left" w:pos="318"/>
              </w:tabs>
              <w:contextualSpacing/>
              <w:jc w:val="both"/>
              <w:rPr>
                <w:sz w:val="20"/>
                <w:szCs w:val="20"/>
                <w:lang w:val="ro-RO"/>
              </w:rPr>
            </w:pPr>
            <w:r w:rsidRPr="00FA72AA">
              <w:rPr>
                <w:color w:val="000000"/>
                <w:sz w:val="20"/>
                <w:szCs w:val="20"/>
                <w:lang w:val="ro-RO"/>
              </w:rPr>
              <w:t xml:space="preserve">elaborarea și </w:t>
            </w:r>
            <w:r w:rsidRPr="00FA72AA">
              <w:rPr>
                <w:b/>
                <w:i/>
                <w:sz w:val="20"/>
                <w:szCs w:val="20"/>
                <w:lang w:val="ro-RO"/>
              </w:rPr>
              <w:t xml:space="preserve">aprobarea Normelor metodologice privind determinarea </w:t>
            </w:r>
            <w:proofErr w:type="spellStart"/>
            <w:r w:rsidRPr="00FA72AA">
              <w:rPr>
                <w:b/>
                <w:i/>
                <w:sz w:val="20"/>
                <w:szCs w:val="20"/>
                <w:lang w:val="ro-RO"/>
              </w:rPr>
              <w:t>şi</w:t>
            </w:r>
            <w:proofErr w:type="spellEnd"/>
            <w:r w:rsidRPr="00FA72AA">
              <w:rPr>
                <w:b/>
                <w:i/>
                <w:sz w:val="20"/>
                <w:szCs w:val="20"/>
                <w:lang w:val="ro-RO"/>
              </w:rPr>
              <w:t xml:space="preserve"> clasificarea riscurilor de conformare fiscală</w:t>
            </w:r>
            <w:r w:rsidRPr="00FA72AA">
              <w:rPr>
                <w:sz w:val="20"/>
                <w:szCs w:val="20"/>
                <w:lang w:val="ro-RO"/>
              </w:rPr>
              <w:t>, acestea fiind revizuite și actualizate permanent cu noi riscuri.</w:t>
            </w:r>
          </w:p>
          <w:p w:rsidR="00451286" w:rsidRPr="00FA72AA" w:rsidRDefault="00451286" w:rsidP="005126EC">
            <w:pPr>
              <w:numPr>
                <w:ilvl w:val="0"/>
                <w:numId w:val="8"/>
              </w:numPr>
              <w:tabs>
                <w:tab w:val="left" w:pos="318"/>
              </w:tabs>
              <w:contextualSpacing/>
              <w:jc w:val="both"/>
              <w:rPr>
                <w:sz w:val="20"/>
                <w:szCs w:val="20"/>
                <w:lang w:val="ro-RO"/>
              </w:rPr>
            </w:pPr>
            <w:r w:rsidRPr="00FA72AA">
              <w:rPr>
                <w:sz w:val="20"/>
                <w:szCs w:val="20"/>
                <w:lang w:val="ro-RO"/>
              </w:rPr>
              <w:t xml:space="preserve">identificarea, anual, în cadrul </w:t>
            </w:r>
            <w:r w:rsidRPr="00FA72AA">
              <w:rPr>
                <w:b/>
                <w:sz w:val="20"/>
                <w:szCs w:val="20"/>
                <w:lang w:val="ro-RO"/>
              </w:rPr>
              <w:t>programelor de conformare</w:t>
            </w:r>
            <w:r w:rsidRPr="00FA72AA">
              <w:rPr>
                <w:sz w:val="20"/>
                <w:szCs w:val="20"/>
                <w:lang w:val="ro-RO"/>
              </w:rPr>
              <w:t xml:space="preserve"> a segmentelor economiei naționale stabilite ca prioritare, pentru monitorizare, cu aplicarea tratamentelor respective de conformare pentru fiecare segment separat.</w:t>
            </w:r>
          </w:p>
          <w:p w:rsidR="00451286" w:rsidRPr="00FA72AA" w:rsidRDefault="00451286" w:rsidP="005126EC">
            <w:pPr>
              <w:numPr>
                <w:ilvl w:val="0"/>
                <w:numId w:val="8"/>
              </w:numPr>
              <w:tabs>
                <w:tab w:val="left" w:pos="318"/>
              </w:tabs>
              <w:contextualSpacing/>
              <w:jc w:val="both"/>
              <w:rPr>
                <w:sz w:val="20"/>
                <w:szCs w:val="20"/>
                <w:lang w:val="ro-RO"/>
              </w:rPr>
            </w:pPr>
            <w:r w:rsidRPr="00FA72AA">
              <w:rPr>
                <w:sz w:val="20"/>
                <w:szCs w:val="20"/>
                <w:lang w:val="ro-RO"/>
              </w:rPr>
              <w:t>elaborarea Strategiei de conformare a persoanelor fizice – contribuabili mari pentru anii 2017 – 2018 (Ordinul IFPS nr.158 din 10 februarie 2017)</w:t>
            </w:r>
          </w:p>
        </w:tc>
        <w:tc>
          <w:tcPr>
            <w:tcW w:w="7938" w:type="dxa"/>
            <w:shd w:val="clear" w:color="auto" w:fill="FFFFFF" w:themeFill="background1"/>
          </w:tcPr>
          <w:p w:rsidR="00451286" w:rsidRPr="00FA72AA" w:rsidRDefault="00451286" w:rsidP="005126EC">
            <w:pPr>
              <w:pStyle w:val="ListParagraph"/>
              <w:numPr>
                <w:ilvl w:val="0"/>
                <w:numId w:val="7"/>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Optimizarea administrării fiscale prin asigurarea planificării controalelor fiscale și promovarea conformării fiscale voluntare a contribuabililor în baza analizei riscurilor;</w:t>
            </w:r>
          </w:p>
          <w:p w:rsidR="00451286" w:rsidRPr="00FA72AA" w:rsidRDefault="00451286" w:rsidP="005126EC">
            <w:pPr>
              <w:pStyle w:val="ListParagraph"/>
              <w:numPr>
                <w:ilvl w:val="0"/>
                <w:numId w:val="7"/>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Asistență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sprijin pentru contribuabilii care execută la timp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în volum deplin obligațiile fiscale.</w:t>
            </w:r>
          </w:p>
          <w:p w:rsidR="00451286" w:rsidRPr="00FA72AA" w:rsidRDefault="00451286" w:rsidP="005126EC">
            <w:pPr>
              <w:jc w:val="both"/>
              <w:rPr>
                <w:sz w:val="20"/>
                <w:szCs w:val="20"/>
                <w:lang w:val="ro-RO"/>
              </w:rPr>
            </w:pPr>
          </w:p>
        </w:tc>
      </w:tr>
      <w:tr w:rsidR="00451286" w:rsidRPr="003973DD" w:rsidTr="005126EC">
        <w:tc>
          <w:tcPr>
            <w:tcW w:w="7655" w:type="dxa"/>
            <w:shd w:val="clear" w:color="auto" w:fill="FFFFFF" w:themeFill="background1"/>
          </w:tcPr>
          <w:p w:rsidR="00451286" w:rsidRPr="00FA72AA" w:rsidRDefault="00451286" w:rsidP="005126EC">
            <w:pPr>
              <w:tabs>
                <w:tab w:val="left" w:pos="567"/>
              </w:tabs>
              <w:ind w:firstLine="34"/>
              <w:jc w:val="both"/>
              <w:rPr>
                <w:sz w:val="20"/>
                <w:szCs w:val="20"/>
                <w:lang w:val="ro-RO" w:eastAsia="ro-RO"/>
              </w:rPr>
            </w:pPr>
            <w:r w:rsidRPr="00FA72AA">
              <w:rPr>
                <w:sz w:val="20"/>
                <w:szCs w:val="20"/>
                <w:lang w:val="ro-RO"/>
              </w:rPr>
              <w:t xml:space="preserve">Aprobarea </w:t>
            </w:r>
            <w:r w:rsidRPr="00FA72AA">
              <w:rPr>
                <w:b/>
                <w:i/>
                <w:sz w:val="20"/>
                <w:szCs w:val="20"/>
                <w:lang w:val="ro-RO" w:eastAsia="ro-RO"/>
              </w:rPr>
              <w:t>Manualului de control (6 capitole)</w:t>
            </w:r>
            <w:r w:rsidRPr="00FA72AA">
              <w:rPr>
                <w:sz w:val="20"/>
                <w:szCs w:val="20"/>
                <w:lang w:val="ro-RO" w:eastAsia="ro-RO"/>
              </w:rPr>
              <w:t>:</w:t>
            </w:r>
          </w:p>
          <w:p w:rsidR="00451286" w:rsidRPr="00FA72AA" w:rsidRDefault="00451286" w:rsidP="005126EC">
            <w:pPr>
              <w:numPr>
                <w:ilvl w:val="0"/>
                <w:numId w:val="2"/>
              </w:numPr>
              <w:tabs>
                <w:tab w:val="left" w:pos="34"/>
                <w:tab w:val="left" w:pos="317"/>
              </w:tabs>
              <w:ind w:left="34"/>
              <w:contextualSpacing/>
              <w:jc w:val="both"/>
              <w:rPr>
                <w:sz w:val="20"/>
                <w:szCs w:val="20"/>
                <w:lang w:val="ro-RO" w:eastAsia="ro-RO"/>
              </w:rPr>
            </w:pPr>
            <w:r w:rsidRPr="00FA72AA">
              <w:rPr>
                <w:sz w:val="20"/>
                <w:szCs w:val="20"/>
                <w:u w:val="single"/>
                <w:lang w:val="ro-RO" w:eastAsia="ro-RO"/>
              </w:rPr>
              <w:t>Capitolul I</w:t>
            </w:r>
            <w:r w:rsidRPr="00FA72AA">
              <w:rPr>
                <w:sz w:val="20"/>
                <w:szCs w:val="20"/>
                <w:lang w:val="ro-RO" w:eastAsia="ro-RO"/>
              </w:rPr>
              <w:t xml:space="preserve"> „Generalizări privind controlul fiscal și </w:t>
            </w:r>
            <w:proofErr w:type="spellStart"/>
            <w:r w:rsidRPr="00FA72AA">
              <w:rPr>
                <w:sz w:val="20"/>
                <w:szCs w:val="20"/>
                <w:lang w:val="ro-RO" w:eastAsia="ro-RO"/>
              </w:rPr>
              <w:t>premizele</w:t>
            </w:r>
            <w:proofErr w:type="spellEnd"/>
            <w:r w:rsidRPr="00FA72AA">
              <w:rPr>
                <w:sz w:val="20"/>
                <w:szCs w:val="20"/>
                <w:lang w:val="ro-RO" w:eastAsia="ro-RO"/>
              </w:rPr>
              <w:t xml:space="preserve"> inițierii acestuia”;</w:t>
            </w:r>
          </w:p>
          <w:p w:rsidR="00451286" w:rsidRPr="00FA72AA" w:rsidRDefault="00451286" w:rsidP="005126EC">
            <w:pPr>
              <w:numPr>
                <w:ilvl w:val="0"/>
                <w:numId w:val="2"/>
              </w:numPr>
              <w:tabs>
                <w:tab w:val="left" w:pos="34"/>
                <w:tab w:val="left" w:pos="317"/>
              </w:tabs>
              <w:ind w:left="34"/>
              <w:contextualSpacing/>
              <w:jc w:val="both"/>
              <w:rPr>
                <w:sz w:val="20"/>
                <w:szCs w:val="20"/>
                <w:lang w:val="ro-RO" w:eastAsia="ro-RO"/>
              </w:rPr>
            </w:pPr>
            <w:r w:rsidRPr="00FA72AA">
              <w:rPr>
                <w:sz w:val="20"/>
                <w:szCs w:val="20"/>
                <w:u w:val="single"/>
                <w:lang w:val="ro-RO" w:eastAsia="ro-RO"/>
              </w:rPr>
              <w:t>Capitolul II</w:t>
            </w:r>
            <w:r w:rsidRPr="00FA72AA">
              <w:rPr>
                <w:sz w:val="20"/>
                <w:szCs w:val="20"/>
                <w:lang w:val="ro-RO" w:eastAsia="ro-RO"/>
              </w:rPr>
              <w:t xml:space="preserve"> „Cerințe de etică cu privire la efectuarea controlului fiscal”; </w:t>
            </w:r>
          </w:p>
          <w:p w:rsidR="00451286" w:rsidRPr="00FA72AA" w:rsidRDefault="00451286" w:rsidP="005126EC">
            <w:pPr>
              <w:numPr>
                <w:ilvl w:val="0"/>
                <w:numId w:val="2"/>
              </w:numPr>
              <w:tabs>
                <w:tab w:val="left" w:pos="34"/>
                <w:tab w:val="left" w:pos="317"/>
              </w:tabs>
              <w:ind w:left="34"/>
              <w:contextualSpacing/>
              <w:jc w:val="both"/>
              <w:rPr>
                <w:sz w:val="20"/>
                <w:szCs w:val="20"/>
                <w:lang w:val="ro-RO" w:eastAsia="ro-RO"/>
              </w:rPr>
            </w:pPr>
            <w:r w:rsidRPr="00FA72AA">
              <w:rPr>
                <w:sz w:val="20"/>
                <w:szCs w:val="20"/>
                <w:u w:val="single"/>
                <w:lang w:val="ro-RO" w:eastAsia="ro-RO"/>
              </w:rPr>
              <w:t>Capitolul III</w:t>
            </w:r>
            <w:r w:rsidRPr="00FA72AA">
              <w:rPr>
                <w:sz w:val="20"/>
                <w:szCs w:val="20"/>
                <w:lang w:val="ro-RO" w:eastAsia="ro-RO"/>
              </w:rPr>
              <w:t xml:space="preserve"> „Analiza riscurilor și planificarea controalelor fiscale”;</w:t>
            </w:r>
          </w:p>
          <w:p w:rsidR="00451286" w:rsidRPr="00FA72AA" w:rsidRDefault="00451286" w:rsidP="005126EC">
            <w:pPr>
              <w:numPr>
                <w:ilvl w:val="0"/>
                <w:numId w:val="2"/>
              </w:numPr>
              <w:tabs>
                <w:tab w:val="left" w:pos="34"/>
                <w:tab w:val="left" w:pos="317"/>
              </w:tabs>
              <w:ind w:left="34"/>
              <w:contextualSpacing/>
              <w:jc w:val="both"/>
              <w:rPr>
                <w:sz w:val="20"/>
                <w:szCs w:val="20"/>
                <w:lang w:val="ro-RO" w:eastAsia="ro-RO"/>
              </w:rPr>
            </w:pPr>
            <w:r w:rsidRPr="00FA72AA">
              <w:rPr>
                <w:sz w:val="20"/>
                <w:szCs w:val="20"/>
                <w:u w:val="single"/>
                <w:lang w:val="ro-RO" w:eastAsia="ro-RO"/>
              </w:rPr>
              <w:t>Capitolul IV</w:t>
            </w:r>
            <w:r w:rsidRPr="00FA72AA">
              <w:rPr>
                <w:sz w:val="20"/>
                <w:szCs w:val="20"/>
                <w:lang w:val="ro-RO" w:eastAsia="ro-RO"/>
              </w:rPr>
              <w:t xml:space="preserve"> „Organizarea, desfășurarea controlului fiscal și valorificarea rezultatelor acestuia”;</w:t>
            </w:r>
          </w:p>
          <w:p w:rsidR="00451286" w:rsidRPr="00FA72AA" w:rsidRDefault="00451286" w:rsidP="005126EC">
            <w:pPr>
              <w:numPr>
                <w:ilvl w:val="0"/>
                <w:numId w:val="2"/>
              </w:numPr>
              <w:shd w:val="clear" w:color="auto" w:fill="FFFFFF"/>
              <w:tabs>
                <w:tab w:val="left" w:pos="34"/>
                <w:tab w:val="left" w:pos="317"/>
              </w:tabs>
              <w:ind w:left="34"/>
              <w:contextualSpacing/>
              <w:jc w:val="both"/>
              <w:rPr>
                <w:sz w:val="20"/>
                <w:szCs w:val="20"/>
                <w:lang w:val="ro-RO" w:eastAsia="ro-RO"/>
              </w:rPr>
            </w:pPr>
            <w:r w:rsidRPr="00FA72AA">
              <w:rPr>
                <w:bCs/>
                <w:sz w:val="20"/>
                <w:szCs w:val="20"/>
                <w:u w:val="single"/>
                <w:lang w:val="ro-RO" w:eastAsia="ro-RO"/>
              </w:rPr>
              <w:t>Capitolul V</w:t>
            </w:r>
            <w:r w:rsidRPr="00FA72AA">
              <w:rPr>
                <w:sz w:val="20"/>
                <w:szCs w:val="20"/>
                <w:lang w:val="ro-RO" w:eastAsia="ro-RO"/>
              </w:rPr>
              <w:t xml:space="preserve"> „</w:t>
            </w:r>
            <w:r w:rsidRPr="00FA72AA">
              <w:rPr>
                <w:iCs/>
                <w:sz w:val="20"/>
                <w:szCs w:val="20"/>
                <w:lang w:val="ro-RO" w:eastAsia="ro-RO"/>
              </w:rPr>
              <w:t>Acte normative</w:t>
            </w:r>
            <w:r w:rsidRPr="00FA72AA">
              <w:rPr>
                <w:sz w:val="20"/>
                <w:szCs w:val="20"/>
                <w:lang w:val="ro-RO" w:eastAsia="ro-RO"/>
              </w:rPr>
              <w:t>”;</w:t>
            </w:r>
          </w:p>
          <w:p w:rsidR="00451286" w:rsidRPr="00FA72AA" w:rsidRDefault="00451286" w:rsidP="005126EC">
            <w:pPr>
              <w:jc w:val="both"/>
              <w:rPr>
                <w:b/>
                <w:sz w:val="20"/>
                <w:szCs w:val="20"/>
                <w:lang w:val="ro-RO" w:eastAsia="ro-RO"/>
              </w:rPr>
            </w:pPr>
            <w:r w:rsidRPr="00FA72AA">
              <w:rPr>
                <w:bCs/>
                <w:sz w:val="20"/>
                <w:szCs w:val="20"/>
                <w:u w:val="single"/>
                <w:lang w:val="ro-RO" w:eastAsia="ro-RO"/>
              </w:rPr>
              <w:t>Capitolul VI</w:t>
            </w:r>
            <w:r w:rsidRPr="00FA72AA">
              <w:rPr>
                <w:sz w:val="20"/>
                <w:szCs w:val="20"/>
                <w:lang w:val="ro-RO" w:eastAsia="ro-RO"/>
              </w:rPr>
              <w:t xml:space="preserve"> „</w:t>
            </w:r>
            <w:r w:rsidRPr="00FA72AA">
              <w:rPr>
                <w:iCs/>
                <w:sz w:val="20"/>
                <w:szCs w:val="20"/>
                <w:lang w:val="ro-RO" w:eastAsia="ro-RO"/>
              </w:rPr>
              <w:t>Regulamente pe domenii de activitate</w:t>
            </w:r>
            <w:r w:rsidRPr="00FA72AA">
              <w:rPr>
                <w:sz w:val="20"/>
                <w:szCs w:val="20"/>
                <w:lang w:val="ro-RO" w:eastAsia="ro-RO"/>
              </w:rPr>
              <w:t>”.</w:t>
            </w:r>
            <w:r w:rsidRPr="00FA72AA">
              <w:rPr>
                <w:b/>
                <w:sz w:val="20"/>
                <w:szCs w:val="20"/>
                <w:lang w:val="ro-RO" w:eastAsia="ro-RO"/>
              </w:rPr>
              <w:t xml:space="preserve"> </w:t>
            </w:r>
          </w:p>
        </w:tc>
        <w:tc>
          <w:tcPr>
            <w:tcW w:w="7938" w:type="dxa"/>
            <w:shd w:val="clear" w:color="auto" w:fill="FFFFFF" w:themeFill="background1"/>
          </w:tcPr>
          <w:p w:rsidR="00451286" w:rsidRPr="00FA72AA" w:rsidRDefault="00451286" w:rsidP="005126EC">
            <w:pPr>
              <w:pStyle w:val="ListParagraph"/>
              <w:numPr>
                <w:ilvl w:val="0"/>
                <w:numId w:val="21"/>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Crearea unui cadru standard de aplicare a practicilor și proceselor de control și eficientizarea lucrului inspectorilor fiscali, inclusiv a inspectorilor noi încadrați în Serviciul Fiscal de Stat.</w:t>
            </w:r>
          </w:p>
        </w:tc>
      </w:tr>
      <w:tr w:rsidR="00451286" w:rsidRPr="003973DD" w:rsidTr="005126EC">
        <w:tc>
          <w:tcPr>
            <w:tcW w:w="7655" w:type="dxa"/>
            <w:shd w:val="clear" w:color="auto" w:fill="FFFFFF" w:themeFill="background1"/>
          </w:tcPr>
          <w:p w:rsidR="00451286" w:rsidRPr="00FA72AA" w:rsidRDefault="00451286" w:rsidP="005126EC">
            <w:pPr>
              <w:jc w:val="both"/>
              <w:rPr>
                <w:noProof/>
                <w:sz w:val="20"/>
                <w:szCs w:val="20"/>
                <w:lang w:val="ro-RO"/>
              </w:rPr>
            </w:pPr>
            <w:r w:rsidRPr="00FA72AA">
              <w:rPr>
                <w:noProof/>
                <w:sz w:val="20"/>
                <w:szCs w:val="20"/>
                <w:lang w:val="ro-RO"/>
              </w:rPr>
              <w:t xml:space="preserve">Aprobarea </w:t>
            </w:r>
            <w:r w:rsidRPr="00FA72AA">
              <w:rPr>
                <w:b/>
                <w:i/>
                <w:noProof/>
                <w:sz w:val="20"/>
                <w:szCs w:val="20"/>
                <w:lang w:val="ro-RO"/>
              </w:rPr>
              <w:t>Manualului operațional privind managementul arieratelor,</w:t>
            </w:r>
            <w:r w:rsidRPr="00FA72AA">
              <w:rPr>
                <w:noProof/>
                <w:sz w:val="20"/>
                <w:szCs w:val="20"/>
                <w:lang w:val="ro-RO"/>
              </w:rPr>
              <w:t xml:space="preserve"> care servește drept suport atît metodologic, cît și practic, subdiviziunilor competente de gestionarea arieratelor din cadrul Serviciului Fiscal de Stat, în vederea aplicării uniforme a măsurilor de asigurare și executare silită, potrivit reglementărilor legale în vigoare.</w:t>
            </w:r>
          </w:p>
        </w:tc>
        <w:tc>
          <w:tcPr>
            <w:tcW w:w="7938" w:type="dxa"/>
            <w:shd w:val="clear" w:color="auto" w:fill="FFFFFF" w:themeFill="background1"/>
          </w:tcPr>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Diminuarea cuantumului restanțelor la buget prin consecvența măsurilor întreprinse bazate pe cadrul legislativ existent;</w:t>
            </w:r>
          </w:p>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Recuperarea pe deplin și în termen </w:t>
            </w:r>
            <w:proofErr w:type="spellStart"/>
            <w:r w:rsidRPr="00FA72AA">
              <w:rPr>
                <w:rFonts w:ascii="Times New Roman" w:hAnsi="Times New Roman"/>
                <w:sz w:val="20"/>
                <w:szCs w:val="20"/>
                <w:lang w:val="ro-RO" w:eastAsia="ru-RU"/>
              </w:rPr>
              <w:t>restrîns</w:t>
            </w:r>
            <w:proofErr w:type="spellEnd"/>
            <w:r w:rsidRPr="00FA72AA">
              <w:rPr>
                <w:rFonts w:ascii="Times New Roman" w:hAnsi="Times New Roman"/>
                <w:sz w:val="20"/>
                <w:szCs w:val="20"/>
                <w:lang w:val="ro-RO" w:eastAsia="ru-RU"/>
              </w:rPr>
              <w:t xml:space="preserve"> a restanțelor la buget cu riscuri și cheltuieli minime;</w:t>
            </w:r>
          </w:p>
          <w:p w:rsidR="00451286" w:rsidRPr="00FA72AA" w:rsidRDefault="00451286" w:rsidP="005126EC">
            <w:pPr>
              <w:pStyle w:val="ListParagraph"/>
              <w:numPr>
                <w:ilvl w:val="0"/>
                <w:numId w:val="4"/>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Dezvoltarea capacităților profesionale a funcționarilor fiscali abilitați cu atribuții de încasare forțată.</w:t>
            </w:r>
          </w:p>
        </w:tc>
      </w:tr>
      <w:tr w:rsidR="00451286" w:rsidRPr="003973DD" w:rsidTr="005126EC">
        <w:tc>
          <w:tcPr>
            <w:tcW w:w="7655" w:type="dxa"/>
            <w:shd w:val="clear" w:color="auto" w:fill="FFFFFF" w:themeFill="background1"/>
          </w:tcPr>
          <w:p w:rsidR="00451286" w:rsidRPr="00FA72AA" w:rsidRDefault="00451286" w:rsidP="005126EC">
            <w:pPr>
              <w:jc w:val="both"/>
              <w:rPr>
                <w:rFonts w:eastAsia="Calibri"/>
                <w:sz w:val="20"/>
                <w:szCs w:val="20"/>
                <w:lang w:val="ro-RO"/>
              </w:rPr>
            </w:pPr>
            <w:r w:rsidRPr="00FA72AA">
              <w:rPr>
                <w:rFonts w:eastAsia="Calibri"/>
                <w:b/>
                <w:i/>
                <w:sz w:val="20"/>
                <w:szCs w:val="20"/>
                <w:lang w:val="ro-RO"/>
              </w:rPr>
              <w:t>Unificarea facturii și facturii fiscale într-un singur formular</w:t>
            </w:r>
            <w:r w:rsidRPr="00FA72AA">
              <w:rPr>
                <w:rFonts w:eastAsia="Calibri"/>
                <w:sz w:val="20"/>
                <w:szCs w:val="20"/>
                <w:lang w:val="ro-RO"/>
              </w:rPr>
              <w:t xml:space="preserve">, toate entitățile ce dețin statut de plătitor a TVA, dar și cele care nu sunt înregistrate în calitate de plătitor al TVA, </w:t>
            </w:r>
            <w:proofErr w:type="spellStart"/>
            <w:r w:rsidRPr="00FA72AA">
              <w:rPr>
                <w:rFonts w:eastAsia="Calibri"/>
                <w:sz w:val="20"/>
                <w:szCs w:val="20"/>
                <w:lang w:val="ro-RO"/>
              </w:rPr>
              <w:t>utilizînd</w:t>
            </w:r>
            <w:proofErr w:type="spellEnd"/>
            <w:r w:rsidRPr="00FA72AA">
              <w:rPr>
                <w:rFonts w:eastAsia="Calibri"/>
                <w:sz w:val="20"/>
                <w:szCs w:val="20"/>
                <w:lang w:val="ro-RO"/>
              </w:rPr>
              <w:t>, astfel, formularul tipizat cu regim special ,,factura fiscală”</w:t>
            </w:r>
          </w:p>
        </w:tc>
        <w:tc>
          <w:tcPr>
            <w:tcW w:w="7938" w:type="dxa"/>
            <w:shd w:val="clear" w:color="auto" w:fill="FFFFFF" w:themeFill="background1"/>
          </w:tcPr>
          <w:p w:rsidR="00451286" w:rsidRPr="00FA72AA" w:rsidRDefault="00451286" w:rsidP="005126EC">
            <w:pPr>
              <w:pStyle w:val="ListParagraph"/>
              <w:numPr>
                <w:ilvl w:val="0"/>
                <w:numId w:val="9"/>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Eficientizarea operațiunilor de administrare a afacerilor;</w:t>
            </w:r>
          </w:p>
          <w:p w:rsidR="00451286" w:rsidRPr="00FA72AA" w:rsidRDefault="00451286" w:rsidP="005126EC">
            <w:pPr>
              <w:pStyle w:val="ListParagraph"/>
              <w:numPr>
                <w:ilvl w:val="0"/>
                <w:numId w:val="9"/>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costurilor administrative pentru mediul de afaceri.</w:t>
            </w:r>
          </w:p>
        </w:tc>
      </w:tr>
      <w:tr w:rsidR="00451286" w:rsidRPr="003973DD" w:rsidTr="005126EC">
        <w:tc>
          <w:tcPr>
            <w:tcW w:w="7655" w:type="dxa"/>
            <w:shd w:val="clear" w:color="auto" w:fill="FFFFFF" w:themeFill="background1"/>
          </w:tcPr>
          <w:p w:rsidR="00451286" w:rsidRPr="00FA72AA" w:rsidRDefault="00451286" w:rsidP="005126EC">
            <w:pPr>
              <w:jc w:val="both"/>
              <w:rPr>
                <w:rFonts w:eastAsia="Calibri"/>
                <w:sz w:val="20"/>
                <w:szCs w:val="20"/>
                <w:lang w:val="ro-RO"/>
              </w:rPr>
            </w:pPr>
            <w:r w:rsidRPr="00FA72AA">
              <w:rPr>
                <w:rFonts w:eastAsia="Calibri"/>
                <w:sz w:val="20"/>
                <w:szCs w:val="20"/>
                <w:lang w:val="ro-RO"/>
              </w:rPr>
              <w:t>Lansarea Dării de seamă privind reținerea impozitului pe venit, a primelor de asigurare obligatorie de asistență medicală și a contribuțiilor de asigurări sociale de stat obligatorii calculate (</w:t>
            </w:r>
            <w:r w:rsidRPr="00FA72AA">
              <w:rPr>
                <w:rFonts w:eastAsia="Calibri"/>
                <w:b/>
                <w:i/>
                <w:sz w:val="20"/>
                <w:szCs w:val="20"/>
                <w:lang w:val="ro-RO"/>
              </w:rPr>
              <w:t>forma IPC 18</w:t>
            </w:r>
            <w:r w:rsidRPr="00FA72AA">
              <w:rPr>
                <w:rFonts w:eastAsia="Calibri"/>
                <w:sz w:val="20"/>
                <w:szCs w:val="20"/>
                <w:lang w:val="ro-RO"/>
              </w:rPr>
              <w:t>) care vine să comaseze 5 rapoarte prezentate la 3 instituții diferite (SFS, CNAS, CNAM).</w:t>
            </w:r>
          </w:p>
        </w:tc>
        <w:tc>
          <w:tcPr>
            <w:tcW w:w="7938" w:type="dxa"/>
            <w:shd w:val="clear" w:color="auto" w:fill="FFFFFF" w:themeFill="background1"/>
          </w:tcPr>
          <w:p w:rsidR="00451286" w:rsidRPr="00FA72AA" w:rsidRDefault="00451286" w:rsidP="005126EC">
            <w:pPr>
              <w:pStyle w:val="ListParagraph"/>
              <w:numPr>
                <w:ilvl w:val="0"/>
                <w:numId w:val="10"/>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Excluderea dublării informației prezentate de agenții economici până la 1 ianuarie 2018 prin simplificarea declarării impozitului pe venit, a plăților nominalizate și a informației ce vizează evidența nominală a asiguraților la sistemul public de asigurări sociale care, în anul 2017, se raporta prin 5 dări de seamă la trei instituții publice;</w:t>
            </w:r>
          </w:p>
          <w:p w:rsidR="00451286" w:rsidRPr="00FA72AA" w:rsidRDefault="00451286" w:rsidP="005126EC">
            <w:pPr>
              <w:pStyle w:val="ListParagraph"/>
              <w:numPr>
                <w:ilvl w:val="0"/>
                <w:numId w:val="10"/>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costurilor administrative pentru mediul de afaceri și facilitarea poverii de conformare.</w:t>
            </w:r>
          </w:p>
        </w:tc>
      </w:tr>
      <w:tr w:rsidR="00451286" w:rsidRPr="003973DD" w:rsidTr="005126EC">
        <w:tc>
          <w:tcPr>
            <w:tcW w:w="7655" w:type="dxa"/>
            <w:shd w:val="clear" w:color="auto" w:fill="FFFFFF" w:themeFill="background1"/>
          </w:tcPr>
          <w:p w:rsidR="00451286" w:rsidRPr="00FA72AA" w:rsidRDefault="00451286" w:rsidP="005126EC">
            <w:pPr>
              <w:jc w:val="both"/>
              <w:rPr>
                <w:rFonts w:eastAsia="Calibri"/>
                <w:sz w:val="20"/>
                <w:szCs w:val="20"/>
                <w:lang w:val="ro-RO"/>
              </w:rPr>
            </w:pPr>
            <w:r w:rsidRPr="00FA72AA">
              <w:rPr>
                <w:rFonts w:eastAsia="Calibri"/>
                <w:sz w:val="20"/>
                <w:szCs w:val="20"/>
                <w:lang w:val="ro-RO"/>
              </w:rPr>
              <w:lastRenderedPageBreak/>
              <w:t xml:space="preserve">Dezvoltarea sistemului „Contul curent al contribuabilului”  și lansarea serviciului </w:t>
            </w:r>
            <w:r w:rsidRPr="00FA72AA">
              <w:rPr>
                <w:rFonts w:eastAsia="Calibri"/>
                <w:b/>
                <w:i/>
                <w:sz w:val="20"/>
                <w:szCs w:val="20"/>
                <w:lang w:val="ro-RO"/>
              </w:rPr>
              <w:t>„Contul Unic”</w:t>
            </w:r>
            <w:r w:rsidRPr="00FA72AA">
              <w:rPr>
                <w:rFonts w:eastAsia="Calibri"/>
                <w:sz w:val="20"/>
                <w:szCs w:val="20"/>
                <w:lang w:val="ro-RO"/>
              </w:rPr>
              <w:t xml:space="preserve"> în cadrul sistemului, care permite achitarea obligațiunilor fiscale printr-un singur instrument.</w:t>
            </w:r>
          </w:p>
        </w:tc>
        <w:tc>
          <w:tcPr>
            <w:tcW w:w="7938" w:type="dxa"/>
            <w:shd w:val="clear" w:color="auto" w:fill="FFFFFF" w:themeFill="background1"/>
          </w:tcPr>
          <w:p w:rsidR="00451286" w:rsidRPr="00FA72AA" w:rsidRDefault="00451286" w:rsidP="005126EC">
            <w:pPr>
              <w:pStyle w:val="ListParagraph"/>
              <w:numPr>
                <w:ilvl w:val="0"/>
                <w:numId w:val="11"/>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rPr>
              <w:t xml:space="preserve">Accesarea on-line a informațiilor despre obligațiile fiscale ale contribuabilului, precum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verificarea statutului curent al tuturor restanțelor sau supraplăților la Bugetul Public Național;</w:t>
            </w:r>
          </w:p>
          <w:p w:rsidR="00451286" w:rsidRPr="00FA72AA" w:rsidRDefault="00451286" w:rsidP="005126EC">
            <w:pPr>
              <w:pStyle w:val="ListParagraph"/>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timpului necesar pentru plata impozitelor și taxelor;</w:t>
            </w:r>
          </w:p>
          <w:p w:rsidR="00451286" w:rsidRPr="00FA72AA" w:rsidRDefault="00451286" w:rsidP="005126EC">
            <w:pPr>
              <w:pStyle w:val="ListParagraph"/>
              <w:numPr>
                <w:ilvl w:val="0"/>
                <w:numId w:val="11"/>
              </w:numPr>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numărului de plăți eronate și a costurilor de executare a plăților.</w:t>
            </w:r>
          </w:p>
        </w:tc>
      </w:tr>
      <w:tr w:rsidR="00451286" w:rsidRPr="00FA72AA" w:rsidTr="005126EC">
        <w:tc>
          <w:tcPr>
            <w:tcW w:w="7655" w:type="dxa"/>
            <w:shd w:val="clear" w:color="auto" w:fill="FFFFFF" w:themeFill="background1"/>
          </w:tcPr>
          <w:p w:rsidR="00451286" w:rsidRPr="00FA72AA" w:rsidRDefault="00451286" w:rsidP="005126EC">
            <w:pPr>
              <w:tabs>
                <w:tab w:val="left" w:pos="318"/>
              </w:tabs>
              <w:contextualSpacing/>
              <w:jc w:val="both"/>
              <w:rPr>
                <w:color w:val="000000"/>
                <w:sz w:val="20"/>
                <w:szCs w:val="20"/>
                <w:lang w:val="ro-RO"/>
              </w:rPr>
            </w:pPr>
            <w:r w:rsidRPr="00FA72AA">
              <w:rPr>
                <w:color w:val="000000"/>
                <w:sz w:val="20"/>
                <w:szCs w:val="20"/>
                <w:lang w:val="ro-RO"/>
              </w:rPr>
              <w:t>Elaborarea și dezvoltarea a noi servicii/sisteme menite să ușureze povara de conformare fiscală și să asigure o administrare fiscală mai eficientă, după cum urmează, serviciile: ”Declarație electronică”, ”Diseminare mesaje” ”e-cerere” cu cele 10 module aferente dezvoltate, ”Registrul general electronic al facturilor fiscale”, ”e-factura”, „Comanda on-line a formularelor tipizate de documente primare cu regim special”, ,,Digitizarea documentelor aferente contribuabililor”</w:t>
            </w:r>
          </w:p>
        </w:tc>
        <w:tc>
          <w:tcPr>
            <w:tcW w:w="7938" w:type="dxa"/>
            <w:shd w:val="clear" w:color="auto" w:fill="FFFFFF" w:themeFill="background1"/>
          </w:tcPr>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Simplificarea procesului de raportare și declarare;</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timpului necesar pentru plata impozitelor și taxelor/depunerea cererilor/declarare;</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costurilor de conformare fiscală;</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informare (la distanță) promptă, deplină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corectă a contribuabililor cu referire la termenele de prezentare/achitare a dărilor de seamă/obligațiilor fiscale, noutăți fiscale, etc.</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 xml:space="preserve">Simplificarea, sporirea </w:t>
            </w:r>
            <w:proofErr w:type="spellStart"/>
            <w:r w:rsidRPr="00FA72AA">
              <w:rPr>
                <w:rFonts w:ascii="Times New Roman" w:hAnsi="Times New Roman"/>
                <w:sz w:val="20"/>
                <w:szCs w:val="20"/>
                <w:lang w:val="ro-RO" w:eastAsia="ru-RU"/>
              </w:rPr>
              <w:t>eficienţei</w:t>
            </w:r>
            <w:proofErr w:type="spellEnd"/>
            <w:r w:rsidRPr="00FA72AA">
              <w:rPr>
                <w:rFonts w:ascii="Times New Roman" w:hAnsi="Times New Roman"/>
                <w:sz w:val="20"/>
                <w:szCs w:val="20"/>
                <w:lang w:val="ro-RO" w:eastAsia="ru-RU"/>
              </w:rPr>
              <w:t xml:space="preserve">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w:t>
            </w:r>
            <w:proofErr w:type="spellStart"/>
            <w:r w:rsidRPr="00FA72AA">
              <w:rPr>
                <w:rFonts w:ascii="Times New Roman" w:hAnsi="Times New Roman"/>
                <w:sz w:val="20"/>
                <w:szCs w:val="20"/>
                <w:lang w:val="ro-RO" w:eastAsia="ru-RU"/>
              </w:rPr>
              <w:t>rapidităţii</w:t>
            </w:r>
            <w:proofErr w:type="spellEnd"/>
            <w:r w:rsidRPr="00FA72AA">
              <w:rPr>
                <w:rFonts w:ascii="Times New Roman" w:hAnsi="Times New Roman"/>
                <w:sz w:val="20"/>
                <w:szCs w:val="20"/>
                <w:lang w:val="ro-RO" w:eastAsia="ru-RU"/>
              </w:rPr>
              <w:t xml:space="preserve"> procesului de </w:t>
            </w:r>
            <w:proofErr w:type="spellStart"/>
            <w:r w:rsidRPr="00FA72AA">
              <w:rPr>
                <w:rFonts w:ascii="Times New Roman" w:hAnsi="Times New Roman"/>
                <w:sz w:val="20"/>
                <w:szCs w:val="20"/>
                <w:lang w:val="ro-RO" w:eastAsia="ru-RU"/>
              </w:rPr>
              <w:t>evidenţă</w:t>
            </w:r>
            <w:proofErr w:type="spellEnd"/>
            <w:r w:rsidRPr="00FA72AA">
              <w:rPr>
                <w:rFonts w:ascii="Times New Roman" w:hAnsi="Times New Roman"/>
                <w:sz w:val="20"/>
                <w:szCs w:val="20"/>
                <w:lang w:val="ro-RO" w:eastAsia="ru-RU"/>
              </w:rPr>
              <w:t xml:space="preserve"> al facturilor fiscale ale </w:t>
            </w:r>
            <w:proofErr w:type="spellStart"/>
            <w:r w:rsidRPr="00FA72AA">
              <w:rPr>
                <w:rFonts w:ascii="Times New Roman" w:hAnsi="Times New Roman"/>
                <w:sz w:val="20"/>
                <w:szCs w:val="20"/>
                <w:lang w:val="ro-RO" w:eastAsia="ru-RU"/>
              </w:rPr>
              <w:t>agenţilor</w:t>
            </w:r>
            <w:proofErr w:type="spellEnd"/>
            <w:r w:rsidRPr="00FA72AA">
              <w:rPr>
                <w:rFonts w:ascii="Times New Roman" w:hAnsi="Times New Roman"/>
                <w:sz w:val="20"/>
                <w:szCs w:val="20"/>
                <w:lang w:val="ro-RO" w:eastAsia="ru-RU"/>
              </w:rPr>
              <w:t xml:space="preserve"> economici din Republica Moldova;</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proofErr w:type="spellStart"/>
            <w:r w:rsidRPr="00FA72AA">
              <w:rPr>
                <w:rFonts w:ascii="Times New Roman" w:hAnsi="Times New Roman"/>
                <w:sz w:val="20"/>
                <w:szCs w:val="20"/>
                <w:lang w:val="ro-RO" w:eastAsia="ru-RU"/>
              </w:rPr>
              <w:t>Creşterea</w:t>
            </w:r>
            <w:proofErr w:type="spellEnd"/>
            <w:r w:rsidRPr="00FA72AA">
              <w:rPr>
                <w:rFonts w:ascii="Times New Roman" w:hAnsi="Times New Roman"/>
                <w:sz w:val="20"/>
                <w:szCs w:val="20"/>
                <w:lang w:val="ro-RO" w:eastAsia="ru-RU"/>
              </w:rPr>
              <w:t xml:space="preserve"> operativității de documentare a tranzacției efectuate, sporirea productivității muncii, reducerea cheltuielilor de imprimare a facturilor </w:t>
            </w:r>
            <w:proofErr w:type="spellStart"/>
            <w:r w:rsidRPr="00FA72AA">
              <w:rPr>
                <w:rFonts w:ascii="Times New Roman" w:hAnsi="Times New Roman"/>
                <w:sz w:val="20"/>
                <w:szCs w:val="20"/>
                <w:lang w:val="ro-RO" w:eastAsia="ru-RU"/>
              </w:rPr>
              <w:t>şi</w:t>
            </w:r>
            <w:proofErr w:type="spellEnd"/>
            <w:r w:rsidRPr="00FA72AA">
              <w:rPr>
                <w:rFonts w:ascii="Times New Roman" w:hAnsi="Times New Roman"/>
                <w:sz w:val="20"/>
                <w:szCs w:val="20"/>
                <w:lang w:val="ro-RO" w:eastAsia="ru-RU"/>
              </w:rPr>
              <w:t xml:space="preserve"> facturilor fiscale, excluderea riscului de pierdere a formularelor facturilor create electronic;</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Creșterea nivelului de satisfacție și de încredere a societății;</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Sporirea calității serviciilor prestate.</w:t>
            </w:r>
          </w:p>
        </w:tc>
      </w:tr>
      <w:tr w:rsidR="00451286" w:rsidRPr="003973DD" w:rsidTr="005126EC">
        <w:tc>
          <w:tcPr>
            <w:tcW w:w="7655" w:type="dxa"/>
            <w:shd w:val="clear" w:color="auto" w:fill="FFFFFF" w:themeFill="background1"/>
          </w:tcPr>
          <w:p w:rsidR="00451286" w:rsidRPr="00FA72AA" w:rsidRDefault="00451286" w:rsidP="005126EC">
            <w:pPr>
              <w:tabs>
                <w:tab w:val="left" w:pos="318"/>
              </w:tabs>
              <w:contextualSpacing/>
              <w:jc w:val="both"/>
              <w:rPr>
                <w:color w:val="000000"/>
                <w:sz w:val="20"/>
                <w:szCs w:val="20"/>
                <w:lang w:val="ro-RO"/>
              </w:rPr>
            </w:pPr>
            <w:r w:rsidRPr="00FA72AA">
              <w:rPr>
                <w:color w:val="000000"/>
                <w:sz w:val="20"/>
                <w:szCs w:val="20"/>
                <w:lang w:val="ro-RO"/>
              </w:rPr>
              <w:t xml:space="preserve">Instituirea </w:t>
            </w:r>
            <w:r w:rsidRPr="00FA72AA">
              <w:rPr>
                <w:b/>
                <w:i/>
                <w:color w:val="000000"/>
                <w:sz w:val="20"/>
                <w:szCs w:val="20"/>
                <w:lang w:val="ro-RO"/>
              </w:rPr>
              <w:t>Consiliului de soluționare a disputelor</w:t>
            </w:r>
            <w:r w:rsidRPr="00FA72AA">
              <w:rPr>
                <w:color w:val="000000"/>
                <w:sz w:val="20"/>
                <w:szCs w:val="20"/>
                <w:lang w:val="ro-RO"/>
              </w:rPr>
              <w:t xml:space="preserve"> (Ordinul SFS nr. 449/2018), care examinează contestațiile depuse de către persoana care contestă acte administrative prin care s-a stabilit o obligație fiscală în sumă de peste 0,5 mil.lei – pentru persoane juridice și peste 0,25 mil.lei – pentru persoane fizice</w:t>
            </w:r>
          </w:p>
        </w:tc>
        <w:tc>
          <w:tcPr>
            <w:tcW w:w="7938" w:type="dxa"/>
            <w:shd w:val="clear" w:color="auto" w:fill="FFFFFF" w:themeFill="background1"/>
          </w:tcPr>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Integritate și imparțialitate în tratarea contribuabililor.</w:t>
            </w:r>
          </w:p>
        </w:tc>
      </w:tr>
      <w:tr w:rsidR="00451286" w:rsidRPr="003973DD" w:rsidTr="005126EC">
        <w:tc>
          <w:tcPr>
            <w:tcW w:w="7655" w:type="dxa"/>
            <w:shd w:val="clear" w:color="auto" w:fill="FFFFFF" w:themeFill="background1"/>
          </w:tcPr>
          <w:p w:rsidR="00451286" w:rsidRPr="00FA72AA" w:rsidRDefault="00451286" w:rsidP="005126EC">
            <w:pPr>
              <w:tabs>
                <w:tab w:val="left" w:pos="318"/>
              </w:tabs>
              <w:contextualSpacing/>
              <w:jc w:val="both"/>
              <w:rPr>
                <w:color w:val="000000"/>
                <w:sz w:val="20"/>
                <w:szCs w:val="20"/>
                <w:lang w:val="ro-RO"/>
              </w:rPr>
            </w:pPr>
            <w:r w:rsidRPr="00FA72AA">
              <w:rPr>
                <w:color w:val="000000"/>
                <w:sz w:val="20"/>
                <w:szCs w:val="20"/>
                <w:lang w:val="ro-RO"/>
              </w:rPr>
              <w:t xml:space="preserve">Aprobarea Regulamentului privind procedura de emitere a </w:t>
            </w:r>
            <w:r w:rsidRPr="00FA72AA">
              <w:rPr>
                <w:b/>
                <w:i/>
                <w:color w:val="000000"/>
                <w:sz w:val="20"/>
                <w:szCs w:val="20"/>
                <w:lang w:val="ro-RO"/>
              </w:rPr>
              <w:t>soluției fiscale individuale anticipate</w:t>
            </w:r>
            <w:r w:rsidRPr="00FA72AA">
              <w:rPr>
                <w:color w:val="000000"/>
                <w:sz w:val="20"/>
                <w:szCs w:val="20"/>
                <w:lang w:val="ro-RO"/>
              </w:rPr>
              <w:t xml:space="preserve">  - act emis de autoritățile fiscale în vederea soluționării unei cereri a persoanei fizice sau juridice, ce desfășoară activitate de întreprinzător, referitoare la reglementarea unor situații fiscale specifice (</w:t>
            </w:r>
            <w:proofErr w:type="spellStart"/>
            <w:r w:rsidRPr="00FA72AA">
              <w:rPr>
                <w:color w:val="000000"/>
                <w:sz w:val="20"/>
                <w:szCs w:val="20"/>
                <w:lang w:val="ro-RO"/>
              </w:rPr>
              <w:t>Hotărîrea</w:t>
            </w:r>
            <w:proofErr w:type="spellEnd"/>
            <w:r w:rsidRPr="00FA72AA">
              <w:rPr>
                <w:color w:val="000000"/>
                <w:sz w:val="20"/>
                <w:szCs w:val="20"/>
                <w:lang w:val="ro-RO"/>
              </w:rPr>
              <w:t xml:space="preserve"> Guvernului nr. 7/2019)</w:t>
            </w:r>
          </w:p>
        </w:tc>
        <w:tc>
          <w:tcPr>
            <w:tcW w:w="7938" w:type="dxa"/>
            <w:shd w:val="clear" w:color="auto" w:fill="FFFFFF" w:themeFill="background1"/>
          </w:tcPr>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Instrument de gestionare a riscului fiscal</w:t>
            </w:r>
            <w:r w:rsidRPr="00FA72AA">
              <w:rPr>
                <w:rFonts w:ascii="Times New Roman" w:hAnsi="Times New Roman"/>
                <w:sz w:val="20"/>
                <w:szCs w:val="20"/>
                <w:lang w:val="ro-RO"/>
              </w:rPr>
              <w:t xml:space="preserve"> </w:t>
            </w:r>
            <w:r w:rsidRPr="00FA72AA">
              <w:rPr>
                <w:rFonts w:ascii="Times New Roman" w:hAnsi="Times New Roman"/>
                <w:sz w:val="20"/>
                <w:szCs w:val="20"/>
                <w:lang w:val="ro-RO" w:eastAsia="ru-RU"/>
              </w:rPr>
              <w:t>la care se supune contribuabilul din cauza unor lacune în legislație sau a unor prevederi normative interpretabile;</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Reducerea situațiilor de conflict ce apar între autorități și contribuabili;</w:t>
            </w:r>
          </w:p>
          <w:p w:rsidR="00451286" w:rsidRPr="00FA72AA" w:rsidRDefault="00451286" w:rsidP="005126EC">
            <w:pPr>
              <w:pStyle w:val="ListParagraph"/>
              <w:numPr>
                <w:ilvl w:val="0"/>
                <w:numId w:val="12"/>
              </w:numPr>
              <w:tabs>
                <w:tab w:val="left" w:pos="352"/>
              </w:tabs>
              <w:spacing w:after="0" w:line="240" w:lineRule="auto"/>
              <w:jc w:val="both"/>
              <w:rPr>
                <w:rFonts w:ascii="Times New Roman" w:hAnsi="Times New Roman"/>
                <w:sz w:val="20"/>
                <w:szCs w:val="20"/>
                <w:lang w:val="ro-RO" w:eastAsia="ru-RU"/>
              </w:rPr>
            </w:pPr>
            <w:r w:rsidRPr="00FA72AA">
              <w:rPr>
                <w:rFonts w:ascii="Times New Roman" w:hAnsi="Times New Roman"/>
                <w:sz w:val="20"/>
                <w:szCs w:val="20"/>
                <w:lang w:val="ro-RO" w:eastAsia="ru-RU"/>
              </w:rPr>
              <w:t>Oportunitate de perfecționare a legislației fiscale.</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 xml:space="preserve">Realizare-cheie: Armonizarea treptată a </w:t>
            </w:r>
            <w:r w:rsidRPr="00FA72AA">
              <w:rPr>
                <w:b/>
                <w:sz w:val="20"/>
                <w:szCs w:val="20"/>
                <w:u w:val="single"/>
                <w:lang w:val="ro-RO"/>
              </w:rPr>
              <w:t>cotelor accizelor la produsele din tutun</w:t>
            </w:r>
            <w:r w:rsidRPr="00FA72AA">
              <w:rPr>
                <w:b/>
                <w:sz w:val="20"/>
                <w:szCs w:val="20"/>
                <w:lang w:val="ro-RO"/>
              </w:rPr>
              <w:t xml:space="preserve">, prevăzute în Codul fiscal nr.1163-XIII din 24 aprilie 1997, cu structura </w:t>
            </w:r>
            <w:proofErr w:type="spellStart"/>
            <w:r w:rsidRPr="00FA72AA">
              <w:rPr>
                <w:b/>
                <w:sz w:val="20"/>
                <w:szCs w:val="20"/>
                <w:lang w:val="ro-RO"/>
              </w:rPr>
              <w:t>şi</w:t>
            </w:r>
            <w:proofErr w:type="spellEnd"/>
            <w:r w:rsidRPr="00FA72AA">
              <w:rPr>
                <w:b/>
                <w:sz w:val="20"/>
                <w:szCs w:val="20"/>
                <w:lang w:val="ro-RO"/>
              </w:rPr>
              <w:t xml:space="preserve"> ratele accizelor aplicate tutunului prelucrat prevăzute în Directiva 2011/64/UE a Consiliului din 21 iunie 2011.</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Asigurarea continuării ajustării cotelor accizelor</w:t>
            </w:r>
            <w:r w:rsidRPr="00FA72AA">
              <w:rPr>
                <w:color w:val="000000"/>
                <w:sz w:val="20"/>
                <w:szCs w:val="20"/>
                <w:lang w:val="ro-RO"/>
              </w:rPr>
              <w:t xml:space="preserve"> </w:t>
            </w:r>
            <w:r w:rsidRPr="00FA72AA">
              <w:rPr>
                <w:sz w:val="20"/>
                <w:szCs w:val="20"/>
                <w:lang w:val="ro-RO"/>
              </w:rPr>
              <w:t xml:space="preserve">în vederea ajustării graduale a acestora la nivelul </w:t>
            </w:r>
            <w:proofErr w:type="spellStart"/>
            <w:r w:rsidRPr="00FA72AA">
              <w:rPr>
                <w:sz w:val="20"/>
                <w:szCs w:val="20"/>
                <w:lang w:val="ro-RO"/>
              </w:rPr>
              <w:t>ţărilor</w:t>
            </w:r>
            <w:proofErr w:type="spellEnd"/>
            <w:r w:rsidRPr="00FA72AA">
              <w:rPr>
                <w:sz w:val="20"/>
                <w:szCs w:val="20"/>
                <w:lang w:val="ro-RO"/>
              </w:rPr>
              <w:t xml:space="preserve"> din regiune, inclusiv la standardele europene (Legea nr.71/2015, Legea nr.138/2016, Legea  nr.281/2016, Legea nr.288/2017)</w:t>
            </w:r>
          </w:p>
          <w:p w:rsidR="00451286" w:rsidRPr="00FA72AA" w:rsidRDefault="00451286" w:rsidP="005126EC">
            <w:pPr>
              <w:jc w:val="both"/>
              <w:rPr>
                <w:sz w:val="20"/>
                <w:szCs w:val="20"/>
                <w:lang w:val="ro-RO"/>
              </w:rPr>
            </w:pPr>
            <w:r w:rsidRPr="00FA72AA">
              <w:rPr>
                <w:sz w:val="20"/>
                <w:szCs w:val="20"/>
                <w:lang w:val="ro-RO"/>
              </w:rPr>
              <w:t xml:space="preserve">Prin urmare, a fost asigurată continuarea armonizării cotei </w:t>
            </w:r>
            <w:proofErr w:type="spellStart"/>
            <w:r w:rsidRPr="00FA72AA">
              <w:rPr>
                <w:sz w:val="20"/>
                <w:szCs w:val="20"/>
                <w:lang w:val="ro-RO"/>
              </w:rPr>
              <w:t>accizului</w:t>
            </w:r>
            <w:proofErr w:type="spellEnd"/>
            <w:r w:rsidRPr="00FA72AA">
              <w:rPr>
                <w:sz w:val="20"/>
                <w:szCs w:val="20"/>
                <w:lang w:val="ro-RO"/>
              </w:rPr>
              <w:t xml:space="preserve"> pentru </w:t>
            </w:r>
            <w:proofErr w:type="spellStart"/>
            <w:r w:rsidRPr="00FA72AA">
              <w:rPr>
                <w:sz w:val="20"/>
                <w:szCs w:val="20"/>
                <w:lang w:val="ro-RO"/>
              </w:rPr>
              <w:t>ţigaretele</w:t>
            </w:r>
            <w:proofErr w:type="spellEnd"/>
            <w:r w:rsidRPr="00FA72AA">
              <w:rPr>
                <w:sz w:val="20"/>
                <w:szCs w:val="20"/>
                <w:lang w:val="ro-RO"/>
              </w:rPr>
              <w:t xml:space="preserve"> cu filtru:</w:t>
            </w:r>
          </w:p>
          <w:p w:rsidR="00451286" w:rsidRPr="00FA72AA" w:rsidRDefault="00451286" w:rsidP="005126EC">
            <w:pPr>
              <w:numPr>
                <w:ilvl w:val="0"/>
                <w:numId w:val="1"/>
              </w:numPr>
              <w:contextualSpacing/>
              <w:jc w:val="both"/>
              <w:rPr>
                <w:sz w:val="20"/>
                <w:szCs w:val="20"/>
                <w:lang w:val="ro-RO"/>
              </w:rPr>
            </w:pPr>
            <w:r w:rsidRPr="00FA72AA">
              <w:rPr>
                <w:sz w:val="20"/>
                <w:szCs w:val="20"/>
                <w:lang w:val="ro-RO"/>
              </w:rPr>
              <w:t>pentru perioada 01.05.2015 - 30.06.2016:</w:t>
            </w:r>
          </w:p>
          <w:p w:rsidR="00451286" w:rsidRPr="00FA72AA" w:rsidRDefault="00451286" w:rsidP="005126EC">
            <w:pPr>
              <w:jc w:val="both"/>
              <w:rPr>
                <w:sz w:val="20"/>
                <w:szCs w:val="20"/>
                <w:lang w:val="ro-RO"/>
              </w:rPr>
            </w:pPr>
            <w:r w:rsidRPr="00FA72AA">
              <w:rPr>
                <w:sz w:val="20"/>
                <w:szCs w:val="20"/>
                <w:lang w:val="ro-RO"/>
              </w:rPr>
              <w:t xml:space="preserve"> - 200 lei/1000 </w:t>
            </w:r>
            <w:proofErr w:type="spellStart"/>
            <w:r w:rsidRPr="00FA72AA">
              <w:rPr>
                <w:sz w:val="20"/>
                <w:szCs w:val="20"/>
                <w:lang w:val="ro-RO"/>
              </w:rPr>
              <w:t>ţigarete</w:t>
            </w:r>
            <w:proofErr w:type="spellEnd"/>
            <w:r w:rsidRPr="00FA72AA">
              <w:rPr>
                <w:sz w:val="20"/>
                <w:szCs w:val="20"/>
                <w:lang w:val="ro-RO"/>
              </w:rPr>
              <w:t xml:space="preserve">  + 18%;</w:t>
            </w:r>
          </w:p>
          <w:p w:rsidR="00451286" w:rsidRPr="00FA72AA" w:rsidRDefault="00451286" w:rsidP="005126EC">
            <w:pPr>
              <w:numPr>
                <w:ilvl w:val="0"/>
                <w:numId w:val="1"/>
              </w:numPr>
              <w:contextualSpacing/>
              <w:jc w:val="both"/>
              <w:rPr>
                <w:sz w:val="20"/>
                <w:szCs w:val="20"/>
                <w:lang w:val="ro-RO"/>
              </w:rPr>
            </w:pPr>
            <w:r w:rsidRPr="00FA72AA">
              <w:rPr>
                <w:sz w:val="20"/>
                <w:szCs w:val="20"/>
                <w:lang w:val="ro-RO"/>
              </w:rPr>
              <w:t>pentru perioada 01.07.2016 – 31.12.2016:</w:t>
            </w:r>
          </w:p>
          <w:p w:rsidR="00451286" w:rsidRPr="00FA72AA" w:rsidRDefault="00451286" w:rsidP="005126EC">
            <w:pPr>
              <w:jc w:val="both"/>
              <w:rPr>
                <w:sz w:val="20"/>
                <w:szCs w:val="20"/>
                <w:lang w:val="ro-RO"/>
              </w:rPr>
            </w:pPr>
            <w:r w:rsidRPr="00FA72AA">
              <w:rPr>
                <w:sz w:val="20"/>
                <w:szCs w:val="20"/>
                <w:lang w:val="ro-RO"/>
              </w:rPr>
              <w:t xml:space="preserve"> – 300 lei/1000 </w:t>
            </w:r>
            <w:proofErr w:type="spellStart"/>
            <w:r w:rsidRPr="00FA72AA">
              <w:rPr>
                <w:sz w:val="20"/>
                <w:szCs w:val="20"/>
                <w:lang w:val="ro-RO"/>
              </w:rPr>
              <w:t>ţigarete</w:t>
            </w:r>
            <w:proofErr w:type="spellEnd"/>
            <w:r w:rsidRPr="00FA72AA">
              <w:rPr>
                <w:sz w:val="20"/>
                <w:szCs w:val="20"/>
                <w:lang w:val="ro-RO"/>
              </w:rPr>
              <w:t xml:space="preserve">  + 12%, dar nu mai </w:t>
            </w:r>
            <w:proofErr w:type="spellStart"/>
            <w:r w:rsidRPr="00FA72AA">
              <w:rPr>
                <w:sz w:val="20"/>
                <w:szCs w:val="20"/>
                <w:lang w:val="ro-RO"/>
              </w:rPr>
              <w:t>puţin</w:t>
            </w:r>
            <w:proofErr w:type="spellEnd"/>
            <w:r w:rsidRPr="00FA72AA">
              <w:rPr>
                <w:sz w:val="20"/>
                <w:szCs w:val="20"/>
                <w:lang w:val="ro-RO"/>
              </w:rPr>
              <w:t xml:space="preserve"> de 400 lei;</w:t>
            </w:r>
          </w:p>
          <w:p w:rsidR="00451286" w:rsidRPr="00FA72AA" w:rsidRDefault="00451286" w:rsidP="005126EC">
            <w:pPr>
              <w:numPr>
                <w:ilvl w:val="0"/>
                <w:numId w:val="1"/>
              </w:numPr>
              <w:contextualSpacing/>
              <w:jc w:val="both"/>
              <w:rPr>
                <w:sz w:val="20"/>
                <w:szCs w:val="20"/>
                <w:lang w:val="ro-RO"/>
              </w:rPr>
            </w:pPr>
            <w:r w:rsidRPr="00FA72AA">
              <w:rPr>
                <w:sz w:val="20"/>
                <w:szCs w:val="20"/>
                <w:lang w:val="ro-RO"/>
              </w:rPr>
              <w:t>pentru anul 2017:</w:t>
            </w:r>
          </w:p>
          <w:p w:rsidR="00451286" w:rsidRPr="00FA72AA" w:rsidRDefault="00451286" w:rsidP="005126EC">
            <w:pPr>
              <w:jc w:val="both"/>
              <w:rPr>
                <w:sz w:val="20"/>
                <w:szCs w:val="20"/>
                <w:lang w:val="ro-RO"/>
              </w:rPr>
            </w:pPr>
            <w:r w:rsidRPr="00FA72AA">
              <w:rPr>
                <w:sz w:val="20"/>
                <w:szCs w:val="20"/>
                <w:lang w:val="ro-RO"/>
              </w:rPr>
              <w:t xml:space="preserve"> – 360 lei/1000 </w:t>
            </w:r>
            <w:proofErr w:type="spellStart"/>
            <w:r w:rsidRPr="00FA72AA">
              <w:rPr>
                <w:sz w:val="20"/>
                <w:szCs w:val="20"/>
                <w:lang w:val="ro-RO"/>
              </w:rPr>
              <w:t>ţigarete</w:t>
            </w:r>
            <w:proofErr w:type="spellEnd"/>
            <w:r w:rsidRPr="00FA72AA">
              <w:rPr>
                <w:sz w:val="20"/>
                <w:szCs w:val="20"/>
                <w:lang w:val="ro-RO"/>
              </w:rPr>
              <w:t xml:space="preserve"> + 12%, dar nu mai </w:t>
            </w:r>
            <w:proofErr w:type="spellStart"/>
            <w:r w:rsidRPr="00FA72AA">
              <w:rPr>
                <w:sz w:val="20"/>
                <w:szCs w:val="20"/>
                <w:lang w:val="ro-RO"/>
              </w:rPr>
              <w:t>puţin</w:t>
            </w:r>
            <w:proofErr w:type="spellEnd"/>
            <w:r w:rsidRPr="00FA72AA">
              <w:rPr>
                <w:sz w:val="20"/>
                <w:szCs w:val="20"/>
                <w:lang w:val="ro-RO"/>
              </w:rPr>
              <w:t xml:space="preserve"> de 480 lei;</w:t>
            </w:r>
          </w:p>
          <w:p w:rsidR="00451286" w:rsidRPr="00FA72AA" w:rsidRDefault="00451286" w:rsidP="005126EC">
            <w:pPr>
              <w:numPr>
                <w:ilvl w:val="0"/>
                <w:numId w:val="1"/>
              </w:numPr>
              <w:contextualSpacing/>
              <w:jc w:val="both"/>
              <w:rPr>
                <w:sz w:val="20"/>
                <w:szCs w:val="20"/>
                <w:lang w:val="ro-RO"/>
              </w:rPr>
            </w:pPr>
            <w:r w:rsidRPr="00FA72AA">
              <w:rPr>
                <w:sz w:val="20"/>
                <w:szCs w:val="20"/>
                <w:lang w:val="ro-RO"/>
              </w:rPr>
              <w:t>pentru anul 2018:</w:t>
            </w:r>
          </w:p>
          <w:p w:rsidR="00451286" w:rsidRPr="00FA72AA" w:rsidRDefault="00451286" w:rsidP="005126EC">
            <w:pPr>
              <w:jc w:val="both"/>
              <w:rPr>
                <w:sz w:val="20"/>
                <w:szCs w:val="20"/>
                <w:lang w:val="ro-RO"/>
              </w:rPr>
            </w:pPr>
            <w:r w:rsidRPr="00FA72AA">
              <w:rPr>
                <w:sz w:val="20"/>
                <w:szCs w:val="20"/>
                <w:lang w:val="ro-RO"/>
              </w:rPr>
              <w:t xml:space="preserve"> – 410 lei/1000 </w:t>
            </w:r>
            <w:proofErr w:type="spellStart"/>
            <w:r w:rsidRPr="00FA72AA">
              <w:rPr>
                <w:sz w:val="20"/>
                <w:szCs w:val="20"/>
                <w:lang w:val="ro-RO"/>
              </w:rPr>
              <w:t>ţigarete</w:t>
            </w:r>
            <w:proofErr w:type="spellEnd"/>
            <w:r w:rsidRPr="00FA72AA">
              <w:rPr>
                <w:sz w:val="20"/>
                <w:szCs w:val="20"/>
                <w:lang w:val="ro-RO"/>
              </w:rPr>
              <w:t xml:space="preserve"> + 12%, dar nu mai </w:t>
            </w:r>
            <w:proofErr w:type="spellStart"/>
            <w:r w:rsidRPr="00FA72AA">
              <w:rPr>
                <w:sz w:val="20"/>
                <w:szCs w:val="20"/>
                <w:lang w:val="ro-RO"/>
              </w:rPr>
              <w:t>puţin</w:t>
            </w:r>
            <w:proofErr w:type="spellEnd"/>
            <w:r w:rsidRPr="00FA72AA">
              <w:rPr>
                <w:sz w:val="20"/>
                <w:szCs w:val="20"/>
                <w:lang w:val="ro-RO"/>
              </w:rPr>
              <w:t xml:space="preserve"> de 540 lei;</w:t>
            </w:r>
          </w:p>
          <w:p w:rsidR="00451286" w:rsidRPr="00FA72AA" w:rsidRDefault="00451286" w:rsidP="005126EC">
            <w:pPr>
              <w:numPr>
                <w:ilvl w:val="0"/>
                <w:numId w:val="1"/>
              </w:numPr>
              <w:contextualSpacing/>
              <w:jc w:val="both"/>
              <w:rPr>
                <w:sz w:val="20"/>
                <w:szCs w:val="20"/>
                <w:lang w:val="ro-RO"/>
              </w:rPr>
            </w:pPr>
            <w:r w:rsidRPr="00FA72AA">
              <w:rPr>
                <w:sz w:val="20"/>
                <w:szCs w:val="20"/>
                <w:lang w:val="ro-RO"/>
              </w:rPr>
              <w:t>pentru anul 2019:</w:t>
            </w:r>
          </w:p>
          <w:p w:rsidR="00451286" w:rsidRPr="00FA72AA" w:rsidRDefault="00451286" w:rsidP="005126EC">
            <w:pPr>
              <w:jc w:val="both"/>
              <w:rPr>
                <w:sz w:val="20"/>
                <w:szCs w:val="20"/>
                <w:lang w:val="ro-RO"/>
              </w:rPr>
            </w:pPr>
            <w:r w:rsidRPr="00FA72AA">
              <w:rPr>
                <w:sz w:val="20"/>
                <w:szCs w:val="20"/>
                <w:lang w:val="ro-RO"/>
              </w:rPr>
              <w:t xml:space="preserve">- 460 lei/1000 </w:t>
            </w:r>
            <w:proofErr w:type="spellStart"/>
            <w:r w:rsidRPr="00FA72AA">
              <w:rPr>
                <w:sz w:val="20"/>
                <w:szCs w:val="20"/>
                <w:lang w:val="ro-RO"/>
              </w:rPr>
              <w:t>ţigarete</w:t>
            </w:r>
            <w:proofErr w:type="spellEnd"/>
            <w:r w:rsidRPr="00FA72AA">
              <w:rPr>
                <w:sz w:val="20"/>
                <w:szCs w:val="20"/>
                <w:lang w:val="ro-RO"/>
              </w:rPr>
              <w:t xml:space="preserve"> + 12%, dar nu mai </w:t>
            </w:r>
            <w:proofErr w:type="spellStart"/>
            <w:r w:rsidRPr="00FA72AA">
              <w:rPr>
                <w:sz w:val="20"/>
                <w:szCs w:val="20"/>
                <w:lang w:val="ro-RO"/>
              </w:rPr>
              <w:t>puţin</w:t>
            </w:r>
            <w:proofErr w:type="spellEnd"/>
            <w:r w:rsidRPr="00FA72AA">
              <w:rPr>
                <w:sz w:val="20"/>
                <w:szCs w:val="20"/>
                <w:lang w:val="ro-RO"/>
              </w:rPr>
              <w:t xml:space="preserve"> de 610 lei;</w:t>
            </w:r>
          </w:p>
          <w:p w:rsidR="00451286" w:rsidRPr="00FA72AA" w:rsidRDefault="00451286" w:rsidP="005126EC">
            <w:pPr>
              <w:numPr>
                <w:ilvl w:val="0"/>
                <w:numId w:val="1"/>
              </w:numPr>
              <w:contextualSpacing/>
              <w:jc w:val="both"/>
              <w:rPr>
                <w:sz w:val="20"/>
                <w:szCs w:val="20"/>
                <w:lang w:val="ro-RO"/>
              </w:rPr>
            </w:pPr>
            <w:r w:rsidRPr="00FA72AA">
              <w:rPr>
                <w:sz w:val="20"/>
                <w:szCs w:val="20"/>
                <w:lang w:val="ro-RO"/>
              </w:rPr>
              <w:lastRenderedPageBreak/>
              <w:t xml:space="preserve"> pentru anul 2020 (cote stabilite prin Legea nr.288 din 15.12.2017 cu privire la modificarea și completarea unor acte legislative):</w:t>
            </w:r>
          </w:p>
          <w:p w:rsidR="00451286" w:rsidRPr="00FA72AA" w:rsidRDefault="00451286" w:rsidP="005126EC">
            <w:pPr>
              <w:jc w:val="both"/>
              <w:rPr>
                <w:sz w:val="20"/>
                <w:szCs w:val="20"/>
                <w:lang w:val="ro-RO"/>
              </w:rPr>
            </w:pPr>
            <w:r w:rsidRPr="00FA72AA">
              <w:rPr>
                <w:sz w:val="20"/>
                <w:szCs w:val="20"/>
                <w:lang w:val="ro-RO"/>
              </w:rPr>
              <w:t xml:space="preserve"> - 540 lei/1000 </w:t>
            </w:r>
            <w:proofErr w:type="spellStart"/>
            <w:r w:rsidRPr="00FA72AA">
              <w:rPr>
                <w:sz w:val="20"/>
                <w:szCs w:val="20"/>
                <w:lang w:val="ro-RO"/>
              </w:rPr>
              <w:t>ţigarete</w:t>
            </w:r>
            <w:proofErr w:type="spellEnd"/>
            <w:r w:rsidRPr="00FA72AA">
              <w:rPr>
                <w:sz w:val="20"/>
                <w:szCs w:val="20"/>
                <w:lang w:val="ro-RO"/>
              </w:rPr>
              <w:t xml:space="preserve"> + 13%, dar nu mai </w:t>
            </w:r>
            <w:proofErr w:type="spellStart"/>
            <w:r w:rsidRPr="00FA72AA">
              <w:rPr>
                <w:sz w:val="20"/>
                <w:szCs w:val="20"/>
                <w:lang w:val="ro-RO"/>
              </w:rPr>
              <w:t>puţin</w:t>
            </w:r>
            <w:proofErr w:type="spellEnd"/>
            <w:r w:rsidRPr="00FA72AA">
              <w:rPr>
                <w:sz w:val="20"/>
                <w:szCs w:val="20"/>
                <w:lang w:val="ro-RO"/>
              </w:rPr>
              <w:t xml:space="preserve"> de 700 lei.</w:t>
            </w:r>
          </w:p>
          <w:p w:rsidR="00451286" w:rsidRPr="00FA72AA" w:rsidRDefault="00451286" w:rsidP="005126EC">
            <w:pPr>
              <w:jc w:val="both"/>
              <w:rPr>
                <w:sz w:val="20"/>
                <w:szCs w:val="20"/>
                <w:lang w:val="ro-RO"/>
              </w:rPr>
            </w:pPr>
            <w:r w:rsidRPr="00FA72AA">
              <w:rPr>
                <w:sz w:val="20"/>
                <w:szCs w:val="20"/>
                <w:lang w:val="ro-RO"/>
              </w:rPr>
              <w:t xml:space="preserve">Totodată, </w:t>
            </w:r>
            <w:proofErr w:type="spellStart"/>
            <w:r w:rsidRPr="00FA72AA">
              <w:rPr>
                <w:sz w:val="20"/>
                <w:szCs w:val="20"/>
                <w:lang w:val="ro-RO"/>
              </w:rPr>
              <w:t>începînd</w:t>
            </w:r>
            <w:proofErr w:type="spellEnd"/>
            <w:r w:rsidRPr="00FA72AA">
              <w:rPr>
                <w:sz w:val="20"/>
                <w:szCs w:val="20"/>
                <w:lang w:val="ro-RO"/>
              </w:rPr>
              <w:t xml:space="preserve"> cu anul 2018, a fost introdusă componenta ad </w:t>
            </w:r>
            <w:proofErr w:type="spellStart"/>
            <w:r w:rsidRPr="00FA72AA">
              <w:rPr>
                <w:sz w:val="20"/>
                <w:szCs w:val="20"/>
                <w:lang w:val="ro-RO"/>
              </w:rPr>
              <w:t>valorem</w:t>
            </w:r>
            <w:proofErr w:type="spellEnd"/>
            <w:r w:rsidRPr="00FA72AA">
              <w:rPr>
                <w:sz w:val="20"/>
                <w:szCs w:val="20"/>
                <w:lang w:val="ro-RO"/>
              </w:rPr>
              <w:t xml:space="preserve"> pentru țigaretele fără filtru în mărime de 3% cu majorarea acesteia de la  3 % </w:t>
            </w:r>
            <w:proofErr w:type="spellStart"/>
            <w:r w:rsidRPr="00FA72AA">
              <w:rPr>
                <w:sz w:val="20"/>
                <w:szCs w:val="20"/>
                <w:lang w:val="ro-RO"/>
              </w:rPr>
              <w:t>pînă</w:t>
            </w:r>
            <w:proofErr w:type="spellEnd"/>
            <w:r w:rsidRPr="00FA72AA">
              <w:rPr>
                <w:sz w:val="20"/>
                <w:szCs w:val="20"/>
                <w:lang w:val="ro-RO"/>
              </w:rPr>
              <w:t xml:space="preserve"> la 9% </w:t>
            </w:r>
            <w:proofErr w:type="spellStart"/>
            <w:r w:rsidRPr="00FA72AA">
              <w:rPr>
                <w:sz w:val="20"/>
                <w:szCs w:val="20"/>
                <w:lang w:val="ro-RO"/>
              </w:rPr>
              <w:t>pînă</w:t>
            </w:r>
            <w:proofErr w:type="spellEnd"/>
            <w:r w:rsidRPr="00FA72AA">
              <w:rPr>
                <w:sz w:val="20"/>
                <w:szCs w:val="20"/>
                <w:lang w:val="ro-RO"/>
              </w:rPr>
              <w:t xml:space="preserve"> în 2020, după cum urmează:</w:t>
            </w:r>
          </w:p>
          <w:p w:rsidR="00451286" w:rsidRPr="00FA72AA" w:rsidRDefault="00451286" w:rsidP="005126EC">
            <w:pPr>
              <w:jc w:val="both"/>
              <w:rPr>
                <w:sz w:val="20"/>
                <w:szCs w:val="20"/>
                <w:lang w:val="ro-RO"/>
              </w:rPr>
            </w:pPr>
            <w:r w:rsidRPr="00FA72AA">
              <w:rPr>
                <w:sz w:val="20"/>
                <w:szCs w:val="20"/>
                <w:lang w:val="ro-RO"/>
              </w:rPr>
              <w:t>•</w:t>
            </w:r>
            <w:r w:rsidRPr="00FA72AA">
              <w:rPr>
                <w:sz w:val="20"/>
                <w:szCs w:val="20"/>
                <w:lang w:val="ro-RO"/>
              </w:rPr>
              <w:tab/>
              <w:t>pentru anul 2018 (cote stabilite prin Legea nr.288 din 15.12.2017 cu privire la modificarea și completarea unor acte legislative):</w:t>
            </w:r>
          </w:p>
          <w:p w:rsidR="00451286" w:rsidRPr="00FA72AA" w:rsidRDefault="00451286" w:rsidP="005126EC">
            <w:pPr>
              <w:jc w:val="both"/>
              <w:rPr>
                <w:sz w:val="20"/>
                <w:szCs w:val="20"/>
                <w:lang w:val="ro-RO"/>
              </w:rPr>
            </w:pPr>
            <w:r w:rsidRPr="00FA72AA">
              <w:rPr>
                <w:sz w:val="20"/>
                <w:szCs w:val="20"/>
                <w:lang w:val="ro-RO"/>
              </w:rPr>
              <w:t xml:space="preserve"> - ovale cu lungimea de </w:t>
            </w:r>
            <w:proofErr w:type="spellStart"/>
            <w:r w:rsidRPr="00FA72AA">
              <w:rPr>
                <w:sz w:val="20"/>
                <w:szCs w:val="20"/>
                <w:lang w:val="ro-RO"/>
              </w:rPr>
              <w:t>pînă</w:t>
            </w:r>
            <w:proofErr w:type="spellEnd"/>
            <w:r w:rsidRPr="00FA72AA">
              <w:rPr>
                <w:sz w:val="20"/>
                <w:szCs w:val="20"/>
                <w:lang w:val="ro-RO"/>
              </w:rPr>
              <w:t xml:space="preserve"> la 70 mm - 260 lei/ 1000 țigarete + 3%;</w:t>
            </w:r>
          </w:p>
          <w:p w:rsidR="00451286" w:rsidRPr="00FA72AA" w:rsidRDefault="00451286" w:rsidP="005126EC">
            <w:pPr>
              <w:jc w:val="both"/>
              <w:rPr>
                <w:sz w:val="20"/>
                <w:szCs w:val="20"/>
                <w:lang w:val="ro-RO"/>
              </w:rPr>
            </w:pPr>
            <w:r w:rsidRPr="00FA72AA">
              <w:rPr>
                <w:sz w:val="20"/>
                <w:szCs w:val="20"/>
                <w:lang w:val="ro-RO"/>
              </w:rPr>
              <w:t xml:space="preserve">- cu </w:t>
            </w:r>
            <w:proofErr w:type="spellStart"/>
            <w:r w:rsidRPr="00FA72AA">
              <w:rPr>
                <w:sz w:val="20"/>
                <w:szCs w:val="20"/>
                <w:lang w:val="ro-RO"/>
              </w:rPr>
              <w:t>muştiuc</w:t>
            </w:r>
            <w:proofErr w:type="spellEnd"/>
            <w:r w:rsidRPr="00FA72AA">
              <w:rPr>
                <w:sz w:val="20"/>
                <w:szCs w:val="20"/>
                <w:lang w:val="ro-RO"/>
              </w:rPr>
              <w:t>, altele – 300 lei/ 1000 țigarete + 3%;</w:t>
            </w:r>
          </w:p>
          <w:p w:rsidR="00451286" w:rsidRPr="00FA72AA" w:rsidRDefault="00451286" w:rsidP="005126EC">
            <w:pPr>
              <w:jc w:val="both"/>
              <w:rPr>
                <w:sz w:val="20"/>
                <w:szCs w:val="20"/>
                <w:lang w:val="ro-RO"/>
              </w:rPr>
            </w:pPr>
            <w:r w:rsidRPr="00FA72AA">
              <w:rPr>
                <w:sz w:val="20"/>
                <w:szCs w:val="20"/>
                <w:lang w:val="ro-RO"/>
              </w:rPr>
              <w:t>•</w:t>
            </w:r>
            <w:r w:rsidRPr="00FA72AA">
              <w:rPr>
                <w:sz w:val="20"/>
                <w:szCs w:val="20"/>
                <w:lang w:val="ro-RO"/>
              </w:rPr>
              <w:tab/>
              <w:t>pentru anul 2019 (cote stabilite prin Legea nr.288 din 15.12.2017 cu privire la modificarea și completarea unor acte legislative):</w:t>
            </w:r>
          </w:p>
          <w:p w:rsidR="00451286" w:rsidRPr="00FA72AA" w:rsidRDefault="00451286" w:rsidP="005126EC">
            <w:pPr>
              <w:jc w:val="both"/>
              <w:rPr>
                <w:sz w:val="20"/>
                <w:szCs w:val="20"/>
                <w:lang w:val="ro-RO"/>
              </w:rPr>
            </w:pPr>
            <w:r w:rsidRPr="00FA72AA">
              <w:rPr>
                <w:sz w:val="20"/>
                <w:szCs w:val="20"/>
                <w:lang w:val="ro-RO"/>
              </w:rPr>
              <w:t xml:space="preserve"> - ovale cu lungimea de </w:t>
            </w:r>
            <w:proofErr w:type="spellStart"/>
            <w:r w:rsidRPr="00FA72AA">
              <w:rPr>
                <w:sz w:val="20"/>
                <w:szCs w:val="20"/>
                <w:lang w:val="ro-RO"/>
              </w:rPr>
              <w:t>pînă</w:t>
            </w:r>
            <w:proofErr w:type="spellEnd"/>
            <w:r w:rsidRPr="00FA72AA">
              <w:rPr>
                <w:sz w:val="20"/>
                <w:szCs w:val="20"/>
                <w:lang w:val="ro-RO"/>
              </w:rPr>
              <w:t xml:space="preserve"> la 70 mm - 360 lei/ 1000 țigarete + 6%;</w:t>
            </w:r>
          </w:p>
          <w:p w:rsidR="00451286" w:rsidRPr="00FA72AA" w:rsidRDefault="00451286" w:rsidP="005126EC">
            <w:pPr>
              <w:jc w:val="both"/>
              <w:rPr>
                <w:sz w:val="20"/>
                <w:szCs w:val="20"/>
                <w:lang w:val="ro-RO"/>
              </w:rPr>
            </w:pPr>
            <w:r w:rsidRPr="00FA72AA">
              <w:rPr>
                <w:sz w:val="20"/>
                <w:szCs w:val="20"/>
                <w:lang w:val="ro-RO"/>
              </w:rPr>
              <w:t xml:space="preserve">- cu </w:t>
            </w:r>
            <w:proofErr w:type="spellStart"/>
            <w:r w:rsidRPr="00FA72AA">
              <w:rPr>
                <w:sz w:val="20"/>
                <w:szCs w:val="20"/>
                <w:lang w:val="ro-RO"/>
              </w:rPr>
              <w:t>muştiuc</w:t>
            </w:r>
            <w:proofErr w:type="spellEnd"/>
            <w:r w:rsidRPr="00FA72AA">
              <w:rPr>
                <w:sz w:val="20"/>
                <w:szCs w:val="20"/>
                <w:lang w:val="ro-RO"/>
              </w:rPr>
              <w:t>, altele – 460 lei/ 1000 țigarete + 6%;</w:t>
            </w:r>
          </w:p>
          <w:p w:rsidR="00451286" w:rsidRPr="00FA72AA" w:rsidRDefault="00451286" w:rsidP="005126EC">
            <w:pPr>
              <w:jc w:val="both"/>
              <w:rPr>
                <w:sz w:val="20"/>
                <w:szCs w:val="20"/>
                <w:lang w:val="ro-RO"/>
              </w:rPr>
            </w:pPr>
            <w:r w:rsidRPr="00FA72AA">
              <w:rPr>
                <w:sz w:val="20"/>
                <w:szCs w:val="20"/>
                <w:lang w:val="ro-RO"/>
              </w:rPr>
              <w:t>•</w:t>
            </w:r>
            <w:r w:rsidRPr="00FA72AA">
              <w:rPr>
                <w:sz w:val="20"/>
                <w:szCs w:val="20"/>
                <w:lang w:val="ro-RO"/>
              </w:rPr>
              <w:tab/>
              <w:t>pentru anul 2020 (cote stabilite prin Legea nr.288 din 15.12.2017 cu privire la modificarea și completarea unor acte legislative):</w:t>
            </w:r>
          </w:p>
          <w:p w:rsidR="00451286" w:rsidRPr="00FA72AA" w:rsidRDefault="00451286" w:rsidP="005126EC">
            <w:pPr>
              <w:jc w:val="both"/>
              <w:rPr>
                <w:sz w:val="20"/>
                <w:szCs w:val="20"/>
                <w:lang w:val="ro-RO"/>
              </w:rPr>
            </w:pPr>
            <w:r w:rsidRPr="00FA72AA">
              <w:rPr>
                <w:sz w:val="20"/>
                <w:szCs w:val="20"/>
                <w:lang w:val="ro-RO"/>
              </w:rPr>
              <w:t xml:space="preserve">- ovale cu lungimea de </w:t>
            </w:r>
            <w:proofErr w:type="spellStart"/>
            <w:r w:rsidRPr="00FA72AA">
              <w:rPr>
                <w:sz w:val="20"/>
                <w:szCs w:val="20"/>
                <w:lang w:val="ro-RO"/>
              </w:rPr>
              <w:t>pînă</w:t>
            </w:r>
            <w:proofErr w:type="spellEnd"/>
            <w:r w:rsidRPr="00FA72AA">
              <w:rPr>
                <w:sz w:val="20"/>
                <w:szCs w:val="20"/>
                <w:lang w:val="ro-RO"/>
              </w:rPr>
              <w:t xml:space="preserve"> la 70 mm - 480 lei/ 1000 țigarete + 9%;</w:t>
            </w:r>
          </w:p>
          <w:p w:rsidR="00451286" w:rsidRPr="00FA72AA" w:rsidRDefault="00451286" w:rsidP="005126EC">
            <w:pPr>
              <w:jc w:val="both"/>
              <w:rPr>
                <w:sz w:val="20"/>
                <w:szCs w:val="20"/>
                <w:lang w:val="ro-RO"/>
              </w:rPr>
            </w:pPr>
            <w:r w:rsidRPr="00FA72AA">
              <w:rPr>
                <w:sz w:val="20"/>
                <w:szCs w:val="20"/>
                <w:lang w:val="ro-RO"/>
              </w:rPr>
              <w:t xml:space="preserve">- cu </w:t>
            </w:r>
            <w:proofErr w:type="spellStart"/>
            <w:r w:rsidRPr="00FA72AA">
              <w:rPr>
                <w:sz w:val="20"/>
                <w:szCs w:val="20"/>
                <w:lang w:val="ro-RO"/>
              </w:rPr>
              <w:t>muştiuc</w:t>
            </w:r>
            <w:proofErr w:type="spellEnd"/>
            <w:r w:rsidRPr="00FA72AA">
              <w:rPr>
                <w:sz w:val="20"/>
                <w:szCs w:val="20"/>
                <w:lang w:val="ro-RO"/>
              </w:rPr>
              <w:t>, altele – 540 lei/ 1000 țigarete + 9%.</w:t>
            </w:r>
          </w:p>
        </w:tc>
        <w:tc>
          <w:tcPr>
            <w:tcW w:w="7938" w:type="dxa"/>
            <w:shd w:val="clear" w:color="auto" w:fill="FFFFFF" w:themeFill="background1"/>
          </w:tcPr>
          <w:p w:rsidR="00451286" w:rsidRPr="00FA72AA" w:rsidRDefault="00451286" w:rsidP="005126EC">
            <w:pPr>
              <w:pStyle w:val="ListParagraph"/>
              <w:numPr>
                <w:ilvl w:val="0"/>
                <w:numId w:val="12"/>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lastRenderedPageBreak/>
              <w:t xml:space="preserve">Acumularea de noi surse financiare la buget (din accizele la produsele din  tutun în anul 2018 au fost înregistrate încasări în sumă de 1,8 </w:t>
            </w:r>
            <w:proofErr w:type="spellStart"/>
            <w:r w:rsidRPr="00FA72AA">
              <w:rPr>
                <w:rFonts w:ascii="Times New Roman" w:hAnsi="Times New Roman"/>
                <w:sz w:val="20"/>
                <w:szCs w:val="20"/>
                <w:lang w:val="ro-RO"/>
              </w:rPr>
              <w:t>mlrd</w:t>
            </w:r>
            <w:proofErr w:type="spellEnd"/>
            <w:r w:rsidRPr="00FA72AA">
              <w:rPr>
                <w:rFonts w:ascii="Times New Roman" w:hAnsi="Times New Roman"/>
                <w:sz w:val="20"/>
                <w:szCs w:val="20"/>
                <w:lang w:val="ro-RO"/>
              </w:rPr>
              <w:t xml:space="preserve"> lei, cu o creștere de aproximativ 37% în comparație cu anul 2015 fiind înregistrat încasări în sumă de 1,3 </w:t>
            </w:r>
            <w:proofErr w:type="spellStart"/>
            <w:r w:rsidRPr="00FA72AA">
              <w:rPr>
                <w:rFonts w:ascii="Times New Roman" w:hAnsi="Times New Roman"/>
                <w:sz w:val="20"/>
                <w:szCs w:val="20"/>
                <w:lang w:val="ro-RO"/>
              </w:rPr>
              <w:t>mlrd</w:t>
            </w:r>
            <w:proofErr w:type="spellEnd"/>
            <w:r w:rsidRPr="00FA72AA">
              <w:rPr>
                <w:rFonts w:ascii="Times New Roman" w:hAnsi="Times New Roman"/>
                <w:sz w:val="20"/>
                <w:szCs w:val="20"/>
                <w:lang w:val="ro-RO"/>
              </w:rPr>
              <w:t xml:space="preserve"> lei).</w:t>
            </w:r>
          </w:p>
          <w:p w:rsidR="00451286" w:rsidRPr="00FA72AA" w:rsidRDefault="00451286" w:rsidP="005126EC">
            <w:pPr>
              <w:pStyle w:val="ListParagraph"/>
              <w:numPr>
                <w:ilvl w:val="0"/>
                <w:numId w:val="12"/>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Diminuarea consumului articolelor din tutun, mărfuri ce au o </w:t>
            </w:r>
            <w:proofErr w:type="spellStart"/>
            <w:r w:rsidRPr="00FA72AA">
              <w:rPr>
                <w:rFonts w:ascii="Times New Roman" w:hAnsi="Times New Roman"/>
                <w:sz w:val="20"/>
                <w:szCs w:val="20"/>
                <w:lang w:val="ro-RO"/>
              </w:rPr>
              <w:t>influenţă</w:t>
            </w:r>
            <w:proofErr w:type="spellEnd"/>
            <w:r w:rsidRPr="00FA72AA">
              <w:rPr>
                <w:rFonts w:ascii="Times New Roman" w:hAnsi="Times New Roman"/>
                <w:sz w:val="20"/>
                <w:szCs w:val="20"/>
                <w:lang w:val="ro-RO"/>
              </w:rPr>
              <w:t xml:space="preserve"> negativă asupra </w:t>
            </w:r>
            <w:proofErr w:type="spellStart"/>
            <w:r w:rsidRPr="00FA72AA">
              <w:rPr>
                <w:rFonts w:ascii="Times New Roman" w:hAnsi="Times New Roman"/>
                <w:sz w:val="20"/>
                <w:szCs w:val="20"/>
                <w:lang w:val="ro-RO"/>
              </w:rPr>
              <w:t>sănătăţii</w:t>
            </w:r>
            <w:proofErr w:type="spellEnd"/>
            <w:r w:rsidRPr="00FA72AA">
              <w:rPr>
                <w:rFonts w:ascii="Times New Roman" w:hAnsi="Times New Roman"/>
                <w:sz w:val="20"/>
                <w:szCs w:val="20"/>
                <w:lang w:val="ro-RO"/>
              </w:rPr>
              <w:t xml:space="preserve"> </w:t>
            </w:r>
            <w:proofErr w:type="spellStart"/>
            <w:r w:rsidRPr="00FA72AA">
              <w:rPr>
                <w:rFonts w:ascii="Times New Roman" w:hAnsi="Times New Roman"/>
                <w:sz w:val="20"/>
                <w:szCs w:val="20"/>
                <w:lang w:val="ro-RO"/>
              </w:rPr>
              <w:t>populaţiei</w:t>
            </w:r>
            <w:proofErr w:type="spellEnd"/>
            <w:r w:rsidRPr="00FA72AA">
              <w:rPr>
                <w:rFonts w:ascii="Times New Roman" w:hAnsi="Times New Roman"/>
                <w:sz w:val="20"/>
                <w:szCs w:val="20"/>
                <w:lang w:val="ro-RO"/>
              </w:rPr>
              <w:t xml:space="preserv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a dezvoltării </w:t>
            </w:r>
            <w:proofErr w:type="spellStart"/>
            <w:r w:rsidRPr="00FA72AA">
              <w:rPr>
                <w:rFonts w:ascii="Times New Roman" w:hAnsi="Times New Roman"/>
                <w:sz w:val="20"/>
                <w:szCs w:val="20"/>
                <w:lang w:val="ro-RO"/>
              </w:rPr>
              <w:t>societăţii</w:t>
            </w:r>
            <w:proofErr w:type="spellEnd"/>
            <w:r w:rsidRPr="00FA72AA">
              <w:rPr>
                <w:rFonts w:ascii="Times New Roman" w:hAnsi="Times New Roman"/>
                <w:sz w:val="20"/>
                <w:szCs w:val="20"/>
                <w:lang w:val="ro-RO"/>
              </w:rPr>
              <w:t xml:space="preserve"> în general;</w:t>
            </w:r>
          </w:p>
          <w:p w:rsidR="00451286" w:rsidRPr="00FA72AA" w:rsidRDefault="00451286" w:rsidP="005126EC">
            <w:pPr>
              <w:pStyle w:val="ListParagraph"/>
              <w:numPr>
                <w:ilvl w:val="0"/>
                <w:numId w:val="18"/>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Reducerea nivelului de comerț ilicit a produselor din tutun în spațiul UE.</w:t>
            </w:r>
          </w:p>
        </w:tc>
      </w:tr>
      <w:tr w:rsidR="00451286" w:rsidRPr="003973DD" w:rsidTr="005126EC">
        <w:trPr>
          <w:trHeight w:val="579"/>
        </w:trPr>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 xml:space="preserve">Realizare-cheie: Armonizarea Codului fiscal al Republicii Moldova în materie de TVA și accize cu directivele relevante ale UE, în conformitate cu dispozițiile din anexa VI la AA; Apropierea legislației Republicii Moldova în materie de scutiri de </w:t>
            </w:r>
            <w:r w:rsidRPr="00FA72AA">
              <w:rPr>
                <w:b/>
                <w:sz w:val="20"/>
                <w:szCs w:val="20"/>
                <w:u w:val="single"/>
                <w:lang w:val="ro-RO"/>
              </w:rPr>
              <w:t>TVA și accize</w:t>
            </w:r>
            <w:r w:rsidRPr="00FA72AA">
              <w:rPr>
                <w:b/>
                <w:sz w:val="20"/>
                <w:szCs w:val="20"/>
                <w:lang w:val="ro-RO"/>
              </w:rPr>
              <w:t xml:space="preserve"> de legislația UE, în conformitate cu anexa VI din AA;</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Prin </w:t>
            </w:r>
            <w:r w:rsidRPr="00FA72AA">
              <w:rPr>
                <w:b/>
                <w:i/>
                <w:sz w:val="20"/>
                <w:szCs w:val="20"/>
                <w:lang w:val="ro-RO"/>
              </w:rPr>
              <w:t>Legea nr.288/2017 cu privire la modificarea și completarea unor acte legislative</w:t>
            </w:r>
            <w:r w:rsidRPr="00FA72AA">
              <w:rPr>
                <w:sz w:val="20"/>
                <w:szCs w:val="20"/>
                <w:lang w:val="ro-RO"/>
              </w:rPr>
              <w:t xml:space="preserve"> au fost realizate următoarele:</w:t>
            </w:r>
          </w:p>
          <w:p w:rsidR="00451286" w:rsidRPr="00FA72AA" w:rsidRDefault="00451286" w:rsidP="005126EC">
            <w:pPr>
              <w:jc w:val="both"/>
              <w:rPr>
                <w:sz w:val="20"/>
                <w:szCs w:val="20"/>
                <w:lang w:val="ro-RO"/>
              </w:rPr>
            </w:pPr>
            <w:r w:rsidRPr="00FA72AA">
              <w:rPr>
                <w:sz w:val="20"/>
                <w:szCs w:val="20"/>
                <w:lang w:val="ro-RO"/>
              </w:rPr>
              <w:t>a)</w:t>
            </w:r>
            <w:r w:rsidRPr="00FA72AA">
              <w:rPr>
                <w:sz w:val="20"/>
                <w:szCs w:val="20"/>
                <w:lang w:val="ro-RO"/>
              </w:rPr>
              <w:tab/>
              <w:t xml:space="preserve"> majorarea pragului  financiar neimpozabil </w:t>
            </w:r>
            <w:proofErr w:type="spellStart"/>
            <w:r w:rsidRPr="00FA72AA">
              <w:rPr>
                <w:sz w:val="20"/>
                <w:szCs w:val="20"/>
                <w:lang w:val="ro-RO"/>
              </w:rPr>
              <w:t>pînă</w:t>
            </w:r>
            <w:proofErr w:type="spellEnd"/>
            <w:r w:rsidRPr="00FA72AA">
              <w:rPr>
                <w:sz w:val="20"/>
                <w:szCs w:val="20"/>
                <w:lang w:val="ro-RO"/>
              </w:rPr>
              <w:t xml:space="preserve"> la 430 euro pentru bunurile importate în scopuri necomerciale de către persoanele care folosesc transportul aerian și maritim. Propunerea de majorare a pragului financiar de la 300 de euro la 430 de euro este argumentată de necesitatea armonizării legislației naționale la prevederile Regulamentului (CE) nr.1186/2009 din 16 noiembrie 2009 de instituire a unui regim comunitar de scutiri de taxe vamale și la prevederile Directivei 2007/74/CE din 20.12.2007 privind scutirea de taxa pe valoarea adăugată și de accize pentru bunurile importate de către persoanele care călătoresc în țări terțe;</w:t>
            </w:r>
          </w:p>
          <w:p w:rsidR="00451286" w:rsidRPr="00FA72AA" w:rsidRDefault="00451286" w:rsidP="005126EC">
            <w:pPr>
              <w:jc w:val="both"/>
              <w:rPr>
                <w:sz w:val="20"/>
                <w:szCs w:val="20"/>
                <w:lang w:val="ro-RO"/>
              </w:rPr>
            </w:pPr>
            <w:r w:rsidRPr="00FA72AA">
              <w:rPr>
                <w:sz w:val="20"/>
                <w:szCs w:val="20"/>
                <w:lang w:val="ro-RO"/>
              </w:rPr>
              <w:t>b)</w:t>
            </w:r>
            <w:r w:rsidRPr="00FA72AA">
              <w:rPr>
                <w:sz w:val="20"/>
                <w:szCs w:val="20"/>
                <w:lang w:val="ro-RO"/>
              </w:rPr>
              <w:tab/>
              <w:t xml:space="preserve">modificarea </w:t>
            </w:r>
            <w:proofErr w:type="spellStart"/>
            <w:r w:rsidRPr="00FA72AA">
              <w:rPr>
                <w:sz w:val="20"/>
                <w:szCs w:val="20"/>
                <w:lang w:val="ro-RO"/>
              </w:rPr>
              <w:t>şi</w:t>
            </w:r>
            <w:proofErr w:type="spellEnd"/>
            <w:r w:rsidRPr="00FA72AA">
              <w:rPr>
                <w:sz w:val="20"/>
                <w:szCs w:val="20"/>
                <w:lang w:val="ro-RO"/>
              </w:rPr>
              <w:t xml:space="preserve"> completarea Titlului III din Codul fiscal, în contextul alinierii </w:t>
            </w:r>
            <w:proofErr w:type="spellStart"/>
            <w:r w:rsidRPr="00FA72AA">
              <w:rPr>
                <w:sz w:val="20"/>
                <w:szCs w:val="20"/>
                <w:lang w:val="ro-RO"/>
              </w:rPr>
              <w:t>parţiale</w:t>
            </w:r>
            <w:proofErr w:type="spellEnd"/>
            <w:r w:rsidRPr="00FA72AA">
              <w:rPr>
                <w:sz w:val="20"/>
                <w:szCs w:val="20"/>
                <w:lang w:val="ro-RO"/>
              </w:rPr>
              <w:t xml:space="preserve"> la:</w:t>
            </w:r>
          </w:p>
          <w:p w:rsidR="00451286" w:rsidRPr="00FA72AA" w:rsidRDefault="00451286" w:rsidP="005126EC">
            <w:pPr>
              <w:jc w:val="both"/>
              <w:rPr>
                <w:sz w:val="20"/>
                <w:szCs w:val="20"/>
                <w:lang w:val="ro-RO"/>
              </w:rPr>
            </w:pPr>
            <w:r w:rsidRPr="00FA72AA">
              <w:rPr>
                <w:sz w:val="20"/>
                <w:szCs w:val="20"/>
                <w:lang w:val="ro-RO"/>
              </w:rPr>
              <w:t>-</w:t>
            </w:r>
            <w:r w:rsidRPr="00FA72AA">
              <w:rPr>
                <w:sz w:val="20"/>
                <w:szCs w:val="20"/>
                <w:lang w:val="ro-RO"/>
              </w:rPr>
              <w:tab/>
              <w:t xml:space="preserve">Directiva 2006/112/CE a Consiliului Uniunii Europene din 28 noiembrie 2006 privind sistemul comun al taxei pe valoarea </w:t>
            </w:r>
            <w:proofErr w:type="spellStart"/>
            <w:r w:rsidRPr="00FA72AA">
              <w:rPr>
                <w:sz w:val="20"/>
                <w:szCs w:val="20"/>
                <w:lang w:val="ro-RO"/>
              </w:rPr>
              <w:t>adaugată</w:t>
            </w:r>
            <w:proofErr w:type="spellEnd"/>
            <w:r w:rsidRPr="00FA72AA">
              <w:rPr>
                <w:sz w:val="20"/>
                <w:szCs w:val="20"/>
                <w:lang w:val="ro-RO"/>
              </w:rPr>
              <w:t>;</w:t>
            </w:r>
          </w:p>
          <w:p w:rsidR="00451286" w:rsidRPr="00FA72AA" w:rsidRDefault="00451286" w:rsidP="005126EC">
            <w:pPr>
              <w:jc w:val="both"/>
              <w:rPr>
                <w:sz w:val="20"/>
                <w:szCs w:val="20"/>
                <w:lang w:val="ro-RO"/>
              </w:rPr>
            </w:pPr>
            <w:r w:rsidRPr="00FA72AA">
              <w:rPr>
                <w:sz w:val="20"/>
                <w:szCs w:val="20"/>
                <w:lang w:val="ro-RO"/>
              </w:rPr>
              <w:t xml:space="preserve">c) de modificare </w:t>
            </w:r>
            <w:proofErr w:type="spellStart"/>
            <w:r w:rsidRPr="00FA72AA">
              <w:rPr>
                <w:sz w:val="20"/>
                <w:szCs w:val="20"/>
                <w:lang w:val="ro-RO"/>
              </w:rPr>
              <w:t>şi</w:t>
            </w:r>
            <w:proofErr w:type="spellEnd"/>
            <w:r w:rsidRPr="00FA72AA">
              <w:rPr>
                <w:sz w:val="20"/>
                <w:szCs w:val="20"/>
                <w:lang w:val="ro-RO"/>
              </w:rPr>
              <w:t xml:space="preserve"> completare a Titlului IV din Codul fiscal, Legii privind controlul tutunului nr.278-XVI  din  14.12.2007 în contextul alinierii </w:t>
            </w:r>
            <w:proofErr w:type="spellStart"/>
            <w:r w:rsidRPr="00FA72AA">
              <w:rPr>
                <w:sz w:val="20"/>
                <w:szCs w:val="20"/>
                <w:lang w:val="ro-RO"/>
              </w:rPr>
              <w:t>parţiale</w:t>
            </w:r>
            <w:proofErr w:type="spellEnd"/>
            <w:r w:rsidRPr="00FA72AA">
              <w:rPr>
                <w:sz w:val="20"/>
                <w:szCs w:val="20"/>
                <w:lang w:val="ro-RO"/>
              </w:rPr>
              <w:t xml:space="preserve"> la:</w:t>
            </w:r>
          </w:p>
          <w:p w:rsidR="00451286" w:rsidRPr="00FA72AA" w:rsidRDefault="00451286" w:rsidP="005126EC">
            <w:pPr>
              <w:jc w:val="both"/>
              <w:rPr>
                <w:sz w:val="20"/>
                <w:szCs w:val="20"/>
                <w:lang w:val="ro-RO"/>
              </w:rPr>
            </w:pPr>
            <w:r w:rsidRPr="00FA72AA">
              <w:rPr>
                <w:sz w:val="20"/>
                <w:szCs w:val="20"/>
                <w:lang w:val="ro-RO"/>
              </w:rPr>
              <w:t xml:space="preserve"> - Directiva 2008/118/CE a Consiliului din 16.12.2008 privind regimul general al accizelor </w:t>
            </w:r>
            <w:proofErr w:type="spellStart"/>
            <w:r w:rsidRPr="00FA72AA">
              <w:rPr>
                <w:sz w:val="20"/>
                <w:szCs w:val="20"/>
                <w:lang w:val="ro-RO"/>
              </w:rPr>
              <w:t>şi</w:t>
            </w:r>
            <w:proofErr w:type="spellEnd"/>
            <w:r w:rsidRPr="00FA72AA">
              <w:rPr>
                <w:sz w:val="20"/>
                <w:szCs w:val="20"/>
                <w:lang w:val="ro-RO"/>
              </w:rPr>
              <w:t xml:space="preserve"> de abrogare a Directivei 92/12/CEE;</w:t>
            </w:r>
          </w:p>
          <w:p w:rsidR="00451286" w:rsidRPr="00FA72AA" w:rsidRDefault="00451286" w:rsidP="005126EC">
            <w:pPr>
              <w:jc w:val="both"/>
              <w:rPr>
                <w:sz w:val="20"/>
                <w:szCs w:val="20"/>
                <w:lang w:val="ro-RO"/>
              </w:rPr>
            </w:pPr>
            <w:r w:rsidRPr="00FA72AA">
              <w:rPr>
                <w:sz w:val="20"/>
                <w:szCs w:val="20"/>
                <w:lang w:val="ro-RO"/>
              </w:rPr>
              <w:t xml:space="preserve">- - Directiva 92/83/CEE a Consiliului din 19.10.1992 privind armonizarea structurilor accizelor la alcool </w:t>
            </w:r>
            <w:proofErr w:type="spellStart"/>
            <w:r w:rsidRPr="00FA72AA">
              <w:rPr>
                <w:sz w:val="20"/>
                <w:szCs w:val="20"/>
                <w:lang w:val="ro-RO"/>
              </w:rPr>
              <w:t>şi</w:t>
            </w:r>
            <w:proofErr w:type="spellEnd"/>
            <w:r w:rsidRPr="00FA72AA">
              <w:rPr>
                <w:sz w:val="20"/>
                <w:szCs w:val="20"/>
                <w:lang w:val="ro-RO"/>
              </w:rPr>
              <w:t xml:space="preserve"> băuturi alcoolice;</w:t>
            </w:r>
          </w:p>
          <w:p w:rsidR="00451286" w:rsidRPr="00FA72AA" w:rsidRDefault="00451286" w:rsidP="005126EC">
            <w:pPr>
              <w:jc w:val="both"/>
              <w:rPr>
                <w:sz w:val="20"/>
                <w:szCs w:val="20"/>
                <w:lang w:val="ro-RO"/>
              </w:rPr>
            </w:pPr>
            <w:r w:rsidRPr="00FA72AA">
              <w:rPr>
                <w:sz w:val="20"/>
                <w:szCs w:val="20"/>
                <w:lang w:val="ro-RO"/>
              </w:rPr>
              <w:t xml:space="preserve">- Directiva 2003/96/CE a Consiliului din 27.10.2003 privind restructurarea cadrului comunitar de impozitare a produselor energetice </w:t>
            </w:r>
            <w:proofErr w:type="spellStart"/>
            <w:r w:rsidRPr="00FA72AA">
              <w:rPr>
                <w:sz w:val="20"/>
                <w:szCs w:val="20"/>
                <w:lang w:val="ro-RO"/>
              </w:rPr>
              <w:t>şi</w:t>
            </w:r>
            <w:proofErr w:type="spellEnd"/>
            <w:r w:rsidRPr="00FA72AA">
              <w:rPr>
                <w:sz w:val="20"/>
                <w:szCs w:val="20"/>
                <w:lang w:val="ro-RO"/>
              </w:rPr>
              <w:t xml:space="preserve"> a </w:t>
            </w:r>
            <w:proofErr w:type="spellStart"/>
            <w:r w:rsidRPr="00FA72AA">
              <w:rPr>
                <w:sz w:val="20"/>
                <w:szCs w:val="20"/>
                <w:lang w:val="ro-RO"/>
              </w:rPr>
              <w:t>electricităţii</w:t>
            </w:r>
            <w:proofErr w:type="spellEnd"/>
            <w:r w:rsidRPr="00FA72AA">
              <w:rPr>
                <w:sz w:val="20"/>
                <w:szCs w:val="20"/>
                <w:lang w:val="ro-RO"/>
              </w:rPr>
              <w:t>.</w:t>
            </w:r>
          </w:p>
        </w:tc>
        <w:tc>
          <w:tcPr>
            <w:tcW w:w="7938" w:type="dxa"/>
            <w:shd w:val="clear" w:color="auto" w:fill="FFFFFF" w:themeFill="background1"/>
          </w:tcPr>
          <w:p w:rsidR="00451286" w:rsidRPr="00FA72AA" w:rsidRDefault="00451286" w:rsidP="005126EC">
            <w:pPr>
              <w:pStyle w:val="ListParagraph"/>
              <w:numPr>
                <w:ilvl w:val="0"/>
                <w:numId w:val="18"/>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Stabilirea unui cadru de reglementare clar și uniformizat la nivelul țărilor Uniunii Europene;</w:t>
            </w:r>
          </w:p>
          <w:p w:rsidR="00451286" w:rsidRPr="00FA72AA" w:rsidRDefault="00451286" w:rsidP="005126EC">
            <w:pPr>
              <w:pStyle w:val="ListParagraph"/>
              <w:numPr>
                <w:ilvl w:val="0"/>
                <w:numId w:val="18"/>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Eliminarea neconcordanțelor legislative; </w:t>
            </w:r>
          </w:p>
          <w:p w:rsidR="00451286" w:rsidRPr="00FA72AA" w:rsidRDefault="00451286" w:rsidP="005126EC">
            <w:pPr>
              <w:pStyle w:val="ListParagraph"/>
              <w:numPr>
                <w:ilvl w:val="0"/>
                <w:numId w:val="18"/>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Asigurarea bugetului cu resurse adiționale în urma restructurării scutirilor; </w:t>
            </w:r>
          </w:p>
          <w:p w:rsidR="00451286" w:rsidRPr="00FA72AA" w:rsidRDefault="00451286" w:rsidP="005126EC">
            <w:pPr>
              <w:pStyle w:val="ListParagraph"/>
              <w:numPr>
                <w:ilvl w:val="0"/>
                <w:numId w:val="18"/>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Atragerea potențialilor investitori prin asigurarea unui cadru legal neechivoc.</w:t>
            </w:r>
          </w:p>
          <w:p w:rsidR="00451286" w:rsidRPr="00FA72AA" w:rsidRDefault="00451286" w:rsidP="005126EC">
            <w:pPr>
              <w:jc w:val="both"/>
              <w:rPr>
                <w:sz w:val="20"/>
                <w:szCs w:val="20"/>
                <w:lang w:val="ro-RO"/>
              </w:rPr>
            </w:pP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t>TITLUL IV</w:t>
            </w:r>
          </w:p>
          <w:p w:rsidR="00451286" w:rsidRPr="00FA72AA" w:rsidRDefault="00451286" w:rsidP="005126EC">
            <w:pPr>
              <w:jc w:val="center"/>
              <w:rPr>
                <w:b/>
                <w:sz w:val="20"/>
                <w:szCs w:val="20"/>
                <w:lang w:val="ro-RO"/>
              </w:rPr>
            </w:pPr>
            <w:r w:rsidRPr="00FA72AA">
              <w:rPr>
                <w:b/>
                <w:sz w:val="20"/>
                <w:szCs w:val="20"/>
                <w:lang w:val="ro-RO"/>
              </w:rPr>
              <w:t>COOPERAREA ECONOMICĂ ŞI ALTE TIPURI DE COOPERARE SECTORIALĂ</w:t>
            </w:r>
          </w:p>
        </w:tc>
      </w:tr>
      <w:tr w:rsidR="00451286" w:rsidRPr="00FA72AA"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lastRenderedPageBreak/>
              <w:t>CAPITOLUL 9</w:t>
            </w:r>
          </w:p>
          <w:p w:rsidR="00451286" w:rsidRPr="00FA72AA" w:rsidRDefault="00451286" w:rsidP="005126EC">
            <w:pPr>
              <w:jc w:val="center"/>
              <w:rPr>
                <w:sz w:val="20"/>
                <w:szCs w:val="20"/>
                <w:lang w:val="ro-RO"/>
              </w:rPr>
            </w:pPr>
            <w:r w:rsidRPr="00FA72AA">
              <w:rPr>
                <w:b/>
                <w:sz w:val="20"/>
                <w:szCs w:val="20"/>
                <w:lang w:val="ro-RO"/>
              </w:rPr>
              <w:t>SERVICII FINANCIARE</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sz w:val="20"/>
                <w:szCs w:val="20"/>
                <w:lang w:val="ro-RO"/>
              </w:rPr>
            </w:pPr>
            <w:r w:rsidRPr="00FA72AA">
              <w:rPr>
                <w:b/>
                <w:sz w:val="20"/>
                <w:szCs w:val="20"/>
                <w:lang w:val="ro-RO"/>
              </w:rPr>
              <w:t>Realizare-cheie: Reorganizarea Comitetului Național de Stabilitate Financiară</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Adoptarea</w:t>
            </w:r>
            <w:r w:rsidRPr="00FA72AA">
              <w:rPr>
                <w:b/>
                <w:i/>
                <w:sz w:val="20"/>
                <w:szCs w:val="20"/>
                <w:lang w:val="ro-RO"/>
              </w:rPr>
              <w:t xml:space="preserve"> Legii privind Comitetul Național de Stabilitate Financiară nr.209/2018</w:t>
            </w:r>
          </w:p>
        </w:tc>
        <w:tc>
          <w:tcPr>
            <w:tcW w:w="7938" w:type="dxa"/>
            <w:shd w:val="clear" w:color="auto" w:fill="FFFFFF" w:themeFill="background1"/>
          </w:tcPr>
          <w:p w:rsidR="00451286" w:rsidRPr="00FA72AA" w:rsidRDefault="00451286" w:rsidP="005126EC">
            <w:pPr>
              <w:numPr>
                <w:ilvl w:val="0"/>
                <w:numId w:val="3"/>
              </w:numPr>
              <w:spacing w:after="160"/>
              <w:contextualSpacing/>
              <w:jc w:val="both"/>
              <w:rPr>
                <w:sz w:val="20"/>
                <w:szCs w:val="20"/>
                <w:lang w:val="ro-RO"/>
              </w:rPr>
            </w:pPr>
            <w:r w:rsidRPr="00FA72AA">
              <w:rPr>
                <w:sz w:val="20"/>
                <w:szCs w:val="20"/>
                <w:lang w:val="ro-RO"/>
              </w:rPr>
              <w:t xml:space="preserve">Constituirea autorității naționale </w:t>
            </w:r>
            <w:proofErr w:type="spellStart"/>
            <w:r w:rsidRPr="00FA72AA">
              <w:rPr>
                <w:sz w:val="20"/>
                <w:szCs w:val="20"/>
                <w:lang w:val="ro-RO"/>
              </w:rPr>
              <w:t>macroprudențiale</w:t>
            </w:r>
            <w:proofErr w:type="spellEnd"/>
            <w:r w:rsidRPr="00FA72AA">
              <w:rPr>
                <w:sz w:val="20"/>
                <w:szCs w:val="20"/>
                <w:lang w:val="ro-RO"/>
              </w:rPr>
              <w:t xml:space="preserve">; </w:t>
            </w:r>
          </w:p>
          <w:p w:rsidR="00451286" w:rsidRPr="00FA72AA" w:rsidRDefault="00451286" w:rsidP="005126EC">
            <w:pPr>
              <w:numPr>
                <w:ilvl w:val="0"/>
                <w:numId w:val="3"/>
              </w:numPr>
              <w:spacing w:after="160"/>
              <w:contextualSpacing/>
              <w:jc w:val="both"/>
              <w:rPr>
                <w:sz w:val="20"/>
                <w:szCs w:val="20"/>
                <w:lang w:val="ro-RO"/>
              </w:rPr>
            </w:pPr>
            <w:r w:rsidRPr="00FA72AA">
              <w:rPr>
                <w:sz w:val="20"/>
                <w:szCs w:val="20"/>
                <w:lang w:val="ro-RO"/>
              </w:rPr>
              <w:t>Asigurarea stabilității financiare a RM;</w:t>
            </w:r>
          </w:p>
          <w:p w:rsidR="00451286" w:rsidRPr="00FA72AA" w:rsidRDefault="00451286" w:rsidP="005126EC">
            <w:pPr>
              <w:numPr>
                <w:ilvl w:val="0"/>
                <w:numId w:val="3"/>
              </w:numPr>
              <w:spacing w:after="160"/>
              <w:contextualSpacing/>
              <w:jc w:val="both"/>
              <w:rPr>
                <w:sz w:val="20"/>
                <w:szCs w:val="20"/>
                <w:lang w:val="ro-RO"/>
              </w:rPr>
            </w:pPr>
            <w:r w:rsidRPr="00FA72AA">
              <w:rPr>
                <w:sz w:val="20"/>
                <w:szCs w:val="20"/>
                <w:lang w:val="ro-RO"/>
              </w:rPr>
              <w:t>Asigurarea identificării în termen util a principalelor surse de risc și vulnerabilități ale sectorului financiar, cum ar fi: ineficiența redirecționării resurselor financiare atrase de la deponenți către investitori, evaluarea sau gestionarea incorectă a riscurilor financiare de către intermediari ș.a.;</w:t>
            </w:r>
          </w:p>
          <w:p w:rsidR="00451286" w:rsidRPr="00FA72AA" w:rsidRDefault="00451286" w:rsidP="005126EC">
            <w:pPr>
              <w:numPr>
                <w:ilvl w:val="0"/>
                <w:numId w:val="3"/>
              </w:numPr>
              <w:spacing w:after="160"/>
              <w:contextualSpacing/>
              <w:jc w:val="both"/>
              <w:rPr>
                <w:b/>
                <w:sz w:val="20"/>
                <w:szCs w:val="20"/>
                <w:lang w:val="ro-RO"/>
              </w:rPr>
            </w:pPr>
            <w:r w:rsidRPr="00FA72AA">
              <w:rPr>
                <w:sz w:val="20"/>
                <w:szCs w:val="20"/>
                <w:lang w:val="ro-RO"/>
              </w:rPr>
              <w:t>Asigurarea efectuării analizelor cu privire la stabilitatea financiară în vederea evitării compromiterii stabilității sistemului financiar și, respectiv, a stabilității economice în viitor.</w:t>
            </w: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t>TITLUL V</w:t>
            </w:r>
          </w:p>
          <w:p w:rsidR="00451286" w:rsidRPr="00FA72AA" w:rsidRDefault="00451286" w:rsidP="005126EC">
            <w:pPr>
              <w:jc w:val="center"/>
              <w:rPr>
                <w:sz w:val="20"/>
                <w:szCs w:val="20"/>
                <w:lang w:val="ro-RO"/>
              </w:rPr>
            </w:pPr>
            <w:r w:rsidRPr="00FA72AA">
              <w:rPr>
                <w:b/>
                <w:sz w:val="20"/>
                <w:szCs w:val="20"/>
                <w:lang w:val="ro-RO"/>
              </w:rPr>
              <w:t>COMERŢ ŞI ASPECTE LEGATE DE COMERŢ</w:t>
            </w: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b/>
                <w:sz w:val="20"/>
                <w:szCs w:val="20"/>
                <w:lang w:val="ro-RO"/>
              </w:rPr>
            </w:pPr>
            <w:r w:rsidRPr="00FA72AA">
              <w:rPr>
                <w:b/>
                <w:sz w:val="20"/>
                <w:szCs w:val="20"/>
                <w:lang w:val="ro-RO"/>
              </w:rPr>
              <w:t>CAPITOLUL 5</w:t>
            </w:r>
          </w:p>
          <w:p w:rsidR="00451286" w:rsidRPr="00FA72AA" w:rsidRDefault="00451286" w:rsidP="005126EC">
            <w:pPr>
              <w:jc w:val="center"/>
              <w:rPr>
                <w:sz w:val="20"/>
                <w:szCs w:val="20"/>
                <w:lang w:val="ro-RO"/>
              </w:rPr>
            </w:pPr>
            <w:r w:rsidRPr="00FA72AA">
              <w:rPr>
                <w:b/>
                <w:sz w:val="20"/>
                <w:szCs w:val="20"/>
                <w:lang w:val="ro-RO"/>
              </w:rPr>
              <w:t>REGIMUL VAMAL ŞI FACILITAREA COMERŢULUI</w:t>
            </w:r>
          </w:p>
        </w:tc>
      </w:tr>
      <w:tr w:rsidR="00451286" w:rsidRPr="003973DD" w:rsidTr="005126EC">
        <w:trPr>
          <w:trHeight w:val="260"/>
        </w:trPr>
        <w:tc>
          <w:tcPr>
            <w:tcW w:w="15593" w:type="dxa"/>
            <w:gridSpan w:val="2"/>
            <w:shd w:val="clear" w:color="auto" w:fill="DEEAF6" w:themeFill="accent1" w:themeFillTint="33"/>
          </w:tcPr>
          <w:p w:rsidR="00451286" w:rsidRPr="00FA72AA" w:rsidRDefault="00451286" w:rsidP="005126EC">
            <w:pPr>
              <w:jc w:val="both"/>
              <w:rPr>
                <w:sz w:val="20"/>
                <w:szCs w:val="20"/>
                <w:lang w:val="ro-RO"/>
              </w:rPr>
            </w:pPr>
            <w:r w:rsidRPr="00FA72AA">
              <w:rPr>
                <w:b/>
                <w:sz w:val="20"/>
                <w:szCs w:val="20"/>
                <w:lang w:val="ro-RO"/>
              </w:rPr>
              <w:t xml:space="preserve">Realizare-cheie: Facilitarea comerțului prin simplificarea </w:t>
            </w:r>
            <w:proofErr w:type="spellStart"/>
            <w:r w:rsidRPr="00FA72AA">
              <w:rPr>
                <w:b/>
                <w:sz w:val="20"/>
                <w:szCs w:val="20"/>
                <w:lang w:val="ro-RO"/>
              </w:rPr>
              <w:t>şi</w:t>
            </w:r>
            <w:proofErr w:type="spellEnd"/>
            <w:r w:rsidRPr="00FA72AA">
              <w:rPr>
                <w:b/>
                <w:sz w:val="20"/>
                <w:szCs w:val="20"/>
                <w:lang w:val="ro-RO"/>
              </w:rPr>
              <w:t xml:space="preserve"> uniformizarea procedurilor de vămuire a mărfurilor, preluate din </w:t>
            </w:r>
            <w:proofErr w:type="spellStart"/>
            <w:r w:rsidRPr="00FA72AA">
              <w:rPr>
                <w:b/>
                <w:sz w:val="20"/>
                <w:szCs w:val="20"/>
                <w:lang w:val="ro-RO"/>
              </w:rPr>
              <w:t>experienţa</w:t>
            </w:r>
            <w:proofErr w:type="spellEnd"/>
            <w:r w:rsidRPr="00FA72AA">
              <w:rPr>
                <w:b/>
                <w:sz w:val="20"/>
                <w:szCs w:val="20"/>
                <w:lang w:val="ro-RO"/>
              </w:rPr>
              <w:t xml:space="preserve"> </w:t>
            </w:r>
            <w:proofErr w:type="spellStart"/>
            <w:r w:rsidRPr="00FA72AA">
              <w:rPr>
                <w:b/>
                <w:sz w:val="20"/>
                <w:szCs w:val="20"/>
                <w:lang w:val="ro-RO"/>
              </w:rPr>
              <w:t>ţărilor</w:t>
            </w:r>
            <w:proofErr w:type="spellEnd"/>
            <w:r w:rsidRPr="00FA72AA">
              <w:rPr>
                <w:b/>
                <w:sz w:val="20"/>
                <w:szCs w:val="20"/>
                <w:lang w:val="ro-RO"/>
              </w:rPr>
              <w:t xml:space="preserve"> UE în domeniu</w:t>
            </w:r>
          </w:p>
        </w:tc>
      </w:tr>
      <w:tr w:rsidR="00451286" w:rsidRPr="003973DD" w:rsidTr="005126EC">
        <w:tc>
          <w:tcPr>
            <w:tcW w:w="7655" w:type="dxa"/>
            <w:shd w:val="clear" w:color="auto" w:fill="FFFFFF" w:themeFill="background1"/>
          </w:tcPr>
          <w:p w:rsidR="00451286" w:rsidRPr="00FA72AA" w:rsidRDefault="00451286" w:rsidP="005126EC">
            <w:pPr>
              <w:jc w:val="both"/>
              <w:outlineLvl w:val="0"/>
              <w:rPr>
                <w:color w:val="0070C0"/>
                <w:sz w:val="20"/>
                <w:szCs w:val="20"/>
                <w:lang w:val="ro-RO"/>
              </w:rPr>
            </w:pPr>
            <w:r w:rsidRPr="00FA72AA">
              <w:rPr>
                <w:sz w:val="20"/>
                <w:szCs w:val="20"/>
                <w:lang w:val="ro-RO"/>
              </w:rPr>
              <w:t xml:space="preserve">Ratificarea Protocolului de modificare a Acordului de la Marrakech privind </w:t>
            </w:r>
            <w:proofErr w:type="spellStart"/>
            <w:r w:rsidRPr="00FA72AA">
              <w:rPr>
                <w:sz w:val="20"/>
                <w:szCs w:val="20"/>
                <w:lang w:val="ro-RO"/>
              </w:rPr>
              <w:t>înfiinţarea</w:t>
            </w:r>
            <w:proofErr w:type="spellEnd"/>
            <w:r w:rsidRPr="00FA72AA">
              <w:rPr>
                <w:sz w:val="20"/>
                <w:szCs w:val="20"/>
                <w:lang w:val="ro-RO"/>
              </w:rPr>
              <w:t xml:space="preserve"> </w:t>
            </w:r>
            <w:proofErr w:type="spellStart"/>
            <w:r w:rsidRPr="00FA72AA">
              <w:rPr>
                <w:sz w:val="20"/>
                <w:szCs w:val="20"/>
                <w:lang w:val="ro-RO"/>
              </w:rPr>
              <w:t>Organizaţiei</w:t>
            </w:r>
            <w:proofErr w:type="spellEnd"/>
            <w:r w:rsidRPr="00FA72AA">
              <w:rPr>
                <w:sz w:val="20"/>
                <w:szCs w:val="20"/>
                <w:lang w:val="ro-RO"/>
              </w:rPr>
              <w:t xml:space="preserve"> Mondiale a </w:t>
            </w:r>
            <w:proofErr w:type="spellStart"/>
            <w:r w:rsidRPr="00FA72AA">
              <w:rPr>
                <w:sz w:val="20"/>
                <w:szCs w:val="20"/>
                <w:lang w:val="ro-RO"/>
              </w:rPr>
              <w:t>Comerţului</w:t>
            </w:r>
            <w:proofErr w:type="spellEnd"/>
            <w:r w:rsidRPr="00FA72AA">
              <w:rPr>
                <w:sz w:val="20"/>
                <w:szCs w:val="20"/>
                <w:lang w:val="ro-RO"/>
              </w:rPr>
              <w:t xml:space="preserve"> (Legea nr. 129/2016).</w:t>
            </w:r>
          </w:p>
        </w:tc>
        <w:tc>
          <w:tcPr>
            <w:tcW w:w="7938" w:type="dxa"/>
            <w:shd w:val="clear" w:color="auto" w:fill="FFFFFF" w:themeFill="background1"/>
          </w:tcPr>
          <w:p w:rsidR="00451286" w:rsidRPr="00FA72AA" w:rsidRDefault="00451286" w:rsidP="005126EC">
            <w:pPr>
              <w:jc w:val="both"/>
              <w:rPr>
                <w:sz w:val="20"/>
                <w:szCs w:val="20"/>
                <w:lang w:val="ro-RO"/>
              </w:rPr>
            </w:pP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Aplicarea Procedurilor simplificate de vămuire la domiciliu</w:t>
            </w:r>
          </w:p>
        </w:tc>
        <w:tc>
          <w:tcPr>
            <w:tcW w:w="7938" w:type="dxa"/>
            <w:shd w:val="clear" w:color="auto" w:fill="FFFFFF" w:themeFill="background1"/>
          </w:tcPr>
          <w:p w:rsidR="00451286" w:rsidRPr="00FA72AA" w:rsidRDefault="00451286" w:rsidP="005126EC">
            <w:pPr>
              <w:pStyle w:val="ListParagraph"/>
              <w:numPr>
                <w:ilvl w:val="0"/>
                <w:numId w:val="22"/>
              </w:numPr>
              <w:spacing w:after="0" w:line="240" w:lineRule="auto"/>
              <w:jc w:val="both"/>
              <w:rPr>
                <w:rFonts w:ascii="Times New Roman" w:hAnsi="Times New Roman"/>
                <w:sz w:val="20"/>
                <w:szCs w:val="20"/>
                <w:lang w:val="ro-RO"/>
              </w:rPr>
            </w:pPr>
            <w:r w:rsidRPr="00FA72AA">
              <w:rPr>
                <w:rFonts w:ascii="Times New Roman" w:eastAsia="SimSun" w:hAnsi="Times New Roman"/>
                <w:sz w:val="20"/>
                <w:szCs w:val="20"/>
                <w:lang w:val="ro-RO"/>
              </w:rPr>
              <w:t xml:space="preserve">Impact favorabil asupra </w:t>
            </w:r>
            <w:proofErr w:type="spellStart"/>
            <w:r w:rsidRPr="00FA72AA">
              <w:rPr>
                <w:rFonts w:ascii="Times New Roman" w:eastAsia="SimSun" w:hAnsi="Times New Roman"/>
                <w:sz w:val="20"/>
                <w:szCs w:val="20"/>
                <w:lang w:val="ro-RO"/>
              </w:rPr>
              <w:t>comerţului</w:t>
            </w:r>
            <w:proofErr w:type="spellEnd"/>
            <w:r w:rsidRPr="00FA72AA">
              <w:rPr>
                <w:rFonts w:ascii="Times New Roman" w:eastAsia="SimSun" w:hAnsi="Times New Roman"/>
                <w:sz w:val="20"/>
                <w:szCs w:val="20"/>
                <w:lang w:val="ro-RO"/>
              </w:rPr>
              <w:t xml:space="preserve"> per ansamblu, sporind volumul mărfurilor importate/exportate </w:t>
            </w:r>
            <w:proofErr w:type="spellStart"/>
            <w:r w:rsidRPr="00FA72AA">
              <w:rPr>
                <w:rFonts w:ascii="Times New Roman" w:eastAsia="SimSun" w:hAnsi="Times New Roman"/>
                <w:sz w:val="20"/>
                <w:szCs w:val="20"/>
                <w:lang w:val="ro-RO"/>
              </w:rPr>
              <w:t>şi</w:t>
            </w:r>
            <w:proofErr w:type="spellEnd"/>
            <w:r w:rsidRPr="00FA72AA">
              <w:rPr>
                <w:rFonts w:ascii="Times New Roman" w:eastAsia="SimSun" w:hAnsi="Times New Roman"/>
                <w:sz w:val="20"/>
                <w:szCs w:val="20"/>
                <w:lang w:val="ro-RO"/>
              </w:rPr>
              <w:t xml:space="preserve"> </w:t>
            </w:r>
            <w:proofErr w:type="spellStart"/>
            <w:r w:rsidRPr="00FA72AA">
              <w:rPr>
                <w:rFonts w:ascii="Times New Roman" w:eastAsia="SimSun" w:hAnsi="Times New Roman"/>
                <w:sz w:val="20"/>
                <w:szCs w:val="20"/>
                <w:lang w:val="ro-RO"/>
              </w:rPr>
              <w:t>avînd</w:t>
            </w:r>
            <w:proofErr w:type="spellEnd"/>
            <w:r w:rsidRPr="00FA72AA">
              <w:rPr>
                <w:rFonts w:ascii="Times New Roman" w:eastAsia="SimSun" w:hAnsi="Times New Roman"/>
                <w:sz w:val="20"/>
                <w:szCs w:val="20"/>
                <w:lang w:val="ro-RO"/>
              </w:rPr>
              <w:t xml:space="preserve"> ca efect acumularea de noi surse la buget.</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 </w:t>
            </w:r>
            <w:r w:rsidRPr="00FA72AA">
              <w:rPr>
                <w:b/>
                <w:i/>
                <w:sz w:val="20"/>
                <w:szCs w:val="20"/>
                <w:lang w:val="ro-RO"/>
              </w:rPr>
              <w:t>Dezvoltarea Programului AEO</w:t>
            </w:r>
            <w:r w:rsidRPr="00FA72AA">
              <w:rPr>
                <w:sz w:val="20"/>
                <w:szCs w:val="20"/>
                <w:lang w:val="ro-RO"/>
              </w:rPr>
              <w:t xml:space="preserve">, prin conferirea statutului facilitat la efectuarea </w:t>
            </w:r>
            <w:proofErr w:type="spellStart"/>
            <w:r w:rsidRPr="00FA72AA">
              <w:rPr>
                <w:sz w:val="20"/>
                <w:szCs w:val="20"/>
                <w:lang w:val="ro-RO"/>
              </w:rPr>
              <w:t>operaţiunilor</w:t>
            </w:r>
            <w:proofErr w:type="spellEnd"/>
            <w:r w:rsidRPr="00FA72AA">
              <w:rPr>
                <w:sz w:val="20"/>
                <w:szCs w:val="20"/>
                <w:lang w:val="ro-RO"/>
              </w:rPr>
              <w:t xml:space="preserve"> vamale datorită conformării voluntare la respectarea </w:t>
            </w:r>
            <w:proofErr w:type="spellStart"/>
            <w:r w:rsidRPr="00FA72AA">
              <w:rPr>
                <w:sz w:val="20"/>
                <w:szCs w:val="20"/>
                <w:lang w:val="ro-RO"/>
              </w:rPr>
              <w:t>legislaţiei</w:t>
            </w:r>
            <w:proofErr w:type="spellEnd"/>
            <w:r w:rsidRPr="00FA72AA">
              <w:rPr>
                <w:sz w:val="20"/>
                <w:szCs w:val="20"/>
                <w:lang w:val="ro-RO"/>
              </w:rPr>
              <w:t>.</w:t>
            </w:r>
          </w:p>
          <w:p w:rsidR="00451286" w:rsidRPr="00FA72AA" w:rsidRDefault="00451286" w:rsidP="005126EC">
            <w:pPr>
              <w:jc w:val="both"/>
              <w:rPr>
                <w:sz w:val="20"/>
                <w:szCs w:val="20"/>
                <w:lang w:val="ro-RO"/>
              </w:rPr>
            </w:pPr>
            <w:r w:rsidRPr="00FA72AA">
              <w:rPr>
                <w:sz w:val="20"/>
                <w:szCs w:val="20"/>
                <w:lang w:val="ro-RO"/>
              </w:rPr>
              <w:t>Acesta presupune:</w:t>
            </w:r>
          </w:p>
          <w:p w:rsidR="00451286" w:rsidRPr="00FA72AA" w:rsidRDefault="00451286" w:rsidP="005126EC">
            <w:pPr>
              <w:jc w:val="both"/>
              <w:rPr>
                <w:rFonts w:eastAsia="SimSun"/>
                <w:sz w:val="20"/>
                <w:szCs w:val="20"/>
                <w:lang w:val="ro-RO"/>
              </w:rPr>
            </w:pPr>
            <w:r w:rsidRPr="00FA72AA">
              <w:rPr>
                <w:sz w:val="20"/>
                <w:szCs w:val="20"/>
                <w:lang w:val="ro-RO"/>
              </w:rPr>
              <w:t>-</w:t>
            </w:r>
            <w:r w:rsidRPr="00FA72AA">
              <w:rPr>
                <w:rFonts w:eastAsia="SimSun"/>
                <w:sz w:val="20"/>
                <w:szCs w:val="20"/>
                <w:lang w:val="ro-RO"/>
              </w:rPr>
              <w:t xml:space="preserve"> reducerea numărului de controale (tratament prioritar în caz de control); </w:t>
            </w:r>
          </w:p>
          <w:p w:rsidR="00451286" w:rsidRPr="00FA72AA" w:rsidRDefault="00451286" w:rsidP="005126EC">
            <w:pPr>
              <w:jc w:val="both"/>
              <w:rPr>
                <w:rFonts w:eastAsia="SimSun"/>
                <w:sz w:val="20"/>
                <w:szCs w:val="20"/>
                <w:lang w:val="ro-RO"/>
              </w:rPr>
            </w:pPr>
            <w:r w:rsidRPr="00FA72AA">
              <w:rPr>
                <w:rFonts w:eastAsia="SimSun"/>
                <w:sz w:val="20"/>
                <w:szCs w:val="20"/>
                <w:lang w:val="ro-RO"/>
              </w:rPr>
              <w:t xml:space="preserve">- acces prioritar în frontieră inclusiv prin crearea pistelor separate AEO; </w:t>
            </w:r>
          </w:p>
          <w:p w:rsidR="00451286" w:rsidRPr="00FA72AA" w:rsidRDefault="00451286" w:rsidP="005126EC">
            <w:pPr>
              <w:jc w:val="both"/>
              <w:rPr>
                <w:rFonts w:eastAsia="SimSun"/>
                <w:sz w:val="20"/>
                <w:szCs w:val="20"/>
                <w:lang w:val="ro-RO"/>
              </w:rPr>
            </w:pPr>
            <w:r w:rsidRPr="00FA72AA">
              <w:rPr>
                <w:rFonts w:eastAsia="SimSun"/>
                <w:sz w:val="20"/>
                <w:szCs w:val="20"/>
                <w:lang w:val="ro-RO"/>
              </w:rPr>
              <w:t>- alegerea locului efectuării controalelor (vămuirii);</w:t>
            </w:r>
          </w:p>
          <w:p w:rsidR="00451286" w:rsidRPr="00FA72AA" w:rsidRDefault="00451286" w:rsidP="005126EC">
            <w:pPr>
              <w:jc w:val="both"/>
              <w:rPr>
                <w:rFonts w:eastAsia="SimSun"/>
                <w:sz w:val="20"/>
                <w:szCs w:val="20"/>
                <w:lang w:val="ro-RO"/>
              </w:rPr>
            </w:pPr>
            <w:r w:rsidRPr="00FA72AA">
              <w:rPr>
                <w:rFonts w:eastAsia="SimSun"/>
                <w:sz w:val="20"/>
                <w:szCs w:val="20"/>
                <w:lang w:val="ro-RO"/>
              </w:rPr>
              <w:t xml:space="preserve">- beneficiere de simplificări vamale (vămuirea la domiciliu)- la solicitare SV nu va reexamina </w:t>
            </w:r>
            <w:proofErr w:type="spellStart"/>
            <w:r w:rsidRPr="00FA72AA">
              <w:rPr>
                <w:rFonts w:eastAsia="SimSun"/>
                <w:sz w:val="20"/>
                <w:szCs w:val="20"/>
                <w:lang w:val="ro-RO"/>
              </w:rPr>
              <w:t>condiţiile</w:t>
            </w:r>
            <w:proofErr w:type="spellEnd"/>
            <w:r w:rsidRPr="00FA72AA">
              <w:rPr>
                <w:rFonts w:eastAsia="SimSun"/>
                <w:sz w:val="20"/>
                <w:szCs w:val="20"/>
                <w:lang w:val="ro-RO"/>
              </w:rPr>
              <w:t xml:space="preserve"> de autorizare a acestora, deoarece ele se consideră a fi îndeplinite; </w:t>
            </w:r>
          </w:p>
          <w:p w:rsidR="00451286" w:rsidRPr="00FA72AA" w:rsidRDefault="00451286" w:rsidP="005126EC">
            <w:pPr>
              <w:jc w:val="both"/>
              <w:rPr>
                <w:rFonts w:eastAsia="SimSun"/>
                <w:sz w:val="20"/>
                <w:szCs w:val="20"/>
                <w:lang w:val="ro-RO"/>
              </w:rPr>
            </w:pPr>
            <w:r w:rsidRPr="00FA72AA">
              <w:rPr>
                <w:rFonts w:eastAsia="SimSun"/>
                <w:sz w:val="20"/>
                <w:szCs w:val="20"/>
                <w:lang w:val="ro-RO"/>
              </w:rPr>
              <w:t>- amânarea plăților până la 30 de zile;</w:t>
            </w:r>
          </w:p>
          <w:p w:rsidR="00451286" w:rsidRPr="00FA72AA" w:rsidRDefault="00451286" w:rsidP="005126EC">
            <w:pPr>
              <w:jc w:val="both"/>
              <w:rPr>
                <w:rFonts w:eastAsia="SimSun"/>
                <w:sz w:val="20"/>
                <w:szCs w:val="20"/>
                <w:lang w:val="ro-RO"/>
              </w:rPr>
            </w:pPr>
            <w:r w:rsidRPr="00FA72AA">
              <w:rPr>
                <w:rFonts w:eastAsia="SimSun"/>
                <w:sz w:val="20"/>
                <w:szCs w:val="20"/>
                <w:lang w:val="ro-RO"/>
              </w:rPr>
              <w:t>- utilizarea Logo-ului AEO</w:t>
            </w:r>
            <w:r w:rsidRPr="00FA72AA">
              <w:rPr>
                <w:sz w:val="20"/>
                <w:szCs w:val="20"/>
                <w:lang w:val="ro-RO"/>
              </w:rPr>
              <w:t xml:space="preserve"> </w:t>
            </w:r>
            <w:r w:rsidRPr="00FA72AA">
              <w:rPr>
                <w:rFonts w:eastAsia="SimSun"/>
                <w:sz w:val="20"/>
                <w:szCs w:val="20"/>
                <w:lang w:val="ro-RO"/>
              </w:rPr>
              <w:t xml:space="preserve">ca mecanism de identificare a titularilor AEO, ce oferă avantaje </w:t>
            </w:r>
            <w:proofErr w:type="spellStart"/>
            <w:r w:rsidRPr="00FA72AA">
              <w:rPr>
                <w:rFonts w:eastAsia="SimSun"/>
                <w:sz w:val="20"/>
                <w:szCs w:val="20"/>
                <w:lang w:val="ro-RO"/>
              </w:rPr>
              <w:t>şi</w:t>
            </w:r>
            <w:proofErr w:type="spellEnd"/>
            <w:r w:rsidRPr="00FA72AA">
              <w:rPr>
                <w:rFonts w:eastAsia="SimSun"/>
                <w:sz w:val="20"/>
                <w:szCs w:val="20"/>
                <w:lang w:val="ro-RO"/>
              </w:rPr>
              <w:t xml:space="preserve"> în raport cu partenerii de afaceri.</w:t>
            </w:r>
          </w:p>
        </w:tc>
        <w:tc>
          <w:tcPr>
            <w:tcW w:w="7938" w:type="dxa"/>
            <w:shd w:val="clear" w:color="auto" w:fill="FFFFFF" w:themeFill="background1"/>
          </w:tcPr>
          <w:p w:rsidR="00451286" w:rsidRPr="00FA72AA" w:rsidRDefault="00451286" w:rsidP="005126EC">
            <w:pPr>
              <w:pStyle w:val="ListParagraph"/>
              <w:numPr>
                <w:ilvl w:val="0"/>
                <w:numId w:val="23"/>
              </w:numPr>
              <w:spacing w:after="0" w:line="240" w:lineRule="auto"/>
              <w:jc w:val="both"/>
              <w:rPr>
                <w:rFonts w:ascii="Times New Roman" w:eastAsia="SimSun" w:hAnsi="Times New Roman"/>
                <w:sz w:val="20"/>
                <w:szCs w:val="20"/>
                <w:lang w:val="ro-RO"/>
              </w:rPr>
            </w:pPr>
            <w:r w:rsidRPr="00FA72AA">
              <w:rPr>
                <w:rFonts w:ascii="Times New Roman" w:eastAsia="SimSun" w:hAnsi="Times New Roman"/>
                <w:sz w:val="20"/>
                <w:szCs w:val="20"/>
                <w:lang w:val="ro-RO"/>
              </w:rPr>
              <w:t xml:space="preserve">Creșterea numărului de titulari de statut AEO autorizați (de la 54 titulari înregistrați în anul 2014 la </w:t>
            </w:r>
            <w:r w:rsidRPr="00FA72AA">
              <w:rPr>
                <w:rFonts w:ascii="Times New Roman" w:eastAsia="SimSun" w:hAnsi="Times New Roman"/>
                <w:b/>
                <w:sz w:val="20"/>
                <w:szCs w:val="20"/>
                <w:lang w:val="ro-RO"/>
              </w:rPr>
              <w:t xml:space="preserve">116 </w:t>
            </w:r>
            <w:r w:rsidRPr="00FA72AA">
              <w:rPr>
                <w:rFonts w:ascii="Times New Roman" w:eastAsia="SimSun" w:hAnsi="Times New Roman"/>
                <w:sz w:val="20"/>
                <w:szCs w:val="20"/>
                <w:lang w:val="ro-RO"/>
              </w:rPr>
              <w:t xml:space="preserve">titulari în anul 2019). </w:t>
            </w:r>
          </w:p>
          <w:p w:rsidR="00451286" w:rsidRPr="00FA72AA" w:rsidRDefault="00451286" w:rsidP="005126EC">
            <w:pPr>
              <w:pStyle w:val="ListParagraph"/>
              <w:numPr>
                <w:ilvl w:val="0"/>
                <w:numId w:val="23"/>
              </w:numPr>
              <w:spacing w:after="0" w:line="240" w:lineRule="auto"/>
              <w:jc w:val="both"/>
              <w:rPr>
                <w:rFonts w:eastAsia="SimSun"/>
                <w:sz w:val="20"/>
                <w:szCs w:val="20"/>
                <w:lang w:val="ro-RO"/>
              </w:rPr>
            </w:pPr>
            <w:r w:rsidRPr="00FA72AA">
              <w:rPr>
                <w:rFonts w:ascii="Times New Roman" w:eastAsia="SimSun" w:hAnsi="Times New Roman"/>
                <w:sz w:val="20"/>
                <w:szCs w:val="20"/>
                <w:lang w:val="ro-RO"/>
              </w:rPr>
              <w:t xml:space="preserve">La moment,  </w:t>
            </w:r>
            <w:r w:rsidRPr="00FA72AA">
              <w:rPr>
                <w:rFonts w:ascii="Times New Roman" w:hAnsi="Times New Roman"/>
                <w:sz w:val="20"/>
                <w:szCs w:val="20"/>
                <w:lang w:val="ro-RO"/>
              </w:rPr>
              <w:t xml:space="preserve">ponderea Declarațiilor Vamale depuse de titulari AEO constituie </w:t>
            </w:r>
            <w:r w:rsidRPr="00FA72AA">
              <w:rPr>
                <w:rFonts w:ascii="Times New Roman" w:hAnsi="Times New Roman"/>
                <w:b/>
                <w:sz w:val="20"/>
                <w:szCs w:val="20"/>
                <w:lang w:val="ro-RO"/>
              </w:rPr>
              <w:t>14%</w:t>
            </w:r>
            <w:r w:rsidRPr="00FA72AA">
              <w:rPr>
                <w:rFonts w:ascii="Times New Roman" w:hAnsi="Times New Roman"/>
                <w:sz w:val="20"/>
                <w:szCs w:val="20"/>
                <w:lang w:val="ro-RO"/>
              </w:rPr>
              <w:t xml:space="preserve"> din totalul DV depuse</w:t>
            </w:r>
            <w:r w:rsidRPr="00FA72AA">
              <w:rPr>
                <w:rFonts w:ascii="Times New Roman" w:hAnsi="Times New Roman"/>
                <w:b/>
                <w:sz w:val="20"/>
                <w:szCs w:val="20"/>
                <w:lang w:val="ro-RO"/>
              </w:rPr>
              <w:t xml:space="preserve"> (18208:</w:t>
            </w:r>
            <w:r w:rsidRPr="00FA72AA">
              <w:rPr>
                <w:rFonts w:ascii="Times New Roman" w:hAnsi="Times New Roman"/>
                <w:sz w:val="20"/>
                <w:szCs w:val="20"/>
                <w:lang w:val="ro-RO"/>
              </w:rPr>
              <w:t>130311).</w:t>
            </w:r>
          </w:p>
        </w:tc>
      </w:tr>
      <w:tr w:rsidR="00451286" w:rsidRPr="003973DD" w:rsidTr="005126EC">
        <w:tc>
          <w:tcPr>
            <w:tcW w:w="7655" w:type="dxa"/>
            <w:shd w:val="clear" w:color="auto" w:fill="FFFFFF" w:themeFill="background1"/>
          </w:tcPr>
          <w:p w:rsidR="00451286" w:rsidRPr="00FA72AA" w:rsidRDefault="00451286" w:rsidP="005126EC">
            <w:pPr>
              <w:jc w:val="both"/>
              <w:rPr>
                <w:b/>
                <w:i/>
                <w:sz w:val="20"/>
                <w:szCs w:val="20"/>
                <w:lang w:val="ro-RO"/>
              </w:rPr>
            </w:pPr>
            <w:r w:rsidRPr="00FA72AA">
              <w:rPr>
                <w:b/>
                <w:i/>
                <w:sz w:val="20"/>
                <w:szCs w:val="20"/>
                <w:lang w:val="ro-RO"/>
              </w:rPr>
              <w:t xml:space="preserve">Dezvoltarea mecanismului de recunoaștere mutuală a statutului de operator economic autorizat (AEO) </w:t>
            </w:r>
          </w:p>
          <w:p w:rsidR="00451286" w:rsidRPr="00FA72AA" w:rsidRDefault="00451286" w:rsidP="005126EC">
            <w:pPr>
              <w:jc w:val="both"/>
              <w:rPr>
                <w:sz w:val="20"/>
                <w:szCs w:val="20"/>
                <w:lang w:val="ro-RO"/>
              </w:rPr>
            </w:pPr>
            <w:r w:rsidRPr="00FA72AA">
              <w:rPr>
                <w:sz w:val="20"/>
                <w:szCs w:val="20"/>
                <w:lang w:val="ro-RO"/>
              </w:rPr>
              <w:t xml:space="preserve">Serviciul Vamal în colaborare cu DGV RO și cu sprijinul Comisiei Europene, </w:t>
            </w:r>
            <w:proofErr w:type="spellStart"/>
            <w:r w:rsidRPr="00FA72AA">
              <w:rPr>
                <w:sz w:val="20"/>
                <w:szCs w:val="20"/>
                <w:lang w:val="ro-RO"/>
              </w:rPr>
              <w:t>începînd</w:t>
            </w:r>
            <w:proofErr w:type="spellEnd"/>
            <w:r w:rsidRPr="00FA72AA">
              <w:rPr>
                <w:sz w:val="20"/>
                <w:szCs w:val="20"/>
                <w:lang w:val="ro-RO"/>
              </w:rPr>
              <w:t xml:space="preserve"> cu 01 iulie 2015, a inițiat un proiect-pilot de </w:t>
            </w:r>
            <w:proofErr w:type="spellStart"/>
            <w:r w:rsidRPr="00FA72AA">
              <w:rPr>
                <w:sz w:val="20"/>
                <w:szCs w:val="20"/>
                <w:lang w:val="ro-RO"/>
              </w:rPr>
              <w:t>recunoaştere</w:t>
            </w:r>
            <w:proofErr w:type="spellEnd"/>
            <w:r w:rsidRPr="00FA72AA">
              <w:rPr>
                <w:sz w:val="20"/>
                <w:szCs w:val="20"/>
                <w:lang w:val="ro-RO"/>
              </w:rPr>
              <w:t xml:space="preserve"> unilaterală a AEO din UE la frontiera externă UE la postul vamal Leușeni-Albița.</w:t>
            </w:r>
          </w:p>
        </w:tc>
        <w:tc>
          <w:tcPr>
            <w:tcW w:w="7938" w:type="dxa"/>
            <w:shd w:val="clear" w:color="auto" w:fill="FFFFFF" w:themeFill="background1"/>
          </w:tcPr>
          <w:p w:rsidR="00451286" w:rsidRPr="00FA72AA" w:rsidRDefault="00451286" w:rsidP="005126EC">
            <w:pPr>
              <w:pStyle w:val="ListParagraph"/>
              <w:spacing w:after="0" w:line="240" w:lineRule="auto"/>
              <w:ind w:left="30"/>
              <w:jc w:val="both"/>
              <w:rPr>
                <w:rFonts w:ascii="Times New Roman" w:eastAsia="SimSun" w:hAnsi="Times New Roman"/>
                <w:sz w:val="20"/>
                <w:szCs w:val="20"/>
                <w:lang w:val="ro-RO"/>
              </w:rPr>
            </w:pPr>
            <w:r w:rsidRPr="00FA72AA">
              <w:rPr>
                <w:rFonts w:ascii="Times New Roman" w:hAnsi="Times New Roman"/>
                <w:sz w:val="20"/>
                <w:szCs w:val="20"/>
                <w:lang w:val="ro-RO"/>
              </w:rPr>
              <w:t xml:space="preserve">De acest proiect-pilot beneficiază la moment </w:t>
            </w:r>
            <w:r w:rsidRPr="00FA72AA">
              <w:rPr>
                <w:rFonts w:ascii="Times New Roman" w:hAnsi="Times New Roman"/>
                <w:b/>
                <w:sz w:val="20"/>
                <w:szCs w:val="20"/>
                <w:lang w:val="ro-RO"/>
              </w:rPr>
              <w:t>20</w:t>
            </w:r>
            <w:r w:rsidRPr="00FA72AA">
              <w:rPr>
                <w:rFonts w:ascii="Times New Roman" w:hAnsi="Times New Roman"/>
                <w:sz w:val="20"/>
                <w:szCs w:val="20"/>
                <w:lang w:val="ro-RO"/>
              </w:rPr>
              <w:t xml:space="preserve"> companii AEO din UE, iar durata medie de traversare a frontierei constituie 15 min.</w:t>
            </w:r>
          </w:p>
        </w:tc>
      </w:tr>
      <w:tr w:rsidR="00451286" w:rsidRPr="003973DD" w:rsidTr="005126EC">
        <w:tc>
          <w:tcPr>
            <w:tcW w:w="7655" w:type="dxa"/>
            <w:shd w:val="clear" w:color="auto" w:fill="FFFFFF" w:themeFill="background1"/>
          </w:tcPr>
          <w:p w:rsidR="00451286" w:rsidRPr="00FA72AA" w:rsidRDefault="00451286" w:rsidP="005126EC">
            <w:pPr>
              <w:jc w:val="both"/>
              <w:rPr>
                <w:b/>
                <w:i/>
                <w:sz w:val="20"/>
                <w:szCs w:val="20"/>
                <w:lang w:val="ro-RO"/>
              </w:rPr>
            </w:pPr>
            <w:r w:rsidRPr="00FA72AA">
              <w:rPr>
                <w:b/>
                <w:i/>
                <w:sz w:val="20"/>
                <w:szCs w:val="20"/>
                <w:lang w:val="ro-RO"/>
              </w:rPr>
              <w:t>Introducerea statutului de Exportator aprobat</w:t>
            </w:r>
            <w:r w:rsidRPr="00FA72AA">
              <w:rPr>
                <w:i/>
                <w:sz w:val="20"/>
                <w:szCs w:val="20"/>
                <w:lang w:val="ro-RO"/>
              </w:rPr>
              <w:t>, în anul 2015</w:t>
            </w:r>
          </w:p>
          <w:p w:rsidR="00451286" w:rsidRPr="00FA72AA" w:rsidRDefault="00451286" w:rsidP="005126EC">
            <w:pPr>
              <w:jc w:val="both"/>
              <w:rPr>
                <w:sz w:val="20"/>
                <w:szCs w:val="20"/>
                <w:lang w:val="ro-RO"/>
              </w:rPr>
            </w:pPr>
            <w:r w:rsidRPr="00FA72AA">
              <w:rPr>
                <w:sz w:val="20"/>
                <w:szCs w:val="20"/>
                <w:lang w:val="ro-RO"/>
              </w:rPr>
              <w:t>Acest statut îi permite exportatorului să documenteze pe propria răspundere originea preferențială a mărfurilor. Beneficiile acestui statut sunt:</w:t>
            </w:r>
          </w:p>
          <w:p w:rsidR="00451286" w:rsidRPr="00FA72AA" w:rsidRDefault="00451286" w:rsidP="005126EC">
            <w:pPr>
              <w:jc w:val="both"/>
              <w:rPr>
                <w:sz w:val="20"/>
                <w:szCs w:val="20"/>
                <w:lang w:val="ro-RO"/>
              </w:rPr>
            </w:pPr>
            <w:r w:rsidRPr="00FA72AA">
              <w:rPr>
                <w:sz w:val="20"/>
                <w:szCs w:val="20"/>
                <w:lang w:val="ro-RO"/>
              </w:rPr>
              <w:t>-</w:t>
            </w:r>
            <w:r w:rsidRPr="00FA72AA">
              <w:rPr>
                <w:sz w:val="20"/>
                <w:szCs w:val="20"/>
                <w:lang w:val="ro-RO"/>
              </w:rPr>
              <w:tab/>
              <w:t>reducerea costurilor, prin excluderea achitării taxei pentru proceduri vamale la eliberarea certificatului de circulație EUR.1 pe suport de hârtie - 6 euro per certificat;</w:t>
            </w:r>
          </w:p>
          <w:p w:rsidR="00451286" w:rsidRPr="00FA72AA" w:rsidRDefault="00451286" w:rsidP="005126EC">
            <w:pPr>
              <w:jc w:val="both"/>
              <w:rPr>
                <w:sz w:val="20"/>
                <w:szCs w:val="20"/>
                <w:lang w:val="ro-RO"/>
              </w:rPr>
            </w:pPr>
            <w:r w:rsidRPr="00FA72AA">
              <w:rPr>
                <w:sz w:val="20"/>
                <w:szCs w:val="20"/>
                <w:lang w:val="ro-RO"/>
              </w:rPr>
              <w:t>-</w:t>
            </w:r>
            <w:r w:rsidRPr="00FA72AA">
              <w:rPr>
                <w:sz w:val="20"/>
                <w:szCs w:val="20"/>
                <w:lang w:val="ro-RO"/>
              </w:rPr>
              <w:tab/>
              <w:t>reducerea timpilor de efectuare a exporturilor preferențiale, prin excluderea timpului consumat pentru obținerea certificatului de circulație EUR.1;</w:t>
            </w:r>
          </w:p>
          <w:p w:rsidR="00451286" w:rsidRPr="00FA72AA" w:rsidRDefault="00451286" w:rsidP="005126EC">
            <w:pPr>
              <w:jc w:val="both"/>
              <w:rPr>
                <w:sz w:val="20"/>
                <w:szCs w:val="20"/>
                <w:lang w:val="ro-RO"/>
              </w:rPr>
            </w:pPr>
            <w:r w:rsidRPr="00FA72AA">
              <w:rPr>
                <w:sz w:val="20"/>
                <w:szCs w:val="20"/>
                <w:lang w:val="ro-RO"/>
              </w:rPr>
              <w:t>-</w:t>
            </w:r>
            <w:r w:rsidRPr="00FA72AA">
              <w:rPr>
                <w:sz w:val="20"/>
                <w:szCs w:val="20"/>
                <w:lang w:val="ro-RO"/>
              </w:rPr>
              <w:tab/>
              <w:t>simplificarea formalităților la export.</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Creșterea numărului de companii deținătoare de statutul ,,Exportator Aprobat” (de la 3 titulari în anul 2015 la </w:t>
            </w:r>
            <w:r w:rsidRPr="00FA72AA">
              <w:rPr>
                <w:b/>
                <w:sz w:val="20"/>
                <w:szCs w:val="20"/>
                <w:lang w:val="ro-RO"/>
              </w:rPr>
              <w:t>27</w:t>
            </w:r>
            <w:r w:rsidRPr="00FA72AA">
              <w:rPr>
                <w:sz w:val="20"/>
                <w:szCs w:val="20"/>
                <w:lang w:val="ro-RO"/>
              </w:rPr>
              <w:t xml:space="preserve"> companii în anul 2019).</w:t>
            </w:r>
          </w:p>
          <w:p w:rsidR="00451286" w:rsidRPr="00FA72AA" w:rsidRDefault="00451286" w:rsidP="005126EC">
            <w:pPr>
              <w:jc w:val="both"/>
              <w:rPr>
                <w:rFonts w:eastAsia="SimSun"/>
                <w:sz w:val="20"/>
                <w:szCs w:val="20"/>
                <w:lang w:val="ro-RO"/>
              </w:rPr>
            </w:pPr>
            <w:r w:rsidRPr="00FA72AA">
              <w:rPr>
                <w:sz w:val="20"/>
                <w:szCs w:val="20"/>
                <w:lang w:val="ro-RO"/>
              </w:rPr>
              <w:t xml:space="preserve">La moment, </w:t>
            </w:r>
            <w:r w:rsidRPr="00FA72AA">
              <w:rPr>
                <w:b/>
                <w:sz w:val="20"/>
                <w:szCs w:val="20"/>
                <w:lang w:val="ro-RO"/>
              </w:rPr>
              <w:t>38%</w:t>
            </w:r>
            <w:r w:rsidRPr="00FA72AA">
              <w:rPr>
                <w:sz w:val="20"/>
                <w:szCs w:val="20"/>
                <w:lang w:val="ro-RO"/>
              </w:rPr>
              <w:t xml:space="preserve"> din exporturile preferențiale către UE sunt efectuate de către Exportatorii Aprobați.</w:t>
            </w:r>
          </w:p>
        </w:tc>
      </w:tr>
      <w:tr w:rsidR="00451286" w:rsidRPr="003973DD" w:rsidTr="005126EC">
        <w:tc>
          <w:tcPr>
            <w:tcW w:w="7655" w:type="dxa"/>
            <w:shd w:val="clear" w:color="auto" w:fill="FFFFFF" w:themeFill="background1"/>
          </w:tcPr>
          <w:p w:rsidR="00451286" w:rsidRPr="00FA72AA" w:rsidRDefault="00451286" w:rsidP="005126EC">
            <w:pPr>
              <w:jc w:val="both"/>
              <w:outlineLvl w:val="0"/>
              <w:rPr>
                <w:sz w:val="20"/>
                <w:szCs w:val="20"/>
                <w:lang w:val="ro-RO"/>
              </w:rPr>
            </w:pPr>
            <w:proofErr w:type="spellStart"/>
            <w:r w:rsidRPr="00FA72AA">
              <w:rPr>
                <w:b/>
                <w:i/>
                <w:sz w:val="20"/>
                <w:szCs w:val="20"/>
                <w:lang w:val="ro-RO"/>
              </w:rPr>
              <w:lastRenderedPageBreak/>
              <w:t>Creşterea</w:t>
            </w:r>
            <w:proofErr w:type="spellEnd"/>
            <w:r w:rsidRPr="00FA72AA">
              <w:rPr>
                <w:b/>
                <w:i/>
                <w:sz w:val="20"/>
                <w:szCs w:val="20"/>
                <w:lang w:val="ro-RO"/>
              </w:rPr>
              <w:t xml:space="preserve"> în utilizarea vămuirii electronice</w:t>
            </w:r>
            <w:r w:rsidRPr="00FA72AA">
              <w:rPr>
                <w:sz w:val="20"/>
                <w:szCs w:val="20"/>
                <w:lang w:val="ro-RO"/>
              </w:rPr>
              <w:t xml:space="preserve"> ca formă de declarare a mărfurilor importate </w:t>
            </w:r>
            <w:proofErr w:type="spellStart"/>
            <w:r w:rsidRPr="00FA72AA">
              <w:rPr>
                <w:sz w:val="20"/>
                <w:szCs w:val="20"/>
                <w:lang w:val="ro-RO"/>
              </w:rPr>
              <w:t>şi</w:t>
            </w:r>
            <w:proofErr w:type="spellEnd"/>
            <w:r w:rsidRPr="00FA72AA">
              <w:rPr>
                <w:sz w:val="20"/>
                <w:szCs w:val="20"/>
                <w:lang w:val="ro-RO"/>
              </w:rPr>
              <w:t xml:space="preserve"> exportate. </w:t>
            </w:r>
          </w:p>
          <w:p w:rsidR="00451286" w:rsidRPr="00FA72AA" w:rsidRDefault="00451286" w:rsidP="005126EC">
            <w:pPr>
              <w:jc w:val="both"/>
              <w:outlineLvl w:val="0"/>
              <w:rPr>
                <w:sz w:val="20"/>
                <w:szCs w:val="20"/>
                <w:lang w:val="ro-RO"/>
              </w:rPr>
            </w:pPr>
          </w:p>
        </w:tc>
        <w:tc>
          <w:tcPr>
            <w:tcW w:w="7938" w:type="dxa"/>
            <w:shd w:val="clear" w:color="auto" w:fill="FFFFFF" w:themeFill="background1"/>
          </w:tcPr>
          <w:p w:rsidR="00451286" w:rsidRPr="00FA72AA" w:rsidRDefault="00451286" w:rsidP="005126EC">
            <w:pPr>
              <w:jc w:val="both"/>
              <w:rPr>
                <w:rFonts w:eastAsia="SimSun"/>
                <w:sz w:val="20"/>
                <w:szCs w:val="20"/>
                <w:lang w:val="ro-RO"/>
              </w:rPr>
            </w:pPr>
            <w:r w:rsidRPr="00FA72AA">
              <w:rPr>
                <w:rFonts w:eastAsia="SimSun"/>
                <w:sz w:val="20"/>
                <w:szCs w:val="20"/>
                <w:lang w:val="ro-RO"/>
              </w:rPr>
              <w:t>- Excluderea contactului fizic;</w:t>
            </w:r>
          </w:p>
          <w:p w:rsidR="00451286" w:rsidRPr="00FA72AA" w:rsidRDefault="00451286" w:rsidP="005126EC">
            <w:pPr>
              <w:jc w:val="both"/>
              <w:rPr>
                <w:rFonts w:eastAsia="SimSun"/>
                <w:sz w:val="20"/>
                <w:szCs w:val="20"/>
                <w:lang w:val="ro-RO"/>
              </w:rPr>
            </w:pPr>
            <w:r w:rsidRPr="00FA72AA">
              <w:rPr>
                <w:rFonts w:eastAsia="SimSun"/>
                <w:sz w:val="20"/>
                <w:szCs w:val="20"/>
                <w:lang w:val="ro-RO"/>
              </w:rPr>
              <w:t>- Reducerea timpilor și costurilor aferente procesului de declarare/vămuire a mărfurilor;</w:t>
            </w:r>
          </w:p>
          <w:p w:rsidR="00451286" w:rsidRPr="00FA72AA" w:rsidRDefault="00451286" w:rsidP="005126EC">
            <w:pPr>
              <w:jc w:val="both"/>
              <w:outlineLvl w:val="0"/>
              <w:rPr>
                <w:sz w:val="20"/>
                <w:szCs w:val="20"/>
                <w:lang w:val="ro-RO"/>
              </w:rPr>
            </w:pPr>
            <w:r w:rsidRPr="00FA72AA">
              <w:rPr>
                <w:rFonts w:eastAsia="SimSun"/>
                <w:sz w:val="20"/>
                <w:szCs w:val="20"/>
                <w:lang w:val="ro-RO"/>
              </w:rPr>
              <w:t xml:space="preserve">- Mobilitatea de declarare din orice </w:t>
            </w:r>
            <w:proofErr w:type="spellStart"/>
            <w:r w:rsidRPr="00FA72AA">
              <w:rPr>
                <w:rFonts w:eastAsia="SimSun"/>
                <w:sz w:val="20"/>
                <w:szCs w:val="20"/>
                <w:lang w:val="ro-RO"/>
              </w:rPr>
              <w:t>locaţie</w:t>
            </w:r>
            <w:proofErr w:type="spellEnd"/>
            <w:r w:rsidRPr="00FA72AA">
              <w:rPr>
                <w:rFonts w:eastAsia="SimSun"/>
                <w:sz w:val="20"/>
                <w:szCs w:val="20"/>
                <w:lang w:val="ro-RO"/>
              </w:rPr>
              <w:t xml:space="preserve"> de pe teritoriul </w:t>
            </w:r>
            <w:proofErr w:type="spellStart"/>
            <w:r w:rsidRPr="00FA72AA">
              <w:rPr>
                <w:rFonts w:eastAsia="SimSun"/>
                <w:sz w:val="20"/>
                <w:szCs w:val="20"/>
                <w:lang w:val="ro-RO"/>
              </w:rPr>
              <w:t>ţării</w:t>
            </w:r>
            <w:proofErr w:type="spellEnd"/>
            <w:r w:rsidRPr="00FA72AA">
              <w:rPr>
                <w:rFonts w:eastAsia="SimSun"/>
                <w:sz w:val="20"/>
                <w:szCs w:val="20"/>
                <w:lang w:val="ro-RO"/>
              </w:rPr>
              <w:t>;</w:t>
            </w:r>
            <w:r w:rsidRPr="00FA72AA">
              <w:rPr>
                <w:sz w:val="20"/>
                <w:szCs w:val="20"/>
                <w:lang w:val="ro-RO"/>
              </w:rPr>
              <w:t xml:space="preserve"> </w:t>
            </w:r>
          </w:p>
          <w:p w:rsidR="00451286" w:rsidRPr="00FA72AA" w:rsidRDefault="00451286" w:rsidP="005126EC">
            <w:pPr>
              <w:jc w:val="both"/>
              <w:outlineLvl w:val="0"/>
              <w:rPr>
                <w:sz w:val="20"/>
                <w:szCs w:val="20"/>
                <w:lang w:val="ro-RO"/>
              </w:rPr>
            </w:pPr>
            <w:r w:rsidRPr="00FA72AA">
              <w:rPr>
                <w:sz w:val="20"/>
                <w:szCs w:val="20"/>
                <w:lang w:val="ro-RO"/>
              </w:rPr>
              <w:t>Astfel, în anul 2018, ponderea exportului perfectat electronic a constituit 98,54%, comparativ cu 65% în anul 2015; ponderea importului electronic a constituit 36,52%, comparativ cu 4,5% în anul 2015.</w:t>
            </w:r>
          </w:p>
          <w:p w:rsidR="00451286" w:rsidRPr="00FA72AA" w:rsidRDefault="00451286" w:rsidP="005126EC">
            <w:pPr>
              <w:jc w:val="both"/>
              <w:rPr>
                <w:rFonts w:eastAsia="SimSun"/>
                <w:sz w:val="20"/>
                <w:szCs w:val="20"/>
                <w:lang w:val="ro-RO"/>
              </w:rPr>
            </w:pPr>
            <w:r w:rsidRPr="00FA72AA">
              <w:rPr>
                <w:sz w:val="20"/>
                <w:szCs w:val="20"/>
                <w:lang w:val="ro-RO"/>
              </w:rPr>
              <w:t>Declararea electronică la procedura de tranzit (implementată în baza Ordinului 310-O/2017, Monitorul Oficial al R. Moldova, 330-334/1699, 08.09.2017) este de 100%.</w:t>
            </w:r>
          </w:p>
        </w:tc>
      </w:tr>
      <w:tr w:rsidR="00451286" w:rsidRPr="003973DD" w:rsidTr="005126EC">
        <w:tc>
          <w:tcPr>
            <w:tcW w:w="7655" w:type="dxa"/>
            <w:shd w:val="clear" w:color="auto" w:fill="FFFFFF" w:themeFill="background1"/>
          </w:tcPr>
          <w:p w:rsidR="00451286" w:rsidRPr="00FA72AA" w:rsidRDefault="00451286" w:rsidP="005126EC">
            <w:pPr>
              <w:outlineLvl w:val="0"/>
              <w:rPr>
                <w:sz w:val="20"/>
                <w:szCs w:val="20"/>
                <w:lang w:val="ro-RO"/>
              </w:rPr>
            </w:pPr>
            <w:r w:rsidRPr="00FA72AA">
              <w:rPr>
                <w:sz w:val="20"/>
                <w:szCs w:val="20"/>
                <w:lang w:val="ro-RO"/>
              </w:rPr>
              <w:t xml:space="preserve">Lansarea Proiectului </w:t>
            </w:r>
            <w:proofErr w:type="spellStart"/>
            <w:r w:rsidRPr="00FA72AA">
              <w:rPr>
                <w:sz w:val="20"/>
                <w:szCs w:val="20"/>
                <w:lang w:val="ro-RO"/>
              </w:rPr>
              <w:t>Twinning</w:t>
            </w:r>
            <w:proofErr w:type="spellEnd"/>
            <w:r w:rsidRPr="00FA72AA">
              <w:rPr>
                <w:sz w:val="20"/>
                <w:szCs w:val="20"/>
                <w:lang w:val="ro-RO"/>
              </w:rPr>
              <w:t xml:space="preserve"> „Suport în modernizarea Serviciului Vamal al Republicii Moldova în conformitate cu </w:t>
            </w:r>
            <w:proofErr w:type="spellStart"/>
            <w:r w:rsidRPr="00FA72AA">
              <w:rPr>
                <w:sz w:val="20"/>
                <w:szCs w:val="20"/>
                <w:lang w:val="ro-RO"/>
              </w:rPr>
              <w:t>cerinţele</w:t>
            </w:r>
            <w:proofErr w:type="spellEnd"/>
            <w:r w:rsidRPr="00FA72AA">
              <w:rPr>
                <w:sz w:val="20"/>
                <w:szCs w:val="20"/>
                <w:lang w:val="ro-RO"/>
              </w:rPr>
              <w:t xml:space="preserve"> Acordului de Asociere” (21 noiembrie 2017)</w:t>
            </w:r>
          </w:p>
        </w:tc>
        <w:tc>
          <w:tcPr>
            <w:tcW w:w="7938" w:type="dxa"/>
            <w:shd w:val="clear" w:color="auto" w:fill="FFFFFF" w:themeFill="background1"/>
          </w:tcPr>
          <w:p w:rsidR="00451286" w:rsidRPr="00FA72AA" w:rsidRDefault="00451286" w:rsidP="005126EC">
            <w:pPr>
              <w:jc w:val="both"/>
              <w:rPr>
                <w:rFonts w:eastAsia="SimSun"/>
                <w:sz w:val="20"/>
                <w:szCs w:val="20"/>
                <w:lang w:val="ro-RO"/>
              </w:rPr>
            </w:pPr>
            <w:r w:rsidRPr="00FA72AA">
              <w:rPr>
                <w:rFonts w:eastAsia="SimSun"/>
                <w:sz w:val="20"/>
                <w:szCs w:val="20"/>
                <w:lang w:val="ro-RO"/>
              </w:rPr>
              <w:t xml:space="preserve">În cadrul acestui proiect, Serviciul Vamal beneficiază de suportul </w:t>
            </w:r>
            <w:proofErr w:type="spellStart"/>
            <w:r w:rsidRPr="00FA72AA">
              <w:rPr>
                <w:rFonts w:eastAsia="SimSun"/>
                <w:sz w:val="20"/>
                <w:szCs w:val="20"/>
                <w:lang w:val="ro-RO"/>
              </w:rPr>
              <w:t>experţilor</w:t>
            </w:r>
            <w:proofErr w:type="spellEnd"/>
            <w:r w:rsidRPr="00FA72AA">
              <w:rPr>
                <w:rFonts w:eastAsia="SimSun"/>
                <w:sz w:val="20"/>
                <w:szCs w:val="20"/>
                <w:lang w:val="ro-RO"/>
              </w:rPr>
              <w:t xml:space="preserve"> europeni în procesul de implementare a </w:t>
            </w:r>
            <w:proofErr w:type="spellStart"/>
            <w:r w:rsidRPr="00FA72AA">
              <w:rPr>
                <w:rFonts w:eastAsia="SimSun"/>
                <w:sz w:val="20"/>
                <w:szCs w:val="20"/>
                <w:lang w:val="ro-RO"/>
              </w:rPr>
              <w:t>Ghişeului</w:t>
            </w:r>
            <w:proofErr w:type="spellEnd"/>
            <w:r w:rsidRPr="00FA72AA">
              <w:rPr>
                <w:rFonts w:eastAsia="SimSun"/>
                <w:sz w:val="20"/>
                <w:szCs w:val="20"/>
                <w:lang w:val="ro-RO"/>
              </w:rPr>
              <w:t xml:space="preserve"> Unic </w:t>
            </w:r>
            <w:proofErr w:type="spellStart"/>
            <w:r w:rsidRPr="00FA72AA">
              <w:rPr>
                <w:rFonts w:eastAsia="SimSun"/>
                <w:sz w:val="20"/>
                <w:szCs w:val="20"/>
                <w:lang w:val="ro-RO"/>
              </w:rPr>
              <w:t>şi</w:t>
            </w:r>
            <w:proofErr w:type="spellEnd"/>
            <w:r w:rsidRPr="00FA72AA">
              <w:rPr>
                <w:rFonts w:eastAsia="SimSun"/>
                <w:sz w:val="20"/>
                <w:szCs w:val="20"/>
                <w:lang w:val="ro-RO"/>
              </w:rPr>
              <w:t xml:space="preserve"> a Noului Sistem Computerizat de Tranzit (NCTS).</w:t>
            </w:r>
          </w:p>
        </w:tc>
      </w:tr>
      <w:tr w:rsidR="00451286" w:rsidRPr="003973DD" w:rsidTr="005126EC">
        <w:tc>
          <w:tcPr>
            <w:tcW w:w="7655" w:type="dxa"/>
            <w:shd w:val="clear" w:color="auto" w:fill="FFFFFF" w:themeFill="background1"/>
          </w:tcPr>
          <w:p w:rsidR="00451286" w:rsidRPr="00FA72AA" w:rsidRDefault="00451286" w:rsidP="005126EC">
            <w:pPr>
              <w:outlineLvl w:val="0"/>
              <w:rPr>
                <w:sz w:val="20"/>
                <w:szCs w:val="20"/>
                <w:lang w:val="ro-RO"/>
              </w:rPr>
            </w:pPr>
            <w:r w:rsidRPr="00FA72AA">
              <w:rPr>
                <w:sz w:val="20"/>
                <w:szCs w:val="20"/>
                <w:lang w:val="ro-RO"/>
              </w:rPr>
              <w:t>Aprobarea și implementarea Legii 302/2017 cu privire la Serviciul Vamal</w:t>
            </w:r>
          </w:p>
        </w:tc>
        <w:tc>
          <w:tcPr>
            <w:tcW w:w="7938" w:type="dxa"/>
            <w:shd w:val="clear" w:color="auto" w:fill="FFFFFF" w:themeFill="background1"/>
          </w:tcPr>
          <w:p w:rsidR="00451286" w:rsidRPr="00FA72AA" w:rsidRDefault="00451286" w:rsidP="005126EC">
            <w:pPr>
              <w:jc w:val="both"/>
              <w:rPr>
                <w:rFonts w:eastAsia="SimSun"/>
                <w:sz w:val="20"/>
                <w:szCs w:val="20"/>
                <w:lang w:val="ro-RO"/>
              </w:rPr>
            </w:pPr>
            <w:r w:rsidRPr="00FA72AA">
              <w:rPr>
                <w:rFonts w:eastAsia="SimSun"/>
                <w:sz w:val="20"/>
                <w:szCs w:val="20"/>
                <w:lang w:val="ro-RO"/>
              </w:rPr>
              <w:t>Ajustarea cadrului legislativ la exigențele actuale de activitate în domeniul vamal, stabilind o nouă viziune cu privire la organizarea și funcționarea Serviciului Vamal.</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sz w:val="20"/>
                <w:szCs w:val="20"/>
                <w:lang w:val="ro-RO"/>
              </w:rPr>
            </w:pPr>
            <w:r w:rsidRPr="00FA72AA">
              <w:rPr>
                <w:b/>
                <w:sz w:val="20"/>
                <w:szCs w:val="20"/>
                <w:lang w:val="ro-RO"/>
              </w:rPr>
              <w:t xml:space="preserve">Realizare-cheie: Elaborarea </w:t>
            </w:r>
            <w:proofErr w:type="spellStart"/>
            <w:r w:rsidRPr="00FA72AA">
              <w:rPr>
                <w:b/>
                <w:sz w:val="20"/>
                <w:szCs w:val="20"/>
                <w:lang w:val="ro-RO"/>
              </w:rPr>
              <w:t>şi</w:t>
            </w:r>
            <w:proofErr w:type="spellEnd"/>
            <w:r w:rsidRPr="00FA72AA">
              <w:rPr>
                <w:b/>
                <w:sz w:val="20"/>
                <w:szCs w:val="20"/>
                <w:lang w:val="ro-RO"/>
              </w:rPr>
              <w:t xml:space="preserve"> aprobarea modificărilor la Codul vamal </w:t>
            </w:r>
            <w:proofErr w:type="spellStart"/>
            <w:r w:rsidRPr="00FA72AA">
              <w:rPr>
                <w:b/>
                <w:sz w:val="20"/>
                <w:szCs w:val="20"/>
                <w:lang w:val="ro-RO"/>
              </w:rPr>
              <w:t>şi</w:t>
            </w:r>
            <w:proofErr w:type="spellEnd"/>
            <w:r w:rsidRPr="00FA72AA">
              <w:rPr>
                <w:b/>
                <w:sz w:val="20"/>
                <w:szCs w:val="20"/>
                <w:lang w:val="ro-RO"/>
              </w:rPr>
              <w:t xml:space="preserve"> la Codul </w:t>
            </w:r>
            <w:proofErr w:type="spellStart"/>
            <w:r w:rsidRPr="00FA72AA">
              <w:rPr>
                <w:b/>
                <w:sz w:val="20"/>
                <w:szCs w:val="20"/>
                <w:lang w:val="ro-RO"/>
              </w:rPr>
              <w:t>contravenţional</w:t>
            </w:r>
            <w:proofErr w:type="spellEnd"/>
            <w:r w:rsidRPr="00FA72AA">
              <w:rPr>
                <w:b/>
                <w:sz w:val="20"/>
                <w:szCs w:val="20"/>
                <w:lang w:val="ro-RO"/>
              </w:rPr>
              <w:t xml:space="preserve"> privind </w:t>
            </w:r>
            <w:proofErr w:type="spellStart"/>
            <w:r w:rsidRPr="00FA72AA">
              <w:rPr>
                <w:b/>
                <w:sz w:val="20"/>
                <w:szCs w:val="20"/>
                <w:lang w:val="ro-RO"/>
              </w:rPr>
              <w:t>contravenţiile</w:t>
            </w:r>
            <w:proofErr w:type="spellEnd"/>
            <w:r w:rsidRPr="00FA72AA">
              <w:rPr>
                <w:b/>
                <w:sz w:val="20"/>
                <w:szCs w:val="20"/>
                <w:lang w:val="ro-RO"/>
              </w:rPr>
              <w:t xml:space="preserve"> vamale în conformitate cu practicile statelor membre UE</w:t>
            </w:r>
          </w:p>
        </w:tc>
      </w:tr>
      <w:tr w:rsidR="00451286" w:rsidRPr="003973DD" w:rsidTr="005126EC">
        <w:tc>
          <w:tcPr>
            <w:tcW w:w="7655" w:type="dxa"/>
            <w:shd w:val="clear" w:color="auto" w:fill="FFFFFF" w:themeFill="background1"/>
          </w:tcPr>
          <w:p w:rsidR="00451286" w:rsidRPr="00FA72AA" w:rsidRDefault="00451286" w:rsidP="005126EC">
            <w:pPr>
              <w:jc w:val="both"/>
              <w:rPr>
                <w:rFonts w:eastAsia="SimSun"/>
                <w:sz w:val="20"/>
                <w:szCs w:val="20"/>
                <w:lang w:val="ro-RO"/>
              </w:rPr>
            </w:pPr>
            <w:r w:rsidRPr="00FA72AA">
              <w:rPr>
                <w:rFonts w:eastAsia="SimSun"/>
                <w:sz w:val="20"/>
                <w:szCs w:val="20"/>
                <w:lang w:val="ro-RO"/>
              </w:rPr>
              <w:t xml:space="preserve">Prin Legea nr.281/2016 cu privire la modificarea </w:t>
            </w:r>
            <w:proofErr w:type="spellStart"/>
            <w:r w:rsidRPr="00FA72AA">
              <w:rPr>
                <w:rFonts w:eastAsia="SimSun"/>
                <w:sz w:val="20"/>
                <w:szCs w:val="20"/>
                <w:lang w:val="ro-RO"/>
              </w:rPr>
              <w:t>şi</w:t>
            </w:r>
            <w:proofErr w:type="spellEnd"/>
            <w:r w:rsidRPr="00FA72AA">
              <w:rPr>
                <w:rFonts w:eastAsia="SimSun"/>
                <w:sz w:val="20"/>
                <w:szCs w:val="20"/>
                <w:lang w:val="ro-RO"/>
              </w:rPr>
              <w:t xml:space="preserve"> completarea unor acte legislative,  ce </w:t>
            </w:r>
            <w:proofErr w:type="spellStart"/>
            <w:r w:rsidRPr="00FA72AA">
              <w:rPr>
                <w:rFonts w:eastAsia="SimSun"/>
                <w:sz w:val="20"/>
                <w:szCs w:val="20"/>
                <w:lang w:val="ro-RO"/>
              </w:rPr>
              <w:t>ţine</w:t>
            </w:r>
            <w:proofErr w:type="spellEnd"/>
            <w:r w:rsidRPr="00FA72AA">
              <w:rPr>
                <w:rFonts w:eastAsia="SimSun"/>
                <w:sz w:val="20"/>
                <w:szCs w:val="20"/>
                <w:lang w:val="ro-RO"/>
              </w:rPr>
              <w:t xml:space="preserve"> de politica fiscală, vamală </w:t>
            </w:r>
            <w:proofErr w:type="spellStart"/>
            <w:r w:rsidRPr="00FA72AA">
              <w:rPr>
                <w:rFonts w:eastAsia="SimSun"/>
                <w:sz w:val="20"/>
                <w:szCs w:val="20"/>
                <w:lang w:val="ro-RO"/>
              </w:rPr>
              <w:t>şi</w:t>
            </w:r>
            <w:proofErr w:type="spellEnd"/>
            <w:r w:rsidRPr="00FA72AA">
              <w:rPr>
                <w:rFonts w:eastAsia="SimSun"/>
                <w:sz w:val="20"/>
                <w:szCs w:val="20"/>
                <w:lang w:val="ro-RO"/>
              </w:rPr>
              <w:t xml:space="preserve"> bugetară pentru 2017, au fost operate modificări la art.232 alin.(1) lit.b</w:t>
            </w:r>
            <w:r w:rsidRPr="00FA72AA">
              <w:rPr>
                <w:rFonts w:eastAsia="SimSun"/>
                <w:sz w:val="20"/>
                <w:szCs w:val="20"/>
                <w:vertAlign w:val="superscript"/>
                <w:lang w:val="ro-RO"/>
              </w:rPr>
              <w:t>1</w:t>
            </w:r>
            <w:r w:rsidRPr="00FA72AA">
              <w:rPr>
                <w:rFonts w:eastAsia="SimSun"/>
                <w:sz w:val="20"/>
                <w:szCs w:val="20"/>
                <w:lang w:val="ro-RO"/>
              </w:rPr>
              <w:t xml:space="preserve">) </w:t>
            </w:r>
            <w:proofErr w:type="spellStart"/>
            <w:r w:rsidRPr="00FA72AA">
              <w:rPr>
                <w:rFonts w:eastAsia="SimSun"/>
                <w:sz w:val="20"/>
                <w:szCs w:val="20"/>
                <w:lang w:val="ro-RO"/>
              </w:rPr>
              <w:t>şi</w:t>
            </w:r>
            <w:proofErr w:type="spellEnd"/>
            <w:r w:rsidRPr="00FA72AA">
              <w:rPr>
                <w:rFonts w:eastAsia="SimSun"/>
                <w:sz w:val="20"/>
                <w:szCs w:val="20"/>
                <w:lang w:val="ro-RO"/>
              </w:rPr>
              <w:t xml:space="preserve"> c) din Codul vamal, în contextul cărora au fost stabilite </w:t>
            </w:r>
            <w:proofErr w:type="spellStart"/>
            <w:r w:rsidRPr="00FA72AA">
              <w:rPr>
                <w:rFonts w:eastAsia="SimSun"/>
                <w:sz w:val="20"/>
                <w:szCs w:val="20"/>
                <w:lang w:val="ro-RO"/>
              </w:rPr>
              <w:t>sancţiuni</w:t>
            </w:r>
            <w:proofErr w:type="spellEnd"/>
            <w:r w:rsidRPr="00FA72AA">
              <w:rPr>
                <w:rFonts w:eastAsia="SimSun"/>
                <w:sz w:val="20"/>
                <w:szCs w:val="20"/>
                <w:lang w:val="ro-RO"/>
              </w:rPr>
              <w:t xml:space="preserve"> în mărime de 4% din valoarea obiectului </w:t>
            </w:r>
            <w:proofErr w:type="spellStart"/>
            <w:r w:rsidRPr="00FA72AA">
              <w:rPr>
                <w:rFonts w:eastAsia="SimSun"/>
                <w:sz w:val="20"/>
                <w:szCs w:val="20"/>
                <w:lang w:val="ro-RO"/>
              </w:rPr>
              <w:t>contravenţiei</w:t>
            </w:r>
            <w:proofErr w:type="spellEnd"/>
            <w:r w:rsidRPr="00FA72AA">
              <w:rPr>
                <w:rFonts w:eastAsia="SimSun"/>
                <w:sz w:val="20"/>
                <w:szCs w:val="20"/>
                <w:lang w:val="ro-RO"/>
              </w:rPr>
              <w:t xml:space="preserve">, pentru </w:t>
            </w:r>
            <w:proofErr w:type="spellStart"/>
            <w:r w:rsidRPr="00FA72AA">
              <w:rPr>
                <w:rFonts w:eastAsia="SimSun"/>
                <w:sz w:val="20"/>
                <w:szCs w:val="20"/>
                <w:lang w:val="ro-RO"/>
              </w:rPr>
              <w:t>declaraţiile</w:t>
            </w:r>
            <w:proofErr w:type="spellEnd"/>
            <w:r w:rsidRPr="00FA72AA">
              <w:rPr>
                <w:rFonts w:eastAsia="SimSun"/>
                <w:sz w:val="20"/>
                <w:szCs w:val="20"/>
                <w:lang w:val="ro-RO"/>
              </w:rPr>
              <w:t xml:space="preserve"> vamale repartizate pe culoarele galben </w:t>
            </w:r>
            <w:proofErr w:type="spellStart"/>
            <w:r w:rsidRPr="00FA72AA">
              <w:rPr>
                <w:rFonts w:eastAsia="SimSun"/>
                <w:sz w:val="20"/>
                <w:szCs w:val="20"/>
                <w:lang w:val="ro-RO"/>
              </w:rPr>
              <w:t>şi</w:t>
            </w:r>
            <w:proofErr w:type="spellEnd"/>
            <w:r w:rsidRPr="00FA72AA">
              <w:rPr>
                <w:rFonts w:eastAsia="SimSun"/>
                <w:sz w:val="20"/>
                <w:szCs w:val="20"/>
                <w:lang w:val="ro-RO"/>
              </w:rPr>
              <w:t xml:space="preserve"> </w:t>
            </w:r>
            <w:proofErr w:type="spellStart"/>
            <w:r w:rsidRPr="00FA72AA">
              <w:rPr>
                <w:rFonts w:eastAsia="SimSun"/>
                <w:sz w:val="20"/>
                <w:szCs w:val="20"/>
                <w:lang w:val="ro-RO"/>
              </w:rPr>
              <w:t>roşu</w:t>
            </w:r>
            <w:proofErr w:type="spellEnd"/>
            <w:r w:rsidRPr="00FA72AA">
              <w:rPr>
                <w:rFonts w:eastAsia="SimSun"/>
                <w:sz w:val="20"/>
                <w:szCs w:val="20"/>
                <w:lang w:val="ro-RO"/>
              </w:rPr>
              <w:t xml:space="preserve"> de control vamal, în cazul neîndeplinirii </w:t>
            </w:r>
            <w:proofErr w:type="spellStart"/>
            <w:r w:rsidRPr="00FA72AA">
              <w:rPr>
                <w:rFonts w:eastAsia="SimSun"/>
                <w:sz w:val="20"/>
                <w:szCs w:val="20"/>
                <w:lang w:val="ro-RO"/>
              </w:rPr>
              <w:t>obligaţiei</w:t>
            </w:r>
            <w:proofErr w:type="spellEnd"/>
            <w:r w:rsidRPr="00FA72AA">
              <w:rPr>
                <w:rFonts w:eastAsia="SimSun"/>
                <w:sz w:val="20"/>
                <w:szCs w:val="20"/>
                <w:lang w:val="ro-RO"/>
              </w:rPr>
              <w:t xml:space="preserve"> de a declara organului vamal modificarea </w:t>
            </w:r>
            <w:proofErr w:type="spellStart"/>
            <w:r w:rsidRPr="00FA72AA">
              <w:rPr>
                <w:rFonts w:eastAsia="SimSun"/>
                <w:sz w:val="20"/>
                <w:szCs w:val="20"/>
                <w:lang w:val="ro-RO"/>
              </w:rPr>
              <w:t>destinaţiei</w:t>
            </w:r>
            <w:proofErr w:type="spellEnd"/>
            <w:r w:rsidRPr="00FA72AA">
              <w:rPr>
                <w:rFonts w:eastAsia="SimSun"/>
                <w:sz w:val="20"/>
                <w:szCs w:val="20"/>
                <w:lang w:val="ro-RO"/>
              </w:rPr>
              <w:t xml:space="preserve"> mărfurilor </w:t>
            </w:r>
            <w:proofErr w:type="spellStart"/>
            <w:r w:rsidRPr="00FA72AA">
              <w:rPr>
                <w:rFonts w:eastAsia="SimSun"/>
                <w:sz w:val="20"/>
                <w:szCs w:val="20"/>
                <w:lang w:val="ro-RO"/>
              </w:rPr>
              <w:t>faţă</w:t>
            </w:r>
            <w:proofErr w:type="spellEnd"/>
            <w:r w:rsidRPr="00FA72AA">
              <w:rPr>
                <w:rFonts w:eastAsia="SimSun"/>
                <w:sz w:val="20"/>
                <w:szCs w:val="20"/>
                <w:lang w:val="ro-RO"/>
              </w:rPr>
              <w:t xml:space="preserve"> de scopul declarat la plasarea mărfurilor sub o anumită </w:t>
            </w:r>
            <w:proofErr w:type="spellStart"/>
            <w:r w:rsidRPr="00FA72AA">
              <w:rPr>
                <w:rFonts w:eastAsia="SimSun"/>
                <w:sz w:val="20"/>
                <w:szCs w:val="20"/>
                <w:lang w:val="ro-RO"/>
              </w:rPr>
              <w:t>destinaţie</w:t>
            </w:r>
            <w:proofErr w:type="spellEnd"/>
            <w:r w:rsidRPr="00FA72AA">
              <w:rPr>
                <w:rFonts w:eastAsia="SimSun"/>
                <w:sz w:val="20"/>
                <w:szCs w:val="20"/>
                <w:lang w:val="ro-RO"/>
              </w:rPr>
              <w:t xml:space="preserve"> vamală.</w:t>
            </w:r>
          </w:p>
          <w:p w:rsidR="00451286" w:rsidRPr="00FA72AA" w:rsidRDefault="00451286" w:rsidP="005126EC">
            <w:pPr>
              <w:jc w:val="both"/>
              <w:rPr>
                <w:sz w:val="20"/>
                <w:szCs w:val="20"/>
                <w:lang w:val="ro-RO"/>
              </w:rPr>
            </w:pPr>
            <w:r w:rsidRPr="00FA72AA">
              <w:rPr>
                <w:rFonts w:eastAsia="SimSun"/>
                <w:sz w:val="20"/>
                <w:szCs w:val="20"/>
                <w:lang w:val="ro-RO"/>
              </w:rPr>
              <w:t xml:space="preserve">Totodată, art.232 din Codul vamal a fost completat cu alineatul (2) potrivit căruia, în cazul în care persoana, </w:t>
            </w:r>
            <w:proofErr w:type="spellStart"/>
            <w:r w:rsidRPr="00FA72AA">
              <w:rPr>
                <w:rFonts w:eastAsia="SimSun"/>
                <w:sz w:val="20"/>
                <w:szCs w:val="20"/>
                <w:lang w:val="ro-RO"/>
              </w:rPr>
              <w:t>pînă</w:t>
            </w:r>
            <w:proofErr w:type="spellEnd"/>
            <w:r w:rsidRPr="00FA72AA">
              <w:rPr>
                <w:rFonts w:eastAsia="SimSun"/>
                <w:sz w:val="20"/>
                <w:szCs w:val="20"/>
                <w:lang w:val="ro-RO"/>
              </w:rPr>
              <w:t xml:space="preserve"> la </w:t>
            </w:r>
            <w:proofErr w:type="spellStart"/>
            <w:r w:rsidRPr="00FA72AA">
              <w:rPr>
                <w:rFonts w:eastAsia="SimSun"/>
                <w:sz w:val="20"/>
                <w:szCs w:val="20"/>
                <w:lang w:val="ro-RO"/>
              </w:rPr>
              <w:t>iniţierea</w:t>
            </w:r>
            <w:proofErr w:type="spellEnd"/>
            <w:r w:rsidRPr="00FA72AA">
              <w:rPr>
                <w:rFonts w:eastAsia="SimSun"/>
                <w:sz w:val="20"/>
                <w:szCs w:val="20"/>
                <w:lang w:val="ro-RO"/>
              </w:rPr>
              <w:t xml:space="preserve"> controlului ulterior, pentru </w:t>
            </w:r>
            <w:proofErr w:type="spellStart"/>
            <w:r w:rsidRPr="00FA72AA">
              <w:rPr>
                <w:rFonts w:eastAsia="SimSun"/>
                <w:sz w:val="20"/>
                <w:szCs w:val="20"/>
                <w:lang w:val="ro-RO"/>
              </w:rPr>
              <w:t>declaraţiile</w:t>
            </w:r>
            <w:proofErr w:type="spellEnd"/>
            <w:r w:rsidRPr="00FA72AA">
              <w:rPr>
                <w:rFonts w:eastAsia="SimSun"/>
                <w:sz w:val="20"/>
                <w:szCs w:val="20"/>
                <w:lang w:val="ro-RO"/>
              </w:rPr>
              <w:t xml:space="preserve"> vamale repartizate pe culoarele galben sau </w:t>
            </w:r>
            <w:proofErr w:type="spellStart"/>
            <w:r w:rsidRPr="00FA72AA">
              <w:rPr>
                <w:rFonts w:eastAsia="SimSun"/>
                <w:sz w:val="20"/>
                <w:szCs w:val="20"/>
                <w:lang w:val="ro-RO"/>
              </w:rPr>
              <w:t>roşu</w:t>
            </w:r>
            <w:proofErr w:type="spellEnd"/>
            <w:r w:rsidRPr="00FA72AA">
              <w:rPr>
                <w:rFonts w:eastAsia="SimSun"/>
                <w:sz w:val="20"/>
                <w:szCs w:val="20"/>
                <w:lang w:val="ro-RO"/>
              </w:rPr>
              <w:t xml:space="preserve"> de control vamal, </w:t>
            </w:r>
            <w:proofErr w:type="spellStart"/>
            <w:r w:rsidRPr="00FA72AA">
              <w:rPr>
                <w:rFonts w:eastAsia="SimSun"/>
                <w:sz w:val="20"/>
                <w:szCs w:val="20"/>
                <w:lang w:val="ro-RO"/>
              </w:rPr>
              <w:t>şi</w:t>
            </w:r>
            <w:proofErr w:type="spellEnd"/>
            <w:r w:rsidRPr="00FA72AA">
              <w:rPr>
                <w:rFonts w:eastAsia="SimSun"/>
                <w:sz w:val="20"/>
                <w:szCs w:val="20"/>
                <w:lang w:val="ro-RO"/>
              </w:rPr>
              <w:t xml:space="preserve"> care au fost validate informatic cu acordarea liberului de vamă, comunică din proprie </w:t>
            </w:r>
            <w:proofErr w:type="spellStart"/>
            <w:r w:rsidRPr="00FA72AA">
              <w:rPr>
                <w:rFonts w:eastAsia="SimSun"/>
                <w:sz w:val="20"/>
                <w:szCs w:val="20"/>
                <w:lang w:val="ro-RO"/>
              </w:rPr>
              <w:t>iniţiativă</w:t>
            </w:r>
            <w:proofErr w:type="spellEnd"/>
            <w:r w:rsidRPr="00FA72AA">
              <w:rPr>
                <w:rFonts w:eastAsia="SimSun"/>
                <w:sz w:val="20"/>
                <w:szCs w:val="20"/>
                <w:lang w:val="ro-RO"/>
              </w:rPr>
              <w:t xml:space="preserve"> în scris organului vamal despre comiterea </w:t>
            </w:r>
            <w:proofErr w:type="spellStart"/>
            <w:r w:rsidRPr="00FA72AA">
              <w:rPr>
                <w:rFonts w:eastAsia="SimSun"/>
                <w:sz w:val="20"/>
                <w:szCs w:val="20"/>
                <w:lang w:val="ro-RO"/>
              </w:rPr>
              <w:t>contravenţiilor</w:t>
            </w:r>
            <w:proofErr w:type="spellEnd"/>
            <w:r w:rsidRPr="00FA72AA">
              <w:rPr>
                <w:rFonts w:eastAsia="SimSun"/>
                <w:sz w:val="20"/>
                <w:szCs w:val="20"/>
                <w:lang w:val="ro-RO"/>
              </w:rPr>
              <w:t xml:space="preserve"> vamale prevăzute de art.231 pct.6) </w:t>
            </w:r>
            <w:proofErr w:type="spellStart"/>
            <w:r w:rsidRPr="00FA72AA">
              <w:rPr>
                <w:rFonts w:eastAsia="SimSun"/>
                <w:sz w:val="20"/>
                <w:szCs w:val="20"/>
                <w:lang w:val="ro-RO"/>
              </w:rPr>
              <w:t>şi</w:t>
            </w:r>
            <w:proofErr w:type="spellEnd"/>
            <w:r w:rsidRPr="00FA72AA">
              <w:rPr>
                <w:rFonts w:eastAsia="SimSun"/>
                <w:sz w:val="20"/>
                <w:szCs w:val="20"/>
                <w:lang w:val="ro-RO"/>
              </w:rPr>
              <w:t xml:space="preserve"> pct.11) din Codul vamal cu anexarea actelor justificate, aceasta se eliberează de răspundere materială </w:t>
            </w:r>
            <w:proofErr w:type="spellStart"/>
            <w:r w:rsidRPr="00FA72AA">
              <w:rPr>
                <w:rFonts w:eastAsia="SimSun"/>
                <w:sz w:val="20"/>
                <w:szCs w:val="20"/>
                <w:lang w:val="ro-RO"/>
              </w:rPr>
              <w:t>şi</w:t>
            </w:r>
            <w:proofErr w:type="spellEnd"/>
            <w:r w:rsidRPr="00FA72AA">
              <w:rPr>
                <w:rFonts w:eastAsia="SimSun"/>
                <w:sz w:val="20"/>
                <w:szCs w:val="20"/>
                <w:lang w:val="ro-RO"/>
              </w:rPr>
              <w:t xml:space="preserve"> </w:t>
            </w:r>
            <w:proofErr w:type="spellStart"/>
            <w:r w:rsidRPr="00FA72AA">
              <w:rPr>
                <w:rFonts w:eastAsia="SimSun"/>
                <w:sz w:val="20"/>
                <w:szCs w:val="20"/>
                <w:lang w:val="ro-RO"/>
              </w:rPr>
              <w:t>contravenţională</w:t>
            </w:r>
            <w:proofErr w:type="spellEnd"/>
            <w:r w:rsidRPr="00FA72AA">
              <w:rPr>
                <w:rFonts w:eastAsia="SimSun"/>
                <w:sz w:val="20"/>
                <w:szCs w:val="20"/>
                <w:lang w:val="ro-RO"/>
              </w:rPr>
              <w:t xml:space="preserve">, cu </w:t>
            </w:r>
            <w:proofErr w:type="spellStart"/>
            <w:r w:rsidRPr="00FA72AA">
              <w:rPr>
                <w:rFonts w:eastAsia="SimSun"/>
                <w:sz w:val="20"/>
                <w:szCs w:val="20"/>
                <w:lang w:val="ro-RO"/>
              </w:rPr>
              <w:t>condiţia</w:t>
            </w:r>
            <w:proofErr w:type="spellEnd"/>
            <w:r w:rsidRPr="00FA72AA">
              <w:rPr>
                <w:rFonts w:eastAsia="SimSun"/>
                <w:sz w:val="20"/>
                <w:szCs w:val="20"/>
                <w:lang w:val="ro-RO"/>
              </w:rPr>
              <w:t xml:space="preserve"> achitării incontestabile </w:t>
            </w:r>
            <w:proofErr w:type="spellStart"/>
            <w:r w:rsidRPr="00FA72AA">
              <w:rPr>
                <w:rFonts w:eastAsia="SimSun"/>
                <w:sz w:val="20"/>
                <w:szCs w:val="20"/>
                <w:lang w:val="ro-RO"/>
              </w:rPr>
              <w:t>şi</w:t>
            </w:r>
            <w:proofErr w:type="spellEnd"/>
            <w:r w:rsidRPr="00FA72AA">
              <w:rPr>
                <w:rFonts w:eastAsia="SimSun"/>
                <w:sz w:val="20"/>
                <w:szCs w:val="20"/>
                <w:lang w:val="ro-RO"/>
              </w:rPr>
              <w:t xml:space="preserve"> benevole a drepturilor de import datorate </w:t>
            </w:r>
            <w:proofErr w:type="spellStart"/>
            <w:r w:rsidRPr="00FA72AA">
              <w:rPr>
                <w:rFonts w:eastAsia="SimSun"/>
                <w:sz w:val="20"/>
                <w:szCs w:val="20"/>
                <w:lang w:val="ro-RO"/>
              </w:rPr>
              <w:t>şi</w:t>
            </w:r>
            <w:proofErr w:type="spellEnd"/>
            <w:r w:rsidRPr="00FA72AA">
              <w:rPr>
                <w:rFonts w:eastAsia="SimSun"/>
                <w:sz w:val="20"/>
                <w:szCs w:val="20"/>
                <w:lang w:val="ro-RO"/>
              </w:rPr>
              <w:t xml:space="preserve"> </w:t>
            </w:r>
            <w:proofErr w:type="spellStart"/>
            <w:r w:rsidRPr="00FA72AA">
              <w:rPr>
                <w:rFonts w:eastAsia="SimSun"/>
                <w:sz w:val="20"/>
                <w:szCs w:val="20"/>
                <w:lang w:val="ro-RO"/>
              </w:rPr>
              <w:t>penalităţilor</w:t>
            </w:r>
            <w:proofErr w:type="spellEnd"/>
            <w:r w:rsidRPr="00FA72AA">
              <w:rPr>
                <w:rFonts w:eastAsia="SimSun"/>
                <w:sz w:val="20"/>
                <w:szCs w:val="20"/>
                <w:lang w:val="ro-RO"/>
              </w:rPr>
              <w:t xml:space="preserve"> calculate. </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rFonts w:eastAsia="SimSun"/>
                <w:sz w:val="20"/>
                <w:szCs w:val="20"/>
                <w:lang w:val="ro-RO"/>
              </w:rPr>
              <w:t xml:space="preserve">Promovarea conformării voluntare a </w:t>
            </w:r>
            <w:proofErr w:type="spellStart"/>
            <w:r w:rsidRPr="00FA72AA">
              <w:rPr>
                <w:rFonts w:eastAsia="SimSun"/>
                <w:sz w:val="20"/>
                <w:szCs w:val="20"/>
                <w:lang w:val="ro-RO"/>
              </w:rPr>
              <w:t>reprezentanţilor</w:t>
            </w:r>
            <w:proofErr w:type="spellEnd"/>
            <w:r w:rsidRPr="00FA72AA">
              <w:rPr>
                <w:rFonts w:eastAsia="SimSun"/>
                <w:sz w:val="20"/>
                <w:szCs w:val="20"/>
                <w:lang w:val="ro-RO"/>
              </w:rPr>
              <w:t xml:space="preserve"> mediului de afaceri prin eliberarea de la răspundere sau aplicarea unei </w:t>
            </w:r>
            <w:proofErr w:type="spellStart"/>
            <w:r w:rsidRPr="00FA72AA">
              <w:rPr>
                <w:rFonts w:eastAsia="SimSun"/>
                <w:sz w:val="20"/>
                <w:szCs w:val="20"/>
                <w:lang w:val="ro-RO"/>
              </w:rPr>
              <w:t>sancţiuni</w:t>
            </w:r>
            <w:proofErr w:type="spellEnd"/>
            <w:r w:rsidRPr="00FA72AA">
              <w:rPr>
                <w:rFonts w:eastAsia="SimSun"/>
                <w:sz w:val="20"/>
                <w:szCs w:val="20"/>
                <w:lang w:val="ro-RO"/>
              </w:rPr>
              <w:t xml:space="preserve"> mai </w:t>
            </w:r>
            <w:proofErr w:type="spellStart"/>
            <w:r w:rsidRPr="00FA72AA">
              <w:rPr>
                <w:rFonts w:eastAsia="SimSun"/>
                <w:sz w:val="20"/>
                <w:szCs w:val="20"/>
                <w:lang w:val="ro-RO"/>
              </w:rPr>
              <w:t>blînde</w:t>
            </w:r>
            <w:proofErr w:type="spellEnd"/>
            <w:r w:rsidRPr="00FA72AA">
              <w:rPr>
                <w:rFonts w:eastAsia="SimSun"/>
                <w:sz w:val="20"/>
                <w:szCs w:val="20"/>
                <w:lang w:val="ro-RO"/>
              </w:rPr>
              <w:t>.</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sz w:val="20"/>
                <w:szCs w:val="20"/>
                <w:lang w:val="ro-RO"/>
              </w:rPr>
            </w:pPr>
            <w:r w:rsidRPr="00FA72AA">
              <w:rPr>
                <w:b/>
                <w:sz w:val="20"/>
                <w:szCs w:val="20"/>
                <w:lang w:val="ro-RO"/>
              </w:rPr>
              <w:t xml:space="preserve">Realizare-cheie: Racordarea </w:t>
            </w:r>
            <w:proofErr w:type="spellStart"/>
            <w:r w:rsidRPr="00FA72AA">
              <w:rPr>
                <w:b/>
                <w:sz w:val="20"/>
                <w:szCs w:val="20"/>
                <w:lang w:val="ro-RO"/>
              </w:rPr>
              <w:t>legislaţiei</w:t>
            </w:r>
            <w:proofErr w:type="spellEnd"/>
            <w:r w:rsidRPr="00FA72AA">
              <w:rPr>
                <w:b/>
                <w:sz w:val="20"/>
                <w:szCs w:val="20"/>
                <w:lang w:val="ro-RO"/>
              </w:rPr>
              <w:t xml:space="preserve"> vamale la prevederile articolului VII din GATT 1994 cuprins în anexa 1A la Acordul OMC, cu toate modificările ulterioare</w:t>
            </w:r>
          </w:p>
        </w:tc>
      </w:tr>
      <w:tr w:rsidR="00451286" w:rsidRPr="003973DD" w:rsidTr="005126EC">
        <w:tc>
          <w:tcPr>
            <w:tcW w:w="7655" w:type="dxa"/>
            <w:shd w:val="clear" w:color="auto" w:fill="FFFFFF" w:themeFill="background1"/>
          </w:tcPr>
          <w:p w:rsidR="00451286" w:rsidRPr="00FA72AA" w:rsidRDefault="00451286" w:rsidP="005126EC">
            <w:pPr>
              <w:autoSpaceDE w:val="0"/>
              <w:autoSpaceDN w:val="0"/>
              <w:adjustRightInd w:val="0"/>
              <w:jc w:val="both"/>
              <w:rPr>
                <w:rFonts w:eastAsia="SimSun"/>
                <w:sz w:val="20"/>
                <w:szCs w:val="20"/>
                <w:lang w:val="ro-RO"/>
              </w:rPr>
            </w:pPr>
            <w:r w:rsidRPr="00FA72AA">
              <w:rPr>
                <w:rFonts w:eastAsia="SimSun"/>
                <w:sz w:val="20"/>
                <w:szCs w:val="20"/>
                <w:lang w:val="ro-RO"/>
              </w:rPr>
              <w:t xml:space="preserve">Prin Legea nr.71/2015 au fost operate modificări la art.11 din Legea cu privire la tariful vamal nr.1380-XIII din 20.11.1997, care constau în concretizarea momentului în cazul în care metoda determinării valorii în vamă a mărfii în baza valorii </w:t>
            </w:r>
            <w:proofErr w:type="spellStart"/>
            <w:r w:rsidRPr="00FA72AA">
              <w:rPr>
                <w:rFonts w:eastAsia="SimSun"/>
                <w:sz w:val="20"/>
                <w:szCs w:val="20"/>
                <w:lang w:val="ro-RO"/>
              </w:rPr>
              <w:t>tranzacţiei</w:t>
            </w:r>
            <w:proofErr w:type="spellEnd"/>
            <w:r w:rsidRPr="00FA72AA">
              <w:rPr>
                <w:rFonts w:eastAsia="SimSun"/>
                <w:sz w:val="20"/>
                <w:szCs w:val="20"/>
                <w:lang w:val="ro-RO"/>
              </w:rPr>
              <w:t xml:space="preserve"> nu poate fi aplicată în baza </w:t>
            </w:r>
            <w:proofErr w:type="spellStart"/>
            <w:r w:rsidRPr="00FA72AA">
              <w:rPr>
                <w:rFonts w:eastAsia="SimSun"/>
                <w:sz w:val="20"/>
                <w:szCs w:val="20"/>
                <w:lang w:val="ro-RO"/>
              </w:rPr>
              <w:t>preţului</w:t>
            </w:r>
            <w:proofErr w:type="spellEnd"/>
            <w:r w:rsidRPr="00FA72AA">
              <w:rPr>
                <w:rFonts w:eastAsia="SimSun"/>
                <w:sz w:val="20"/>
                <w:szCs w:val="20"/>
                <w:lang w:val="ro-RO"/>
              </w:rPr>
              <w:t xml:space="preserve"> efectiv plătit sau de plătit </w:t>
            </w:r>
            <w:proofErr w:type="spellStart"/>
            <w:r w:rsidRPr="00FA72AA">
              <w:rPr>
                <w:rFonts w:eastAsia="SimSun"/>
                <w:sz w:val="20"/>
                <w:szCs w:val="20"/>
                <w:lang w:val="ro-RO"/>
              </w:rPr>
              <w:t>şi</w:t>
            </w:r>
            <w:proofErr w:type="spellEnd"/>
            <w:r w:rsidRPr="00FA72AA">
              <w:rPr>
                <w:rFonts w:eastAsia="SimSun"/>
                <w:sz w:val="20"/>
                <w:szCs w:val="20"/>
                <w:lang w:val="ro-RO"/>
              </w:rPr>
              <w:t xml:space="preserve"> care are drept scop racordarea prevederilor </w:t>
            </w:r>
            <w:proofErr w:type="spellStart"/>
            <w:r w:rsidRPr="00FA72AA">
              <w:rPr>
                <w:rFonts w:eastAsia="SimSun"/>
                <w:sz w:val="20"/>
                <w:szCs w:val="20"/>
                <w:lang w:val="ro-RO"/>
              </w:rPr>
              <w:t>naţionale</w:t>
            </w:r>
            <w:proofErr w:type="spellEnd"/>
            <w:r w:rsidRPr="00FA72AA">
              <w:rPr>
                <w:rFonts w:eastAsia="SimSun"/>
                <w:sz w:val="20"/>
                <w:szCs w:val="20"/>
                <w:lang w:val="ro-RO"/>
              </w:rPr>
              <w:t xml:space="preserve"> la cele ale Acordului de punere în aplicare a articolului VII al GATT 1994.</w:t>
            </w:r>
          </w:p>
          <w:p w:rsidR="00451286" w:rsidRPr="00FA72AA" w:rsidRDefault="00451286" w:rsidP="005126EC">
            <w:pPr>
              <w:autoSpaceDE w:val="0"/>
              <w:autoSpaceDN w:val="0"/>
              <w:adjustRightInd w:val="0"/>
              <w:jc w:val="both"/>
              <w:rPr>
                <w:rFonts w:eastAsia="SimSun"/>
                <w:sz w:val="20"/>
                <w:szCs w:val="20"/>
                <w:lang w:val="ro-RO"/>
              </w:rPr>
            </w:pPr>
            <w:r w:rsidRPr="00FA72AA">
              <w:rPr>
                <w:rFonts w:eastAsia="SimSun"/>
                <w:sz w:val="20"/>
                <w:szCs w:val="20"/>
                <w:lang w:val="ro-RO"/>
              </w:rPr>
              <w:t xml:space="preserve">De asemenea, prin Legea nr.138/2016 cu privire la modificarea </w:t>
            </w:r>
            <w:proofErr w:type="spellStart"/>
            <w:r w:rsidRPr="00FA72AA">
              <w:rPr>
                <w:rFonts w:eastAsia="SimSun"/>
                <w:sz w:val="20"/>
                <w:szCs w:val="20"/>
                <w:lang w:val="ro-RO"/>
              </w:rPr>
              <w:t>şi</w:t>
            </w:r>
            <w:proofErr w:type="spellEnd"/>
            <w:r w:rsidRPr="00FA72AA">
              <w:rPr>
                <w:rFonts w:eastAsia="SimSun"/>
                <w:sz w:val="20"/>
                <w:szCs w:val="20"/>
                <w:lang w:val="ro-RO"/>
              </w:rPr>
              <w:t xml:space="preserve"> completarea unor acte legislative au fost excluse prevederile </w:t>
            </w:r>
            <w:proofErr w:type="spellStart"/>
            <w:r w:rsidRPr="00FA72AA">
              <w:rPr>
                <w:rFonts w:eastAsia="SimSun"/>
                <w:sz w:val="20"/>
                <w:szCs w:val="20"/>
                <w:lang w:val="ro-RO"/>
              </w:rPr>
              <w:t>vizînd</w:t>
            </w:r>
            <w:proofErr w:type="spellEnd"/>
            <w:r w:rsidRPr="00FA72AA">
              <w:rPr>
                <w:rFonts w:eastAsia="SimSun"/>
                <w:sz w:val="20"/>
                <w:szCs w:val="20"/>
                <w:lang w:val="ro-RO"/>
              </w:rPr>
              <w:t xml:space="preserve"> neincluderea în valoarea în vamă a mărfurilor importate a cheltuielilor suportate de cumpărător pentru serviciile de </w:t>
            </w:r>
            <w:proofErr w:type="spellStart"/>
            <w:r w:rsidRPr="00FA72AA">
              <w:rPr>
                <w:rFonts w:eastAsia="SimSun"/>
                <w:sz w:val="20"/>
                <w:szCs w:val="20"/>
                <w:lang w:val="ro-RO"/>
              </w:rPr>
              <w:t>inspecţie</w:t>
            </w:r>
            <w:proofErr w:type="spellEnd"/>
            <w:r w:rsidRPr="00FA72AA">
              <w:rPr>
                <w:rFonts w:eastAsia="SimSun"/>
                <w:sz w:val="20"/>
                <w:szCs w:val="20"/>
                <w:lang w:val="ro-RO"/>
              </w:rPr>
              <w:t xml:space="preserve"> înainte de </w:t>
            </w:r>
            <w:proofErr w:type="spellStart"/>
            <w:r w:rsidRPr="00FA72AA">
              <w:rPr>
                <w:rFonts w:eastAsia="SimSun"/>
                <w:sz w:val="20"/>
                <w:szCs w:val="20"/>
                <w:lang w:val="ro-RO"/>
              </w:rPr>
              <w:t>expediţie</w:t>
            </w:r>
            <w:proofErr w:type="spellEnd"/>
            <w:r w:rsidRPr="00FA72AA">
              <w:rPr>
                <w:rFonts w:eastAsia="SimSun"/>
                <w:sz w:val="20"/>
                <w:szCs w:val="20"/>
                <w:lang w:val="ro-RO"/>
              </w:rPr>
              <w:t xml:space="preserve"> a mărfurilor de import, precum </w:t>
            </w:r>
            <w:proofErr w:type="spellStart"/>
            <w:r w:rsidRPr="00FA72AA">
              <w:rPr>
                <w:rFonts w:eastAsia="SimSun"/>
                <w:sz w:val="20"/>
                <w:szCs w:val="20"/>
                <w:lang w:val="ro-RO"/>
              </w:rPr>
              <w:t>şi</w:t>
            </w:r>
            <w:proofErr w:type="spellEnd"/>
            <w:r w:rsidRPr="00FA72AA">
              <w:rPr>
                <w:rFonts w:eastAsia="SimSun"/>
                <w:sz w:val="20"/>
                <w:szCs w:val="20"/>
                <w:lang w:val="ro-RO"/>
              </w:rPr>
              <w:t xml:space="preserve"> a costurilor de cercetare </w:t>
            </w:r>
            <w:proofErr w:type="spellStart"/>
            <w:r w:rsidRPr="00FA72AA">
              <w:rPr>
                <w:rFonts w:eastAsia="SimSun"/>
                <w:sz w:val="20"/>
                <w:szCs w:val="20"/>
                <w:lang w:val="ro-RO"/>
              </w:rPr>
              <w:t>şi</w:t>
            </w:r>
            <w:proofErr w:type="spellEnd"/>
            <w:r w:rsidRPr="00FA72AA">
              <w:rPr>
                <w:rFonts w:eastAsia="SimSun"/>
                <w:sz w:val="20"/>
                <w:szCs w:val="20"/>
                <w:lang w:val="ro-RO"/>
              </w:rPr>
              <w:t xml:space="preserve"> </w:t>
            </w:r>
            <w:proofErr w:type="spellStart"/>
            <w:r w:rsidRPr="00FA72AA">
              <w:rPr>
                <w:rFonts w:eastAsia="SimSun"/>
                <w:sz w:val="20"/>
                <w:szCs w:val="20"/>
                <w:lang w:val="ro-RO"/>
              </w:rPr>
              <w:t>schiţelor</w:t>
            </w:r>
            <w:proofErr w:type="spellEnd"/>
            <w:r w:rsidRPr="00FA72AA">
              <w:rPr>
                <w:rFonts w:eastAsia="SimSun"/>
                <w:sz w:val="20"/>
                <w:szCs w:val="20"/>
                <w:lang w:val="ro-RO"/>
              </w:rPr>
              <w:t xml:space="preserve"> preliminare de proiectare la determinarea valorii în vamă a mărfii. </w:t>
            </w:r>
          </w:p>
          <w:p w:rsidR="00451286" w:rsidRPr="00FA72AA" w:rsidRDefault="00451286" w:rsidP="005126EC">
            <w:pPr>
              <w:autoSpaceDE w:val="0"/>
              <w:autoSpaceDN w:val="0"/>
              <w:adjustRightInd w:val="0"/>
              <w:jc w:val="both"/>
              <w:rPr>
                <w:rFonts w:eastAsia="SimSun"/>
                <w:sz w:val="20"/>
                <w:szCs w:val="20"/>
                <w:lang w:val="ro-RO"/>
              </w:rPr>
            </w:pPr>
            <w:r w:rsidRPr="00FA72AA">
              <w:rPr>
                <w:rFonts w:eastAsia="SimSun"/>
                <w:sz w:val="20"/>
                <w:szCs w:val="20"/>
                <w:lang w:val="ro-RO"/>
              </w:rPr>
              <w:t xml:space="preserve">La aceasta, a fost stabilită </w:t>
            </w:r>
            <w:proofErr w:type="spellStart"/>
            <w:r w:rsidRPr="00FA72AA">
              <w:rPr>
                <w:rFonts w:eastAsia="SimSun"/>
                <w:sz w:val="20"/>
                <w:szCs w:val="20"/>
                <w:lang w:val="ro-RO"/>
              </w:rPr>
              <w:t>amînarea</w:t>
            </w:r>
            <w:proofErr w:type="spellEnd"/>
            <w:r w:rsidRPr="00FA72AA">
              <w:rPr>
                <w:rFonts w:eastAsia="SimSun"/>
                <w:sz w:val="20"/>
                <w:szCs w:val="20"/>
                <w:lang w:val="ro-RO"/>
              </w:rPr>
              <w:t xml:space="preserve"> determinării definitive a valorii în vamă a mărfii pentru toate metodele de determinare a valorii în vamă a mărfii </w:t>
            </w:r>
            <w:proofErr w:type="spellStart"/>
            <w:r w:rsidRPr="00FA72AA">
              <w:rPr>
                <w:rFonts w:eastAsia="SimSun"/>
                <w:sz w:val="20"/>
                <w:szCs w:val="20"/>
                <w:lang w:val="ro-RO"/>
              </w:rPr>
              <w:t>şi</w:t>
            </w:r>
            <w:proofErr w:type="spellEnd"/>
            <w:r w:rsidRPr="00FA72AA">
              <w:rPr>
                <w:rFonts w:eastAsia="SimSun"/>
                <w:sz w:val="20"/>
                <w:szCs w:val="20"/>
                <w:lang w:val="ro-RO"/>
              </w:rPr>
              <w:t xml:space="preserve"> nu doar în cazul metodei de determinare a valorii în vamă a mărfii în baza valorii </w:t>
            </w:r>
            <w:proofErr w:type="spellStart"/>
            <w:r w:rsidRPr="00FA72AA">
              <w:rPr>
                <w:rFonts w:eastAsia="SimSun"/>
                <w:sz w:val="20"/>
                <w:szCs w:val="20"/>
                <w:lang w:val="ro-RO"/>
              </w:rPr>
              <w:t>tranzacţiei</w:t>
            </w:r>
            <w:proofErr w:type="spellEnd"/>
            <w:r w:rsidRPr="00FA72AA">
              <w:rPr>
                <w:rFonts w:eastAsia="SimSun"/>
                <w:sz w:val="20"/>
                <w:szCs w:val="20"/>
                <w:lang w:val="ro-RO"/>
              </w:rPr>
              <w:t>.</w:t>
            </w:r>
          </w:p>
          <w:p w:rsidR="00451286" w:rsidRPr="00FA72AA" w:rsidRDefault="00451286" w:rsidP="005126EC">
            <w:pPr>
              <w:jc w:val="both"/>
              <w:rPr>
                <w:sz w:val="20"/>
                <w:szCs w:val="20"/>
                <w:lang w:val="ro-RO"/>
              </w:rPr>
            </w:pPr>
            <w:r w:rsidRPr="00FA72AA">
              <w:rPr>
                <w:rFonts w:eastAsia="SimSun"/>
                <w:sz w:val="20"/>
                <w:szCs w:val="20"/>
                <w:lang w:val="ro-RO"/>
              </w:rPr>
              <w:t xml:space="preserve">Suplimentar, a fost introdusă enumerarea propriu-zisă a persoanelor ce pot fi considerate membri ai </w:t>
            </w:r>
            <w:proofErr w:type="spellStart"/>
            <w:r w:rsidRPr="00FA72AA">
              <w:rPr>
                <w:rFonts w:eastAsia="SimSun"/>
                <w:sz w:val="20"/>
                <w:szCs w:val="20"/>
                <w:lang w:val="ro-RO"/>
              </w:rPr>
              <w:t>aceleiaşi</w:t>
            </w:r>
            <w:proofErr w:type="spellEnd"/>
            <w:r w:rsidRPr="00FA72AA">
              <w:rPr>
                <w:rFonts w:eastAsia="SimSun"/>
                <w:sz w:val="20"/>
                <w:szCs w:val="20"/>
                <w:lang w:val="ro-RO"/>
              </w:rPr>
              <w:t xml:space="preserve"> familii, în contextul persoanelor interdependente, în cazul aplicării metodei determinării valorii în vamă în baza valorii </w:t>
            </w:r>
            <w:proofErr w:type="spellStart"/>
            <w:r w:rsidRPr="00FA72AA">
              <w:rPr>
                <w:rFonts w:eastAsia="SimSun"/>
                <w:sz w:val="20"/>
                <w:szCs w:val="20"/>
                <w:lang w:val="ro-RO"/>
              </w:rPr>
              <w:t>tranzacţiei</w:t>
            </w:r>
            <w:proofErr w:type="spellEnd"/>
            <w:r w:rsidRPr="00FA72AA">
              <w:rPr>
                <w:rFonts w:eastAsia="SimSun"/>
                <w:sz w:val="20"/>
                <w:szCs w:val="20"/>
                <w:lang w:val="ro-RO"/>
              </w:rPr>
              <w:t>.</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Modificarea dată vine întru executarea angajamentelor asumate de Republica Moldova prin Articolul 10.5 din Acordul OMC privind facilitarea </w:t>
            </w:r>
            <w:proofErr w:type="spellStart"/>
            <w:r w:rsidRPr="00FA72AA">
              <w:rPr>
                <w:sz w:val="20"/>
                <w:szCs w:val="20"/>
                <w:lang w:val="ro-RO"/>
              </w:rPr>
              <w:t>comerţului</w:t>
            </w:r>
            <w:proofErr w:type="spellEnd"/>
            <w:r w:rsidRPr="00FA72AA">
              <w:rPr>
                <w:sz w:val="20"/>
                <w:szCs w:val="20"/>
                <w:lang w:val="ro-RO"/>
              </w:rPr>
              <w:t xml:space="preserve">, semnat la Bali pe 06.12.2013, precum </w:t>
            </w:r>
            <w:proofErr w:type="spellStart"/>
            <w:r w:rsidRPr="00FA72AA">
              <w:rPr>
                <w:sz w:val="20"/>
                <w:szCs w:val="20"/>
                <w:lang w:val="ro-RO"/>
              </w:rPr>
              <w:t>şi</w:t>
            </w:r>
            <w:proofErr w:type="spellEnd"/>
            <w:r w:rsidRPr="00FA72AA">
              <w:rPr>
                <w:sz w:val="20"/>
                <w:szCs w:val="20"/>
                <w:lang w:val="ro-RO"/>
              </w:rPr>
              <w:t xml:space="preserve"> pentru respectarea prevederilor Acordului de aplicare a Articolului VII din GATT, 1994, care nu reglementează cheltuielile pentru serviciile de </w:t>
            </w:r>
            <w:proofErr w:type="spellStart"/>
            <w:r w:rsidRPr="00FA72AA">
              <w:rPr>
                <w:sz w:val="20"/>
                <w:szCs w:val="20"/>
                <w:lang w:val="ro-RO"/>
              </w:rPr>
              <w:t>inspecţie</w:t>
            </w:r>
            <w:proofErr w:type="spellEnd"/>
            <w:r w:rsidRPr="00FA72AA">
              <w:rPr>
                <w:sz w:val="20"/>
                <w:szCs w:val="20"/>
                <w:lang w:val="ro-RO"/>
              </w:rPr>
              <w:t xml:space="preserve"> înainte de </w:t>
            </w:r>
            <w:proofErr w:type="spellStart"/>
            <w:r w:rsidRPr="00FA72AA">
              <w:rPr>
                <w:sz w:val="20"/>
                <w:szCs w:val="20"/>
                <w:lang w:val="ro-RO"/>
              </w:rPr>
              <w:t>expediţie</w:t>
            </w:r>
            <w:proofErr w:type="spellEnd"/>
            <w:r w:rsidRPr="00FA72AA">
              <w:rPr>
                <w:sz w:val="20"/>
                <w:szCs w:val="20"/>
                <w:lang w:val="ro-RO"/>
              </w:rPr>
              <w:t xml:space="preserve"> a mărfurilor de import.</w:t>
            </w:r>
          </w:p>
          <w:p w:rsidR="00451286" w:rsidRPr="00FA72AA" w:rsidRDefault="00451286" w:rsidP="005126EC">
            <w:pPr>
              <w:jc w:val="both"/>
              <w:rPr>
                <w:sz w:val="20"/>
                <w:szCs w:val="20"/>
                <w:lang w:val="ro-RO"/>
              </w:rPr>
            </w:pPr>
            <w:r w:rsidRPr="00FA72AA">
              <w:rPr>
                <w:rFonts w:eastAsia="SimSun"/>
                <w:sz w:val="20"/>
                <w:szCs w:val="20"/>
                <w:lang w:val="ro-RO"/>
              </w:rPr>
              <w:t xml:space="preserve">Aplicarea acestor modificări vin întru facilitarea </w:t>
            </w:r>
            <w:proofErr w:type="spellStart"/>
            <w:r w:rsidRPr="00FA72AA">
              <w:rPr>
                <w:rFonts w:eastAsia="SimSun"/>
                <w:sz w:val="20"/>
                <w:szCs w:val="20"/>
                <w:lang w:val="ro-RO"/>
              </w:rPr>
              <w:t>şi</w:t>
            </w:r>
            <w:proofErr w:type="spellEnd"/>
            <w:r w:rsidRPr="00FA72AA">
              <w:rPr>
                <w:rFonts w:eastAsia="SimSun"/>
                <w:sz w:val="20"/>
                <w:szCs w:val="20"/>
                <w:lang w:val="ro-RO"/>
              </w:rPr>
              <w:t xml:space="preserve"> simplificarea procedurii de determinare a valorii în vamă a mărfurilor.</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sz w:val="20"/>
                <w:szCs w:val="20"/>
                <w:lang w:val="ro-RO"/>
              </w:rPr>
            </w:pPr>
            <w:r w:rsidRPr="00FA72AA">
              <w:rPr>
                <w:rFonts w:eastAsia="SimSun"/>
                <w:b/>
                <w:sz w:val="20"/>
                <w:szCs w:val="20"/>
                <w:lang w:val="ro-RO"/>
              </w:rPr>
              <w:lastRenderedPageBreak/>
              <w:t>Realizare-cheie: Elaborarea noului Cod Vamal, racordat la prevederile Regulamentul Consiliului (CEE) nr. 2913/92 din 12 octombrie 1992 de instituire a Codului Vamal Comunitar</w:t>
            </w:r>
          </w:p>
        </w:tc>
      </w:tr>
      <w:tr w:rsidR="00451286" w:rsidRPr="003973DD" w:rsidTr="005126EC">
        <w:tc>
          <w:tcPr>
            <w:tcW w:w="7655" w:type="dxa"/>
            <w:shd w:val="clear" w:color="auto" w:fill="FFFFFF" w:themeFill="background1"/>
          </w:tcPr>
          <w:p w:rsidR="00451286" w:rsidRPr="00FA72AA" w:rsidRDefault="00451286" w:rsidP="005126EC">
            <w:pPr>
              <w:jc w:val="both"/>
              <w:rPr>
                <w:i/>
                <w:sz w:val="20"/>
                <w:szCs w:val="20"/>
                <w:lang w:val="ro-RO"/>
              </w:rPr>
            </w:pPr>
            <w:r w:rsidRPr="00FA72AA">
              <w:rPr>
                <w:i/>
                <w:sz w:val="20"/>
                <w:szCs w:val="20"/>
                <w:lang w:val="ro-RO"/>
              </w:rPr>
              <w:t>Proiectul de lege cu privire la Codul vamal a fost elaborat și urmează a  fi remis Guvernului spre examinare și aprobare, după formarea acestuia.</w:t>
            </w:r>
          </w:p>
        </w:tc>
        <w:tc>
          <w:tcPr>
            <w:tcW w:w="7938" w:type="dxa"/>
            <w:shd w:val="clear" w:color="auto" w:fill="FFFFFF" w:themeFill="background1"/>
          </w:tcPr>
          <w:p w:rsidR="00451286" w:rsidRPr="00FA72AA" w:rsidRDefault="00451286" w:rsidP="005126EC">
            <w:pPr>
              <w:jc w:val="both"/>
              <w:rPr>
                <w:sz w:val="20"/>
                <w:szCs w:val="20"/>
                <w:lang w:val="ro-RO"/>
              </w:rPr>
            </w:pP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sz w:val="20"/>
                <w:szCs w:val="20"/>
                <w:lang w:val="ro-RO"/>
              </w:rPr>
            </w:pPr>
            <w:r w:rsidRPr="00FA72AA">
              <w:rPr>
                <w:b/>
                <w:sz w:val="20"/>
                <w:szCs w:val="20"/>
                <w:lang w:val="ro-RO"/>
              </w:rPr>
              <w:t>Realizare-cheie: Asigurarea respectării prevederilor în conformitate cu aranjamentele bilaterale semnate cu statele membre ale UE</w:t>
            </w:r>
          </w:p>
        </w:tc>
      </w:tr>
      <w:tr w:rsidR="00451286" w:rsidRPr="003973DD" w:rsidTr="005126EC">
        <w:tc>
          <w:tcPr>
            <w:tcW w:w="7655" w:type="dxa"/>
            <w:shd w:val="clear" w:color="auto" w:fill="FFFFFF" w:themeFill="background1"/>
          </w:tcPr>
          <w:p w:rsidR="00451286" w:rsidRPr="00FA72AA" w:rsidRDefault="00451286" w:rsidP="005126EC">
            <w:pPr>
              <w:jc w:val="both"/>
              <w:rPr>
                <w:rFonts w:eastAsia="SimSun"/>
                <w:color w:val="000000"/>
                <w:sz w:val="20"/>
                <w:szCs w:val="20"/>
                <w:lang w:val="ro-RO"/>
              </w:rPr>
            </w:pPr>
            <w:r w:rsidRPr="00FA72AA">
              <w:rPr>
                <w:sz w:val="20"/>
                <w:szCs w:val="20"/>
                <w:lang w:val="ro-RO"/>
              </w:rPr>
              <w:t xml:space="preserve">În prezent sunt asigurate aranjamentele bilaterale asumate în cele </w:t>
            </w:r>
            <w:r w:rsidRPr="00FA72AA">
              <w:rPr>
                <w:b/>
                <w:sz w:val="20"/>
                <w:szCs w:val="20"/>
                <w:lang w:val="ro-RO"/>
              </w:rPr>
              <w:t xml:space="preserve">25 </w:t>
            </w:r>
            <w:r w:rsidRPr="00FA72AA">
              <w:rPr>
                <w:sz w:val="20"/>
                <w:szCs w:val="20"/>
                <w:lang w:val="ro-RO"/>
              </w:rPr>
              <w:t xml:space="preserve">de </w:t>
            </w:r>
            <w:proofErr w:type="spellStart"/>
            <w:r w:rsidRPr="00FA72AA">
              <w:rPr>
                <w:sz w:val="20"/>
                <w:szCs w:val="20"/>
                <w:lang w:val="ro-RO"/>
              </w:rPr>
              <w:t>Convenţii</w:t>
            </w:r>
            <w:proofErr w:type="spellEnd"/>
            <w:r w:rsidRPr="00FA72AA">
              <w:rPr>
                <w:sz w:val="20"/>
                <w:szCs w:val="20"/>
                <w:lang w:val="ro-RO"/>
              </w:rPr>
              <w:t xml:space="preserve">/Acorduri de evitare a dublei impuneri între Guvernul Republicii Moldova </w:t>
            </w:r>
            <w:proofErr w:type="spellStart"/>
            <w:r w:rsidRPr="00FA72AA">
              <w:rPr>
                <w:sz w:val="20"/>
                <w:szCs w:val="20"/>
                <w:lang w:val="ro-RO"/>
              </w:rPr>
              <w:t>şi</w:t>
            </w:r>
            <w:proofErr w:type="spellEnd"/>
            <w:r w:rsidRPr="00FA72AA">
              <w:rPr>
                <w:sz w:val="20"/>
                <w:szCs w:val="20"/>
                <w:lang w:val="ro-RO"/>
              </w:rPr>
              <w:t xml:space="preserve"> Guvernele Statelor membre UE.</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Aceste reglementări constituie baza legală pentru definirea veniturile </w:t>
            </w:r>
            <w:proofErr w:type="spellStart"/>
            <w:r w:rsidRPr="00FA72AA">
              <w:rPr>
                <w:sz w:val="20"/>
                <w:szCs w:val="20"/>
                <w:lang w:val="ro-RO"/>
              </w:rPr>
              <w:t>obţinute</w:t>
            </w:r>
            <w:proofErr w:type="spellEnd"/>
            <w:r w:rsidRPr="00FA72AA">
              <w:rPr>
                <w:sz w:val="20"/>
                <w:szCs w:val="20"/>
                <w:lang w:val="ro-RO"/>
              </w:rPr>
              <w:t xml:space="preserve"> în Republica Moldova </w:t>
            </w:r>
            <w:proofErr w:type="spellStart"/>
            <w:r w:rsidRPr="00FA72AA">
              <w:rPr>
                <w:sz w:val="20"/>
                <w:szCs w:val="20"/>
                <w:lang w:val="ro-RO"/>
              </w:rPr>
              <w:t>şi</w:t>
            </w:r>
            <w:proofErr w:type="spellEnd"/>
            <w:r w:rsidRPr="00FA72AA">
              <w:rPr>
                <w:sz w:val="20"/>
                <w:szCs w:val="20"/>
                <w:lang w:val="ro-RO"/>
              </w:rPr>
              <w:t xml:space="preserve"> în străinătate, precum </w:t>
            </w:r>
            <w:proofErr w:type="spellStart"/>
            <w:r w:rsidRPr="00FA72AA">
              <w:rPr>
                <w:sz w:val="20"/>
                <w:szCs w:val="20"/>
                <w:lang w:val="ro-RO"/>
              </w:rPr>
              <w:t>şi</w:t>
            </w:r>
            <w:proofErr w:type="spellEnd"/>
            <w:r w:rsidRPr="00FA72AA">
              <w:rPr>
                <w:sz w:val="20"/>
                <w:szCs w:val="20"/>
                <w:lang w:val="ro-RO"/>
              </w:rPr>
              <w:t xml:space="preserve"> elemente de </w:t>
            </w:r>
            <w:proofErr w:type="spellStart"/>
            <w:r w:rsidRPr="00FA72AA">
              <w:rPr>
                <w:sz w:val="20"/>
                <w:szCs w:val="20"/>
                <w:lang w:val="ro-RO"/>
              </w:rPr>
              <w:t>convergenţă</w:t>
            </w:r>
            <w:proofErr w:type="spellEnd"/>
            <w:r w:rsidRPr="00FA72AA">
              <w:rPr>
                <w:sz w:val="20"/>
                <w:szCs w:val="20"/>
                <w:lang w:val="ro-RO"/>
              </w:rPr>
              <w:t xml:space="preserve"> între </w:t>
            </w:r>
            <w:proofErr w:type="spellStart"/>
            <w:r w:rsidRPr="00FA72AA">
              <w:rPr>
                <w:sz w:val="20"/>
                <w:szCs w:val="20"/>
                <w:lang w:val="ro-RO"/>
              </w:rPr>
              <w:t>legislaţia</w:t>
            </w:r>
            <w:proofErr w:type="spellEnd"/>
            <w:r w:rsidRPr="00FA72AA">
              <w:rPr>
                <w:sz w:val="20"/>
                <w:szCs w:val="20"/>
                <w:lang w:val="ro-RO"/>
              </w:rPr>
              <w:t xml:space="preserve"> </w:t>
            </w:r>
            <w:proofErr w:type="spellStart"/>
            <w:r w:rsidRPr="00FA72AA">
              <w:rPr>
                <w:sz w:val="20"/>
                <w:szCs w:val="20"/>
                <w:lang w:val="ro-RO"/>
              </w:rPr>
              <w:t>naţională</w:t>
            </w:r>
            <w:proofErr w:type="spellEnd"/>
            <w:r w:rsidRPr="00FA72AA">
              <w:rPr>
                <w:sz w:val="20"/>
                <w:szCs w:val="20"/>
                <w:lang w:val="ro-RO"/>
              </w:rPr>
              <w:t xml:space="preserve">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convenţiile</w:t>
            </w:r>
            <w:proofErr w:type="spellEnd"/>
            <w:r w:rsidRPr="00FA72AA">
              <w:rPr>
                <w:sz w:val="20"/>
                <w:szCs w:val="20"/>
                <w:lang w:val="ro-RO"/>
              </w:rPr>
              <w:t xml:space="preserve"> </w:t>
            </w:r>
            <w:proofErr w:type="spellStart"/>
            <w:r w:rsidRPr="00FA72AA">
              <w:rPr>
                <w:sz w:val="20"/>
                <w:szCs w:val="20"/>
                <w:lang w:val="ro-RO"/>
              </w:rPr>
              <w:t>internaţionale</w:t>
            </w:r>
            <w:proofErr w:type="spellEnd"/>
            <w:r w:rsidRPr="00FA72AA">
              <w:rPr>
                <w:sz w:val="20"/>
                <w:szCs w:val="20"/>
                <w:lang w:val="ro-RO"/>
              </w:rPr>
              <w:t xml:space="preserve"> pentru </w:t>
            </w:r>
            <w:r w:rsidRPr="00FA72AA">
              <w:rPr>
                <w:bCs/>
                <w:sz w:val="20"/>
                <w:szCs w:val="20"/>
                <w:lang w:val="ro-RO"/>
              </w:rPr>
              <w:t>evitarea dublei impuneri</w:t>
            </w:r>
            <w:r w:rsidRPr="00FA72AA">
              <w:rPr>
                <w:sz w:val="20"/>
                <w:szCs w:val="20"/>
                <w:lang w:val="ro-RO"/>
              </w:rPr>
              <w:t xml:space="preserve">. Prin urmare, </w:t>
            </w:r>
            <w:proofErr w:type="spellStart"/>
            <w:r w:rsidRPr="00FA72AA">
              <w:rPr>
                <w:sz w:val="20"/>
                <w:szCs w:val="20"/>
                <w:lang w:val="ro-RO"/>
              </w:rPr>
              <w:t>facilitînd</w:t>
            </w:r>
            <w:proofErr w:type="spellEnd"/>
            <w:r w:rsidRPr="00FA72AA">
              <w:rPr>
                <w:sz w:val="20"/>
                <w:szCs w:val="20"/>
                <w:lang w:val="ro-RO"/>
              </w:rPr>
              <w:t xml:space="preserve">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eliminînd</w:t>
            </w:r>
            <w:proofErr w:type="spellEnd"/>
            <w:r w:rsidRPr="00FA72AA">
              <w:rPr>
                <w:sz w:val="20"/>
                <w:szCs w:val="20"/>
                <w:lang w:val="ro-RO"/>
              </w:rPr>
              <w:t xml:space="preserve"> </w:t>
            </w:r>
            <w:proofErr w:type="spellStart"/>
            <w:r w:rsidRPr="00FA72AA">
              <w:rPr>
                <w:sz w:val="20"/>
                <w:szCs w:val="20"/>
                <w:lang w:val="ro-RO"/>
              </w:rPr>
              <w:t>neclarităţile</w:t>
            </w:r>
            <w:proofErr w:type="spellEnd"/>
            <w:r w:rsidRPr="00FA72AA">
              <w:rPr>
                <w:sz w:val="20"/>
                <w:szCs w:val="20"/>
                <w:lang w:val="ro-RO"/>
              </w:rPr>
              <w:t xml:space="preserve"> procedurilor de impozitare a veniturilor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proprietăţii</w:t>
            </w:r>
            <w:proofErr w:type="spellEnd"/>
            <w:r w:rsidRPr="00FA72AA">
              <w:rPr>
                <w:sz w:val="20"/>
                <w:szCs w:val="20"/>
                <w:lang w:val="ro-RO"/>
              </w:rPr>
              <w:t>, prin neimpozitarea dublă a acestora.</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 xml:space="preserve">Realizare-cheie: Armonizarea cadrului normativ cu </w:t>
            </w:r>
            <w:proofErr w:type="spellStart"/>
            <w:r w:rsidRPr="00FA72AA">
              <w:rPr>
                <w:b/>
                <w:sz w:val="20"/>
                <w:szCs w:val="20"/>
                <w:lang w:val="ro-RO"/>
              </w:rPr>
              <w:t>legislaţia</w:t>
            </w:r>
            <w:proofErr w:type="spellEnd"/>
            <w:r w:rsidRPr="00FA72AA">
              <w:rPr>
                <w:b/>
                <w:sz w:val="20"/>
                <w:szCs w:val="20"/>
                <w:lang w:val="ro-RO"/>
              </w:rPr>
              <w:t xml:space="preserve"> UE în domeniul </w:t>
            </w:r>
            <w:proofErr w:type="spellStart"/>
            <w:r w:rsidRPr="00FA72AA">
              <w:rPr>
                <w:b/>
                <w:sz w:val="20"/>
                <w:szCs w:val="20"/>
                <w:lang w:val="ro-RO"/>
              </w:rPr>
              <w:t>protecţiei</w:t>
            </w:r>
            <w:proofErr w:type="spellEnd"/>
            <w:r w:rsidRPr="00FA72AA">
              <w:rPr>
                <w:b/>
                <w:sz w:val="20"/>
                <w:szCs w:val="20"/>
                <w:lang w:val="ro-RO"/>
              </w:rPr>
              <w:t xml:space="preserve"> </w:t>
            </w:r>
            <w:proofErr w:type="spellStart"/>
            <w:r w:rsidRPr="00FA72AA">
              <w:rPr>
                <w:b/>
                <w:sz w:val="20"/>
                <w:szCs w:val="20"/>
                <w:lang w:val="ro-RO"/>
              </w:rPr>
              <w:t>proprietăţii</w:t>
            </w:r>
            <w:proofErr w:type="spellEnd"/>
            <w:r w:rsidRPr="00FA72AA">
              <w:rPr>
                <w:b/>
                <w:sz w:val="20"/>
                <w:szCs w:val="20"/>
                <w:lang w:val="ro-RO"/>
              </w:rPr>
              <w:t xml:space="preserve"> intelectuale, valorii în vamă, originii mărfurilor</w:t>
            </w:r>
          </w:p>
        </w:tc>
      </w:tr>
      <w:tr w:rsidR="00451286" w:rsidRPr="003973DD" w:rsidTr="005126EC">
        <w:tc>
          <w:tcPr>
            <w:tcW w:w="7655" w:type="dxa"/>
            <w:shd w:val="clear" w:color="auto" w:fill="FFFFFF" w:themeFill="background1"/>
          </w:tcPr>
          <w:p w:rsidR="00451286" w:rsidRPr="00FA72AA" w:rsidRDefault="00451286" w:rsidP="005126EC">
            <w:pPr>
              <w:jc w:val="both"/>
              <w:outlineLvl w:val="0"/>
              <w:rPr>
                <w:sz w:val="20"/>
                <w:szCs w:val="20"/>
                <w:lang w:val="ro-RO"/>
              </w:rPr>
            </w:pPr>
            <w:r w:rsidRPr="00FA72AA">
              <w:rPr>
                <w:sz w:val="20"/>
                <w:szCs w:val="20"/>
                <w:lang w:val="ro-RO"/>
              </w:rPr>
              <w:t xml:space="preserve">Aprobarea </w:t>
            </w:r>
            <w:r w:rsidRPr="00FA72AA">
              <w:rPr>
                <w:b/>
                <w:i/>
                <w:sz w:val="20"/>
                <w:szCs w:val="20"/>
                <w:lang w:val="ro-RO"/>
              </w:rPr>
              <w:t>Regulamentului privind asigurarea respectării drepturilor de proprietate intelectuală de către organele vamale</w:t>
            </w:r>
            <w:r w:rsidRPr="00FA72AA">
              <w:rPr>
                <w:sz w:val="20"/>
                <w:szCs w:val="20"/>
                <w:lang w:val="ro-RO"/>
              </w:rPr>
              <w:t xml:space="preserve"> (</w:t>
            </w:r>
            <w:proofErr w:type="spellStart"/>
            <w:r w:rsidRPr="00FA72AA">
              <w:rPr>
                <w:sz w:val="20"/>
                <w:szCs w:val="20"/>
                <w:lang w:val="ro-RO"/>
              </w:rPr>
              <w:t>Hotărîrea</w:t>
            </w:r>
            <w:proofErr w:type="spellEnd"/>
            <w:r w:rsidRPr="00FA72AA">
              <w:rPr>
                <w:sz w:val="20"/>
                <w:szCs w:val="20"/>
                <w:lang w:val="ro-RO"/>
              </w:rPr>
              <w:t xml:space="preserve"> Guvernului nr. 915/2016);</w:t>
            </w:r>
          </w:p>
          <w:p w:rsidR="00451286" w:rsidRPr="00FA72AA" w:rsidRDefault="00451286" w:rsidP="005126EC">
            <w:pPr>
              <w:jc w:val="both"/>
              <w:outlineLvl w:val="0"/>
              <w:rPr>
                <w:sz w:val="20"/>
                <w:szCs w:val="20"/>
                <w:lang w:val="ro-RO"/>
              </w:rPr>
            </w:pPr>
            <w:r w:rsidRPr="00FA72AA">
              <w:rPr>
                <w:sz w:val="20"/>
                <w:szCs w:val="20"/>
                <w:lang w:val="ro-RO"/>
              </w:rPr>
              <w:t xml:space="preserve">Aprobarea </w:t>
            </w:r>
            <w:r w:rsidRPr="00FA72AA">
              <w:rPr>
                <w:b/>
                <w:i/>
                <w:sz w:val="20"/>
                <w:szCs w:val="20"/>
                <w:lang w:val="ro-RO"/>
              </w:rPr>
              <w:t>Regulamentului privind modul de declarare a valorii în vamă a mărfurilor</w:t>
            </w:r>
            <w:r w:rsidRPr="00FA72AA">
              <w:rPr>
                <w:sz w:val="20"/>
                <w:szCs w:val="20"/>
                <w:lang w:val="ro-RO"/>
              </w:rPr>
              <w:t xml:space="preserve"> (</w:t>
            </w:r>
            <w:proofErr w:type="spellStart"/>
            <w:r w:rsidRPr="00FA72AA">
              <w:rPr>
                <w:sz w:val="20"/>
                <w:szCs w:val="20"/>
                <w:lang w:val="ro-RO"/>
              </w:rPr>
              <w:t>Hotărîrea</w:t>
            </w:r>
            <w:proofErr w:type="spellEnd"/>
            <w:r w:rsidRPr="00FA72AA">
              <w:rPr>
                <w:sz w:val="20"/>
                <w:szCs w:val="20"/>
                <w:lang w:val="ro-RO"/>
              </w:rPr>
              <w:t xml:space="preserve"> Guvernului nr. 974/2016);</w:t>
            </w:r>
          </w:p>
          <w:p w:rsidR="00451286" w:rsidRPr="00FA72AA" w:rsidRDefault="00451286" w:rsidP="005126EC">
            <w:pPr>
              <w:jc w:val="both"/>
              <w:outlineLvl w:val="0"/>
              <w:rPr>
                <w:sz w:val="20"/>
                <w:szCs w:val="20"/>
                <w:lang w:val="ro-RO"/>
              </w:rPr>
            </w:pPr>
            <w:r w:rsidRPr="00FA72AA">
              <w:rPr>
                <w:sz w:val="20"/>
                <w:szCs w:val="20"/>
                <w:lang w:val="ro-RO"/>
              </w:rPr>
              <w:t xml:space="preserve">Modificarea și completarea </w:t>
            </w:r>
            <w:r w:rsidRPr="00FA72AA">
              <w:rPr>
                <w:b/>
                <w:i/>
                <w:sz w:val="20"/>
                <w:szCs w:val="20"/>
                <w:lang w:val="ro-RO"/>
              </w:rPr>
              <w:t xml:space="preserve">Regulamentului cu privire la completarea, autentificarea, eliberarea </w:t>
            </w:r>
            <w:proofErr w:type="spellStart"/>
            <w:r w:rsidRPr="00FA72AA">
              <w:rPr>
                <w:b/>
                <w:i/>
                <w:sz w:val="20"/>
                <w:szCs w:val="20"/>
                <w:lang w:val="ro-RO"/>
              </w:rPr>
              <w:t>şi</w:t>
            </w:r>
            <w:proofErr w:type="spellEnd"/>
            <w:r w:rsidRPr="00FA72AA">
              <w:rPr>
                <w:b/>
                <w:i/>
                <w:sz w:val="20"/>
                <w:szCs w:val="20"/>
                <w:lang w:val="ro-RO"/>
              </w:rPr>
              <w:t xml:space="preserve"> controlul ulterior al certificatelor de origine </w:t>
            </w:r>
            <w:proofErr w:type="spellStart"/>
            <w:r w:rsidRPr="00FA72AA">
              <w:rPr>
                <w:b/>
                <w:i/>
                <w:sz w:val="20"/>
                <w:szCs w:val="20"/>
                <w:lang w:val="ro-RO"/>
              </w:rPr>
              <w:t>preferenţială</w:t>
            </w:r>
            <w:proofErr w:type="spellEnd"/>
            <w:r w:rsidRPr="00FA72AA">
              <w:rPr>
                <w:b/>
                <w:i/>
                <w:sz w:val="20"/>
                <w:szCs w:val="20"/>
                <w:lang w:val="ro-RO"/>
              </w:rPr>
              <w:t xml:space="preserve"> a mărfurilor</w:t>
            </w:r>
            <w:r w:rsidRPr="00FA72AA">
              <w:rPr>
                <w:sz w:val="20"/>
                <w:szCs w:val="20"/>
                <w:lang w:val="ro-RO"/>
              </w:rPr>
              <w:t xml:space="preserve"> (</w:t>
            </w:r>
            <w:proofErr w:type="spellStart"/>
            <w:r w:rsidRPr="00FA72AA">
              <w:rPr>
                <w:sz w:val="20"/>
                <w:szCs w:val="20"/>
                <w:lang w:val="ro-RO"/>
              </w:rPr>
              <w:t>Hotărîrea</w:t>
            </w:r>
            <w:proofErr w:type="spellEnd"/>
            <w:r w:rsidRPr="00FA72AA">
              <w:rPr>
                <w:sz w:val="20"/>
                <w:szCs w:val="20"/>
                <w:lang w:val="ro-RO"/>
              </w:rPr>
              <w:t xml:space="preserve"> Guvernului nr. 1402/2016);</w:t>
            </w:r>
          </w:p>
          <w:p w:rsidR="00451286" w:rsidRPr="00FA72AA" w:rsidRDefault="00451286" w:rsidP="005126EC">
            <w:pPr>
              <w:jc w:val="both"/>
              <w:outlineLvl w:val="0"/>
              <w:rPr>
                <w:sz w:val="20"/>
                <w:szCs w:val="20"/>
                <w:lang w:val="ro-RO"/>
              </w:rPr>
            </w:pPr>
            <w:r w:rsidRPr="00FA72AA">
              <w:rPr>
                <w:sz w:val="20"/>
                <w:szCs w:val="20"/>
                <w:lang w:val="ro-RO"/>
              </w:rPr>
              <w:t xml:space="preserve">Aprobarea </w:t>
            </w:r>
            <w:proofErr w:type="spellStart"/>
            <w:r w:rsidRPr="00FA72AA">
              <w:rPr>
                <w:sz w:val="20"/>
                <w:szCs w:val="20"/>
                <w:lang w:val="ro-RO"/>
              </w:rPr>
              <w:t>Hotărîrii</w:t>
            </w:r>
            <w:proofErr w:type="spellEnd"/>
            <w:r w:rsidRPr="00FA72AA">
              <w:rPr>
                <w:sz w:val="20"/>
                <w:szCs w:val="20"/>
                <w:lang w:val="ro-RO"/>
              </w:rPr>
              <w:t xml:space="preserve"> Guvernului nr. 385/2015 ,,Pentru </w:t>
            </w:r>
            <w:proofErr w:type="spellStart"/>
            <w:r w:rsidRPr="00FA72AA">
              <w:rPr>
                <w:sz w:val="20"/>
                <w:szCs w:val="20"/>
                <w:lang w:val="ro-RO"/>
              </w:rPr>
              <w:t>pentru</w:t>
            </w:r>
            <w:proofErr w:type="spellEnd"/>
            <w:r w:rsidRPr="00FA72AA">
              <w:rPr>
                <w:sz w:val="20"/>
                <w:szCs w:val="20"/>
                <w:lang w:val="ro-RO"/>
              </w:rPr>
              <w:t xml:space="preserve"> punerea în aplicare a prevederilor </w:t>
            </w:r>
            <w:proofErr w:type="spellStart"/>
            <w:r w:rsidRPr="00FA72AA">
              <w:rPr>
                <w:sz w:val="20"/>
                <w:szCs w:val="20"/>
                <w:lang w:val="ro-RO"/>
              </w:rPr>
              <w:t>secţiunii</w:t>
            </w:r>
            <w:proofErr w:type="spellEnd"/>
            <w:r w:rsidRPr="00FA72AA">
              <w:rPr>
                <w:sz w:val="20"/>
                <w:szCs w:val="20"/>
                <w:lang w:val="ro-RO"/>
              </w:rPr>
              <w:t xml:space="preserve"> 34</w:t>
            </w:r>
            <w:r w:rsidRPr="00FA72AA">
              <w:rPr>
                <w:sz w:val="20"/>
                <w:szCs w:val="20"/>
                <w:vertAlign w:val="superscript"/>
                <w:lang w:val="ro-RO"/>
              </w:rPr>
              <w:t>2</w:t>
            </w:r>
            <w:r w:rsidRPr="00FA72AA">
              <w:rPr>
                <w:sz w:val="20"/>
                <w:szCs w:val="20"/>
                <w:lang w:val="ro-RO"/>
              </w:rPr>
              <w:t xml:space="preserve"> din Codul vamal al Republicii Moldova”</w:t>
            </w:r>
          </w:p>
          <w:p w:rsidR="00451286" w:rsidRPr="00FA72AA" w:rsidRDefault="00451286" w:rsidP="005126EC">
            <w:pPr>
              <w:jc w:val="both"/>
              <w:outlineLvl w:val="0"/>
              <w:rPr>
                <w:sz w:val="20"/>
                <w:szCs w:val="20"/>
                <w:lang w:val="ro-RO"/>
              </w:rPr>
            </w:pPr>
            <w:r w:rsidRPr="00FA72AA">
              <w:rPr>
                <w:sz w:val="20"/>
                <w:szCs w:val="20"/>
                <w:lang w:val="ro-RO"/>
              </w:rPr>
              <w:t xml:space="preserve">Aprobarea </w:t>
            </w:r>
            <w:r w:rsidRPr="00FA72AA">
              <w:rPr>
                <w:b/>
                <w:i/>
                <w:sz w:val="20"/>
                <w:szCs w:val="20"/>
                <w:lang w:val="ro-RO"/>
              </w:rPr>
              <w:t xml:space="preserve">Codului de etică </w:t>
            </w:r>
            <w:proofErr w:type="spellStart"/>
            <w:r w:rsidRPr="00FA72AA">
              <w:rPr>
                <w:b/>
                <w:i/>
                <w:sz w:val="20"/>
                <w:szCs w:val="20"/>
                <w:lang w:val="ro-RO"/>
              </w:rPr>
              <w:t>şi</w:t>
            </w:r>
            <w:proofErr w:type="spellEnd"/>
            <w:r w:rsidRPr="00FA72AA">
              <w:rPr>
                <w:b/>
                <w:i/>
                <w:sz w:val="20"/>
                <w:szCs w:val="20"/>
                <w:lang w:val="ro-RO"/>
              </w:rPr>
              <w:t xml:space="preserve"> conduită a colaboratorului vamal</w:t>
            </w:r>
            <w:r w:rsidRPr="00FA72AA">
              <w:rPr>
                <w:sz w:val="20"/>
                <w:szCs w:val="20"/>
                <w:lang w:val="ro-RO"/>
              </w:rPr>
              <w:t xml:space="preserve"> (</w:t>
            </w:r>
            <w:proofErr w:type="spellStart"/>
            <w:r w:rsidRPr="00FA72AA">
              <w:rPr>
                <w:sz w:val="20"/>
                <w:szCs w:val="20"/>
                <w:lang w:val="ro-RO"/>
              </w:rPr>
              <w:t>Hotărîrea</w:t>
            </w:r>
            <w:proofErr w:type="spellEnd"/>
            <w:r w:rsidRPr="00FA72AA">
              <w:rPr>
                <w:sz w:val="20"/>
                <w:szCs w:val="20"/>
                <w:lang w:val="ro-RO"/>
              </w:rPr>
              <w:t xml:space="preserve"> Guvernului nr. 1161/2016).</w:t>
            </w:r>
          </w:p>
        </w:tc>
        <w:tc>
          <w:tcPr>
            <w:tcW w:w="7938" w:type="dxa"/>
            <w:shd w:val="clear" w:color="auto" w:fill="FFFFFF" w:themeFill="background1"/>
          </w:tcPr>
          <w:p w:rsidR="00451286" w:rsidRPr="00FA72AA" w:rsidRDefault="00451286" w:rsidP="005126EC">
            <w:pPr>
              <w:jc w:val="both"/>
              <w:outlineLvl w:val="0"/>
              <w:rPr>
                <w:sz w:val="20"/>
                <w:szCs w:val="20"/>
                <w:lang w:val="ro-RO"/>
              </w:rPr>
            </w:pPr>
            <w:r w:rsidRPr="00FA72AA">
              <w:rPr>
                <w:sz w:val="20"/>
                <w:szCs w:val="20"/>
                <w:lang w:val="ro-RO"/>
              </w:rPr>
              <w:t xml:space="preserve">Armonizarea cadrului normativ cu </w:t>
            </w:r>
            <w:proofErr w:type="spellStart"/>
            <w:r w:rsidRPr="00FA72AA">
              <w:rPr>
                <w:sz w:val="20"/>
                <w:szCs w:val="20"/>
                <w:lang w:val="ro-RO"/>
              </w:rPr>
              <w:t>legislaţia</w:t>
            </w:r>
            <w:proofErr w:type="spellEnd"/>
            <w:r w:rsidRPr="00FA72AA">
              <w:rPr>
                <w:sz w:val="20"/>
                <w:szCs w:val="20"/>
                <w:lang w:val="ro-RO"/>
              </w:rPr>
              <w:t xml:space="preserve"> UE în domeniul </w:t>
            </w:r>
            <w:proofErr w:type="spellStart"/>
            <w:r w:rsidRPr="00FA72AA">
              <w:rPr>
                <w:sz w:val="20"/>
                <w:szCs w:val="20"/>
                <w:lang w:val="ro-RO"/>
              </w:rPr>
              <w:t>protecţiei</w:t>
            </w:r>
            <w:proofErr w:type="spellEnd"/>
            <w:r w:rsidRPr="00FA72AA">
              <w:rPr>
                <w:sz w:val="20"/>
                <w:szCs w:val="20"/>
                <w:lang w:val="ro-RO"/>
              </w:rPr>
              <w:t xml:space="preserve"> </w:t>
            </w:r>
            <w:proofErr w:type="spellStart"/>
            <w:r w:rsidRPr="00FA72AA">
              <w:rPr>
                <w:sz w:val="20"/>
                <w:szCs w:val="20"/>
                <w:lang w:val="ro-RO"/>
              </w:rPr>
              <w:t>proprietăţii</w:t>
            </w:r>
            <w:proofErr w:type="spellEnd"/>
            <w:r w:rsidRPr="00FA72AA">
              <w:rPr>
                <w:sz w:val="20"/>
                <w:szCs w:val="20"/>
                <w:lang w:val="ro-RO"/>
              </w:rPr>
              <w:t xml:space="preserve"> intelectuale, valorii în vamă, originii mărfurilor.   </w:t>
            </w:r>
          </w:p>
          <w:p w:rsidR="00451286" w:rsidRPr="00FA72AA" w:rsidRDefault="00451286" w:rsidP="005126EC">
            <w:pPr>
              <w:jc w:val="both"/>
              <w:rPr>
                <w:sz w:val="20"/>
                <w:szCs w:val="20"/>
                <w:lang w:val="ro-RO"/>
              </w:rPr>
            </w:pPr>
          </w:p>
        </w:tc>
      </w:tr>
      <w:tr w:rsidR="00451286" w:rsidRPr="003973DD" w:rsidTr="005126EC">
        <w:tc>
          <w:tcPr>
            <w:tcW w:w="7655" w:type="dxa"/>
            <w:shd w:val="clear" w:color="auto" w:fill="FFFFFF" w:themeFill="background1"/>
          </w:tcPr>
          <w:p w:rsidR="00451286" w:rsidRPr="00FA72AA" w:rsidRDefault="00451286" w:rsidP="005126EC">
            <w:pPr>
              <w:jc w:val="both"/>
              <w:outlineLvl w:val="0"/>
              <w:rPr>
                <w:sz w:val="20"/>
                <w:szCs w:val="20"/>
                <w:lang w:val="ro-RO"/>
              </w:rPr>
            </w:pPr>
            <w:r w:rsidRPr="00FA72AA">
              <w:rPr>
                <w:sz w:val="20"/>
                <w:szCs w:val="20"/>
                <w:lang w:val="ro-RO"/>
              </w:rPr>
              <w:t xml:space="preserve">Elaborarea Programului strategic al Serviciului Vamal ,,Vama 2020”, ca document principal de planificare strategică, de </w:t>
            </w:r>
            <w:proofErr w:type="spellStart"/>
            <w:r w:rsidRPr="00FA72AA">
              <w:rPr>
                <w:sz w:val="20"/>
                <w:szCs w:val="20"/>
                <w:lang w:val="ro-RO"/>
              </w:rPr>
              <w:t>absorbţie</w:t>
            </w:r>
            <w:proofErr w:type="spellEnd"/>
            <w:r w:rsidRPr="00FA72AA">
              <w:rPr>
                <w:sz w:val="20"/>
                <w:szCs w:val="20"/>
                <w:lang w:val="ro-RO"/>
              </w:rPr>
              <w:t xml:space="preserve"> a </w:t>
            </w:r>
            <w:proofErr w:type="spellStart"/>
            <w:r w:rsidRPr="00FA72AA">
              <w:rPr>
                <w:sz w:val="20"/>
                <w:szCs w:val="20"/>
                <w:lang w:val="ro-RO"/>
              </w:rPr>
              <w:t>asistenţei</w:t>
            </w:r>
            <w:proofErr w:type="spellEnd"/>
            <w:r w:rsidRPr="00FA72AA">
              <w:rPr>
                <w:sz w:val="20"/>
                <w:szCs w:val="20"/>
                <w:lang w:val="ro-RO"/>
              </w:rPr>
              <w:t xml:space="preserve"> externe </w:t>
            </w:r>
            <w:proofErr w:type="spellStart"/>
            <w:r w:rsidRPr="00FA72AA">
              <w:rPr>
                <w:sz w:val="20"/>
                <w:szCs w:val="20"/>
                <w:lang w:val="ro-RO"/>
              </w:rPr>
              <w:t>şi</w:t>
            </w:r>
            <w:proofErr w:type="spellEnd"/>
            <w:r w:rsidRPr="00FA72AA">
              <w:rPr>
                <w:sz w:val="20"/>
                <w:szCs w:val="20"/>
                <w:lang w:val="ro-RO"/>
              </w:rPr>
              <w:t xml:space="preserve"> ca instrument de comunicare internă </w:t>
            </w:r>
            <w:proofErr w:type="spellStart"/>
            <w:r w:rsidRPr="00FA72AA">
              <w:rPr>
                <w:sz w:val="20"/>
                <w:szCs w:val="20"/>
                <w:lang w:val="ro-RO"/>
              </w:rPr>
              <w:t>şi</w:t>
            </w:r>
            <w:proofErr w:type="spellEnd"/>
            <w:r w:rsidRPr="00FA72AA">
              <w:rPr>
                <w:sz w:val="20"/>
                <w:szCs w:val="20"/>
                <w:lang w:val="ro-RO"/>
              </w:rPr>
              <w:t xml:space="preserve"> externă. </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Programul asigură interacțiunea între multitudine de documente de politici </w:t>
            </w:r>
            <w:proofErr w:type="spellStart"/>
            <w:r w:rsidRPr="00FA72AA">
              <w:rPr>
                <w:sz w:val="20"/>
                <w:szCs w:val="20"/>
                <w:lang w:val="ro-RO"/>
              </w:rPr>
              <w:t>naţionale</w:t>
            </w:r>
            <w:proofErr w:type="spellEnd"/>
            <w:r w:rsidRPr="00FA72AA">
              <w:rPr>
                <w:sz w:val="20"/>
                <w:szCs w:val="20"/>
                <w:lang w:val="ro-RO"/>
              </w:rPr>
              <w:t xml:space="preserve"> </w:t>
            </w:r>
            <w:proofErr w:type="spellStart"/>
            <w:r w:rsidRPr="00FA72AA">
              <w:rPr>
                <w:sz w:val="20"/>
                <w:szCs w:val="20"/>
                <w:lang w:val="ro-RO"/>
              </w:rPr>
              <w:t>şi</w:t>
            </w:r>
            <w:proofErr w:type="spellEnd"/>
            <w:r w:rsidRPr="00FA72AA">
              <w:rPr>
                <w:sz w:val="20"/>
                <w:szCs w:val="20"/>
                <w:lang w:val="ro-RO"/>
              </w:rPr>
              <w:t xml:space="preserve"> este corelat cu Acordul de Asociere. Programul determină trei domenii prioritare: Facilitarea </w:t>
            </w:r>
            <w:proofErr w:type="spellStart"/>
            <w:r w:rsidRPr="00FA72AA">
              <w:rPr>
                <w:sz w:val="20"/>
                <w:szCs w:val="20"/>
                <w:lang w:val="ro-RO"/>
              </w:rPr>
              <w:t>comerţului</w:t>
            </w:r>
            <w:proofErr w:type="spellEnd"/>
            <w:r w:rsidRPr="00FA72AA">
              <w:rPr>
                <w:sz w:val="20"/>
                <w:szCs w:val="20"/>
                <w:lang w:val="ro-RO"/>
              </w:rPr>
              <w:t xml:space="preserve">; Securitatea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siguranţa</w:t>
            </w:r>
            <w:proofErr w:type="spellEnd"/>
            <w:r w:rsidRPr="00FA72AA">
              <w:rPr>
                <w:sz w:val="20"/>
                <w:szCs w:val="20"/>
                <w:lang w:val="ro-RO"/>
              </w:rPr>
              <w:t xml:space="preserve">; Dezvoltarea </w:t>
            </w:r>
            <w:proofErr w:type="spellStart"/>
            <w:r w:rsidRPr="00FA72AA">
              <w:rPr>
                <w:sz w:val="20"/>
                <w:szCs w:val="20"/>
                <w:lang w:val="ro-RO"/>
              </w:rPr>
              <w:t>capacităţii</w:t>
            </w:r>
            <w:proofErr w:type="spellEnd"/>
            <w:r w:rsidRPr="00FA72AA">
              <w:rPr>
                <w:sz w:val="20"/>
                <w:szCs w:val="20"/>
                <w:lang w:val="ro-RO"/>
              </w:rPr>
              <w:t xml:space="preserve"> administrative ale Serviciului Vamal  </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Realizare-cheie: Modernizarea și dezvoltarea infrastructurii posturilor vamale de frontieră și interne</w:t>
            </w:r>
          </w:p>
        </w:tc>
      </w:tr>
      <w:tr w:rsidR="00451286" w:rsidRPr="003973DD" w:rsidTr="005126EC">
        <w:tc>
          <w:tcPr>
            <w:tcW w:w="7655" w:type="dxa"/>
            <w:shd w:val="clear" w:color="auto" w:fill="FFFFFF" w:themeFill="background1"/>
          </w:tcPr>
          <w:p w:rsidR="00451286" w:rsidRPr="00FA72AA" w:rsidRDefault="00451286" w:rsidP="005126EC">
            <w:pPr>
              <w:jc w:val="both"/>
              <w:outlineLvl w:val="0"/>
              <w:rPr>
                <w:sz w:val="20"/>
                <w:szCs w:val="20"/>
                <w:lang w:val="ro-RO"/>
              </w:rPr>
            </w:pPr>
            <w:r w:rsidRPr="00FA72AA">
              <w:rPr>
                <w:sz w:val="20"/>
                <w:szCs w:val="20"/>
                <w:lang w:val="ro-RO"/>
              </w:rPr>
              <w:t xml:space="preserve">Darea în exploatare (28 decembrie 2018) a punctului de trecere a frontierei Palanca, operat în comun de vameșii și polițiștii de frontieră din Republica Moldova și Ucraina. </w:t>
            </w:r>
          </w:p>
          <w:p w:rsidR="00451286" w:rsidRPr="00FA72AA" w:rsidRDefault="00451286" w:rsidP="005126EC">
            <w:pPr>
              <w:jc w:val="both"/>
              <w:outlineLvl w:val="0"/>
              <w:rPr>
                <w:sz w:val="20"/>
                <w:szCs w:val="20"/>
                <w:lang w:val="ro-RO"/>
              </w:rPr>
            </w:pPr>
            <w:r w:rsidRPr="00FA72AA">
              <w:rPr>
                <w:sz w:val="20"/>
                <w:szCs w:val="20"/>
                <w:lang w:val="ro-RO"/>
              </w:rPr>
              <w:t xml:space="preserve">Cu o </w:t>
            </w:r>
            <w:proofErr w:type="spellStart"/>
            <w:r w:rsidRPr="00FA72AA">
              <w:rPr>
                <w:sz w:val="20"/>
                <w:szCs w:val="20"/>
                <w:lang w:val="ro-RO"/>
              </w:rPr>
              <w:t>investiţie</w:t>
            </w:r>
            <w:proofErr w:type="spellEnd"/>
            <w:r w:rsidRPr="00FA72AA">
              <w:rPr>
                <w:sz w:val="20"/>
                <w:szCs w:val="20"/>
                <w:lang w:val="ro-RO"/>
              </w:rPr>
              <w:t xml:space="preserve"> de 4,5 milioane de euro din partea Uniunii Europene și 1,68 milioane de euro din partea Guvernului Republicii Moldova, punctul de trecere a fost edificat din temelie în cadrul unui proiect implementat de Programul </w:t>
            </w:r>
            <w:proofErr w:type="spellStart"/>
            <w:r w:rsidRPr="00FA72AA">
              <w:rPr>
                <w:sz w:val="20"/>
                <w:szCs w:val="20"/>
                <w:lang w:val="ro-RO"/>
              </w:rPr>
              <w:t>Naţiunilor</w:t>
            </w:r>
            <w:proofErr w:type="spellEnd"/>
            <w:r w:rsidRPr="00FA72AA">
              <w:rPr>
                <w:sz w:val="20"/>
                <w:szCs w:val="20"/>
                <w:lang w:val="ro-RO"/>
              </w:rPr>
              <w:t xml:space="preserve"> Unite pentru Dezvoltare.</w:t>
            </w:r>
          </w:p>
        </w:tc>
        <w:tc>
          <w:tcPr>
            <w:tcW w:w="7938" w:type="dxa"/>
            <w:shd w:val="clear" w:color="auto" w:fill="FFFFFF" w:themeFill="background1"/>
          </w:tcPr>
          <w:p w:rsidR="00451286" w:rsidRPr="00FA72AA" w:rsidRDefault="00451286" w:rsidP="005126EC">
            <w:pPr>
              <w:pStyle w:val="ListParagraph"/>
              <w:numPr>
                <w:ilvl w:val="0"/>
                <w:numId w:val="3"/>
              </w:numPr>
              <w:spacing w:after="0" w:line="240" w:lineRule="auto"/>
              <w:jc w:val="both"/>
              <w:rPr>
                <w:rFonts w:ascii="Times New Roman" w:eastAsia="SimSun" w:hAnsi="Times New Roman"/>
                <w:sz w:val="20"/>
                <w:szCs w:val="20"/>
                <w:lang w:val="ro-RO" w:eastAsia="ru-RU"/>
              </w:rPr>
            </w:pPr>
            <w:r w:rsidRPr="00FA72AA">
              <w:rPr>
                <w:rFonts w:ascii="Times New Roman" w:eastAsia="SimSun" w:hAnsi="Times New Roman"/>
                <w:sz w:val="20"/>
                <w:szCs w:val="20"/>
                <w:lang w:val="ro-RO" w:eastAsia="ru-RU"/>
              </w:rPr>
              <w:t>Punctul de trecere a frontierei corespunde principiilor europene de management integrat al frontierei;</w:t>
            </w:r>
          </w:p>
          <w:p w:rsidR="00451286" w:rsidRPr="00FA72AA" w:rsidRDefault="00451286" w:rsidP="005126EC">
            <w:pPr>
              <w:pStyle w:val="ListParagraph"/>
              <w:numPr>
                <w:ilvl w:val="0"/>
                <w:numId w:val="3"/>
              </w:numPr>
              <w:spacing w:after="0" w:line="240" w:lineRule="auto"/>
              <w:jc w:val="both"/>
              <w:rPr>
                <w:rFonts w:ascii="Times New Roman" w:eastAsia="SimSun" w:hAnsi="Times New Roman"/>
                <w:sz w:val="20"/>
                <w:szCs w:val="20"/>
                <w:lang w:val="ro-RO" w:eastAsia="ru-RU"/>
              </w:rPr>
            </w:pPr>
            <w:r w:rsidRPr="00FA72AA">
              <w:rPr>
                <w:rFonts w:ascii="Times New Roman" w:eastAsia="SimSun" w:hAnsi="Times New Roman"/>
                <w:sz w:val="20"/>
                <w:szCs w:val="20"/>
                <w:lang w:val="ro-RO" w:eastAsia="ru-RU"/>
              </w:rPr>
              <w:t xml:space="preserve">Aplicarea controlului comun permite fluidizarea traficului prin această zonă de frontieră. </w:t>
            </w:r>
          </w:p>
        </w:tc>
      </w:tr>
      <w:tr w:rsidR="00451286" w:rsidRPr="00FA72AA" w:rsidTr="005126EC">
        <w:tc>
          <w:tcPr>
            <w:tcW w:w="15593" w:type="dxa"/>
            <w:gridSpan w:val="2"/>
            <w:shd w:val="clear" w:color="auto" w:fill="D9D9D9" w:themeFill="background1" w:themeFillShade="D9"/>
          </w:tcPr>
          <w:p w:rsidR="00451286" w:rsidRPr="00FA72AA" w:rsidRDefault="00451286" w:rsidP="005126EC">
            <w:pPr>
              <w:jc w:val="center"/>
              <w:rPr>
                <w:sz w:val="20"/>
                <w:szCs w:val="20"/>
                <w:lang w:val="ro-RO"/>
              </w:rPr>
            </w:pPr>
            <w:r w:rsidRPr="00FA72AA">
              <w:rPr>
                <w:b/>
                <w:bCs/>
                <w:sz w:val="20"/>
                <w:szCs w:val="20"/>
                <w:lang w:val="ro-RO"/>
              </w:rPr>
              <w:t>CAPITOLUL 8</w:t>
            </w:r>
            <w:r w:rsidRPr="00FA72AA">
              <w:rPr>
                <w:b/>
                <w:bCs/>
                <w:sz w:val="20"/>
                <w:szCs w:val="20"/>
                <w:lang w:val="ro-RO"/>
              </w:rPr>
              <w:br/>
              <w:t>ACHIZIŢII PUBLICE</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 xml:space="preserve">Realizare-cheie: Instituirea unui organism </w:t>
            </w:r>
            <w:proofErr w:type="spellStart"/>
            <w:r w:rsidRPr="00FA72AA">
              <w:rPr>
                <w:b/>
                <w:sz w:val="20"/>
                <w:szCs w:val="20"/>
                <w:lang w:val="ro-RO"/>
              </w:rPr>
              <w:t>imparţial</w:t>
            </w:r>
            <w:proofErr w:type="spellEnd"/>
            <w:r w:rsidRPr="00FA72AA">
              <w:rPr>
                <w:b/>
                <w:sz w:val="20"/>
                <w:szCs w:val="20"/>
                <w:lang w:val="ro-RO"/>
              </w:rPr>
              <w:t xml:space="preserve"> </w:t>
            </w:r>
            <w:proofErr w:type="spellStart"/>
            <w:r w:rsidRPr="00FA72AA">
              <w:rPr>
                <w:b/>
                <w:sz w:val="20"/>
                <w:szCs w:val="20"/>
                <w:lang w:val="ro-RO"/>
              </w:rPr>
              <w:t>şi</w:t>
            </w:r>
            <w:proofErr w:type="spellEnd"/>
            <w:r w:rsidRPr="00FA72AA">
              <w:rPr>
                <w:b/>
                <w:sz w:val="20"/>
                <w:szCs w:val="20"/>
                <w:lang w:val="ro-RO"/>
              </w:rPr>
              <w:t xml:space="preserve"> independent cu responsabilitatea de revizuire a deciziilor luate de </w:t>
            </w:r>
            <w:proofErr w:type="spellStart"/>
            <w:r w:rsidRPr="00FA72AA">
              <w:rPr>
                <w:b/>
                <w:sz w:val="20"/>
                <w:szCs w:val="20"/>
                <w:lang w:val="ro-RO"/>
              </w:rPr>
              <w:t>autorităţile</w:t>
            </w:r>
            <w:proofErr w:type="spellEnd"/>
            <w:r w:rsidRPr="00FA72AA">
              <w:rPr>
                <w:b/>
                <w:sz w:val="20"/>
                <w:szCs w:val="20"/>
                <w:lang w:val="ro-RO"/>
              </w:rPr>
              <w:t xml:space="preserve"> sau </w:t>
            </w:r>
            <w:proofErr w:type="spellStart"/>
            <w:r w:rsidRPr="00FA72AA">
              <w:rPr>
                <w:b/>
                <w:sz w:val="20"/>
                <w:szCs w:val="20"/>
                <w:lang w:val="ro-RO"/>
              </w:rPr>
              <w:t>entităţile</w:t>
            </w:r>
            <w:proofErr w:type="spellEnd"/>
            <w:r w:rsidRPr="00FA72AA">
              <w:rPr>
                <w:b/>
                <w:sz w:val="20"/>
                <w:szCs w:val="20"/>
                <w:lang w:val="ro-RO"/>
              </w:rPr>
              <w:t xml:space="preserve"> contractante în timpul atribuirii contractelor de achiziții publice</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Crearea </w:t>
            </w:r>
            <w:proofErr w:type="spellStart"/>
            <w:r w:rsidRPr="00FA72AA">
              <w:rPr>
                <w:b/>
                <w:i/>
                <w:sz w:val="20"/>
                <w:szCs w:val="20"/>
                <w:lang w:val="ro-RO"/>
              </w:rPr>
              <w:t>Agenţiei</w:t>
            </w:r>
            <w:proofErr w:type="spellEnd"/>
            <w:r w:rsidRPr="00FA72AA">
              <w:rPr>
                <w:b/>
                <w:i/>
                <w:sz w:val="20"/>
                <w:szCs w:val="20"/>
                <w:lang w:val="ro-RO"/>
              </w:rPr>
              <w:t xml:space="preserve"> </w:t>
            </w:r>
            <w:proofErr w:type="spellStart"/>
            <w:r w:rsidRPr="00FA72AA">
              <w:rPr>
                <w:b/>
                <w:i/>
                <w:sz w:val="20"/>
                <w:szCs w:val="20"/>
                <w:lang w:val="ro-RO"/>
              </w:rPr>
              <w:t>Naţionale</w:t>
            </w:r>
            <w:proofErr w:type="spellEnd"/>
            <w:r w:rsidRPr="00FA72AA">
              <w:rPr>
                <w:b/>
                <w:i/>
                <w:sz w:val="20"/>
                <w:szCs w:val="20"/>
                <w:lang w:val="ro-RO"/>
              </w:rPr>
              <w:t xml:space="preserve"> pentru </w:t>
            </w:r>
            <w:proofErr w:type="spellStart"/>
            <w:r w:rsidRPr="00FA72AA">
              <w:rPr>
                <w:b/>
                <w:i/>
                <w:sz w:val="20"/>
                <w:szCs w:val="20"/>
                <w:lang w:val="ro-RO"/>
              </w:rPr>
              <w:t>Soluţionarea</w:t>
            </w:r>
            <w:proofErr w:type="spellEnd"/>
            <w:r w:rsidRPr="00FA72AA">
              <w:rPr>
                <w:b/>
                <w:i/>
                <w:sz w:val="20"/>
                <w:szCs w:val="20"/>
                <w:lang w:val="ro-RO"/>
              </w:rPr>
              <w:t xml:space="preserve"> </w:t>
            </w:r>
            <w:proofErr w:type="spellStart"/>
            <w:r w:rsidRPr="00FA72AA">
              <w:rPr>
                <w:b/>
                <w:i/>
                <w:sz w:val="20"/>
                <w:szCs w:val="20"/>
                <w:lang w:val="ro-RO"/>
              </w:rPr>
              <w:t>Contestaţiilor</w:t>
            </w:r>
            <w:proofErr w:type="spellEnd"/>
            <w:r w:rsidRPr="00FA72AA">
              <w:rPr>
                <w:sz w:val="20"/>
                <w:szCs w:val="20"/>
                <w:lang w:val="ro-RO"/>
              </w:rPr>
              <w:t xml:space="preserve">  (</w:t>
            </w:r>
            <w:proofErr w:type="spellStart"/>
            <w:r w:rsidRPr="00FA72AA">
              <w:rPr>
                <w:sz w:val="20"/>
                <w:szCs w:val="20"/>
                <w:lang w:val="ro-RO"/>
              </w:rPr>
              <w:t>Hotărîrea</w:t>
            </w:r>
            <w:proofErr w:type="spellEnd"/>
            <w:r w:rsidRPr="00FA72AA">
              <w:rPr>
                <w:sz w:val="20"/>
                <w:szCs w:val="20"/>
                <w:lang w:val="ro-RO"/>
              </w:rPr>
              <w:t xml:space="preserve"> Parlamentului nr. 271/2016</w:t>
            </w:r>
            <w:r w:rsidRPr="00FA72AA">
              <w:rPr>
                <w:rFonts w:eastAsia="SimSun"/>
                <w:sz w:val="20"/>
                <w:szCs w:val="20"/>
                <w:lang w:val="ro-RO"/>
              </w:rPr>
              <w:t>)</w:t>
            </w:r>
            <w:r w:rsidRPr="00FA72AA">
              <w:rPr>
                <w:sz w:val="20"/>
                <w:szCs w:val="20"/>
                <w:lang w:val="ro-RO"/>
              </w:rPr>
              <w:t>;</w:t>
            </w:r>
          </w:p>
        </w:tc>
        <w:tc>
          <w:tcPr>
            <w:tcW w:w="7938" w:type="dxa"/>
            <w:shd w:val="clear" w:color="auto" w:fill="FFFFFF" w:themeFill="background1"/>
          </w:tcPr>
          <w:p w:rsidR="00451286" w:rsidRPr="00FA72AA" w:rsidRDefault="00451286" w:rsidP="005126EC">
            <w:pPr>
              <w:pStyle w:val="ListParagraph"/>
              <w:numPr>
                <w:ilvl w:val="0"/>
                <w:numId w:val="3"/>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Asigurarea implementării prevederilor Directivei 89/665/CCE 19 privind coordonarea actelor cu putere de lege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a actelor administrative privind aplicarea procedurilor care vizează căile de atac </w:t>
            </w:r>
            <w:proofErr w:type="spellStart"/>
            <w:r w:rsidRPr="00FA72AA">
              <w:rPr>
                <w:rFonts w:ascii="Times New Roman" w:hAnsi="Times New Roman"/>
                <w:sz w:val="20"/>
                <w:szCs w:val="20"/>
                <w:lang w:val="ro-RO"/>
              </w:rPr>
              <w:t>faţă</w:t>
            </w:r>
            <w:proofErr w:type="spellEnd"/>
            <w:r w:rsidRPr="00FA72AA">
              <w:rPr>
                <w:rFonts w:ascii="Times New Roman" w:hAnsi="Times New Roman"/>
                <w:sz w:val="20"/>
                <w:szCs w:val="20"/>
                <w:lang w:val="ro-RO"/>
              </w:rPr>
              <w:t xml:space="preserve"> de atribuirea contractelor de </w:t>
            </w:r>
            <w:proofErr w:type="spellStart"/>
            <w:r w:rsidRPr="00FA72AA">
              <w:rPr>
                <w:rFonts w:ascii="Times New Roman" w:hAnsi="Times New Roman"/>
                <w:sz w:val="20"/>
                <w:szCs w:val="20"/>
                <w:lang w:val="ro-RO"/>
              </w:rPr>
              <w:t>achiziţii</w:t>
            </w:r>
            <w:proofErr w:type="spellEnd"/>
            <w:r w:rsidRPr="00FA72AA">
              <w:rPr>
                <w:rFonts w:ascii="Times New Roman" w:hAnsi="Times New Roman"/>
                <w:sz w:val="20"/>
                <w:szCs w:val="20"/>
                <w:lang w:val="ro-RO"/>
              </w:rPr>
              <w:t xml:space="preserve"> publice de produse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a contractelor publice de lucrări introduse prin Legea nr. 131/2015.</w:t>
            </w:r>
          </w:p>
          <w:p w:rsidR="00451286" w:rsidRPr="00FA72AA" w:rsidRDefault="00451286" w:rsidP="005126EC">
            <w:pPr>
              <w:pStyle w:val="ListParagraph"/>
              <w:numPr>
                <w:ilvl w:val="0"/>
                <w:numId w:val="19"/>
              </w:numPr>
              <w:spacing w:after="0" w:line="240" w:lineRule="auto"/>
              <w:jc w:val="both"/>
              <w:rPr>
                <w:rFonts w:ascii="Times New Roman" w:hAnsi="Times New Roman"/>
                <w:sz w:val="20"/>
                <w:szCs w:val="20"/>
                <w:lang w:val="ro-RO"/>
              </w:rPr>
            </w:pPr>
            <w:r w:rsidRPr="00FA72AA">
              <w:rPr>
                <w:rFonts w:ascii="Times New Roman" w:hAnsi="Times New Roman"/>
                <w:sz w:val="20"/>
                <w:szCs w:val="20"/>
                <w:lang w:val="ro-RO"/>
              </w:rPr>
              <w:t xml:space="preserve">Instituirea organului de apărare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realizare a drepturilor </w:t>
            </w:r>
            <w:proofErr w:type="spellStart"/>
            <w:r w:rsidRPr="00FA72AA">
              <w:rPr>
                <w:rFonts w:ascii="Times New Roman" w:hAnsi="Times New Roman"/>
                <w:sz w:val="20"/>
                <w:szCs w:val="20"/>
                <w:lang w:val="ro-RO"/>
              </w:rPr>
              <w:t>şi</w:t>
            </w:r>
            <w:proofErr w:type="spellEnd"/>
            <w:r w:rsidRPr="00FA72AA">
              <w:rPr>
                <w:rFonts w:ascii="Times New Roman" w:hAnsi="Times New Roman"/>
                <w:sz w:val="20"/>
                <w:szCs w:val="20"/>
                <w:lang w:val="ro-RO"/>
              </w:rPr>
              <w:t xml:space="preserve"> intereselor legitime invocate în </w:t>
            </w:r>
            <w:proofErr w:type="spellStart"/>
            <w:r w:rsidRPr="00FA72AA">
              <w:rPr>
                <w:rFonts w:ascii="Times New Roman" w:hAnsi="Times New Roman"/>
                <w:sz w:val="20"/>
                <w:szCs w:val="20"/>
                <w:lang w:val="ro-RO"/>
              </w:rPr>
              <w:t>contestaţiile</w:t>
            </w:r>
            <w:proofErr w:type="spellEnd"/>
            <w:r w:rsidRPr="00FA72AA">
              <w:rPr>
                <w:rFonts w:ascii="Times New Roman" w:hAnsi="Times New Roman"/>
                <w:sz w:val="20"/>
                <w:szCs w:val="20"/>
                <w:lang w:val="ro-RO"/>
              </w:rPr>
              <w:t xml:space="preserve"> supuse </w:t>
            </w:r>
            <w:proofErr w:type="spellStart"/>
            <w:r w:rsidRPr="00FA72AA">
              <w:rPr>
                <w:rFonts w:ascii="Times New Roman" w:hAnsi="Times New Roman"/>
                <w:sz w:val="20"/>
                <w:szCs w:val="20"/>
                <w:lang w:val="ro-RO"/>
              </w:rPr>
              <w:t>soluţionării</w:t>
            </w:r>
            <w:proofErr w:type="spellEnd"/>
            <w:r w:rsidRPr="00FA72AA">
              <w:rPr>
                <w:rFonts w:ascii="Times New Roman" w:hAnsi="Times New Roman"/>
                <w:sz w:val="20"/>
                <w:szCs w:val="20"/>
                <w:lang w:val="ro-RO"/>
              </w:rPr>
              <w:t>, fără privilegii și  fără discriminări, c</w:t>
            </w:r>
            <w:r w:rsidRPr="00FA72AA">
              <w:rPr>
                <w:rFonts w:ascii="Times New Roman" w:hAnsi="Times New Roman"/>
                <w:sz w:val="20"/>
                <w:szCs w:val="20"/>
                <w:shd w:val="clear" w:color="auto" w:fill="FFFFFF"/>
                <w:lang w:val="ro-RO"/>
              </w:rPr>
              <w:t>u respectarea principiilor legalității, celerității, contradictorialității și al dreptului la apărare.</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Realizare-cheie: Ajustarea parțială a normelor naționale la standardele europene prin transpunerea Aquis-ului comunitar:</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Adoptarea </w:t>
            </w:r>
            <w:r w:rsidRPr="00FA72AA">
              <w:rPr>
                <w:b/>
                <w:i/>
                <w:sz w:val="20"/>
                <w:szCs w:val="20"/>
                <w:lang w:val="ro-RO"/>
              </w:rPr>
              <w:t>Legii nr.131/2015 privind achizițiile publice</w:t>
            </w:r>
            <w:r w:rsidRPr="00FA72AA">
              <w:rPr>
                <w:sz w:val="20"/>
                <w:szCs w:val="20"/>
                <w:lang w:val="ro-RO"/>
              </w:rPr>
              <w:t xml:space="preserve">, cu modificările și completările ulterioare, (transpune </w:t>
            </w:r>
            <w:r w:rsidRPr="00FA72AA">
              <w:rPr>
                <w:i/>
                <w:sz w:val="20"/>
                <w:szCs w:val="20"/>
                <w:u w:val="single"/>
                <w:lang w:val="ro-RO"/>
              </w:rPr>
              <w:t>Directiva 2014/24/UE</w:t>
            </w:r>
            <w:r w:rsidRPr="00FA72AA">
              <w:rPr>
                <w:i/>
                <w:sz w:val="20"/>
                <w:szCs w:val="20"/>
                <w:lang w:val="ro-RO"/>
              </w:rPr>
              <w:t xml:space="preserve"> a Parlamentului European </w:t>
            </w:r>
            <w:proofErr w:type="spellStart"/>
            <w:r w:rsidRPr="00FA72AA">
              <w:rPr>
                <w:i/>
                <w:sz w:val="20"/>
                <w:szCs w:val="20"/>
                <w:lang w:val="ro-RO"/>
              </w:rPr>
              <w:t>şi</w:t>
            </w:r>
            <w:proofErr w:type="spellEnd"/>
            <w:r w:rsidRPr="00FA72AA">
              <w:rPr>
                <w:i/>
                <w:sz w:val="20"/>
                <w:szCs w:val="20"/>
                <w:lang w:val="ro-RO"/>
              </w:rPr>
              <w:t xml:space="preserve"> a Consiliului din 26 februarie 2014 privind </w:t>
            </w:r>
            <w:proofErr w:type="spellStart"/>
            <w:r w:rsidRPr="00FA72AA">
              <w:rPr>
                <w:i/>
                <w:sz w:val="20"/>
                <w:szCs w:val="20"/>
                <w:lang w:val="ro-RO"/>
              </w:rPr>
              <w:t>achiziţiile</w:t>
            </w:r>
            <w:proofErr w:type="spellEnd"/>
            <w:r w:rsidRPr="00FA72AA">
              <w:rPr>
                <w:i/>
                <w:sz w:val="20"/>
                <w:szCs w:val="20"/>
                <w:lang w:val="ro-RO"/>
              </w:rPr>
              <w:t xml:space="preserve"> publice </w:t>
            </w:r>
            <w:proofErr w:type="spellStart"/>
            <w:r w:rsidRPr="00FA72AA">
              <w:rPr>
                <w:i/>
                <w:sz w:val="20"/>
                <w:szCs w:val="20"/>
                <w:lang w:val="ro-RO"/>
              </w:rPr>
              <w:t>şi</w:t>
            </w:r>
            <w:proofErr w:type="spellEnd"/>
            <w:r w:rsidRPr="00FA72AA">
              <w:rPr>
                <w:i/>
                <w:sz w:val="20"/>
                <w:szCs w:val="20"/>
                <w:lang w:val="ro-RO"/>
              </w:rPr>
              <w:t xml:space="preserve"> de abrogare a Directivei 2004/18/CE, </w:t>
            </w:r>
            <w:r w:rsidRPr="00FA72AA">
              <w:rPr>
                <w:i/>
                <w:sz w:val="20"/>
                <w:szCs w:val="20"/>
                <w:lang w:val="ro-RO"/>
              </w:rPr>
              <w:lastRenderedPageBreak/>
              <w:t xml:space="preserve">publicată în Jurnalul Oficial al Uniunii Europene L 94 din 28 martie 2014, cu modificările operate prin Regulamentul delegat (UE) 2017/2365 al Comisiei din 18 decembrie 2017 de modificare a Directivei 2014/24/CE a Parlamentului European </w:t>
            </w:r>
            <w:proofErr w:type="spellStart"/>
            <w:r w:rsidRPr="00FA72AA">
              <w:rPr>
                <w:i/>
                <w:sz w:val="20"/>
                <w:szCs w:val="20"/>
                <w:lang w:val="ro-RO"/>
              </w:rPr>
              <w:t>şi</w:t>
            </w:r>
            <w:proofErr w:type="spellEnd"/>
            <w:r w:rsidRPr="00FA72AA">
              <w:rPr>
                <w:i/>
                <w:sz w:val="20"/>
                <w:szCs w:val="20"/>
                <w:lang w:val="ro-RO"/>
              </w:rPr>
              <w:t xml:space="preserve"> a Consiliului în ceea ce </w:t>
            </w:r>
            <w:proofErr w:type="spellStart"/>
            <w:r w:rsidRPr="00FA72AA">
              <w:rPr>
                <w:i/>
                <w:sz w:val="20"/>
                <w:szCs w:val="20"/>
                <w:lang w:val="ro-RO"/>
              </w:rPr>
              <w:t>priveşte</w:t>
            </w:r>
            <w:proofErr w:type="spellEnd"/>
            <w:r w:rsidRPr="00FA72AA">
              <w:rPr>
                <w:i/>
                <w:sz w:val="20"/>
                <w:szCs w:val="20"/>
                <w:lang w:val="ro-RO"/>
              </w:rPr>
              <w:t xml:space="preserve"> pragurile de aplicare pentru procedurile de atribuire a contractelor de </w:t>
            </w:r>
            <w:proofErr w:type="spellStart"/>
            <w:r w:rsidRPr="00FA72AA">
              <w:rPr>
                <w:i/>
                <w:sz w:val="20"/>
                <w:szCs w:val="20"/>
                <w:lang w:val="ro-RO"/>
              </w:rPr>
              <w:t>achiziţii</w:t>
            </w:r>
            <w:proofErr w:type="spellEnd"/>
            <w:r w:rsidRPr="00FA72AA">
              <w:rPr>
                <w:i/>
                <w:sz w:val="20"/>
                <w:szCs w:val="20"/>
                <w:lang w:val="ro-RO"/>
              </w:rPr>
              <w:t xml:space="preserve"> publice, precum </w:t>
            </w:r>
            <w:proofErr w:type="spellStart"/>
            <w:r w:rsidRPr="00FA72AA">
              <w:rPr>
                <w:i/>
                <w:sz w:val="20"/>
                <w:szCs w:val="20"/>
                <w:lang w:val="ro-RO"/>
              </w:rPr>
              <w:t>şi</w:t>
            </w:r>
            <w:proofErr w:type="spellEnd"/>
            <w:r w:rsidRPr="00FA72AA">
              <w:rPr>
                <w:i/>
                <w:sz w:val="20"/>
                <w:szCs w:val="20"/>
                <w:lang w:val="ro-RO"/>
              </w:rPr>
              <w:t xml:space="preserve"> Directiva 89/665/CCE a Consiliului din 21 decembrie 1989 privind coordonarea actelor cu putere de lege </w:t>
            </w:r>
            <w:proofErr w:type="spellStart"/>
            <w:r w:rsidRPr="00FA72AA">
              <w:rPr>
                <w:i/>
                <w:sz w:val="20"/>
                <w:szCs w:val="20"/>
                <w:lang w:val="ro-RO"/>
              </w:rPr>
              <w:t>şi</w:t>
            </w:r>
            <w:proofErr w:type="spellEnd"/>
            <w:r w:rsidRPr="00FA72AA">
              <w:rPr>
                <w:i/>
                <w:sz w:val="20"/>
                <w:szCs w:val="20"/>
                <w:lang w:val="ro-RO"/>
              </w:rPr>
              <w:t xml:space="preserve"> a actelor administrative privind aplicarea procedurilor care vizează căile de atac </w:t>
            </w:r>
            <w:proofErr w:type="spellStart"/>
            <w:r w:rsidRPr="00FA72AA">
              <w:rPr>
                <w:i/>
                <w:sz w:val="20"/>
                <w:szCs w:val="20"/>
                <w:lang w:val="ro-RO"/>
              </w:rPr>
              <w:t>faţă</w:t>
            </w:r>
            <w:proofErr w:type="spellEnd"/>
            <w:r w:rsidRPr="00FA72AA">
              <w:rPr>
                <w:i/>
                <w:sz w:val="20"/>
                <w:szCs w:val="20"/>
                <w:lang w:val="ro-RO"/>
              </w:rPr>
              <w:t xml:space="preserve"> de atribuirea contractelor de </w:t>
            </w:r>
            <w:proofErr w:type="spellStart"/>
            <w:r w:rsidRPr="00FA72AA">
              <w:rPr>
                <w:i/>
                <w:sz w:val="20"/>
                <w:szCs w:val="20"/>
                <w:lang w:val="ro-RO"/>
              </w:rPr>
              <w:t>achiziţii</w:t>
            </w:r>
            <w:proofErr w:type="spellEnd"/>
            <w:r w:rsidRPr="00FA72AA">
              <w:rPr>
                <w:i/>
                <w:sz w:val="20"/>
                <w:szCs w:val="20"/>
                <w:lang w:val="ro-RO"/>
              </w:rPr>
              <w:t xml:space="preserve"> publice de produse </w:t>
            </w:r>
            <w:proofErr w:type="spellStart"/>
            <w:r w:rsidRPr="00FA72AA">
              <w:rPr>
                <w:i/>
                <w:sz w:val="20"/>
                <w:szCs w:val="20"/>
                <w:lang w:val="ro-RO"/>
              </w:rPr>
              <w:t>şi</w:t>
            </w:r>
            <w:proofErr w:type="spellEnd"/>
            <w:r w:rsidRPr="00FA72AA">
              <w:rPr>
                <w:i/>
                <w:sz w:val="20"/>
                <w:szCs w:val="20"/>
                <w:lang w:val="ro-RO"/>
              </w:rPr>
              <w:t xml:space="preserve"> a contractelor publice de lucrări, publicată în Jurnalul Oficial al Uniunii Europene L 395 din 30 decembrie 1989</w:t>
            </w:r>
            <w:r w:rsidRPr="00FA72AA">
              <w:rPr>
                <w:sz w:val="20"/>
                <w:szCs w:val="20"/>
                <w:lang w:val="ro-RO"/>
              </w:rPr>
              <w:t>)</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lastRenderedPageBreak/>
              <w:t>Legea nr. 131 privind achizițiile publice conține standarde de bază ce revin din normele și principiile achizițiilor publice, reglementate în acquis-</w:t>
            </w:r>
            <w:proofErr w:type="spellStart"/>
            <w:r w:rsidRPr="00FA72AA">
              <w:rPr>
                <w:sz w:val="20"/>
                <w:szCs w:val="20"/>
                <w:lang w:val="ro-RO"/>
              </w:rPr>
              <w:t>ul</w:t>
            </w:r>
            <w:proofErr w:type="spellEnd"/>
            <w:r w:rsidRPr="00FA72AA">
              <w:rPr>
                <w:sz w:val="20"/>
                <w:szCs w:val="20"/>
                <w:lang w:val="ro-RO"/>
              </w:rPr>
              <w:t xml:space="preserve"> Uniunii Europene în domeniul </w:t>
            </w:r>
            <w:r w:rsidRPr="00FA72AA">
              <w:rPr>
                <w:sz w:val="20"/>
                <w:szCs w:val="20"/>
                <w:lang w:val="ro-RO"/>
              </w:rPr>
              <w:lastRenderedPageBreak/>
              <w:t>achizițiilor publice (principiul nediscriminării, al egalității de tratament, al transparenței și al proporționalității).</w:t>
            </w:r>
          </w:p>
        </w:tc>
      </w:tr>
      <w:tr w:rsidR="00451286" w:rsidRPr="003973DD" w:rsidTr="005126EC">
        <w:tc>
          <w:tcPr>
            <w:tcW w:w="7655" w:type="dxa"/>
            <w:shd w:val="clear" w:color="auto" w:fill="FFFFFF" w:themeFill="background1"/>
          </w:tcPr>
          <w:p w:rsidR="00451286" w:rsidRPr="00FA72AA" w:rsidRDefault="00451286" w:rsidP="005126EC">
            <w:pPr>
              <w:jc w:val="both"/>
              <w:rPr>
                <w:sz w:val="20"/>
                <w:szCs w:val="20"/>
                <w:lang w:val="ro-RO"/>
              </w:rPr>
            </w:pPr>
            <w:r w:rsidRPr="00FA72AA">
              <w:rPr>
                <w:b/>
                <w:i/>
                <w:sz w:val="20"/>
                <w:szCs w:val="20"/>
                <w:lang w:val="ro-RO"/>
              </w:rPr>
              <w:lastRenderedPageBreak/>
              <w:t xml:space="preserve">Aprobarea Strategiei de dezvoltare a sistemului de </w:t>
            </w:r>
            <w:proofErr w:type="spellStart"/>
            <w:r w:rsidRPr="00FA72AA">
              <w:rPr>
                <w:b/>
                <w:i/>
                <w:sz w:val="20"/>
                <w:szCs w:val="20"/>
                <w:lang w:val="ro-RO"/>
              </w:rPr>
              <w:t>achiziţii</w:t>
            </w:r>
            <w:proofErr w:type="spellEnd"/>
            <w:r w:rsidRPr="00FA72AA">
              <w:rPr>
                <w:b/>
                <w:i/>
                <w:sz w:val="20"/>
                <w:szCs w:val="20"/>
                <w:lang w:val="ro-RO"/>
              </w:rPr>
              <w:t xml:space="preserve"> publice pentru anii 2016-2020</w:t>
            </w:r>
            <w:r w:rsidRPr="00FA72AA">
              <w:rPr>
                <w:sz w:val="20"/>
                <w:szCs w:val="20"/>
                <w:lang w:val="ro-RO"/>
              </w:rPr>
              <w:t xml:space="preserve"> </w:t>
            </w:r>
            <w:proofErr w:type="spellStart"/>
            <w:r w:rsidRPr="00FA72AA">
              <w:rPr>
                <w:sz w:val="20"/>
                <w:szCs w:val="20"/>
                <w:lang w:val="ro-RO"/>
              </w:rPr>
              <w:t>şi</w:t>
            </w:r>
            <w:proofErr w:type="spellEnd"/>
            <w:r w:rsidRPr="00FA72AA">
              <w:rPr>
                <w:sz w:val="20"/>
                <w:szCs w:val="20"/>
                <w:lang w:val="ro-RO"/>
              </w:rPr>
              <w:t xml:space="preserve"> a Planului de </w:t>
            </w:r>
            <w:proofErr w:type="spellStart"/>
            <w:r w:rsidRPr="00FA72AA">
              <w:rPr>
                <w:sz w:val="20"/>
                <w:szCs w:val="20"/>
                <w:lang w:val="ro-RO"/>
              </w:rPr>
              <w:t>acţiuni</w:t>
            </w:r>
            <w:proofErr w:type="spellEnd"/>
            <w:r w:rsidRPr="00FA72AA">
              <w:rPr>
                <w:sz w:val="20"/>
                <w:szCs w:val="20"/>
                <w:lang w:val="ro-RO"/>
              </w:rPr>
              <w:t xml:space="preserve"> privind implementarea acesteia, care include în sine Foia de parcurs, însoțită de un calendar al etapelor și termenilor stabilite în anexa XXIX B la Acordul de Asociere. (</w:t>
            </w:r>
            <w:proofErr w:type="spellStart"/>
            <w:r w:rsidRPr="00FA72AA">
              <w:rPr>
                <w:sz w:val="20"/>
                <w:szCs w:val="20"/>
                <w:lang w:val="ro-RO"/>
              </w:rPr>
              <w:t>Hotărîrea</w:t>
            </w:r>
            <w:proofErr w:type="spellEnd"/>
            <w:r w:rsidRPr="00FA72AA">
              <w:rPr>
                <w:sz w:val="20"/>
                <w:szCs w:val="20"/>
                <w:lang w:val="ro-RO"/>
              </w:rPr>
              <w:t xml:space="preserve"> Guvernului nr.1332/2016 </w:t>
            </w:r>
            <w:r w:rsidRPr="00FA72AA">
              <w:rPr>
                <w:rFonts w:eastAsia="SimSun"/>
                <w:sz w:val="20"/>
                <w:szCs w:val="20"/>
                <w:lang w:val="ro-RO"/>
              </w:rPr>
              <w:t>)</w:t>
            </w:r>
            <w:r w:rsidRPr="00FA72AA">
              <w:rPr>
                <w:sz w:val="20"/>
                <w:szCs w:val="20"/>
                <w:lang w:val="ro-RO"/>
              </w:rPr>
              <w:t xml:space="preserve"> </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Apropierea treptată a </w:t>
            </w:r>
            <w:proofErr w:type="spellStart"/>
            <w:r w:rsidRPr="00FA72AA">
              <w:rPr>
                <w:sz w:val="20"/>
                <w:szCs w:val="20"/>
                <w:lang w:val="ro-RO"/>
              </w:rPr>
              <w:t>legislaţiei</w:t>
            </w:r>
            <w:proofErr w:type="spellEnd"/>
            <w:r w:rsidRPr="00FA72AA">
              <w:rPr>
                <w:sz w:val="20"/>
                <w:szCs w:val="20"/>
                <w:lang w:val="ro-RO"/>
              </w:rPr>
              <w:t xml:space="preserve"> în domeniul </w:t>
            </w:r>
            <w:proofErr w:type="spellStart"/>
            <w:r w:rsidRPr="00FA72AA">
              <w:rPr>
                <w:sz w:val="20"/>
                <w:szCs w:val="20"/>
                <w:lang w:val="ro-RO"/>
              </w:rPr>
              <w:t>achiziţiilor</w:t>
            </w:r>
            <w:proofErr w:type="spellEnd"/>
            <w:r w:rsidRPr="00FA72AA">
              <w:rPr>
                <w:sz w:val="20"/>
                <w:szCs w:val="20"/>
                <w:lang w:val="ro-RO"/>
              </w:rPr>
              <w:t xml:space="preserve"> publice din Republica Moldova de </w:t>
            </w:r>
            <w:r w:rsidRPr="00FA72AA">
              <w:rPr>
                <w:i/>
                <w:iCs/>
                <w:sz w:val="20"/>
                <w:szCs w:val="20"/>
                <w:lang w:val="ro-RO"/>
              </w:rPr>
              <w:t>acquis</w:t>
            </w:r>
            <w:r w:rsidRPr="00FA72AA">
              <w:rPr>
                <w:sz w:val="20"/>
                <w:szCs w:val="20"/>
                <w:lang w:val="ro-RO"/>
              </w:rPr>
              <w:t>-</w:t>
            </w:r>
            <w:proofErr w:type="spellStart"/>
            <w:r w:rsidRPr="00FA72AA">
              <w:rPr>
                <w:sz w:val="20"/>
                <w:szCs w:val="20"/>
                <w:lang w:val="ro-RO"/>
              </w:rPr>
              <w:t>ul</w:t>
            </w:r>
            <w:proofErr w:type="spellEnd"/>
            <w:r w:rsidRPr="00FA72AA">
              <w:rPr>
                <w:sz w:val="20"/>
                <w:szCs w:val="20"/>
                <w:lang w:val="ro-RO"/>
              </w:rPr>
              <w:t xml:space="preserve"> Uniunii în domeniul </w:t>
            </w:r>
            <w:proofErr w:type="spellStart"/>
            <w:r w:rsidRPr="00FA72AA">
              <w:rPr>
                <w:sz w:val="20"/>
                <w:szCs w:val="20"/>
                <w:lang w:val="ro-RO"/>
              </w:rPr>
              <w:t>achiziţiilor</w:t>
            </w:r>
            <w:proofErr w:type="spellEnd"/>
            <w:r w:rsidRPr="00FA72AA">
              <w:rPr>
                <w:sz w:val="20"/>
                <w:szCs w:val="20"/>
                <w:lang w:val="ro-RO"/>
              </w:rPr>
              <w:t xml:space="preserve"> publice, </w:t>
            </w:r>
            <w:proofErr w:type="spellStart"/>
            <w:r w:rsidRPr="00FA72AA">
              <w:rPr>
                <w:sz w:val="20"/>
                <w:szCs w:val="20"/>
                <w:lang w:val="ro-RO"/>
              </w:rPr>
              <w:t>însoţită</w:t>
            </w:r>
            <w:proofErr w:type="spellEnd"/>
            <w:r w:rsidRPr="00FA72AA">
              <w:rPr>
                <w:sz w:val="20"/>
                <w:szCs w:val="20"/>
                <w:lang w:val="ro-RO"/>
              </w:rPr>
              <w:t xml:space="preserve"> de o reformă </w:t>
            </w:r>
            <w:proofErr w:type="spellStart"/>
            <w:r w:rsidRPr="00FA72AA">
              <w:rPr>
                <w:sz w:val="20"/>
                <w:szCs w:val="20"/>
                <w:lang w:val="ro-RO"/>
              </w:rPr>
              <w:t>instituţională</w:t>
            </w:r>
            <w:proofErr w:type="spellEnd"/>
            <w:r w:rsidRPr="00FA72AA">
              <w:rPr>
                <w:sz w:val="20"/>
                <w:szCs w:val="20"/>
                <w:lang w:val="ro-RO"/>
              </w:rPr>
              <w:t xml:space="preserve"> </w:t>
            </w:r>
            <w:proofErr w:type="spellStart"/>
            <w:r w:rsidRPr="00FA72AA">
              <w:rPr>
                <w:sz w:val="20"/>
                <w:szCs w:val="20"/>
                <w:lang w:val="ro-RO"/>
              </w:rPr>
              <w:t>şi</w:t>
            </w:r>
            <w:proofErr w:type="spellEnd"/>
            <w:r w:rsidRPr="00FA72AA">
              <w:rPr>
                <w:sz w:val="20"/>
                <w:szCs w:val="20"/>
                <w:lang w:val="ro-RO"/>
              </w:rPr>
              <w:t xml:space="preserve"> de crearea unui sistem eficient de </w:t>
            </w:r>
            <w:proofErr w:type="spellStart"/>
            <w:r w:rsidRPr="00FA72AA">
              <w:rPr>
                <w:sz w:val="20"/>
                <w:szCs w:val="20"/>
                <w:lang w:val="ro-RO"/>
              </w:rPr>
              <w:t>achiziţii</w:t>
            </w:r>
            <w:proofErr w:type="spellEnd"/>
            <w:r w:rsidRPr="00FA72AA">
              <w:rPr>
                <w:sz w:val="20"/>
                <w:szCs w:val="20"/>
                <w:lang w:val="ro-RO"/>
              </w:rPr>
              <w:t xml:space="preserve"> publice, bazat pe principiile care reglementează </w:t>
            </w:r>
            <w:proofErr w:type="spellStart"/>
            <w:r w:rsidRPr="00FA72AA">
              <w:rPr>
                <w:sz w:val="20"/>
                <w:szCs w:val="20"/>
                <w:lang w:val="ro-RO"/>
              </w:rPr>
              <w:t>achiziţiile</w:t>
            </w:r>
            <w:proofErr w:type="spellEnd"/>
            <w:r w:rsidRPr="00FA72AA">
              <w:rPr>
                <w:sz w:val="20"/>
                <w:szCs w:val="20"/>
                <w:lang w:val="ro-RO"/>
              </w:rPr>
              <w:t xml:space="preserve"> publice în Uniune </w:t>
            </w:r>
            <w:proofErr w:type="spellStart"/>
            <w:r w:rsidRPr="00FA72AA">
              <w:rPr>
                <w:sz w:val="20"/>
                <w:szCs w:val="20"/>
                <w:lang w:val="ro-RO"/>
              </w:rPr>
              <w:t>şi</w:t>
            </w:r>
            <w:proofErr w:type="spellEnd"/>
            <w:r w:rsidRPr="00FA72AA">
              <w:rPr>
                <w:sz w:val="20"/>
                <w:szCs w:val="20"/>
                <w:lang w:val="ro-RO"/>
              </w:rPr>
              <w:t xml:space="preserve"> pe termenii </w:t>
            </w:r>
            <w:proofErr w:type="spellStart"/>
            <w:r w:rsidRPr="00FA72AA">
              <w:rPr>
                <w:sz w:val="20"/>
                <w:szCs w:val="20"/>
                <w:lang w:val="ro-RO"/>
              </w:rPr>
              <w:t>şi</w:t>
            </w:r>
            <w:proofErr w:type="spellEnd"/>
            <w:r w:rsidRPr="00FA72AA">
              <w:rPr>
                <w:sz w:val="20"/>
                <w:szCs w:val="20"/>
                <w:lang w:val="ro-RO"/>
              </w:rPr>
              <w:t xml:space="preserve"> </w:t>
            </w:r>
            <w:proofErr w:type="spellStart"/>
            <w:r w:rsidRPr="00FA72AA">
              <w:rPr>
                <w:sz w:val="20"/>
                <w:szCs w:val="20"/>
                <w:lang w:val="ro-RO"/>
              </w:rPr>
              <w:t>definiţiile</w:t>
            </w:r>
            <w:proofErr w:type="spellEnd"/>
            <w:r w:rsidRPr="00FA72AA">
              <w:rPr>
                <w:sz w:val="20"/>
                <w:szCs w:val="20"/>
                <w:lang w:val="ro-RO"/>
              </w:rPr>
              <w:t xml:space="preserve"> stabilite în Directiva 2004/18/CE a Parlamentului European </w:t>
            </w:r>
            <w:proofErr w:type="spellStart"/>
            <w:r w:rsidRPr="00FA72AA">
              <w:rPr>
                <w:sz w:val="20"/>
                <w:szCs w:val="20"/>
                <w:lang w:val="ro-RO"/>
              </w:rPr>
              <w:t>şi</w:t>
            </w:r>
            <w:proofErr w:type="spellEnd"/>
            <w:r w:rsidRPr="00FA72AA">
              <w:rPr>
                <w:sz w:val="20"/>
                <w:szCs w:val="20"/>
                <w:lang w:val="ro-RO"/>
              </w:rPr>
              <w:t xml:space="preserve"> a Consiliului din 31 martie 2004 privind coordonarea procedurilor de atribuire a contractelor de </w:t>
            </w:r>
            <w:proofErr w:type="spellStart"/>
            <w:r w:rsidRPr="00FA72AA">
              <w:rPr>
                <w:sz w:val="20"/>
                <w:szCs w:val="20"/>
                <w:lang w:val="ro-RO"/>
              </w:rPr>
              <w:t>achiziţii</w:t>
            </w:r>
            <w:proofErr w:type="spellEnd"/>
            <w:r w:rsidRPr="00FA72AA">
              <w:rPr>
                <w:sz w:val="20"/>
                <w:szCs w:val="20"/>
                <w:lang w:val="ro-RO"/>
              </w:rPr>
              <w:t xml:space="preserve"> publice de lucrări, de bunuri </w:t>
            </w:r>
            <w:proofErr w:type="spellStart"/>
            <w:r w:rsidRPr="00FA72AA">
              <w:rPr>
                <w:sz w:val="20"/>
                <w:szCs w:val="20"/>
                <w:lang w:val="ro-RO"/>
              </w:rPr>
              <w:t>şi</w:t>
            </w:r>
            <w:proofErr w:type="spellEnd"/>
            <w:r w:rsidRPr="00FA72AA">
              <w:rPr>
                <w:sz w:val="20"/>
                <w:szCs w:val="20"/>
                <w:lang w:val="ro-RO"/>
              </w:rPr>
              <w:t xml:space="preserve"> de servicii </w:t>
            </w:r>
            <w:proofErr w:type="spellStart"/>
            <w:r w:rsidRPr="00FA72AA">
              <w:rPr>
                <w:sz w:val="20"/>
                <w:szCs w:val="20"/>
                <w:lang w:val="ro-RO"/>
              </w:rPr>
              <w:t>şi</w:t>
            </w:r>
            <w:proofErr w:type="spellEnd"/>
            <w:r w:rsidRPr="00FA72AA">
              <w:rPr>
                <w:sz w:val="20"/>
                <w:szCs w:val="20"/>
                <w:lang w:val="ro-RO"/>
              </w:rPr>
              <w:t xml:space="preserve"> Directiva 2004/17/C</w:t>
            </w:r>
            <w:r w:rsidRPr="00FA72AA">
              <w:rPr>
                <w:bCs/>
                <w:iCs/>
                <w:sz w:val="20"/>
                <w:szCs w:val="20"/>
                <w:lang w:val="ro-RO"/>
              </w:rPr>
              <w:t>Ε</w:t>
            </w:r>
            <w:r w:rsidRPr="00FA72AA">
              <w:rPr>
                <w:sz w:val="20"/>
                <w:szCs w:val="20"/>
                <w:lang w:val="ro-RO"/>
              </w:rPr>
              <w:t xml:space="preserve"> a Parlamentului European </w:t>
            </w:r>
            <w:proofErr w:type="spellStart"/>
            <w:r w:rsidRPr="00FA72AA">
              <w:rPr>
                <w:sz w:val="20"/>
                <w:szCs w:val="20"/>
                <w:lang w:val="ro-RO"/>
              </w:rPr>
              <w:t>şi</w:t>
            </w:r>
            <w:proofErr w:type="spellEnd"/>
            <w:r w:rsidRPr="00FA72AA">
              <w:rPr>
                <w:sz w:val="20"/>
                <w:szCs w:val="20"/>
                <w:lang w:val="ro-RO"/>
              </w:rPr>
              <w:t xml:space="preserve"> a Consiliului din 31 martie 2004 de coordonare a procedurilor de atribuire a contractelor de </w:t>
            </w:r>
            <w:proofErr w:type="spellStart"/>
            <w:r w:rsidRPr="00FA72AA">
              <w:rPr>
                <w:sz w:val="20"/>
                <w:szCs w:val="20"/>
                <w:lang w:val="ro-RO"/>
              </w:rPr>
              <w:t>achiziţii</w:t>
            </w:r>
            <w:proofErr w:type="spellEnd"/>
            <w:r w:rsidRPr="00FA72AA">
              <w:rPr>
                <w:sz w:val="20"/>
                <w:szCs w:val="20"/>
                <w:lang w:val="ro-RO"/>
              </w:rPr>
              <w:t xml:space="preserve"> în sectoarele apei, energiei, transporturilor </w:t>
            </w:r>
            <w:proofErr w:type="spellStart"/>
            <w:r w:rsidRPr="00FA72AA">
              <w:rPr>
                <w:sz w:val="20"/>
                <w:szCs w:val="20"/>
                <w:lang w:val="ro-RO"/>
              </w:rPr>
              <w:t>şi</w:t>
            </w:r>
            <w:proofErr w:type="spellEnd"/>
            <w:r w:rsidRPr="00FA72AA">
              <w:rPr>
                <w:sz w:val="20"/>
                <w:szCs w:val="20"/>
                <w:lang w:val="ro-RO"/>
              </w:rPr>
              <w:t xml:space="preserve"> serviciilor </w:t>
            </w:r>
            <w:proofErr w:type="spellStart"/>
            <w:r w:rsidRPr="00FA72AA">
              <w:rPr>
                <w:sz w:val="20"/>
                <w:szCs w:val="20"/>
                <w:lang w:val="ro-RO"/>
              </w:rPr>
              <w:t>poştale</w:t>
            </w:r>
            <w:proofErr w:type="spellEnd"/>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sz w:val="20"/>
                <w:szCs w:val="20"/>
                <w:lang w:val="ro-RO"/>
              </w:rPr>
            </w:pPr>
            <w:r w:rsidRPr="00FA72AA">
              <w:rPr>
                <w:b/>
                <w:sz w:val="20"/>
                <w:szCs w:val="20"/>
                <w:lang w:val="ro-RO"/>
              </w:rPr>
              <w:t>Realizare-cheie: Implementarea în continuare a achizițiilor publice electronice și îmbunătățirea funcționalităților instrumentului informatic relevant</w:t>
            </w:r>
          </w:p>
        </w:tc>
      </w:tr>
      <w:tr w:rsidR="00451286" w:rsidRPr="003973DD" w:rsidTr="005126EC">
        <w:tc>
          <w:tcPr>
            <w:tcW w:w="7655" w:type="dxa"/>
            <w:shd w:val="clear" w:color="auto" w:fill="FFFFFF" w:themeFill="background1"/>
          </w:tcPr>
          <w:p w:rsidR="00451286" w:rsidRPr="00FA72AA" w:rsidRDefault="00451286" w:rsidP="005126EC">
            <w:pPr>
              <w:jc w:val="both"/>
              <w:rPr>
                <w:color w:val="000000" w:themeColor="text1"/>
                <w:sz w:val="20"/>
                <w:szCs w:val="20"/>
                <w:u w:color="000000"/>
                <w:lang w:val="ro-RO"/>
              </w:rPr>
            </w:pPr>
            <w:r w:rsidRPr="00FA72AA">
              <w:rPr>
                <w:color w:val="000000" w:themeColor="text1"/>
                <w:sz w:val="20"/>
                <w:szCs w:val="20"/>
                <w:u w:color="000000"/>
                <w:lang w:val="ro-RO"/>
              </w:rPr>
              <w:t xml:space="preserve">Pentru implementarea pe scară națională a unui sistem electronic de achiziții a fost elaborat și aprobat, prin Hotărârea Guvernului nr. 705/2018, </w:t>
            </w:r>
            <w:r w:rsidRPr="00FA72AA">
              <w:rPr>
                <w:i/>
                <w:color w:val="000000" w:themeColor="text1"/>
                <w:sz w:val="20"/>
                <w:szCs w:val="20"/>
                <w:u w:color="000000"/>
                <w:lang w:val="ro-RO"/>
              </w:rPr>
              <w:t>Conceptul tehnic al Sistemului Informațional Automatizat „Registrul de stat al achizițiilor publice</w:t>
            </w:r>
            <w:r w:rsidRPr="00FA72AA">
              <w:rPr>
                <w:color w:val="000000" w:themeColor="text1"/>
                <w:sz w:val="20"/>
                <w:szCs w:val="20"/>
                <w:u w:color="000000"/>
                <w:lang w:val="ro-RO"/>
              </w:rPr>
              <w:t>” (</w:t>
            </w:r>
            <w:proofErr w:type="spellStart"/>
            <w:r w:rsidRPr="00FA72AA">
              <w:rPr>
                <w:b/>
                <w:color w:val="000000" w:themeColor="text1"/>
                <w:sz w:val="20"/>
                <w:szCs w:val="20"/>
                <w:u w:color="000000"/>
                <w:lang w:val="ro-RO"/>
              </w:rPr>
              <w:t>MTender</w:t>
            </w:r>
            <w:proofErr w:type="spellEnd"/>
            <w:r w:rsidRPr="00FA72AA">
              <w:rPr>
                <w:color w:val="000000" w:themeColor="text1"/>
                <w:sz w:val="20"/>
                <w:szCs w:val="20"/>
                <w:u w:color="000000"/>
                <w:lang w:val="ro-RO"/>
              </w:rPr>
              <w:t>).</w:t>
            </w:r>
          </w:p>
          <w:p w:rsidR="00451286" w:rsidRPr="00FA72AA" w:rsidRDefault="00451286" w:rsidP="005126EC">
            <w:pPr>
              <w:jc w:val="both"/>
              <w:rPr>
                <w:color w:val="000000" w:themeColor="text1"/>
                <w:sz w:val="20"/>
                <w:szCs w:val="20"/>
                <w:u w:color="000000"/>
                <w:lang w:val="ro-RO"/>
              </w:rPr>
            </w:pPr>
            <w:r w:rsidRPr="00FA72AA">
              <w:rPr>
                <w:color w:val="000000" w:themeColor="text1"/>
                <w:sz w:val="20"/>
                <w:szCs w:val="20"/>
                <w:u w:color="000000"/>
                <w:lang w:val="ro-RO"/>
              </w:rPr>
              <w:t xml:space="preserve">De asemenea în luna octombrie 2018 a fost aprobată Hotărârea Guvernului nr.986/2018 pentru aprobarea </w:t>
            </w:r>
            <w:r w:rsidRPr="00FA72AA">
              <w:rPr>
                <w:i/>
                <w:color w:val="000000" w:themeColor="text1"/>
                <w:sz w:val="20"/>
                <w:szCs w:val="20"/>
                <w:u w:color="000000"/>
                <w:lang w:val="ro-RO"/>
              </w:rPr>
              <w:t>Regulamentului privind modul de ținere a Registrului de stat al achizițiilor publice format de Sistemul informațional automatizat „Registrul de stat al achizițiilor publice</w:t>
            </w:r>
            <w:r w:rsidRPr="00FA72AA">
              <w:rPr>
                <w:color w:val="000000" w:themeColor="text1"/>
                <w:sz w:val="20"/>
                <w:szCs w:val="20"/>
                <w:u w:color="000000"/>
                <w:lang w:val="ro-RO"/>
              </w:rPr>
              <w:t>” (</w:t>
            </w:r>
            <w:proofErr w:type="spellStart"/>
            <w:r w:rsidRPr="00FA72AA">
              <w:rPr>
                <w:b/>
                <w:color w:val="000000" w:themeColor="text1"/>
                <w:sz w:val="20"/>
                <w:szCs w:val="20"/>
                <w:u w:color="000000"/>
                <w:lang w:val="ro-RO"/>
              </w:rPr>
              <w:t>MTender</w:t>
            </w:r>
            <w:proofErr w:type="spellEnd"/>
            <w:r w:rsidRPr="00FA72AA">
              <w:rPr>
                <w:color w:val="000000" w:themeColor="text1"/>
                <w:sz w:val="20"/>
                <w:szCs w:val="20"/>
                <w:u w:color="000000"/>
                <w:lang w:val="ro-RO"/>
              </w:rPr>
              <w:t>).</w:t>
            </w:r>
          </w:p>
          <w:p w:rsidR="00451286" w:rsidRPr="00FA72AA" w:rsidRDefault="00451286" w:rsidP="005126EC">
            <w:pPr>
              <w:jc w:val="both"/>
              <w:rPr>
                <w:color w:val="000000" w:themeColor="text1"/>
                <w:sz w:val="20"/>
                <w:szCs w:val="20"/>
                <w:u w:color="000000"/>
                <w:lang w:val="ro-RO"/>
              </w:rPr>
            </w:pPr>
            <w:r w:rsidRPr="00FA72AA">
              <w:rPr>
                <w:color w:val="000000" w:themeColor="text1"/>
                <w:sz w:val="20"/>
                <w:szCs w:val="20"/>
                <w:u w:color="000000"/>
                <w:lang w:val="ro-RO"/>
              </w:rPr>
              <w:t xml:space="preserve">Aprobarea actelor normative secundare nominalizate au asigurat cadrul normativ necesar pentru lansarea utilizării experimentale a  </w:t>
            </w:r>
            <w:r w:rsidRPr="00FA72AA">
              <w:rPr>
                <w:i/>
                <w:color w:val="000000" w:themeColor="text1"/>
                <w:sz w:val="20"/>
                <w:szCs w:val="20"/>
                <w:u w:color="000000"/>
                <w:lang w:val="ro-RO"/>
              </w:rPr>
              <w:t>Sistemului Informațional Automatizat „Registrul de stat al achizițiilor publice”</w:t>
            </w:r>
            <w:r w:rsidRPr="00FA72AA">
              <w:rPr>
                <w:color w:val="000000" w:themeColor="text1"/>
                <w:sz w:val="20"/>
                <w:szCs w:val="20"/>
                <w:u w:color="000000"/>
                <w:lang w:val="ro-RO"/>
              </w:rPr>
              <w:t xml:space="preserve"> (</w:t>
            </w:r>
            <w:proofErr w:type="spellStart"/>
            <w:r w:rsidRPr="00FA72AA">
              <w:rPr>
                <w:b/>
                <w:color w:val="000000" w:themeColor="text1"/>
                <w:sz w:val="20"/>
                <w:szCs w:val="20"/>
                <w:u w:color="000000"/>
                <w:lang w:val="ro-RO"/>
              </w:rPr>
              <w:t>MTender</w:t>
            </w:r>
            <w:proofErr w:type="spellEnd"/>
            <w:r w:rsidRPr="00FA72AA">
              <w:rPr>
                <w:color w:val="000000" w:themeColor="text1"/>
                <w:sz w:val="20"/>
                <w:szCs w:val="20"/>
                <w:u w:color="000000"/>
                <w:lang w:val="ro-RO"/>
              </w:rPr>
              <w:t>), pentru procedurile de cererea ofertelor de preț și licitație deschisă, din luna octombrie 2018.</w:t>
            </w:r>
          </w:p>
        </w:tc>
        <w:tc>
          <w:tcPr>
            <w:tcW w:w="7938" w:type="dxa"/>
            <w:shd w:val="clear" w:color="auto" w:fill="FFFFFF" w:themeFill="background1"/>
          </w:tcPr>
          <w:p w:rsidR="00451286" w:rsidRPr="00FA72AA" w:rsidRDefault="00451286" w:rsidP="005126EC">
            <w:pPr>
              <w:jc w:val="both"/>
              <w:rPr>
                <w:sz w:val="20"/>
                <w:szCs w:val="20"/>
                <w:lang w:val="ro-RO"/>
              </w:rPr>
            </w:pPr>
            <w:r w:rsidRPr="00FA72AA">
              <w:rPr>
                <w:sz w:val="20"/>
                <w:szCs w:val="20"/>
                <w:lang w:val="ro-RO"/>
              </w:rPr>
              <w:t xml:space="preserve">Sistemul electronic de achiziții publice funcțional reprezintă unul dintre cele mai eficiente instrumente pentru sporirea transparenței și eficientizarea procedurilor de achiziții publice, iar crearea unui astfel de sistem constituie o componentă esențială a reformei achizițiilor publice. </w:t>
            </w:r>
          </w:p>
          <w:p w:rsidR="00451286" w:rsidRPr="00FA72AA" w:rsidRDefault="00451286" w:rsidP="005126EC">
            <w:pPr>
              <w:jc w:val="both"/>
              <w:rPr>
                <w:sz w:val="20"/>
                <w:szCs w:val="20"/>
                <w:lang w:val="ro-RO"/>
              </w:rPr>
            </w:pPr>
          </w:p>
        </w:tc>
      </w:tr>
      <w:tr w:rsidR="00451286" w:rsidRPr="003973DD" w:rsidTr="005126EC">
        <w:tc>
          <w:tcPr>
            <w:tcW w:w="15593" w:type="dxa"/>
            <w:gridSpan w:val="2"/>
            <w:shd w:val="clear" w:color="auto" w:fill="D9D9D9" w:themeFill="background1" w:themeFillShade="D9"/>
          </w:tcPr>
          <w:p w:rsidR="00451286" w:rsidRPr="00FA72AA" w:rsidRDefault="00451286" w:rsidP="005126EC">
            <w:pPr>
              <w:jc w:val="center"/>
              <w:rPr>
                <w:sz w:val="20"/>
                <w:szCs w:val="20"/>
                <w:lang w:val="ro-RO"/>
              </w:rPr>
            </w:pPr>
            <w:r w:rsidRPr="00FA72AA">
              <w:rPr>
                <w:sz w:val="20"/>
                <w:szCs w:val="20"/>
                <w:lang w:val="ro-RO"/>
              </w:rPr>
              <w:t> </w:t>
            </w:r>
            <w:r w:rsidRPr="00FA72AA">
              <w:rPr>
                <w:b/>
                <w:bCs/>
                <w:sz w:val="20"/>
                <w:szCs w:val="20"/>
                <w:lang w:val="ro-RO"/>
              </w:rPr>
              <w:t>TITLUL VI</w:t>
            </w:r>
            <w:r w:rsidRPr="00FA72AA">
              <w:rPr>
                <w:b/>
                <w:bCs/>
                <w:sz w:val="20"/>
                <w:szCs w:val="20"/>
                <w:lang w:val="ro-RO"/>
              </w:rPr>
              <w:br/>
              <w:t>ASISTENŢĂ FINANCIARĂ ŞI DISPOZIŢII ANTIFRAUDĂ ŞI DE CONTROL</w:t>
            </w:r>
          </w:p>
        </w:tc>
      </w:tr>
      <w:tr w:rsidR="00451286" w:rsidRPr="00FA72AA" w:rsidTr="005126EC">
        <w:tc>
          <w:tcPr>
            <w:tcW w:w="15593" w:type="dxa"/>
            <w:gridSpan w:val="2"/>
            <w:shd w:val="clear" w:color="auto" w:fill="D9D9D9" w:themeFill="background1" w:themeFillShade="D9"/>
          </w:tcPr>
          <w:p w:rsidR="00451286" w:rsidRPr="00FA72AA" w:rsidRDefault="00451286" w:rsidP="005126EC">
            <w:pPr>
              <w:jc w:val="center"/>
              <w:rPr>
                <w:sz w:val="20"/>
                <w:szCs w:val="20"/>
                <w:lang w:val="ro-RO"/>
              </w:rPr>
            </w:pPr>
            <w:r w:rsidRPr="00FA72AA">
              <w:rPr>
                <w:b/>
                <w:bCs/>
                <w:sz w:val="20"/>
                <w:szCs w:val="20"/>
                <w:lang w:val="ro-RO"/>
              </w:rPr>
              <w:t>CAPITOLUL I</w:t>
            </w:r>
            <w:r w:rsidRPr="00FA72AA">
              <w:rPr>
                <w:b/>
                <w:bCs/>
                <w:sz w:val="20"/>
                <w:szCs w:val="20"/>
                <w:lang w:val="ro-RO"/>
              </w:rPr>
              <w:br/>
              <w:t>ASISTENŢĂ FINANCIARĂ</w:t>
            </w:r>
          </w:p>
        </w:tc>
      </w:tr>
      <w:tr w:rsidR="00451286" w:rsidRPr="003973DD" w:rsidTr="005126EC">
        <w:tc>
          <w:tcPr>
            <w:tcW w:w="15593" w:type="dxa"/>
            <w:gridSpan w:val="2"/>
            <w:shd w:val="clear" w:color="auto" w:fill="DEEAF6" w:themeFill="accent1" w:themeFillTint="33"/>
          </w:tcPr>
          <w:p w:rsidR="00451286" w:rsidRPr="00FA72AA" w:rsidRDefault="00451286" w:rsidP="005126EC">
            <w:pPr>
              <w:jc w:val="both"/>
              <w:rPr>
                <w:b/>
                <w:bCs/>
                <w:sz w:val="20"/>
                <w:szCs w:val="20"/>
                <w:lang w:val="ro-RO"/>
              </w:rPr>
            </w:pPr>
            <w:r w:rsidRPr="00FA72AA">
              <w:rPr>
                <w:b/>
                <w:bCs/>
                <w:sz w:val="20"/>
                <w:szCs w:val="20"/>
                <w:lang w:val="ro-RO"/>
              </w:rPr>
              <w:t>Realizare-cheie: Elaborarea noului Regulament cu privire la cadrul instituțional și mecanismul de coordonare și management al asistenței externe în corespundere cu cele mai bune practici ale țărilor membre UE, ca urmare a desfășurării Reformei Administrației Publice Centrale</w:t>
            </w:r>
          </w:p>
        </w:tc>
      </w:tr>
      <w:tr w:rsidR="00451286" w:rsidRPr="003973DD" w:rsidTr="005126EC">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 xml:space="preserve">Semnarea (la  23 noiembrie 2017) și implementarea Memorandumului de înțelegere dintre Uniunea Europeană și Republica Moldova care este parte integrantă a Acordului de împrumut dintre Republica Moldova și Uniunea Europeană privind asistența macrofinanciară pentru Republica Moldova, </w:t>
            </w:r>
          </w:p>
        </w:tc>
        <w:tc>
          <w:tcPr>
            <w:tcW w:w="7938"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Această asistență macrofinanciară urma să ajute Republica Moldova să-și satisfacă cele mai acute necesități financiare, să-și stabilizeze economia prin atingerea unei creșteri mai durabile, precum și implementarea reformelor indispensabile. Debursări din cadrul acestei asistențe macrofinanciare până la moment nu au avut loc.</w:t>
            </w:r>
          </w:p>
        </w:tc>
      </w:tr>
      <w:tr w:rsidR="00451286" w:rsidRPr="003973DD" w:rsidTr="005126EC">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Transferul competențelor de coordonare a asistenței externe de la Cancelaria de Stat către Ministerul Finanțelor (HG nr.377/2018)</w:t>
            </w:r>
          </w:p>
        </w:tc>
        <w:tc>
          <w:tcPr>
            <w:tcW w:w="7938" w:type="dxa"/>
            <w:shd w:val="clear" w:color="auto" w:fill="FFFFFF" w:themeFill="background1"/>
          </w:tcPr>
          <w:p w:rsidR="00451286" w:rsidRPr="00FA72AA" w:rsidRDefault="00451286" w:rsidP="005126EC">
            <w:pPr>
              <w:jc w:val="both"/>
              <w:rPr>
                <w:b/>
                <w:bCs/>
                <w:sz w:val="20"/>
                <w:szCs w:val="20"/>
                <w:lang w:val="ro-RO"/>
              </w:rPr>
            </w:pPr>
            <w:r w:rsidRPr="00FA72AA">
              <w:rPr>
                <w:bCs/>
                <w:iCs/>
                <w:sz w:val="20"/>
                <w:szCs w:val="20"/>
                <w:lang w:val="ro-RO"/>
              </w:rPr>
              <w:t xml:space="preserve">Prin aprobarea „Regulamentului cu privire la cadrul instituțional </w:t>
            </w:r>
            <w:proofErr w:type="spellStart"/>
            <w:r w:rsidRPr="00FA72AA">
              <w:rPr>
                <w:bCs/>
                <w:iCs/>
                <w:sz w:val="20"/>
                <w:szCs w:val="20"/>
                <w:lang w:val="ro-RO"/>
              </w:rPr>
              <w:t>şi</w:t>
            </w:r>
            <w:proofErr w:type="spellEnd"/>
            <w:r w:rsidRPr="00FA72AA">
              <w:rPr>
                <w:bCs/>
                <w:iCs/>
                <w:sz w:val="20"/>
                <w:szCs w:val="20"/>
                <w:lang w:val="ro-RO"/>
              </w:rPr>
              <w:t xml:space="preserve"> mecanismul de coordonare </w:t>
            </w:r>
            <w:proofErr w:type="spellStart"/>
            <w:r w:rsidRPr="00FA72AA">
              <w:rPr>
                <w:bCs/>
                <w:iCs/>
                <w:sz w:val="20"/>
                <w:szCs w:val="20"/>
                <w:lang w:val="ro-RO"/>
              </w:rPr>
              <w:t>şi</w:t>
            </w:r>
            <w:proofErr w:type="spellEnd"/>
            <w:r w:rsidRPr="00FA72AA">
              <w:rPr>
                <w:bCs/>
                <w:iCs/>
                <w:sz w:val="20"/>
                <w:szCs w:val="20"/>
                <w:lang w:val="ro-RO"/>
              </w:rPr>
              <w:t xml:space="preserve"> management al asistenței externe”, nr.377 din 25.04.2018, Ministerul Finanțelor a fost desemnat drept autoritate </w:t>
            </w:r>
            <w:proofErr w:type="spellStart"/>
            <w:r w:rsidRPr="00FA72AA">
              <w:rPr>
                <w:bCs/>
                <w:iCs/>
                <w:sz w:val="20"/>
                <w:szCs w:val="20"/>
                <w:lang w:val="ro-RO"/>
              </w:rPr>
              <w:t>naţională</w:t>
            </w:r>
            <w:proofErr w:type="spellEnd"/>
            <w:r w:rsidRPr="00FA72AA">
              <w:rPr>
                <w:bCs/>
                <w:iCs/>
                <w:sz w:val="20"/>
                <w:szCs w:val="20"/>
                <w:lang w:val="ro-RO"/>
              </w:rPr>
              <w:t xml:space="preserve"> de coordonare a </w:t>
            </w:r>
            <w:proofErr w:type="spellStart"/>
            <w:r w:rsidRPr="00FA72AA">
              <w:rPr>
                <w:bCs/>
                <w:iCs/>
                <w:sz w:val="20"/>
                <w:szCs w:val="20"/>
                <w:lang w:val="ro-RO"/>
              </w:rPr>
              <w:t>asistenţei</w:t>
            </w:r>
            <w:proofErr w:type="spellEnd"/>
            <w:r w:rsidRPr="00FA72AA">
              <w:rPr>
                <w:bCs/>
                <w:iCs/>
                <w:sz w:val="20"/>
                <w:szCs w:val="20"/>
                <w:lang w:val="ro-RO"/>
              </w:rPr>
              <w:t xml:space="preserve"> externe care va îndeplini rolul de punct unic de contact/control în </w:t>
            </w:r>
            <w:proofErr w:type="spellStart"/>
            <w:r w:rsidRPr="00FA72AA">
              <w:rPr>
                <w:bCs/>
                <w:iCs/>
                <w:sz w:val="20"/>
                <w:szCs w:val="20"/>
                <w:lang w:val="ro-RO"/>
              </w:rPr>
              <w:t>relaţia</w:t>
            </w:r>
            <w:proofErr w:type="spellEnd"/>
            <w:r w:rsidRPr="00FA72AA">
              <w:rPr>
                <w:bCs/>
                <w:iCs/>
                <w:sz w:val="20"/>
                <w:szCs w:val="20"/>
                <w:lang w:val="ro-RO"/>
              </w:rPr>
              <w:t xml:space="preserve"> cu partenerii externi de dezvoltare </w:t>
            </w:r>
            <w:proofErr w:type="spellStart"/>
            <w:r w:rsidRPr="00FA72AA">
              <w:rPr>
                <w:bCs/>
                <w:iCs/>
                <w:sz w:val="20"/>
                <w:szCs w:val="20"/>
                <w:lang w:val="ro-RO"/>
              </w:rPr>
              <w:t>şi</w:t>
            </w:r>
            <w:proofErr w:type="spellEnd"/>
            <w:r w:rsidRPr="00FA72AA">
              <w:rPr>
                <w:bCs/>
                <w:iCs/>
                <w:sz w:val="20"/>
                <w:szCs w:val="20"/>
                <w:lang w:val="ro-RO"/>
              </w:rPr>
              <w:t xml:space="preserve"> </w:t>
            </w:r>
            <w:proofErr w:type="spellStart"/>
            <w:r w:rsidRPr="00FA72AA">
              <w:rPr>
                <w:bCs/>
                <w:iCs/>
                <w:sz w:val="20"/>
                <w:szCs w:val="20"/>
                <w:lang w:val="ro-RO"/>
              </w:rPr>
              <w:t>autorităţile</w:t>
            </w:r>
            <w:proofErr w:type="spellEnd"/>
            <w:r w:rsidRPr="00FA72AA">
              <w:rPr>
                <w:bCs/>
                <w:iCs/>
                <w:sz w:val="20"/>
                <w:szCs w:val="20"/>
                <w:lang w:val="ro-RO"/>
              </w:rPr>
              <w:t xml:space="preserve"> publice privind propunerile de proiecte/programe de </w:t>
            </w:r>
            <w:proofErr w:type="spellStart"/>
            <w:r w:rsidRPr="00FA72AA">
              <w:rPr>
                <w:bCs/>
                <w:iCs/>
                <w:sz w:val="20"/>
                <w:szCs w:val="20"/>
                <w:lang w:val="ro-RO"/>
              </w:rPr>
              <w:t>asistenţă</w:t>
            </w:r>
            <w:proofErr w:type="spellEnd"/>
            <w:r w:rsidRPr="00FA72AA">
              <w:rPr>
                <w:bCs/>
                <w:iCs/>
                <w:sz w:val="20"/>
                <w:szCs w:val="20"/>
                <w:lang w:val="ro-RO"/>
              </w:rPr>
              <w:t xml:space="preserve"> externă. Totodată, această schimbare are drept scop asigurarea utilizării eficiente a resurselor disponibile pentru a maximiza impactul </w:t>
            </w:r>
            <w:proofErr w:type="spellStart"/>
            <w:r w:rsidRPr="00FA72AA">
              <w:rPr>
                <w:bCs/>
                <w:iCs/>
                <w:sz w:val="20"/>
                <w:szCs w:val="20"/>
                <w:lang w:val="ro-RO"/>
              </w:rPr>
              <w:t>asistenţei</w:t>
            </w:r>
            <w:proofErr w:type="spellEnd"/>
            <w:r w:rsidRPr="00FA72AA">
              <w:rPr>
                <w:bCs/>
                <w:iCs/>
                <w:sz w:val="20"/>
                <w:szCs w:val="20"/>
                <w:lang w:val="ro-RO"/>
              </w:rPr>
              <w:t xml:space="preserve"> </w:t>
            </w:r>
            <w:r w:rsidRPr="00FA72AA">
              <w:rPr>
                <w:bCs/>
                <w:iCs/>
                <w:sz w:val="20"/>
                <w:szCs w:val="20"/>
                <w:lang w:val="ro-RO"/>
              </w:rPr>
              <w:lastRenderedPageBreak/>
              <w:t xml:space="preserve">externe asupra dezvoltării Republicii Moldova, </w:t>
            </w:r>
            <w:proofErr w:type="spellStart"/>
            <w:r w:rsidRPr="00FA72AA">
              <w:rPr>
                <w:bCs/>
                <w:iCs/>
                <w:sz w:val="20"/>
                <w:szCs w:val="20"/>
                <w:lang w:val="ro-RO"/>
              </w:rPr>
              <w:t>coerenţei</w:t>
            </w:r>
            <w:proofErr w:type="spellEnd"/>
            <w:r w:rsidRPr="00FA72AA">
              <w:rPr>
                <w:bCs/>
                <w:iCs/>
                <w:sz w:val="20"/>
                <w:szCs w:val="20"/>
                <w:lang w:val="ro-RO"/>
              </w:rPr>
              <w:t xml:space="preserve"> </w:t>
            </w:r>
            <w:proofErr w:type="spellStart"/>
            <w:r w:rsidRPr="00FA72AA">
              <w:rPr>
                <w:bCs/>
                <w:iCs/>
                <w:sz w:val="20"/>
                <w:szCs w:val="20"/>
                <w:lang w:val="ro-RO"/>
              </w:rPr>
              <w:t>şi</w:t>
            </w:r>
            <w:proofErr w:type="spellEnd"/>
            <w:r w:rsidRPr="00FA72AA">
              <w:rPr>
                <w:bCs/>
                <w:iCs/>
                <w:sz w:val="20"/>
                <w:szCs w:val="20"/>
                <w:lang w:val="ro-RO"/>
              </w:rPr>
              <w:t xml:space="preserve"> </w:t>
            </w:r>
            <w:proofErr w:type="spellStart"/>
            <w:r w:rsidRPr="00FA72AA">
              <w:rPr>
                <w:bCs/>
                <w:iCs/>
                <w:sz w:val="20"/>
                <w:szCs w:val="20"/>
                <w:lang w:val="ro-RO"/>
              </w:rPr>
              <w:t>complementarităţii</w:t>
            </w:r>
            <w:proofErr w:type="spellEnd"/>
            <w:r w:rsidRPr="00FA72AA">
              <w:rPr>
                <w:bCs/>
                <w:iCs/>
                <w:sz w:val="20"/>
                <w:szCs w:val="20"/>
                <w:lang w:val="ro-RO"/>
              </w:rPr>
              <w:t xml:space="preserve"> dintre instrumentele oferite de comunitatea donatorilor/creditorilor </w:t>
            </w:r>
            <w:proofErr w:type="spellStart"/>
            <w:r w:rsidRPr="00FA72AA">
              <w:rPr>
                <w:bCs/>
                <w:iCs/>
                <w:sz w:val="20"/>
                <w:szCs w:val="20"/>
                <w:lang w:val="ro-RO"/>
              </w:rPr>
              <w:t>şi</w:t>
            </w:r>
            <w:proofErr w:type="spellEnd"/>
            <w:r w:rsidRPr="00FA72AA">
              <w:rPr>
                <w:bCs/>
                <w:iCs/>
                <w:sz w:val="20"/>
                <w:szCs w:val="20"/>
                <w:lang w:val="ro-RO"/>
              </w:rPr>
              <w:t xml:space="preserve"> </w:t>
            </w:r>
            <w:proofErr w:type="spellStart"/>
            <w:r w:rsidRPr="00FA72AA">
              <w:rPr>
                <w:bCs/>
                <w:iCs/>
                <w:sz w:val="20"/>
                <w:szCs w:val="20"/>
                <w:lang w:val="ro-RO"/>
              </w:rPr>
              <w:t>necesităţile</w:t>
            </w:r>
            <w:proofErr w:type="spellEnd"/>
            <w:r w:rsidRPr="00FA72AA">
              <w:rPr>
                <w:bCs/>
                <w:iCs/>
                <w:sz w:val="20"/>
                <w:szCs w:val="20"/>
                <w:lang w:val="ro-RO"/>
              </w:rPr>
              <w:t xml:space="preserve"> de dezvoltare ale Republicii Moldova. De asemenea, se va asigura un suport coordonat pentru îndeplinirea angajamentelor asumate în </w:t>
            </w:r>
            <w:proofErr w:type="spellStart"/>
            <w:r w:rsidRPr="00FA72AA">
              <w:rPr>
                <w:bCs/>
                <w:iCs/>
                <w:sz w:val="20"/>
                <w:szCs w:val="20"/>
                <w:lang w:val="ro-RO"/>
              </w:rPr>
              <w:t>faţa</w:t>
            </w:r>
            <w:proofErr w:type="spellEnd"/>
            <w:r w:rsidRPr="00FA72AA">
              <w:rPr>
                <w:bCs/>
                <w:iCs/>
                <w:sz w:val="20"/>
                <w:szCs w:val="20"/>
                <w:lang w:val="ro-RO"/>
              </w:rPr>
              <w:t xml:space="preserve"> </w:t>
            </w:r>
            <w:proofErr w:type="spellStart"/>
            <w:r w:rsidRPr="00FA72AA">
              <w:rPr>
                <w:bCs/>
                <w:iCs/>
                <w:sz w:val="20"/>
                <w:szCs w:val="20"/>
                <w:lang w:val="ro-RO"/>
              </w:rPr>
              <w:t>comunităţii</w:t>
            </w:r>
            <w:proofErr w:type="spellEnd"/>
            <w:r w:rsidRPr="00FA72AA">
              <w:rPr>
                <w:bCs/>
                <w:iCs/>
                <w:sz w:val="20"/>
                <w:szCs w:val="20"/>
                <w:lang w:val="ro-RO"/>
              </w:rPr>
              <w:t xml:space="preserve"> </w:t>
            </w:r>
            <w:proofErr w:type="spellStart"/>
            <w:r w:rsidRPr="00FA72AA">
              <w:rPr>
                <w:bCs/>
                <w:iCs/>
                <w:sz w:val="20"/>
                <w:szCs w:val="20"/>
                <w:lang w:val="ro-RO"/>
              </w:rPr>
              <w:t>internaţionale</w:t>
            </w:r>
            <w:proofErr w:type="spellEnd"/>
            <w:r w:rsidRPr="00FA72AA">
              <w:rPr>
                <w:bCs/>
                <w:iCs/>
                <w:sz w:val="20"/>
                <w:szCs w:val="20"/>
                <w:lang w:val="ro-RO"/>
              </w:rPr>
              <w:t xml:space="preserve"> </w:t>
            </w:r>
            <w:proofErr w:type="spellStart"/>
            <w:r w:rsidRPr="00FA72AA">
              <w:rPr>
                <w:bCs/>
                <w:iCs/>
                <w:sz w:val="20"/>
                <w:szCs w:val="20"/>
                <w:lang w:val="ro-RO"/>
              </w:rPr>
              <w:t>şi</w:t>
            </w:r>
            <w:proofErr w:type="spellEnd"/>
            <w:r w:rsidRPr="00FA72AA">
              <w:rPr>
                <w:bCs/>
                <w:iCs/>
                <w:sz w:val="20"/>
                <w:szCs w:val="20"/>
                <w:lang w:val="ro-RO"/>
              </w:rPr>
              <w:t xml:space="preserve">, în special, în </w:t>
            </w:r>
            <w:proofErr w:type="spellStart"/>
            <w:r w:rsidRPr="00FA72AA">
              <w:rPr>
                <w:bCs/>
                <w:iCs/>
                <w:sz w:val="20"/>
                <w:szCs w:val="20"/>
                <w:lang w:val="ro-RO"/>
              </w:rPr>
              <w:t>faţa</w:t>
            </w:r>
            <w:proofErr w:type="spellEnd"/>
            <w:r w:rsidRPr="00FA72AA">
              <w:rPr>
                <w:bCs/>
                <w:iCs/>
                <w:sz w:val="20"/>
                <w:szCs w:val="20"/>
                <w:lang w:val="ro-RO"/>
              </w:rPr>
              <w:t xml:space="preserve"> Uniu</w:t>
            </w:r>
            <w:r w:rsidRPr="00FA72AA">
              <w:rPr>
                <w:bCs/>
                <w:iCs/>
                <w:sz w:val="20"/>
                <w:szCs w:val="20"/>
                <w:lang w:val="ro-RO"/>
              </w:rPr>
              <w:softHyphen/>
              <w:t xml:space="preserve">nii Europene, precum </w:t>
            </w:r>
            <w:proofErr w:type="spellStart"/>
            <w:r w:rsidRPr="00FA72AA">
              <w:rPr>
                <w:bCs/>
                <w:iCs/>
                <w:sz w:val="20"/>
                <w:szCs w:val="20"/>
                <w:lang w:val="ro-RO"/>
              </w:rPr>
              <w:t>şi</w:t>
            </w:r>
            <w:proofErr w:type="spellEnd"/>
            <w:r w:rsidRPr="00FA72AA">
              <w:rPr>
                <w:bCs/>
                <w:iCs/>
                <w:sz w:val="20"/>
                <w:szCs w:val="20"/>
                <w:lang w:val="ro-RO"/>
              </w:rPr>
              <w:t xml:space="preserve"> a unui management financiar durabil al </w:t>
            </w:r>
            <w:proofErr w:type="spellStart"/>
            <w:r w:rsidRPr="00FA72AA">
              <w:rPr>
                <w:bCs/>
                <w:iCs/>
                <w:sz w:val="20"/>
                <w:szCs w:val="20"/>
                <w:lang w:val="ro-RO"/>
              </w:rPr>
              <w:t>asistenţei</w:t>
            </w:r>
            <w:proofErr w:type="spellEnd"/>
            <w:r w:rsidRPr="00FA72AA">
              <w:rPr>
                <w:bCs/>
                <w:iCs/>
                <w:sz w:val="20"/>
                <w:szCs w:val="20"/>
                <w:lang w:val="ro-RO"/>
              </w:rPr>
              <w:t xml:space="preserve"> externe. Din punct de vedere </w:t>
            </w:r>
            <w:proofErr w:type="spellStart"/>
            <w:r w:rsidRPr="00FA72AA">
              <w:rPr>
                <w:bCs/>
                <w:iCs/>
                <w:sz w:val="20"/>
                <w:szCs w:val="20"/>
                <w:lang w:val="ro-RO"/>
              </w:rPr>
              <w:t>instituţio</w:t>
            </w:r>
            <w:r w:rsidRPr="00FA72AA">
              <w:rPr>
                <w:bCs/>
                <w:iCs/>
                <w:sz w:val="20"/>
                <w:szCs w:val="20"/>
                <w:lang w:val="ro-RO"/>
              </w:rPr>
              <w:softHyphen/>
              <w:t>nal</w:t>
            </w:r>
            <w:proofErr w:type="spellEnd"/>
            <w:r w:rsidRPr="00FA72AA">
              <w:rPr>
                <w:bCs/>
                <w:iCs/>
                <w:sz w:val="20"/>
                <w:szCs w:val="20"/>
                <w:lang w:val="ro-RO"/>
              </w:rPr>
              <w:t xml:space="preserve">, prezentul Regulament va elimina barierele birocratice care pot tergiversa lansarea proiectelor/programelor noi, dar </w:t>
            </w:r>
            <w:proofErr w:type="spellStart"/>
            <w:r w:rsidRPr="00FA72AA">
              <w:rPr>
                <w:bCs/>
                <w:iCs/>
                <w:sz w:val="20"/>
                <w:szCs w:val="20"/>
                <w:lang w:val="ro-RO"/>
              </w:rPr>
              <w:t>şi</w:t>
            </w:r>
            <w:proofErr w:type="spellEnd"/>
            <w:r w:rsidRPr="00FA72AA">
              <w:rPr>
                <w:bCs/>
                <w:iCs/>
                <w:sz w:val="20"/>
                <w:szCs w:val="20"/>
                <w:lang w:val="ro-RO"/>
              </w:rPr>
              <w:t xml:space="preserve"> pune accent pe un dialog eficient și coordonat cu partenerii externi.</w:t>
            </w:r>
          </w:p>
        </w:tc>
      </w:tr>
      <w:tr w:rsidR="00451286" w:rsidRPr="003973DD" w:rsidTr="005126EC">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lastRenderedPageBreak/>
              <w:t xml:space="preserve">Revizuirea mecanismului de programare, implementare și monitorizare a programelor de asistență externă la nivel </w:t>
            </w:r>
            <w:proofErr w:type="spellStart"/>
            <w:r w:rsidRPr="00FA72AA">
              <w:rPr>
                <w:bCs/>
                <w:sz w:val="20"/>
                <w:szCs w:val="20"/>
                <w:lang w:val="ro-RO"/>
              </w:rPr>
              <w:t>national</w:t>
            </w:r>
            <w:proofErr w:type="spellEnd"/>
            <w:r w:rsidRPr="00FA72AA">
              <w:rPr>
                <w:bCs/>
                <w:sz w:val="20"/>
                <w:szCs w:val="20"/>
                <w:lang w:val="ro-RO"/>
              </w:rPr>
              <w:t>, prin racordare la Cadrul Bugetar pe Termen Mediu (CBTM) și aliniere la prioritățile de politici sectoriale pe termen mediu (2019-2021), aprobate prin HG nr.350/2018.</w:t>
            </w:r>
          </w:p>
        </w:tc>
        <w:tc>
          <w:tcPr>
            <w:tcW w:w="7938" w:type="dxa"/>
            <w:shd w:val="clear" w:color="auto" w:fill="FFFFFF" w:themeFill="background1"/>
          </w:tcPr>
          <w:p w:rsidR="00451286" w:rsidRPr="00FA72AA" w:rsidRDefault="00451286" w:rsidP="005126EC">
            <w:pPr>
              <w:jc w:val="both"/>
              <w:rPr>
                <w:iCs/>
                <w:color w:val="0D0D0D" w:themeColor="text1" w:themeTint="F2"/>
                <w:sz w:val="20"/>
                <w:szCs w:val="20"/>
                <w:shd w:val="clear" w:color="auto" w:fill="FFFFFF"/>
                <w:lang w:val="ro-RO"/>
              </w:rPr>
            </w:pPr>
            <w:r w:rsidRPr="00FA72AA">
              <w:rPr>
                <w:iCs/>
                <w:color w:val="0D0D0D" w:themeColor="text1" w:themeTint="F2"/>
                <w:sz w:val="20"/>
                <w:szCs w:val="20"/>
                <w:shd w:val="clear" w:color="auto" w:fill="FFFFFF"/>
                <w:lang w:val="ro-RO"/>
              </w:rPr>
              <w:t xml:space="preserve">Prin revizuirea mecanismului de programare, implementare și </w:t>
            </w:r>
            <w:r w:rsidRPr="00FA72AA">
              <w:rPr>
                <w:bCs/>
                <w:sz w:val="20"/>
                <w:szCs w:val="20"/>
                <w:lang w:val="ro-RO"/>
              </w:rPr>
              <w:t>monitorizare a programelor de asistență externă la nivel național, prin racordare la Cadrul Bugetar pe Termen Mediu (CBTM) și aliniere la prioritățile de politici sectoriale pe termen mediu (2019-2021), aprobate prin HG nr.350/2018.</w:t>
            </w:r>
            <w:r w:rsidRPr="00FA72AA">
              <w:rPr>
                <w:iCs/>
                <w:color w:val="0D0D0D" w:themeColor="text1" w:themeTint="F2"/>
                <w:sz w:val="20"/>
                <w:szCs w:val="20"/>
                <w:shd w:val="clear" w:color="auto" w:fill="FFFFFF"/>
                <w:lang w:val="ro-RO"/>
              </w:rPr>
              <w:t xml:space="preserve"> s-a oferit un cadru unic, transparent a </w:t>
            </w:r>
            <w:proofErr w:type="spellStart"/>
            <w:r w:rsidRPr="00FA72AA">
              <w:rPr>
                <w:iCs/>
                <w:color w:val="0D0D0D" w:themeColor="text1" w:themeTint="F2"/>
                <w:sz w:val="20"/>
                <w:szCs w:val="20"/>
                <w:shd w:val="clear" w:color="auto" w:fill="FFFFFF"/>
                <w:lang w:val="ro-RO"/>
              </w:rPr>
              <w:t>activităţii</w:t>
            </w:r>
            <w:proofErr w:type="spellEnd"/>
            <w:r w:rsidRPr="00FA72AA">
              <w:rPr>
                <w:iCs/>
                <w:color w:val="0D0D0D" w:themeColor="text1" w:themeTint="F2"/>
                <w:sz w:val="20"/>
                <w:szCs w:val="20"/>
                <w:shd w:val="clear" w:color="auto" w:fill="FFFFFF"/>
                <w:lang w:val="ro-RO"/>
              </w:rPr>
              <w:t xml:space="preserve"> Executivului, s-au identificat prioritățile de politici sectoriale, raportate la obiectivele de guvernare și direcțiile de acțiune cuprinse în documentele strategice de guvernare.</w:t>
            </w:r>
          </w:p>
          <w:p w:rsidR="00451286" w:rsidRPr="00FA72AA" w:rsidRDefault="00451286" w:rsidP="005126EC">
            <w:pPr>
              <w:jc w:val="both"/>
              <w:rPr>
                <w:bCs/>
                <w:sz w:val="20"/>
                <w:szCs w:val="20"/>
                <w:lang w:val="ro-RO"/>
              </w:rPr>
            </w:pPr>
            <w:r w:rsidRPr="00FA72AA">
              <w:rPr>
                <w:bCs/>
                <w:sz w:val="20"/>
                <w:szCs w:val="20"/>
                <w:lang w:val="ro-RO"/>
              </w:rPr>
              <w:t xml:space="preserve">Astfel, prezentând o viziune clară (inclusiv și pentru partenerii externi de dezvoltare) a priorităților de politici de guvernare a Republicii Moldova pentru perioada 2019-2021, producând astfel un impact </w:t>
            </w:r>
            <w:proofErr w:type="spellStart"/>
            <w:r w:rsidRPr="00FA72AA">
              <w:rPr>
                <w:bCs/>
                <w:sz w:val="20"/>
                <w:szCs w:val="20"/>
                <w:lang w:val="ro-RO"/>
              </w:rPr>
              <w:t>economico</w:t>
            </w:r>
            <w:proofErr w:type="spellEnd"/>
            <w:r w:rsidRPr="00FA72AA">
              <w:rPr>
                <w:bCs/>
                <w:sz w:val="20"/>
                <w:szCs w:val="20"/>
                <w:lang w:val="ro-RO"/>
              </w:rPr>
              <w:t xml:space="preserve">-social pe fiecare dintre dimensiunile identificate,  accelerând  reformele </w:t>
            </w:r>
            <w:proofErr w:type="spellStart"/>
            <w:r w:rsidRPr="00FA72AA">
              <w:rPr>
                <w:bCs/>
                <w:sz w:val="20"/>
                <w:szCs w:val="20"/>
                <w:lang w:val="ro-RO"/>
              </w:rPr>
              <w:t>instituţionale</w:t>
            </w:r>
            <w:proofErr w:type="spellEnd"/>
            <w:r w:rsidRPr="00FA72AA">
              <w:rPr>
                <w:bCs/>
                <w:sz w:val="20"/>
                <w:szCs w:val="20"/>
                <w:lang w:val="ro-RO"/>
              </w:rPr>
              <w:t xml:space="preserve"> și </w:t>
            </w:r>
            <w:proofErr w:type="spellStart"/>
            <w:r w:rsidRPr="00FA72AA">
              <w:rPr>
                <w:bCs/>
                <w:sz w:val="20"/>
                <w:szCs w:val="20"/>
                <w:lang w:val="ro-RO"/>
              </w:rPr>
              <w:t>consolidînd</w:t>
            </w:r>
            <w:proofErr w:type="spellEnd"/>
            <w:r w:rsidRPr="00FA72AA">
              <w:rPr>
                <w:bCs/>
                <w:sz w:val="20"/>
                <w:szCs w:val="20"/>
                <w:lang w:val="ro-RO"/>
              </w:rPr>
              <w:t xml:space="preserve"> capacitatea  </w:t>
            </w:r>
            <w:proofErr w:type="spellStart"/>
            <w:r w:rsidRPr="00FA72AA">
              <w:rPr>
                <w:bCs/>
                <w:sz w:val="20"/>
                <w:szCs w:val="20"/>
                <w:lang w:val="ro-RO"/>
              </w:rPr>
              <w:t>autorităţilor</w:t>
            </w:r>
            <w:proofErr w:type="spellEnd"/>
            <w:r w:rsidRPr="00FA72AA">
              <w:rPr>
                <w:bCs/>
                <w:sz w:val="20"/>
                <w:szCs w:val="20"/>
                <w:lang w:val="ro-RO"/>
              </w:rPr>
              <w:t xml:space="preserve"> publice în sporirea </w:t>
            </w:r>
            <w:proofErr w:type="spellStart"/>
            <w:r w:rsidRPr="00FA72AA">
              <w:rPr>
                <w:bCs/>
                <w:sz w:val="20"/>
                <w:szCs w:val="20"/>
                <w:lang w:val="ro-RO"/>
              </w:rPr>
              <w:t>calităţii</w:t>
            </w:r>
            <w:proofErr w:type="spellEnd"/>
            <w:r w:rsidRPr="00FA72AA">
              <w:rPr>
                <w:bCs/>
                <w:sz w:val="20"/>
                <w:szCs w:val="20"/>
                <w:lang w:val="ro-RO"/>
              </w:rPr>
              <w:t xml:space="preserve"> serviciilor publice.</w:t>
            </w:r>
          </w:p>
          <w:p w:rsidR="00451286" w:rsidRPr="00FA72AA" w:rsidRDefault="00451286" w:rsidP="005126EC">
            <w:pPr>
              <w:jc w:val="both"/>
              <w:rPr>
                <w:b/>
                <w:bCs/>
                <w:sz w:val="20"/>
                <w:szCs w:val="20"/>
                <w:lang w:val="ro-RO"/>
              </w:rPr>
            </w:pPr>
            <w:r w:rsidRPr="00FA72AA">
              <w:rPr>
                <w:bCs/>
                <w:sz w:val="20"/>
                <w:szCs w:val="20"/>
                <w:lang w:val="ro-RO"/>
              </w:rPr>
              <w:t>Totodată, conform mecanismului revizuit de coordonare a asistenței externe la nivel național, programarea asistenței derulează în conformitate cu sistemele naționale, expres cadrul național de planificare bugetară, fapt ce asigură un proces sustenabil prin evitarea sistemelor paralele de gestionare a finanțării externe și doar în limita în limita spațiului fiscal disponibil.</w:t>
            </w:r>
            <w:r w:rsidRPr="00FA72AA">
              <w:rPr>
                <w:iCs/>
                <w:color w:val="0D0D0D" w:themeColor="text1" w:themeTint="F2"/>
                <w:sz w:val="20"/>
                <w:szCs w:val="20"/>
                <w:shd w:val="clear" w:color="auto" w:fill="FFFFFF"/>
                <w:lang w:val="ro-RO"/>
              </w:rPr>
              <w:t xml:space="preserve">   </w:t>
            </w:r>
          </w:p>
        </w:tc>
      </w:tr>
      <w:tr w:rsidR="00451286" w:rsidRPr="003973DD" w:rsidTr="005126EC">
        <w:tc>
          <w:tcPr>
            <w:tcW w:w="7655" w:type="dxa"/>
            <w:shd w:val="clear" w:color="auto" w:fill="FFFFFF" w:themeFill="background1"/>
          </w:tcPr>
          <w:p w:rsidR="00451286" w:rsidRPr="00FA72AA" w:rsidRDefault="00451286" w:rsidP="005126EC">
            <w:pPr>
              <w:jc w:val="both"/>
              <w:rPr>
                <w:bCs/>
                <w:sz w:val="20"/>
                <w:szCs w:val="20"/>
                <w:lang w:val="ro-RO"/>
              </w:rPr>
            </w:pPr>
            <w:r w:rsidRPr="00FA72AA">
              <w:rPr>
                <w:bCs/>
                <w:sz w:val="20"/>
                <w:szCs w:val="20"/>
                <w:lang w:val="ro-RO"/>
              </w:rPr>
              <w:t>A redevenit funcțională Platforma pentru gestionarea asistenței externe (AMP)</w:t>
            </w:r>
          </w:p>
        </w:tc>
        <w:tc>
          <w:tcPr>
            <w:tcW w:w="7938" w:type="dxa"/>
            <w:shd w:val="clear" w:color="auto" w:fill="FFFFFF" w:themeFill="background1"/>
          </w:tcPr>
          <w:p w:rsidR="00451286" w:rsidRPr="00FA72AA" w:rsidRDefault="00451286" w:rsidP="005126EC">
            <w:pPr>
              <w:jc w:val="both"/>
              <w:rPr>
                <w:iCs/>
                <w:color w:val="0D0D0D" w:themeColor="text1" w:themeTint="F2"/>
                <w:sz w:val="20"/>
                <w:szCs w:val="20"/>
                <w:shd w:val="clear" w:color="auto" w:fill="FFFFFF"/>
                <w:lang w:val="ro-RO"/>
              </w:rPr>
            </w:pPr>
            <w:r w:rsidRPr="00FA72AA">
              <w:rPr>
                <w:iCs/>
                <w:color w:val="0D0D0D" w:themeColor="text1" w:themeTint="F2"/>
                <w:sz w:val="20"/>
                <w:szCs w:val="20"/>
                <w:shd w:val="clear" w:color="auto" w:fill="FFFFFF"/>
                <w:lang w:val="ro-RO"/>
              </w:rPr>
              <w:t>Prin intermediul Platformei de gestionare a asistenței externe, (</w:t>
            </w:r>
            <w:hyperlink r:id="rId7" w:history="1">
              <w:r w:rsidRPr="00FA72AA">
                <w:rPr>
                  <w:iCs/>
                  <w:color w:val="0D0D0D" w:themeColor="text1" w:themeTint="F2"/>
                  <w:sz w:val="20"/>
                  <w:szCs w:val="20"/>
                  <w:shd w:val="clear" w:color="auto" w:fill="FFFFFF"/>
                  <w:lang w:val="ro-RO"/>
                </w:rPr>
                <w:t>www.amp.gov.md</w:t>
              </w:r>
            </w:hyperlink>
            <w:r w:rsidRPr="00FA72AA">
              <w:rPr>
                <w:iCs/>
                <w:color w:val="0D0D0D" w:themeColor="text1" w:themeTint="F2"/>
                <w:sz w:val="20"/>
                <w:szCs w:val="20"/>
                <w:shd w:val="clear" w:color="auto" w:fill="FFFFFF"/>
                <w:lang w:val="ro-RO"/>
              </w:rPr>
              <w:t>) are loc evidența asistenței oficiale pentru dezvoltare oferită Republicii Moldova de către partenerii externi de dezvoltare. Platforma cuprinde informații ample privind acordurile, proiectele, obiectivele, perioada de implementare și sumele destinate implementării, donatorii, beneficiarii de asistență, sectoarele beneficiare, activitățile propuse, precum și informații privind monitorizarea proiectelor în curs de implementare.</w:t>
            </w:r>
          </w:p>
          <w:p w:rsidR="00451286" w:rsidRPr="00FA72AA" w:rsidRDefault="00451286" w:rsidP="005126EC">
            <w:pPr>
              <w:jc w:val="both"/>
              <w:rPr>
                <w:b/>
                <w:bCs/>
                <w:sz w:val="20"/>
                <w:szCs w:val="20"/>
                <w:lang w:val="ro-RO"/>
              </w:rPr>
            </w:pPr>
            <w:r w:rsidRPr="00FA72AA">
              <w:rPr>
                <w:iCs/>
                <w:color w:val="0D0D0D" w:themeColor="text1" w:themeTint="F2"/>
                <w:sz w:val="20"/>
                <w:szCs w:val="20"/>
                <w:shd w:val="clear" w:color="auto" w:fill="FFFFFF"/>
                <w:lang w:val="ro-RO"/>
              </w:rPr>
              <w:t xml:space="preserve">Către finele anului 2018, Platforma a trecut din gestiunea Cancelariei de Stat în gestiunea Ministerului Finanțelor, totodată IP CTIF a devenit operatorul </w:t>
            </w:r>
            <w:proofErr w:type="spellStart"/>
            <w:r w:rsidRPr="00FA72AA">
              <w:rPr>
                <w:iCs/>
                <w:color w:val="0D0D0D" w:themeColor="text1" w:themeTint="F2"/>
                <w:sz w:val="20"/>
                <w:szCs w:val="20"/>
                <w:shd w:val="clear" w:color="auto" w:fill="FFFFFF"/>
                <w:lang w:val="ro-RO"/>
              </w:rPr>
              <w:t>tehnico</w:t>
            </w:r>
            <w:proofErr w:type="spellEnd"/>
            <w:r w:rsidRPr="00FA72AA">
              <w:rPr>
                <w:iCs/>
                <w:color w:val="0D0D0D" w:themeColor="text1" w:themeTint="F2"/>
                <w:sz w:val="20"/>
                <w:szCs w:val="20"/>
                <w:shd w:val="clear" w:color="auto" w:fill="FFFFFF"/>
                <w:lang w:val="ro-RO"/>
              </w:rPr>
              <w:t>-tehnologic al acesteia, asigurând astfel pe deplin operabilitatea Platformei.</w:t>
            </w:r>
          </w:p>
        </w:tc>
      </w:tr>
    </w:tbl>
    <w:p w:rsidR="00C06177" w:rsidRPr="00451286" w:rsidRDefault="00C06177">
      <w:pPr>
        <w:rPr>
          <w:lang w:val="en-US"/>
        </w:rPr>
      </w:pPr>
    </w:p>
    <w:sectPr w:rsidR="00C06177" w:rsidRPr="00451286" w:rsidSect="00451286">
      <w:footerReference w:type="default" r:id="rId8"/>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6D" w:rsidRDefault="0039496D" w:rsidP="00451286">
      <w:r>
        <w:separator/>
      </w:r>
    </w:p>
  </w:endnote>
  <w:endnote w:type="continuationSeparator" w:id="0">
    <w:p w:rsidR="0039496D" w:rsidRDefault="0039496D" w:rsidP="0045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057389"/>
      <w:docPartObj>
        <w:docPartGallery w:val="Page Numbers (Bottom of Page)"/>
        <w:docPartUnique/>
      </w:docPartObj>
    </w:sdtPr>
    <w:sdtEndPr>
      <w:rPr>
        <w:noProof/>
      </w:rPr>
    </w:sdtEndPr>
    <w:sdtContent>
      <w:p w:rsidR="00451286" w:rsidRDefault="00451286">
        <w:pPr>
          <w:pStyle w:val="Footer"/>
          <w:jc w:val="right"/>
        </w:pPr>
        <w:r>
          <w:fldChar w:fldCharType="begin"/>
        </w:r>
        <w:r>
          <w:instrText xml:space="preserve"> PAGE   \* MERGEFORMAT </w:instrText>
        </w:r>
        <w:r>
          <w:fldChar w:fldCharType="separate"/>
        </w:r>
        <w:r w:rsidR="004C5A86">
          <w:rPr>
            <w:noProof/>
          </w:rPr>
          <w:t>1</w:t>
        </w:r>
        <w:r>
          <w:rPr>
            <w:noProof/>
          </w:rPr>
          <w:fldChar w:fldCharType="end"/>
        </w:r>
      </w:p>
    </w:sdtContent>
  </w:sdt>
  <w:p w:rsidR="00451286" w:rsidRDefault="0045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6D" w:rsidRDefault="0039496D" w:rsidP="00451286">
      <w:r>
        <w:separator/>
      </w:r>
    </w:p>
  </w:footnote>
  <w:footnote w:type="continuationSeparator" w:id="0">
    <w:p w:rsidR="0039496D" w:rsidRDefault="0039496D" w:rsidP="00451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77F"/>
    <w:multiLevelType w:val="hybridMultilevel"/>
    <w:tmpl w:val="074AF0A4"/>
    <w:lvl w:ilvl="0" w:tplc="E60E3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371A7"/>
    <w:multiLevelType w:val="hybridMultilevel"/>
    <w:tmpl w:val="E192532A"/>
    <w:lvl w:ilvl="0" w:tplc="1D7214EA">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A0733"/>
    <w:multiLevelType w:val="hybridMultilevel"/>
    <w:tmpl w:val="B56A58D8"/>
    <w:lvl w:ilvl="0" w:tplc="1D7214EA">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B6B2E"/>
    <w:multiLevelType w:val="hybridMultilevel"/>
    <w:tmpl w:val="36A00CAC"/>
    <w:lvl w:ilvl="0" w:tplc="00C017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3193F"/>
    <w:multiLevelType w:val="hybridMultilevel"/>
    <w:tmpl w:val="D95630B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1C0D50F0"/>
    <w:multiLevelType w:val="hybridMultilevel"/>
    <w:tmpl w:val="E2AC641A"/>
    <w:lvl w:ilvl="0" w:tplc="1D7214EA">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57AF9"/>
    <w:multiLevelType w:val="hybridMultilevel"/>
    <w:tmpl w:val="5CDAAD76"/>
    <w:lvl w:ilvl="0" w:tplc="E60E3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162E1"/>
    <w:multiLevelType w:val="hybridMultilevel"/>
    <w:tmpl w:val="BA865A3C"/>
    <w:lvl w:ilvl="0" w:tplc="00C017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6B3596"/>
    <w:multiLevelType w:val="hybridMultilevel"/>
    <w:tmpl w:val="09BA9E40"/>
    <w:lvl w:ilvl="0" w:tplc="F260D8BA">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37E34"/>
    <w:multiLevelType w:val="hybridMultilevel"/>
    <w:tmpl w:val="3D28AB52"/>
    <w:lvl w:ilvl="0" w:tplc="E60E3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160955"/>
    <w:multiLevelType w:val="hybridMultilevel"/>
    <w:tmpl w:val="77CAE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333D04"/>
    <w:multiLevelType w:val="hybridMultilevel"/>
    <w:tmpl w:val="6D3ADC82"/>
    <w:lvl w:ilvl="0" w:tplc="00C017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901A2B"/>
    <w:multiLevelType w:val="hybridMultilevel"/>
    <w:tmpl w:val="FC946B20"/>
    <w:lvl w:ilvl="0" w:tplc="00C017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B03EE0"/>
    <w:multiLevelType w:val="hybridMultilevel"/>
    <w:tmpl w:val="90904604"/>
    <w:lvl w:ilvl="0" w:tplc="1D7214EA">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833C7F"/>
    <w:multiLevelType w:val="hybridMultilevel"/>
    <w:tmpl w:val="48C05456"/>
    <w:lvl w:ilvl="0" w:tplc="F260D8BA">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9446B3"/>
    <w:multiLevelType w:val="hybridMultilevel"/>
    <w:tmpl w:val="20F6D666"/>
    <w:lvl w:ilvl="0" w:tplc="1D7214EA">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012758"/>
    <w:multiLevelType w:val="hybridMultilevel"/>
    <w:tmpl w:val="5AC0D2DA"/>
    <w:lvl w:ilvl="0" w:tplc="00C017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472F45"/>
    <w:multiLevelType w:val="hybridMultilevel"/>
    <w:tmpl w:val="536A59EE"/>
    <w:lvl w:ilvl="0" w:tplc="1D7214EA">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C15E55"/>
    <w:multiLevelType w:val="hybridMultilevel"/>
    <w:tmpl w:val="E2B869D4"/>
    <w:lvl w:ilvl="0" w:tplc="E60E3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C21B15"/>
    <w:multiLevelType w:val="hybridMultilevel"/>
    <w:tmpl w:val="AEE2A93E"/>
    <w:lvl w:ilvl="0" w:tplc="E60E3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093FEC"/>
    <w:multiLevelType w:val="hybridMultilevel"/>
    <w:tmpl w:val="0680D9AC"/>
    <w:lvl w:ilvl="0" w:tplc="F260D8BA">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AD2446"/>
    <w:multiLevelType w:val="hybridMultilevel"/>
    <w:tmpl w:val="A2344E7A"/>
    <w:lvl w:ilvl="0" w:tplc="1D7214EA">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FB33EA"/>
    <w:multiLevelType w:val="hybridMultilevel"/>
    <w:tmpl w:val="D326195A"/>
    <w:lvl w:ilvl="0" w:tplc="EF2063CE">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1"/>
  </w:num>
  <w:num w:numId="4">
    <w:abstractNumId w:val="18"/>
  </w:num>
  <w:num w:numId="5">
    <w:abstractNumId w:val="7"/>
  </w:num>
  <w:num w:numId="6">
    <w:abstractNumId w:val="6"/>
  </w:num>
  <w:num w:numId="7">
    <w:abstractNumId w:val="3"/>
  </w:num>
  <w:num w:numId="8">
    <w:abstractNumId w:val="10"/>
  </w:num>
  <w:num w:numId="9">
    <w:abstractNumId w:val="9"/>
  </w:num>
  <w:num w:numId="10">
    <w:abstractNumId w:val="19"/>
  </w:num>
  <w:num w:numId="11">
    <w:abstractNumId w:val="0"/>
  </w:num>
  <w:num w:numId="12">
    <w:abstractNumId w:val="12"/>
  </w:num>
  <w:num w:numId="13">
    <w:abstractNumId w:val="2"/>
  </w:num>
  <w:num w:numId="14">
    <w:abstractNumId w:val="1"/>
  </w:num>
  <w:num w:numId="15">
    <w:abstractNumId w:val="5"/>
  </w:num>
  <w:num w:numId="16">
    <w:abstractNumId w:val="21"/>
  </w:num>
  <w:num w:numId="17">
    <w:abstractNumId w:val="15"/>
  </w:num>
  <w:num w:numId="18">
    <w:abstractNumId w:val="17"/>
  </w:num>
  <w:num w:numId="19">
    <w:abstractNumId w:val="13"/>
  </w:num>
  <w:num w:numId="20">
    <w:abstractNumId w:val="16"/>
  </w:num>
  <w:num w:numId="21">
    <w:abstractNumId w:val="1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50"/>
    <w:rsid w:val="0039496D"/>
    <w:rsid w:val="00451286"/>
    <w:rsid w:val="004C5A86"/>
    <w:rsid w:val="005A2050"/>
    <w:rsid w:val="00C0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6616"/>
  <w15:chartTrackingRefBased/>
  <w15:docId w15:val="{308620B6-2EFF-45AD-8ABD-E0F07975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8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List Paragraph 1"/>
    <w:basedOn w:val="Normal"/>
    <w:link w:val="ListParagraphChar"/>
    <w:uiPriority w:val="34"/>
    <w:qFormat/>
    <w:rsid w:val="00451286"/>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Scriptoria bullet points Char,List Paragraph 1 Char"/>
    <w:link w:val="ListParagraph"/>
    <w:uiPriority w:val="34"/>
    <w:locked/>
    <w:rsid w:val="00451286"/>
    <w:rPr>
      <w:rFonts w:ascii="Calibri" w:eastAsia="Calibri" w:hAnsi="Calibri" w:cs="Times New Roman"/>
    </w:rPr>
  </w:style>
  <w:style w:type="paragraph" w:styleId="Header">
    <w:name w:val="header"/>
    <w:basedOn w:val="Normal"/>
    <w:link w:val="HeaderChar"/>
    <w:uiPriority w:val="99"/>
    <w:unhideWhenUsed/>
    <w:rsid w:val="00451286"/>
    <w:pPr>
      <w:tabs>
        <w:tab w:val="center" w:pos="4677"/>
        <w:tab w:val="right" w:pos="9355"/>
      </w:tabs>
    </w:pPr>
  </w:style>
  <w:style w:type="character" w:customStyle="1" w:styleId="HeaderChar">
    <w:name w:val="Header Char"/>
    <w:basedOn w:val="DefaultParagraphFont"/>
    <w:link w:val="Header"/>
    <w:uiPriority w:val="99"/>
    <w:rsid w:val="00451286"/>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451286"/>
    <w:pPr>
      <w:tabs>
        <w:tab w:val="center" w:pos="4677"/>
        <w:tab w:val="right" w:pos="9355"/>
      </w:tabs>
    </w:pPr>
  </w:style>
  <w:style w:type="character" w:customStyle="1" w:styleId="FooterChar">
    <w:name w:val="Footer Char"/>
    <w:basedOn w:val="DefaultParagraphFont"/>
    <w:link w:val="Footer"/>
    <w:uiPriority w:val="99"/>
    <w:rsid w:val="004512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8167</Words>
  <Characters>46553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Galina</dc:creator>
  <cp:keywords/>
  <dc:description/>
  <cp:lastModifiedBy>Damian Galina</cp:lastModifiedBy>
  <cp:revision>3</cp:revision>
  <dcterms:created xsi:type="dcterms:W3CDTF">2019-04-23T10:53:00Z</dcterms:created>
  <dcterms:modified xsi:type="dcterms:W3CDTF">2019-04-23T10:53:00Z</dcterms:modified>
</cp:coreProperties>
</file>