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87" w:rsidRDefault="00D652CB">
      <w:pPr>
        <w:spacing w:line="360" w:lineRule="auto"/>
        <w:ind w:left="720" w:firstLine="720"/>
        <w:jc w:val="center"/>
        <w:rPr>
          <w:rFonts w:ascii="Arial" w:eastAsia="Calibri" w:hAnsi="Arial" w:cs="Arial"/>
          <w:b/>
          <w:sz w:val="20"/>
          <w:szCs w:val="20"/>
          <w:lang w:val="ro-RO"/>
        </w:rPr>
      </w:pPr>
      <w:r>
        <w:rPr>
          <w:rFonts w:ascii="Arial" w:eastAsia="Calibri" w:hAnsi="Arial" w:cs="Arial"/>
          <w:b/>
          <w:sz w:val="20"/>
          <w:szCs w:val="20"/>
          <w:lang w:val="ro-RO"/>
        </w:rPr>
        <w:t>Raportul Directoratului Liniei de Credit privind implementarea Programului de Abilitare Economică a Tinerilor (PNAET) pentru anul 2016</w:t>
      </w:r>
    </w:p>
    <w:p w:rsidR="00CD1D87" w:rsidRDefault="00D652CB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 xml:space="preserve">PNAET 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se finanțează de Guvernul Republicii Moldova în baza Hotărârii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Guvernului nr.364 din 3 iunie 2008, cu modificările ulterioare de extindere a acțiunii Programului până in anul 2018. </w:t>
      </w: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Sursele de finanțare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: fondurile împrumuturilor și granturilor externe de stat a Proiectelor Investiționale pentru dezvoltare, recreditate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de Ministerul Finanțelor al R.M.  </w:t>
      </w: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Beneficiarii Programului: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persoane fizice şi juridice tinere, care î-şi desfășoară activitatea de antreprenor în toate domeniile de activitate  din sectorul rural cu vârsta cuprinsă între 18-35 ani.</w:t>
      </w:r>
    </w:p>
    <w:p w:rsidR="00CD1D87" w:rsidRDefault="00CD1D87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</w:pPr>
    </w:p>
    <w:p w:rsidR="00CD1D87" w:rsidRDefault="00D652C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Instituțiile de impl</w:t>
      </w: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 xml:space="preserve">ementare: </w:t>
      </w:r>
    </w:p>
    <w:p w:rsidR="00CD1D87" w:rsidRDefault="00D652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Componenta I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“ Instruire și consultanță“-</w:t>
      </w: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ODIMM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(Organizația pentru Dezvoltarea sectorului Întreprinderilor Mici și Mijlocii de pe lângă Ministerul Economiei al R.M.</w:t>
      </w:r>
    </w:p>
    <w:p w:rsidR="00CD1D87" w:rsidRDefault="00CD1D87">
      <w:pPr>
        <w:pStyle w:val="ListParagraph"/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</w:pPr>
    </w:p>
    <w:p w:rsidR="00CD1D87" w:rsidRDefault="00D652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Componenta II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„Finanțarea proiectelor investiționale rurale prin acordarea de îm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prumuturi comerciale rambursabile, cu porțiune de grant, precum și finanțarea contractelor de leasing” </w:t>
      </w:r>
    </w:p>
    <w:p w:rsidR="00CD1D87" w:rsidRDefault="00D652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si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Componenta III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„Monitorizarea postfinanțare”- de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Directoratul Liniei de Credit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de pe lângă Ministerul Finanțelor (DLC) prin intermediul </w:t>
      </w: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Instituțiilor</w:t>
      </w: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 xml:space="preserve"> Financiare Participante intermediare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(IFP)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.</w:t>
      </w:r>
    </w:p>
    <w:p w:rsidR="00CD1D87" w:rsidRDefault="00CD1D87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</w:pP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Scopul sub-proiectelor:</w:t>
      </w:r>
      <w:r>
        <w:rPr>
          <w:rFonts w:ascii="Arial" w:eastAsia="Calibri" w:hAnsi="Arial" w:cs="Arial"/>
          <w:sz w:val="20"/>
          <w:szCs w:val="20"/>
          <w:lang w:val="ro-RO"/>
        </w:rPr>
        <w:t xml:space="preserve"> investiții, capitalizarea inițială a afacerilor fondate de tineri antreprenori. </w:t>
      </w: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Suma maximală a sub-împrumuturilor cu componentă de grant: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300 mii MDL, inclusiv grant nerambursabil de 4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0%, fără dobândă. </w:t>
      </w: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Valuta sub-împrumuturilor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:  Lei Moldovenești.</w:t>
      </w:r>
    </w:p>
    <w:p w:rsidR="00CD1D87" w:rsidRDefault="00D652CB">
      <w:p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Maturitatea sub-împrumuturilor: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până la 5 ani, minimum 2 ani, excluzând perioada de grație.</w:t>
      </w:r>
    </w:p>
    <w:p w:rsidR="00CD1D87" w:rsidRDefault="00D652C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color w:val="000000" w:themeColor="text1"/>
          <w:sz w:val="20"/>
          <w:szCs w:val="20"/>
          <w:lang w:val="ro-RO"/>
        </w:rPr>
        <w:t>Rata dobânzii: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 flotantă, bazată pe </w:t>
      </w:r>
      <w:r>
        <w:rPr>
          <w:rFonts w:ascii="Arial" w:eastAsia="Calibri" w:hAnsi="Arial" w:cs="Arial"/>
          <w:sz w:val="20"/>
          <w:szCs w:val="20"/>
          <w:lang w:val="ro-RO"/>
        </w:rPr>
        <w:t xml:space="preserve">rata inflaţiei, 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cu revizuire semi-anuală, stabilită de Directora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tul Liniei de Credit și și Instituțiile Financiare Participante intermediare.</w:t>
      </w:r>
    </w:p>
    <w:p w:rsidR="00CD1D87" w:rsidRDefault="00D652C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ro-RO"/>
        </w:rPr>
        <w:t>Activităţi eligibile pentru finanţare: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>investiţii de procurare de echipamente şi utilaje de producere și acordarea de servicii în sectorul real rural, întreprinderi micro existenț</w:t>
      </w:r>
      <w:r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  <w:t xml:space="preserve">e, sau noi înființate.  </w:t>
      </w:r>
    </w:p>
    <w:p w:rsidR="00CD1D87" w:rsidRDefault="00CD1D8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ro-RO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In anul 2016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au fost aprobate și decontate 31 sub-proiecte în suma totala de 9.17 mil.lei, inclusiv granturi ale acordate de Ministerul Finanțelor al R.M. în suma de 3.6 mln lei,  </w:t>
      </w: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val="ro-RO" w:eastAsia="ru-RU"/>
        </w:rPr>
        <w:t>Cumulativ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, de la începutul derulării Programului PNAET (inițiat prin Hotărârea Guvernului nr.364 din 3 iunie 2008, cu modificările ulterioare de extindere a Programului) au fost finanțate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1678 de subproiecte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ale tinerilor beneficiari în sumă totală de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482.2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mil. le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i, inclusiv granturi aferente nerambursabile în mărime de 40 la sută din suma împrumutului –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189.9 mil. lei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Din grantul total alocat, cota grantului Comisiei Europene constituie 135.2 mli lei sau 71.2 la suta.   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>Obiectivele de bază şi impactul social al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Programului sunt în deplină concordanţă cu priorităţile Guvernului Republicii Moldova, tendinţele europene de sporire a rolului tinerilor în viaţa social-economică a ţării, devenind o pârghie eficientă în capitalizarea iniţială a afacerilor lor private. 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nteresul tinerilor faţă de Program este înalt şi contribuie la înfiinţarea de noi entităţi economice de scară mică în localităţile rurale, crearea a noi locuri de muncă, sau menţinerea celor existente, astfel susținând dezvoltarea potenţialului economic al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localităţilor rurale și diminuarea sărăciei.  Fiind unul din obiectivele  de bază, în perioada derulării Programului  au fost finanțate 1314  întreprinderi noi (78.3 la sută) și 364 sub-proiecte (21.7  la sută) - pentru dezvoltarea afacerilor deja existen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te. De menţionat, că participarea la Program  a femeilor tinere este 29.5 la sută. Beneficiari finali au raportat crearea  și menținerea a circa  2400 locuri de muncă, inclusiv în anul 2016 circa 35 locuri.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Granturi acceptate.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1227 de sub-proiecte au îndeplinit integral condițiile PNAET, utilizând sub-împrumuturile conform destinației, cărora le-a fost acceptată trecere la cheltuieli a sumei grantului în suma totală de 139.6 mln. lei. Numărul granturilor integral valorificate ș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i acceptate constituie 74.4 la suta din numărul total al sub-proiectelor finanțate. 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Soldul sumei principalea IFP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la 31.12.16 pentru sub-împrumuturile în acțiune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,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la care nu a survenit termenul de rambursare constituie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30.6 mil.lei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, iar a sumei grantului la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evidentă și monitorizare-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46.5 mil. lei. 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>Din cauza întârzierilor de plăti, sau a utilizării incorecte a mijloacelor, 28 sub-proiecte în sumă de 3.27 mil.lei au pierdut dreptul la grant, respectiv sumele date au fost transformate în împrumuturi rambursab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ile (circa 1.7% din numărul total al sub-proiectelor finanțate.  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Intermediarii financiari și condițiile de operare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. Împrumuturile PNAET sunt acordate prin intermediul IFP eligibile selectate, care îşi asumă toate riscurile de credit, şi sunt evaluate și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debursate în corespundere cu condiţiile pieţei financiare locale, ținând cont de procedurile lor interne de creditare comercială. Transferarea grantului alocat de co -finanțare a PNAET pentru subproiectele aprobate de IFP se efectuează prin Trezoreria de S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tat, la cererea Directoratului Liniei de Credit, care examinează şi aprobă subproiectele prezentate de IFP. Concomitent transferării grantului de 40%, DLC cofinanţează subproiectul cu 60% - partea de împrumut rambursabil  din mijloacele circulante acumulat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e ale altor Linii de Credit a Proiectelor Investiționale finanțate din împrumuturi externe pentru dezvoltare.  În cadrul Proiectului participă 11 IFP, care î-și asumă toate riscurile legate de credit la recreditarea fondurilor beneficiarilor. </w:t>
      </w:r>
    </w:p>
    <w:p w:rsidR="00CD1D87" w:rsidRDefault="00D652C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Date privind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 xml:space="preserve"> numărul de subproiecte aprobate și finanțate prin IFP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2659"/>
        <w:gridCol w:w="2937"/>
      </w:tblGrid>
      <w:tr w:rsidR="00CD1D87">
        <w:trPr>
          <w:trHeight w:val="608"/>
        </w:trPr>
        <w:tc>
          <w:tcPr>
            <w:tcW w:w="4024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Denumirea</w:t>
            </w:r>
          </w:p>
          <w:p w:rsidR="00CD1D87" w:rsidRDefault="00D652CB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IFP</w:t>
            </w:r>
          </w:p>
        </w:tc>
        <w:tc>
          <w:tcPr>
            <w:tcW w:w="2659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nr. de</w:t>
            </w:r>
          </w:p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subproiecte aprobate</w:t>
            </w:r>
          </w:p>
        </w:tc>
        <w:tc>
          <w:tcPr>
            <w:tcW w:w="2937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ponderea IFP după</w:t>
            </w:r>
          </w:p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numărul de sub-proiecte, %</w:t>
            </w:r>
          </w:p>
        </w:tc>
      </w:tr>
      <w:tr w:rsidR="00CD1D87">
        <w:trPr>
          <w:trHeight w:val="16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MoldovaAgroindbank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877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52.3%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Moldindconbank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380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22,6%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FinComBank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260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15,5%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Energbank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69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  4,11%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Eximbank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18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 1,07%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ro-RO" w:eastAsia="ru-RU"/>
              </w:rPr>
              <w:t>Banca de Economii (recuperate)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15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0,9%</w:t>
            </w:r>
          </w:p>
        </w:tc>
      </w:tr>
      <w:tr w:rsidR="00CD1D87">
        <w:trPr>
          <w:trHeight w:val="341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Mobiasbancă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32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 1,91%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Victoriabank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8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0,47%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Eurocreditbank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0.06%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Moldcredit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10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                    0.6%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Comertbank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2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0.12%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Procredit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1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 0,06%</w:t>
            </w:r>
          </w:p>
        </w:tc>
      </w:tr>
      <w:tr w:rsidR="00CD1D87">
        <w:trPr>
          <w:trHeight w:val="338"/>
        </w:trPr>
        <w:tc>
          <w:tcPr>
            <w:tcW w:w="4024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 xml:space="preserve">Investprivatbank (urmează a fi recuperate) 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5</w:t>
            </w:r>
          </w:p>
        </w:tc>
        <w:tc>
          <w:tcPr>
            <w:tcW w:w="2937" w:type="dxa"/>
            <w:shd w:val="clear" w:color="auto" w:fill="auto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o-RO" w:eastAsia="ru-RU"/>
              </w:rPr>
              <w:t>0.31%</w:t>
            </w:r>
          </w:p>
        </w:tc>
      </w:tr>
      <w:tr w:rsidR="00CD1D87">
        <w:trPr>
          <w:trHeight w:val="327"/>
        </w:trPr>
        <w:tc>
          <w:tcPr>
            <w:tcW w:w="4024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Total</w:t>
            </w:r>
          </w:p>
        </w:tc>
        <w:tc>
          <w:tcPr>
            <w:tcW w:w="2659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1678</w:t>
            </w:r>
          </w:p>
        </w:tc>
        <w:tc>
          <w:tcPr>
            <w:tcW w:w="2937" w:type="dxa"/>
            <w:shd w:val="clear" w:color="auto" w:fill="DAEEF3"/>
            <w:vAlign w:val="bottom"/>
          </w:tcPr>
          <w:p w:rsidR="00CD1D87" w:rsidRDefault="00D652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ro-RO" w:eastAsia="ru-RU"/>
              </w:rPr>
              <w:t>100</w:t>
            </w:r>
          </w:p>
        </w:tc>
      </w:tr>
    </w:tbl>
    <w:p w:rsidR="00CD1D87" w:rsidRDefault="00D652CB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ru-RU" w:eastAsia="ru-RU"/>
        </w:rPr>
        <w:lastRenderedPageBreak/>
        <w:drawing>
          <wp:inline distT="0" distB="0" distL="0" distR="0">
            <wp:extent cx="5656580" cy="1723293"/>
            <wp:effectExtent l="0" t="0" r="1270" b="0"/>
            <wp:docPr id="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Partea preponderentă de 85.55 la sută din împrumuturile acordate este plasată în ramura agriculturii, urmată de industrie – 9.01 la sută, prestarea serviciilor – 5,44 la sută.  </w:t>
      </w:r>
    </w:p>
    <w:p w:rsidR="00CD1D87" w:rsidRDefault="00CD1D8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Distribuirea teritorială.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Din perspectiva geografică cea mai activă regiune în tragerea de fonduri este regiunea de Nord a ţării cu 981 de subproiecte sau 58,65 la sută din numărul total de subproiecte acordate, urmată de regiunea Centru cu 419 subproiecte (24,82%) şi regiunea Sud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cu 278 subproiecte (16,53%). </w:t>
      </w:r>
    </w:p>
    <w:p w:rsidR="00CD1D87" w:rsidRDefault="00D652CB">
      <w:pPr>
        <w:spacing w:after="0" w:line="360" w:lineRule="auto"/>
        <w:ind w:left="1416"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  <w:t>Distribuirea sub-împrumuturilor pe raioane:</w:t>
      </w:r>
    </w:p>
    <w:p w:rsidR="00CD1D87" w:rsidRDefault="00CD1D87">
      <w:pPr>
        <w:spacing w:after="0" w:line="360" w:lineRule="auto"/>
        <w:ind w:left="1416"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</w:p>
    <w:tbl>
      <w:tblPr>
        <w:tblW w:w="9258" w:type="dxa"/>
        <w:tblInd w:w="93" w:type="dxa"/>
        <w:tblLook w:val="04A0"/>
      </w:tblPr>
      <w:tblGrid>
        <w:gridCol w:w="2172"/>
        <w:gridCol w:w="2096"/>
        <w:gridCol w:w="2693"/>
        <w:gridCol w:w="2297"/>
      </w:tblGrid>
      <w:tr w:rsidR="00CD1D87">
        <w:trPr>
          <w:trHeight w:val="300"/>
          <w:tblHeader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RAION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AEEF3"/>
            <w:hideMark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Nr. sub-împrumuturi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raion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Nr. Sub-împrumuturi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Anenii Noi</w:t>
            </w:r>
          </w:p>
        </w:tc>
        <w:tc>
          <w:tcPr>
            <w:tcW w:w="2096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Hincesti</w:t>
            </w:r>
          </w:p>
        </w:tc>
        <w:tc>
          <w:tcPr>
            <w:tcW w:w="2297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60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Balti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Ialoveni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60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Basarabeasca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Leova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31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Briceni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Nisporeni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34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Cahul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Ocnita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33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Calarasi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Orhei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28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Cantemir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Rezina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69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Causeni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Riscani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123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Chisinau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Singerei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54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Cimislia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Soldanesti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90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Criuleni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Soroca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93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Donduseni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Stefan-Voda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21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Drochia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Straseni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14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Dubasari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Taraclia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21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Edinet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Telenesti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26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Falesti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Ungheni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53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010000"/>
              <w:bottom w:val="single" w:sz="4" w:space="0" w:color="auto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Floresti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10000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UTA Gagauzia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010000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58</w:t>
            </w:r>
          </w:p>
        </w:tc>
      </w:tr>
      <w:tr w:rsidR="00CD1D87">
        <w:trPr>
          <w:trHeight w:val="3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Glodeni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D87" w:rsidRDefault="00D652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TOTAL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D87" w:rsidRDefault="00D652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1678</w:t>
            </w:r>
          </w:p>
        </w:tc>
      </w:tr>
    </w:tbl>
    <w:p w:rsidR="00CD1D87" w:rsidRDefault="00CD1D87">
      <w:pPr>
        <w:spacing w:after="0" w:line="360" w:lineRule="auto"/>
        <w:ind w:left="1416"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</w:p>
    <w:p w:rsidR="00CD1D87" w:rsidRDefault="00CD1D87">
      <w:pPr>
        <w:spacing w:after="0" w:line="360" w:lineRule="auto"/>
        <w:ind w:left="1416" w:firstLine="708"/>
        <w:rPr>
          <w:rFonts w:ascii="Arial" w:eastAsia="Times New Roman" w:hAnsi="Arial" w:cs="Arial"/>
          <w:b/>
          <w:color w:val="000000" w:themeColor="text1"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ind w:right="-77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Implementarea subproiectelor este monitorizată cât de DLC și de reprezentanții IFP, atât și de donatorul grantului - Comisia Europeană. </w:t>
      </w:r>
    </w:p>
    <w:p w:rsidR="00CD1D87" w:rsidRDefault="00D652CB">
      <w:pPr>
        <w:spacing w:after="0" w:line="360" w:lineRule="auto"/>
        <w:ind w:right="-77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lastRenderedPageBreak/>
        <w:t>Scopul monitorizării şi evaluării este de a verifica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corectitudinea utilizării fondurilor, îndeplinirea condițiilor Programului, de a evalua progresul implementării subproiectelor tinerilor și de a soluţiona eventualele probleme de implementare. Donatorul extern a apreciat înalt rezultatele bune de implemen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>tare a PNAET.</w:t>
      </w:r>
    </w:p>
    <w:p w:rsidR="00CD1D87" w:rsidRDefault="00CD1D87">
      <w:pPr>
        <w:spacing w:after="0" w:line="360" w:lineRule="auto"/>
        <w:ind w:right="-77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</w:p>
    <w:p w:rsidR="00CD1D87" w:rsidRDefault="00D652CB">
      <w:pPr>
        <w:spacing w:after="0" w:line="360" w:lineRule="auto"/>
        <w:ind w:right="-77"/>
        <w:jc w:val="both"/>
        <w:rPr>
          <w:rFonts w:ascii="Arial" w:eastAsia="Times New Roman" w:hAnsi="Arial" w:cs="Arial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Conform </w:t>
      </w: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prognozelor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și planului de finanțare pentru anul 2017, Ministerul Finanțelor/DLC urmează să finanțeze PNAET cu 50.0 mln. lei, inclusiv grant în valoare de 20 mln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 lei. Aceasta va permite finanțarea a circa 170 de sub-proiecte noi eligibile ale tinerilor. </w:t>
      </w:r>
    </w:p>
    <w:tbl>
      <w:tblPr>
        <w:tblW w:w="9747" w:type="dxa"/>
        <w:tblLook w:val="01E0"/>
      </w:tblPr>
      <w:tblGrid>
        <w:gridCol w:w="9747"/>
      </w:tblGrid>
      <w:tr w:rsidR="00CD1D87">
        <w:trPr>
          <w:trHeight w:val="156"/>
        </w:trPr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</w:p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 xml:space="preserve">IFP, care vor extinde activitatea sa în Program: MoldovaAgroindbank; Fincombank; Energbank; MobiasbancăGroupeSociete Generale; Moldcredit; Comerțbank; Procredit </w:t>
            </w: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 xml:space="preserve">Bank, Corporația Financiară Rurală. </w:t>
            </w:r>
          </w:p>
        </w:tc>
      </w:tr>
      <w:tr w:rsidR="00CD1D87"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</w:pPr>
          </w:p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 w:eastAsia="ru-RU"/>
              </w:rPr>
              <w:t>Rapoarte.</w:t>
            </w: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 xml:space="preserve"> Pentru asigurarea transparentei utilizării fondurilor, DLC prezintă Consiliului DLC, Ministerului Finanţelor, reprezentanților donatorilor externi, altor părţi interesate rapoarte privind progresul componentelor implementate ale Programului ( Componenta I</w:t>
            </w: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I – „Finanțarea proiectelor investiționale rurale prin acordarea de împrumuturi comerciale rambursabile, cu porțiune de grant, precum și finanțarea contractelor de leasing” si Componentei III „Monitorizarea postfinanțare” și utilizării fondurilor conform d</w:t>
            </w: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estinației.</w:t>
            </w:r>
          </w:p>
          <w:p w:rsidR="00CD1D87" w:rsidRDefault="00D652C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o-RO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 xml:space="preserve">Rapoarte periodice de progres sunt plasate pe pagina web a Ministerului Finanțelor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ro-RO" w:eastAsia="ru-RU"/>
                </w:rPr>
                <w:t>www.mf.gov.md/instituții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val="ro-RO" w:eastAsia="ru-RU"/>
              </w:rPr>
              <w:t>subordonate</w:t>
            </w:r>
          </w:p>
        </w:tc>
      </w:tr>
      <w:tr w:rsidR="00CD1D87"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o-RO" w:eastAsia="ru-RU"/>
              </w:rPr>
            </w:pPr>
          </w:p>
        </w:tc>
      </w:tr>
      <w:tr w:rsidR="00CD1D87"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o-RO" w:eastAsia="ru-RU"/>
              </w:rPr>
            </w:pPr>
          </w:p>
        </w:tc>
      </w:tr>
      <w:tr w:rsidR="00CD1D87"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o-RO" w:eastAsia="ru-RU"/>
              </w:rPr>
            </w:pPr>
          </w:p>
        </w:tc>
      </w:tr>
      <w:tr w:rsidR="00CD1D87">
        <w:tc>
          <w:tcPr>
            <w:tcW w:w="9747" w:type="dxa"/>
            <w:shd w:val="clear" w:color="auto" w:fill="auto"/>
            <w:vAlign w:val="bottom"/>
          </w:tcPr>
          <w:p w:rsidR="00CD1D87" w:rsidRDefault="00CD1D8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ro-RO" w:eastAsia="ru-RU"/>
              </w:rPr>
            </w:pPr>
          </w:p>
        </w:tc>
      </w:tr>
    </w:tbl>
    <w:p w:rsidR="00CD1D87" w:rsidRDefault="00D652C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ro-RO" w:eastAsia="ru-RU"/>
        </w:rPr>
        <w:t>Directoratul Liniei de Credit</w:t>
      </w:r>
    </w:p>
    <w:p w:rsidR="00CD1D87" w:rsidRDefault="00D652CB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val="ro-RO" w:eastAsia="ru-RU"/>
        </w:rPr>
      </w:pPr>
      <w:r>
        <w:rPr>
          <w:rFonts w:ascii="Arial" w:eastAsia="Times New Roman" w:hAnsi="Arial" w:cs="Arial"/>
          <w:sz w:val="20"/>
          <w:szCs w:val="20"/>
          <w:lang w:val="ro-RO" w:eastAsia="ru-RU"/>
        </w:rPr>
        <w:t>13 ianuarie, 2017</w:t>
      </w:r>
      <w:bookmarkStart w:id="0" w:name="_GoBack"/>
      <w:bookmarkEnd w:id="0"/>
    </w:p>
    <w:sectPr w:rsidR="00CD1D87" w:rsidSect="00CD1D87">
      <w:headerReference w:type="even" r:id="rId10"/>
      <w:footerReference w:type="even" r:id="rId11"/>
      <w:footerReference w:type="defaul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CB" w:rsidRDefault="00D652CB">
      <w:pPr>
        <w:spacing w:after="0" w:line="240" w:lineRule="auto"/>
      </w:pPr>
      <w:r>
        <w:separator/>
      </w:r>
    </w:p>
  </w:endnote>
  <w:endnote w:type="continuationSeparator" w:id="1">
    <w:p w:rsidR="00D652CB" w:rsidRDefault="00D6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7" w:rsidRDefault="00CD1D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52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D87" w:rsidRDefault="00CD1D87">
    <w:pPr>
      <w:pStyle w:val="Footer"/>
      <w:ind w:right="360"/>
    </w:pPr>
  </w:p>
  <w:p w:rsidR="00CD1D87" w:rsidRDefault="00CD1D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7" w:rsidRDefault="00D652C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DirectoratulLiniei de Credit. RaportulprivindimplementareaProgramului</w:t>
    </w:r>
    <w:r>
      <w:rPr>
        <w:rFonts w:ascii="Arial" w:hAnsi="Arial" w:cs="Arial"/>
        <w:sz w:val="16"/>
        <w:szCs w:val="16"/>
      </w:rPr>
      <w:t xml:space="preserve"> PNAET, a. 2016.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7" w:rsidRDefault="00CD1D8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CB" w:rsidRDefault="00D652CB">
      <w:pPr>
        <w:spacing w:after="0" w:line="240" w:lineRule="auto"/>
      </w:pPr>
      <w:r>
        <w:separator/>
      </w:r>
    </w:p>
  </w:footnote>
  <w:footnote w:type="continuationSeparator" w:id="1">
    <w:p w:rsidR="00D652CB" w:rsidRDefault="00D6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87" w:rsidRDefault="00CD1D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52CB"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D652CB">
      <w:rPr>
        <w:rStyle w:val="PageNumber"/>
        <w:b/>
        <w:bCs/>
        <w:noProof/>
      </w:rPr>
      <w:t>Error! Main Document Only.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D652C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2C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D652C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2C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D652C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2C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D652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2CB">
      <w:rPr>
        <w:rStyle w:val="PageNumber"/>
        <w:noProof/>
      </w:rPr>
      <w:t>6</w:t>
    </w:r>
    <w:r>
      <w:rPr>
        <w:rStyle w:val="PageNumber"/>
      </w:rPr>
      <w:fldChar w:fldCharType="end"/>
    </w:r>
  </w:p>
  <w:p w:rsidR="00CD1D87" w:rsidRDefault="00CD1D87">
    <w:pPr>
      <w:pStyle w:val="Header"/>
      <w:ind w:right="360"/>
    </w:pPr>
  </w:p>
  <w:p w:rsidR="00CD1D87" w:rsidRDefault="00CD1D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84B"/>
    <w:multiLevelType w:val="multilevel"/>
    <w:tmpl w:val="CC2EBE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4439FE"/>
    <w:multiLevelType w:val="hybridMultilevel"/>
    <w:tmpl w:val="8F567172"/>
    <w:lvl w:ilvl="0" w:tplc="41D6FA64">
      <w:start w:val="1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94AF8"/>
    <w:multiLevelType w:val="hybridMultilevel"/>
    <w:tmpl w:val="E97CDFE4"/>
    <w:lvl w:ilvl="0" w:tplc="16C87206">
      <w:start w:val="6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C7FB2"/>
    <w:multiLevelType w:val="multilevel"/>
    <w:tmpl w:val="3AD2E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CD669A"/>
    <w:multiLevelType w:val="hybridMultilevel"/>
    <w:tmpl w:val="C762B1A2"/>
    <w:lvl w:ilvl="0" w:tplc="00726F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D87"/>
    <w:rsid w:val="00432AD7"/>
    <w:rsid w:val="00CD1D87"/>
    <w:rsid w:val="00D6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D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87"/>
  </w:style>
  <w:style w:type="paragraph" w:styleId="Header">
    <w:name w:val="header"/>
    <w:basedOn w:val="Normal"/>
    <w:link w:val="HeaderChar"/>
    <w:uiPriority w:val="99"/>
    <w:unhideWhenUsed/>
    <w:rsid w:val="00CD1D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87"/>
  </w:style>
  <w:style w:type="character" w:styleId="PageNumber">
    <w:name w:val="page number"/>
    <w:basedOn w:val="DefaultParagraphFont"/>
    <w:rsid w:val="00CD1D87"/>
  </w:style>
  <w:style w:type="paragraph" w:styleId="BalloonText">
    <w:name w:val="Balloon Text"/>
    <w:basedOn w:val="Normal"/>
    <w:link w:val="BalloonTextChar"/>
    <w:uiPriority w:val="99"/>
    <w:semiHidden/>
    <w:unhideWhenUsed/>
    <w:rsid w:val="00CD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.gov.md/institu&#539;ii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en-US"/>
              <a:t>Repartizarea sub</a:t>
            </a:r>
            <a:r>
              <a:rPr lang="ro-RO"/>
              <a:t>-î</a:t>
            </a:r>
            <a:r>
              <a:rPr lang="en-US"/>
              <a:t>mprumuturilor PNAET pe ramurile economiei nationale,%</a:t>
            </a:r>
          </a:p>
        </c:rich>
      </c:tx>
      <c:layout>
        <c:manualLayout>
          <c:xMode val="edge"/>
          <c:yMode val="edge"/>
          <c:x val="1.7586790748424182E-2"/>
          <c:y val="6.518377738534341E-3"/>
        </c:manualLayout>
      </c:layout>
    </c:title>
    <c:view3D>
      <c:perspective val="0"/>
    </c:view3D>
    <c:plotArea>
      <c:layout>
        <c:manualLayout>
          <c:layoutTarget val="inner"/>
          <c:xMode val="edge"/>
          <c:yMode val="edge"/>
          <c:x val="0.20117573257453716"/>
          <c:y val="0.48972669905623512"/>
          <c:w val="0.54757281553398063"/>
          <c:h val="0.3313609467455623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98C-48A4-A847-FF9AB9312A46}"/>
              </c:ext>
            </c:extLst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98C-48A4-A847-FF9AB9312A46}"/>
              </c:ext>
            </c:extLst>
          </c:dPt>
          <c:dPt>
            <c:idx val="3"/>
            <c:spPr>
              <a:solidFill>
                <a:srgbClr val="CCFFFF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98C-48A4-A847-FF9AB9312A46}"/>
              </c:ext>
            </c:extLst>
          </c:dPt>
          <c:dLbls>
            <c:dLbl>
              <c:idx val="0"/>
              <c:layout>
                <c:manualLayout>
                  <c:x val="0.13505497974202976"/>
                  <c:y val="-2.3727034120734906E-2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lang="en-US"/>
                      <a:t>agricultura
85.55%</a:t>
                    </a:r>
                  </a:p>
                </c:rich>
              </c:tx>
              <c:spPr>
                <a:noFill/>
                <a:ln w="25336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8C-48A4-A847-FF9AB9312A46}"/>
                </c:ext>
              </c:extLst>
            </c:dLbl>
            <c:dLbl>
              <c:idx val="1"/>
              <c:layout>
                <c:manualLayout>
                  <c:x val="-0.14238901356440831"/>
                  <c:y val="-0.5325571999835097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lang="en-US"/>
                      <a:t>sevicii</a:t>
                    </a:r>
                  </a:p>
                  <a:p>
                    <a:pPr>
                      <a:defRPr lang="en-US"/>
                    </a:pPr>
                    <a:r>
                      <a:rPr lang="en-US"/>
                      <a:t>5.44%</a:t>
                    </a:r>
                  </a:p>
                </c:rich>
              </c:tx>
              <c:spPr>
                <a:noFill/>
                <a:ln w="25336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8C-48A4-A847-FF9AB9312A46}"/>
                </c:ext>
              </c:extLst>
            </c:dLbl>
            <c:dLbl>
              <c:idx val="2"/>
              <c:layout>
                <c:manualLayout>
                  <c:x val="3.3388285142043193E-2"/>
                  <c:y val="-9.0357067068744107E-2"/>
                </c:manualLayout>
              </c:layout>
              <c:tx>
                <c:rich>
                  <a:bodyPr/>
                  <a:lstStyle/>
                  <a:p>
                    <a:pPr>
                      <a:defRPr lang="en-US"/>
                    </a:pPr>
                    <a:r>
                      <a:rPr lang="en-US"/>
                      <a:t>industria
9.01%</a:t>
                    </a:r>
                  </a:p>
                </c:rich>
              </c:tx>
              <c:spPr>
                <a:noFill/>
                <a:ln w="25336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8C-48A4-A847-FF9AB9312A4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8C-48A4-A847-FF9AB9312A46}"/>
                </c:ext>
              </c:extLst>
            </c:dLbl>
            <c:numFmt formatCode="0%" sourceLinked="0"/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Sheet2!$A$61:$A$64</c:f>
              <c:strCache>
                <c:ptCount val="4"/>
                <c:pt idx="1">
                  <c:v>agricultura</c:v>
                </c:pt>
                <c:pt idx="2">
                  <c:v>industria</c:v>
                </c:pt>
                <c:pt idx="3">
                  <c:v>servicii</c:v>
                </c:pt>
              </c:strCache>
            </c:strRef>
          </c:cat>
          <c:val>
            <c:numRef>
              <c:f>Sheet2!$B$61:$B$64</c:f>
              <c:numCache>
                <c:formatCode>0.00</c:formatCode>
                <c:ptCount val="4"/>
                <c:pt idx="1">
                  <c:v>216965.01</c:v>
                </c:pt>
                <c:pt idx="2" formatCode="General">
                  <c:v>50758.04</c:v>
                </c:pt>
                <c:pt idx="3" formatCode="General">
                  <c:v>12605.77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98C-48A4-A847-FF9AB9312A46}"/>
            </c:ext>
          </c:extLst>
        </c:ser>
        <c:ser>
          <c:idx val="1"/>
          <c:order val="1"/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98C-48A4-A847-FF9AB9312A46}"/>
              </c:ext>
            </c:extLst>
          </c:dPt>
          <c:dPt>
            <c:idx val="2"/>
            <c:spPr>
              <a:solidFill>
                <a:srgbClr val="FFFFCC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998C-48A4-A847-FF9AB9312A46}"/>
              </c:ext>
            </c:extLst>
          </c:dPt>
          <c:dPt>
            <c:idx val="3"/>
            <c:spPr>
              <a:solidFill>
                <a:srgbClr val="CCFFFF"/>
              </a:solidFill>
              <a:ln w="1266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98C-48A4-A847-FF9AB9312A46}"/>
              </c:ext>
            </c:extLst>
          </c:dPt>
          <c:dLbls>
            <c:numFmt formatCode="0%" sourceLinked="0"/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Sheet2!$A$61:$A$64</c:f>
              <c:strCache>
                <c:ptCount val="4"/>
                <c:pt idx="1">
                  <c:v>agricultura</c:v>
                </c:pt>
                <c:pt idx="2">
                  <c:v>industria</c:v>
                </c:pt>
                <c:pt idx="3">
                  <c:v>servicii</c:v>
                </c:pt>
              </c:strCache>
            </c:strRef>
          </c:cat>
          <c:val>
            <c:numRef>
              <c:f>Sheet2!$C$61:$C$64</c:f>
              <c:numCache>
                <c:formatCode>0.00%</c:formatCode>
                <c:ptCount val="4"/>
                <c:pt idx="1">
                  <c:v>0.7662159201413512</c:v>
                </c:pt>
                <c:pt idx="2">
                  <c:v>0.1792529510780172</c:v>
                </c:pt>
                <c:pt idx="3">
                  <c:v>4.4517508420552417E-2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98C-48A4-A847-FF9AB9312A46}"/>
            </c:ext>
          </c:extLst>
        </c:ser>
      </c:pie3DChart>
      <c:spPr>
        <a:noFill/>
        <a:ln w="25368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Times New Roman" panose="02020603050405020304" pitchFamily="18" charset="0"/>
          <a:ea typeface="Arial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3FC6-CB89-4927-BC0A-54EF645B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M. Focsa</dc:creator>
  <cp:lastModifiedBy>balannadej</cp:lastModifiedBy>
  <cp:revision>2</cp:revision>
  <cp:lastPrinted>2017-01-13T09:46:00Z</cp:lastPrinted>
  <dcterms:created xsi:type="dcterms:W3CDTF">2017-05-25T12:50:00Z</dcterms:created>
  <dcterms:modified xsi:type="dcterms:W3CDTF">2017-05-25T12:50:00Z</dcterms:modified>
</cp:coreProperties>
</file>