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52079" w14:textId="77777777" w:rsidR="009562A5" w:rsidRDefault="00DD5C2E" w:rsidP="009562A5">
      <w:pPr>
        <w:pStyle w:val="ListParagraphnumbered"/>
        <w:pageBreakBefore/>
        <w:numPr>
          <w:ilvl w:val="0"/>
          <w:numId w:val="0"/>
        </w:numPr>
        <w:ind w:left="1225"/>
        <w:jc w:val="left"/>
        <w:rPr>
          <w:rFonts w:ascii="Times New Roman" w:hAnsi="Times New Roman"/>
          <w:sz w:val="24"/>
          <w:szCs w:val="24"/>
          <w:lang w:val="ro-RO"/>
        </w:rPr>
      </w:pPr>
      <w:r w:rsidRPr="003278ED">
        <w:rPr>
          <w:rFonts w:ascii="Times New Roman" w:hAnsi="Times New Roman"/>
          <w:sz w:val="24"/>
          <w:szCs w:val="24"/>
          <w:lang w:val="ro-RO"/>
        </w:rPr>
        <w:t xml:space="preserve">                                                    </w:t>
      </w:r>
    </w:p>
    <w:p w14:paraId="15EE6C43" w14:textId="71E4C29C" w:rsidR="009562A5" w:rsidRDefault="009562A5"/>
    <w:sdt>
      <w:sdtPr>
        <w:rPr>
          <w:rFonts w:ascii="Times New Roman" w:eastAsiaTheme="minorHAnsi" w:hAnsi="Times New Roman" w:cs="Times New Roman"/>
          <w:color w:val="auto"/>
          <w:sz w:val="24"/>
          <w:szCs w:val="24"/>
          <w:lang w:val="ro-RO"/>
        </w:rPr>
        <w:id w:val="-512458807"/>
        <w:docPartObj>
          <w:docPartGallery w:val="Table of Contents"/>
          <w:docPartUnique/>
        </w:docPartObj>
      </w:sdtPr>
      <w:sdtEndPr>
        <w:rPr>
          <w:b/>
          <w:bCs/>
        </w:rPr>
      </w:sdtEndPr>
      <w:sdtContent>
        <w:p w14:paraId="6A7D41D1" w14:textId="6694ACEB" w:rsidR="00381A14" w:rsidRPr="0026022C" w:rsidRDefault="00381A14">
          <w:pPr>
            <w:pStyle w:val="Titlucuprins"/>
            <w:rPr>
              <w:rFonts w:ascii="Times New Roman" w:hAnsi="Times New Roman" w:cs="Times New Roman"/>
              <w:sz w:val="24"/>
              <w:szCs w:val="24"/>
            </w:rPr>
          </w:pPr>
          <w:r w:rsidRPr="0026022C">
            <w:rPr>
              <w:rFonts w:ascii="Times New Roman" w:hAnsi="Times New Roman" w:cs="Times New Roman"/>
              <w:sz w:val="24"/>
              <w:szCs w:val="24"/>
              <w:lang w:val="ro-RO"/>
            </w:rPr>
            <w:t>Cuprins</w:t>
          </w:r>
        </w:p>
        <w:p w14:paraId="33876005" w14:textId="62853829" w:rsidR="005F3789" w:rsidRPr="0026022C" w:rsidRDefault="00381A14">
          <w:pPr>
            <w:pStyle w:val="Cuprins1"/>
            <w:tabs>
              <w:tab w:val="right" w:leader="dot" w:pos="9323"/>
            </w:tabs>
            <w:rPr>
              <w:rFonts w:ascii="Times New Roman" w:eastAsiaTheme="minorEastAsia" w:hAnsi="Times New Roman"/>
              <w:noProof/>
              <w:sz w:val="24"/>
              <w:szCs w:val="24"/>
              <w:lang w:val="ro-RO" w:eastAsia="ro-RO"/>
            </w:rPr>
          </w:pPr>
          <w:r w:rsidRPr="0026022C">
            <w:rPr>
              <w:rFonts w:ascii="Times New Roman" w:hAnsi="Times New Roman"/>
              <w:sz w:val="24"/>
              <w:szCs w:val="24"/>
            </w:rPr>
            <w:fldChar w:fldCharType="begin"/>
          </w:r>
          <w:r w:rsidRPr="0026022C">
            <w:rPr>
              <w:rFonts w:ascii="Times New Roman" w:hAnsi="Times New Roman"/>
              <w:sz w:val="24"/>
              <w:szCs w:val="24"/>
            </w:rPr>
            <w:instrText xml:space="preserve"> TOC \o "1-3" \h \z \u </w:instrText>
          </w:r>
          <w:r w:rsidRPr="0026022C">
            <w:rPr>
              <w:rFonts w:ascii="Times New Roman" w:hAnsi="Times New Roman"/>
              <w:sz w:val="24"/>
              <w:szCs w:val="24"/>
            </w:rPr>
            <w:fldChar w:fldCharType="separate"/>
          </w:r>
          <w:hyperlink w:anchor="_Toc175825337" w:history="1">
            <w:r w:rsidR="005F3789" w:rsidRPr="0026022C">
              <w:rPr>
                <w:rStyle w:val="Hyperlink"/>
                <w:rFonts w:ascii="Times New Roman" w:hAnsi="Times New Roman"/>
                <w:b/>
                <w:noProof/>
                <w:sz w:val="24"/>
                <w:szCs w:val="24"/>
              </w:rPr>
              <w:t>I. PREZENTARE GENERALĂ</w:t>
            </w:r>
            <w:r w:rsidR="005F3789" w:rsidRPr="0026022C">
              <w:rPr>
                <w:rFonts w:ascii="Times New Roman" w:hAnsi="Times New Roman"/>
                <w:noProof/>
                <w:webHidden/>
                <w:sz w:val="24"/>
                <w:szCs w:val="24"/>
              </w:rPr>
              <w:tab/>
            </w:r>
            <w:r w:rsidR="005F3789" w:rsidRPr="003B501D">
              <w:rPr>
                <w:rFonts w:ascii="Times New Roman" w:hAnsi="Times New Roman"/>
                <w:b/>
                <w:noProof/>
                <w:webHidden/>
                <w:sz w:val="24"/>
                <w:szCs w:val="24"/>
              </w:rPr>
              <w:fldChar w:fldCharType="begin"/>
            </w:r>
            <w:r w:rsidR="005F3789" w:rsidRPr="003B501D">
              <w:rPr>
                <w:rFonts w:ascii="Times New Roman" w:hAnsi="Times New Roman"/>
                <w:b/>
                <w:noProof/>
                <w:webHidden/>
                <w:sz w:val="24"/>
                <w:szCs w:val="24"/>
              </w:rPr>
              <w:instrText xml:space="preserve"> PAGEREF _Toc175825337 \h </w:instrText>
            </w:r>
            <w:r w:rsidR="005F3789" w:rsidRPr="003B501D">
              <w:rPr>
                <w:rFonts w:ascii="Times New Roman" w:hAnsi="Times New Roman"/>
                <w:b/>
                <w:noProof/>
                <w:webHidden/>
                <w:sz w:val="24"/>
                <w:szCs w:val="24"/>
              </w:rPr>
            </w:r>
            <w:r w:rsidR="005F3789" w:rsidRPr="003B501D">
              <w:rPr>
                <w:rFonts w:ascii="Times New Roman" w:hAnsi="Times New Roman"/>
                <w:b/>
                <w:noProof/>
                <w:webHidden/>
                <w:sz w:val="24"/>
                <w:szCs w:val="24"/>
              </w:rPr>
              <w:fldChar w:fldCharType="separate"/>
            </w:r>
            <w:r w:rsidR="007B1324">
              <w:rPr>
                <w:rFonts w:ascii="Times New Roman" w:hAnsi="Times New Roman"/>
                <w:b/>
                <w:noProof/>
                <w:webHidden/>
                <w:sz w:val="24"/>
                <w:szCs w:val="24"/>
              </w:rPr>
              <w:t>4</w:t>
            </w:r>
            <w:r w:rsidR="005F3789" w:rsidRPr="003B501D">
              <w:rPr>
                <w:rFonts w:ascii="Times New Roman" w:hAnsi="Times New Roman"/>
                <w:b/>
                <w:noProof/>
                <w:webHidden/>
                <w:sz w:val="24"/>
                <w:szCs w:val="24"/>
              </w:rPr>
              <w:fldChar w:fldCharType="end"/>
            </w:r>
          </w:hyperlink>
        </w:p>
        <w:p w14:paraId="6B7B7B9A" w14:textId="4485647D"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38" w:history="1">
            <w:r w:rsidR="005F3789" w:rsidRPr="0026022C">
              <w:rPr>
                <w:rStyle w:val="Hyperlink"/>
                <w:rFonts w:ascii="Times New Roman" w:hAnsi="Times New Roman"/>
                <w:noProof/>
                <w:sz w:val="24"/>
                <w:szCs w:val="24"/>
              </w:rPr>
              <w:t>A. Introducere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_Toc175825338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4</w:t>
            </w:r>
            <w:r w:rsidR="005F3789" w:rsidRPr="0026022C">
              <w:rPr>
                <w:rFonts w:ascii="Times New Roman" w:hAnsi="Times New Roman"/>
                <w:noProof/>
                <w:webHidden/>
                <w:sz w:val="24"/>
                <w:szCs w:val="24"/>
              </w:rPr>
              <w:fldChar w:fldCharType="end"/>
            </w:r>
          </w:hyperlink>
        </w:p>
        <w:p w14:paraId="7B41B056" w14:textId="08B03443"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39" w:history="1">
            <w:r w:rsidR="005F3789" w:rsidRPr="0026022C">
              <w:rPr>
                <w:rStyle w:val="Hyperlink"/>
                <w:rFonts w:ascii="Times New Roman" w:hAnsi="Times New Roman"/>
                <w:noProof/>
                <w:sz w:val="24"/>
                <w:szCs w:val="24"/>
              </w:rPr>
              <w:t>B. Evoluții economice în anul 2023</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_Toc175825339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5</w:t>
            </w:r>
            <w:r w:rsidR="005F3789" w:rsidRPr="0026022C">
              <w:rPr>
                <w:rFonts w:ascii="Times New Roman" w:hAnsi="Times New Roman"/>
                <w:noProof/>
                <w:webHidden/>
                <w:sz w:val="24"/>
                <w:szCs w:val="24"/>
              </w:rPr>
              <w:fldChar w:fldCharType="end"/>
            </w:r>
          </w:hyperlink>
        </w:p>
        <w:p w14:paraId="2216DAF1" w14:textId="08AC6FEB"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0" w:history="1">
            <w:r w:rsidR="005F3789" w:rsidRPr="0026022C">
              <w:rPr>
                <w:rStyle w:val="Hyperlink"/>
                <w:rFonts w:ascii="Times New Roman" w:hAnsi="Times New Roman"/>
                <w:noProof/>
                <w:sz w:val="24"/>
                <w:szCs w:val="24"/>
              </w:rPr>
              <w:t>C. Eficientizarea cheltuielilor publice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_Toc175825340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5</w:t>
            </w:r>
            <w:r w:rsidR="005F3789" w:rsidRPr="0026022C">
              <w:rPr>
                <w:rFonts w:ascii="Times New Roman" w:hAnsi="Times New Roman"/>
                <w:noProof/>
                <w:webHidden/>
                <w:sz w:val="24"/>
                <w:szCs w:val="24"/>
              </w:rPr>
              <w:fldChar w:fldCharType="end"/>
            </w:r>
          </w:hyperlink>
        </w:p>
        <w:p w14:paraId="61DA013A" w14:textId="076AF6B7" w:rsidR="005F3789" w:rsidRPr="0026022C" w:rsidRDefault="00B15CC9">
          <w:pPr>
            <w:pStyle w:val="Cuprins1"/>
            <w:tabs>
              <w:tab w:val="right" w:leader="dot" w:pos="9323"/>
            </w:tabs>
            <w:rPr>
              <w:rFonts w:ascii="Times New Roman" w:eastAsiaTheme="minorEastAsia" w:hAnsi="Times New Roman"/>
              <w:noProof/>
              <w:sz w:val="24"/>
              <w:szCs w:val="24"/>
              <w:lang w:val="ro-RO" w:eastAsia="ro-RO"/>
            </w:rPr>
          </w:pPr>
          <w:hyperlink w:anchor="_Toc175825341" w:history="1">
            <w:r w:rsidR="005F3789" w:rsidRPr="0026022C">
              <w:rPr>
                <w:rStyle w:val="Hyperlink"/>
                <w:rFonts w:ascii="Times New Roman" w:hAnsi="Times New Roman"/>
                <w:b/>
                <w:noProof/>
                <w:sz w:val="24"/>
                <w:szCs w:val="24"/>
              </w:rPr>
              <w:t>II. PERSPECTIVE ECONOMICE</w:t>
            </w:r>
            <w:r w:rsidR="005F3789" w:rsidRPr="0026022C">
              <w:rPr>
                <w:rFonts w:ascii="Times New Roman" w:hAnsi="Times New Roman"/>
                <w:noProof/>
                <w:webHidden/>
                <w:sz w:val="24"/>
                <w:szCs w:val="24"/>
              </w:rPr>
              <w:tab/>
            </w:r>
            <w:r w:rsidR="005F3789" w:rsidRPr="000721DE">
              <w:rPr>
                <w:rFonts w:ascii="Times New Roman" w:hAnsi="Times New Roman"/>
                <w:b/>
                <w:noProof/>
                <w:webHidden/>
                <w:sz w:val="24"/>
                <w:szCs w:val="24"/>
              </w:rPr>
              <w:fldChar w:fldCharType="begin"/>
            </w:r>
            <w:r w:rsidR="005F3789" w:rsidRPr="000721DE">
              <w:rPr>
                <w:rFonts w:ascii="Times New Roman" w:hAnsi="Times New Roman"/>
                <w:b/>
                <w:noProof/>
                <w:webHidden/>
                <w:sz w:val="24"/>
                <w:szCs w:val="24"/>
              </w:rPr>
              <w:instrText xml:space="preserve"> PAGEREF _Toc175825341 \h </w:instrText>
            </w:r>
            <w:r w:rsidR="005F3789" w:rsidRPr="000721DE">
              <w:rPr>
                <w:rFonts w:ascii="Times New Roman" w:hAnsi="Times New Roman"/>
                <w:b/>
                <w:noProof/>
                <w:webHidden/>
                <w:sz w:val="24"/>
                <w:szCs w:val="24"/>
              </w:rPr>
            </w:r>
            <w:r w:rsidR="005F3789" w:rsidRPr="000721DE">
              <w:rPr>
                <w:rFonts w:ascii="Times New Roman" w:hAnsi="Times New Roman"/>
                <w:b/>
                <w:noProof/>
                <w:webHidden/>
                <w:sz w:val="24"/>
                <w:szCs w:val="24"/>
              </w:rPr>
              <w:fldChar w:fldCharType="separate"/>
            </w:r>
            <w:r w:rsidR="007B1324">
              <w:rPr>
                <w:rFonts w:ascii="Times New Roman" w:hAnsi="Times New Roman"/>
                <w:b/>
                <w:noProof/>
                <w:webHidden/>
                <w:sz w:val="24"/>
                <w:szCs w:val="24"/>
              </w:rPr>
              <w:t>6</w:t>
            </w:r>
            <w:r w:rsidR="005F3789" w:rsidRPr="000721DE">
              <w:rPr>
                <w:rFonts w:ascii="Times New Roman" w:hAnsi="Times New Roman"/>
                <w:b/>
                <w:noProof/>
                <w:webHidden/>
                <w:sz w:val="24"/>
                <w:szCs w:val="24"/>
              </w:rPr>
              <w:fldChar w:fldCharType="end"/>
            </w:r>
          </w:hyperlink>
        </w:p>
        <w:p w14:paraId="036DF853" w14:textId="402646A0"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2" w:history="1">
            <w:r w:rsidR="005F3789" w:rsidRPr="0026022C">
              <w:rPr>
                <w:rStyle w:val="Hyperlink"/>
                <w:rFonts w:ascii="Times New Roman" w:hAnsi="Times New Roman"/>
                <w:noProof/>
                <w:sz w:val="24"/>
                <w:szCs w:val="24"/>
              </w:rPr>
              <w:t>A. Perspective economice globale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_Toc175825342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6</w:t>
            </w:r>
            <w:r w:rsidR="005F3789" w:rsidRPr="0026022C">
              <w:rPr>
                <w:rFonts w:ascii="Times New Roman" w:hAnsi="Times New Roman"/>
                <w:noProof/>
                <w:webHidden/>
                <w:sz w:val="24"/>
                <w:szCs w:val="24"/>
              </w:rPr>
              <w:fldChar w:fldCharType="end"/>
            </w:r>
          </w:hyperlink>
        </w:p>
        <w:p w14:paraId="2CDC2AFF" w14:textId="4ADE5889"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3" w:history="1">
            <w:r w:rsidR="005F3789" w:rsidRPr="0026022C">
              <w:rPr>
                <w:rStyle w:val="Hyperlink"/>
                <w:rFonts w:ascii="Times New Roman" w:hAnsi="Times New Roman"/>
                <w:noProof/>
                <w:sz w:val="24"/>
                <w:szCs w:val="24"/>
              </w:rPr>
              <w:t>B. Economia Republicii Moldova – evoluții recente și perspective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_Toc175825343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8</w:t>
            </w:r>
            <w:r w:rsidR="005F3789" w:rsidRPr="0026022C">
              <w:rPr>
                <w:rFonts w:ascii="Times New Roman" w:hAnsi="Times New Roman"/>
                <w:noProof/>
                <w:webHidden/>
                <w:sz w:val="24"/>
                <w:szCs w:val="24"/>
              </w:rPr>
              <w:fldChar w:fldCharType="end"/>
            </w:r>
          </w:hyperlink>
        </w:p>
        <w:p w14:paraId="156A3DE0" w14:textId="051B25FB"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4" w:history="1">
            <w:r w:rsidR="005F3789" w:rsidRPr="0026022C">
              <w:rPr>
                <w:rStyle w:val="Hyperlink"/>
                <w:rFonts w:ascii="Times New Roman" w:hAnsi="Times New Roman"/>
                <w:noProof/>
                <w:sz w:val="24"/>
                <w:szCs w:val="24"/>
              </w:rPr>
              <w:t>C. Riscuri și incertitudini</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_Toc175825344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10</w:t>
            </w:r>
            <w:r w:rsidR="005F3789" w:rsidRPr="0026022C">
              <w:rPr>
                <w:rFonts w:ascii="Times New Roman" w:hAnsi="Times New Roman"/>
                <w:noProof/>
                <w:webHidden/>
                <w:sz w:val="24"/>
                <w:szCs w:val="24"/>
              </w:rPr>
              <w:fldChar w:fldCharType="end"/>
            </w:r>
          </w:hyperlink>
        </w:p>
        <w:p w14:paraId="27D4678F" w14:textId="1D80AFF7" w:rsidR="005F3789" w:rsidRPr="0026022C" w:rsidRDefault="00B15CC9">
          <w:pPr>
            <w:pStyle w:val="Cuprins1"/>
            <w:tabs>
              <w:tab w:val="right" w:leader="dot" w:pos="9323"/>
            </w:tabs>
            <w:rPr>
              <w:rFonts w:ascii="Times New Roman" w:eastAsiaTheme="minorEastAsia" w:hAnsi="Times New Roman"/>
              <w:b/>
              <w:noProof/>
              <w:sz w:val="24"/>
              <w:szCs w:val="24"/>
              <w:lang w:val="ro-RO" w:eastAsia="ro-RO"/>
            </w:rPr>
          </w:pPr>
          <w:hyperlink w:anchor="_Toc175825345" w:history="1">
            <w:r w:rsidR="005F3789" w:rsidRPr="0026022C">
              <w:rPr>
                <w:rStyle w:val="Hyperlink"/>
                <w:rFonts w:ascii="Times New Roman" w:hAnsi="Times New Roman"/>
                <w:b/>
                <w:noProof/>
                <w:sz w:val="24"/>
                <w:szCs w:val="24"/>
              </w:rPr>
              <w:t>III. POLITICA BUGETAR-FISCALĂ ȘI VAMALĂ  ȘI PROGNOZELE CBTM (2025-2027)</w:t>
            </w:r>
            <w:r w:rsidR="005F3789" w:rsidRPr="0026022C">
              <w:rPr>
                <w:rFonts w:ascii="Times New Roman" w:hAnsi="Times New Roman"/>
                <w:b/>
                <w:noProof/>
                <w:webHidden/>
                <w:sz w:val="24"/>
                <w:szCs w:val="24"/>
              </w:rPr>
              <w:tab/>
            </w:r>
            <w:r w:rsidR="005F3789" w:rsidRPr="0026022C">
              <w:rPr>
                <w:rFonts w:ascii="Times New Roman" w:hAnsi="Times New Roman"/>
                <w:b/>
                <w:noProof/>
                <w:webHidden/>
                <w:sz w:val="24"/>
                <w:szCs w:val="24"/>
              </w:rPr>
              <w:fldChar w:fldCharType="begin"/>
            </w:r>
            <w:r w:rsidR="005F3789" w:rsidRPr="0026022C">
              <w:rPr>
                <w:rFonts w:ascii="Times New Roman" w:hAnsi="Times New Roman"/>
                <w:b/>
                <w:noProof/>
                <w:webHidden/>
                <w:sz w:val="24"/>
                <w:szCs w:val="24"/>
              </w:rPr>
              <w:instrText xml:space="preserve"> PAGEREF _Toc175825345 \h </w:instrText>
            </w:r>
            <w:r w:rsidR="005F3789" w:rsidRPr="0026022C">
              <w:rPr>
                <w:rFonts w:ascii="Times New Roman" w:hAnsi="Times New Roman"/>
                <w:b/>
                <w:noProof/>
                <w:webHidden/>
                <w:sz w:val="24"/>
                <w:szCs w:val="24"/>
              </w:rPr>
            </w:r>
            <w:r w:rsidR="005F3789" w:rsidRPr="0026022C">
              <w:rPr>
                <w:rFonts w:ascii="Times New Roman" w:hAnsi="Times New Roman"/>
                <w:b/>
                <w:noProof/>
                <w:webHidden/>
                <w:sz w:val="24"/>
                <w:szCs w:val="24"/>
              </w:rPr>
              <w:fldChar w:fldCharType="separate"/>
            </w:r>
            <w:r w:rsidR="007B1324">
              <w:rPr>
                <w:rFonts w:ascii="Times New Roman" w:hAnsi="Times New Roman"/>
                <w:b/>
                <w:noProof/>
                <w:webHidden/>
                <w:sz w:val="24"/>
                <w:szCs w:val="24"/>
              </w:rPr>
              <w:t>12</w:t>
            </w:r>
            <w:r w:rsidR="005F3789" w:rsidRPr="0026022C">
              <w:rPr>
                <w:rFonts w:ascii="Times New Roman" w:hAnsi="Times New Roman"/>
                <w:b/>
                <w:noProof/>
                <w:webHidden/>
                <w:sz w:val="24"/>
                <w:szCs w:val="24"/>
              </w:rPr>
              <w:fldChar w:fldCharType="end"/>
            </w:r>
          </w:hyperlink>
        </w:p>
        <w:p w14:paraId="1A95A0BC" w14:textId="1945A808"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6" w:history="1">
            <w:r w:rsidR="005F3789" w:rsidRPr="0026022C">
              <w:rPr>
                <w:rStyle w:val="Hyperlink"/>
                <w:rFonts w:ascii="Times New Roman" w:hAnsi="Times New Roman"/>
                <w:noProof/>
                <w:sz w:val="24"/>
                <w:szCs w:val="24"/>
              </w:rPr>
              <w:t>A. Prezentare generală a politicilor</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_Toc175825346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12</w:t>
            </w:r>
            <w:r w:rsidR="005F3789" w:rsidRPr="0026022C">
              <w:rPr>
                <w:rFonts w:ascii="Times New Roman" w:hAnsi="Times New Roman"/>
                <w:noProof/>
                <w:webHidden/>
                <w:sz w:val="24"/>
                <w:szCs w:val="24"/>
              </w:rPr>
              <w:fldChar w:fldCharType="end"/>
            </w:r>
          </w:hyperlink>
        </w:p>
        <w:p w14:paraId="79440038" w14:textId="1F4C5183"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47" w:history="1">
            <w:r w:rsidR="005F3789" w:rsidRPr="0026022C">
              <w:rPr>
                <w:rStyle w:val="Hyperlink"/>
                <w:rFonts w:ascii="Times New Roman" w:hAnsi="Times New Roman"/>
                <w:noProof/>
                <w:sz w:val="24"/>
                <w:szCs w:val="24"/>
              </w:rPr>
              <w:t>B. Venituri</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_Toc175825347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18</w:t>
            </w:r>
            <w:r w:rsidR="005F3789" w:rsidRPr="0026022C">
              <w:rPr>
                <w:rFonts w:ascii="Times New Roman" w:hAnsi="Times New Roman"/>
                <w:noProof/>
                <w:webHidden/>
                <w:sz w:val="24"/>
                <w:szCs w:val="24"/>
              </w:rPr>
              <w:fldChar w:fldCharType="end"/>
            </w:r>
          </w:hyperlink>
        </w:p>
        <w:p w14:paraId="621EB8BF" w14:textId="1FB6EEB9" w:rsidR="005F3789" w:rsidRPr="0026022C" w:rsidRDefault="005F3789">
          <w:pPr>
            <w:pStyle w:val="Cuprins2"/>
            <w:tabs>
              <w:tab w:val="right" w:leader="dot" w:pos="9323"/>
            </w:tabs>
            <w:rPr>
              <w:rFonts w:ascii="Times New Roman" w:eastAsiaTheme="minorEastAsia" w:hAnsi="Times New Roman"/>
              <w:noProof/>
              <w:sz w:val="24"/>
              <w:szCs w:val="24"/>
              <w:lang w:val="ro-RO" w:eastAsia="ro-RO"/>
            </w:rPr>
          </w:pPr>
          <w:hyperlink w:anchor="_Toc175825352" w:history="1">
            <w:r w:rsidRPr="0026022C">
              <w:rPr>
                <w:rStyle w:val="Hyperlink"/>
                <w:rFonts w:ascii="Times New Roman" w:hAnsi="Times New Roman"/>
                <w:noProof/>
                <w:sz w:val="24"/>
                <w:szCs w:val="24"/>
              </w:rPr>
              <w:t>C. Cheltuieli</w:t>
            </w:r>
            <w:r w:rsidRPr="0026022C">
              <w:rPr>
                <w:rFonts w:ascii="Times New Roman" w:hAnsi="Times New Roman"/>
                <w:noProof/>
                <w:webHidden/>
                <w:sz w:val="24"/>
                <w:szCs w:val="24"/>
              </w:rPr>
              <w:tab/>
            </w:r>
            <w:r w:rsidRPr="0026022C">
              <w:rPr>
                <w:rFonts w:ascii="Times New Roman" w:hAnsi="Times New Roman"/>
                <w:noProof/>
                <w:webHidden/>
                <w:sz w:val="24"/>
                <w:szCs w:val="24"/>
              </w:rPr>
              <w:fldChar w:fldCharType="begin"/>
            </w:r>
            <w:r w:rsidRPr="0026022C">
              <w:rPr>
                <w:rFonts w:ascii="Times New Roman" w:hAnsi="Times New Roman"/>
                <w:noProof/>
                <w:webHidden/>
                <w:sz w:val="24"/>
                <w:szCs w:val="24"/>
              </w:rPr>
              <w:instrText xml:space="preserve"> PAGEREF _Toc175825352 \h </w:instrText>
            </w:r>
            <w:r w:rsidRPr="0026022C">
              <w:rPr>
                <w:rFonts w:ascii="Times New Roman" w:hAnsi="Times New Roman"/>
                <w:noProof/>
                <w:webHidden/>
                <w:sz w:val="24"/>
                <w:szCs w:val="24"/>
              </w:rPr>
            </w:r>
            <w:r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2</w:t>
            </w:r>
            <w:r w:rsidR="007B1324">
              <w:rPr>
                <w:rFonts w:ascii="Times New Roman" w:hAnsi="Times New Roman"/>
                <w:noProof/>
                <w:webHidden/>
                <w:sz w:val="24"/>
                <w:szCs w:val="24"/>
              </w:rPr>
              <w:t>0</w:t>
            </w:r>
            <w:r w:rsidRPr="0026022C">
              <w:rPr>
                <w:rFonts w:ascii="Times New Roman" w:hAnsi="Times New Roman"/>
                <w:noProof/>
                <w:webHidden/>
                <w:sz w:val="24"/>
                <w:szCs w:val="24"/>
              </w:rPr>
              <w:fldChar w:fldCharType="end"/>
            </w:r>
          </w:hyperlink>
        </w:p>
        <w:p w14:paraId="4FA271E0" w14:textId="03F7EE6A"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53" w:history="1">
            <w:r w:rsidR="005F3789" w:rsidRPr="0026022C">
              <w:rPr>
                <w:rStyle w:val="Hyperlink"/>
                <w:rFonts w:ascii="Times New Roman" w:hAnsi="Times New Roman"/>
                <w:noProof/>
                <w:sz w:val="24"/>
                <w:szCs w:val="24"/>
              </w:rPr>
              <w:t>D. Finanțarea și datoria de stat</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_Toc175825353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30</w:t>
            </w:r>
            <w:r w:rsidR="005F3789" w:rsidRPr="0026022C">
              <w:rPr>
                <w:rFonts w:ascii="Times New Roman" w:hAnsi="Times New Roman"/>
                <w:noProof/>
                <w:webHidden/>
                <w:sz w:val="24"/>
                <w:szCs w:val="24"/>
              </w:rPr>
              <w:fldChar w:fldCharType="end"/>
            </w:r>
          </w:hyperlink>
        </w:p>
        <w:p w14:paraId="25F77F69" w14:textId="6F9C36FD" w:rsidR="005F3789" w:rsidRPr="0026022C" w:rsidRDefault="00B15CC9">
          <w:pPr>
            <w:pStyle w:val="Cuprins1"/>
            <w:tabs>
              <w:tab w:val="right" w:leader="dot" w:pos="9323"/>
            </w:tabs>
            <w:rPr>
              <w:rFonts w:ascii="Times New Roman" w:eastAsiaTheme="minorEastAsia" w:hAnsi="Times New Roman"/>
              <w:noProof/>
              <w:sz w:val="24"/>
              <w:szCs w:val="24"/>
              <w:lang w:val="ro-RO" w:eastAsia="ro-RO"/>
            </w:rPr>
          </w:pPr>
          <w:hyperlink w:anchor="_Toc175825354" w:history="1">
            <w:r w:rsidR="005F3789" w:rsidRPr="0026022C">
              <w:rPr>
                <w:rStyle w:val="Hyperlink"/>
                <w:rFonts w:ascii="Times New Roman" w:hAnsi="Times New Roman"/>
                <w:b/>
                <w:noProof/>
                <w:sz w:val="24"/>
                <w:szCs w:val="24"/>
              </w:rPr>
              <w:t>IV. CADRUL DE CHELTUIELI PENTRU 2025-2027</w:t>
            </w:r>
            <w:r w:rsidR="005F3789" w:rsidRPr="0026022C">
              <w:rPr>
                <w:rFonts w:ascii="Times New Roman" w:hAnsi="Times New Roman"/>
                <w:noProof/>
                <w:webHidden/>
                <w:sz w:val="24"/>
                <w:szCs w:val="24"/>
              </w:rPr>
              <w:tab/>
            </w:r>
            <w:r w:rsidR="005F3789" w:rsidRPr="0026022C">
              <w:rPr>
                <w:rFonts w:ascii="Times New Roman" w:hAnsi="Times New Roman"/>
                <w:b/>
                <w:noProof/>
                <w:webHidden/>
                <w:sz w:val="24"/>
                <w:szCs w:val="24"/>
              </w:rPr>
              <w:fldChar w:fldCharType="begin"/>
            </w:r>
            <w:r w:rsidR="005F3789" w:rsidRPr="0026022C">
              <w:rPr>
                <w:rFonts w:ascii="Times New Roman" w:hAnsi="Times New Roman"/>
                <w:b/>
                <w:noProof/>
                <w:webHidden/>
                <w:sz w:val="24"/>
                <w:szCs w:val="24"/>
              </w:rPr>
              <w:instrText xml:space="preserve"> PAGEREF _Toc175825354 \h </w:instrText>
            </w:r>
            <w:r w:rsidR="005F3789" w:rsidRPr="0026022C">
              <w:rPr>
                <w:rFonts w:ascii="Times New Roman" w:hAnsi="Times New Roman"/>
                <w:b/>
                <w:noProof/>
                <w:webHidden/>
                <w:sz w:val="24"/>
                <w:szCs w:val="24"/>
              </w:rPr>
            </w:r>
            <w:r w:rsidR="005F3789" w:rsidRPr="0026022C">
              <w:rPr>
                <w:rFonts w:ascii="Times New Roman" w:hAnsi="Times New Roman"/>
                <w:b/>
                <w:noProof/>
                <w:webHidden/>
                <w:sz w:val="24"/>
                <w:szCs w:val="24"/>
              </w:rPr>
              <w:fldChar w:fldCharType="separate"/>
            </w:r>
            <w:r w:rsidR="007B1324">
              <w:rPr>
                <w:rFonts w:ascii="Times New Roman" w:hAnsi="Times New Roman"/>
                <w:b/>
                <w:noProof/>
                <w:webHidden/>
                <w:sz w:val="24"/>
                <w:szCs w:val="24"/>
              </w:rPr>
              <w:t>34</w:t>
            </w:r>
            <w:r w:rsidR="005F3789" w:rsidRPr="0026022C">
              <w:rPr>
                <w:rFonts w:ascii="Times New Roman" w:hAnsi="Times New Roman"/>
                <w:b/>
                <w:noProof/>
                <w:webHidden/>
                <w:sz w:val="24"/>
                <w:szCs w:val="24"/>
              </w:rPr>
              <w:fldChar w:fldCharType="end"/>
            </w:r>
          </w:hyperlink>
        </w:p>
        <w:p w14:paraId="22DF9B3D" w14:textId="4927256C"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55" w:history="1">
            <w:r w:rsidR="005F3789" w:rsidRPr="0026022C">
              <w:rPr>
                <w:rStyle w:val="Hyperlink"/>
                <w:rFonts w:ascii="Times New Roman" w:hAnsi="Times New Roman"/>
                <w:noProof/>
                <w:sz w:val="24"/>
                <w:szCs w:val="24"/>
              </w:rPr>
              <w:t>A. Linia de bază și spațiul fiscal</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_Toc175825355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34</w:t>
            </w:r>
            <w:r w:rsidR="005F3789" w:rsidRPr="0026022C">
              <w:rPr>
                <w:rFonts w:ascii="Times New Roman" w:hAnsi="Times New Roman"/>
                <w:noProof/>
                <w:webHidden/>
                <w:sz w:val="24"/>
                <w:szCs w:val="24"/>
              </w:rPr>
              <w:fldChar w:fldCharType="end"/>
            </w:r>
          </w:hyperlink>
        </w:p>
        <w:p w14:paraId="7753408F" w14:textId="3563980C"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56" w:history="1">
            <w:r w:rsidR="005F3789" w:rsidRPr="0026022C">
              <w:rPr>
                <w:rStyle w:val="Hyperlink"/>
                <w:rFonts w:ascii="Times New Roman" w:hAnsi="Times New Roman"/>
                <w:noProof/>
                <w:sz w:val="24"/>
                <w:szCs w:val="24"/>
              </w:rPr>
              <w:t>B. Modificările față de CBTM 2024-2026</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_Toc175825356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34</w:t>
            </w:r>
            <w:r w:rsidR="005F3789" w:rsidRPr="0026022C">
              <w:rPr>
                <w:rFonts w:ascii="Times New Roman" w:hAnsi="Times New Roman"/>
                <w:noProof/>
                <w:webHidden/>
                <w:sz w:val="24"/>
                <w:szCs w:val="24"/>
              </w:rPr>
              <w:fldChar w:fldCharType="end"/>
            </w:r>
          </w:hyperlink>
        </w:p>
        <w:p w14:paraId="776C5805" w14:textId="77C84CF0"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58" w:history="1">
            <w:r w:rsidR="005F3789" w:rsidRPr="0026022C">
              <w:rPr>
                <w:rStyle w:val="Hyperlink"/>
                <w:rFonts w:ascii="Times New Roman" w:hAnsi="Times New Roman"/>
                <w:noProof/>
                <w:sz w:val="24"/>
                <w:szCs w:val="24"/>
                <w:lang w:val="ro-RO"/>
              </w:rPr>
              <w:t>C. Implicații și priorități ale cadrului de cheltuieli sectoriale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_Toc175825358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35</w:t>
            </w:r>
            <w:r w:rsidR="005F3789" w:rsidRPr="0026022C">
              <w:rPr>
                <w:rFonts w:ascii="Times New Roman" w:hAnsi="Times New Roman"/>
                <w:noProof/>
                <w:webHidden/>
                <w:sz w:val="24"/>
                <w:szCs w:val="24"/>
              </w:rPr>
              <w:fldChar w:fldCharType="end"/>
            </w:r>
          </w:hyperlink>
        </w:p>
        <w:p w14:paraId="1279BAF2" w14:textId="5CFB6299"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59" w:history="1">
            <w:r w:rsidR="005F3789" w:rsidRPr="0026022C">
              <w:rPr>
                <w:rStyle w:val="Hyperlink"/>
                <w:rFonts w:ascii="Times New Roman" w:hAnsi="Times New Roman"/>
                <w:noProof/>
                <w:sz w:val="24"/>
                <w:szCs w:val="24"/>
              </w:rPr>
              <w:t>D. Proiecte finanțate din surse externe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_Toc175825359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36</w:t>
            </w:r>
            <w:r w:rsidR="005F3789" w:rsidRPr="0026022C">
              <w:rPr>
                <w:rFonts w:ascii="Times New Roman" w:hAnsi="Times New Roman"/>
                <w:noProof/>
                <w:webHidden/>
                <w:sz w:val="24"/>
                <w:szCs w:val="24"/>
              </w:rPr>
              <w:fldChar w:fldCharType="end"/>
            </w:r>
          </w:hyperlink>
        </w:p>
        <w:p w14:paraId="63058498" w14:textId="7D465F11" w:rsidR="005F3789" w:rsidRPr="0026022C" w:rsidRDefault="00B15CC9">
          <w:pPr>
            <w:pStyle w:val="Cuprins2"/>
            <w:tabs>
              <w:tab w:val="right" w:leader="dot" w:pos="9323"/>
            </w:tabs>
            <w:rPr>
              <w:rFonts w:ascii="Times New Roman" w:eastAsiaTheme="minorEastAsia" w:hAnsi="Times New Roman"/>
              <w:noProof/>
              <w:sz w:val="24"/>
              <w:szCs w:val="24"/>
              <w:lang w:val="ro-RO" w:eastAsia="ro-RO"/>
            </w:rPr>
          </w:pPr>
          <w:hyperlink w:anchor="_Toc175825360" w:history="1">
            <w:r w:rsidR="005F3789" w:rsidRPr="0026022C">
              <w:rPr>
                <w:rStyle w:val="Hyperlink"/>
                <w:rFonts w:ascii="Times New Roman" w:hAnsi="Times New Roman"/>
                <w:noProof/>
                <w:sz w:val="24"/>
                <w:szCs w:val="24"/>
              </w:rPr>
              <w:t>E. Proiecte de investiții capitale publice</w:t>
            </w:r>
            <w:r w:rsidR="005F3789" w:rsidRPr="0026022C">
              <w:rPr>
                <w:rFonts w:ascii="Times New Roman" w:hAnsi="Times New Roman"/>
                <w:noProof/>
                <w:webHidden/>
                <w:sz w:val="24"/>
                <w:szCs w:val="24"/>
              </w:rPr>
              <w:tab/>
            </w:r>
            <w:r w:rsidR="005F3789" w:rsidRPr="0026022C">
              <w:rPr>
                <w:rFonts w:ascii="Times New Roman" w:hAnsi="Times New Roman"/>
                <w:noProof/>
                <w:webHidden/>
                <w:sz w:val="24"/>
                <w:szCs w:val="24"/>
              </w:rPr>
              <w:fldChar w:fldCharType="begin"/>
            </w:r>
            <w:r w:rsidR="005F3789" w:rsidRPr="0026022C">
              <w:rPr>
                <w:rFonts w:ascii="Times New Roman" w:hAnsi="Times New Roman"/>
                <w:noProof/>
                <w:webHidden/>
                <w:sz w:val="24"/>
                <w:szCs w:val="24"/>
              </w:rPr>
              <w:instrText xml:space="preserve"> PAGEREF _Toc175825360 \h </w:instrText>
            </w:r>
            <w:r w:rsidR="005F3789" w:rsidRPr="0026022C">
              <w:rPr>
                <w:rFonts w:ascii="Times New Roman" w:hAnsi="Times New Roman"/>
                <w:noProof/>
                <w:webHidden/>
                <w:sz w:val="24"/>
                <w:szCs w:val="24"/>
              </w:rPr>
            </w:r>
            <w:r w:rsidR="005F3789" w:rsidRPr="0026022C">
              <w:rPr>
                <w:rFonts w:ascii="Times New Roman" w:hAnsi="Times New Roman"/>
                <w:noProof/>
                <w:webHidden/>
                <w:sz w:val="24"/>
                <w:szCs w:val="24"/>
              </w:rPr>
              <w:fldChar w:fldCharType="separate"/>
            </w:r>
            <w:r w:rsidR="007B1324">
              <w:rPr>
                <w:rFonts w:ascii="Times New Roman" w:hAnsi="Times New Roman"/>
                <w:noProof/>
                <w:webHidden/>
                <w:sz w:val="24"/>
                <w:szCs w:val="24"/>
              </w:rPr>
              <w:t>37</w:t>
            </w:r>
            <w:r w:rsidR="005F3789" w:rsidRPr="0026022C">
              <w:rPr>
                <w:rFonts w:ascii="Times New Roman" w:hAnsi="Times New Roman"/>
                <w:noProof/>
                <w:webHidden/>
                <w:sz w:val="24"/>
                <w:szCs w:val="24"/>
              </w:rPr>
              <w:fldChar w:fldCharType="end"/>
            </w:r>
          </w:hyperlink>
        </w:p>
        <w:p w14:paraId="65BC9B46" w14:textId="6FAAB0E2" w:rsidR="005F3789" w:rsidRPr="003B501D" w:rsidRDefault="00B15CC9">
          <w:pPr>
            <w:pStyle w:val="Cuprins1"/>
            <w:tabs>
              <w:tab w:val="right" w:leader="dot" w:pos="9323"/>
            </w:tabs>
            <w:rPr>
              <w:rFonts w:ascii="Times New Roman" w:eastAsiaTheme="minorEastAsia" w:hAnsi="Times New Roman"/>
              <w:b/>
              <w:noProof/>
              <w:sz w:val="24"/>
              <w:szCs w:val="24"/>
              <w:lang w:val="ro-RO" w:eastAsia="ro-RO"/>
            </w:rPr>
          </w:pPr>
          <w:hyperlink w:anchor="_Toc175825361" w:history="1">
            <w:r w:rsidR="005F3789" w:rsidRPr="003B501D">
              <w:rPr>
                <w:rStyle w:val="Hyperlink"/>
                <w:rFonts w:ascii="Times New Roman" w:hAnsi="Times New Roman"/>
                <w:b/>
                <w:noProof/>
                <w:sz w:val="24"/>
                <w:szCs w:val="24"/>
              </w:rPr>
              <w:t>ACRONIME</w:t>
            </w:r>
            <w:r w:rsidR="005F3789" w:rsidRPr="003B501D">
              <w:rPr>
                <w:rFonts w:ascii="Times New Roman" w:hAnsi="Times New Roman"/>
                <w:b/>
                <w:noProof/>
                <w:webHidden/>
                <w:sz w:val="24"/>
                <w:szCs w:val="24"/>
              </w:rPr>
              <w:tab/>
            </w:r>
            <w:r w:rsidR="005F3789" w:rsidRPr="003B501D">
              <w:rPr>
                <w:rFonts w:ascii="Times New Roman" w:hAnsi="Times New Roman"/>
                <w:b/>
                <w:noProof/>
                <w:webHidden/>
                <w:sz w:val="24"/>
                <w:szCs w:val="24"/>
              </w:rPr>
              <w:fldChar w:fldCharType="begin"/>
            </w:r>
            <w:r w:rsidR="005F3789" w:rsidRPr="003B501D">
              <w:rPr>
                <w:rFonts w:ascii="Times New Roman" w:hAnsi="Times New Roman"/>
                <w:b/>
                <w:noProof/>
                <w:webHidden/>
                <w:sz w:val="24"/>
                <w:szCs w:val="24"/>
              </w:rPr>
              <w:instrText xml:space="preserve"> PAGEREF _Toc175825361 \h </w:instrText>
            </w:r>
            <w:r w:rsidR="005F3789" w:rsidRPr="003B501D">
              <w:rPr>
                <w:rFonts w:ascii="Times New Roman" w:hAnsi="Times New Roman"/>
                <w:b/>
                <w:noProof/>
                <w:webHidden/>
                <w:sz w:val="24"/>
                <w:szCs w:val="24"/>
              </w:rPr>
            </w:r>
            <w:r w:rsidR="005F3789" w:rsidRPr="003B501D">
              <w:rPr>
                <w:rFonts w:ascii="Times New Roman" w:hAnsi="Times New Roman"/>
                <w:b/>
                <w:noProof/>
                <w:webHidden/>
                <w:sz w:val="24"/>
                <w:szCs w:val="24"/>
              </w:rPr>
              <w:fldChar w:fldCharType="separate"/>
            </w:r>
            <w:r w:rsidR="007B1324">
              <w:rPr>
                <w:rFonts w:ascii="Times New Roman" w:hAnsi="Times New Roman"/>
                <w:b/>
                <w:noProof/>
                <w:webHidden/>
                <w:sz w:val="24"/>
                <w:szCs w:val="24"/>
              </w:rPr>
              <w:t>40</w:t>
            </w:r>
            <w:r w:rsidR="005F3789" w:rsidRPr="003B501D">
              <w:rPr>
                <w:rFonts w:ascii="Times New Roman" w:hAnsi="Times New Roman"/>
                <w:b/>
                <w:noProof/>
                <w:webHidden/>
                <w:sz w:val="24"/>
                <w:szCs w:val="24"/>
              </w:rPr>
              <w:fldChar w:fldCharType="end"/>
            </w:r>
          </w:hyperlink>
        </w:p>
        <w:p w14:paraId="6252D2A7" w14:textId="16A42E0D" w:rsidR="00381A14" w:rsidRDefault="00381A14">
          <w:r w:rsidRPr="0026022C">
            <w:rPr>
              <w:rFonts w:ascii="Times New Roman" w:hAnsi="Times New Roman" w:cs="Times New Roman"/>
              <w:b/>
              <w:bCs/>
              <w:sz w:val="24"/>
              <w:szCs w:val="24"/>
            </w:rPr>
            <w:fldChar w:fldCharType="end"/>
          </w:r>
        </w:p>
      </w:sdtContent>
    </w:sdt>
    <w:p w14:paraId="590157D7" w14:textId="7AF9271B" w:rsidR="0096629C" w:rsidRPr="003278ED" w:rsidRDefault="00DD5C2E" w:rsidP="009562A5">
      <w:pPr>
        <w:pStyle w:val="ListParagraphnumbered"/>
        <w:pageBreakBefore/>
        <w:numPr>
          <w:ilvl w:val="0"/>
          <w:numId w:val="0"/>
        </w:numPr>
        <w:ind w:left="1225"/>
        <w:jc w:val="right"/>
        <w:rPr>
          <w:rFonts w:ascii="Times New Roman" w:hAnsi="Times New Roman"/>
          <w:sz w:val="24"/>
          <w:szCs w:val="24"/>
          <w:lang w:val="ro-RO"/>
        </w:rPr>
      </w:pPr>
      <w:r w:rsidRPr="003278ED">
        <w:rPr>
          <w:rFonts w:ascii="Times New Roman" w:hAnsi="Times New Roman"/>
          <w:sz w:val="24"/>
          <w:szCs w:val="24"/>
          <w:lang w:val="ro-RO"/>
        </w:rPr>
        <w:lastRenderedPageBreak/>
        <w:t xml:space="preserve">                  </w:t>
      </w:r>
      <w:r w:rsidR="0096629C" w:rsidRPr="003278ED">
        <w:rPr>
          <w:rFonts w:ascii="Times New Roman" w:hAnsi="Times New Roman"/>
          <w:sz w:val="24"/>
          <w:szCs w:val="24"/>
          <w:lang w:val="ro-RO"/>
        </w:rPr>
        <w:t>Aprobat</w:t>
      </w:r>
    </w:p>
    <w:p w14:paraId="749AC35B" w14:textId="4AEED03C" w:rsidR="0096629C" w:rsidRPr="003278ED" w:rsidRDefault="00075FF7" w:rsidP="0057504F">
      <w:pPr>
        <w:spacing w:after="0" w:line="240" w:lineRule="auto"/>
        <w:ind w:left="5040"/>
        <w:jc w:val="right"/>
        <w:rPr>
          <w:rFonts w:ascii="Times New Roman" w:hAnsi="Times New Roman" w:cs="Times New Roman"/>
          <w:sz w:val="24"/>
          <w:szCs w:val="28"/>
        </w:rPr>
      </w:pPr>
      <w:r w:rsidRPr="003278ED">
        <w:rPr>
          <w:rFonts w:ascii="Times New Roman" w:hAnsi="Times New Roman" w:cs="Times New Roman"/>
          <w:sz w:val="24"/>
          <w:szCs w:val="28"/>
        </w:rPr>
        <w:t>prin Hotărârea Guvernului nr.</w:t>
      </w:r>
      <w:r w:rsidR="00A97908">
        <w:rPr>
          <w:rFonts w:ascii="Times New Roman" w:hAnsi="Times New Roman" w:cs="Times New Roman"/>
          <w:sz w:val="24"/>
          <w:szCs w:val="28"/>
        </w:rPr>
        <w:t>561</w:t>
      </w:r>
      <w:r w:rsidR="00DD5C2E" w:rsidRPr="003278ED">
        <w:rPr>
          <w:rFonts w:ascii="Times New Roman" w:hAnsi="Times New Roman" w:cs="Times New Roman"/>
          <w:sz w:val="24"/>
          <w:szCs w:val="28"/>
        </w:rPr>
        <w:t>/2024</w:t>
      </w:r>
    </w:p>
    <w:p w14:paraId="4D5CF922" w14:textId="77777777" w:rsidR="00075FF7" w:rsidRPr="003278ED" w:rsidRDefault="00075FF7" w:rsidP="007D3A2B">
      <w:pPr>
        <w:spacing w:after="0" w:line="240" w:lineRule="auto"/>
        <w:rPr>
          <w:sz w:val="28"/>
          <w:szCs w:val="28"/>
        </w:rPr>
      </w:pPr>
    </w:p>
    <w:p w14:paraId="704580DA" w14:textId="77777777" w:rsidR="0096629C" w:rsidRPr="003278ED" w:rsidRDefault="0096629C" w:rsidP="007D3A2B">
      <w:pPr>
        <w:spacing w:after="0" w:line="240" w:lineRule="auto"/>
        <w:jc w:val="center"/>
        <w:rPr>
          <w:rFonts w:ascii="Times New Roman" w:hAnsi="Times New Roman" w:cs="Times New Roman"/>
          <w:b/>
          <w:sz w:val="24"/>
          <w:szCs w:val="28"/>
        </w:rPr>
      </w:pPr>
      <w:r w:rsidRPr="003278ED">
        <w:rPr>
          <w:rFonts w:ascii="Times New Roman" w:hAnsi="Times New Roman" w:cs="Times New Roman"/>
          <w:b/>
          <w:sz w:val="24"/>
          <w:szCs w:val="28"/>
        </w:rPr>
        <w:t xml:space="preserve">CADRUL BUGETAR PE TERMEN MEDIU </w:t>
      </w:r>
    </w:p>
    <w:p w14:paraId="356D22B5" w14:textId="77777777" w:rsidR="0096629C" w:rsidRPr="003278ED" w:rsidRDefault="0096629C" w:rsidP="007D3A2B">
      <w:pPr>
        <w:spacing w:after="0" w:line="240" w:lineRule="auto"/>
        <w:jc w:val="center"/>
        <w:rPr>
          <w:rFonts w:ascii="Times New Roman" w:hAnsi="Times New Roman" w:cs="Times New Roman"/>
          <w:b/>
          <w:sz w:val="24"/>
          <w:szCs w:val="28"/>
        </w:rPr>
      </w:pPr>
      <w:r w:rsidRPr="003278ED">
        <w:rPr>
          <w:rFonts w:ascii="Times New Roman" w:hAnsi="Times New Roman" w:cs="Times New Roman"/>
          <w:b/>
          <w:sz w:val="24"/>
          <w:szCs w:val="28"/>
        </w:rPr>
        <w:t>2025-2027</w:t>
      </w:r>
    </w:p>
    <w:p w14:paraId="36D948CE" w14:textId="77777777" w:rsidR="0096629C" w:rsidRPr="003278ED" w:rsidRDefault="0096629C" w:rsidP="007D3A2B">
      <w:pPr>
        <w:spacing w:after="0" w:line="240" w:lineRule="auto"/>
        <w:ind w:firstLine="567"/>
        <w:jc w:val="both"/>
        <w:rPr>
          <w:sz w:val="24"/>
          <w:szCs w:val="28"/>
        </w:rPr>
      </w:pPr>
    </w:p>
    <w:p w14:paraId="48CAD283" w14:textId="77777777" w:rsidR="0096629C" w:rsidRPr="0057504F" w:rsidRDefault="0096629C" w:rsidP="00381A14">
      <w:pPr>
        <w:pStyle w:val="Title1"/>
        <w:jc w:val="center"/>
        <w:outlineLvl w:val="0"/>
        <w:rPr>
          <w:rFonts w:ascii="Times New Roman" w:hAnsi="Times New Roman"/>
          <w:color w:val="auto"/>
          <w:sz w:val="24"/>
        </w:rPr>
      </w:pPr>
      <w:bookmarkStart w:id="0" w:name="_Toc175825337"/>
      <w:r w:rsidRPr="0057504F">
        <w:rPr>
          <w:rFonts w:ascii="Times New Roman" w:hAnsi="Times New Roman"/>
          <w:color w:val="auto"/>
          <w:sz w:val="24"/>
        </w:rPr>
        <w:t>I. PREZENTARE GENERALĂ</w:t>
      </w:r>
      <w:bookmarkEnd w:id="0"/>
    </w:p>
    <w:p w14:paraId="5D15805E" w14:textId="77777777" w:rsidR="004F2D2E" w:rsidRPr="0057504F" w:rsidRDefault="00B47C4F" w:rsidP="00381A14">
      <w:pPr>
        <w:pStyle w:val="Title2"/>
        <w:jc w:val="center"/>
        <w:outlineLvl w:val="1"/>
        <w:rPr>
          <w:rFonts w:ascii="Times New Roman" w:hAnsi="Times New Roman"/>
          <w:i w:val="0"/>
          <w:color w:val="auto"/>
          <w:sz w:val="24"/>
        </w:rPr>
      </w:pPr>
      <w:bookmarkStart w:id="1" w:name="_Toc175825338"/>
      <w:r w:rsidRPr="0057504F">
        <w:rPr>
          <w:rFonts w:ascii="Times New Roman" w:hAnsi="Times New Roman"/>
          <w:i w:val="0"/>
          <w:color w:val="auto"/>
          <w:sz w:val="24"/>
        </w:rPr>
        <w:t xml:space="preserve">A. </w:t>
      </w:r>
      <w:r w:rsidR="0096629C" w:rsidRPr="0057504F">
        <w:rPr>
          <w:rFonts w:ascii="Times New Roman" w:hAnsi="Times New Roman"/>
          <w:i w:val="0"/>
          <w:color w:val="auto"/>
          <w:sz w:val="24"/>
        </w:rPr>
        <w:t>Introducere</w:t>
      </w:r>
      <w:bookmarkEnd w:id="1"/>
    </w:p>
    <w:p w14:paraId="79C20497" w14:textId="77777777" w:rsidR="00C9252F" w:rsidRPr="003278ED" w:rsidRDefault="00C9252F" w:rsidP="007D3A2B">
      <w:pPr>
        <w:spacing w:after="0" w:line="240" w:lineRule="auto"/>
        <w:ind w:firstLine="567"/>
        <w:jc w:val="both"/>
        <w:rPr>
          <w:rFonts w:ascii="Times New Roman" w:hAnsi="Times New Roman" w:cs="Times New Roman"/>
          <w:sz w:val="24"/>
          <w:szCs w:val="28"/>
        </w:rPr>
      </w:pPr>
    </w:p>
    <w:p w14:paraId="2A5357BF" w14:textId="28CDDA03" w:rsidR="00C9252F" w:rsidRPr="003278ED" w:rsidRDefault="007D3A2B"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C</w:t>
      </w:r>
      <w:r w:rsidR="00C9252F" w:rsidRPr="003278ED">
        <w:rPr>
          <w:rFonts w:ascii="Times New Roman" w:hAnsi="Times New Roman" w:cs="Times New Roman"/>
          <w:sz w:val="24"/>
          <w:szCs w:val="28"/>
        </w:rPr>
        <w:t xml:space="preserve">adrul de cheltuieli pe termen mediu a fost </w:t>
      </w:r>
      <w:r w:rsidRPr="003278ED">
        <w:rPr>
          <w:rFonts w:ascii="Times New Roman" w:hAnsi="Times New Roman" w:cs="Times New Roman"/>
          <w:sz w:val="24"/>
          <w:szCs w:val="28"/>
        </w:rPr>
        <w:t xml:space="preserve">elaborat pentru prima dată </w:t>
      </w:r>
      <w:r w:rsidR="00C9252F" w:rsidRPr="003278ED">
        <w:rPr>
          <w:rFonts w:ascii="Times New Roman" w:hAnsi="Times New Roman" w:cs="Times New Roman"/>
          <w:sz w:val="24"/>
          <w:szCs w:val="28"/>
        </w:rPr>
        <w:t>în anul 2002</w:t>
      </w:r>
      <w:r w:rsidRPr="003278ED">
        <w:rPr>
          <w:rFonts w:ascii="Times New Roman" w:hAnsi="Times New Roman" w:cs="Times New Roman"/>
          <w:sz w:val="24"/>
          <w:szCs w:val="28"/>
        </w:rPr>
        <w:t>,</w:t>
      </w:r>
      <w:r w:rsidR="00C9252F" w:rsidRPr="003278ED">
        <w:rPr>
          <w:rFonts w:ascii="Times New Roman" w:hAnsi="Times New Roman" w:cs="Times New Roman"/>
          <w:sz w:val="24"/>
          <w:szCs w:val="28"/>
        </w:rPr>
        <w:t xml:space="preserve"> </w:t>
      </w:r>
      <w:r w:rsidRPr="003278ED">
        <w:rPr>
          <w:rFonts w:ascii="Times New Roman" w:hAnsi="Times New Roman" w:cs="Times New Roman"/>
          <w:sz w:val="24"/>
          <w:szCs w:val="28"/>
        </w:rPr>
        <w:t>fiind</w:t>
      </w:r>
      <w:r w:rsidR="00C9252F" w:rsidRPr="003278ED">
        <w:rPr>
          <w:rFonts w:ascii="Times New Roman" w:hAnsi="Times New Roman" w:cs="Times New Roman"/>
          <w:sz w:val="24"/>
          <w:szCs w:val="28"/>
        </w:rPr>
        <w:t xml:space="preserve"> stabilit prin lege ca parte integrantă a procesului bugetar. Scopul elabor</w:t>
      </w:r>
      <w:r w:rsidR="003278ED">
        <w:rPr>
          <w:rFonts w:ascii="Times New Roman" w:hAnsi="Times New Roman" w:cs="Times New Roman"/>
          <w:sz w:val="24"/>
          <w:szCs w:val="28"/>
        </w:rPr>
        <w:t>ă</w:t>
      </w:r>
      <w:r w:rsidR="00C9252F" w:rsidRPr="003278ED">
        <w:rPr>
          <w:rFonts w:ascii="Times New Roman" w:hAnsi="Times New Roman" w:cs="Times New Roman"/>
          <w:sz w:val="24"/>
          <w:szCs w:val="28"/>
        </w:rPr>
        <w:t>rii acestuia este de a crea oportunitate</w:t>
      </w:r>
      <w:r w:rsidRPr="003278ED">
        <w:rPr>
          <w:rFonts w:ascii="Times New Roman" w:hAnsi="Times New Roman" w:cs="Times New Roman"/>
          <w:sz w:val="24"/>
          <w:szCs w:val="28"/>
        </w:rPr>
        <w:t>a</w:t>
      </w:r>
      <w:r w:rsidR="00C9252F" w:rsidRPr="003278ED">
        <w:rPr>
          <w:rFonts w:ascii="Times New Roman" w:hAnsi="Times New Roman" w:cs="Times New Roman"/>
          <w:sz w:val="24"/>
          <w:szCs w:val="28"/>
        </w:rPr>
        <w:t xml:space="preserve"> gestion</w:t>
      </w:r>
      <w:r w:rsidRPr="003278ED">
        <w:rPr>
          <w:rFonts w:ascii="Times New Roman" w:hAnsi="Times New Roman" w:cs="Times New Roman"/>
          <w:sz w:val="24"/>
          <w:szCs w:val="28"/>
        </w:rPr>
        <w:t>ării</w:t>
      </w:r>
      <w:r w:rsidR="00C9252F" w:rsidRPr="003278ED">
        <w:rPr>
          <w:rFonts w:ascii="Times New Roman" w:hAnsi="Times New Roman" w:cs="Times New Roman"/>
          <w:sz w:val="24"/>
          <w:szCs w:val="28"/>
        </w:rPr>
        <w:t xml:space="preserve"> resursel</w:t>
      </w:r>
      <w:r w:rsidRPr="003278ED">
        <w:rPr>
          <w:rFonts w:ascii="Times New Roman" w:hAnsi="Times New Roman" w:cs="Times New Roman"/>
          <w:sz w:val="24"/>
          <w:szCs w:val="28"/>
        </w:rPr>
        <w:t>or</w:t>
      </w:r>
      <w:r w:rsidR="00C9252F" w:rsidRPr="003278ED">
        <w:rPr>
          <w:rFonts w:ascii="Times New Roman" w:hAnsi="Times New Roman" w:cs="Times New Roman"/>
          <w:sz w:val="24"/>
          <w:szCs w:val="28"/>
        </w:rPr>
        <w:t xml:space="preserve"> financiare din sectorul public în conformitate cu obiectivele politicii bugetar</w:t>
      </w:r>
      <w:r w:rsidRPr="003278ED">
        <w:rPr>
          <w:rFonts w:ascii="Times New Roman" w:hAnsi="Times New Roman" w:cs="Times New Roman"/>
          <w:sz w:val="24"/>
          <w:szCs w:val="28"/>
        </w:rPr>
        <w:t>-</w:t>
      </w:r>
      <w:r w:rsidR="00C9252F" w:rsidRPr="003278ED">
        <w:rPr>
          <w:rFonts w:ascii="Times New Roman" w:hAnsi="Times New Roman" w:cs="Times New Roman"/>
          <w:sz w:val="24"/>
          <w:szCs w:val="28"/>
        </w:rPr>
        <w:t xml:space="preserve">fiscale pe termen mediu și cu prioritățile de politică. </w:t>
      </w:r>
      <w:r w:rsidRPr="003278ED">
        <w:rPr>
          <w:rFonts w:ascii="Times New Roman" w:hAnsi="Times New Roman" w:cs="Times New Roman"/>
          <w:sz w:val="24"/>
          <w:szCs w:val="28"/>
        </w:rPr>
        <w:t>De asemenea, c</w:t>
      </w:r>
      <w:r w:rsidR="00C9252F" w:rsidRPr="003278ED">
        <w:rPr>
          <w:rFonts w:ascii="Times New Roman" w:hAnsi="Times New Roman" w:cs="Times New Roman"/>
          <w:sz w:val="24"/>
          <w:szCs w:val="28"/>
        </w:rPr>
        <w:t>adrul de cheltuieli pe termen mediu servește drept bază pentru elaborarea bugetului de stat.</w:t>
      </w:r>
    </w:p>
    <w:p w14:paraId="6FA73A4C" w14:textId="01D5932F" w:rsidR="00C9252F" w:rsidRPr="003278ED" w:rsidRDefault="003278ED"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4"/>
        </w:rPr>
        <w:t xml:space="preserve">Cadrul bugetar pe termen mediu </w:t>
      </w:r>
      <w:r w:rsidR="00DD5C2E" w:rsidRPr="003278ED">
        <w:rPr>
          <w:rFonts w:ascii="Times New Roman" w:hAnsi="Times New Roman" w:cs="Times New Roman"/>
          <w:sz w:val="24"/>
          <w:szCs w:val="24"/>
        </w:rPr>
        <w:t>(2025-2027)</w:t>
      </w:r>
      <w:r w:rsidRPr="003278ED">
        <w:rPr>
          <w:rFonts w:ascii="Times New Roman" w:hAnsi="Times New Roman" w:cs="Times New Roman"/>
          <w:sz w:val="24"/>
          <w:szCs w:val="28"/>
        </w:rPr>
        <w:t xml:space="preserve"> (în continuare – </w:t>
      </w:r>
      <w:r w:rsidRPr="003278ED">
        <w:rPr>
          <w:rFonts w:ascii="Times New Roman" w:hAnsi="Times New Roman" w:cs="Times New Roman"/>
          <w:i/>
          <w:sz w:val="24"/>
          <w:szCs w:val="28"/>
        </w:rPr>
        <w:t>CBTM (2025-2027)</w:t>
      </w:r>
      <w:r w:rsidRPr="003278ED">
        <w:rPr>
          <w:rFonts w:ascii="Times New Roman" w:hAnsi="Times New Roman" w:cs="Times New Roman"/>
          <w:sz w:val="24"/>
          <w:szCs w:val="28"/>
        </w:rPr>
        <w:t xml:space="preserve">) </w:t>
      </w:r>
      <w:r w:rsidR="00DD5C2E" w:rsidRPr="003278ED">
        <w:rPr>
          <w:rFonts w:ascii="Times New Roman" w:hAnsi="Times New Roman" w:cs="Times New Roman"/>
          <w:sz w:val="24"/>
          <w:szCs w:val="24"/>
        </w:rPr>
        <w:t xml:space="preserve"> </w:t>
      </w:r>
      <w:r w:rsidR="002D600E" w:rsidRPr="003278ED">
        <w:rPr>
          <w:rFonts w:ascii="Times New Roman" w:hAnsi="Times New Roman" w:cs="Times New Roman"/>
          <w:sz w:val="24"/>
          <w:szCs w:val="28"/>
        </w:rPr>
        <w:t>reflectă politicile bugetar</w:t>
      </w:r>
      <w:r w:rsidR="007D3A2B" w:rsidRPr="003278ED">
        <w:rPr>
          <w:rFonts w:ascii="Times New Roman" w:hAnsi="Times New Roman" w:cs="Times New Roman"/>
          <w:sz w:val="24"/>
          <w:szCs w:val="28"/>
        </w:rPr>
        <w:t>-</w:t>
      </w:r>
      <w:r w:rsidR="002D600E" w:rsidRPr="003278ED">
        <w:rPr>
          <w:rFonts w:ascii="Times New Roman" w:hAnsi="Times New Roman" w:cs="Times New Roman"/>
          <w:sz w:val="24"/>
          <w:szCs w:val="28"/>
        </w:rPr>
        <w:t>fiscale ale G</w:t>
      </w:r>
      <w:r w:rsidR="00C9252F" w:rsidRPr="003278ED">
        <w:rPr>
          <w:rFonts w:ascii="Times New Roman" w:hAnsi="Times New Roman" w:cs="Times New Roman"/>
          <w:sz w:val="24"/>
          <w:szCs w:val="28"/>
        </w:rPr>
        <w:t xml:space="preserve">uvernului, inclusiv </w:t>
      </w:r>
      <w:r w:rsidR="007D3A2B" w:rsidRPr="003278ED">
        <w:rPr>
          <w:rFonts w:ascii="Times New Roman" w:hAnsi="Times New Roman" w:cs="Times New Roman"/>
          <w:sz w:val="24"/>
          <w:szCs w:val="28"/>
        </w:rPr>
        <w:t xml:space="preserve">cele </w:t>
      </w:r>
      <w:r w:rsidR="00C9252F" w:rsidRPr="003278ED">
        <w:rPr>
          <w:rFonts w:ascii="Times New Roman" w:hAnsi="Times New Roman" w:cs="Times New Roman"/>
          <w:sz w:val="24"/>
          <w:szCs w:val="28"/>
        </w:rPr>
        <w:t xml:space="preserve">de datorii și </w:t>
      </w:r>
      <w:r w:rsidR="007D3A2B" w:rsidRPr="003278ED">
        <w:rPr>
          <w:rFonts w:ascii="Times New Roman" w:hAnsi="Times New Roman" w:cs="Times New Roman"/>
          <w:sz w:val="24"/>
          <w:szCs w:val="28"/>
        </w:rPr>
        <w:t xml:space="preserve">de </w:t>
      </w:r>
      <w:r w:rsidR="00C9252F" w:rsidRPr="003278ED">
        <w:rPr>
          <w:rFonts w:ascii="Times New Roman" w:hAnsi="Times New Roman" w:cs="Times New Roman"/>
          <w:sz w:val="24"/>
          <w:szCs w:val="28"/>
        </w:rPr>
        <w:t xml:space="preserve">cheltuieli, pe o perioadă de trei ani </w:t>
      </w:r>
      <w:r w:rsidR="007D3A2B" w:rsidRPr="003278ED">
        <w:rPr>
          <w:rFonts w:ascii="Times New Roman" w:hAnsi="Times New Roman" w:cs="Times New Roman"/>
          <w:sz w:val="24"/>
          <w:szCs w:val="28"/>
        </w:rPr>
        <w:t>ș</w:t>
      </w:r>
      <w:r w:rsidR="00C9252F" w:rsidRPr="003278ED">
        <w:rPr>
          <w:rFonts w:ascii="Times New Roman" w:hAnsi="Times New Roman" w:cs="Times New Roman"/>
          <w:sz w:val="24"/>
          <w:szCs w:val="28"/>
        </w:rPr>
        <w:t>i se bazează pe</w:t>
      </w:r>
      <w:r w:rsidR="007D3A2B" w:rsidRPr="003278ED">
        <w:rPr>
          <w:rFonts w:ascii="Times New Roman" w:hAnsi="Times New Roman" w:cs="Times New Roman"/>
          <w:sz w:val="24"/>
          <w:szCs w:val="28"/>
        </w:rPr>
        <w:t>:</w:t>
      </w:r>
      <w:r w:rsidR="002731D5" w:rsidRPr="003278ED">
        <w:rPr>
          <w:rFonts w:ascii="Times New Roman" w:hAnsi="Times New Roman" w:cs="Times New Roman"/>
          <w:sz w:val="24"/>
          <w:szCs w:val="28"/>
        </w:rPr>
        <w:t xml:space="preserve"> </w:t>
      </w:r>
      <w:r w:rsidR="00C9252F" w:rsidRPr="003278ED">
        <w:rPr>
          <w:rFonts w:ascii="Times New Roman" w:hAnsi="Times New Roman" w:cs="Times New Roman"/>
          <w:sz w:val="24"/>
          <w:szCs w:val="28"/>
        </w:rPr>
        <w:t>Programul de activitate a</w:t>
      </w:r>
      <w:r w:rsidR="007D3A2B" w:rsidRPr="003278ED">
        <w:rPr>
          <w:rFonts w:ascii="Times New Roman" w:hAnsi="Times New Roman" w:cs="Times New Roman"/>
          <w:sz w:val="24"/>
          <w:szCs w:val="28"/>
        </w:rPr>
        <w:t>l</w:t>
      </w:r>
      <w:r w:rsidR="00C9252F" w:rsidRPr="003278ED">
        <w:rPr>
          <w:rFonts w:ascii="Times New Roman" w:hAnsi="Times New Roman" w:cs="Times New Roman"/>
          <w:sz w:val="24"/>
          <w:szCs w:val="28"/>
        </w:rPr>
        <w:t xml:space="preserve"> Guvernului „Moldova prosperă, sigură, europeană”, Strate</w:t>
      </w:r>
      <w:r w:rsidR="002D600E" w:rsidRPr="003278ED">
        <w:rPr>
          <w:rFonts w:ascii="Times New Roman" w:hAnsi="Times New Roman" w:cs="Times New Roman"/>
          <w:sz w:val="24"/>
          <w:szCs w:val="28"/>
        </w:rPr>
        <w:t>gia</w:t>
      </w:r>
      <w:r w:rsidR="00C9252F" w:rsidRPr="003278ED">
        <w:rPr>
          <w:rFonts w:ascii="Times New Roman" w:hAnsi="Times New Roman" w:cs="Times New Roman"/>
          <w:sz w:val="24"/>
          <w:szCs w:val="28"/>
        </w:rPr>
        <w:t xml:space="preserve"> </w:t>
      </w:r>
      <w:r w:rsidR="007D3A2B" w:rsidRPr="003278ED">
        <w:rPr>
          <w:rFonts w:ascii="Times New Roman" w:hAnsi="Times New Roman" w:cs="Times New Roman"/>
          <w:sz w:val="24"/>
          <w:szCs w:val="28"/>
        </w:rPr>
        <w:t>n</w:t>
      </w:r>
      <w:r w:rsidR="00C9252F" w:rsidRPr="003278ED">
        <w:rPr>
          <w:rFonts w:ascii="Times New Roman" w:hAnsi="Times New Roman" w:cs="Times New Roman"/>
          <w:sz w:val="24"/>
          <w:szCs w:val="28"/>
        </w:rPr>
        <w:t xml:space="preserve">ațională de </w:t>
      </w:r>
      <w:r w:rsidR="007D3A2B" w:rsidRPr="003278ED">
        <w:rPr>
          <w:rFonts w:ascii="Times New Roman" w:hAnsi="Times New Roman" w:cs="Times New Roman"/>
          <w:sz w:val="24"/>
          <w:szCs w:val="28"/>
        </w:rPr>
        <w:t>d</w:t>
      </w:r>
      <w:r w:rsidR="00C9252F" w:rsidRPr="003278ED">
        <w:rPr>
          <w:rFonts w:ascii="Times New Roman" w:hAnsi="Times New Roman" w:cs="Times New Roman"/>
          <w:sz w:val="24"/>
          <w:szCs w:val="28"/>
        </w:rPr>
        <w:t>ezvoltare „Mol</w:t>
      </w:r>
      <w:r w:rsidR="002D600E" w:rsidRPr="003278ED">
        <w:rPr>
          <w:rFonts w:ascii="Times New Roman" w:hAnsi="Times New Roman" w:cs="Times New Roman"/>
          <w:sz w:val="24"/>
          <w:szCs w:val="28"/>
        </w:rPr>
        <w:t xml:space="preserve">dova Europeană 2030”, Planul </w:t>
      </w:r>
      <w:r w:rsidR="00CB7A58" w:rsidRPr="003278ED">
        <w:rPr>
          <w:rFonts w:ascii="Times New Roman" w:hAnsi="Times New Roman" w:cs="Times New Roman"/>
          <w:sz w:val="24"/>
          <w:szCs w:val="28"/>
        </w:rPr>
        <w:t>n</w:t>
      </w:r>
      <w:r w:rsidR="002D600E" w:rsidRPr="003278ED">
        <w:rPr>
          <w:rFonts w:ascii="Times New Roman" w:hAnsi="Times New Roman" w:cs="Times New Roman"/>
          <w:sz w:val="24"/>
          <w:szCs w:val="28"/>
        </w:rPr>
        <w:t xml:space="preserve">ațional de </w:t>
      </w:r>
      <w:r w:rsidR="00CB7A58" w:rsidRPr="003278ED">
        <w:rPr>
          <w:rFonts w:ascii="Times New Roman" w:hAnsi="Times New Roman" w:cs="Times New Roman"/>
          <w:sz w:val="24"/>
          <w:szCs w:val="28"/>
        </w:rPr>
        <w:t>a</w:t>
      </w:r>
      <w:r w:rsidR="00C9252F" w:rsidRPr="003278ED">
        <w:rPr>
          <w:rFonts w:ascii="Times New Roman" w:hAnsi="Times New Roman" w:cs="Times New Roman"/>
          <w:sz w:val="24"/>
          <w:szCs w:val="28"/>
        </w:rPr>
        <w:t>cțiuni pentru aderarea Republicii Moldova la Uniunea Europeană pe</w:t>
      </w:r>
      <w:r w:rsidR="00CB7A58" w:rsidRPr="003278ED">
        <w:rPr>
          <w:rFonts w:ascii="Times New Roman" w:hAnsi="Times New Roman" w:cs="Times New Roman"/>
          <w:sz w:val="24"/>
          <w:szCs w:val="28"/>
        </w:rPr>
        <w:t>ntru</w:t>
      </w:r>
      <w:r w:rsidR="00C9252F" w:rsidRPr="003278ED">
        <w:rPr>
          <w:rFonts w:ascii="Times New Roman" w:hAnsi="Times New Roman" w:cs="Times New Roman"/>
          <w:sz w:val="24"/>
          <w:szCs w:val="28"/>
        </w:rPr>
        <w:t xml:space="preserve"> anii 2024-2027, Acor</w:t>
      </w:r>
      <w:r w:rsidR="002D600E" w:rsidRPr="003278ED">
        <w:rPr>
          <w:rFonts w:ascii="Times New Roman" w:hAnsi="Times New Roman" w:cs="Times New Roman"/>
          <w:sz w:val="24"/>
          <w:szCs w:val="28"/>
        </w:rPr>
        <w:t>dul de Asociere R</w:t>
      </w:r>
      <w:r w:rsidR="007D3A2B" w:rsidRPr="003278ED">
        <w:rPr>
          <w:rFonts w:ascii="Times New Roman" w:hAnsi="Times New Roman" w:cs="Times New Roman"/>
          <w:sz w:val="24"/>
          <w:szCs w:val="28"/>
        </w:rPr>
        <w:t xml:space="preserve">epublica </w:t>
      </w:r>
      <w:r w:rsidR="002D600E" w:rsidRPr="003278ED">
        <w:rPr>
          <w:rFonts w:ascii="Times New Roman" w:hAnsi="Times New Roman" w:cs="Times New Roman"/>
          <w:sz w:val="24"/>
          <w:szCs w:val="28"/>
        </w:rPr>
        <w:t>M</w:t>
      </w:r>
      <w:r w:rsidR="007D3A2B" w:rsidRPr="003278ED">
        <w:rPr>
          <w:rFonts w:ascii="Times New Roman" w:hAnsi="Times New Roman" w:cs="Times New Roman"/>
          <w:sz w:val="24"/>
          <w:szCs w:val="28"/>
        </w:rPr>
        <w:t>oldova –</w:t>
      </w:r>
      <w:r w:rsidR="002D600E" w:rsidRPr="003278ED">
        <w:rPr>
          <w:rFonts w:ascii="Times New Roman" w:hAnsi="Times New Roman" w:cs="Times New Roman"/>
          <w:sz w:val="24"/>
          <w:szCs w:val="28"/>
        </w:rPr>
        <w:t>U</w:t>
      </w:r>
      <w:r w:rsidR="007D3A2B" w:rsidRPr="003278ED">
        <w:rPr>
          <w:rFonts w:ascii="Times New Roman" w:hAnsi="Times New Roman" w:cs="Times New Roman"/>
          <w:sz w:val="24"/>
          <w:szCs w:val="28"/>
        </w:rPr>
        <w:t xml:space="preserve">niunea </w:t>
      </w:r>
      <w:r w:rsidR="002D600E" w:rsidRPr="003278ED">
        <w:rPr>
          <w:rFonts w:ascii="Times New Roman" w:hAnsi="Times New Roman" w:cs="Times New Roman"/>
          <w:sz w:val="24"/>
          <w:szCs w:val="28"/>
        </w:rPr>
        <w:t>E</w:t>
      </w:r>
      <w:r w:rsidR="007D3A2B" w:rsidRPr="003278ED">
        <w:rPr>
          <w:rFonts w:ascii="Times New Roman" w:hAnsi="Times New Roman" w:cs="Times New Roman"/>
          <w:sz w:val="24"/>
          <w:szCs w:val="28"/>
        </w:rPr>
        <w:t>uropeană</w:t>
      </w:r>
      <w:r w:rsidR="002D600E" w:rsidRPr="003278ED">
        <w:rPr>
          <w:rFonts w:ascii="Times New Roman" w:hAnsi="Times New Roman" w:cs="Times New Roman"/>
          <w:sz w:val="24"/>
          <w:szCs w:val="28"/>
        </w:rPr>
        <w:t>, Agenda</w:t>
      </w:r>
      <w:r w:rsidR="00C9252F" w:rsidRPr="003278ED">
        <w:rPr>
          <w:rFonts w:ascii="Times New Roman" w:hAnsi="Times New Roman" w:cs="Times New Roman"/>
          <w:sz w:val="24"/>
          <w:szCs w:val="28"/>
        </w:rPr>
        <w:t xml:space="preserve"> de Asoc</w:t>
      </w:r>
      <w:r w:rsidR="002D600E" w:rsidRPr="003278ED">
        <w:rPr>
          <w:rFonts w:ascii="Times New Roman" w:hAnsi="Times New Roman" w:cs="Times New Roman"/>
          <w:sz w:val="24"/>
          <w:szCs w:val="28"/>
        </w:rPr>
        <w:t xml:space="preserve">iere </w:t>
      </w:r>
      <w:r w:rsidR="007D3A2B" w:rsidRPr="003278ED">
        <w:rPr>
          <w:rFonts w:ascii="Times New Roman" w:hAnsi="Times New Roman" w:cs="Times New Roman"/>
          <w:sz w:val="24"/>
          <w:szCs w:val="28"/>
        </w:rPr>
        <w:t>Republica Moldova</w:t>
      </w:r>
      <w:r w:rsidR="002731D5" w:rsidRPr="003278ED">
        <w:rPr>
          <w:rFonts w:ascii="Times New Roman" w:hAnsi="Times New Roman" w:cs="Times New Roman"/>
          <w:sz w:val="24"/>
          <w:szCs w:val="28"/>
        </w:rPr>
        <w:t xml:space="preserve"> </w:t>
      </w:r>
      <w:r w:rsidR="007D3A2B" w:rsidRPr="003278ED">
        <w:rPr>
          <w:rFonts w:ascii="Times New Roman" w:hAnsi="Times New Roman" w:cs="Times New Roman"/>
          <w:sz w:val="24"/>
          <w:szCs w:val="28"/>
        </w:rPr>
        <w:t>–</w:t>
      </w:r>
      <w:r w:rsidR="002731D5" w:rsidRPr="003278ED">
        <w:rPr>
          <w:rFonts w:ascii="Times New Roman" w:hAnsi="Times New Roman" w:cs="Times New Roman"/>
          <w:sz w:val="24"/>
          <w:szCs w:val="28"/>
        </w:rPr>
        <w:t xml:space="preserve"> </w:t>
      </w:r>
      <w:r w:rsidR="007D3A2B" w:rsidRPr="003278ED">
        <w:rPr>
          <w:rFonts w:ascii="Times New Roman" w:hAnsi="Times New Roman" w:cs="Times New Roman"/>
          <w:sz w:val="24"/>
          <w:szCs w:val="28"/>
        </w:rPr>
        <w:t>Uniunea Europeană</w:t>
      </w:r>
      <w:r w:rsidR="007D3A2B" w:rsidRPr="003278ED" w:rsidDel="007D3A2B">
        <w:rPr>
          <w:rFonts w:ascii="Times New Roman" w:hAnsi="Times New Roman" w:cs="Times New Roman"/>
          <w:sz w:val="24"/>
          <w:szCs w:val="28"/>
        </w:rPr>
        <w:t xml:space="preserve"> </w:t>
      </w:r>
      <w:r w:rsidR="002D600E" w:rsidRPr="003278ED">
        <w:rPr>
          <w:rFonts w:ascii="Times New Roman" w:hAnsi="Times New Roman" w:cs="Times New Roman"/>
          <w:sz w:val="24"/>
          <w:szCs w:val="28"/>
        </w:rPr>
        <w:t>(2021-2027</w:t>
      </w:r>
      <w:r w:rsidR="007D3A2B" w:rsidRPr="003278ED">
        <w:rPr>
          <w:rFonts w:ascii="Times New Roman" w:hAnsi="Times New Roman" w:cs="Times New Roman"/>
          <w:sz w:val="24"/>
          <w:szCs w:val="28"/>
        </w:rPr>
        <w:t xml:space="preserve">), </w:t>
      </w:r>
      <w:r w:rsidR="002D600E" w:rsidRPr="003278ED">
        <w:rPr>
          <w:rFonts w:ascii="Times New Roman" w:hAnsi="Times New Roman" w:cs="Times New Roman"/>
          <w:sz w:val="24"/>
          <w:szCs w:val="28"/>
        </w:rPr>
        <w:t xml:space="preserve">Planul </w:t>
      </w:r>
      <w:r w:rsidR="00CB7A58" w:rsidRPr="003278ED">
        <w:rPr>
          <w:rFonts w:ascii="Times New Roman" w:hAnsi="Times New Roman" w:cs="Times New Roman"/>
          <w:sz w:val="24"/>
          <w:szCs w:val="28"/>
        </w:rPr>
        <w:t>n</w:t>
      </w:r>
      <w:r w:rsidR="002D600E" w:rsidRPr="003278ED">
        <w:rPr>
          <w:rFonts w:ascii="Times New Roman" w:hAnsi="Times New Roman" w:cs="Times New Roman"/>
          <w:sz w:val="24"/>
          <w:szCs w:val="28"/>
        </w:rPr>
        <w:t xml:space="preserve">ațional de </w:t>
      </w:r>
      <w:r w:rsidR="00CB7A58" w:rsidRPr="003278ED">
        <w:rPr>
          <w:rFonts w:ascii="Times New Roman" w:hAnsi="Times New Roman" w:cs="Times New Roman"/>
          <w:sz w:val="24"/>
          <w:szCs w:val="28"/>
        </w:rPr>
        <w:t>d</w:t>
      </w:r>
      <w:r w:rsidR="00C9252F" w:rsidRPr="003278ED">
        <w:rPr>
          <w:rFonts w:ascii="Times New Roman" w:hAnsi="Times New Roman" w:cs="Times New Roman"/>
          <w:sz w:val="24"/>
          <w:szCs w:val="28"/>
        </w:rPr>
        <w:t>ezvolta</w:t>
      </w:r>
      <w:r w:rsidR="002D600E" w:rsidRPr="003278ED">
        <w:rPr>
          <w:rFonts w:ascii="Times New Roman" w:hAnsi="Times New Roman" w:cs="Times New Roman"/>
          <w:sz w:val="24"/>
          <w:szCs w:val="28"/>
        </w:rPr>
        <w:t>re pe</w:t>
      </w:r>
      <w:r w:rsidR="00CB7A58" w:rsidRPr="003278ED">
        <w:rPr>
          <w:rFonts w:ascii="Times New Roman" w:hAnsi="Times New Roman" w:cs="Times New Roman"/>
          <w:sz w:val="24"/>
          <w:szCs w:val="28"/>
        </w:rPr>
        <w:t>ntru anii</w:t>
      </w:r>
      <w:r w:rsidR="002D600E" w:rsidRPr="003278ED">
        <w:rPr>
          <w:rFonts w:ascii="Times New Roman" w:hAnsi="Times New Roman" w:cs="Times New Roman"/>
          <w:sz w:val="24"/>
          <w:szCs w:val="28"/>
        </w:rPr>
        <w:t xml:space="preserve"> 2025-2027</w:t>
      </w:r>
      <w:r w:rsidR="007D3A2B" w:rsidRPr="003278ED">
        <w:rPr>
          <w:rFonts w:ascii="Times New Roman" w:hAnsi="Times New Roman" w:cs="Times New Roman"/>
          <w:sz w:val="24"/>
          <w:szCs w:val="28"/>
        </w:rPr>
        <w:t xml:space="preserve">, precum </w:t>
      </w:r>
      <w:r w:rsidR="002D600E" w:rsidRPr="003278ED">
        <w:rPr>
          <w:rFonts w:ascii="Times New Roman" w:hAnsi="Times New Roman" w:cs="Times New Roman"/>
          <w:sz w:val="24"/>
          <w:szCs w:val="28"/>
        </w:rPr>
        <w:t>ș</w:t>
      </w:r>
      <w:r w:rsidR="00C9252F" w:rsidRPr="003278ED">
        <w:rPr>
          <w:rFonts w:ascii="Times New Roman" w:hAnsi="Times New Roman" w:cs="Times New Roman"/>
          <w:sz w:val="24"/>
          <w:szCs w:val="28"/>
        </w:rPr>
        <w:t>i angajamentele asumate față de partenerii de dezvoltare.</w:t>
      </w:r>
    </w:p>
    <w:p w14:paraId="71C15BEB" w14:textId="66191815" w:rsidR="00C9252F" w:rsidRPr="003278ED" w:rsidRDefault="00C9252F"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4"/>
        </w:rPr>
        <w:t>Evoluțiile recente</w:t>
      </w:r>
      <w:r w:rsidRPr="003278ED">
        <w:rPr>
          <w:rFonts w:ascii="Times New Roman" w:hAnsi="Times New Roman" w:cs="Times New Roman"/>
          <w:sz w:val="24"/>
          <w:szCs w:val="28"/>
        </w:rPr>
        <w:t xml:space="preserve"> și prognoza principalilor indicatori macroeconomici (din martie 2024), elaborată</w:t>
      </w:r>
      <w:r w:rsidR="00A12285" w:rsidRPr="003278ED">
        <w:rPr>
          <w:rFonts w:ascii="Times New Roman" w:hAnsi="Times New Roman" w:cs="Times New Roman"/>
          <w:sz w:val="24"/>
          <w:szCs w:val="28"/>
        </w:rPr>
        <w:t xml:space="preserve"> </w:t>
      </w:r>
      <w:r w:rsidRPr="003278ED">
        <w:rPr>
          <w:rFonts w:ascii="Times New Roman" w:hAnsi="Times New Roman" w:cs="Times New Roman"/>
          <w:sz w:val="24"/>
          <w:szCs w:val="28"/>
        </w:rPr>
        <w:t>de Ministerul Dezvoltării Economice și Digitalizării</w:t>
      </w:r>
      <w:r w:rsidR="00CB7A58" w:rsidRPr="003278ED">
        <w:rPr>
          <w:rFonts w:ascii="Times New Roman" w:hAnsi="Times New Roman" w:cs="Times New Roman"/>
          <w:sz w:val="24"/>
          <w:szCs w:val="28"/>
        </w:rPr>
        <w:t>, precum</w:t>
      </w:r>
      <w:r w:rsidRPr="003278ED">
        <w:rPr>
          <w:rFonts w:ascii="Times New Roman" w:hAnsi="Times New Roman" w:cs="Times New Roman"/>
          <w:sz w:val="24"/>
          <w:szCs w:val="28"/>
        </w:rPr>
        <w:t xml:space="preserve"> </w:t>
      </w:r>
      <w:r w:rsidR="00DD5C2E" w:rsidRPr="003278ED">
        <w:rPr>
          <w:rFonts w:ascii="Times New Roman" w:hAnsi="Times New Roman" w:cs="Times New Roman"/>
          <w:sz w:val="24"/>
          <w:szCs w:val="28"/>
        </w:rPr>
        <w:t>ș</w:t>
      </w:r>
      <w:r w:rsidRPr="003278ED">
        <w:rPr>
          <w:rFonts w:ascii="Times New Roman" w:hAnsi="Times New Roman" w:cs="Times New Roman"/>
          <w:sz w:val="24"/>
          <w:szCs w:val="28"/>
        </w:rPr>
        <w:t>i măsurile de politică bugetar-fiscală și vamală</w:t>
      </w:r>
      <w:r w:rsidR="00DD5C2E" w:rsidRPr="003278ED">
        <w:rPr>
          <w:rFonts w:ascii="Times New Roman" w:hAnsi="Times New Roman" w:cs="Times New Roman"/>
          <w:sz w:val="24"/>
          <w:szCs w:val="28"/>
        </w:rPr>
        <w:t>,</w:t>
      </w:r>
      <w:r w:rsidRPr="003278ED">
        <w:rPr>
          <w:rFonts w:ascii="Times New Roman" w:hAnsi="Times New Roman" w:cs="Times New Roman"/>
          <w:sz w:val="24"/>
          <w:szCs w:val="28"/>
        </w:rPr>
        <w:t xml:space="preserve"> combinate cu măsurile și politi</w:t>
      </w:r>
      <w:r w:rsidR="00DD5C2E" w:rsidRPr="003278ED">
        <w:rPr>
          <w:rFonts w:ascii="Times New Roman" w:hAnsi="Times New Roman" w:cs="Times New Roman"/>
          <w:sz w:val="24"/>
          <w:szCs w:val="28"/>
        </w:rPr>
        <w:t>cile sectoriale de cheltuieli, su</w:t>
      </w:r>
      <w:r w:rsidRPr="003278ED">
        <w:rPr>
          <w:rFonts w:ascii="Times New Roman" w:hAnsi="Times New Roman" w:cs="Times New Roman"/>
          <w:sz w:val="24"/>
          <w:szCs w:val="28"/>
        </w:rPr>
        <w:t>nt principalele elemente care au stat la fundamentarea CBTM</w:t>
      </w:r>
      <w:r w:rsidR="008A6012" w:rsidRPr="003278ED">
        <w:rPr>
          <w:rFonts w:ascii="Times New Roman" w:hAnsi="Times New Roman" w:cs="Times New Roman"/>
          <w:sz w:val="24"/>
          <w:szCs w:val="28"/>
        </w:rPr>
        <w:t xml:space="preserve"> (2025-2027)</w:t>
      </w:r>
      <w:r w:rsidRPr="003278ED">
        <w:rPr>
          <w:rFonts w:ascii="Times New Roman" w:hAnsi="Times New Roman" w:cs="Times New Roman"/>
          <w:sz w:val="24"/>
          <w:szCs w:val="28"/>
        </w:rPr>
        <w:t>.</w:t>
      </w:r>
    </w:p>
    <w:p w14:paraId="55BEAC06" w14:textId="1DB89E63" w:rsidR="00CF1515" w:rsidRPr="003278ED" w:rsidRDefault="00CF1515"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4"/>
        </w:rPr>
        <w:t xml:space="preserve">CBTM (2025-2027) evidențiază preocuparea Guvernului </w:t>
      </w:r>
      <w:r w:rsidR="00CB7A58" w:rsidRPr="003278ED">
        <w:rPr>
          <w:rFonts w:ascii="Times New Roman" w:hAnsi="Times New Roman" w:cs="Times New Roman"/>
          <w:sz w:val="24"/>
          <w:szCs w:val="24"/>
        </w:rPr>
        <w:t xml:space="preserve">pentru </w:t>
      </w:r>
      <w:r w:rsidRPr="003278ED">
        <w:rPr>
          <w:rFonts w:ascii="Times New Roman" w:hAnsi="Times New Roman" w:cs="Times New Roman"/>
          <w:sz w:val="24"/>
          <w:szCs w:val="24"/>
        </w:rPr>
        <w:t>c</w:t>
      </w:r>
      <w:r w:rsidRPr="003278ED">
        <w:rPr>
          <w:rFonts w:ascii="Times New Roman" w:hAnsi="Times New Roman" w:cs="Times New Roman"/>
          <w:bCs/>
          <w:sz w:val="24"/>
          <w:szCs w:val="24"/>
        </w:rPr>
        <w:t xml:space="preserve">ontinuarea măsurilor </w:t>
      </w:r>
      <w:r w:rsidR="00CB7A58" w:rsidRPr="003278ED">
        <w:rPr>
          <w:rFonts w:ascii="Times New Roman" w:hAnsi="Times New Roman" w:cs="Times New Roman"/>
          <w:bCs/>
          <w:sz w:val="24"/>
          <w:szCs w:val="24"/>
        </w:rPr>
        <w:t xml:space="preserve">de </w:t>
      </w:r>
      <w:r w:rsidRPr="003278ED">
        <w:rPr>
          <w:rFonts w:ascii="Times New Roman" w:hAnsi="Times New Roman" w:cs="Times New Roman"/>
          <w:bCs/>
          <w:sz w:val="24"/>
          <w:szCs w:val="24"/>
        </w:rPr>
        <w:t xml:space="preserve">redresare economică, </w:t>
      </w:r>
      <w:r w:rsidRPr="003278ED">
        <w:rPr>
          <w:rFonts w:ascii="Times New Roman" w:hAnsi="Times New Roman" w:cs="Times New Roman"/>
          <w:sz w:val="24"/>
          <w:szCs w:val="24"/>
        </w:rPr>
        <w:t xml:space="preserve">accelerarea creșterii economice, </w:t>
      </w:r>
      <w:r w:rsidRPr="003278ED">
        <w:rPr>
          <w:rFonts w:ascii="Times New Roman" w:hAnsi="Times New Roman" w:cs="Times New Roman"/>
          <w:bCs/>
          <w:sz w:val="24"/>
          <w:szCs w:val="24"/>
        </w:rPr>
        <w:t xml:space="preserve">menținerea și susținerea unui cadru de dezvoltare durabilă, pentru crearea și consolidarea finanțelor publice privind </w:t>
      </w:r>
      <w:r w:rsidRPr="003278ED">
        <w:rPr>
          <w:rFonts w:ascii="Times New Roman" w:hAnsi="Times New Roman" w:cs="Times New Roman"/>
          <w:sz w:val="24"/>
          <w:szCs w:val="24"/>
        </w:rPr>
        <w:t xml:space="preserve">alocarea </w:t>
      </w:r>
      <w:r w:rsidR="00D078DC" w:rsidRPr="003278ED">
        <w:rPr>
          <w:rFonts w:ascii="Times New Roman" w:hAnsi="Times New Roman" w:cs="Times New Roman"/>
          <w:sz w:val="24"/>
          <w:szCs w:val="24"/>
        </w:rPr>
        <w:t>eficientă</w:t>
      </w:r>
      <w:r w:rsidRPr="003278ED">
        <w:rPr>
          <w:rFonts w:ascii="Times New Roman" w:hAnsi="Times New Roman" w:cs="Times New Roman"/>
          <w:sz w:val="24"/>
          <w:szCs w:val="24"/>
        </w:rPr>
        <w:t xml:space="preserve"> către priorități bine definite și </w:t>
      </w:r>
      <w:r w:rsidR="00BD6D9F" w:rsidRPr="003278ED">
        <w:rPr>
          <w:rFonts w:ascii="Times New Roman" w:hAnsi="Times New Roman" w:cs="Times New Roman"/>
          <w:sz w:val="24"/>
          <w:szCs w:val="24"/>
        </w:rPr>
        <w:t>sporirea</w:t>
      </w:r>
      <w:r w:rsidRPr="003278ED">
        <w:rPr>
          <w:rFonts w:ascii="Times New Roman" w:hAnsi="Times New Roman" w:cs="Times New Roman"/>
          <w:sz w:val="24"/>
          <w:szCs w:val="24"/>
        </w:rPr>
        <w:t xml:space="preserve"> responsabilit</w:t>
      </w:r>
      <w:r w:rsidR="00BD6D9F" w:rsidRPr="003278ED">
        <w:rPr>
          <w:rFonts w:ascii="Times New Roman" w:hAnsi="Times New Roman" w:cs="Times New Roman"/>
          <w:sz w:val="24"/>
          <w:szCs w:val="24"/>
        </w:rPr>
        <w:t>ății</w:t>
      </w:r>
      <w:r w:rsidRPr="003278ED">
        <w:rPr>
          <w:rFonts w:ascii="Times New Roman" w:hAnsi="Times New Roman" w:cs="Times New Roman"/>
          <w:sz w:val="24"/>
          <w:szCs w:val="24"/>
        </w:rPr>
        <w:t xml:space="preserve"> în utilizarea fondurilor/mijloacelor publice, </w:t>
      </w:r>
      <w:r w:rsidR="00CB7A58" w:rsidRPr="003278ED">
        <w:rPr>
          <w:rFonts w:ascii="Times New Roman" w:hAnsi="Times New Roman" w:cs="Times New Roman"/>
          <w:sz w:val="24"/>
          <w:szCs w:val="24"/>
        </w:rPr>
        <w:t xml:space="preserve">pentru </w:t>
      </w:r>
      <w:r w:rsidRPr="003278ED">
        <w:rPr>
          <w:rFonts w:ascii="Times New Roman" w:hAnsi="Times New Roman" w:cs="Times New Roman"/>
          <w:sz w:val="24"/>
          <w:szCs w:val="24"/>
        </w:rPr>
        <w:t xml:space="preserve">implementarea măsurilor de eficientizare </w:t>
      </w:r>
      <w:r w:rsidR="002E4B12" w:rsidRPr="003278ED">
        <w:rPr>
          <w:rFonts w:ascii="Times New Roman" w:hAnsi="Times New Roman" w:cs="Times New Roman"/>
          <w:sz w:val="24"/>
          <w:szCs w:val="24"/>
        </w:rPr>
        <w:t xml:space="preserve">calitativă a </w:t>
      </w:r>
      <w:r w:rsidRPr="003278ED">
        <w:rPr>
          <w:rFonts w:ascii="Times New Roman" w:hAnsi="Times New Roman" w:cs="Times New Roman"/>
          <w:sz w:val="24"/>
          <w:szCs w:val="24"/>
        </w:rPr>
        <w:t>cheltuielilor publice, prin utilizarea celor mai bune practici la nivel european</w:t>
      </w:r>
      <w:r w:rsidR="00CB7A58" w:rsidRPr="003278ED">
        <w:rPr>
          <w:rFonts w:ascii="Times New Roman" w:hAnsi="Times New Roman" w:cs="Times New Roman"/>
          <w:sz w:val="24"/>
          <w:szCs w:val="24"/>
        </w:rPr>
        <w:t>,</w:t>
      </w:r>
      <w:r w:rsidRPr="003278ED">
        <w:rPr>
          <w:rFonts w:ascii="Times New Roman" w:hAnsi="Times New Roman" w:cs="Times New Roman"/>
          <w:sz w:val="24"/>
          <w:szCs w:val="24"/>
        </w:rPr>
        <w:t xml:space="preserve"> și pentru evitarea risipei fondurilor/mijloacelor publice.</w:t>
      </w:r>
    </w:p>
    <w:p w14:paraId="0EDA3414" w14:textId="58E5B804" w:rsidR="00684F3E" w:rsidRPr="003278ED" w:rsidRDefault="00DF352E"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 xml:space="preserve">Este de remarcat </w:t>
      </w:r>
      <w:r w:rsidR="00CD48FE" w:rsidRPr="003278ED">
        <w:rPr>
          <w:rFonts w:ascii="Times New Roman" w:hAnsi="Times New Roman" w:cs="Times New Roman"/>
          <w:sz w:val="24"/>
          <w:szCs w:val="28"/>
        </w:rPr>
        <w:t xml:space="preserve">faptul </w:t>
      </w:r>
      <w:r w:rsidRPr="003278ED">
        <w:rPr>
          <w:rFonts w:ascii="Times New Roman" w:hAnsi="Times New Roman" w:cs="Times New Roman"/>
          <w:sz w:val="24"/>
          <w:szCs w:val="28"/>
        </w:rPr>
        <w:t>că a</w:t>
      </w:r>
      <w:r w:rsidR="00684F3E" w:rsidRPr="003278ED">
        <w:rPr>
          <w:rFonts w:ascii="Times New Roman" w:hAnsi="Times New Roman" w:cs="Times New Roman"/>
          <w:sz w:val="24"/>
          <w:szCs w:val="28"/>
        </w:rPr>
        <w:t xml:space="preserve">vansarea în </w:t>
      </w:r>
      <w:r w:rsidR="00CD48FE" w:rsidRPr="003278ED">
        <w:rPr>
          <w:rFonts w:ascii="Times New Roman" w:hAnsi="Times New Roman" w:cs="Times New Roman"/>
          <w:sz w:val="24"/>
          <w:szCs w:val="28"/>
        </w:rPr>
        <w:t>procesul de</w:t>
      </w:r>
      <w:r w:rsidR="00684F3E" w:rsidRPr="003278ED">
        <w:rPr>
          <w:rFonts w:ascii="Times New Roman" w:hAnsi="Times New Roman" w:cs="Times New Roman"/>
          <w:sz w:val="24"/>
          <w:szCs w:val="28"/>
        </w:rPr>
        <w:t xml:space="preserve"> integrare europeană constitui</w:t>
      </w:r>
      <w:r w:rsidR="008211FC" w:rsidRPr="003278ED">
        <w:rPr>
          <w:rFonts w:ascii="Times New Roman" w:hAnsi="Times New Roman" w:cs="Times New Roman"/>
          <w:sz w:val="24"/>
          <w:szCs w:val="28"/>
        </w:rPr>
        <w:t>e</w:t>
      </w:r>
      <w:r w:rsidR="00684F3E" w:rsidRPr="003278ED">
        <w:rPr>
          <w:rFonts w:ascii="Times New Roman" w:hAnsi="Times New Roman" w:cs="Times New Roman"/>
          <w:sz w:val="24"/>
          <w:szCs w:val="28"/>
        </w:rPr>
        <w:t xml:space="preserve"> </w:t>
      </w:r>
      <w:r w:rsidR="000B7E23" w:rsidRPr="003278ED">
        <w:rPr>
          <w:rFonts w:ascii="Times New Roman" w:hAnsi="Times New Roman" w:cs="Times New Roman"/>
          <w:bCs/>
          <w:sz w:val="24"/>
          <w:szCs w:val="28"/>
        </w:rPr>
        <w:t xml:space="preserve">punctul forte </w:t>
      </w:r>
      <w:r w:rsidR="00684F3E" w:rsidRPr="003278ED">
        <w:rPr>
          <w:rFonts w:ascii="Times New Roman" w:hAnsi="Times New Roman" w:cs="Times New Roman"/>
          <w:bCs/>
          <w:sz w:val="24"/>
          <w:szCs w:val="28"/>
        </w:rPr>
        <w:t>pentru activitatea Guvernului</w:t>
      </w:r>
      <w:r w:rsidR="00684F3E" w:rsidRPr="003278ED">
        <w:rPr>
          <w:rFonts w:ascii="Times New Roman" w:hAnsi="Times New Roman" w:cs="Times New Roman"/>
          <w:b/>
          <w:bCs/>
          <w:sz w:val="24"/>
          <w:szCs w:val="28"/>
        </w:rPr>
        <w:t xml:space="preserve"> </w:t>
      </w:r>
      <w:r w:rsidR="00684F3E" w:rsidRPr="003278ED">
        <w:rPr>
          <w:rFonts w:ascii="Times New Roman" w:hAnsi="Times New Roman" w:cs="Times New Roman"/>
          <w:sz w:val="24"/>
          <w:szCs w:val="28"/>
        </w:rPr>
        <w:t xml:space="preserve">pe termen mediu și lung. Măsurile </w:t>
      </w:r>
      <w:r w:rsidR="00CD48FE" w:rsidRPr="003278ED">
        <w:rPr>
          <w:rFonts w:ascii="Times New Roman" w:hAnsi="Times New Roman" w:cs="Times New Roman"/>
          <w:sz w:val="24"/>
          <w:szCs w:val="28"/>
        </w:rPr>
        <w:t xml:space="preserve">necesare </w:t>
      </w:r>
      <w:r w:rsidR="00684F3E" w:rsidRPr="003278ED">
        <w:rPr>
          <w:rFonts w:ascii="Times New Roman" w:hAnsi="Times New Roman" w:cs="Times New Roman"/>
          <w:sz w:val="24"/>
          <w:szCs w:val="28"/>
        </w:rPr>
        <w:t>ridic</w:t>
      </w:r>
      <w:r w:rsidR="00CD48FE" w:rsidRPr="003278ED">
        <w:rPr>
          <w:rFonts w:ascii="Times New Roman" w:hAnsi="Times New Roman" w:cs="Times New Roman"/>
          <w:sz w:val="24"/>
          <w:szCs w:val="28"/>
        </w:rPr>
        <w:t>ării</w:t>
      </w:r>
      <w:r w:rsidR="00684F3E" w:rsidRPr="003278ED">
        <w:rPr>
          <w:rFonts w:ascii="Times New Roman" w:hAnsi="Times New Roman" w:cs="Times New Roman"/>
          <w:sz w:val="24"/>
          <w:szCs w:val="28"/>
        </w:rPr>
        <w:t xml:space="preserve"> nivelului de pregătire pentru aderarea Republicii Moldova la U</w:t>
      </w:r>
      <w:r w:rsidR="00CD48FE" w:rsidRPr="003278ED">
        <w:rPr>
          <w:rFonts w:ascii="Times New Roman" w:hAnsi="Times New Roman" w:cs="Times New Roman"/>
          <w:sz w:val="24"/>
          <w:szCs w:val="28"/>
        </w:rPr>
        <w:t xml:space="preserve">niunea </w:t>
      </w:r>
      <w:r w:rsidR="00684F3E" w:rsidRPr="003278ED">
        <w:rPr>
          <w:rFonts w:ascii="Times New Roman" w:hAnsi="Times New Roman" w:cs="Times New Roman"/>
          <w:sz w:val="24"/>
          <w:szCs w:val="28"/>
        </w:rPr>
        <w:t>E</w:t>
      </w:r>
      <w:r w:rsidR="00CD48FE" w:rsidRPr="003278ED">
        <w:rPr>
          <w:rFonts w:ascii="Times New Roman" w:hAnsi="Times New Roman" w:cs="Times New Roman"/>
          <w:sz w:val="24"/>
          <w:szCs w:val="28"/>
        </w:rPr>
        <w:t xml:space="preserve">uropeană (în continuare – </w:t>
      </w:r>
      <w:r w:rsidR="00CD48FE" w:rsidRPr="003278ED">
        <w:rPr>
          <w:rFonts w:ascii="Times New Roman" w:hAnsi="Times New Roman" w:cs="Times New Roman"/>
          <w:i/>
          <w:sz w:val="24"/>
          <w:szCs w:val="28"/>
        </w:rPr>
        <w:t>UE</w:t>
      </w:r>
      <w:r w:rsidR="00CD48FE" w:rsidRPr="003278ED">
        <w:rPr>
          <w:rFonts w:ascii="Times New Roman" w:hAnsi="Times New Roman" w:cs="Times New Roman"/>
          <w:sz w:val="24"/>
          <w:szCs w:val="28"/>
        </w:rPr>
        <w:t>)</w:t>
      </w:r>
      <w:r w:rsidR="00684F3E" w:rsidRPr="003278ED">
        <w:rPr>
          <w:rFonts w:ascii="Times New Roman" w:hAnsi="Times New Roman" w:cs="Times New Roman"/>
          <w:sz w:val="24"/>
          <w:szCs w:val="28"/>
        </w:rPr>
        <w:t xml:space="preserve"> și pentru alinierea legislației naționale la legislația UE vor fi integrate transversal în toate domeniile de dezvoltare soci</w:t>
      </w:r>
      <w:r w:rsidR="00CD48FE" w:rsidRPr="003278ED">
        <w:rPr>
          <w:rFonts w:ascii="Times New Roman" w:hAnsi="Times New Roman" w:cs="Times New Roman"/>
          <w:sz w:val="24"/>
          <w:szCs w:val="28"/>
        </w:rPr>
        <w:t>o</w:t>
      </w:r>
      <w:r w:rsidR="00684F3E" w:rsidRPr="003278ED">
        <w:rPr>
          <w:rFonts w:ascii="Times New Roman" w:hAnsi="Times New Roman" w:cs="Times New Roman"/>
          <w:sz w:val="24"/>
          <w:szCs w:val="28"/>
        </w:rPr>
        <w:t>economică a țării.</w:t>
      </w:r>
    </w:p>
    <w:p w14:paraId="55108563" w14:textId="7FD162F7" w:rsidR="000F3423" w:rsidRPr="003278ED" w:rsidRDefault="009A4DBA" w:rsidP="007D3A2B">
      <w:pPr>
        <w:autoSpaceDE w:val="0"/>
        <w:autoSpaceDN w:val="0"/>
        <w:adjustRightInd w:val="0"/>
        <w:spacing w:after="0" w:line="240" w:lineRule="auto"/>
        <w:ind w:firstLine="709"/>
        <w:jc w:val="both"/>
        <w:rPr>
          <w:rFonts w:ascii="Times New Roman" w:hAnsi="Times New Roman" w:cs="Times New Roman"/>
          <w:sz w:val="24"/>
          <w:szCs w:val="24"/>
        </w:rPr>
      </w:pPr>
      <w:r w:rsidRPr="003278ED">
        <w:rPr>
          <w:rFonts w:ascii="Times New Roman" w:hAnsi="Times New Roman" w:cs="Times New Roman"/>
          <w:sz w:val="24"/>
          <w:szCs w:val="24"/>
        </w:rPr>
        <w:t xml:space="preserve">CBTM (2025-2027) </w:t>
      </w:r>
      <w:r w:rsidR="00D0482A" w:rsidRPr="003278ED">
        <w:rPr>
          <w:rFonts w:ascii="Times New Roman" w:hAnsi="Times New Roman" w:cs="Times New Roman"/>
          <w:sz w:val="24"/>
          <w:szCs w:val="24"/>
        </w:rPr>
        <w:t xml:space="preserve">este constituit </w:t>
      </w:r>
      <w:r w:rsidRPr="003278ED">
        <w:rPr>
          <w:rFonts w:ascii="Times New Roman" w:hAnsi="Times New Roman" w:cs="Times New Roman"/>
          <w:sz w:val="24"/>
          <w:szCs w:val="24"/>
        </w:rPr>
        <w:t xml:space="preserve">din partea textuală și </w:t>
      </w:r>
      <w:r w:rsidR="00CD48FE" w:rsidRPr="003278ED">
        <w:rPr>
          <w:rFonts w:ascii="Times New Roman" w:hAnsi="Times New Roman" w:cs="Times New Roman"/>
          <w:sz w:val="24"/>
          <w:szCs w:val="24"/>
        </w:rPr>
        <w:t xml:space="preserve">din </w:t>
      </w:r>
      <w:r w:rsidRPr="003278ED">
        <w:rPr>
          <w:rFonts w:ascii="Times New Roman" w:hAnsi="Times New Roman" w:cs="Times New Roman"/>
          <w:sz w:val="24"/>
          <w:szCs w:val="24"/>
        </w:rPr>
        <w:t xml:space="preserve">anexe. </w:t>
      </w:r>
    </w:p>
    <w:p w14:paraId="75DA1A34" w14:textId="7D1A4C23" w:rsidR="0029779E" w:rsidRPr="003278ED" w:rsidRDefault="009A4DBA" w:rsidP="007D3A2B">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3278ED">
        <w:rPr>
          <w:rFonts w:ascii="Times New Roman" w:hAnsi="Times New Roman" w:cs="Times New Roman"/>
          <w:i/>
          <w:sz w:val="24"/>
          <w:szCs w:val="24"/>
        </w:rPr>
        <w:t>Partea textuală</w:t>
      </w:r>
      <w:r w:rsidRPr="003278ED">
        <w:rPr>
          <w:rFonts w:ascii="Times New Roman" w:hAnsi="Times New Roman" w:cs="Times New Roman"/>
          <w:sz w:val="24"/>
          <w:szCs w:val="24"/>
        </w:rPr>
        <w:t xml:space="preserve"> cuprinde: (i) </w:t>
      </w:r>
      <w:r w:rsidR="007B471F" w:rsidRPr="003278ED">
        <w:rPr>
          <w:rFonts w:ascii="Times New Roman" w:hAnsi="Times New Roman" w:cs="Times New Roman"/>
          <w:sz w:val="24"/>
          <w:szCs w:val="24"/>
        </w:rPr>
        <w:t>descriere</w:t>
      </w:r>
      <w:r w:rsidR="00152825" w:rsidRPr="003278ED">
        <w:rPr>
          <w:rFonts w:ascii="Times New Roman" w:hAnsi="Times New Roman" w:cs="Times New Roman"/>
          <w:sz w:val="24"/>
          <w:szCs w:val="24"/>
        </w:rPr>
        <w:t>a</w:t>
      </w:r>
      <w:r w:rsidR="007B471F" w:rsidRPr="003278ED">
        <w:rPr>
          <w:rFonts w:ascii="Times New Roman" w:hAnsi="Times New Roman" w:cs="Times New Roman"/>
          <w:sz w:val="24"/>
          <w:szCs w:val="24"/>
        </w:rPr>
        <w:t xml:space="preserve"> generală, </w:t>
      </w:r>
      <w:r w:rsidRPr="003278ED">
        <w:rPr>
          <w:rFonts w:ascii="Times New Roman" w:hAnsi="Times New Roman" w:cs="Times New Roman"/>
          <w:sz w:val="24"/>
          <w:szCs w:val="24"/>
        </w:rPr>
        <w:t xml:space="preserve">evoluțiile economice și descrierea procesului de </w:t>
      </w:r>
      <w:r w:rsidR="00BF1359" w:rsidRPr="003278ED">
        <w:rPr>
          <w:rFonts w:ascii="Times New Roman" w:hAnsi="Times New Roman" w:cs="Times New Roman"/>
          <w:sz w:val="24"/>
          <w:szCs w:val="24"/>
        </w:rPr>
        <w:t>eficientizare</w:t>
      </w:r>
      <w:r w:rsidRPr="003278ED">
        <w:rPr>
          <w:rFonts w:ascii="Times New Roman" w:hAnsi="Times New Roman" w:cs="Times New Roman"/>
          <w:sz w:val="24"/>
          <w:szCs w:val="24"/>
        </w:rPr>
        <w:t xml:space="preserve"> a cheltuielilor; (ii) perspectivele economice globale și riscurile pe termen mediu; (iii) obiectivele politicii </w:t>
      </w:r>
      <w:r w:rsidR="007B471F" w:rsidRPr="003278ED">
        <w:rPr>
          <w:rFonts w:ascii="Times New Roman" w:hAnsi="Times New Roman" w:cs="Times New Roman"/>
          <w:sz w:val="24"/>
          <w:szCs w:val="24"/>
        </w:rPr>
        <w:t>bugetar-</w:t>
      </w:r>
      <w:r w:rsidRPr="003278ED">
        <w:rPr>
          <w:rFonts w:ascii="Times New Roman" w:hAnsi="Times New Roman" w:cs="Times New Roman"/>
          <w:sz w:val="24"/>
          <w:szCs w:val="24"/>
        </w:rPr>
        <w:t xml:space="preserve">fiscale și vamale; prognoza veniturilor și cheltuielilor publice; politica cheltuielilor de personal; </w:t>
      </w:r>
      <w:r w:rsidR="004C5095" w:rsidRPr="003278ED">
        <w:rPr>
          <w:rFonts w:ascii="Times New Roman" w:hAnsi="Times New Roman" w:cs="Times New Roman"/>
          <w:sz w:val="24"/>
          <w:szCs w:val="24"/>
        </w:rPr>
        <w:t xml:space="preserve">prioritățile politicii </w:t>
      </w:r>
      <w:r w:rsidR="00152825" w:rsidRPr="003278ED">
        <w:rPr>
          <w:rFonts w:ascii="Times New Roman" w:hAnsi="Times New Roman" w:cs="Times New Roman"/>
          <w:sz w:val="24"/>
          <w:szCs w:val="24"/>
        </w:rPr>
        <w:t xml:space="preserve">de </w:t>
      </w:r>
      <w:r w:rsidR="004C5095" w:rsidRPr="003278ED">
        <w:rPr>
          <w:rFonts w:ascii="Times New Roman" w:hAnsi="Times New Roman" w:cs="Times New Roman"/>
          <w:sz w:val="24"/>
          <w:szCs w:val="24"/>
        </w:rPr>
        <w:t xml:space="preserve">cheltuieli pe sectoare; </w:t>
      </w:r>
      <w:r w:rsidRPr="003278ED">
        <w:rPr>
          <w:rFonts w:ascii="Times New Roman" w:hAnsi="Times New Roman" w:cs="Times New Roman"/>
          <w:sz w:val="24"/>
          <w:szCs w:val="24"/>
        </w:rPr>
        <w:t xml:space="preserve">sursele de finanțare </w:t>
      </w:r>
      <w:r w:rsidR="00DC73F3" w:rsidRPr="003278ED">
        <w:rPr>
          <w:rFonts w:ascii="Times New Roman" w:hAnsi="Times New Roman" w:cs="Times New Roman"/>
          <w:sz w:val="24"/>
          <w:szCs w:val="24"/>
        </w:rPr>
        <w:t xml:space="preserve">internă și externă </w:t>
      </w:r>
      <w:r w:rsidR="00490D18" w:rsidRPr="003278ED">
        <w:rPr>
          <w:rFonts w:ascii="Times New Roman" w:hAnsi="Times New Roman" w:cs="Times New Roman"/>
          <w:sz w:val="24"/>
          <w:szCs w:val="24"/>
        </w:rPr>
        <w:t xml:space="preserve">și </w:t>
      </w:r>
      <w:r w:rsidRPr="003278ED">
        <w:rPr>
          <w:rFonts w:ascii="Times New Roman" w:hAnsi="Times New Roman" w:cs="Times New Roman"/>
          <w:sz w:val="24"/>
          <w:szCs w:val="24"/>
        </w:rPr>
        <w:t>datori</w:t>
      </w:r>
      <w:r w:rsidR="00490D18" w:rsidRPr="003278ED">
        <w:rPr>
          <w:rFonts w:ascii="Times New Roman" w:hAnsi="Times New Roman" w:cs="Times New Roman"/>
          <w:sz w:val="24"/>
          <w:szCs w:val="24"/>
        </w:rPr>
        <w:t>a</w:t>
      </w:r>
      <w:r w:rsidRPr="003278ED">
        <w:rPr>
          <w:rFonts w:ascii="Times New Roman" w:hAnsi="Times New Roman" w:cs="Times New Roman"/>
          <w:sz w:val="24"/>
          <w:szCs w:val="24"/>
        </w:rPr>
        <w:t xml:space="preserve"> de stat; (iv) descrierea</w:t>
      </w:r>
      <w:r w:rsidRPr="003278ED">
        <w:rPr>
          <w:rFonts w:ascii="Times New Roman" w:eastAsia="Times New Roman" w:hAnsi="Times New Roman" w:cs="Times New Roman"/>
          <w:sz w:val="24"/>
          <w:szCs w:val="28"/>
          <w:lang w:eastAsia="ru-RU"/>
        </w:rPr>
        <w:t xml:space="preserve"> cadrului de cheltuieli ale bugetului public național</w:t>
      </w:r>
      <w:r w:rsidR="00F82046" w:rsidRPr="003278ED">
        <w:rPr>
          <w:rFonts w:ascii="Times New Roman" w:eastAsia="Times New Roman" w:hAnsi="Times New Roman" w:cs="Times New Roman"/>
          <w:sz w:val="24"/>
          <w:szCs w:val="28"/>
          <w:lang w:eastAsia="ru-RU"/>
        </w:rPr>
        <w:t xml:space="preserve"> pe termen mediu</w:t>
      </w:r>
      <w:r w:rsidRPr="003278ED">
        <w:rPr>
          <w:rFonts w:ascii="Times New Roman" w:eastAsia="Times New Roman" w:hAnsi="Times New Roman" w:cs="Times New Roman"/>
          <w:sz w:val="24"/>
          <w:szCs w:val="28"/>
          <w:lang w:eastAsia="ru-RU"/>
        </w:rPr>
        <w:t>; proiecte</w:t>
      </w:r>
      <w:r w:rsidR="00152825" w:rsidRPr="003278ED">
        <w:rPr>
          <w:rFonts w:ascii="Times New Roman" w:eastAsia="Times New Roman" w:hAnsi="Times New Roman" w:cs="Times New Roman"/>
          <w:sz w:val="24"/>
          <w:szCs w:val="28"/>
          <w:lang w:eastAsia="ru-RU"/>
        </w:rPr>
        <w:t>le</w:t>
      </w:r>
      <w:r w:rsidRPr="003278ED">
        <w:rPr>
          <w:rFonts w:ascii="Times New Roman" w:eastAsia="Times New Roman" w:hAnsi="Times New Roman" w:cs="Times New Roman"/>
          <w:sz w:val="24"/>
          <w:szCs w:val="28"/>
          <w:lang w:eastAsia="ru-RU"/>
        </w:rPr>
        <w:t xml:space="preserve"> finanțate din surse externe</w:t>
      </w:r>
      <w:r w:rsidR="007C0863" w:rsidRPr="003278ED">
        <w:rPr>
          <w:rFonts w:ascii="Times New Roman" w:eastAsia="Times New Roman" w:hAnsi="Times New Roman" w:cs="Times New Roman"/>
          <w:sz w:val="24"/>
          <w:szCs w:val="28"/>
          <w:lang w:eastAsia="ru-RU"/>
        </w:rPr>
        <w:t>, precum și</w:t>
      </w:r>
      <w:r w:rsidRPr="003278ED">
        <w:rPr>
          <w:rFonts w:ascii="Times New Roman" w:eastAsia="Times New Roman" w:hAnsi="Times New Roman" w:cs="Times New Roman"/>
          <w:sz w:val="24"/>
          <w:szCs w:val="28"/>
          <w:lang w:eastAsia="ru-RU"/>
        </w:rPr>
        <w:t xml:space="preserve"> proiecte</w:t>
      </w:r>
      <w:r w:rsidR="00152825" w:rsidRPr="003278ED">
        <w:rPr>
          <w:rFonts w:ascii="Times New Roman" w:eastAsia="Times New Roman" w:hAnsi="Times New Roman" w:cs="Times New Roman"/>
          <w:sz w:val="24"/>
          <w:szCs w:val="28"/>
          <w:lang w:eastAsia="ru-RU"/>
        </w:rPr>
        <w:t>le</w:t>
      </w:r>
      <w:r w:rsidRPr="003278ED">
        <w:rPr>
          <w:rFonts w:ascii="Times New Roman" w:eastAsia="Times New Roman" w:hAnsi="Times New Roman" w:cs="Times New Roman"/>
          <w:sz w:val="24"/>
          <w:szCs w:val="28"/>
          <w:lang w:eastAsia="ru-RU"/>
        </w:rPr>
        <w:t xml:space="preserve"> de investiții capitale</w:t>
      </w:r>
      <w:r w:rsidR="00F82046" w:rsidRPr="003278ED">
        <w:rPr>
          <w:rFonts w:ascii="Times New Roman" w:eastAsia="Times New Roman" w:hAnsi="Times New Roman" w:cs="Times New Roman"/>
          <w:sz w:val="24"/>
          <w:szCs w:val="28"/>
          <w:lang w:eastAsia="ru-RU"/>
        </w:rPr>
        <w:t xml:space="preserve"> publice</w:t>
      </w:r>
      <w:r w:rsidRPr="003278ED">
        <w:rPr>
          <w:rFonts w:ascii="Times New Roman" w:eastAsia="Times New Roman" w:hAnsi="Times New Roman" w:cs="Times New Roman"/>
          <w:sz w:val="24"/>
          <w:szCs w:val="28"/>
          <w:lang w:eastAsia="ru-RU"/>
        </w:rPr>
        <w:t xml:space="preserve">. </w:t>
      </w:r>
    </w:p>
    <w:p w14:paraId="77877D9F" w14:textId="01BC2EE4" w:rsidR="007A6300" w:rsidRPr="003278ED" w:rsidRDefault="009A4DBA" w:rsidP="007D3A2B">
      <w:pPr>
        <w:autoSpaceDE w:val="0"/>
        <w:autoSpaceDN w:val="0"/>
        <w:adjustRightInd w:val="0"/>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i/>
          <w:sz w:val="24"/>
          <w:szCs w:val="24"/>
        </w:rPr>
        <w:lastRenderedPageBreak/>
        <w:t>Anexele</w:t>
      </w:r>
      <w:r w:rsidRPr="003278ED">
        <w:rPr>
          <w:rFonts w:ascii="Times New Roman" w:hAnsi="Times New Roman" w:cs="Times New Roman"/>
          <w:sz w:val="24"/>
          <w:szCs w:val="24"/>
        </w:rPr>
        <w:t xml:space="preserve"> con</w:t>
      </w:r>
      <w:r w:rsidR="0029779E" w:rsidRPr="003278ED">
        <w:rPr>
          <w:rFonts w:ascii="Times New Roman" w:hAnsi="Times New Roman" w:cs="Times New Roman"/>
          <w:sz w:val="24"/>
          <w:szCs w:val="24"/>
        </w:rPr>
        <w:t>ț</w:t>
      </w:r>
      <w:r w:rsidRPr="003278ED">
        <w:rPr>
          <w:rFonts w:ascii="Times New Roman" w:hAnsi="Times New Roman" w:cs="Times New Roman"/>
          <w:sz w:val="24"/>
          <w:szCs w:val="24"/>
        </w:rPr>
        <w:t>in detalii cu privire la prognoza indicatorilor macroeconomici (anexa nr. 1), evoluția și estimările cheltuielilor pe BPN și bugetele componente (anexele nr. 2.1.1-</w:t>
      </w:r>
      <w:r w:rsidR="00152825" w:rsidRPr="003278ED">
        <w:rPr>
          <w:rFonts w:ascii="Times New Roman" w:hAnsi="Times New Roman" w:cs="Times New Roman"/>
          <w:sz w:val="24"/>
          <w:szCs w:val="24"/>
        </w:rPr>
        <w:t xml:space="preserve"> </w:t>
      </w:r>
      <w:r w:rsidRPr="003278ED">
        <w:rPr>
          <w:rFonts w:ascii="Times New Roman" w:hAnsi="Times New Roman" w:cs="Times New Roman"/>
          <w:sz w:val="24"/>
          <w:szCs w:val="24"/>
        </w:rPr>
        <w:t>nr.</w:t>
      </w:r>
      <w:r w:rsidR="00410A28" w:rsidRPr="003278ED">
        <w:rPr>
          <w:rFonts w:ascii="Times New Roman" w:hAnsi="Times New Roman" w:cs="Times New Roman"/>
          <w:sz w:val="24"/>
          <w:szCs w:val="24"/>
        </w:rPr>
        <w:t xml:space="preserve"> </w:t>
      </w:r>
      <w:r w:rsidRPr="003278ED">
        <w:rPr>
          <w:rFonts w:ascii="Times New Roman" w:hAnsi="Times New Roman" w:cs="Times New Roman"/>
          <w:sz w:val="24"/>
          <w:szCs w:val="24"/>
        </w:rPr>
        <w:t xml:space="preserve">2.5.3), </w:t>
      </w:r>
      <w:r w:rsidRPr="003278ED">
        <w:rPr>
          <w:rFonts w:ascii="Times New Roman" w:hAnsi="Times New Roman" w:cs="Times New Roman"/>
          <w:sz w:val="24"/>
          <w:szCs w:val="28"/>
        </w:rPr>
        <w:t xml:space="preserve">limitele de cheltuieli </w:t>
      </w:r>
      <w:r w:rsidR="00152825" w:rsidRPr="003278ED">
        <w:rPr>
          <w:rFonts w:ascii="Times New Roman" w:hAnsi="Times New Roman" w:cs="Times New Roman"/>
          <w:sz w:val="24"/>
          <w:szCs w:val="28"/>
        </w:rPr>
        <w:t>din</w:t>
      </w:r>
      <w:r w:rsidRPr="003278ED">
        <w:rPr>
          <w:rFonts w:ascii="Times New Roman" w:hAnsi="Times New Roman" w:cs="Times New Roman"/>
          <w:sz w:val="24"/>
          <w:szCs w:val="28"/>
        </w:rPr>
        <w:t xml:space="preserve"> bugetul de stat pe autorități bugetare (anexa nr.</w:t>
      </w:r>
      <w:r w:rsidR="00152825" w:rsidRPr="003278ED">
        <w:rPr>
          <w:rFonts w:ascii="Times New Roman" w:hAnsi="Times New Roman" w:cs="Times New Roman"/>
          <w:sz w:val="24"/>
          <w:szCs w:val="28"/>
        </w:rPr>
        <w:t xml:space="preserve"> </w:t>
      </w:r>
      <w:r w:rsidRPr="003278ED">
        <w:rPr>
          <w:rFonts w:ascii="Times New Roman" w:hAnsi="Times New Roman" w:cs="Times New Roman"/>
          <w:sz w:val="24"/>
          <w:szCs w:val="28"/>
        </w:rPr>
        <w:t>3), prioritățile politicii cheltuielilor pe sectoare și programele bugetare (anexele nr.</w:t>
      </w:r>
      <w:r w:rsidR="00410A28" w:rsidRPr="003278ED">
        <w:rPr>
          <w:rFonts w:ascii="Times New Roman" w:hAnsi="Times New Roman" w:cs="Times New Roman"/>
          <w:sz w:val="24"/>
          <w:szCs w:val="28"/>
        </w:rPr>
        <w:t xml:space="preserve"> </w:t>
      </w:r>
      <w:r w:rsidRPr="003278ED">
        <w:rPr>
          <w:rFonts w:ascii="Times New Roman" w:hAnsi="Times New Roman" w:cs="Times New Roman"/>
          <w:sz w:val="24"/>
          <w:szCs w:val="28"/>
        </w:rPr>
        <w:t>4</w:t>
      </w:r>
      <w:r w:rsidR="003278ED">
        <w:rPr>
          <w:rFonts w:ascii="Times New Roman" w:hAnsi="Times New Roman" w:cs="Times New Roman"/>
          <w:sz w:val="24"/>
          <w:szCs w:val="28"/>
        </w:rPr>
        <w:t xml:space="preserve"> </w:t>
      </w:r>
      <w:r w:rsidRPr="003278ED">
        <w:rPr>
          <w:rFonts w:ascii="Times New Roman" w:hAnsi="Times New Roman" w:cs="Times New Roman"/>
          <w:sz w:val="24"/>
          <w:szCs w:val="28"/>
        </w:rPr>
        <w:t>-</w:t>
      </w:r>
      <w:r w:rsidR="003278ED">
        <w:rPr>
          <w:rFonts w:ascii="Times New Roman" w:hAnsi="Times New Roman" w:cs="Times New Roman"/>
          <w:sz w:val="24"/>
          <w:szCs w:val="28"/>
        </w:rPr>
        <w:t xml:space="preserve"> nr. </w:t>
      </w:r>
      <w:r w:rsidRPr="003278ED">
        <w:rPr>
          <w:rFonts w:ascii="Times New Roman" w:hAnsi="Times New Roman" w:cs="Times New Roman"/>
          <w:sz w:val="24"/>
          <w:szCs w:val="28"/>
        </w:rPr>
        <w:t>24).</w:t>
      </w:r>
    </w:p>
    <w:p w14:paraId="452956D6" w14:textId="77777777" w:rsidR="00CD48FE" w:rsidRPr="003278ED" w:rsidRDefault="00CD48FE" w:rsidP="007D3A2B">
      <w:pPr>
        <w:spacing w:after="0" w:line="240" w:lineRule="auto"/>
        <w:jc w:val="center"/>
        <w:rPr>
          <w:rFonts w:ascii="Times New Roman" w:hAnsi="Times New Roman" w:cs="Times New Roman"/>
          <w:b/>
          <w:bCs/>
          <w:sz w:val="24"/>
          <w:szCs w:val="28"/>
        </w:rPr>
      </w:pPr>
    </w:p>
    <w:p w14:paraId="23EB443C" w14:textId="77777777" w:rsidR="009A4DBA" w:rsidRPr="0057504F" w:rsidRDefault="00CA2508" w:rsidP="00381A14">
      <w:pPr>
        <w:pStyle w:val="Title2"/>
        <w:jc w:val="center"/>
        <w:outlineLvl w:val="1"/>
        <w:rPr>
          <w:rFonts w:ascii="Times New Roman" w:hAnsi="Times New Roman"/>
          <w:i w:val="0"/>
          <w:color w:val="auto"/>
          <w:sz w:val="24"/>
          <w:highlight w:val="yellow"/>
        </w:rPr>
      </w:pPr>
      <w:bookmarkStart w:id="2" w:name="_Toc175825339"/>
      <w:r w:rsidRPr="0057504F">
        <w:rPr>
          <w:rFonts w:ascii="Times New Roman" w:hAnsi="Times New Roman"/>
          <w:i w:val="0"/>
          <w:color w:val="auto"/>
          <w:sz w:val="24"/>
        </w:rPr>
        <w:t>B. Evoluții economice în anul 2023</w:t>
      </w:r>
      <w:bookmarkEnd w:id="2"/>
    </w:p>
    <w:p w14:paraId="13A574DC" w14:textId="77777777" w:rsidR="00CA2508" w:rsidRPr="003278ED" w:rsidRDefault="00CA2508" w:rsidP="007D3A2B">
      <w:pPr>
        <w:spacing w:after="0" w:line="240" w:lineRule="auto"/>
        <w:ind w:firstLine="709"/>
        <w:jc w:val="both"/>
        <w:rPr>
          <w:rFonts w:ascii="Times New Roman" w:eastAsia="Times New Roman" w:hAnsi="Times New Roman" w:cs="Times New Roman"/>
          <w:sz w:val="24"/>
          <w:szCs w:val="28"/>
        </w:rPr>
      </w:pPr>
    </w:p>
    <w:p w14:paraId="4D80E534" w14:textId="4EA0FA4E" w:rsidR="00C54A95" w:rsidRPr="003278ED" w:rsidRDefault="00C54A95" w:rsidP="007D3A2B">
      <w:pPr>
        <w:tabs>
          <w:tab w:val="left" w:pos="993"/>
        </w:tabs>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Republica Moldova a traversat o perioadă dificilă în ultimii ani, fiind marcată de o serie de crize</w:t>
      </w:r>
      <w:r w:rsidR="00BD6D9F" w:rsidRPr="003278ED">
        <w:rPr>
          <w:rFonts w:ascii="Times New Roman" w:hAnsi="Times New Roman" w:cs="Times New Roman"/>
          <w:sz w:val="24"/>
          <w:szCs w:val="28"/>
        </w:rPr>
        <w:t>,</w:t>
      </w:r>
      <w:r w:rsidRPr="003278ED">
        <w:rPr>
          <w:rFonts w:ascii="Times New Roman" w:hAnsi="Times New Roman" w:cs="Times New Roman"/>
          <w:sz w:val="24"/>
          <w:szCs w:val="28"/>
        </w:rPr>
        <w:t xml:space="preserve"> care au afectat semnificativ economia țării. Anul 2023 a fost un an de recuperare economică, însă cu un ritm mult mai lent decât s-a anticipat, reflectând eforturile de redresare economică și </w:t>
      </w:r>
      <w:r w:rsidR="00410A28" w:rsidRPr="003278ED">
        <w:rPr>
          <w:rFonts w:ascii="Times New Roman" w:hAnsi="Times New Roman" w:cs="Times New Roman"/>
          <w:sz w:val="24"/>
          <w:szCs w:val="28"/>
        </w:rPr>
        <w:t xml:space="preserve">de </w:t>
      </w:r>
      <w:r w:rsidRPr="003278ED">
        <w:rPr>
          <w:rFonts w:ascii="Times New Roman" w:hAnsi="Times New Roman" w:cs="Times New Roman"/>
          <w:sz w:val="24"/>
          <w:szCs w:val="28"/>
        </w:rPr>
        <w:t>gestionare a finanțelor publice în contextul instabilității geopolitice.</w:t>
      </w:r>
    </w:p>
    <w:p w14:paraId="64E5C817" w14:textId="79ADBF38" w:rsidR="00C54A95" w:rsidRPr="003278ED" w:rsidRDefault="00C54A95" w:rsidP="007D3A2B">
      <w:pPr>
        <w:tabs>
          <w:tab w:val="left" w:pos="993"/>
        </w:tabs>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 xml:space="preserve"> Creșterea economică în anul 2023 a atins un nivel modest, </w:t>
      </w:r>
      <w:r w:rsidR="00410A28" w:rsidRPr="003278ED">
        <w:rPr>
          <w:rFonts w:ascii="Times New Roman" w:hAnsi="Times New Roman" w:cs="Times New Roman"/>
          <w:sz w:val="24"/>
          <w:szCs w:val="28"/>
        </w:rPr>
        <w:t xml:space="preserve">aceasta </w:t>
      </w:r>
      <w:r w:rsidRPr="003278ED">
        <w:rPr>
          <w:rFonts w:ascii="Times New Roman" w:hAnsi="Times New Roman" w:cs="Times New Roman"/>
          <w:sz w:val="24"/>
          <w:szCs w:val="28"/>
        </w:rPr>
        <w:t xml:space="preserve">nefiind suficientă pentru a compensa pierderile din recesiunea anului precedent. Evoluția activității economice a fost susținută, preponderent, de recolta bogată din sectorul agricol, care a creat condiții atât pentru creșterea exporturilor, cât și pentru scăderea importurilor de produse agroalimentare. S-au înregistrat evoluții pozitive în sectorul financiar, </w:t>
      </w:r>
      <w:r w:rsidR="00410A28" w:rsidRPr="003278ED">
        <w:rPr>
          <w:rFonts w:ascii="Times New Roman" w:hAnsi="Times New Roman" w:cs="Times New Roman"/>
          <w:sz w:val="24"/>
          <w:szCs w:val="28"/>
        </w:rPr>
        <w:t xml:space="preserve">în </w:t>
      </w:r>
      <w:r w:rsidRPr="003278ED">
        <w:rPr>
          <w:rFonts w:ascii="Times New Roman" w:hAnsi="Times New Roman" w:cs="Times New Roman"/>
          <w:sz w:val="24"/>
          <w:szCs w:val="28"/>
        </w:rPr>
        <w:t>cel</w:t>
      </w:r>
      <w:r w:rsidR="00410A28" w:rsidRPr="003278ED">
        <w:rPr>
          <w:rFonts w:ascii="Times New Roman" w:hAnsi="Times New Roman" w:cs="Times New Roman"/>
          <w:sz w:val="24"/>
          <w:szCs w:val="28"/>
        </w:rPr>
        <w:t>e</w:t>
      </w:r>
      <w:r w:rsidRPr="003278ED">
        <w:rPr>
          <w:rFonts w:ascii="Times New Roman" w:hAnsi="Times New Roman" w:cs="Times New Roman"/>
          <w:sz w:val="24"/>
          <w:szCs w:val="28"/>
        </w:rPr>
        <w:t xml:space="preserve"> al</w:t>
      </w:r>
      <w:r w:rsidR="00410A28" w:rsidRPr="003278ED">
        <w:rPr>
          <w:rFonts w:ascii="Times New Roman" w:hAnsi="Times New Roman" w:cs="Times New Roman"/>
          <w:sz w:val="24"/>
          <w:szCs w:val="28"/>
        </w:rPr>
        <w:t>e</w:t>
      </w:r>
      <w:r w:rsidRPr="003278ED">
        <w:rPr>
          <w:rFonts w:ascii="Times New Roman" w:hAnsi="Times New Roman" w:cs="Times New Roman"/>
          <w:sz w:val="24"/>
          <w:szCs w:val="28"/>
        </w:rPr>
        <w:t xml:space="preserve"> comunicațiilor, serviciilor sociale, construcțiilor și tranzacțiilor imobiliare. Totodată, cererea internă a continuat să fie una modestă, fapt semnalat de scăderea consumului populației și a investițiilor, în condițiile creșterii neînsemnate a veniturilor reale ale populației, precum și </w:t>
      </w:r>
      <w:r w:rsidR="00410A28" w:rsidRPr="003278ED">
        <w:rPr>
          <w:rFonts w:ascii="Times New Roman" w:hAnsi="Times New Roman" w:cs="Times New Roman"/>
          <w:sz w:val="24"/>
          <w:szCs w:val="28"/>
        </w:rPr>
        <w:t xml:space="preserve">a </w:t>
      </w:r>
      <w:r w:rsidRPr="003278ED">
        <w:rPr>
          <w:rFonts w:ascii="Times New Roman" w:hAnsi="Times New Roman" w:cs="Times New Roman"/>
          <w:sz w:val="24"/>
          <w:szCs w:val="28"/>
        </w:rPr>
        <w:t xml:space="preserve">incertitudinii sporite din regiune. </w:t>
      </w:r>
    </w:p>
    <w:p w14:paraId="5E3A1024" w14:textId="49EA820D" w:rsidR="00C54A95" w:rsidRPr="003278ED" w:rsidRDefault="007421D8" w:rsidP="007D3A2B">
      <w:pPr>
        <w:tabs>
          <w:tab w:val="left" w:pos="993"/>
        </w:tabs>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În</w:t>
      </w:r>
      <w:r w:rsidR="00C54A95" w:rsidRPr="003278ED">
        <w:rPr>
          <w:rFonts w:ascii="Times New Roman" w:hAnsi="Times New Roman" w:cs="Times New Roman"/>
          <w:sz w:val="24"/>
          <w:szCs w:val="28"/>
        </w:rPr>
        <w:t xml:space="preserve"> trimestrul III al anului 2023</w:t>
      </w:r>
      <w:r w:rsidR="00410A28" w:rsidRPr="003278ED">
        <w:rPr>
          <w:rFonts w:ascii="Times New Roman" w:hAnsi="Times New Roman" w:cs="Times New Roman"/>
          <w:sz w:val="24"/>
          <w:szCs w:val="28"/>
        </w:rPr>
        <w:t>,</w:t>
      </w:r>
      <w:r w:rsidR="00C54A95" w:rsidRPr="003278ED">
        <w:rPr>
          <w:rFonts w:ascii="Times New Roman" w:hAnsi="Times New Roman" w:cs="Times New Roman"/>
          <w:sz w:val="24"/>
          <w:szCs w:val="28"/>
        </w:rPr>
        <w:t xml:space="preserve"> economia Republicii Moldova și-a schimbat traiectoria descendentă înregistrată în prima jumătate a anului, revenind la traiectoria pozitivă și atingând</w:t>
      </w:r>
      <w:r w:rsidR="00410A28" w:rsidRPr="003278ED">
        <w:rPr>
          <w:rFonts w:ascii="Times New Roman" w:hAnsi="Times New Roman" w:cs="Times New Roman"/>
          <w:sz w:val="24"/>
          <w:szCs w:val="28"/>
        </w:rPr>
        <w:t>,</w:t>
      </w:r>
      <w:r w:rsidR="00C54A95" w:rsidRPr="003278ED">
        <w:rPr>
          <w:rFonts w:ascii="Times New Roman" w:hAnsi="Times New Roman" w:cs="Times New Roman"/>
          <w:sz w:val="24"/>
          <w:szCs w:val="28"/>
        </w:rPr>
        <w:t xml:space="preserve"> </w:t>
      </w:r>
      <w:r w:rsidR="00BD6D9F" w:rsidRPr="003278ED">
        <w:rPr>
          <w:rFonts w:ascii="Times New Roman" w:hAnsi="Times New Roman" w:cs="Times New Roman"/>
          <w:sz w:val="24"/>
          <w:szCs w:val="28"/>
        </w:rPr>
        <w:t>până la</w:t>
      </w:r>
      <w:r w:rsidR="00C54A95" w:rsidRPr="003278ED">
        <w:rPr>
          <w:rFonts w:ascii="Times New Roman" w:hAnsi="Times New Roman" w:cs="Times New Roman"/>
          <w:sz w:val="24"/>
          <w:szCs w:val="28"/>
        </w:rPr>
        <w:t xml:space="preserve"> finele anului</w:t>
      </w:r>
      <w:r w:rsidR="00410A28" w:rsidRPr="003278ED">
        <w:rPr>
          <w:rFonts w:ascii="Times New Roman" w:hAnsi="Times New Roman" w:cs="Times New Roman"/>
          <w:sz w:val="24"/>
          <w:szCs w:val="28"/>
        </w:rPr>
        <w:t>,</w:t>
      </w:r>
      <w:r w:rsidR="00C54A95" w:rsidRPr="003278ED">
        <w:rPr>
          <w:rFonts w:ascii="Times New Roman" w:hAnsi="Times New Roman" w:cs="Times New Roman"/>
          <w:sz w:val="24"/>
          <w:szCs w:val="28"/>
        </w:rPr>
        <w:t xml:space="preserve"> o creștere nesemnificativă a PIB-lui de circa 0,7% în termeni reali și o valoare nominal</w:t>
      </w:r>
      <w:r w:rsidR="00BD6D9F" w:rsidRPr="003278ED">
        <w:rPr>
          <w:rFonts w:ascii="Times New Roman" w:hAnsi="Times New Roman" w:cs="Times New Roman"/>
          <w:sz w:val="24"/>
          <w:szCs w:val="28"/>
        </w:rPr>
        <w:t>ă</w:t>
      </w:r>
      <w:r w:rsidR="00C54A95" w:rsidRPr="003278ED">
        <w:rPr>
          <w:rFonts w:ascii="Times New Roman" w:hAnsi="Times New Roman" w:cs="Times New Roman"/>
          <w:sz w:val="24"/>
          <w:szCs w:val="28"/>
        </w:rPr>
        <w:t xml:space="preserve"> de 300,4 miliarde </w:t>
      </w:r>
      <w:r w:rsidR="00410A28" w:rsidRPr="003278ED">
        <w:rPr>
          <w:rFonts w:ascii="Times New Roman" w:hAnsi="Times New Roman" w:cs="Times New Roman"/>
          <w:sz w:val="24"/>
          <w:szCs w:val="28"/>
        </w:rPr>
        <w:t xml:space="preserve">de </w:t>
      </w:r>
      <w:r w:rsidR="00C54A95" w:rsidRPr="003278ED">
        <w:rPr>
          <w:rFonts w:ascii="Times New Roman" w:hAnsi="Times New Roman" w:cs="Times New Roman"/>
          <w:sz w:val="24"/>
          <w:szCs w:val="28"/>
        </w:rPr>
        <w:t>lei.</w:t>
      </w:r>
    </w:p>
    <w:p w14:paraId="748A2398" w14:textId="5E3E5368" w:rsidR="00C54A95" w:rsidRPr="003278ED" w:rsidRDefault="00C54A95" w:rsidP="007D3A2B">
      <w:pPr>
        <w:tabs>
          <w:tab w:val="left" w:pos="993"/>
        </w:tabs>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 xml:space="preserve">Efectele crizei energetice și criza refugiaților sunt factorii de bază care au creat presiuni asupra bugetului, generând noi provocări pentru guvernare și </w:t>
      </w:r>
      <w:r w:rsidR="00410A28" w:rsidRPr="003278ED">
        <w:rPr>
          <w:rFonts w:ascii="Times New Roman" w:hAnsi="Times New Roman" w:cs="Times New Roman"/>
          <w:sz w:val="24"/>
          <w:szCs w:val="28"/>
        </w:rPr>
        <w:t xml:space="preserve">pentru </w:t>
      </w:r>
      <w:r w:rsidRPr="003278ED">
        <w:rPr>
          <w:rFonts w:ascii="Times New Roman" w:hAnsi="Times New Roman" w:cs="Times New Roman"/>
          <w:sz w:val="24"/>
          <w:szCs w:val="28"/>
        </w:rPr>
        <w:t xml:space="preserve">mediul de afaceri. </w:t>
      </w:r>
    </w:p>
    <w:p w14:paraId="72847B59" w14:textId="652FDB2D" w:rsidR="00C54A95" w:rsidRPr="003278ED" w:rsidRDefault="00C54A95" w:rsidP="007D3A2B">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sz w:val="24"/>
          <w:szCs w:val="28"/>
        </w:rPr>
        <w:t>Totodată, datorită dialogului continuu cu partenerii externi de dezvoltare, în anul 2023</w:t>
      </w:r>
      <w:r w:rsidR="00410A28" w:rsidRPr="003278ED">
        <w:rPr>
          <w:rFonts w:ascii="Times New Roman" w:hAnsi="Times New Roman" w:cs="Times New Roman"/>
          <w:sz w:val="24"/>
          <w:szCs w:val="28"/>
        </w:rPr>
        <w:t>,</w:t>
      </w:r>
      <w:r w:rsidRPr="003278ED">
        <w:rPr>
          <w:rFonts w:ascii="Times New Roman" w:hAnsi="Times New Roman" w:cs="Times New Roman"/>
          <w:sz w:val="24"/>
          <w:szCs w:val="28"/>
        </w:rPr>
        <w:t xml:space="preserve"> Republica Moldova a beneficiat de asistenț</w:t>
      </w:r>
      <w:r w:rsidR="00BD6D9F" w:rsidRPr="003278ED">
        <w:rPr>
          <w:rFonts w:ascii="Times New Roman" w:hAnsi="Times New Roman" w:cs="Times New Roman"/>
          <w:sz w:val="24"/>
          <w:szCs w:val="28"/>
        </w:rPr>
        <w:t>ă</w:t>
      </w:r>
      <w:r w:rsidRPr="003278ED">
        <w:rPr>
          <w:rFonts w:ascii="Times New Roman" w:hAnsi="Times New Roman" w:cs="Times New Roman"/>
          <w:sz w:val="24"/>
          <w:szCs w:val="28"/>
        </w:rPr>
        <w:t xml:space="preserve"> externă</w:t>
      </w:r>
      <w:r w:rsidR="00BD6D9F" w:rsidRPr="003278ED">
        <w:rPr>
          <w:rFonts w:ascii="Times New Roman" w:hAnsi="Times New Roman" w:cs="Times New Roman"/>
          <w:sz w:val="24"/>
          <w:szCs w:val="28"/>
        </w:rPr>
        <w:t>,</w:t>
      </w:r>
      <w:r w:rsidRPr="003278ED">
        <w:rPr>
          <w:rFonts w:ascii="Times New Roman" w:hAnsi="Times New Roman" w:cs="Times New Roman"/>
          <w:sz w:val="24"/>
          <w:szCs w:val="28"/>
        </w:rPr>
        <w:t xml:space="preserve"> care a fost aliniată </w:t>
      </w:r>
      <w:r w:rsidR="00410A28" w:rsidRPr="003278ED">
        <w:rPr>
          <w:rFonts w:ascii="Times New Roman" w:hAnsi="Times New Roman" w:cs="Times New Roman"/>
          <w:sz w:val="24"/>
          <w:szCs w:val="28"/>
        </w:rPr>
        <w:t xml:space="preserve">la </w:t>
      </w:r>
      <w:r w:rsidRPr="003278ED">
        <w:rPr>
          <w:rFonts w:ascii="Times New Roman" w:hAnsi="Times New Roman" w:cs="Times New Roman"/>
          <w:sz w:val="24"/>
          <w:szCs w:val="28"/>
        </w:rPr>
        <w:t xml:space="preserve">necesitățile de dezvoltare a țării și </w:t>
      </w:r>
      <w:r w:rsidR="00410A28" w:rsidRPr="003278ED">
        <w:rPr>
          <w:rFonts w:ascii="Times New Roman" w:hAnsi="Times New Roman" w:cs="Times New Roman"/>
          <w:sz w:val="24"/>
          <w:szCs w:val="28"/>
        </w:rPr>
        <w:t xml:space="preserve">la </w:t>
      </w:r>
      <w:r w:rsidRPr="003278ED">
        <w:rPr>
          <w:rFonts w:ascii="Times New Roman" w:hAnsi="Times New Roman" w:cs="Times New Roman"/>
          <w:sz w:val="24"/>
          <w:szCs w:val="28"/>
        </w:rPr>
        <w:t>prioritățile sectoriale stabilite. Astfel, cu implicarea necondiționată a partenerilor externi de dezvoltare, Guvernul și-a realizat angajamentele propuse în</w:t>
      </w:r>
      <w:r w:rsidR="00410A28" w:rsidRPr="003278ED">
        <w:rPr>
          <w:rFonts w:ascii="Times New Roman" w:hAnsi="Times New Roman" w:cs="Times New Roman"/>
          <w:sz w:val="24"/>
          <w:szCs w:val="28"/>
        </w:rPr>
        <w:t>:</w:t>
      </w:r>
      <w:r w:rsidRPr="003278ED">
        <w:rPr>
          <w:rFonts w:ascii="Times New Roman" w:hAnsi="Times New Roman" w:cs="Times New Roman"/>
          <w:sz w:val="24"/>
          <w:szCs w:val="28"/>
        </w:rPr>
        <w:t xml:space="preserve"> consolidarea independenței energetice, asigurarea securității alimentare, consolidarea infrastructurii de transport și de securitate, dar și în continuarea reformelor interne necesare pentru realizarea obiectivelor sale de dezvoltare</w:t>
      </w:r>
      <w:r w:rsidR="00410A28" w:rsidRPr="003278ED">
        <w:rPr>
          <w:rFonts w:ascii="Times New Roman" w:hAnsi="Times New Roman" w:cs="Times New Roman"/>
          <w:sz w:val="24"/>
          <w:szCs w:val="28"/>
        </w:rPr>
        <w:t xml:space="preserve"> în ceea ce privește</w:t>
      </w:r>
      <w:r w:rsidRPr="003278ED">
        <w:rPr>
          <w:rFonts w:ascii="Times New Roman" w:hAnsi="Times New Roman" w:cs="Times New Roman"/>
          <w:sz w:val="24"/>
          <w:szCs w:val="28"/>
        </w:rPr>
        <w:t xml:space="preserve"> crearea condițiilor pentru o creștere durabilă și favorabilă.</w:t>
      </w:r>
      <w:r w:rsidRPr="003278ED">
        <w:rPr>
          <w:rFonts w:ascii="Times New Roman" w:hAnsi="Times New Roman" w:cs="Times New Roman"/>
          <w:bCs/>
          <w:sz w:val="24"/>
          <w:szCs w:val="28"/>
        </w:rPr>
        <w:t xml:space="preserve"> </w:t>
      </w:r>
    </w:p>
    <w:p w14:paraId="5F7CEC5B" w14:textId="77777777" w:rsidR="00433E8F" w:rsidRPr="003278ED" w:rsidRDefault="00433E8F" w:rsidP="00A47DB5">
      <w:pPr>
        <w:spacing w:after="0" w:line="240" w:lineRule="auto"/>
        <w:jc w:val="both"/>
        <w:rPr>
          <w:rFonts w:ascii="Times New Roman" w:eastAsia="Times New Roman" w:hAnsi="Times New Roman" w:cs="Times New Roman"/>
          <w:sz w:val="24"/>
          <w:szCs w:val="28"/>
        </w:rPr>
      </w:pPr>
    </w:p>
    <w:p w14:paraId="568455F8" w14:textId="77777777" w:rsidR="00CA2508" w:rsidRPr="009562A5" w:rsidRDefault="00CA2508" w:rsidP="00381A14">
      <w:pPr>
        <w:pStyle w:val="Title2"/>
        <w:jc w:val="center"/>
        <w:outlineLvl w:val="1"/>
        <w:rPr>
          <w:rFonts w:ascii="Times New Roman" w:eastAsia="Times New Roman" w:hAnsi="Times New Roman"/>
          <w:i w:val="0"/>
          <w:color w:val="auto"/>
          <w:sz w:val="24"/>
        </w:rPr>
      </w:pPr>
      <w:bookmarkStart w:id="3" w:name="_Toc175825340"/>
      <w:r w:rsidRPr="009562A5">
        <w:rPr>
          <w:rFonts w:ascii="Times New Roman" w:hAnsi="Times New Roman"/>
          <w:i w:val="0"/>
          <w:color w:val="auto"/>
          <w:sz w:val="24"/>
        </w:rPr>
        <w:t>C. Eficientizarea cheltuielilor publice</w:t>
      </w:r>
      <w:bookmarkEnd w:id="3"/>
    </w:p>
    <w:p w14:paraId="2DE2EF0D" w14:textId="77777777" w:rsidR="009A0B7E" w:rsidRPr="003278ED" w:rsidRDefault="009A0B7E" w:rsidP="007D3A2B">
      <w:pPr>
        <w:spacing w:after="0" w:line="240" w:lineRule="auto"/>
        <w:ind w:firstLine="709"/>
        <w:jc w:val="center"/>
        <w:rPr>
          <w:rFonts w:eastAsia="Times New Roman" w:cs="Times New Roman"/>
          <w:szCs w:val="28"/>
        </w:rPr>
      </w:pPr>
    </w:p>
    <w:p w14:paraId="75F98509" w14:textId="77F827C8" w:rsidR="009A0B7E" w:rsidRPr="003278ED" w:rsidRDefault="00FA6895"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Îmbunătățirea eficienței de cheltuire a resurselor bugetare rămân</w:t>
      </w:r>
      <w:r w:rsidR="00693732" w:rsidRPr="003278ED">
        <w:rPr>
          <w:rFonts w:ascii="Times New Roman" w:eastAsia="Times New Roman" w:hAnsi="Times New Roman" w:cs="Times New Roman"/>
          <w:sz w:val="24"/>
          <w:szCs w:val="28"/>
        </w:rPr>
        <w:t>e</w:t>
      </w:r>
      <w:r w:rsidRPr="003278ED">
        <w:rPr>
          <w:rFonts w:ascii="Times New Roman" w:eastAsia="Times New Roman" w:hAnsi="Times New Roman" w:cs="Times New Roman"/>
          <w:sz w:val="24"/>
          <w:szCs w:val="28"/>
        </w:rPr>
        <w:t xml:space="preserve"> </w:t>
      </w:r>
      <w:r w:rsidR="009A0B7E" w:rsidRPr="003278ED">
        <w:rPr>
          <w:rFonts w:ascii="Times New Roman" w:eastAsia="Times New Roman" w:hAnsi="Times New Roman" w:cs="Times New Roman"/>
          <w:sz w:val="24"/>
          <w:szCs w:val="28"/>
        </w:rPr>
        <w:t xml:space="preserve"> provocare</w:t>
      </w:r>
      <w:r w:rsidR="00693732" w:rsidRPr="003278ED">
        <w:rPr>
          <w:rFonts w:ascii="Times New Roman" w:eastAsia="Times New Roman" w:hAnsi="Times New Roman" w:cs="Times New Roman"/>
          <w:sz w:val="24"/>
          <w:szCs w:val="28"/>
        </w:rPr>
        <w:t>a</w:t>
      </w:r>
      <w:r w:rsidR="009A0B7E" w:rsidRPr="003278ED">
        <w:rPr>
          <w:rFonts w:ascii="Times New Roman" w:eastAsia="Times New Roman" w:hAnsi="Times New Roman" w:cs="Times New Roman"/>
          <w:sz w:val="24"/>
          <w:szCs w:val="28"/>
        </w:rPr>
        <w:t xml:space="preserve"> pe termen mediu </w:t>
      </w:r>
      <w:r w:rsidR="00693732" w:rsidRPr="003278ED">
        <w:rPr>
          <w:rFonts w:ascii="Times New Roman" w:eastAsia="Times New Roman" w:hAnsi="Times New Roman" w:cs="Times New Roman"/>
          <w:sz w:val="24"/>
          <w:szCs w:val="28"/>
        </w:rPr>
        <w:t>a Guvernului</w:t>
      </w:r>
      <w:r w:rsidR="009A0B7E" w:rsidRPr="003278ED">
        <w:rPr>
          <w:rFonts w:ascii="Times New Roman" w:eastAsia="Times New Roman" w:hAnsi="Times New Roman" w:cs="Times New Roman"/>
          <w:sz w:val="24"/>
          <w:szCs w:val="28"/>
        </w:rPr>
        <w:t>. Procesul de raționalizare a cheltuielilor are drept scop crearea unui spațiu disponibil de cheltuieli</w:t>
      </w:r>
      <w:r w:rsidR="00693732" w:rsidRPr="003278ED">
        <w:rPr>
          <w:rFonts w:ascii="Times New Roman" w:eastAsia="Times New Roman" w:hAnsi="Times New Roman" w:cs="Times New Roman"/>
          <w:sz w:val="24"/>
          <w:szCs w:val="28"/>
        </w:rPr>
        <w:t>,</w:t>
      </w:r>
      <w:r w:rsidR="009A0B7E" w:rsidRPr="003278ED">
        <w:rPr>
          <w:rFonts w:ascii="Times New Roman" w:eastAsia="Times New Roman" w:hAnsi="Times New Roman" w:cs="Times New Roman"/>
          <w:sz w:val="24"/>
          <w:szCs w:val="28"/>
        </w:rPr>
        <w:t xml:space="preserve"> pentru a răspunde noilor priorități sau presiunilor fiscale emergente, </w:t>
      </w:r>
      <w:r w:rsidR="00BD6D9F" w:rsidRPr="003278ED">
        <w:rPr>
          <w:rFonts w:ascii="Times New Roman" w:eastAsia="Times New Roman" w:hAnsi="Times New Roman" w:cs="Times New Roman"/>
          <w:sz w:val="24"/>
          <w:szCs w:val="28"/>
        </w:rPr>
        <w:t xml:space="preserve">și </w:t>
      </w:r>
      <w:r w:rsidR="009A0B7E" w:rsidRPr="003278ED">
        <w:rPr>
          <w:rFonts w:ascii="Times New Roman" w:eastAsia="Times New Roman" w:hAnsi="Times New Roman" w:cs="Times New Roman"/>
          <w:sz w:val="24"/>
          <w:szCs w:val="28"/>
        </w:rPr>
        <w:t>redirecționarea cheltuielilor cu prioritate redusă, ineficiente sau ineficace</w:t>
      </w:r>
      <w:r w:rsidR="00693732" w:rsidRPr="003278ED">
        <w:rPr>
          <w:rFonts w:ascii="Times New Roman" w:eastAsia="Times New Roman" w:hAnsi="Times New Roman" w:cs="Times New Roman"/>
          <w:sz w:val="24"/>
          <w:szCs w:val="28"/>
        </w:rPr>
        <w:t>,</w:t>
      </w:r>
      <w:r w:rsidR="009A0B7E" w:rsidRPr="003278ED">
        <w:rPr>
          <w:rFonts w:ascii="Times New Roman" w:eastAsia="Times New Roman" w:hAnsi="Times New Roman" w:cs="Times New Roman"/>
          <w:sz w:val="24"/>
          <w:szCs w:val="28"/>
        </w:rPr>
        <w:t xml:space="preserve"> în urma unei analize </w:t>
      </w:r>
      <w:r w:rsidR="00693732" w:rsidRPr="003278ED">
        <w:rPr>
          <w:rFonts w:ascii="Times New Roman" w:eastAsia="Times New Roman" w:hAnsi="Times New Roman" w:cs="Times New Roman"/>
          <w:sz w:val="24"/>
          <w:szCs w:val="28"/>
        </w:rPr>
        <w:t>eficace</w:t>
      </w:r>
      <w:r w:rsidR="009A0B7E" w:rsidRPr="003278ED">
        <w:rPr>
          <w:rFonts w:ascii="Times New Roman" w:eastAsia="Times New Roman" w:hAnsi="Times New Roman" w:cs="Times New Roman"/>
          <w:sz w:val="24"/>
          <w:szCs w:val="28"/>
        </w:rPr>
        <w:t xml:space="preserve">. </w:t>
      </w:r>
    </w:p>
    <w:p w14:paraId="007196C5" w14:textId="525398E3" w:rsidR="009A0B7E" w:rsidRPr="003278ED" w:rsidRDefault="009A0B7E"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Pentru a furniza măsuri bine țintite și durabile de economisire, precum și cheltuieli de o calitate sporită</w:t>
      </w:r>
      <w:r w:rsidR="007C4658"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este necesară continuarea procesului de raționalizare a cheltuielilor și instituționalizarea acestuia. </w:t>
      </w:r>
    </w:p>
    <w:p w14:paraId="20B1B7A5" w14:textId="73EB2EC9" w:rsidR="009A0B7E" w:rsidRPr="003278ED" w:rsidRDefault="009A0B7E"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Strategia de </w:t>
      </w:r>
      <w:r w:rsidR="0079022C" w:rsidRPr="003278ED">
        <w:rPr>
          <w:rFonts w:ascii="Times New Roman" w:eastAsia="Times New Roman" w:hAnsi="Times New Roman" w:cs="Times New Roman"/>
          <w:sz w:val="24"/>
          <w:szCs w:val="28"/>
        </w:rPr>
        <w:t xml:space="preserve">dezvoltare a </w:t>
      </w:r>
      <w:r w:rsidRPr="003278ED">
        <w:rPr>
          <w:rFonts w:ascii="Times New Roman" w:eastAsia="Times New Roman" w:hAnsi="Times New Roman" w:cs="Times New Roman"/>
          <w:sz w:val="24"/>
          <w:szCs w:val="28"/>
        </w:rPr>
        <w:t>management</w:t>
      </w:r>
      <w:r w:rsidR="0079022C" w:rsidRPr="003278ED">
        <w:rPr>
          <w:rFonts w:ascii="Times New Roman" w:eastAsia="Times New Roman" w:hAnsi="Times New Roman" w:cs="Times New Roman"/>
          <w:sz w:val="24"/>
          <w:szCs w:val="28"/>
        </w:rPr>
        <w:t>ului</w:t>
      </w:r>
      <w:r w:rsidRPr="003278ED">
        <w:rPr>
          <w:rFonts w:ascii="Times New Roman" w:eastAsia="Times New Roman" w:hAnsi="Times New Roman" w:cs="Times New Roman"/>
          <w:sz w:val="24"/>
          <w:szCs w:val="28"/>
        </w:rPr>
        <w:t xml:space="preserve"> finanțelor publice</w:t>
      </w:r>
      <w:r w:rsidR="00D05BC3" w:rsidRPr="003278ED">
        <w:rPr>
          <w:rFonts w:ascii="Times New Roman" w:eastAsia="Times New Roman" w:hAnsi="Times New Roman" w:cs="Times New Roman"/>
          <w:sz w:val="24"/>
          <w:szCs w:val="28"/>
        </w:rPr>
        <w:t xml:space="preserve"> 2023-2030</w:t>
      </w:r>
      <w:r w:rsidRPr="003278ED">
        <w:rPr>
          <w:rFonts w:ascii="Times New Roman" w:eastAsia="Times New Roman" w:hAnsi="Times New Roman" w:cs="Times New Roman"/>
          <w:sz w:val="24"/>
          <w:szCs w:val="28"/>
        </w:rPr>
        <w:t xml:space="preserve">, aprobată </w:t>
      </w:r>
      <w:r w:rsidR="000D114A" w:rsidRPr="003278ED">
        <w:rPr>
          <w:rFonts w:ascii="Times New Roman" w:eastAsia="Times New Roman" w:hAnsi="Times New Roman" w:cs="Times New Roman"/>
          <w:sz w:val="24"/>
          <w:szCs w:val="28"/>
        </w:rPr>
        <w:t xml:space="preserve">în </w:t>
      </w:r>
      <w:r w:rsidR="00B435BE" w:rsidRPr="003278ED">
        <w:rPr>
          <w:rFonts w:ascii="Times New Roman" w:eastAsia="Times New Roman" w:hAnsi="Times New Roman" w:cs="Times New Roman"/>
          <w:sz w:val="24"/>
          <w:szCs w:val="28"/>
        </w:rPr>
        <w:t xml:space="preserve">anul </w:t>
      </w:r>
      <w:r w:rsidR="000D114A" w:rsidRPr="003278ED">
        <w:rPr>
          <w:rFonts w:ascii="Times New Roman" w:eastAsia="Times New Roman" w:hAnsi="Times New Roman" w:cs="Times New Roman"/>
          <w:sz w:val="24"/>
          <w:szCs w:val="28"/>
        </w:rPr>
        <w:t>2023</w:t>
      </w:r>
      <w:r w:rsidR="00955F59" w:rsidRPr="003278ED">
        <w:rPr>
          <w:rFonts w:ascii="Times New Roman" w:eastAsia="Times New Roman" w:hAnsi="Times New Roman" w:cs="Times New Roman"/>
          <w:sz w:val="24"/>
          <w:szCs w:val="28"/>
        </w:rPr>
        <w:t>,</w:t>
      </w:r>
      <w:r w:rsidR="000D114A" w:rsidRPr="003278ED">
        <w:rPr>
          <w:rFonts w:ascii="Times New Roman" w:eastAsia="Times New Roman" w:hAnsi="Times New Roman" w:cs="Times New Roman"/>
          <w:sz w:val="24"/>
          <w:szCs w:val="28"/>
        </w:rPr>
        <w:t xml:space="preserve"> </w:t>
      </w:r>
      <w:r w:rsidRPr="003278ED">
        <w:rPr>
          <w:rFonts w:ascii="Times New Roman" w:eastAsia="Times New Roman" w:hAnsi="Times New Roman" w:cs="Times New Roman"/>
          <w:sz w:val="24"/>
          <w:szCs w:val="28"/>
        </w:rPr>
        <w:t>are drept obiectiv instituționalizarea la scară largă a procesului, astfel încât, în termen de 5-</w:t>
      </w:r>
      <w:r w:rsidRPr="003278ED">
        <w:rPr>
          <w:rFonts w:ascii="Times New Roman" w:eastAsia="Times New Roman" w:hAnsi="Times New Roman" w:cs="Times New Roman"/>
          <w:sz w:val="24"/>
          <w:szCs w:val="28"/>
        </w:rPr>
        <w:lastRenderedPageBreak/>
        <w:t>7 ani</w:t>
      </w:r>
      <w:r w:rsidR="007C4658"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fiecare sector gestionat de ministere să fie supus procesului de raționalizare a cheltuielilor bugetare.</w:t>
      </w:r>
    </w:p>
    <w:p w14:paraId="5CDEF1A2" w14:textId="33960129" w:rsidR="009A0B7E" w:rsidRPr="003278ED" w:rsidRDefault="009A0B7E"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Astfel, cel de</w:t>
      </w:r>
      <w:r w:rsidR="001D5B49"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al treilea exercițiu de raționalizare a cheltuielilor s-a concentrat asupra </w:t>
      </w:r>
      <w:r w:rsidRPr="003278ED">
        <w:rPr>
          <w:rFonts w:ascii="Times New Roman" w:eastAsia="Times New Roman" w:hAnsi="Times New Roman" w:cs="Times New Roman"/>
          <w:i/>
          <w:sz w:val="24"/>
          <w:szCs w:val="28"/>
        </w:rPr>
        <w:t>sectorului sănătății</w:t>
      </w:r>
      <w:r w:rsidRPr="003278ED">
        <w:rPr>
          <w:rFonts w:ascii="Times New Roman" w:eastAsia="Times New Roman" w:hAnsi="Times New Roman" w:cs="Times New Roman"/>
          <w:sz w:val="24"/>
          <w:szCs w:val="28"/>
        </w:rPr>
        <w:t xml:space="preserve"> (cheltuielile acoperite din fondul asigurărilor obligatorii de asistență medicală, și anume asistența medicală urgentă prespitalicească, asistența medicală primară, asistența medicală specializată de ambulatoriu și îngrijirile medicale comunitare și la domiciliu). Exercițiul a fost efectuat în </w:t>
      </w:r>
      <w:r w:rsidR="007C4658" w:rsidRPr="003278ED">
        <w:rPr>
          <w:rFonts w:ascii="Times New Roman" w:eastAsia="Times New Roman" w:hAnsi="Times New Roman" w:cs="Times New Roman"/>
          <w:sz w:val="24"/>
          <w:szCs w:val="28"/>
        </w:rPr>
        <w:t xml:space="preserve">anii </w:t>
      </w:r>
      <w:r w:rsidRPr="003278ED">
        <w:rPr>
          <w:rFonts w:ascii="Times New Roman" w:eastAsia="Times New Roman" w:hAnsi="Times New Roman" w:cs="Times New Roman"/>
          <w:sz w:val="24"/>
          <w:szCs w:val="28"/>
        </w:rPr>
        <w:t>2022</w:t>
      </w:r>
      <w:r w:rsidR="007C4658" w:rsidRPr="003278ED">
        <w:rPr>
          <w:rFonts w:ascii="Times New Roman" w:eastAsia="Times New Roman" w:hAnsi="Times New Roman" w:cs="Times New Roman"/>
          <w:sz w:val="24"/>
          <w:szCs w:val="28"/>
        </w:rPr>
        <w:t xml:space="preserve"> și </w:t>
      </w:r>
      <w:r w:rsidRPr="003278ED">
        <w:rPr>
          <w:rFonts w:ascii="Times New Roman" w:eastAsia="Times New Roman" w:hAnsi="Times New Roman" w:cs="Times New Roman"/>
          <w:sz w:val="24"/>
          <w:szCs w:val="28"/>
        </w:rPr>
        <w:t xml:space="preserve">2023 și este </w:t>
      </w:r>
      <w:r w:rsidR="00BD6D9F" w:rsidRPr="003278ED">
        <w:rPr>
          <w:rFonts w:ascii="Times New Roman" w:eastAsia="Times New Roman" w:hAnsi="Times New Roman" w:cs="Times New Roman"/>
          <w:sz w:val="24"/>
          <w:szCs w:val="28"/>
        </w:rPr>
        <w:t>în</w:t>
      </w:r>
      <w:r w:rsidRPr="003278ED">
        <w:rPr>
          <w:rFonts w:ascii="Times New Roman" w:eastAsia="Times New Roman" w:hAnsi="Times New Roman" w:cs="Times New Roman"/>
          <w:sz w:val="24"/>
          <w:szCs w:val="28"/>
        </w:rPr>
        <w:t xml:space="preserve"> etapa de definitivare. Măsurile identificate se referă la optimizarea cheltuielilor în cadrul Centrului Național de Asistență Medicală Urgentă Prespitalicească (i), </w:t>
      </w:r>
      <w:r w:rsidR="00614945" w:rsidRPr="003278ED">
        <w:rPr>
          <w:rFonts w:ascii="Times New Roman" w:eastAsia="Times New Roman" w:hAnsi="Times New Roman" w:cs="Times New Roman"/>
          <w:sz w:val="24"/>
          <w:szCs w:val="28"/>
        </w:rPr>
        <w:t xml:space="preserve">la </w:t>
      </w:r>
      <w:r w:rsidRPr="003278ED">
        <w:rPr>
          <w:rFonts w:ascii="Times New Roman" w:eastAsia="Times New Roman" w:hAnsi="Times New Roman" w:cs="Times New Roman"/>
          <w:sz w:val="24"/>
          <w:szCs w:val="28"/>
        </w:rPr>
        <w:t xml:space="preserve">modificarea modului de contractare și </w:t>
      </w:r>
      <w:r w:rsidR="00614945" w:rsidRPr="003278ED">
        <w:rPr>
          <w:rFonts w:ascii="Times New Roman" w:eastAsia="Times New Roman" w:hAnsi="Times New Roman" w:cs="Times New Roman"/>
          <w:sz w:val="24"/>
          <w:szCs w:val="28"/>
        </w:rPr>
        <w:t xml:space="preserve">de </w:t>
      </w:r>
      <w:r w:rsidRPr="003278ED">
        <w:rPr>
          <w:rFonts w:ascii="Times New Roman" w:eastAsia="Times New Roman" w:hAnsi="Times New Roman" w:cs="Times New Roman"/>
          <w:sz w:val="24"/>
          <w:szCs w:val="28"/>
        </w:rPr>
        <w:t xml:space="preserve">finanțare a asistenței medicale primare (ii), </w:t>
      </w:r>
      <w:r w:rsidR="00614945" w:rsidRPr="003278ED">
        <w:rPr>
          <w:rFonts w:ascii="Times New Roman" w:eastAsia="Times New Roman" w:hAnsi="Times New Roman" w:cs="Times New Roman"/>
          <w:sz w:val="24"/>
          <w:szCs w:val="28"/>
        </w:rPr>
        <w:t xml:space="preserve">la </w:t>
      </w:r>
      <w:r w:rsidRPr="003278ED">
        <w:rPr>
          <w:rFonts w:ascii="Times New Roman" w:eastAsia="Times New Roman" w:hAnsi="Times New Roman" w:cs="Times New Roman"/>
          <w:sz w:val="24"/>
          <w:szCs w:val="28"/>
        </w:rPr>
        <w:t xml:space="preserve">modificarea metodei de contractare și </w:t>
      </w:r>
      <w:r w:rsidR="00614945" w:rsidRPr="003278ED">
        <w:rPr>
          <w:rFonts w:ascii="Times New Roman" w:eastAsia="Times New Roman" w:hAnsi="Times New Roman" w:cs="Times New Roman"/>
          <w:sz w:val="24"/>
          <w:szCs w:val="28"/>
        </w:rPr>
        <w:t xml:space="preserve">de </w:t>
      </w:r>
      <w:r w:rsidRPr="003278ED">
        <w:rPr>
          <w:rFonts w:ascii="Times New Roman" w:eastAsia="Times New Roman" w:hAnsi="Times New Roman" w:cs="Times New Roman"/>
          <w:sz w:val="24"/>
          <w:szCs w:val="28"/>
        </w:rPr>
        <w:t xml:space="preserve">plată pentru persoanele neasigurate în asistența medicală primară (iii), </w:t>
      </w:r>
      <w:r w:rsidR="00614945" w:rsidRPr="003278ED">
        <w:rPr>
          <w:rFonts w:ascii="Times New Roman" w:eastAsia="Times New Roman" w:hAnsi="Times New Roman" w:cs="Times New Roman"/>
          <w:sz w:val="24"/>
          <w:szCs w:val="28"/>
        </w:rPr>
        <w:t xml:space="preserve">la </w:t>
      </w:r>
      <w:r w:rsidRPr="003278ED">
        <w:rPr>
          <w:rFonts w:ascii="Times New Roman" w:eastAsia="Times New Roman" w:hAnsi="Times New Roman" w:cs="Times New Roman"/>
          <w:sz w:val="24"/>
          <w:szCs w:val="28"/>
        </w:rPr>
        <w:t xml:space="preserve">creșterea gradului de acoperire cu servicii medicale ale persoanelor asigurate în asistența medicală specializată de </w:t>
      </w:r>
      <w:r w:rsidR="00614945" w:rsidRPr="003278ED">
        <w:rPr>
          <w:rFonts w:ascii="Times New Roman" w:eastAsia="Times New Roman" w:hAnsi="Times New Roman" w:cs="Times New Roman"/>
          <w:sz w:val="24"/>
          <w:szCs w:val="28"/>
        </w:rPr>
        <w:t>ambulatoriu,</w:t>
      </w:r>
      <w:r w:rsidRPr="003278ED">
        <w:rPr>
          <w:rFonts w:ascii="Times New Roman" w:eastAsia="Times New Roman" w:hAnsi="Times New Roman" w:cs="Times New Roman"/>
          <w:sz w:val="24"/>
          <w:szCs w:val="28"/>
        </w:rPr>
        <w:t xml:space="preserve"> prin modificarea metodei de contractare</w:t>
      </w:r>
      <w:r w:rsidR="001D5B49" w:rsidRPr="003278ED">
        <w:rPr>
          <w:rFonts w:ascii="Times New Roman" w:eastAsia="Times New Roman" w:hAnsi="Times New Roman" w:cs="Times New Roman"/>
          <w:sz w:val="24"/>
          <w:szCs w:val="28"/>
        </w:rPr>
        <w:t xml:space="preserve"> </w:t>
      </w:r>
      <w:r w:rsidRPr="003278ED">
        <w:rPr>
          <w:rFonts w:ascii="Times New Roman" w:eastAsia="Times New Roman" w:hAnsi="Times New Roman" w:cs="Times New Roman"/>
          <w:sz w:val="24"/>
          <w:szCs w:val="28"/>
        </w:rPr>
        <w:t xml:space="preserve">(iv), </w:t>
      </w:r>
      <w:r w:rsidR="00614945" w:rsidRPr="003278ED">
        <w:rPr>
          <w:rFonts w:ascii="Times New Roman" w:eastAsia="Times New Roman" w:hAnsi="Times New Roman" w:cs="Times New Roman"/>
          <w:sz w:val="24"/>
          <w:szCs w:val="28"/>
        </w:rPr>
        <w:t xml:space="preserve">la </w:t>
      </w:r>
      <w:r w:rsidRPr="003278ED">
        <w:rPr>
          <w:rFonts w:ascii="Times New Roman" w:eastAsia="Times New Roman" w:hAnsi="Times New Roman" w:cs="Times New Roman"/>
          <w:sz w:val="24"/>
          <w:szCs w:val="28"/>
        </w:rPr>
        <w:t xml:space="preserve">contractarea și finanțarea centrelor de sănătate prietenoase tinerilor și centrelor comunitare de sănătate mintală, în funcție de activitatea </w:t>
      </w:r>
      <w:r w:rsidR="001D5B49" w:rsidRPr="003278ED">
        <w:rPr>
          <w:rFonts w:ascii="Times New Roman" w:eastAsia="Times New Roman" w:hAnsi="Times New Roman" w:cs="Times New Roman"/>
          <w:sz w:val="24"/>
          <w:szCs w:val="28"/>
        </w:rPr>
        <w:t>ș</w:t>
      </w:r>
      <w:r w:rsidRPr="003278ED">
        <w:rPr>
          <w:rFonts w:ascii="Times New Roman" w:eastAsia="Times New Roman" w:hAnsi="Times New Roman" w:cs="Times New Roman"/>
          <w:sz w:val="24"/>
          <w:szCs w:val="28"/>
        </w:rPr>
        <w:t xml:space="preserve">i </w:t>
      </w:r>
      <w:r w:rsidR="00614945" w:rsidRPr="003278ED">
        <w:rPr>
          <w:rFonts w:ascii="Times New Roman" w:eastAsia="Times New Roman" w:hAnsi="Times New Roman" w:cs="Times New Roman"/>
          <w:sz w:val="24"/>
          <w:szCs w:val="28"/>
        </w:rPr>
        <w:t xml:space="preserve">de </w:t>
      </w:r>
      <w:r w:rsidRPr="003278ED">
        <w:rPr>
          <w:rFonts w:ascii="Times New Roman" w:eastAsia="Times New Roman" w:hAnsi="Times New Roman" w:cs="Times New Roman"/>
          <w:sz w:val="24"/>
          <w:szCs w:val="28"/>
        </w:rPr>
        <w:t>rezultatele acestora (v)</w:t>
      </w:r>
      <w:r w:rsidR="001D5B49"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și </w:t>
      </w:r>
      <w:r w:rsidR="00614945" w:rsidRPr="003278ED">
        <w:rPr>
          <w:rFonts w:ascii="Times New Roman" w:eastAsia="Times New Roman" w:hAnsi="Times New Roman" w:cs="Times New Roman"/>
          <w:sz w:val="24"/>
          <w:szCs w:val="28"/>
        </w:rPr>
        <w:t xml:space="preserve">la </w:t>
      </w:r>
      <w:r w:rsidRPr="003278ED">
        <w:rPr>
          <w:rFonts w:ascii="Times New Roman" w:eastAsia="Times New Roman" w:hAnsi="Times New Roman" w:cs="Times New Roman"/>
          <w:sz w:val="24"/>
          <w:szCs w:val="28"/>
        </w:rPr>
        <w:t>sporirea accesului populației la servicii de îngrijiri medicale la domiciliu (vi).</w:t>
      </w:r>
    </w:p>
    <w:p w14:paraId="6FE8BE22" w14:textId="7F1646FA" w:rsidR="009A0B7E" w:rsidRPr="003278ED" w:rsidRDefault="009A0B7E"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În prezent, în derulare se află cel de-al patrulea exercițiu de raționalizare a cheltuielilor, care se axează pe </w:t>
      </w:r>
      <w:r w:rsidRPr="003278ED">
        <w:rPr>
          <w:rFonts w:ascii="Times New Roman" w:eastAsia="Times New Roman" w:hAnsi="Times New Roman" w:cs="Times New Roman"/>
          <w:i/>
          <w:iCs/>
          <w:sz w:val="24"/>
          <w:szCs w:val="28"/>
        </w:rPr>
        <w:t>sectorul protecției sociale</w:t>
      </w:r>
      <w:r w:rsidRPr="003278ED">
        <w:rPr>
          <w:rFonts w:ascii="Times New Roman" w:eastAsia="Times New Roman" w:hAnsi="Times New Roman" w:cs="Times New Roman"/>
          <w:iCs/>
          <w:sz w:val="24"/>
          <w:szCs w:val="28"/>
        </w:rPr>
        <w:t xml:space="preserve">, cu următorul domeniu de analiză: </w:t>
      </w:r>
      <w:r w:rsidRPr="003278ED">
        <w:rPr>
          <w:rFonts w:ascii="Times New Roman" w:hAnsi="Times New Roman" w:cs="Times New Roman"/>
          <w:sz w:val="24"/>
          <w:szCs w:val="28"/>
        </w:rPr>
        <w:t xml:space="preserve">veniturile </w:t>
      </w:r>
      <w:r w:rsidRPr="003278ED">
        <w:rPr>
          <w:rFonts w:ascii="Times New Roman" w:eastAsia="Times New Roman" w:hAnsi="Times New Roman" w:cs="Times New Roman"/>
          <w:sz w:val="24"/>
          <w:szCs w:val="28"/>
        </w:rPr>
        <w:t>bugetului asigurărilor sociale de stat</w:t>
      </w:r>
      <w:r w:rsidRPr="003278ED">
        <w:rPr>
          <w:rFonts w:ascii="Times New Roman" w:hAnsi="Times New Roman" w:cs="Times New Roman"/>
          <w:sz w:val="24"/>
          <w:szCs w:val="28"/>
        </w:rPr>
        <w:t xml:space="preserve"> (BASS), în special pe aspectele facilităților tarifare și scutirilor la plata contribuțiilor sociale de stat existente la moment și </w:t>
      </w:r>
      <w:r w:rsidR="00A12285" w:rsidRPr="003278ED">
        <w:rPr>
          <w:rFonts w:ascii="Times New Roman" w:hAnsi="Times New Roman" w:cs="Times New Roman"/>
          <w:sz w:val="24"/>
          <w:szCs w:val="28"/>
        </w:rPr>
        <w:t xml:space="preserve">pe </w:t>
      </w:r>
      <w:r w:rsidRPr="003278ED">
        <w:rPr>
          <w:rFonts w:ascii="Times New Roman" w:hAnsi="Times New Roman" w:cs="Times New Roman"/>
          <w:sz w:val="24"/>
          <w:szCs w:val="28"/>
        </w:rPr>
        <w:t>anumite cheltuieli (prestații) achitate din (prin) acest</w:t>
      </w:r>
      <w:r w:rsidR="00A12285" w:rsidRPr="003278ED">
        <w:rPr>
          <w:rFonts w:ascii="Times New Roman" w:hAnsi="Times New Roman" w:cs="Times New Roman"/>
          <w:sz w:val="24"/>
          <w:szCs w:val="28"/>
        </w:rPr>
        <w:t>a</w:t>
      </w:r>
      <w:r w:rsidRPr="003278ED">
        <w:rPr>
          <w:rFonts w:ascii="Times New Roman" w:hAnsi="Times New Roman" w:cs="Times New Roman"/>
          <w:sz w:val="24"/>
          <w:szCs w:val="28"/>
        </w:rPr>
        <w:t xml:space="preserve"> , </w:t>
      </w:r>
      <w:r w:rsidR="00A12285" w:rsidRPr="003278ED">
        <w:rPr>
          <w:rFonts w:ascii="Times New Roman" w:hAnsi="Times New Roman" w:cs="Times New Roman"/>
          <w:sz w:val="24"/>
          <w:szCs w:val="28"/>
        </w:rPr>
        <w:t>precum</w:t>
      </w:r>
      <w:r w:rsidRPr="003278ED">
        <w:rPr>
          <w:rFonts w:ascii="Times New Roman" w:hAnsi="Times New Roman" w:cs="Times New Roman"/>
          <w:sz w:val="24"/>
          <w:szCs w:val="28"/>
        </w:rPr>
        <w:t xml:space="preserve"> protecția în caz de incapacitate temporară de muncă, protecția familiei și copilului, protecția socială în cazuri excepționale, protecția socială a unor categorii de cetățeni</w:t>
      </w:r>
      <w:r w:rsidRPr="003278ED">
        <w:rPr>
          <w:rFonts w:ascii="Times New Roman" w:eastAsia="Times New Roman" w:hAnsi="Times New Roman" w:cs="Times New Roman"/>
          <w:sz w:val="24"/>
          <w:szCs w:val="28"/>
        </w:rPr>
        <w:t>.</w:t>
      </w:r>
    </w:p>
    <w:p w14:paraId="4ED3249F" w14:textId="567287F1" w:rsidR="009A0B7E" w:rsidRPr="003278ED" w:rsidRDefault="009A0B7E" w:rsidP="007D3A2B">
      <w:pPr>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Scopul exercițiului este de a identifica unele ineficiențe în sistemul de asigurări (protecție) socială, astfel </w:t>
      </w:r>
      <w:r w:rsidR="00A12285" w:rsidRPr="003278ED">
        <w:rPr>
          <w:rFonts w:ascii="Times New Roman" w:eastAsia="Times New Roman" w:hAnsi="Times New Roman" w:cs="Times New Roman"/>
          <w:sz w:val="24"/>
          <w:szCs w:val="28"/>
        </w:rPr>
        <w:t xml:space="preserve">încât </w:t>
      </w:r>
      <w:r w:rsidRPr="003278ED">
        <w:rPr>
          <w:rFonts w:ascii="Times New Roman" w:eastAsia="Times New Roman" w:hAnsi="Times New Roman" w:cs="Times New Roman"/>
          <w:sz w:val="24"/>
          <w:szCs w:val="28"/>
        </w:rPr>
        <w:t>măsurile de remediere a acestora să contribuie, încep</w:t>
      </w:r>
      <w:r w:rsidR="00EC4812" w:rsidRPr="003278ED">
        <w:rPr>
          <w:rFonts w:ascii="Times New Roman" w:eastAsia="Times New Roman" w:hAnsi="Times New Roman" w:cs="Times New Roman"/>
          <w:sz w:val="24"/>
          <w:szCs w:val="28"/>
        </w:rPr>
        <w:t>â</w:t>
      </w:r>
      <w:r w:rsidRPr="003278ED">
        <w:rPr>
          <w:rFonts w:ascii="Times New Roman" w:eastAsia="Times New Roman" w:hAnsi="Times New Roman" w:cs="Times New Roman"/>
          <w:sz w:val="24"/>
          <w:szCs w:val="28"/>
        </w:rPr>
        <w:t>nd cu anul 2026, la reduce</w:t>
      </w:r>
      <w:r w:rsidR="00EC4812" w:rsidRPr="003278ED">
        <w:rPr>
          <w:rFonts w:ascii="Times New Roman" w:eastAsia="Times New Roman" w:hAnsi="Times New Roman" w:cs="Times New Roman"/>
          <w:sz w:val="24"/>
          <w:szCs w:val="28"/>
        </w:rPr>
        <w:t>re</w:t>
      </w:r>
      <w:r w:rsidRPr="003278ED">
        <w:rPr>
          <w:rFonts w:ascii="Times New Roman" w:eastAsia="Times New Roman" w:hAnsi="Times New Roman" w:cs="Times New Roman"/>
          <w:sz w:val="24"/>
          <w:szCs w:val="28"/>
        </w:rPr>
        <w:t>a deficitul</w:t>
      </w:r>
      <w:r w:rsidR="007A5FBE" w:rsidRPr="003278ED">
        <w:rPr>
          <w:rFonts w:ascii="Times New Roman" w:eastAsia="Times New Roman" w:hAnsi="Times New Roman" w:cs="Times New Roman"/>
          <w:sz w:val="24"/>
          <w:szCs w:val="28"/>
        </w:rPr>
        <w:t>ui</w:t>
      </w:r>
      <w:r w:rsidRPr="003278ED">
        <w:rPr>
          <w:rFonts w:ascii="Times New Roman" w:eastAsia="Times New Roman" w:hAnsi="Times New Roman" w:cs="Times New Roman"/>
          <w:sz w:val="24"/>
          <w:szCs w:val="28"/>
        </w:rPr>
        <w:t xml:space="preserve"> BASS, inclusiv prin micșorarea transferurilor de la bugetul de stat</w:t>
      </w:r>
      <w:r w:rsidR="00614945"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în scopul acoperirii deficit</w:t>
      </w:r>
      <w:r w:rsidR="00A12285" w:rsidRPr="003278ED">
        <w:rPr>
          <w:rFonts w:ascii="Times New Roman" w:eastAsia="Times New Roman" w:hAnsi="Times New Roman" w:cs="Times New Roman"/>
          <w:sz w:val="24"/>
          <w:szCs w:val="28"/>
        </w:rPr>
        <w:t>ului menționat</w:t>
      </w:r>
      <w:r w:rsidRPr="003278ED">
        <w:rPr>
          <w:rFonts w:ascii="Times New Roman" w:eastAsia="Times New Roman" w:hAnsi="Times New Roman" w:cs="Times New Roman"/>
          <w:sz w:val="24"/>
          <w:szCs w:val="28"/>
        </w:rPr>
        <w:t>.</w:t>
      </w:r>
    </w:p>
    <w:p w14:paraId="1530D4C9" w14:textId="77777777" w:rsidR="00CA2508" w:rsidRPr="003278ED" w:rsidRDefault="00CA2508" w:rsidP="00A47DB5">
      <w:pPr>
        <w:spacing w:after="0" w:line="240" w:lineRule="auto"/>
        <w:jc w:val="both"/>
        <w:rPr>
          <w:rFonts w:ascii="Times New Roman" w:eastAsia="Times New Roman" w:hAnsi="Times New Roman" w:cs="Times New Roman"/>
          <w:b/>
          <w:sz w:val="24"/>
          <w:szCs w:val="24"/>
        </w:rPr>
      </w:pPr>
    </w:p>
    <w:p w14:paraId="0D5FE183" w14:textId="77777777" w:rsidR="001A2AF9" w:rsidRPr="0057504F" w:rsidRDefault="001A2AF9" w:rsidP="007D2007">
      <w:pPr>
        <w:pStyle w:val="Title1"/>
        <w:jc w:val="center"/>
        <w:outlineLvl w:val="0"/>
        <w:rPr>
          <w:rFonts w:ascii="Times New Roman" w:hAnsi="Times New Roman"/>
          <w:color w:val="auto"/>
          <w:sz w:val="24"/>
        </w:rPr>
      </w:pPr>
      <w:bookmarkStart w:id="4" w:name="_Toc175825341"/>
      <w:r w:rsidRPr="0057504F">
        <w:rPr>
          <w:rFonts w:ascii="Times New Roman" w:hAnsi="Times New Roman"/>
          <w:color w:val="auto"/>
          <w:sz w:val="24"/>
        </w:rPr>
        <w:t>II. PERSPECTIVE ECONOMICE</w:t>
      </w:r>
      <w:bookmarkEnd w:id="4"/>
    </w:p>
    <w:p w14:paraId="4E47DDC2" w14:textId="77777777" w:rsidR="00707D02" w:rsidRPr="003278ED" w:rsidRDefault="00707D02" w:rsidP="00A47DB5">
      <w:pPr>
        <w:spacing w:after="0" w:line="240" w:lineRule="auto"/>
        <w:jc w:val="both"/>
        <w:rPr>
          <w:rFonts w:ascii="Times New Roman" w:hAnsi="Times New Roman" w:cs="Times New Roman"/>
          <w:b/>
          <w:bCs/>
          <w:sz w:val="24"/>
          <w:szCs w:val="24"/>
        </w:rPr>
      </w:pPr>
    </w:p>
    <w:p w14:paraId="6D9F8784" w14:textId="231DD8CB" w:rsidR="001A2AF9" w:rsidRPr="0057504F" w:rsidRDefault="001A2AF9" w:rsidP="00E72EA5">
      <w:pPr>
        <w:pStyle w:val="Title2"/>
        <w:jc w:val="center"/>
        <w:outlineLvl w:val="1"/>
        <w:rPr>
          <w:rFonts w:ascii="Times New Roman" w:hAnsi="Times New Roman"/>
          <w:i w:val="0"/>
          <w:color w:val="auto"/>
          <w:sz w:val="24"/>
        </w:rPr>
      </w:pPr>
      <w:bookmarkStart w:id="5" w:name="_Toc175825342"/>
      <w:r w:rsidRPr="0057504F">
        <w:rPr>
          <w:rFonts w:ascii="Times New Roman" w:hAnsi="Times New Roman"/>
          <w:i w:val="0"/>
          <w:color w:val="auto"/>
          <w:sz w:val="24"/>
        </w:rPr>
        <w:t>A. Perspective economice globale</w:t>
      </w:r>
      <w:bookmarkEnd w:id="5"/>
    </w:p>
    <w:p w14:paraId="4B12A3BC" w14:textId="77777777" w:rsidR="00257ACD" w:rsidRPr="003278ED" w:rsidRDefault="00257ACD" w:rsidP="007D3A2B">
      <w:pPr>
        <w:spacing w:after="0" w:line="240" w:lineRule="auto"/>
        <w:ind w:firstLine="709"/>
        <w:jc w:val="both"/>
        <w:rPr>
          <w:rFonts w:ascii="Times New Roman" w:hAnsi="Times New Roman" w:cs="Times New Roman"/>
          <w:b/>
          <w:bCs/>
          <w:sz w:val="24"/>
          <w:szCs w:val="24"/>
        </w:rPr>
      </w:pPr>
    </w:p>
    <w:p w14:paraId="1C1EB1E4" w14:textId="65E09BBA" w:rsidR="0050499B" w:rsidRPr="003278ED" w:rsidRDefault="0050499B" w:rsidP="007D3A2B">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Economia globală este în proces de revigorare după efectele negative ale pandemiei și </w:t>
      </w:r>
      <w:r w:rsidR="00A12285" w:rsidRPr="003278ED">
        <w:rPr>
          <w:rFonts w:ascii="Times New Roman" w:hAnsi="Times New Roman" w:cs="Times New Roman"/>
          <w:bCs/>
          <w:sz w:val="24"/>
          <w:szCs w:val="28"/>
        </w:rPr>
        <w:t xml:space="preserve">ale </w:t>
      </w:r>
      <w:r w:rsidRPr="003278ED">
        <w:rPr>
          <w:rFonts w:ascii="Times New Roman" w:hAnsi="Times New Roman" w:cs="Times New Roman"/>
          <w:bCs/>
          <w:sz w:val="24"/>
          <w:szCs w:val="28"/>
        </w:rPr>
        <w:t>invaziei Rusiei în Ucraina. Inflația scade mai rapid decât se anticipa datorită îmbunătățirii ofertei și politicilor monetare restrictive. Concomitent, piața muncii și activitatea economică au demonstrat o reziliență bună față de înăsprirea politicilor monetare în majoritatea țărilor. Totuși, dobânzile ridicate, diminuarea suportului bugetar</w:t>
      </w:r>
      <w:r w:rsidR="00BD6D9F"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în condițiile datoriilor ridicate</w:t>
      </w:r>
      <w:r w:rsidR="00BD6D9F" w:rsidRPr="003278ED">
        <w:rPr>
          <w:rFonts w:ascii="Times New Roman" w:hAnsi="Times New Roman" w:cs="Times New Roman"/>
          <w:bCs/>
          <w:sz w:val="24"/>
          <w:szCs w:val="28"/>
        </w:rPr>
        <w:t xml:space="preserve">, și fragmentarea </w:t>
      </w:r>
      <w:proofErr w:type="spellStart"/>
      <w:r w:rsidR="00BD6D9F" w:rsidRPr="003278ED">
        <w:rPr>
          <w:rFonts w:ascii="Times New Roman" w:hAnsi="Times New Roman" w:cs="Times New Roman"/>
          <w:bCs/>
          <w:sz w:val="24"/>
          <w:szCs w:val="28"/>
        </w:rPr>
        <w:t>geo</w:t>
      </w:r>
      <w:r w:rsidRPr="003278ED">
        <w:rPr>
          <w:rFonts w:ascii="Times New Roman" w:hAnsi="Times New Roman" w:cs="Times New Roman"/>
          <w:bCs/>
          <w:sz w:val="24"/>
          <w:szCs w:val="28"/>
        </w:rPr>
        <w:t>economică</w:t>
      </w:r>
      <w:proofErr w:type="spellEnd"/>
      <w:r w:rsidRPr="003278ED">
        <w:rPr>
          <w:rFonts w:ascii="Times New Roman" w:hAnsi="Times New Roman" w:cs="Times New Roman"/>
          <w:bCs/>
          <w:sz w:val="24"/>
          <w:szCs w:val="28"/>
        </w:rPr>
        <w:t xml:space="preserve"> sunt factorii de bază care vor atenua creșterea economică în 2024.</w:t>
      </w:r>
    </w:p>
    <w:p w14:paraId="609B30B2" w14:textId="68B13895" w:rsidR="0050499B" w:rsidRPr="003278ED" w:rsidRDefault="0050499B" w:rsidP="007D3A2B">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Luând în considerare ultimele evoluții </w:t>
      </w:r>
      <w:r w:rsidR="00BD6D9F" w:rsidRPr="003278ED">
        <w:rPr>
          <w:rFonts w:ascii="Times New Roman" w:hAnsi="Times New Roman" w:cs="Times New Roman"/>
          <w:bCs/>
          <w:sz w:val="24"/>
          <w:szCs w:val="28"/>
        </w:rPr>
        <w:t>în dezvoltare</w:t>
      </w:r>
      <w:r w:rsidRPr="003278ED">
        <w:rPr>
          <w:rFonts w:ascii="Times New Roman" w:hAnsi="Times New Roman" w:cs="Times New Roman"/>
          <w:bCs/>
          <w:sz w:val="24"/>
          <w:szCs w:val="28"/>
        </w:rPr>
        <w:t>a economiei globale, Fondul Monetar Internațional (FMI) a revizuit prognoza economiei globale în raportul său World Economic Outlook</w:t>
      </w:r>
      <w:r w:rsidR="00BD6D9F"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publicat în ianuarie 2024. Conform acestei prognoze, creșterea economică globală va constitui 3,1% în 2024 și 3,2% în 2025, fiind susțin</w:t>
      </w:r>
      <w:r w:rsidR="00BD6D9F" w:rsidRPr="003278ED">
        <w:rPr>
          <w:rFonts w:ascii="Times New Roman" w:hAnsi="Times New Roman" w:cs="Times New Roman"/>
          <w:bCs/>
          <w:sz w:val="24"/>
          <w:szCs w:val="28"/>
        </w:rPr>
        <w:t xml:space="preserve">ută de scăderea presiunilor </w:t>
      </w:r>
      <w:proofErr w:type="spellStart"/>
      <w:r w:rsidR="00BD6D9F" w:rsidRPr="003278ED">
        <w:rPr>
          <w:rFonts w:ascii="Times New Roman" w:hAnsi="Times New Roman" w:cs="Times New Roman"/>
          <w:bCs/>
          <w:sz w:val="24"/>
          <w:szCs w:val="28"/>
        </w:rPr>
        <w:t>pro</w:t>
      </w:r>
      <w:r w:rsidRPr="003278ED">
        <w:rPr>
          <w:rFonts w:ascii="Times New Roman" w:hAnsi="Times New Roman" w:cs="Times New Roman"/>
          <w:bCs/>
          <w:sz w:val="24"/>
          <w:szCs w:val="28"/>
        </w:rPr>
        <w:t>infla</w:t>
      </w:r>
      <w:r w:rsidR="00072588">
        <w:rPr>
          <w:rFonts w:ascii="Times New Roman" w:hAnsi="Times New Roman" w:cs="Times New Roman"/>
          <w:bCs/>
          <w:sz w:val="24"/>
          <w:szCs w:val="28"/>
        </w:rPr>
        <w:t>ț</w:t>
      </w:r>
      <w:r w:rsidRPr="003278ED">
        <w:rPr>
          <w:rFonts w:ascii="Times New Roman" w:hAnsi="Times New Roman" w:cs="Times New Roman"/>
          <w:bCs/>
          <w:sz w:val="24"/>
          <w:szCs w:val="28"/>
        </w:rPr>
        <w:t>ioniste</w:t>
      </w:r>
      <w:proofErr w:type="spellEnd"/>
      <w:r w:rsidRPr="003278ED">
        <w:rPr>
          <w:rFonts w:ascii="Times New Roman" w:hAnsi="Times New Roman" w:cs="Times New Roman"/>
          <w:bCs/>
          <w:sz w:val="24"/>
          <w:szCs w:val="28"/>
        </w:rPr>
        <w:t xml:space="preserve">, </w:t>
      </w:r>
      <w:r w:rsidR="00BD6D9F"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reziliența economiei SUA și a unor țări în curs de dezvoltare, precum și </w:t>
      </w:r>
      <w:r w:rsidR="00BD6D9F"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suportul bugetar în China. Cu toate acestea, prognoza pentru anii 2024-2025 rămâne sub media istorică (2000-2019) de 3,8%. </w:t>
      </w:r>
    </w:p>
    <w:p w14:paraId="6D804FEF" w14:textId="082D4804" w:rsidR="00D87D33" w:rsidRPr="003278ED" w:rsidRDefault="0050499B" w:rsidP="007D3A2B">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Previziunile FMI se bazează pe ipoteze cu privire la diminuarea prețurilor internaționale la combustibil și </w:t>
      </w:r>
      <w:r w:rsidR="00BD6D9F" w:rsidRPr="003278ED">
        <w:rPr>
          <w:rFonts w:ascii="Times New Roman" w:hAnsi="Times New Roman" w:cs="Times New Roman"/>
          <w:bCs/>
          <w:sz w:val="24"/>
          <w:szCs w:val="28"/>
        </w:rPr>
        <w:t xml:space="preserve">la </w:t>
      </w:r>
      <w:r w:rsidRPr="003278ED">
        <w:rPr>
          <w:rFonts w:ascii="Times New Roman" w:hAnsi="Times New Roman" w:cs="Times New Roman"/>
          <w:bCs/>
          <w:sz w:val="24"/>
          <w:szCs w:val="28"/>
        </w:rPr>
        <w:t xml:space="preserve">alte materii prime, precum și la scăderea ratelor dobânzii în cele mai mari </w:t>
      </w:r>
      <w:r w:rsidRPr="003278ED">
        <w:rPr>
          <w:rFonts w:ascii="Times New Roman" w:hAnsi="Times New Roman" w:cs="Times New Roman"/>
          <w:bCs/>
          <w:sz w:val="24"/>
          <w:szCs w:val="28"/>
        </w:rPr>
        <w:lastRenderedPageBreak/>
        <w:t xml:space="preserve">economii ale lumii. Astfel, inflația globală </w:t>
      </w:r>
      <w:r w:rsidR="00BD6D9F" w:rsidRPr="003278ED">
        <w:rPr>
          <w:rFonts w:ascii="Times New Roman" w:hAnsi="Times New Roman" w:cs="Times New Roman"/>
          <w:bCs/>
          <w:sz w:val="24"/>
          <w:szCs w:val="28"/>
        </w:rPr>
        <w:t>se</w:t>
      </w:r>
      <w:r w:rsidRPr="003278ED">
        <w:rPr>
          <w:rFonts w:ascii="Times New Roman" w:hAnsi="Times New Roman" w:cs="Times New Roman"/>
          <w:bCs/>
          <w:sz w:val="24"/>
          <w:szCs w:val="28"/>
        </w:rPr>
        <w:t xml:space="preserve"> diminu</w:t>
      </w:r>
      <w:r w:rsidR="00BD6D9F" w:rsidRPr="003278ED">
        <w:rPr>
          <w:rFonts w:ascii="Times New Roman" w:hAnsi="Times New Roman" w:cs="Times New Roman"/>
          <w:bCs/>
          <w:sz w:val="24"/>
          <w:szCs w:val="28"/>
        </w:rPr>
        <w:t>ează</w:t>
      </w:r>
      <w:r w:rsidRPr="003278ED">
        <w:rPr>
          <w:rFonts w:ascii="Times New Roman" w:hAnsi="Times New Roman" w:cs="Times New Roman"/>
          <w:bCs/>
          <w:sz w:val="24"/>
          <w:szCs w:val="28"/>
        </w:rPr>
        <w:t xml:space="preserve"> de la 6,8% în anul 2023 până la 5,8% în 2024 și 4,4% </w:t>
      </w:r>
      <w:r w:rsidR="00BD6D9F"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în 2025. </w:t>
      </w:r>
    </w:p>
    <w:p w14:paraId="1B9A63E2" w14:textId="77777777" w:rsidR="00A47DB5" w:rsidRPr="003278ED" w:rsidRDefault="00A47DB5" w:rsidP="00A47DB5">
      <w:pPr>
        <w:tabs>
          <w:tab w:val="left" w:pos="993"/>
        </w:tabs>
        <w:spacing w:after="0" w:line="240" w:lineRule="auto"/>
        <w:rPr>
          <w:rFonts w:ascii="Times New Roman" w:hAnsi="Times New Roman" w:cs="Times New Roman"/>
          <w:b/>
          <w:bCs/>
          <w:szCs w:val="28"/>
        </w:rPr>
      </w:pPr>
    </w:p>
    <w:p w14:paraId="39CA92B9" w14:textId="314F2F1B" w:rsidR="00207D72" w:rsidRPr="003278ED" w:rsidRDefault="002E6CCA" w:rsidP="00072588">
      <w:pPr>
        <w:tabs>
          <w:tab w:val="left" w:pos="993"/>
        </w:tabs>
        <w:spacing w:after="0" w:line="240" w:lineRule="auto"/>
        <w:jc w:val="center"/>
        <w:rPr>
          <w:rFonts w:ascii="Times New Roman" w:hAnsi="Times New Roman" w:cs="Times New Roman"/>
          <w:b/>
          <w:bCs/>
          <w:sz w:val="24"/>
          <w:szCs w:val="24"/>
        </w:rPr>
      </w:pPr>
      <w:r w:rsidRPr="003278ED">
        <w:rPr>
          <w:rFonts w:ascii="Times New Roman" w:hAnsi="Times New Roman" w:cs="Times New Roman"/>
          <w:b/>
          <w:bCs/>
          <w:sz w:val="24"/>
          <w:szCs w:val="24"/>
        </w:rPr>
        <w:t>Figura</w:t>
      </w:r>
      <w:r w:rsidR="00A27678" w:rsidRPr="003278ED">
        <w:rPr>
          <w:rFonts w:ascii="Times New Roman" w:hAnsi="Times New Roman" w:cs="Times New Roman"/>
          <w:b/>
          <w:bCs/>
          <w:sz w:val="24"/>
          <w:szCs w:val="24"/>
        </w:rPr>
        <w:t xml:space="preserve"> </w:t>
      </w:r>
      <w:r w:rsidRPr="003278ED">
        <w:rPr>
          <w:rFonts w:ascii="Times New Roman" w:hAnsi="Times New Roman" w:cs="Times New Roman"/>
          <w:b/>
          <w:bCs/>
          <w:sz w:val="24"/>
          <w:szCs w:val="24"/>
        </w:rPr>
        <w:t xml:space="preserve">1. </w:t>
      </w:r>
      <w:r w:rsidR="00207D72" w:rsidRPr="003278ED">
        <w:rPr>
          <w:rFonts w:ascii="Times New Roman" w:hAnsi="Times New Roman" w:cs="Times New Roman"/>
          <w:b/>
          <w:bCs/>
          <w:sz w:val="24"/>
          <w:szCs w:val="24"/>
        </w:rPr>
        <w:t>Prognoza creșterii economiei globale în anii 2024-2025,</w:t>
      </w:r>
    </w:p>
    <w:p w14:paraId="2A8E6382" w14:textId="5F368E43" w:rsidR="00707D02" w:rsidRPr="003278ED" w:rsidRDefault="00207D72" w:rsidP="009562A5">
      <w:pPr>
        <w:tabs>
          <w:tab w:val="left" w:pos="993"/>
        </w:tabs>
        <w:spacing w:after="0" w:line="240" w:lineRule="auto"/>
        <w:jc w:val="center"/>
        <w:rPr>
          <w:rFonts w:ascii="Times New Roman" w:hAnsi="Times New Roman" w:cs="Times New Roman"/>
          <w:b/>
          <w:bCs/>
          <w:sz w:val="24"/>
          <w:szCs w:val="24"/>
        </w:rPr>
      </w:pPr>
      <w:r w:rsidRPr="003278ED">
        <w:rPr>
          <w:rFonts w:ascii="Times New Roman" w:hAnsi="Times New Roman" w:cs="Times New Roman"/>
          <w:b/>
          <w:bCs/>
          <w:sz w:val="24"/>
          <w:szCs w:val="24"/>
        </w:rPr>
        <w:t>în % față de anul precedent</w:t>
      </w:r>
    </w:p>
    <w:p w14:paraId="6A706F44" w14:textId="433E7D57" w:rsidR="00207D72" w:rsidRPr="003278ED" w:rsidRDefault="00207D72" w:rsidP="007D3A2B">
      <w:pPr>
        <w:tabs>
          <w:tab w:val="left" w:pos="993"/>
        </w:tabs>
        <w:spacing w:after="0" w:line="240" w:lineRule="auto"/>
        <w:jc w:val="center"/>
        <w:rPr>
          <w:rFonts w:ascii="Times New Roman" w:hAnsi="Times New Roman" w:cs="Times New Roman"/>
          <w:b/>
          <w:bCs/>
          <w:sz w:val="20"/>
          <w:szCs w:val="20"/>
        </w:rPr>
      </w:pPr>
      <w:r w:rsidRPr="003278ED">
        <w:rPr>
          <w:rFonts w:ascii="Cambria" w:eastAsia="Calibri" w:hAnsi="Cambria" w:cs="Cambria"/>
          <w:noProof/>
          <w:color w:val="000000"/>
          <w:lang w:eastAsia="ro-RO"/>
        </w:rPr>
        <w:drawing>
          <wp:inline distT="0" distB="0" distL="0" distR="0" wp14:anchorId="1300FBCD" wp14:editId="27C89E19">
            <wp:extent cx="5508346" cy="2084705"/>
            <wp:effectExtent l="0" t="0" r="16510" b="10795"/>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D3EC9" w:rsidRPr="003278ED">
        <w:rPr>
          <w:rFonts w:ascii="Times New Roman" w:hAnsi="Times New Roman" w:cs="Times New Roman"/>
          <w:b/>
          <w:bCs/>
          <w:sz w:val="24"/>
          <w:szCs w:val="28"/>
        </w:rPr>
        <w:tab/>
      </w:r>
      <w:r w:rsidR="000D3EC9" w:rsidRPr="003278ED">
        <w:rPr>
          <w:rFonts w:ascii="Times New Roman" w:hAnsi="Times New Roman" w:cs="Times New Roman"/>
          <w:b/>
          <w:bCs/>
          <w:i/>
          <w:sz w:val="20"/>
          <w:szCs w:val="20"/>
        </w:rPr>
        <w:t>Sursa:</w:t>
      </w:r>
      <w:r w:rsidR="000D3EC9" w:rsidRPr="003278ED">
        <w:rPr>
          <w:rFonts w:ascii="Times New Roman" w:hAnsi="Times New Roman" w:cs="Times New Roman"/>
          <w:bCs/>
          <w:i/>
          <w:sz w:val="20"/>
          <w:szCs w:val="20"/>
        </w:rPr>
        <w:t xml:space="preserve"> FMI, World Economic Outlook, ianuarie 2024</w:t>
      </w:r>
    </w:p>
    <w:p w14:paraId="76B6B948" w14:textId="77777777" w:rsidR="000D3EC9" w:rsidRPr="003278ED" w:rsidRDefault="000D3EC9" w:rsidP="007D3A2B">
      <w:pPr>
        <w:autoSpaceDE w:val="0"/>
        <w:autoSpaceDN w:val="0"/>
        <w:adjustRightInd w:val="0"/>
        <w:spacing w:after="0" w:line="240" w:lineRule="auto"/>
        <w:ind w:firstLine="544"/>
        <w:jc w:val="both"/>
        <w:rPr>
          <w:rFonts w:ascii="Times New Roman" w:eastAsia="Calibri" w:hAnsi="Times New Roman" w:cs="Times New Roman"/>
          <w:color w:val="000000"/>
          <w:sz w:val="24"/>
          <w:szCs w:val="24"/>
        </w:rPr>
      </w:pPr>
    </w:p>
    <w:p w14:paraId="766971EB" w14:textId="5C8596FB" w:rsidR="00BF15B2" w:rsidRPr="003278ED" w:rsidRDefault="00BF15B2" w:rsidP="007D3A2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 xml:space="preserve">Conform estimărilor Comisiei europene, creșterea economică în </w:t>
      </w:r>
      <w:r w:rsidR="00956CE9" w:rsidRPr="003278ED">
        <w:rPr>
          <w:rFonts w:ascii="Times New Roman" w:eastAsia="Calibri" w:hAnsi="Times New Roman" w:cs="Times New Roman"/>
          <w:color w:val="000000"/>
          <w:sz w:val="24"/>
          <w:szCs w:val="24"/>
        </w:rPr>
        <w:t>UE</w:t>
      </w:r>
      <w:r w:rsidRPr="003278ED">
        <w:rPr>
          <w:rFonts w:ascii="Times New Roman" w:eastAsia="Calibri" w:hAnsi="Times New Roman" w:cs="Times New Roman"/>
          <w:color w:val="000000"/>
          <w:sz w:val="24"/>
          <w:szCs w:val="24"/>
        </w:rPr>
        <w:t xml:space="preserve"> în 2023 a fost la nivel de doar 0,5%, fiind afectată de conflictul militar în Ucraina și </w:t>
      </w:r>
      <w:r w:rsidR="00956CE9" w:rsidRPr="003278ED">
        <w:rPr>
          <w:rFonts w:ascii="Times New Roman" w:eastAsia="Calibri" w:hAnsi="Times New Roman" w:cs="Times New Roman"/>
          <w:color w:val="000000"/>
          <w:sz w:val="24"/>
          <w:szCs w:val="24"/>
        </w:rPr>
        <w:t xml:space="preserve">de </w:t>
      </w:r>
      <w:r w:rsidRPr="003278ED">
        <w:rPr>
          <w:rFonts w:ascii="Times New Roman" w:eastAsia="Calibri" w:hAnsi="Times New Roman" w:cs="Times New Roman"/>
          <w:color w:val="000000"/>
          <w:sz w:val="24"/>
          <w:szCs w:val="24"/>
        </w:rPr>
        <w:t>consecințele șocului majorării prețurilor la resursele energetice. Pentru anii 2024-2025</w:t>
      </w:r>
      <w:r w:rsidR="00956CE9" w:rsidRPr="003278ED">
        <w:rPr>
          <w:rFonts w:ascii="Times New Roman" w:eastAsia="Calibri" w:hAnsi="Times New Roman" w:cs="Times New Roman"/>
          <w:color w:val="000000"/>
          <w:sz w:val="24"/>
          <w:szCs w:val="24"/>
        </w:rPr>
        <w:t>,</w:t>
      </w:r>
      <w:r w:rsidRPr="003278ED">
        <w:rPr>
          <w:rFonts w:ascii="Times New Roman" w:eastAsia="Calibri" w:hAnsi="Times New Roman" w:cs="Times New Roman"/>
          <w:color w:val="000000"/>
          <w:sz w:val="24"/>
          <w:szCs w:val="24"/>
        </w:rPr>
        <w:t xml:space="preserve"> se anticipează o creștere economică de 0,9</w:t>
      </w:r>
      <w:r w:rsidR="006C2324" w:rsidRPr="003278ED">
        <w:rPr>
          <w:rFonts w:ascii="Times New Roman" w:eastAsia="Calibri" w:hAnsi="Times New Roman" w:cs="Times New Roman"/>
          <w:color w:val="000000"/>
          <w:sz w:val="24"/>
          <w:szCs w:val="24"/>
        </w:rPr>
        <w:t xml:space="preserve"> </w:t>
      </w:r>
      <w:r w:rsidR="00956CE9" w:rsidRPr="003278ED">
        <w:rPr>
          <w:rFonts w:ascii="Times New Roman" w:eastAsia="Calibri" w:hAnsi="Times New Roman" w:cs="Times New Roman"/>
          <w:color w:val="000000"/>
          <w:sz w:val="24"/>
          <w:szCs w:val="24"/>
        </w:rPr>
        <w:t xml:space="preserve">% </w:t>
      </w:r>
      <w:r w:rsidRPr="003278ED">
        <w:rPr>
          <w:rFonts w:ascii="Times New Roman" w:eastAsia="Calibri" w:hAnsi="Times New Roman" w:cs="Times New Roman"/>
          <w:color w:val="000000"/>
          <w:sz w:val="24"/>
          <w:szCs w:val="24"/>
        </w:rPr>
        <w:t>și</w:t>
      </w:r>
      <w:r w:rsidR="00956CE9" w:rsidRPr="003278ED">
        <w:rPr>
          <w:rFonts w:ascii="Times New Roman" w:eastAsia="Calibri" w:hAnsi="Times New Roman" w:cs="Times New Roman"/>
          <w:color w:val="000000"/>
          <w:sz w:val="24"/>
          <w:szCs w:val="24"/>
        </w:rPr>
        <w:t>,</w:t>
      </w:r>
      <w:r w:rsidRPr="003278ED">
        <w:rPr>
          <w:rFonts w:ascii="Times New Roman" w:eastAsia="Calibri" w:hAnsi="Times New Roman" w:cs="Times New Roman"/>
          <w:color w:val="000000"/>
          <w:sz w:val="24"/>
          <w:szCs w:val="24"/>
        </w:rPr>
        <w:t xml:space="preserve"> </w:t>
      </w:r>
      <w:r w:rsidR="00956CE9" w:rsidRPr="003278ED">
        <w:rPr>
          <w:rFonts w:ascii="Times New Roman" w:eastAsia="Calibri" w:hAnsi="Times New Roman" w:cs="Times New Roman"/>
          <w:color w:val="000000"/>
          <w:sz w:val="24"/>
          <w:szCs w:val="24"/>
        </w:rPr>
        <w:t xml:space="preserve">respectiv, </w:t>
      </w:r>
      <w:r w:rsidRPr="003278ED">
        <w:rPr>
          <w:rFonts w:ascii="Times New Roman" w:eastAsia="Calibri" w:hAnsi="Times New Roman" w:cs="Times New Roman"/>
          <w:color w:val="000000"/>
          <w:sz w:val="24"/>
          <w:szCs w:val="24"/>
        </w:rPr>
        <w:t>1,7</w:t>
      </w:r>
      <w:r w:rsidR="006C2324" w:rsidRPr="003278ED">
        <w:rPr>
          <w:rFonts w:ascii="Times New Roman" w:eastAsia="Calibri" w:hAnsi="Times New Roman" w:cs="Times New Roman"/>
          <w:color w:val="000000"/>
          <w:sz w:val="24"/>
          <w:szCs w:val="24"/>
        </w:rPr>
        <w:t xml:space="preserve"> </w:t>
      </w:r>
      <w:r w:rsidRPr="003278ED">
        <w:rPr>
          <w:rFonts w:ascii="Times New Roman" w:eastAsia="Calibri" w:hAnsi="Times New Roman" w:cs="Times New Roman"/>
          <w:color w:val="000000"/>
          <w:sz w:val="24"/>
          <w:szCs w:val="24"/>
        </w:rPr>
        <w:t>%,. Se preconizează că inflația</w:t>
      </w:r>
      <w:r w:rsidR="00956CE9" w:rsidRPr="003278ED">
        <w:rPr>
          <w:rFonts w:ascii="Times New Roman" w:eastAsia="Calibri" w:hAnsi="Times New Roman" w:cs="Times New Roman"/>
          <w:color w:val="000000"/>
          <w:sz w:val="24"/>
          <w:szCs w:val="24"/>
        </w:rPr>
        <w:t xml:space="preserve"> scade</w:t>
      </w:r>
      <w:r w:rsidRPr="003278ED">
        <w:rPr>
          <w:rFonts w:ascii="Times New Roman" w:eastAsia="Calibri" w:hAnsi="Times New Roman" w:cs="Times New Roman"/>
          <w:color w:val="000000"/>
          <w:sz w:val="24"/>
          <w:szCs w:val="24"/>
        </w:rPr>
        <w:t xml:space="preserve"> de la 6,3</w:t>
      </w:r>
      <w:r w:rsidR="006C2324" w:rsidRPr="003278ED">
        <w:rPr>
          <w:rFonts w:ascii="Times New Roman" w:eastAsia="Calibri" w:hAnsi="Times New Roman" w:cs="Times New Roman"/>
          <w:color w:val="000000"/>
          <w:sz w:val="24"/>
          <w:szCs w:val="24"/>
        </w:rPr>
        <w:t xml:space="preserve"> </w:t>
      </w:r>
      <w:r w:rsidRPr="003278ED">
        <w:rPr>
          <w:rFonts w:ascii="Times New Roman" w:eastAsia="Calibri" w:hAnsi="Times New Roman" w:cs="Times New Roman"/>
          <w:color w:val="000000"/>
          <w:sz w:val="24"/>
          <w:szCs w:val="24"/>
        </w:rPr>
        <w:t>% în 2023 la 3</w:t>
      </w:r>
      <w:r w:rsidR="006C2324" w:rsidRPr="003278ED">
        <w:rPr>
          <w:rFonts w:ascii="Times New Roman" w:eastAsia="Calibri" w:hAnsi="Times New Roman" w:cs="Times New Roman"/>
          <w:color w:val="000000"/>
          <w:sz w:val="24"/>
          <w:szCs w:val="24"/>
        </w:rPr>
        <w:t xml:space="preserve"> </w:t>
      </w:r>
      <w:r w:rsidRPr="003278ED">
        <w:rPr>
          <w:rFonts w:ascii="Times New Roman" w:eastAsia="Calibri" w:hAnsi="Times New Roman" w:cs="Times New Roman"/>
          <w:color w:val="000000"/>
          <w:sz w:val="24"/>
          <w:szCs w:val="24"/>
        </w:rPr>
        <w:t>% în 2024 și la 2,5</w:t>
      </w:r>
      <w:r w:rsidR="006C2324" w:rsidRPr="003278ED">
        <w:rPr>
          <w:rFonts w:ascii="Times New Roman" w:eastAsia="Calibri" w:hAnsi="Times New Roman" w:cs="Times New Roman"/>
          <w:color w:val="000000"/>
          <w:sz w:val="24"/>
          <w:szCs w:val="24"/>
        </w:rPr>
        <w:t xml:space="preserve"> </w:t>
      </w:r>
      <w:r w:rsidRPr="003278ED">
        <w:rPr>
          <w:rFonts w:ascii="Times New Roman" w:eastAsia="Calibri" w:hAnsi="Times New Roman" w:cs="Times New Roman"/>
          <w:color w:val="000000"/>
          <w:sz w:val="24"/>
          <w:szCs w:val="24"/>
        </w:rPr>
        <w:t xml:space="preserve">% în 2025. </w:t>
      </w:r>
    </w:p>
    <w:p w14:paraId="46444BFE" w14:textId="289C79A1" w:rsidR="00BF15B2" w:rsidRPr="003278ED" w:rsidRDefault="00BF15B2" w:rsidP="007D3A2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Economia țărilor UE va crește treptat datorită reducerii presiunilor inflaționiste și pieței de muncă stabile. Investițiile vor fi susținute de relaxarea condițiilor de creditare. Totodată, tensiunile geopolitice și o serie de procese electorale importante în majoritatea țărilor</w:t>
      </w:r>
      <w:r w:rsidR="00956CE9" w:rsidRPr="003278ED">
        <w:rPr>
          <w:rFonts w:ascii="Times New Roman" w:eastAsia="Calibri" w:hAnsi="Times New Roman" w:cs="Times New Roman"/>
          <w:color w:val="000000"/>
          <w:sz w:val="24"/>
          <w:szCs w:val="24"/>
        </w:rPr>
        <w:t>,</w:t>
      </w:r>
      <w:r w:rsidRPr="003278ED">
        <w:rPr>
          <w:rFonts w:ascii="Times New Roman" w:eastAsia="Calibri" w:hAnsi="Times New Roman" w:cs="Times New Roman"/>
          <w:color w:val="000000"/>
          <w:sz w:val="24"/>
          <w:szCs w:val="24"/>
        </w:rPr>
        <w:t xml:space="preserve"> în anul curent</w:t>
      </w:r>
      <w:r w:rsidR="00956CE9" w:rsidRPr="003278ED">
        <w:rPr>
          <w:rFonts w:ascii="Times New Roman" w:eastAsia="Calibri" w:hAnsi="Times New Roman" w:cs="Times New Roman"/>
          <w:color w:val="000000"/>
          <w:sz w:val="24"/>
          <w:szCs w:val="24"/>
        </w:rPr>
        <w:t>,</w:t>
      </w:r>
      <w:r w:rsidRPr="003278ED">
        <w:rPr>
          <w:rFonts w:ascii="Times New Roman" w:eastAsia="Calibri" w:hAnsi="Times New Roman" w:cs="Times New Roman"/>
          <w:color w:val="000000"/>
          <w:sz w:val="24"/>
          <w:szCs w:val="24"/>
        </w:rPr>
        <w:t xml:space="preserve"> sunt factori de risc ce pot afecta această creștere. </w:t>
      </w:r>
    </w:p>
    <w:p w14:paraId="4524206C" w14:textId="77777777" w:rsidR="0005582F" w:rsidRPr="003278ED" w:rsidRDefault="0005582F" w:rsidP="007D3A2B">
      <w:pPr>
        <w:autoSpaceDE w:val="0"/>
        <w:autoSpaceDN w:val="0"/>
        <w:adjustRightInd w:val="0"/>
        <w:spacing w:after="0" w:line="240" w:lineRule="auto"/>
        <w:ind w:firstLine="544"/>
        <w:jc w:val="both"/>
        <w:rPr>
          <w:rFonts w:ascii="Times New Roman" w:eastAsia="Calibri" w:hAnsi="Times New Roman" w:cs="Times New Roman"/>
          <w:color w:val="000000"/>
          <w:sz w:val="24"/>
          <w:szCs w:val="24"/>
        </w:rPr>
      </w:pPr>
    </w:p>
    <w:tbl>
      <w:tblPr>
        <w:tblStyle w:val="Tabelgri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587"/>
      </w:tblGrid>
      <w:tr w:rsidR="0005582F" w:rsidRPr="003278ED" w14:paraId="08A2F393" w14:textId="77777777" w:rsidTr="00C079FD">
        <w:tc>
          <w:tcPr>
            <w:tcW w:w="4672" w:type="dxa"/>
          </w:tcPr>
          <w:p w14:paraId="15FC9E36" w14:textId="3290AA01" w:rsidR="0005582F" w:rsidRPr="009562A5" w:rsidRDefault="002E6CCA" w:rsidP="007D3A2B">
            <w:pPr>
              <w:autoSpaceDE w:val="0"/>
              <w:autoSpaceDN w:val="0"/>
              <w:adjustRightInd w:val="0"/>
              <w:jc w:val="center"/>
              <w:rPr>
                <w:rFonts w:cs="Times New Roman"/>
                <w:b/>
                <w:bCs/>
                <w:sz w:val="22"/>
                <w:szCs w:val="28"/>
              </w:rPr>
            </w:pPr>
            <w:r w:rsidRPr="009562A5">
              <w:rPr>
                <w:rFonts w:cs="Times New Roman"/>
                <w:b/>
                <w:bCs/>
                <w:sz w:val="22"/>
                <w:szCs w:val="28"/>
              </w:rPr>
              <w:t xml:space="preserve">Figura 2. </w:t>
            </w:r>
            <w:r w:rsidR="0005582F" w:rsidRPr="009562A5">
              <w:rPr>
                <w:rFonts w:cs="Times New Roman"/>
                <w:b/>
                <w:bCs/>
                <w:sz w:val="22"/>
                <w:szCs w:val="28"/>
              </w:rPr>
              <w:t xml:space="preserve">Prognoza creșterii economice </w:t>
            </w:r>
          </w:p>
          <w:p w14:paraId="174E4254" w14:textId="0953E3C0" w:rsidR="0005582F" w:rsidRPr="009562A5" w:rsidRDefault="0005582F" w:rsidP="007D3A2B">
            <w:pPr>
              <w:autoSpaceDE w:val="0"/>
              <w:autoSpaceDN w:val="0"/>
              <w:adjustRightInd w:val="0"/>
              <w:jc w:val="center"/>
              <w:rPr>
                <w:rFonts w:cs="Times New Roman"/>
                <w:b/>
                <w:bCs/>
                <w:sz w:val="22"/>
                <w:szCs w:val="28"/>
              </w:rPr>
            </w:pPr>
            <w:r w:rsidRPr="009562A5">
              <w:rPr>
                <w:rFonts w:cs="Times New Roman"/>
                <w:b/>
                <w:bCs/>
                <w:sz w:val="22"/>
                <w:szCs w:val="28"/>
              </w:rPr>
              <w:t xml:space="preserve">în țările UE și </w:t>
            </w:r>
            <w:r w:rsidR="00E204CC" w:rsidRPr="009562A5">
              <w:rPr>
                <w:rFonts w:cs="Times New Roman"/>
                <w:b/>
                <w:bCs/>
                <w:sz w:val="22"/>
                <w:szCs w:val="28"/>
              </w:rPr>
              <w:t xml:space="preserve">în </w:t>
            </w:r>
            <w:r w:rsidRPr="009562A5">
              <w:rPr>
                <w:rFonts w:cs="Times New Roman"/>
                <w:b/>
                <w:bCs/>
                <w:sz w:val="22"/>
                <w:szCs w:val="28"/>
              </w:rPr>
              <w:t>zona Euro</w:t>
            </w:r>
          </w:p>
        </w:tc>
        <w:tc>
          <w:tcPr>
            <w:tcW w:w="4672" w:type="dxa"/>
          </w:tcPr>
          <w:p w14:paraId="305359A6" w14:textId="75D50CAB" w:rsidR="0005582F" w:rsidRPr="009562A5" w:rsidRDefault="002E6CCA" w:rsidP="007D3A2B">
            <w:pPr>
              <w:autoSpaceDE w:val="0"/>
              <w:autoSpaceDN w:val="0"/>
              <w:adjustRightInd w:val="0"/>
              <w:jc w:val="center"/>
              <w:rPr>
                <w:rFonts w:cs="Times New Roman"/>
                <w:b/>
                <w:bCs/>
                <w:sz w:val="22"/>
                <w:szCs w:val="28"/>
              </w:rPr>
            </w:pPr>
            <w:r w:rsidRPr="009562A5">
              <w:rPr>
                <w:rFonts w:cs="Times New Roman"/>
                <w:b/>
                <w:bCs/>
                <w:sz w:val="22"/>
                <w:szCs w:val="28"/>
              </w:rPr>
              <w:t>Figura</w:t>
            </w:r>
            <w:r w:rsidR="00A27678" w:rsidRPr="009562A5">
              <w:rPr>
                <w:rFonts w:cs="Times New Roman"/>
                <w:b/>
                <w:bCs/>
                <w:sz w:val="22"/>
                <w:szCs w:val="28"/>
              </w:rPr>
              <w:t xml:space="preserve"> </w:t>
            </w:r>
            <w:r w:rsidRPr="009562A5">
              <w:rPr>
                <w:rFonts w:cs="Times New Roman"/>
                <w:b/>
                <w:bCs/>
                <w:sz w:val="22"/>
                <w:szCs w:val="28"/>
              </w:rPr>
              <w:t xml:space="preserve">3. </w:t>
            </w:r>
            <w:r w:rsidR="0005582F" w:rsidRPr="009562A5">
              <w:rPr>
                <w:rFonts w:cs="Times New Roman"/>
                <w:b/>
                <w:bCs/>
                <w:sz w:val="22"/>
                <w:szCs w:val="28"/>
              </w:rPr>
              <w:t xml:space="preserve">Prognoza creșterii economice </w:t>
            </w:r>
            <w:r w:rsidR="00E204CC" w:rsidRPr="009562A5">
              <w:rPr>
                <w:rFonts w:cs="Times New Roman"/>
                <w:b/>
                <w:bCs/>
                <w:sz w:val="22"/>
                <w:szCs w:val="28"/>
              </w:rPr>
              <w:br/>
            </w:r>
            <w:r w:rsidR="0005582F" w:rsidRPr="009562A5">
              <w:rPr>
                <w:rFonts w:cs="Times New Roman"/>
                <w:b/>
                <w:bCs/>
                <w:sz w:val="22"/>
                <w:szCs w:val="28"/>
              </w:rPr>
              <w:t>în economiile partenerilor comerciali principali ai Republicii Moldova</w:t>
            </w:r>
          </w:p>
        </w:tc>
      </w:tr>
      <w:tr w:rsidR="0005582F" w:rsidRPr="003278ED" w14:paraId="5EFD24C7" w14:textId="77777777" w:rsidTr="00C079FD">
        <w:tc>
          <w:tcPr>
            <w:tcW w:w="4672" w:type="dxa"/>
          </w:tcPr>
          <w:p w14:paraId="6E66FFB4" w14:textId="77777777" w:rsidR="0005582F" w:rsidRPr="003278ED" w:rsidRDefault="0005582F" w:rsidP="007D3A2B">
            <w:pPr>
              <w:autoSpaceDE w:val="0"/>
              <w:autoSpaceDN w:val="0"/>
              <w:adjustRightInd w:val="0"/>
              <w:jc w:val="both"/>
              <w:rPr>
                <w:rFonts w:ascii="Cambria" w:hAnsi="Cambria" w:cs="Cambria"/>
                <w:color w:val="000000"/>
                <w:sz w:val="24"/>
                <w:szCs w:val="24"/>
              </w:rPr>
            </w:pPr>
            <w:r w:rsidRPr="003278ED">
              <w:rPr>
                <w:rFonts w:ascii="Cambria" w:hAnsi="Cambria" w:cs="Cambria"/>
                <w:noProof/>
                <w:color w:val="000000"/>
                <w:sz w:val="24"/>
                <w:szCs w:val="24"/>
                <w:lang w:eastAsia="ro-RO"/>
              </w:rPr>
              <w:drawing>
                <wp:inline distT="0" distB="0" distL="0" distR="0" wp14:anchorId="5665E884" wp14:editId="406DACCE">
                  <wp:extent cx="2867025" cy="2545690"/>
                  <wp:effectExtent l="0" t="0" r="9525" b="7620"/>
                  <wp:docPr id="5" name="Диаграмма 5">
                    <a:extLst xmlns:a="http://schemas.openxmlformats.org/drawingml/2006/main">
                      <a:ext uri="{FF2B5EF4-FFF2-40B4-BE49-F238E27FC236}">
                        <a16:creationId xmlns:a16="http://schemas.microsoft.com/office/drawing/2014/main" id="{CE08A7D2-60EF-4044-8B66-71DE0BB3DB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672" w:type="dxa"/>
          </w:tcPr>
          <w:p w14:paraId="006C8A2A" w14:textId="77777777" w:rsidR="0005582F" w:rsidRPr="003278ED" w:rsidRDefault="0005582F" w:rsidP="007D3A2B">
            <w:pPr>
              <w:autoSpaceDE w:val="0"/>
              <w:autoSpaceDN w:val="0"/>
              <w:adjustRightInd w:val="0"/>
              <w:jc w:val="both"/>
              <w:rPr>
                <w:rFonts w:ascii="Cambria" w:hAnsi="Cambria" w:cs="Cambria"/>
                <w:color w:val="000000"/>
                <w:sz w:val="24"/>
                <w:szCs w:val="24"/>
              </w:rPr>
            </w:pPr>
            <w:r w:rsidRPr="003278ED">
              <w:rPr>
                <w:rFonts w:ascii="Cambria" w:hAnsi="Cambria" w:cs="Cambria"/>
                <w:noProof/>
                <w:color w:val="000000"/>
                <w:sz w:val="24"/>
                <w:szCs w:val="24"/>
                <w:lang w:eastAsia="ro-RO"/>
              </w:rPr>
              <w:drawing>
                <wp:inline distT="0" distB="0" distL="0" distR="0" wp14:anchorId="7AF442DC" wp14:editId="3BC71C15">
                  <wp:extent cx="2676525" cy="2545080"/>
                  <wp:effectExtent l="0" t="0" r="9525" b="7620"/>
                  <wp:docPr id="7" name="Диаграмма 7">
                    <a:extLst xmlns:a="http://schemas.openxmlformats.org/drawingml/2006/main">
                      <a:ext uri="{FF2B5EF4-FFF2-40B4-BE49-F238E27FC236}">
                        <a16:creationId xmlns:a16="http://schemas.microsoft.com/office/drawing/2014/main" id="{065A825D-EA4E-464C-8605-2202EBCA59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5582F" w:rsidRPr="003278ED" w14:paraId="7176766F" w14:textId="77777777" w:rsidTr="009562A5">
        <w:trPr>
          <w:trHeight w:val="66"/>
        </w:trPr>
        <w:tc>
          <w:tcPr>
            <w:tcW w:w="4672" w:type="dxa"/>
          </w:tcPr>
          <w:p w14:paraId="3078D6FD" w14:textId="0BAEB995" w:rsidR="0005582F" w:rsidRPr="009562A5" w:rsidRDefault="0005582F" w:rsidP="003278ED">
            <w:pPr>
              <w:autoSpaceDE w:val="0"/>
              <w:autoSpaceDN w:val="0"/>
              <w:adjustRightInd w:val="0"/>
              <w:ind w:firstLine="28"/>
              <w:jc w:val="center"/>
              <w:rPr>
                <w:rFonts w:cs="Times New Roman"/>
                <w:i/>
                <w:color w:val="000000"/>
                <w:sz w:val="18"/>
                <w:szCs w:val="20"/>
              </w:rPr>
            </w:pPr>
            <w:r w:rsidRPr="009562A5">
              <w:rPr>
                <w:rFonts w:cs="Times New Roman"/>
                <w:b/>
                <w:i/>
                <w:color w:val="000000"/>
                <w:sz w:val="18"/>
                <w:szCs w:val="20"/>
              </w:rPr>
              <w:t>Surs</w:t>
            </w:r>
            <w:r w:rsidR="003278ED" w:rsidRPr="009562A5">
              <w:rPr>
                <w:rFonts w:cs="Times New Roman"/>
                <w:b/>
                <w:i/>
                <w:color w:val="000000"/>
                <w:sz w:val="18"/>
                <w:szCs w:val="20"/>
              </w:rPr>
              <w:t>a</w:t>
            </w:r>
            <w:r w:rsidRPr="009562A5">
              <w:rPr>
                <w:rFonts w:cs="Times New Roman"/>
                <w:b/>
                <w:i/>
                <w:color w:val="000000"/>
                <w:sz w:val="18"/>
                <w:szCs w:val="20"/>
              </w:rPr>
              <w:t>:</w:t>
            </w:r>
            <w:r w:rsidRPr="009562A5">
              <w:rPr>
                <w:rFonts w:cs="Times New Roman"/>
                <w:i/>
                <w:color w:val="000000"/>
                <w:sz w:val="18"/>
                <w:szCs w:val="20"/>
              </w:rPr>
              <w:t xml:space="preserve"> prognoza Comisiei Europene din iarna 2024</w:t>
            </w:r>
          </w:p>
        </w:tc>
        <w:tc>
          <w:tcPr>
            <w:tcW w:w="4672" w:type="dxa"/>
          </w:tcPr>
          <w:p w14:paraId="26DC6E0B" w14:textId="5B908935" w:rsidR="0005582F" w:rsidRPr="009562A5" w:rsidRDefault="0005582F" w:rsidP="003278ED">
            <w:pPr>
              <w:autoSpaceDE w:val="0"/>
              <w:autoSpaceDN w:val="0"/>
              <w:adjustRightInd w:val="0"/>
              <w:ind w:firstLine="44"/>
              <w:jc w:val="center"/>
              <w:rPr>
                <w:rFonts w:cs="Times New Roman"/>
                <w:i/>
                <w:color w:val="000000"/>
                <w:sz w:val="18"/>
                <w:szCs w:val="20"/>
              </w:rPr>
            </w:pPr>
            <w:r w:rsidRPr="009562A5">
              <w:rPr>
                <w:rFonts w:cs="Times New Roman"/>
                <w:b/>
                <w:i/>
                <w:color w:val="000000"/>
                <w:sz w:val="18"/>
                <w:szCs w:val="20"/>
              </w:rPr>
              <w:t>Surs</w:t>
            </w:r>
            <w:r w:rsidR="003278ED" w:rsidRPr="009562A5">
              <w:rPr>
                <w:rFonts w:cs="Times New Roman"/>
                <w:b/>
                <w:i/>
                <w:color w:val="000000"/>
                <w:sz w:val="18"/>
                <w:szCs w:val="20"/>
              </w:rPr>
              <w:t>a</w:t>
            </w:r>
            <w:r w:rsidRPr="009562A5">
              <w:rPr>
                <w:rFonts w:cs="Times New Roman"/>
                <w:b/>
                <w:i/>
                <w:color w:val="000000"/>
                <w:sz w:val="18"/>
                <w:szCs w:val="20"/>
              </w:rPr>
              <w:t>:</w:t>
            </w:r>
            <w:r w:rsidRPr="009562A5">
              <w:rPr>
                <w:rFonts w:cs="Times New Roman"/>
                <w:i/>
                <w:color w:val="000000"/>
                <w:sz w:val="18"/>
                <w:szCs w:val="20"/>
              </w:rPr>
              <w:t xml:space="preserve"> prognoza Comisiei Europene din iarna 2024, prognoza MDED</w:t>
            </w:r>
          </w:p>
        </w:tc>
      </w:tr>
    </w:tbl>
    <w:p w14:paraId="32C72B4B" w14:textId="55073504" w:rsidR="00207D72" w:rsidRPr="003278ED" w:rsidRDefault="00207D72" w:rsidP="007D3A2B">
      <w:pPr>
        <w:tabs>
          <w:tab w:val="left" w:pos="993"/>
        </w:tabs>
        <w:spacing w:after="0" w:line="240" w:lineRule="auto"/>
        <w:rPr>
          <w:rFonts w:ascii="Times New Roman" w:hAnsi="Times New Roman" w:cs="Times New Roman"/>
          <w:b/>
          <w:bCs/>
          <w:sz w:val="24"/>
          <w:szCs w:val="28"/>
        </w:rPr>
      </w:pPr>
    </w:p>
    <w:p w14:paraId="421EB6FB" w14:textId="77777777" w:rsidR="00914ECD" w:rsidRDefault="00914ECD" w:rsidP="00E72EA5">
      <w:pPr>
        <w:pStyle w:val="Title2"/>
        <w:jc w:val="center"/>
        <w:outlineLvl w:val="1"/>
        <w:rPr>
          <w:rFonts w:ascii="Times New Roman" w:hAnsi="Times New Roman"/>
          <w:i w:val="0"/>
          <w:color w:val="auto"/>
          <w:sz w:val="24"/>
        </w:rPr>
      </w:pPr>
    </w:p>
    <w:p w14:paraId="1DD4AB86" w14:textId="28BBA7BD" w:rsidR="001A2AF9" w:rsidRPr="009562A5" w:rsidRDefault="001A2AF9" w:rsidP="00E72EA5">
      <w:pPr>
        <w:pStyle w:val="Title2"/>
        <w:jc w:val="center"/>
        <w:outlineLvl w:val="1"/>
        <w:rPr>
          <w:rFonts w:ascii="Times New Roman" w:hAnsi="Times New Roman"/>
          <w:i w:val="0"/>
          <w:color w:val="auto"/>
          <w:sz w:val="24"/>
        </w:rPr>
      </w:pPr>
      <w:bookmarkStart w:id="6" w:name="_Toc175825343"/>
      <w:r w:rsidRPr="009562A5">
        <w:rPr>
          <w:rFonts w:ascii="Times New Roman" w:hAnsi="Times New Roman"/>
          <w:i w:val="0"/>
          <w:color w:val="auto"/>
          <w:sz w:val="24"/>
        </w:rPr>
        <w:lastRenderedPageBreak/>
        <w:t>B. Economia Republicii Moldova – evoluții recente și perspective</w:t>
      </w:r>
      <w:bookmarkEnd w:id="6"/>
    </w:p>
    <w:p w14:paraId="02C4EDE7" w14:textId="77777777" w:rsidR="000651AF" w:rsidRPr="003278ED" w:rsidRDefault="000651AF" w:rsidP="007D3A2B">
      <w:pPr>
        <w:spacing w:after="0" w:line="240" w:lineRule="auto"/>
        <w:jc w:val="both"/>
        <w:rPr>
          <w:rFonts w:ascii="Times New Roman" w:hAnsi="Times New Roman" w:cs="Times New Roman"/>
          <w:b/>
          <w:bCs/>
          <w:i/>
          <w:sz w:val="24"/>
          <w:szCs w:val="24"/>
        </w:rPr>
      </w:pPr>
    </w:p>
    <w:p w14:paraId="57E76F90" w14:textId="15F2E13E" w:rsidR="00CA2508" w:rsidRPr="003278ED" w:rsidRDefault="001A2AF9" w:rsidP="00A47DB5">
      <w:pPr>
        <w:spacing w:after="0" w:line="240" w:lineRule="auto"/>
        <w:ind w:firstLine="709"/>
        <w:jc w:val="both"/>
        <w:rPr>
          <w:rFonts w:ascii="Times New Roman" w:eastAsia="Times New Roman" w:hAnsi="Times New Roman" w:cs="Times New Roman"/>
          <w:b/>
          <w:sz w:val="24"/>
          <w:szCs w:val="24"/>
        </w:rPr>
      </w:pPr>
      <w:r w:rsidRPr="003278ED">
        <w:rPr>
          <w:rFonts w:ascii="Times New Roman" w:hAnsi="Times New Roman" w:cs="Times New Roman"/>
          <w:b/>
          <w:bCs/>
          <w:i/>
          <w:sz w:val="24"/>
          <w:szCs w:val="24"/>
        </w:rPr>
        <w:t>Proiecții macroeconomice pe</w:t>
      </w:r>
      <w:r w:rsidR="00956CE9" w:rsidRPr="003278ED">
        <w:rPr>
          <w:rFonts w:ascii="Times New Roman" w:hAnsi="Times New Roman" w:cs="Times New Roman"/>
          <w:b/>
          <w:bCs/>
          <w:i/>
          <w:sz w:val="24"/>
          <w:szCs w:val="24"/>
        </w:rPr>
        <w:t>ntru</w:t>
      </w:r>
      <w:r w:rsidRPr="003278ED">
        <w:rPr>
          <w:rFonts w:ascii="Times New Roman" w:hAnsi="Times New Roman" w:cs="Times New Roman"/>
          <w:b/>
          <w:bCs/>
          <w:i/>
          <w:sz w:val="24"/>
          <w:szCs w:val="24"/>
        </w:rPr>
        <w:t xml:space="preserve"> anul 2024 și perspective pentru anii 2025-2027</w:t>
      </w:r>
    </w:p>
    <w:p w14:paraId="64AFCD71" w14:textId="5516A21F"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Anul 2024 va fi unul cu multiple provocări și oportunități, cu perspective de recuperare economică după recesiunile anterioare, prin stimularea creșterii economice pe măsura reînnoirii investițiilor în sectoarele</w:t>
      </w:r>
      <w:r w:rsidR="00956CE9"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cheie și </w:t>
      </w:r>
      <w:r w:rsidR="00956CE9" w:rsidRPr="003278ED">
        <w:rPr>
          <w:rFonts w:ascii="Times New Roman" w:hAnsi="Times New Roman" w:cs="Times New Roman"/>
          <w:bCs/>
          <w:sz w:val="24"/>
          <w:szCs w:val="28"/>
        </w:rPr>
        <w:t xml:space="preserve">a </w:t>
      </w:r>
      <w:r w:rsidRPr="003278ED">
        <w:rPr>
          <w:rFonts w:ascii="Times New Roman" w:hAnsi="Times New Roman" w:cs="Times New Roman"/>
          <w:bCs/>
          <w:sz w:val="24"/>
          <w:szCs w:val="28"/>
        </w:rPr>
        <w:t>creșterii cheltuielilor de consum.</w:t>
      </w:r>
    </w:p>
    <w:p w14:paraId="476948A2" w14:textId="16678A6A"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
          <w:bCs/>
          <w:i/>
          <w:sz w:val="24"/>
          <w:szCs w:val="28"/>
        </w:rPr>
        <w:t>Sectorul industrial</w:t>
      </w:r>
      <w:r w:rsidRPr="003278ED">
        <w:rPr>
          <w:rFonts w:ascii="Times New Roman" w:hAnsi="Times New Roman" w:cs="Times New Roman"/>
          <w:bCs/>
          <w:sz w:val="24"/>
          <w:szCs w:val="28"/>
        </w:rPr>
        <w:t xml:space="preserve"> își va reveni treptat din criză. În anul 2024 este prognozată o creștere de circa 3%, iar pentru următorii ani </w:t>
      </w:r>
      <w:r w:rsidR="007421D8" w:rsidRPr="003278ED">
        <w:rPr>
          <w:rFonts w:ascii="Times New Roman" w:hAnsi="Times New Roman" w:cs="Times New Roman"/>
          <w:bCs/>
          <w:sz w:val="24"/>
          <w:szCs w:val="28"/>
        </w:rPr>
        <w:t xml:space="preserve">se </w:t>
      </w:r>
      <w:r w:rsidRPr="003278ED">
        <w:rPr>
          <w:rFonts w:ascii="Times New Roman" w:hAnsi="Times New Roman" w:cs="Times New Roman"/>
          <w:bCs/>
          <w:sz w:val="24"/>
          <w:szCs w:val="28"/>
        </w:rPr>
        <w:t>anticip</w:t>
      </w:r>
      <w:r w:rsidR="007421D8" w:rsidRPr="003278ED">
        <w:rPr>
          <w:rFonts w:ascii="Times New Roman" w:hAnsi="Times New Roman" w:cs="Times New Roman"/>
          <w:bCs/>
          <w:sz w:val="24"/>
          <w:szCs w:val="28"/>
        </w:rPr>
        <w:t>eaz</w:t>
      </w:r>
      <w:r w:rsidRPr="003278ED">
        <w:rPr>
          <w:rFonts w:ascii="Times New Roman" w:hAnsi="Times New Roman" w:cs="Times New Roman"/>
          <w:bCs/>
          <w:sz w:val="24"/>
          <w:szCs w:val="28"/>
        </w:rPr>
        <w:t xml:space="preserve">ă o ușoară accelerare a sectorului (3,5-4%). Evoluția sectorului industrial va fi susținută de relansarea cererii interne și externe pentru produsele industriale naționale, de extinderea activității investitorilor străini, de creșterea productivității sectorului, </w:t>
      </w:r>
      <w:r w:rsidR="00956CE9" w:rsidRPr="003278ED">
        <w:rPr>
          <w:rFonts w:ascii="Times New Roman" w:hAnsi="Times New Roman" w:cs="Times New Roman"/>
          <w:bCs/>
          <w:sz w:val="24"/>
          <w:szCs w:val="28"/>
        </w:rPr>
        <w:t>precum</w:t>
      </w:r>
      <w:r w:rsidRPr="003278ED">
        <w:rPr>
          <w:rFonts w:ascii="Times New Roman" w:hAnsi="Times New Roman" w:cs="Times New Roman"/>
          <w:bCs/>
          <w:sz w:val="24"/>
          <w:szCs w:val="28"/>
        </w:rPr>
        <w:t xml:space="preserve"> și de evoluțiile pozitive așteptate de la sectorul agricol. </w:t>
      </w:r>
    </w:p>
    <w:p w14:paraId="2D144DDD" w14:textId="31C04622"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Unul din</w:t>
      </w:r>
      <w:r w:rsidR="00956CE9" w:rsidRPr="003278ED">
        <w:rPr>
          <w:rFonts w:ascii="Times New Roman" w:hAnsi="Times New Roman" w:cs="Times New Roman"/>
          <w:bCs/>
          <w:sz w:val="24"/>
          <w:szCs w:val="28"/>
        </w:rPr>
        <w:t>tre</w:t>
      </w:r>
      <w:r w:rsidRPr="003278ED">
        <w:rPr>
          <w:rFonts w:ascii="Times New Roman" w:hAnsi="Times New Roman" w:cs="Times New Roman"/>
          <w:bCs/>
          <w:sz w:val="24"/>
          <w:szCs w:val="28"/>
        </w:rPr>
        <w:t xml:space="preserve"> factorii de bază care va stimula producția industrială va fi creșterea consumului privat, ca efect al relaxării politicii monetare și </w:t>
      </w:r>
      <w:r w:rsidR="00956CE9"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majorărilor salariale prognozate. </w:t>
      </w:r>
    </w:p>
    <w:p w14:paraId="7EFBD70C" w14:textId="06FCFE04"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Un alt factor stimulativ pentru sectorul industrial va fi creșterea gradului de retehnologizare a întreprinderilor și creșterea productivității în sector, datorită factorului stimulativ </w:t>
      </w:r>
      <w:r w:rsidR="00956CE9" w:rsidRPr="003278ED">
        <w:rPr>
          <w:rFonts w:ascii="Times New Roman" w:hAnsi="Times New Roman" w:cs="Times New Roman"/>
          <w:bCs/>
          <w:sz w:val="24"/>
          <w:szCs w:val="28"/>
        </w:rPr>
        <w:t xml:space="preserve">al acestuia </w:t>
      </w:r>
      <w:r w:rsidRPr="003278ED">
        <w:rPr>
          <w:rFonts w:ascii="Times New Roman" w:hAnsi="Times New Roman" w:cs="Times New Roman"/>
          <w:bCs/>
          <w:sz w:val="24"/>
          <w:szCs w:val="28"/>
        </w:rPr>
        <w:t xml:space="preserve">de a-și alinia producția la cerințele piețelor externe </w:t>
      </w:r>
      <w:r w:rsidR="00956CE9" w:rsidRPr="003278ED">
        <w:rPr>
          <w:rFonts w:ascii="Times New Roman" w:hAnsi="Times New Roman" w:cs="Times New Roman"/>
          <w:bCs/>
          <w:sz w:val="24"/>
          <w:szCs w:val="28"/>
        </w:rPr>
        <w:t>în</w:t>
      </w:r>
      <w:r w:rsidRPr="003278ED">
        <w:rPr>
          <w:rFonts w:ascii="Times New Roman" w:hAnsi="Times New Roman" w:cs="Times New Roman"/>
          <w:bCs/>
          <w:sz w:val="24"/>
          <w:szCs w:val="28"/>
        </w:rPr>
        <w:t xml:space="preserve"> scopul de a utiliza oportunitățile oferite de integrarea graduală a Republicii Moldova la Piața Unică Europeană. Totodată, investițiile în sector vor fi sprijinite </w:t>
      </w:r>
      <w:r w:rsidR="00956CE9" w:rsidRPr="003278ED">
        <w:rPr>
          <w:rFonts w:ascii="Times New Roman" w:hAnsi="Times New Roman" w:cs="Times New Roman"/>
          <w:bCs/>
          <w:sz w:val="24"/>
          <w:szCs w:val="28"/>
        </w:rPr>
        <w:t>prin</w:t>
      </w:r>
      <w:r w:rsidRPr="003278ED">
        <w:rPr>
          <w:rFonts w:ascii="Times New Roman" w:hAnsi="Times New Roman" w:cs="Times New Roman"/>
          <w:bCs/>
          <w:sz w:val="24"/>
          <w:szCs w:val="28"/>
        </w:rPr>
        <w:t xml:space="preserve"> Programul național de dezvoltare industrială 2024-2028.</w:t>
      </w:r>
    </w:p>
    <w:p w14:paraId="1E75D74E" w14:textId="77777777"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Cererea externă pentru produsele autohtone va constitui un factor de creștere pentru ramurile industriale exportatoare. Datorită deschiderii piețelor externe și oportunităților oferite de acordurile de cooperare economică internațională, vor crește posibilitățile agenților economici autohtoni de a-și realiza producția în exterior. </w:t>
      </w:r>
    </w:p>
    <w:p w14:paraId="6722AA67" w14:textId="40783829"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Evoluția </w:t>
      </w:r>
      <w:r w:rsidRPr="003278ED">
        <w:rPr>
          <w:rFonts w:ascii="Times New Roman" w:hAnsi="Times New Roman" w:cs="Times New Roman"/>
          <w:bCs/>
          <w:i/>
          <w:sz w:val="24"/>
          <w:szCs w:val="28"/>
        </w:rPr>
        <w:t>sectorului agricol</w:t>
      </w:r>
      <w:r w:rsidRPr="003278ED">
        <w:rPr>
          <w:rFonts w:ascii="Times New Roman" w:hAnsi="Times New Roman" w:cs="Times New Roman"/>
          <w:bCs/>
          <w:sz w:val="24"/>
          <w:szCs w:val="28"/>
        </w:rPr>
        <w:t xml:space="preserve"> în 2024 va fi una relativ modestă (+1%). Anul agricol 2024 se anticipează a fi relativ favorabil: vor fi înregistrate evoluții pozitive atât ale producției vegetale, cât și ale producției animaliere. Se anticipează creșterea producției animaliere, datorată politicilor active de susținere a sectorului zootehnic (eficientizarea modului de subvenționare a domeniului, construcția, reconstrucția și dotarea tehnologică a fermelor zootehnice). În anii următori (2025-2027) se prognozează o tendință </w:t>
      </w:r>
      <w:r w:rsidR="00956CE9" w:rsidRPr="003278ED">
        <w:rPr>
          <w:rFonts w:ascii="Times New Roman" w:hAnsi="Times New Roman" w:cs="Times New Roman"/>
          <w:bCs/>
          <w:sz w:val="24"/>
          <w:szCs w:val="28"/>
        </w:rPr>
        <w:t xml:space="preserve">de creștere </w:t>
      </w:r>
      <w:r w:rsidRPr="003278ED">
        <w:rPr>
          <w:rFonts w:ascii="Times New Roman" w:hAnsi="Times New Roman" w:cs="Times New Roman"/>
          <w:bCs/>
          <w:sz w:val="24"/>
          <w:szCs w:val="28"/>
        </w:rPr>
        <w:t>relativ stabilă</w:t>
      </w:r>
      <w:r w:rsidR="00956CE9" w:rsidRPr="003278ED">
        <w:rPr>
          <w:rFonts w:ascii="Times New Roman" w:hAnsi="Times New Roman" w:cs="Times New Roman"/>
          <w:bCs/>
          <w:sz w:val="24"/>
          <w:szCs w:val="28"/>
        </w:rPr>
        <w:t xml:space="preserve"> </w:t>
      </w:r>
      <w:r w:rsidRPr="003278ED">
        <w:rPr>
          <w:rFonts w:ascii="Times New Roman" w:hAnsi="Times New Roman" w:cs="Times New Roman"/>
          <w:bCs/>
          <w:sz w:val="24"/>
          <w:szCs w:val="28"/>
        </w:rPr>
        <w:t xml:space="preserve">de circa 1,5-2%. </w:t>
      </w:r>
    </w:p>
    <w:p w14:paraId="37F01932" w14:textId="1213184E"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Condițiile climatice reprezintă unul din</w:t>
      </w:r>
      <w:r w:rsidR="00956CE9" w:rsidRPr="003278ED">
        <w:rPr>
          <w:rFonts w:ascii="Times New Roman" w:hAnsi="Times New Roman" w:cs="Times New Roman"/>
          <w:bCs/>
          <w:sz w:val="24"/>
          <w:szCs w:val="28"/>
        </w:rPr>
        <w:t>tre</w:t>
      </w:r>
      <w:r w:rsidRPr="003278ED">
        <w:rPr>
          <w:rFonts w:ascii="Times New Roman" w:hAnsi="Times New Roman" w:cs="Times New Roman"/>
          <w:bCs/>
          <w:sz w:val="24"/>
          <w:szCs w:val="28"/>
        </w:rPr>
        <w:t xml:space="preserve"> factorii de bază care determină evoluția sectorului agricol. Experiența anilor precedenți confirmă vulnerabilitatea sectorului agricol la schimbările climaterice, ce au un impact negativ tot mai accentuat asupra producției agricole de la an la an.  Un alt factor care va determina creșterea producției agricole în anii de prognoză va fi implementarea tehnologiilor performante în sector, factor confirmat de tendințele înregistrate în ultima perioadă, când investițiile în sectorul agricol </w:t>
      </w:r>
      <w:r w:rsidR="00D7591C" w:rsidRPr="003278ED">
        <w:rPr>
          <w:rFonts w:ascii="Times New Roman" w:hAnsi="Times New Roman" w:cs="Times New Roman"/>
          <w:bCs/>
          <w:sz w:val="24"/>
          <w:szCs w:val="28"/>
        </w:rPr>
        <w:t>pe parcursul a</w:t>
      </w:r>
      <w:r w:rsidRPr="003278ED">
        <w:rPr>
          <w:rFonts w:ascii="Times New Roman" w:hAnsi="Times New Roman" w:cs="Times New Roman"/>
          <w:bCs/>
          <w:sz w:val="24"/>
          <w:szCs w:val="28"/>
        </w:rPr>
        <w:t xml:space="preserve"> 3 ani (2020-2022) au cumulat o creștere de circa 38%, precum și de extinderea creditării sectorului. Potrivit datelor BNM, cererea pentru creditele noi a crescut ușor preponderent datorită creditării sectorului agricol. Astfel, circa 12% din portofoliul creditelor anului 2023 constituie creditele acordate agriculturii. </w:t>
      </w:r>
    </w:p>
    <w:p w14:paraId="11035C99" w14:textId="6C1205B6"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
          <w:bCs/>
          <w:i/>
          <w:sz w:val="24"/>
          <w:szCs w:val="28"/>
        </w:rPr>
        <w:t>Activitatea investițională</w:t>
      </w:r>
      <w:r w:rsidRPr="003278ED">
        <w:rPr>
          <w:rFonts w:ascii="Times New Roman" w:hAnsi="Times New Roman" w:cs="Times New Roman"/>
          <w:bCs/>
          <w:sz w:val="24"/>
          <w:szCs w:val="28"/>
        </w:rPr>
        <w:t xml:space="preserve"> în anii 2024-2025 va fi susținută în cea mai mare parte de investițiile în infrastructura publică</w:t>
      </w:r>
      <w:r w:rsidR="0014641A"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finanțate, în special, din sursele partenerilor de dezvoltare, precum și de îmbunătățirea condițiilor de creditare, determinat</w:t>
      </w:r>
      <w:r w:rsidR="0014641A" w:rsidRPr="003278ED">
        <w:rPr>
          <w:rFonts w:ascii="Times New Roman" w:hAnsi="Times New Roman" w:cs="Times New Roman"/>
          <w:bCs/>
          <w:sz w:val="24"/>
          <w:szCs w:val="28"/>
        </w:rPr>
        <w:t>ă</w:t>
      </w:r>
      <w:r w:rsidRPr="003278ED">
        <w:rPr>
          <w:rFonts w:ascii="Times New Roman" w:hAnsi="Times New Roman" w:cs="Times New Roman"/>
          <w:bCs/>
          <w:sz w:val="24"/>
          <w:szCs w:val="28"/>
        </w:rPr>
        <w:t xml:space="preserve"> de politica relaxantă promovată de către BNM. </w:t>
      </w:r>
    </w:p>
    <w:p w14:paraId="49040D5B" w14:textId="6E155BC5"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Astfel, din fondurile bugetare și </w:t>
      </w:r>
      <w:r w:rsidR="0014641A" w:rsidRPr="003278ED">
        <w:rPr>
          <w:rFonts w:ascii="Times New Roman" w:hAnsi="Times New Roman" w:cs="Times New Roman"/>
          <w:bCs/>
          <w:sz w:val="24"/>
          <w:szCs w:val="28"/>
        </w:rPr>
        <w:t xml:space="preserve">din </w:t>
      </w:r>
      <w:r w:rsidRPr="003278ED">
        <w:rPr>
          <w:rFonts w:ascii="Times New Roman" w:hAnsi="Times New Roman" w:cs="Times New Roman"/>
          <w:bCs/>
          <w:sz w:val="24"/>
          <w:szCs w:val="28"/>
        </w:rPr>
        <w:t xml:space="preserve">mijloacele financiare ale partenerilor de dezvoltare, este planificată implementarea unor proiecte </w:t>
      </w:r>
      <w:r w:rsidR="0014641A" w:rsidRPr="003278ED">
        <w:rPr>
          <w:rFonts w:ascii="Times New Roman" w:hAnsi="Times New Roman" w:cs="Times New Roman"/>
          <w:bCs/>
          <w:sz w:val="24"/>
          <w:szCs w:val="28"/>
        </w:rPr>
        <w:t>majore ale statului, în special</w:t>
      </w:r>
      <w:r w:rsidRPr="003278ED">
        <w:rPr>
          <w:rFonts w:ascii="Times New Roman" w:hAnsi="Times New Roman" w:cs="Times New Roman"/>
          <w:bCs/>
          <w:sz w:val="24"/>
          <w:szCs w:val="28"/>
        </w:rPr>
        <w:t xml:space="preserve"> în sectorul energetic, infrastructura drumurilor, infrastructura feroviară, infrastructura de aprovizionare cu apă și canalizare. </w:t>
      </w:r>
    </w:p>
    <w:p w14:paraId="3B81499B" w14:textId="68A85DB1"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R</w:t>
      </w:r>
      <w:r w:rsidR="0014641A" w:rsidRPr="003278ED">
        <w:rPr>
          <w:rFonts w:ascii="Times New Roman" w:hAnsi="Times New Roman" w:cs="Times New Roman"/>
          <w:bCs/>
          <w:sz w:val="24"/>
          <w:szCs w:val="28"/>
        </w:rPr>
        <w:t xml:space="preserve">eluarea creditării economiei </w:t>
      </w:r>
      <w:r w:rsidRPr="003278ED">
        <w:rPr>
          <w:rFonts w:ascii="Times New Roman" w:hAnsi="Times New Roman" w:cs="Times New Roman"/>
          <w:bCs/>
          <w:sz w:val="24"/>
          <w:szCs w:val="28"/>
        </w:rPr>
        <w:t>va contribui</w:t>
      </w:r>
      <w:r w:rsidR="0014641A"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w:t>
      </w:r>
      <w:r w:rsidR="0014641A" w:rsidRPr="003278ED">
        <w:rPr>
          <w:rFonts w:ascii="Times New Roman" w:hAnsi="Times New Roman" w:cs="Times New Roman"/>
          <w:bCs/>
          <w:sz w:val="24"/>
          <w:szCs w:val="28"/>
        </w:rPr>
        <w:t xml:space="preserve">de asemenea, </w:t>
      </w:r>
      <w:r w:rsidRPr="003278ED">
        <w:rPr>
          <w:rFonts w:ascii="Times New Roman" w:hAnsi="Times New Roman" w:cs="Times New Roman"/>
          <w:bCs/>
          <w:sz w:val="24"/>
          <w:szCs w:val="28"/>
        </w:rPr>
        <w:t xml:space="preserve">pozitiv la creșterea investițiilor în perioada de prognoză. Conform datelor BNM, în anul 2023 au fost semnalate primele efecte ale politicii monetare relaxante, valoarea creditelor noi sporind cu 8%, creștere datorată preponderent </w:t>
      </w:r>
      <w:r w:rsidRPr="003278ED">
        <w:rPr>
          <w:rFonts w:ascii="Times New Roman" w:hAnsi="Times New Roman" w:cs="Times New Roman"/>
          <w:bCs/>
          <w:sz w:val="24"/>
          <w:szCs w:val="28"/>
        </w:rPr>
        <w:lastRenderedPageBreak/>
        <w:t xml:space="preserve">creditelor acordate în monedă națională (care s-au majorat cu 20%). Această tendință de creștere se anticipează să se mențină în toți anii de prognoză. </w:t>
      </w:r>
    </w:p>
    <w:p w14:paraId="69F18836" w14:textId="60BA40D7" w:rsidR="00B426BB" w:rsidRPr="003278ED" w:rsidRDefault="00EF5128"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Se anticipează o intensificare a activităților investiționale</w:t>
      </w:r>
      <w:r w:rsidR="00E44A52" w:rsidRPr="003278ED">
        <w:rPr>
          <w:rFonts w:ascii="Times New Roman" w:hAnsi="Times New Roman" w:cs="Times New Roman"/>
          <w:bCs/>
          <w:sz w:val="24"/>
          <w:szCs w:val="28"/>
        </w:rPr>
        <w:t xml:space="preserve"> </w:t>
      </w:r>
      <w:r w:rsidR="00B426BB" w:rsidRPr="003278ED">
        <w:rPr>
          <w:rFonts w:ascii="Times New Roman" w:hAnsi="Times New Roman" w:cs="Times New Roman"/>
          <w:bCs/>
          <w:sz w:val="24"/>
          <w:szCs w:val="28"/>
        </w:rPr>
        <w:t xml:space="preserve">datorită aplicării ratei zero la impozitul pe venitul nerepartizat al întreprinderilor mici și mijlocii, precum și datorită implementării Programului investițional </w:t>
      </w:r>
      <w:r w:rsidR="0014641A" w:rsidRPr="003278ED">
        <w:rPr>
          <w:rFonts w:ascii="Times New Roman" w:hAnsi="Times New Roman" w:cs="Times New Roman"/>
          <w:bCs/>
          <w:sz w:val="24"/>
          <w:szCs w:val="28"/>
        </w:rPr>
        <w:t>„</w:t>
      </w:r>
      <w:r w:rsidR="00B426BB" w:rsidRPr="003278ED">
        <w:rPr>
          <w:rFonts w:ascii="Times New Roman" w:hAnsi="Times New Roman" w:cs="Times New Roman"/>
          <w:bCs/>
          <w:sz w:val="24"/>
          <w:szCs w:val="28"/>
        </w:rPr>
        <w:t>373</w:t>
      </w:r>
      <w:r w:rsidR="0014641A" w:rsidRPr="003278ED">
        <w:rPr>
          <w:rFonts w:ascii="Times New Roman" w:hAnsi="Times New Roman" w:cs="Times New Roman"/>
          <w:bCs/>
          <w:sz w:val="24"/>
          <w:szCs w:val="28"/>
        </w:rPr>
        <w:t>”, care va oferi business</w:t>
      </w:r>
      <w:r w:rsidR="00B426BB" w:rsidRPr="003278ED">
        <w:rPr>
          <w:rFonts w:ascii="Times New Roman" w:hAnsi="Times New Roman" w:cs="Times New Roman"/>
          <w:bCs/>
          <w:sz w:val="24"/>
          <w:szCs w:val="28"/>
        </w:rPr>
        <w:t xml:space="preserve">ului acces la creditele investiționale în valoare de până la 15 mil. lei cu ratele de dobândă reduse. </w:t>
      </w:r>
    </w:p>
    <w:p w14:paraId="720375B4" w14:textId="7321615C" w:rsidR="00B426BB" w:rsidRPr="003278ED" w:rsidRDefault="00EF5128"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În astfel de condiții</w:t>
      </w:r>
      <w:r w:rsidR="00B426BB" w:rsidRPr="003278ED">
        <w:rPr>
          <w:rFonts w:ascii="Times New Roman" w:hAnsi="Times New Roman" w:cs="Times New Roman"/>
          <w:bCs/>
          <w:sz w:val="24"/>
          <w:szCs w:val="28"/>
        </w:rPr>
        <w:t>, pentru anul 2024 se prognozează o creștere a investițiilor de 2,2%, iar ulterior</w:t>
      </w:r>
      <w:r w:rsidR="0014641A" w:rsidRPr="003278ED">
        <w:rPr>
          <w:rFonts w:ascii="Times New Roman" w:hAnsi="Times New Roman" w:cs="Times New Roman"/>
          <w:bCs/>
          <w:sz w:val="24"/>
          <w:szCs w:val="28"/>
        </w:rPr>
        <w:t>,</w:t>
      </w:r>
      <w:r w:rsidR="00B426BB" w:rsidRPr="003278ED">
        <w:rPr>
          <w:rFonts w:ascii="Times New Roman" w:hAnsi="Times New Roman" w:cs="Times New Roman"/>
          <w:bCs/>
          <w:sz w:val="24"/>
          <w:szCs w:val="28"/>
        </w:rPr>
        <w:t xml:space="preserve"> </w:t>
      </w:r>
      <w:r w:rsidR="0014641A" w:rsidRPr="003278ED">
        <w:rPr>
          <w:rFonts w:ascii="Times New Roman" w:hAnsi="Times New Roman" w:cs="Times New Roman"/>
          <w:bCs/>
          <w:sz w:val="24"/>
          <w:szCs w:val="28"/>
        </w:rPr>
        <w:t>pentru</w:t>
      </w:r>
      <w:r w:rsidR="00B426BB" w:rsidRPr="003278ED">
        <w:rPr>
          <w:rFonts w:ascii="Times New Roman" w:hAnsi="Times New Roman" w:cs="Times New Roman"/>
          <w:bCs/>
          <w:sz w:val="24"/>
          <w:szCs w:val="28"/>
        </w:rPr>
        <w:t xml:space="preserve"> anii 2025-2027 – de circa 3%.</w:t>
      </w:r>
    </w:p>
    <w:p w14:paraId="09C75E6C" w14:textId="4A0145B8"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Redresarea economiei mondiale va conduce la intensificarea cererii externe</w:t>
      </w:r>
      <w:r w:rsidR="0014641A"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cu efect pozitiv asupra exporturilor de produse, </w:t>
      </w:r>
      <w:r w:rsidR="0014641A"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servicii </w:t>
      </w:r>
      <w:proofErr w:type="spellStart"/>
      <w:r w:rsidRPr="003278ED">
        <w:rPr>
          <w:rFonts w:ascii="Times New Roman" w:hAnsi="Times New Roman" w:cs="Times New Roman"/>
          <w:bCs/>
          <w:sz w:val="24"/>
          <w:szCs w:val="28"/>
        </w:rPr>
        <w:t>şi</w:t>
      </w:r>
      <w:proofErr w:type="spellEnd"/>
      <w:r w:rsidRPr="003278ED">
        <w:rPr>
          <w:rFonts w:ascii="Times New Roman" w:hAnsi="Times New Roman" w:cs="Times New Roman"/>
          <w:bCs/>
          <w:sz w:val="24"/>
          <w:szCs w:val="28"/>
        </w:rPr>
        <w:t xml:space="preserve"> </w:t>
      </w:r>
      <w:r w:rsidR="0014641A"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materii prime. Ipotezele de bază care au fost luate în considera</w:t>
      </w:r>
      <w:r w:rsidR="0014641A" w:rsidRPr="003278ED">
        <w:rPr>
          <w:rFonts w:ascii="Times New Roman" w:hAnsi="Times New Roman" w:cs="Times New Roman"/>
          <w:bCs/>
          <w:sz w:val="24"/>
          <w:szCs w:val="28"/>
        </w:rPr>
        <w:t>r</w:t>
      </w:r>
      <w:r w:rsidRPr="003278ED">
        <w:rPr>
          <w:rFonts w:ascii="Times New Roman" w:hAnsi="Times New Roman" w:cs="Times New Roman"/>
          <w:bCs/>
          <w:sz w:val="24"/>
          <w:szCs w:val="28"/>
        </w:rPr>
        <w:t xml:space="preserve">e la prognoza </w:t>
      </w:r>
      <w:r w:rsidRPr="003278ED">
        <w:rPr>
          <w:rFonts w:ascii="Times New Roman" w:hAnsi="Times New Roman" w:cs="Times New Roman"/>
          <w:bCs/>
          <w:i/>
          <w:sz w:val="24"/>
          <w:szCs w:val="28"/>
        </w:rPr>
        <w:t>comerțului exterior</w:t>
      </w:r>
      <w:r w:rsidRPr="003278ED">
        <w:rPr>
          <w:rFonts w:ascii="Times New Roman" w:hAnsi="Times New Roman" w:cs="Times New Roman"/>
          <w:bCs/>
          <w:sz w:val="24"/>
          <w:szCs w:val="28"/>
        </w:rPr>
        <w:t xml:space="preserve"> sunt prognoza pozitivă a sectorului real, relansarea consumului intern, înviorarea cererii externe, precum și baza scăzută de comparație. Conform estimărilor, în anul 2024 sectoarele agricol și industriei alimentare vor impulsiona exporturile de mărfuri agroalimentare, iar sectorul industriei prelucrătoare –</w:t>
      </w:r>
      <w:r w:rsidR="00AB06F5" w:rsidRPr="003278ED">
        <w:rPr>
          <w:rFonts w:ascii="Times New Roman" w:hAnsi="Times New Roman" w:cs="Times New Roman"/>
          <w:bCs/>
          <w:sz w:val="24"/>
          <w:szCs w:val="28"/>
        </w:rPr>
        <w:t xml:space="preserve"> </w:t>
      </w:r>
      <w:r w:rsidRPr="003278ED">
        <w:rPr>
          <w:rFonts w:ascii="Times New Roman" w:hAnsi="Times New Roman" w:cs="Times New Roman"/>
          <w:bCs/>
          <w:sz w:val="24"/>
          <w:szCs w:val="28"/>
        </w:rPr>
        <w:t>exporturi</w:t>
      </w:r>
      <w:r w:rsidR="00AB06F5" w:rsidRPr="003278ED">
        <w:rPr>
          <w:rFonts w:ascii="Times New Roman" w:hAnsi="Times New Roman" w:cs="Times New Roman"/>
          <w:bCs/>
          <w:sz w:val="24"/>
          <w:szCs w:val="28"/>
        </w:rPr>
        <w:t>le</w:t>
      </w:r>
      <w:r w:rsidRPr="003278ED">
        <w:rPr>
          <w:rFonts w:ascii="Times New Roman" w:hAnsi="Times New Roman" w:cs="Times New Roman"/>
          <w:bCs/>
          <w:sz w:val="24"/>
          <w:szCs w:val="28"/>
        </w:rPr>
        <w:t xml:space="preserve"> </w:t>
      </w:r>
      <w:r w:rsidR="00AB06F5" w:rsidRPr="003278ED">
        <w:rPr>
          <w:rFonts w:ascii="Times New Roman" w:hAnsi="Times New Roman" w:cs="Times New Roman"/>
          <w:bCs/>
          <w:sz w:val="24"/>
          <w:szCs w:val="28"/>
        </w:rPr>
        <w:t>de producție industrială</w:t>
      </w:r>
      <w:r w:rsidRPr="003278ED">
        <w:rPr>
          <w:rFonts w:ascii="Times New Roman" w:hAnsi="Times New Roman" w:cs="Times New Roman"/>
          <w:bCs/>
          <w:sz w:val="24"/>
          <w:szCs w:val="28"/>
        </w:rPr>
        <w:t xml:space="preserve">. </w:t>
      </w:r>
    </w:p>
    <w:p w14:paraId="407E1B98" w14:textId="451F365A"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În acest context, se prognozează un volum al </w:t>
      </w:r>
      <w:r w:rsidRPr="003278ED">
        <w:rPr>
          <w:rFonts w:ascii="Times New Roman" w:hAnsi="Times New Roman" w:cs="Times New Roman"/>
          <w:bCs/>
          <w:i/>
          <w:sz w:val="24"/>
          <w:szCs w:val="28"/>
        </w:rPr>
        <w:t>exporturilor</w:t>
      </w:r>
      <w:r w:rsidRPr="003278ED">
        <w:rPr>
          <w:rFonts w:ascii="Times New Roman" w:hAnsi="Times New Roman" w:cs="Times New Roman"/>
          <w:bCs/>
          <w:sz w:val="24"/>
          <w:szCs w:val="28"/>
        </w:rPr>
        <w:t xml:space="preserve"> cu circa 11,1% mai mare decât în anul 2023. În anii următori de prognoză </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2025-2027</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se estimează o creștere medie de circa 7% a exporturilor, determinată de evoluțiile pozitive ale sectoarelor productive, </w:t>
      </w:r>
      <w:r w:rsidR="00AB06F5"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valorificarea oportunităților oferite de acordurile de cooperare, </w:t>
      </w:r>
      <w:r w:rsidR="00AB06F5"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promovarea mai int</w:t>
      </w:r>
      <w:r w:rsidR="00AB06F5" w:rsidRPr="003278ED">
        <w:rPr>
          <w:rFonts w:ascii="Times New Roman" w:hAnsi="Times New Roman" w:cs="Times New Roman"/>
          <w:bCs/>
          <w:sz w:val="24"/>
          <w:szCs w:val="28"/>
        </w:rPr>
        <w:t>ensă a exporturilor pe piața UE și de</w:t>
      </w:r>
      <w:r w:rsidRPr="003278ED">
        <w:rPr>
          <w:rFonts w:ascii="Times New Roman" w:hAnsi="Times New Roman" w:cs="Times New Roman"/>
          <w:bCs/>
          <w:sz w:val="24"/>
          <w:szCs w:val="28"/>
        </w:rPr>
        <w:t xml:space="preserve"> identificarea și penetrarea piețelor noi. Un factor important care va stimula creșterea exporturilor este prelungirea cu un an a liberalizării comerțului dintre Moldova și UE. </w:t>
      </w:r>
    </w:p>
    <w:p w14:paraId="40F55F33" w14:textId="4AA399BB"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Cererea internă și prețurile mondiale la resursele energetice în scădere, conflictul militar din țara vecină, diminuarea importurilor înregistrată în anul </w:t>
      </w:r>
      <w:r w:rsidR="00AB06F5" w:rsidRPr="003278ED">
        <w:rPr>
          <w:rFonts w:ascii="Times New Roman" w:hAnsi="Times New Roman" w:cs="Times New Roman"/>
          <w:bCs/>
          <w:sz w:val="24"/>
          <w:szCs w:val="28"/>
        </w:rPr>
        <w:t>2023</w:t>
      </w:r>
      <w:r w:rsidRPr="003278ED">
        <w:rPr>
          <w:rFonts w:ascii="Times New Roman" w:hAnsi="Times New Roman" w:cs="Times New Roman"/>
          <w:bCs/>
          <w:sz w:val="24"/>
          <w:szCs w:val="28"/>
        </w:rPr>
        <w:t xml:space="preserve"> sunt factorii care vor duce la creșterea moderată (+9,5%) a </w:t>
      </w:r>
      <w:r w:rsidRPr="003278ED">
        <w:rPr>
          <w:rFonts w:ascii="Times New Roman" w:hAnsi="Times New Roman" w:cs="Times New Roman"/>
          <w:bCs/>
          <w:i/>
          <w:sz w:val="24"/>
          <w:szCs w:val="28"/>
        </w:rPr>
        <w:t>importurilor</w:t>
      </w:r>
      <w:r w:rsidRPr="003278ED">
        <w:rPr>
          <w:rFonts w:ascii="Times New Roman" w:hAnsi="Times New Roman" w:cs="Times New Roman"/>
          <w:bCs/>
          <w:sz w:val="24"/>
          <w:szCs w:val="28"/>
        </w:rPr>
        <w:t xml:space="preserve"> în anul 2024. Creșterea consumului privat, alimentat în principal de veniturile salariale și de remitențele din străinătate, precum și redresarea activității economice vor influența pozitiv cererea de bunuri importate. De asemenea, este de menționat redresarea preconizată a creditării și efectul acesteia asupra creșterii investițiilor care, la rândul lor, vor contribui la majorarea importurilor. Respectiv, în anii ce urmează </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2025-2027</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evoluția importurilor se estimează </w:t>
      </w:r>
      <w:r w:rsidR="00AB06F5" w:rsidRPr="003278ED">
        <w:rPr>
          <w:rFonts w:ascii="Times New Roman" w:hAnsi="Times New Roman" w:cs="Times New Roman"/>
          <w:bCs/>
          <w:sz w:val="24"/>
          <w:szCs w:val="28"/>
        </w:rPr>
        <w:t>să crească anual în</w:t>
      </w:r>
      <w:r w:rsidRPr="003278ED">
        <w:rPr>
          <w:rFonts w:ascii="Times New Roman" w:hAnsi="Times New Roman" w:cs="Times New Roman"/>
          <w:bCs/>
          <w:sz w:val="24"/>
          <w:szCs w:val="28"/>
        </w:rPr>
        <w:t xml:space="preserve"> medie </w:t>
      </w:r>
      <w:r w:rsidR="00AB06F5" w:rsidRPr="003278ED">
        <w:rPr>
          <w:rFonts w:ascii="Times New Roman" w:hAnsi="Times New Roman" w:cs="Times New Roman"/>
          <w:bCs/>
          <w:sz w:val="24"/>
          <w:szCs w:val="28"/>
        </w:rPr>
        <w:t xml:space="preserve">cu </w:t>
      </w:r>
      <w:r w:rsidRPr="003278ED">
        <w:rPr>
          <w:rFonts w:ascii="Times New Roman" w:hAnsi="Times New Roman" w:cs="Times New Roman"/>
          <w:bCs/>
          <w:sz w:val="24"/>
          <w:szCs w:val="28"/>
        </w:rPr>
        <w:t xml:space="preserve">circa 6%, fiind dependentă de necesitățile de acoperire a consumului și </w:t>
      </w:r>
      <w:r w:rsidR="00AB06F5" w:rsidRPr="003278ED">
        <w:rPr>
          <w:rFonts w:ascii="Times New Roman" w:hAnsi="Times New Roman" w:cs="Times New Roman"/>
          <w:bCs/>
          <w:sz w:val="24"/>
          <w:szCs w:val="28"/>
        </w:rPr>
        <w:t xml:space="preserve">de aprovizionare </w:t>
      </w:r>
      <w:r w:rsidRPr="003278ED">
        <w:rPr>
          <w:rFonts w:ascii="Times New Roman" w:hAnsi="Times New Roman" w:cs="Times New Roman"/>
          <w:bCs/>
          <w:sz w:val="24"/>
          <w:szCs w:val="28"/>
        </w:rPr>
        <w:t>a sectorului productiv cu materie primă.</w:t>
      </w:r>
    </w:p>
    <w:p w14:paraId="2051FE39" w14:textId="71022F93"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Prin urmare, majorarea exporturilor cu ritmuri mai înalte decât a</w:t>
      </w:r>
      <w:r w:rsidR="00AB06F5" w:rsidRPr="003278ED">
        <w:rPr>
          <w:rFonts w:ascii="Times New Roman" w:hAnsi="Times New Roman" w:cs="Times New Roman"/>
          <w:bCs/>
          <w:sz w:val="24"/>
          <w:szCs w:val="28"/>
        </w:rPr>
        <w:t>le</w:t>
      </w:r>
      <w:r w:rsidRPr="003278ED">
        <w:rPr>
          <w:rFonts w:ascii="Times New Roman" w:hAnsi="Times New Roman" w:cs="Times New Roman"/>
          <w:bCs/>
          <w:sz w:val="24"/>
          <w:szCs w:val="28"/>
        </w:rPr>
        <w:t xml:space="preserve"> importurilor v</w:t>
      </w:r>
      <w:r w:rsidR="00AB06F5" w:rsidRPr="003278ED">
        <w:rPr>
          <w:rFonts w:ascii="Times New Roman" w:hAnsi="Times New Roman" w:cs="Times New Roman"/>
          <w:bCs/>
          <w:sz w:val="24"/>
          <w:szCs w:val="28"/>
        </w:rPr>
        <w:t xml:space="preserve">a </w:t>
      </w:r>
      <w:r w:rsidRPr="003278ED">
        <w:rPr>
          <w:rFonts w:ascii="Times New Roman" w:hAnsi="Times New Roman" w:cs="Times New Roman"/>
          <w:bCs/>
          <w:sz w:val="24"/>
          <w:szCs w:val="28"/>
        </w:rPr>
        <w:t>favoriza îmbunătățirea exportului net și va avea un impact pozitiv asupra PIB în anii de prognoză.</w:t>
      </w:r>
    </w:p>
    <w:p w14:paraId="04928A42" w14:textId="33556940"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
          <w:bCs/>
          <w:i/>
          <w:sz w:val="24"/>
          <w:szCs w:val="28"/>
        </w:rPr>
        <w:t>Rata anuală a inflației</w:t>
      </w:r>
      <w:r w:rsidRPr="003278ED">
        <w:rPr>
          <w:rFonts w:ascii="Times New Roman" w:hAnsi="Times New Roman" w:cs="Times New Roman"/>
          <w:bCs/>
          <w:sz w:val="24"/>
          <w:szCs w:val="28"/>
        </w:rPr>
        <w:t xml:space="preserve"> va continua să scadă ușor în primul semestru a</w:t>
      </w:r>
      <w:r w:rsidR="00237466" w:rsidRPr="003278ED">
        <w:rPr>
          <w:rFonts w:ascii="Times New Roman" w:hAnsi="Times New Roman" w:cs="Times New Roman"/>
          <w:bCs/>
          <w:sz w:val="24"/>
          <w:szCs w:val="28"/>
        </w:rPr>
        <w:t>l</w:t>
      </w:r>
      <w:r w:rsidRPr="003278ED">
        <w:rPr>
          <w:rFonts w:ascii="Times New Roman" w:hAnsi="Times New Roman" w:cs="Times New Roman"/>
          <w:bCs/>
          <w:sz w:val="24"/>
          <w:szCs w:val="28"/>
        </w:rPr>
        <w:t xml:space="preserve"> anului 2024</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după care va spori până la începutul anului viitor. Presiuni dezinflaționiste au continuat să fie determinate de traiectoria prețurilor la produsele alimentare pe piața internațională, dar și de efectele recoltei bogate din anul precedent. Un anumit impact a fost generat de scăderea unor tarife la serviciile comunale în prima parte a anului. Astfel, la sfârșitul anului 2024 </w:t>
      </w:r>
      <w:r w:rsidR="00AB06F5" w:rsidRPr="003278ED">
        <w:rPr>
          <w:rFonts w:ascii="Times New Roman" w:hAnsi="Times New Roman" w:cs="Times New Roman"/>
          <w:bCs/>
          <w:sz w:val="24"/>
          <w:szCs w:val="28"/>
        </w:rPr>
        <w:t xml:space="preserve">inflația </w:t>
      </w:r>
      <w:r w:rsidRPr="003278ED">
        <w:rPr>
          <w:rFonts w:ascii="Times New Roman" w:hAnsi="Times New Roman" w:cs="Times New Roman"/>
          <w:bCs/>
          <w:sz w:val="24"/>
          <w:szCs w:val="28"/>
        </w:rPr>
        <w:t>este estimată la nivel de 6,8%, iar la</w:t>
      </w:r>
      <w:r w:rsidR="00557E41" w:rsidRPr="003278ED">
        <w:rPr>
          <w:rFonts w:ascii="Times New Roman" w:hAnsi="Times New Roman" w:cs="Times New Roman"/>
          <w:bCs/>
          <w:sz w:val="24"/>
          <w:szCs w:val="28"/>
        </w:rPr>
        <w:t xml:space="preserve"> sfârșitul anului 2025 – de 3,6</w:t>
      </w:r>
      <w:r w:rsidRPr="003278ED">
        <w:rPr>
          <w:rFonts w:ascii="Times New Roman" w:hAnsi="Times New Roman" w:cs="Times New Roman"/>
          <w:bCs/>
          <w:sz w:val="24"/>
          <w:szCs w:val="28"/>
        </w:rPr>
        <w:t>%. Pentru anii 2026-2027</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rata inflației a fost prognozată la nivelul țintă stabilit de către </w:t>
      </w:r>
      <w:r w:rsidR="00AB06F5" w:rsidRPr="003278ED">
        <w:rPr>
          <w:rFonts w:ascii="Times New Roman" w:hAnsi="Times New Roman" w:cs="Times New Roman"/>
          <w:bCs/>
          <w:sz w:val="24"/>
          <w:szCs w:val="28"/>
        </w:rPr>
        <w:t>BNM</w:t>
      </w:r>
      <w:r w:rsidRPr="003278ED">
        <w:rPr>
          <w:rFonts w:ascii="Times New Roman" w:hAnsi="Times New Roman" w:cs="Times New Roman"/>
          <w:bCs/>
          <w:sz w:val="24"/>
          <w:szCs w:val="28"/>
        </w:rPr>
        <w:t xml:space="preserve"> pentru inflația anuală (5%).</w:t>
      </w:r>
    </w:p>
    <w:p w14:paraId="04CEA646" w14:textId="6D4B2A3E"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Având la bază prognoza tendințelor de evoluție a indicatorilor principalelor sectoare ale economiei naționale, se prevede o creștere reală a </w:t>
      </w:r>
      <w:r w:rsidRPr="003278ED">
        <w:rPr>
          <w:rFonts w:ascii="Times New Roman" w:hAnsi="Times New Roman" w:cs="Times New Roman"/>
          <w:bCs/>
          <w:i/>
          <w:sz w:val="24"/>
          <w:szCs w:val="28"/>
        </w:rPr>
        <w:t>P</w:t>
      </w:r>
      <w:r w:rsidR="00AB06F5" w:rsidRPr="003278ED">
        <w:rPr>
          <w:rFonts w:ascii="Times New Roman" w:hAnsi="Times New Roman" w:cs="Times New Roman"/>
          <w:bCs/>
          <w:i/>
          <w:sz w:val="24"/>
          <w:szCs w:val="28"/>
        </w:rPr>
        <w:t>IB</w:t>
      </w:r>
      <w:r w:rsidR="00AB06F5" w:rsidRPr="003278ED">
        <w:rPr>
          <w:rFonts w:ascii="Times New Roman" w:hAnsi="Times New Roman" w:cs="Times New Roman"/>
          <w:b/>
          <w:bCs/>
          <w:i/>
          <w:sz w:val="24"/>
          <w:szCs w:val="28"/>
        </w:rPr>
        <w:t xml:space="preserve"> </w:t>
      </w:r>
      <w:r w:rsidRPr="003278ED">
        <w:rPr>
          <w:rFonts w:ascii="Times New Roman" w:hAnsi="Times New Roman" w:cs="Times New Roman"/>
          <w:bCs/>
          <w:sz w:val="24"/>
          <w:szCs w:val="28"/>
        </w:rPr>
        <w:t xml:space="preserve">de circa 2,5% în anul 2024, iar în următorii ani de prognoză </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2025-2027</w:t>
      </w:r>
      <w:r w:rsidR="00AB06F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 o creștere cuprinsă între 3,0</w:t>
      </w:r>
      <w:r w:rsidR="00AB06F5" w:rsidRPr="003278ED">
        <w:rPr>
          <w:rFonts w:ascii="Times New Roman" w:hAnsi="Times New Roman" w:cs="Times New Roman"/>
          <w:bCs/>
          <w:sz w:val="24"/>
          <w:szCs w:val="28"/>
        </w:rPr>
        <w:t xml:space="preserve"> și </w:t>
      </w:r>
      <w:r w:rsidRPr="003278ED">
        <w:rPr>
          <w:rFonts w:ascii="Times New Roman" w:hAnsi="Times New Roman" w:cs="Times New Roman"/>
          <w:bCs/>
          <w:sz w:val="24"/>
          <w:szCs w:val="28"/>
        </w:rPr>
        <w:t xml:space="preserve">3,7%. Această creștere este condiționată de o evoluție relativ bună a sectoarelor economiei naționale și reflectă mai mulți factori: </w:t>
      </w:r>
    </w:p>
    <w:p w14:paraId="06CD89EC" w14:textId="2BA9ED8D"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a) creșterea consumului privat, ca efect al relaxării politicii monetare și </w:t>
      </w:r>
      <w:r w:rsidR="00EF3C15" w:rsidRPr="003278ED">
        <w:rPr>
          <w:rFonts w:ascii="Times New Roman" w:hAnsi="Times New Roman" w:cs="Times New Roman"/>
          <w:bCs/>
          <w:sz w:val="24"/>
          <w:szCs w:val="28"/>
        </w:rPr>
        <w:t xml:space="preserve">al </w:t>
      </w:r>
      <w:r w:rsidRPr="003278ED">
        <w:rPr>
          <w:rFonts w:ascii="Times New Roman" w:hAnsi="Times New Roman" w:cs="Times New Roman"/>
          <w:bCs/>
          <w:sz w:val="24"/>
          <w:szCs w:val="28"/>
        </w:rPr>
        <w:t xml:space="preserve">majorărilor salariale prognozate; </w:t>
      </w:r>
    </w:p>
    <w:p w14:paraId="1630E8F2" w14:textId="310B047A"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b) reluarea creditării economiei</w:t>
      </w:r>
      <w:r w:rsidR="00EF3C1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care va contribui pozitiv la creșterea investițiilor în perioada de prognoză; </w:t>
      </w:r>
    </w:p>
    <w:p w14:paraId="6D6546F5" w14:textId="77777777"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c) redresarea relativă a economiilor partenerilor comerciali, care va stimula comerțul exterior; și </w:t>
      </w:r>
    </w:p>
    <w:p w14:paraId="616003F0" w14:textId="0EB79663" w:rsidR="00B426BB" w:rsidRPr="003278ED" w:rsidRDefault="00B426BB"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lastRenderedPageBreak/>
        <w:t>d) menținerea inflației sub control și consolidarea fiscală pe termen mediu</w:t>
      </w:r>
      <w:r w:rsidR="00EF3C1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pentru a promova o creștere sustenabilă. </w:t>
      </w:r>
    </w:p>
    <w:p w14:paraId="3B83ED6C" w14:textId="46C32302" w:rsidR="003962BE" w:rsidRPr="003278ED" w:rsidRDefault="00B426BB" w:rsidP="00A47DB5">
      <w:pPr>
        <w:spacing w:after="0" w:line="240" w:lineRule="auto"/>
        <w:ind w:firstLine="709"/>
        <w:jc w:val="both"/>
        <w:rPr>
          <w:rFonts w:ascii="Times New Roman" w:eastAsia="Times New Roman" w:hAnsi="Times New Roman" w:cs="Times New Roman"/>
          <w:b/>
          <w:sz w:val="24"/>
          <w:szCs w:val="24"/>
        </w:rPr>
      </w:pPr>
      <w:r w:rsidRPr="003278ED">
        <w:rPr>
          <w:rFonts w:ascii="Times New Roman" w:hAnsi="Times New Roman" w:cs="Times New Roman"/>
          <w:bCs/>
          <w:sz w:val="24"/>
          <w:szCs w:val="28"/>
        </w:rPr>
        <w:t>Pe termen mediu</w:t>
      </w:r>
      <w:r w:rsidR="00EF3C15" w:rsidRPr="003278ED">
        <w:rPr>
          <w:rFonts w:ascii="Times New Roman" w:hAnsi="Times New Roman" w:cs="Times New Roman"/>
          <w:bCs/>
          <w:sz w:val="24"/>
          <w:szCs w:val="28"/>
        </w:rPr>
        <w:t>,</w:t>
      </w:r>
      <w:r w:rsidRPr="003278ED">
        <w:rPr>
          <w:rFonts w:ascii="Times New Roman" w:hAnsi="Times New Roman" w:cs="Times New Roman"/>
          <w:bCs/>
          <w:sz w:val="24"/>
          <w:szCs w:val="28"/>
        </w:rPr>
        <w:t xml:space="preserve"> este anticipată o creștere moderată, stimulată de implementarea reformelor, </w:t>
      </w:r>
      <w:r w:rsidR="00EF3C15"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 xml:space="preserve">progresul candidaturii Moldovei la UE și </w:t>
      </w:r>
      <w:r w:rsidR="00EF3C15" w:rsidRPr="003278ED">
        <w:rPr>
          <w:rFonts w:ascii="Times New Roman" w:hAnsi="Times New Roman" w:cs="Times New Roman"/>
          <w:bCs/>
          <w:sz w:val="24"/>
          <w:szCs w:val="28"/>
        </w:rPr>
        <w:t xml:space="preserve">de </w:t>
      </w:r>
      <w:r w:rsidRPr="003278ED">
        <w:rPr>
          <w:rFonts w:ascii="Times New Roman" w:hAnsi="Times New Roman" w:cs="Times New Roman"/>
          <w:bCs/>
          <w:sz w:val="24"/>
          <w:szCs w:val="28"/>
        </w:rPr>
        <w:t>redresarea consumului intern și a investițiilor, pe măsură ce impactul războiului se va disipa.</w:t>
      </w:r>
    </w:p>
    <w:p w14:paraId="4F381CE7" w14:textId="77777777" w:rsidR="003962BE" w:rsidRPr="003278ED" w:rsidRDefault="003962BE" w:rsidP="00072588">
      <w:pPr>
        <w:spacing w:after="0" w:line="240" w:lineRule="auto"/>
        <w:jc w:val="both"/>
        <w:rPr>
          <w:rFonts w:ascii="Times New Roman" w:eastAsia="Times New Roman" w:hAnsi="Times New Roman" w:cs="Times New Roman"/>
          <w:b/>
          <w:sz w:val="24"/>
          <w:szCs w:val="24"/>
        </w:rPr>
      </w:pPr>
    </w:p>
    <w:p w14:paraId="36B9AD80" w14:textId="77777777" w:rsidR="00A0789F" w:rsidRPr="009562A5" w:rsidRDefault="00A0789F" w:rsidP="00914ECD">
      <w:pPr>
        <w:pStyle w:val="Title2"/>
        <w:jc w:val="center"/>
        <w:outlineLvl w:val="1"/>
        <w:rPr>
          <w:rFonts w:ascii="Times New Roman" w:hAnsi="Times New Roman"/>
          <w:i w:val="0"/>
          <w:color w:val="auto"/>
          <w:sz w:val="24"/>
        </w:rPr>
      </w:pPr>
      <w:bookmarkStart w:id="7" w:name="_Toc175825344"/>
      <w:r w:rsidRPr="009562A5">
        <w:rPr>
          <w:rFonts w:ascii="Times New Roman" w:hAnsi="Times New Roman"/>
          <w:i w:val="0"/>
          <w:color w:val="auto"/>
          <w:sz w:val="24"/>
        </w:rPr>
        <w:t>C. Riscuri și incertitudini</w:t>
      </w:r>
      <w:bookmarkEnd w:id="7"/>
    </w:p>
    <w:p w14:paraId="0C41CA57" w14:textId="77777777" w:rsidR="007A417F" w:rsidRPr="003278ED" w:rsidRDefault="007A417F" w:rsidP="007D3A2B">
      <w:pPr>
        <w:tabs>
          <w:tab w:val="left" w:pos="7371"/>
        </w:tabs>
        <w:spacing w:after="0" w:line="240" w:lineRule="auto"/>
        <w:ind w:left="17" w:right="95" w:firstLine="709"/>
        <w:jc w:val="both"/>
        <w:rPr>
          <w:rFonts w:ascii="Times New Roman" w:eastAsia="Times New Roman" w:hAnsi="Times New Roman" w:cs="Times New Roman"/>
          <w:color w:val="000000"/>
          <w:sz w:val="24"/>
        </w:rPr>
      </w:pPr>
    </w:p>
    <w:p w14:paraId="52FC1FFB" w14:textId="1BE0B63B" w:rsidR="002C1CED" w:rsidRPr="003278ED" w:rsidRDefault="002C1CED" w:rsidP="00A47DB5">
      <w:pPr>
        <w:tabs>
          <w:tab w:val="left" w:pos="7371"/>
        </w:tabs>
        <w:spacing w:after="0" w:line="240" w:lineRule="auto"/>
        <w:ind w:firstLine="709"/>
        <w:jc w:val="both"/>
        <w:rPr>
          <w:rFonts w:ascii="Times New Roman" w:hAnsi="Times New Roman" w:cs="Times New Roman"/>
          <w:bCs/>
          <w:sz w:val="24"/>
          <w:szCs w:val="28"/>
        </w:rPr>
      </w:pPr>
      <w:r w:rsidRPr="003278ED">
        <w:rPr>
          <w:rFonts w:ascii="Times New Roman" w:eastAsia="Times New Roman" w:hAnsi="Times New Roman" w:cs="Times New Roman"/>
          <w:color w:val="000000"/>
          <w:sz w:val="24"/>
        </w:rPr>
        <w:t>Scenariul de bază prezentat în CBTM (2025-2027) este supus anumitor riscuri care în pofida unor previziuni relativ optimiste, pot m</w:t>
      </w:r>
      <w:r w:rsidR="00EF3C15" w:rsidRPr="003278ED">
        <w:rPr>
          <w:rFonts w:ascii="Times New Roman" w:eastAsia="Times New Roman" w:hAnsi="Times New Roman" w:cs="Times New Roman"/>
          <w:color w:val="000000"/>
          <w:sz w:val="24"/>
        </w:rPr>
        <w:t xml:space="preserve">odifica negativ tabloul </w:t>
      </w:r>
      <w:proofErr w:type="spellStart"/>
      <w:r w:rsidR="00EF3C15" w:rsidRPr="003278ED">
        <w:rPr>
          <w:rFonts w:ascii="Times New Roman" w:eastAsia="Times New Roman" w:hAnsi="Times New Roman" w:cs="Times New Roman"/>
          <w:color w:val="000000"/>
          <w:sz w:val="24"/>
        </w:rPr>
        <w:t>macro</w:t>
      </w:r>
      <w:r w:rsidRPr="003278ED">
        <w:rPr>
          <w:rFonts w:ascii="Times New Roman" w:hAnsi="Times New Roman" w:cs="Times New Roman"/>
          <w:bCs/>
          <w:sz w:val="24"/>
          <w:szCs w:val="28"/>
        </w:rPr>
        <w:t>fiscal</w:t>
      </w:r>
      <w:proofErr w:type="spellEnd"/>
      <w:r w:rsidRPr="003278ED">
        <w:rPr>
          <w:rFonts w:ascii="Times New Roman" w:hAnsi="Times New Roman" w:cs="Times New Roman"/>
          <w:bCs/>
          <w:sz w:val="24"/>
          <w:szCs w:val="28"/>
        </w:rPr>
        <w:t>, în funcție de probabilitatea de materializare și de intensitatea cu care sunt realizate aceste riscuri. Din motive de planificare prudentă</w:t>
      </w:r>
      <w:r w:rsidR="00EF3C15" w:rsidRPr="003278ED">
        <w:rPr>
          <w:rFonts w:ascii="Times New Roman" w:hAnsi="Times New Roman" w:cs="Times New Roman"/>
          <w:bCs/>
          <w:sz w:val="24"/>
          <w:szCs w:val="28"/>
        </w:rPr>
        <w:t xml:space="preserve">, la elaborarea cadrului </w:t>
      </w:r>
      <w:proofErr w:type="spellStart"/>
      <w:r w:rsidR="00EF3C15" w:rsidRPr="003278ED">
        <w:rPr>
          <w:rFonts w:ascii="Times New Roman" w:hAnsi="Times New Roman" w:cs="Times New Roman"/>
          <w:bCs/>
          <w:sz w:val="24"/>
          <w:szCs w:val="28"/>
        </w:rPr>
        <w:t>macro</w:t>
      </w:r>
      <w:r w:rsidRPr="003278ED">
        <w:rPr>
          <w:rFonts w:ascii="Times New Roman" w:hAnsi="Times New Roman" w:cs="Times New Roman"/>
          <w:bCs/>
          <w:sz w:val="24"/>
          <w:szCs w:val="28"/>
        </w:rPr>
        <w:t>fiscal</w:t>
      </w:r>
      <w:proofErr w:type="spellEnd"/>
      <w:r w:rsidRPr="003278ED">
        <w:rPr>
          <w:rFonts w:ascii="Times New Roman" w:hAnsi="Times New Roman" w:cs="Times New Roman"/>
          <w:bCs/>
          <w:sz w:val="24"/>
          <w:szCs w:val="28"/>
        </w:rPr>
        <w:t xml:space="preserve"> se ține cont și de aceste riscuri, ale căror detalii sunt descrise mai jos. </w:t>
      </w:r>
      <w:r w:rsidR="00EF3C15" w:rsidRPr="003278ED">
        <w:rPr>
          <w:rFonts w:ascii="Times New Roman" w:hAnsi="Times New Roman" w:cs="Times New Roman"/>
          <w:bCs/>
          <w:sz w:val="24"/>
          <w:szCs w:val="28"/>
        </w:rPr>
        <w:t>C</w:t>
      </w:r>
      <w:r w:rsidRPr="003278ED">
        <w:rPr>
          <w:rFonts w:ascii="Times New Roman" w:hAnsi="Times New Roman" w:cs="Times New Roman"/>
          <w:bCs/>
          <w:sz w:val="24"/>
          <w:szCs w:val="28"/>
        </w:rPr>
        <w:t>a și în anul precedent, riscurile continuă să fie semnificativ ridicate, în special cele care provin din mediul extern, cu impact economic, politic și social, cele mai importante fiind următoarele.</w:t>
      </w:r>
    </w:p>
    <w:p w14:paraId="2919F58A" w14:textId="77777777" w:rsidR="008B2A62" w:rsidRPr="003278ED" w:rsidRDefault="008B2A62" w:rsidP="00A47DB5">
      <w:pPr>
        <w:tabs>
          <w:tab w:val="left" w:pos="7371"/>
        </w:tabs>
        <w:spacing w:after="0" w:line="240" w:lineRule="auto"/>
        <w:ind w:firstLine="709"/>
        <w:jc w:val="both"/>
        <w:rPr>
          <w:rFonts w:ascii="Times New Roman" w:hAnsi="Times New Roman" w:cs="Times New Roman"/>
          <w:bCs/>
          <w:sz w:val="24"/>
          <w:szCs w:val="28"/>
        </w:rPr>
      </w:pPr>
    </w:p>
    <w:p w14:paraId="2D63B8C0" w14:textId="77777777" w:rsidR="00EA7BB3" w:rsidRPr="003278ED" w:rsidRDefault="00EA7BB3"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Riscuri externe</w:t>
      </w:r>
    </w:p>
    <w:p w14:paraId="65B36C0C" w14:textId="77777777" w:rsidR="00EC139F" w:rsidRPr="003278ED" w:rsidRDefault="00EC139F" w:rsidP="00A47DB5">
      <w:pPr>
        <w:spacing w:after="0" w:line="240" w:lineRule="auto"/>
        <w:ind w:firstLine="709"/>
        <w:jc w:val="both"/>
        <w:rPr>
          <w:rFonts w:ascii="Times New Roman" w:eastAsia="Calibri" w:hAnsi="Times New Roman" w:cs="Times New Roman"/>
          <w:color w:val="000000"/>
        </w:rPr>
      </w:pPr>
      <w:r w:rsidRPr="003278ED">
        <w:rPr>
          <w:rFonts w:ascii="Times New Roman" w:eastAsia="Times New Roman" w:hAnsi="Times New Roman" w:cs="Times New Roman"/>
          <w:b/>
          <w:color w:val="000000"/>
          <w:sz w:val="24"/>
        </w:rPr>
        <w:t xml:space="preserve">Mediul extern </w:t>
      </w:r>
      <w:r w:rsidRPr="003278ED">
        <w:rPr>
          <w:rFonts w:ascii="Times New Roman" w:eastAsia="Times New Roman" w:hAnsi="Times New Roman" w:cs="Times New Roman"/>
          <w:color w:val="000000"/>
          <w:sz w:val="24"/>
        </w:rPr>
        <w:t>continuă să prezinte un risc semni</w:t>
      </w:r>
      <w:r w:rsidR="00FB36C8" w:rsidRPr="003278ED">
        <w:rPr>
          <w:rFonts w:ascii="Times New Roman" w:eastAsia="Times New Roman" w:hAnsi="Times New Roman" w:cs="Times New Roman"/>
          <w:color w:val="000000"/>
          <w:sz w:val="24"/>
        </w:rPr>
        <w:t>ficativ pe parcursul anului 202</w:t>
      </w:r>
      <w:r w:rsidRPr="003278ED">
        <w:rPr>
          <w:rFonts w:ascii="Times New Roman" w:eastAsia="Times New Roman" w:hAnsi="Times New Roman" w:cs="Times New Roman"/>
          <w:color w:val="000000"/>
          <w:sz w:val="24"/>
        </w:rPr>
        <w:t>4 și pe termen mediu.</w:t>
      </w:r>
    </w:p>
    <w:p w14:paraId="2F450172" w14:textId="77777777" w:rsidR="00EC139F" w:rsidRPr="00A47DB5" w:rsidRDefault="00EC139F" w:rsidP="00A47DB5">
      <w:pPr>
        <w:tabs>
          <w:tab w:val="left" w:pos="851"/>
          <w:tab w:val="left" w:pos="993"/>
        </w:tabs>
        <w:spacing w:after="0" w:line="240" w:lineRule="auto"/>
        <w:ind w:firstLine="709"/>
        <w:jc w:val="both"/>
        <w:rPr>
          <w:rFonts w:ascii="Times New Roman" w:hAnsi="Times New Roman" w:cs="Times New Roman"/>
          <w:color w:val="000000"/>
          <w:sz w:val="24"/>
        </w:rPr>
      </w:pPr>
      <w:r w:rsidRPr="00A47DB5">
        <w:rPr>
          <w:rFonts w:ascii="Times New Roman" w:hAnsi="Times New Roman" w:cs="Times New Roman"/>
          <w:bCs/>
          <w:i/>
          <w:sz w:val="24"/>
          <w:szCs w:val="28"/>
        </w:rPr>
        <w:t>Agravarea tensiunilor geopolitice la nivel mondial, cu impact direct asupra mediului economic global: prețurile la resurse energetice și la alte produse, lanțurile de aprovizionare, cererea externă etc.</w:t>
      </w:r>
    </w:p>
    <w:p w14:paraId="05553A46" w14:textId="10ADD70D" w:rsidR="00EC139F" w:rsidRPr="003278ED" w:rsidRDefault="00EC139F" w:rsidP="00A47DB5">
      <w:pPr>
        <w:tabs>
          <w:tab w:val="left" w:pos="851"/>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 xml:space="preserve">Incertitudinile și riscurile legate de actualele previziuni economice rămân ridicate </w:t>
      </w:r>
      <w:r w:rsidR="00EF3C15" w:rsidRPr="003278ED">
        <w:rPr>
          <w:rFonts w:ascii="Times New Roman" w:hAnsi="Times New Roman" w:cs="Times New Roman"/>
          <w:bCs/>
          <w:sz w:val="24"/>
          <w:szCs w:val="28"/>
        </w:rPr>
        <w:t>din cauza</w:t>
      </w:r>
      <w:r w:rsidRPr="003278ED">
        <w:rPr>
          <w:rFonts w:ascii="Times New Roman" w:hAnsi="Times New Roman" w:cs="Times New Roman"/>
          <w:bCs/>
          <w:sz w:val="24"/>
          <w:szCs w:val="28"/>
        </w:rPr>
        <w:t xml:space="preserve"> menținerii contextului geopolitic actual privind agresiunea rusă împotriva Ucrainei. Conflictul din Ucraina, care continu</w:t>
      </w:r>
      <w:r w:rsidR="00EF3C15" w:rsidRPr="003278ED">
        <w:rPr>
          <w:rFonts w:ascii="Times New Roman" w:hAnsi="Times New Roman" w:cs="Times New Roman"/>
          <w:bCs/>
          <w:sz w:val="24"/>
          <w:szCs w:val="28"/>
        </w:rPr>
        <w:t>ă</w:t>
      </w:r>
      <w:r w:rsidRPr="003278ED">
        <w:rPr>
          <w:rFonts w:ascii="Times New Roman" w:hAnsi="Times New Roman" w:cs="Times New Roman"/>
          <w:bCs/>
          <w:sz w:val="24"/>
          <w:szCs w:val="28"/>
        </w:rPr>
        <w:t xml:space="preserve"> și în 2024, afectează securitatea țării, punând presiune suplimentară asupra Guvernului și populației în ceea ce privește situația incertă </w:t>
      </w:r>
      <w:r w:rsidR="00EF3C15" w:rsidRPr="003278ED">
        <w:rPr>
          <w:rFonts w:ascii="Times New Roman" w:hAnsi="Times New Roman" w:cs="Times New Roman"/>
          <w:bCs/>
          <w:sz w:val="24"/>
          <w:szCs w:val="28"/>
        </w:rPr>
        <w:t xml:space="preserve">a </w:t>
      </w:r>
      <w:r w:rsidRPr="003278ED">
        <w:rPr>
          <w:rFonts w:ascii="Times New Roman" w:hAnsi="Times New Roman" w:cs="Times New Roman"/>
          <w:bCs/>
          <w:sz w:val="24"/>
          <w:szCs w:val="28"/>
        </w:rPr>
        <w:t>prețuril</w:t>
      </w:r>
      <w:r w:rsidR="00EF3C15" w:rsidRPr="003278ED">
        <w:rPr>
          <w:rFonts w:ascii="Times New Roman" w:hAnsi="Times New Roman" w:cs="Times New Roman"/>
          <w:bCs/>
          <w:sz w:val="24"/>
          <w:szCs w:val="28"/>
        </w:rPr>
        <w:t>or</w:t>
      </w:r>
      <w:r w:rsidRPr="003278ED">
        <w:rPr>
          <w:rFonts w:ascii="Times New Roman" w:hAnsi="Times New Roman" w:cs="Times New Roman"/>
          <w:bCs/>
          <w:sz w:val="24"/>
          <w:szCs w:val="28"/>
        </w:rPr>
        <w:t xml:space="preserve"> la produsele energetice și la unele materii prime. Dependența de procurarea energiei electrice de la Centrala termoelectrică de la </w:t>
      </w:r>
      <w:proofErr w:type="spellStart"/>
      <w:r w:rsidRPr="003278ED">
        <w:rPr>
          <w:rFonts w:ascii="Times New Roman" w:hAnsi="Times New Roman" w:cs="Times New Roman"/>
          <w:bCs/>
          <w:sz w:val="24"/>
          <w:szCs w:val="28"/>
        </w:rPr>
        <w:t>Cuciurgan</w:t>
      </w:r>
      <w:proofErr w:type="spellEnd"/>
      <w:r w:rsidRPr="003278ED">
        <w:rPr>
          <w:rFonts w:ascii="Times New Roman" w:hAnsi="Times New Roman" w:cs="Times New Roman"/>
          <w:bCs/>
          <w:sz w:val="24"/>
          <w:szCs w:val="28"/>
        </w:rPr>
        <w:t xml:space="preserve"> constituie o altă vulnerabilitate din cauza riscului de întrerupere a furnizării gazelor naturale de către SAP „</w:t>
      </w:r>
      <w:proofErr w:type="spellStart"/>
      <w:r w:rsidRPr="003278ED">
        <w:rPr>
          <w:rFonts w:ascii="Times New Roman" w:hAnsi="Times New Roman" w:cs="Times New Roman"/>
          <w:bCs/>
          <w:sz w:val="24"/>
          <w:szCs w:val="28"/>
        </w:rPr>
        <w:t>Gazprom</w:t>
      </w:r>
      <w:proofErr w:type="spellEnd"/>
      <w:r w:rsidRPr="003278ED">
        <w:rPr>
          <w:rFonts w:ascii="Times New Roman" w:hAnsi="Times New Roman" w:cs="Times New Roman"/>
          <w:bCs/>
          <w:sz w:val="24"/>
          <w:szCs w:val="28"/>
        </w:rPr>
        <w:t xml:space="preserve">” sau a tranzitului gazelor naturale de proveniență rusă prin Ucraina. În ambele situații, Centrala termoelectrică de la </w:t>
      </w:r>
      <w:proofErr w:type="spellStart"/>
      <w:r w:rsidRPr="003278ED">
        <w:rPr>
          <w:rFonts w:ascii="Times New Roman" w:hAnsi="Times New Roman" w:cs="Times New Roman"/>
          <w:bCs/>
          <w:sz w:val="24"/>
          <w:szCs w:val="28"/>
        </w:rPr>
        <w:t>Cuciurgan</w:t>
      </w:r>
      <w:proofErr w:type="spellEnd"/>
      <w:r w:rsidRPr="003278ED">
        <w:rPr>
          <w:rFonts w:ascii="Times New Roman" w:hAnsi="Times New Roman" w:cs="Times New Roman"/>
          <w:bCs/>
          <w:sz w:val="24"/>
          <w:szCs w:val="28"/>
        </w:rPr>
        <w:t xml:space="preserve"> va avea dificultăți în producerea energiei electrice. În aceste condiții, energia electrică va fi procurată de pe piețele europene cu riscuri asociate de disponibilitate și de preț.</w:t>
      </w:r>
    </w:p>
    <w:p w14:paraId="31A94A53" w14:textId="780C7320" w:rsidR="00652672" w:rsidRPr="003278ED" w:rsidRDefault="00652672" w:rsidP="00A47DB5">
      <w:pPr>
        <w:pStyle w:val="Listparagraf"/>
        <w:tabs>
          <w:tab w:val="left" w:pos="993"/>
        </w:tabs>
        <w:spacing w:after="0" w:line="240" w:lineRule="auto"/>
        <w:ind w:left="0" w:firstLine="709"/>
        <w:contextualSpacing w:val="0"/>
        <w:jc w:val="both"/>
        <w:rPr>
          <w:rFonts w:ascii="Times New Roman" w:hAnsi="Times New Roman" w:cs="Times New Roman"/>
          <w:bCs/>
          <w:i/>
          <w:sz w:val="24"/>
          <w:szCs w:val="28"/>
        </w:rPr>
      </w:pPr>
      <w:r w:rsidRPr="003278ED">
        <w:rPr>
          <w:rFonts w:ascii="Times New Roman" w:hAnsi="Times New Roman" w:cs="Times New Roman"/>
          <w:bCs/>
          <w:i/>
          <w:sz w:val="24"/>
          <w:szCs w:val="28"/>
        </w:rPr>
        <w:t>Recesiunea și șocurile negative în evoluția economiilor partenerilor comerciali principali ai Republicii Moldova, care pot influența negativ exporturile, remit</w:t>
      </w:r>
      <w:r w:rsidR="00EF3C15" w:rsidRPr="003278ED">
        <w:rPr>
          <w:rFonts w:ascii="Times New Roman" w:hAnsi="Times New Roman" w:cs="Times New Roman"/>
          <w:bCs/>
          <w:i/>
          <w:sz w:val="24"/>
          <w:szCs w:val="28"/>
        </w:rPr>
        <w:t>ențele, activitatea industrială</w:t>
      </w:r>
      <w:r w:rsidRPr="003278ED">
        <w:rPr>
          <w:rFonts w:ascii="Times New Roman" w:hAnsi="Times New Roman" w:cs="Times New Roman"/>
          <w:bCs/>
          <w:i/>
          <w:sz w:val="24"/>
          <w:szCs w:val="28"/>
        </w:rPr>
        <w:t xml:space="preserve"> etc.</w:t>
      </w:r>
    </w:p>
    <w:p w14:paraId="46952326" w14:textId="6CB011B7" w:rsidR="00652672" w:rsidRPr="003278ED" w:rsidRDefault="00652672" w:rsidP="00A47DB5">
      <w:pPr>
        <w:tabs>
          <w:tab w:val="left" w:pos="993"/>
        </w:tabs>
        <w:spacing w:after="0" w:line="240" w:lineRule="auto"/>
        <w:ind w:firstLine="709"/>
        <w:jc w:val="both"/>
        <w:rPr>
          <w:rFonts w:ascii="Times New Roman" w:hAnsi="Times New Roman" w:cs="Times New Roman"/>
          <w:bCs/>
          <w:sz w:val="24"/>
          <w:szCs w:val="28"/>
        </w:rPr>
      </w:pPr>
      <w:r w:rsidRPr="003278ED">
        <w:rPr>
          <w:rFonts w:ascii="Times New Roman" w:hAnsi="Times New Roman" w:cs="Times New Roman"/>
          <w:bCs/>
          <w:sz w:val="24"/>
          <w:szCs w:val="28"/>
        </w:rPr>
        <w:t>Principalii parteneri comerciali ai Republicii Moldova continuă să se confrunte cu amenințările persistente din partea Rusiei, care utilizează tactici hibride pentru a influența politicile și securitatea acestor</w:t>
      </w:r>
      <w:r w:rsidR="00EF3C15" w:rsidRPr="003278ED">
        <w:rPr>
          <w:rFonts w:ascii="Times New Roman" w:hAnsi="Times New Roman" w:cs="Times New Roman"/>
          <w:bCs/>
          <w:sz w:val="24"/>
          <w:szCs w:val="28"/>
        </w:rPr>
        <w:t>a</w:t>
      </w:r>
      <w:r w:rsidRPr="003278ED">
        <w:rPr>
          <w:rFonts w:ascii="Times New Roman" w:hAnsi="Times New Roman" w:cs="Times New Roman"/>
          <w:bCs/>
          <w:sz w:val="24"/>
          <w:szCs w:val="28"/>
        </w:rPr>
        <w:t xml:space="preserve">. O schimbare a evoluției geopolitice ar duce la o scădere substanțială a exporturilor și </w:t>
      </w:r>
      <w:r w:rsidR="00EF3C15" w:rsidRPr="003278ED">
        <w:rPr>
          <w:rFonts w:ascii="Times New Roman" w:hAnsi="Times New Roman" w:cs="Times New Roman"/>
          <w:bCs/>
          <w:sz w:val="24"/>
          <w:szCs w:val="28"/>
        </w:rPr>
        <w:t xml:space="preserve">a </w:t>
      </w:r>
      <w:r w:rsidRPr="003278ED">
        <w:rPr>
          <w:rFonts w:ascii="Times New Roman" w:hAnsi="Times New Roman" w:cs="Times New Roman"/>
          <w:bCs/>
          <w:sz w:val="24"/>
          <w:szCs w:val="28"/>
        </w:rPr>
        <w:t>remitențelor, care</w:t>
      </w:r>
      <w:r w:rsidRPr="003278ED">
        <w:rPr>
          <w:rFonts w:ascii="Times New Roman" w:hAnsi="Times New Roman" w:cs="Times New Roman"/>
        </w:rPr>
        <w:t xml:space="preserve"> </w:t>
      </w:r>
      <w:r w:rsidRPr="003278ED">
        <w:rPr>
          <w:rFonts w:ascii="Times New Roman" w:hAnsi="Times New Roman" w:cs="Times New Roman"/>
          <w:bCs/>
          <w:sz w:val="24"/>
          <w:szCs w:val="28"/>
        </w:rPr>
        <w:t xml:space="preserve">ar avea un impact semnificativ asupra creșterii economice.  </w:t>
      </w:r>
    </w:p>
    <w:p w14:paraId="62725034" w14:textId="39A47FE8" w:rsidR="00652672" w:rsidRPr="003278ED" w:rsidRDefault="00652672" w:rsidP="00A47DB5">
      <w:pPr>
        <w:pStyle w:val="Listparagraf"/>
        <w:tabs>
          <w:tab w:val="left" w:pos="993"/>
        </w:tabs>
        <w:spacing w:after="0" w:line="240" w:lineRule="auto"/>
        <w:ind w:left="0" w:firstLine="709"/>
        <w:contextualSpacing w:val="0"/>
        <w:jc w:val="both"/>
        <w:rPr>
          <w:rFonts w:ascii="Times New Roman" w:hAnsi="Times New Roman" w:cs="Times New Roman"/>
          <w:bCs/>
          <w:i/>
          <w:sz w:val="24"/>
          <w:szCs w:val="28"/>
        </w:rPr>
      </w:pPr>
      <w:r w:rsidRPr="003278ED">
        <w:rPr>
          <w:rFonts w:ascii="Times New Roman" w:hAnsi="Times New Roman" w:cs="Times New Roman"/>
          <w:bCs/>
          <w:i/>
          <w:sz w:val="24"/>
          <w:szCs w:val="28"/>
        </w:rPr>
        <w:t xml:space="preserve">Tensiunile sociale în SUA și </w:t>
      </w:r>
      <w:r w:rsidR="00EF3C15" w:rsidRPr="003278ED">
        <w:rPr>
          <w:rFonts w:ascii="Times New Roman" w:hAnsi="Times New Roman" w:cs="Times New Roman"/>
          <w:bCs/>
          <w:i/>
          <w:sz w:val="24"/>
          <w:szCs w:val="28"/>
        </w:rPr>
        <w:t xml:space="preserve">în </w:t>
      </w:r>
      <w:r w:rsidRPr="003278ED">
        <w:rPr>
          <w:rFonts w:ascii="Times New Roman" w:hAnsi="Times New Roman" w:cs="Times New Roman"/>
          <w:bCs/>
          <w:i/>
          <w:sz w:val="24"/>
          <w:szCs w:val="28"/>
        </w:rPr>
        <w:t xml:space="preserve">țările UE, de asemenea, pot contribui la creșterea nivelului de incertitudine privind perspectivele dezvoltării economice la nivel global.  </w:t>
      </w:r>
    </w:p>
    <w:p w14:paraId="567BCE34" w14:textId="77777777" w:rsidR="003962BE" w:rsidRPr="003278ED" w:rsidRDefault="003962BE" w:rsidP="00A47DB5">
      <w:pPr>
        <w:tabs>
          <w:tab w:val="left" w:pos="993"/>
        </w:tabs>
        <w:spacing w:after="0" w:line="240" w:lineRule="auto"/>
        <w:ind w:firstLine="709"/>
        <w:jc w:val="both"/>
        <w:rPr>
          <w:rFonts w:ascii="Times New Roman" w:eastAsia="Times New Roman" w:hAnsi="Times New Roman" w:cs="Times New Roman"/>
          <w:b/>
          <w:i/>
          <w:sz w:val="24"/>
          <w:szCs w:val="24"/>
        </w:rPr>
      </w:pPr>
    </w:p>
    <w:p w14:paraId="66A28FA2" w14:textId="77777777" w:rsidR="00EA7BB3" w:rsidRPr="003278ED" w:rsidRDefault="00EA7BB3" w:rsidP="00A47DB5">
      <w:pPr>
        <w:tabs>
          <w:tab w:val="left" w:pos="993"/>
        </w:tabs>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Riscuri interne</w:t>
      </w:r>
    </w:p>
    <w:p w14:paraId="056D2587" w14:textId="6D6C9828" w:rsidR="009F3C1D" w:rsidRPr="003278ED" w:rsidRDefault="009F3C1D" w:rsidP="00A47DB5">
      <w:pPr>
        <w:tabs>
          <w:tab w:val="left" w:pos="993"/>
        </w:tabs>
        <w:spacing w:after="0" w:line="240" w:lineRule="auto"/>
        <w:ind w:firstLine="709"/>
        <w:jc w:val="both"/>
        <w:rPr>
          <w:rFonts w:ascii="Times New Roman" w:eastAsia="Times New Roman" w:hAnsi="Times New Roman" w:cs="Times New Roman"/>
          <w:color w:val="000000"/>
          <w:sz w:val="24"/>
        </w:rPr>
      </w:pPr>
      <w:r w:rsidRPr="003278ED">
        <w:rPr>
          <w:rFonts w:ascii="Times New Roman" w:eastAsia="Times New Roman" w:hAnsi="Times New Roman" w:cs="Times New Roman"/>
          <w:b/>
          <w:color w:val="000000"/>
          <w:sz w:val="24"/>
        </w:rPr>
        <w:t xml:space="preserve">Mediul intern (local) </w:t>
      </w:r>
      <w:r w:rsidRPr="003278ED">
        <w:rPr>
          <w:rFonts w:ascii="Times New Roman" w:eastAsia="Times New Roman" w:hAnsi="Times New Roman" w:cs="Times New Roman"/>
          <w:color w:val="000000"/>
          <w:sz w:val="24"/>
        </w:rPr>
        <w:t>va continua să genereze riscuri în cursul anului 2024</w:t>
      </w:r>
      <w:r w:rsidR="00EB0D2D" w:rsidRPr="003278ED">
        <w:rPr>
          <w:rFonts w:ascii="Times New Roman" w:eastAsia="Times New Roman" w:hAnsi="Times New Roman" w:cs="Times New Roman"/>
          <w:color w:val="000000"/>
          <w:sz w:val="24"/>
        </w:rPr>
        <w:t>,</w:t>
      </w:r>
      <w:r w:rsidRPr="003278ED">
        <w:rPr>
          <w:rFonts w:ascii="Times New Roman" w:eastAsia="Times New Roman" w:hAnsi="Times New Roman" w:cs="Times New Roman"/>
          <w:color w:val="000000"/>
          <w:sz w:val="24"/>
        </w:rPr>
        <w:t xml:space="preserve"> </w:t>
      </w:r>
      <w:r w:rsidR="00EF3C15" w:rsidRPr="003278ED">
        <w:rPr>
          <w:rFonts w:ascii="Times New Roman" w:eastAsia="Times New Roman" w:hAnsi="Times New Roman" w:cs="Times New Roman"/>
          <w:color w:val="000000"/>
          <w:sz w:val="24"/>
        </w:rPr>
        <w:t>precum</w:t>
      </w:r>
      <w:r w:rsidRPr="003278ED">
        <w:rPr>
          <w:rFonts w:ascii="Times New Roman" w:eastAsia="Times New Roman" w:hAnsi="Times New Roman" w:cs="Times New Roman"/>
          <w:color w:val="000000"/>
          <w:sz w:val="24"/>
        </w:rPr>
        <w:t xml:space="preserve"> și în perioada anilor 2025-2027, deși la un nivel mai scăzut decât în anul precedent.</w:t>
      </w:r>
    </w:p>
    <w:p w14:paraId="47456031" w14:textId="7A1618D5" w:rsidR="009F3C1D" w:rsidRPr="003278ED" w:rsidRDefault="009F3C1D" w:rsidP="00A47DB5">
      <w:pPr>
        <w:pStyle w:val="Listparagraf"/>
        <w:shd w:val="clear" w:color="auto" w:fill="FFFFFF"/>
        <w:tabs>
          <w:tab w:val="left" w:pos="993"/>
        </w:tabs>
        <w:spacing w:after="0" w:line="240" w:lineRule="auto"/>
        <w:ind w:left="0" w:firstLine="709"/>
        <w:contextualSpacing w:val="0"/>
        <w:jc w:val="both"/>
        <w:rPr>
          <w:rFonts w:ascii="Times New Roman" w:hAnsi="Times New Roman" w:cs="Times New Roman"/>
          <w:i/>
          <w:color w:val="000000"/>
          <w:lang w:eastAsia="en-GB"/>
        </w:rPr>
      </w:pPr>
      <w:r w:rsidRPr="003278ED">
        <w:rPr>
          <w:rFonts w:ascii="Times New Roman" w:hAnsi="Times New Roman" w:cs="Times New Roman"/>
          <w:i/>
          <w:color w:val="000000"/>
          <w:sz w:val="24"/>
          <w:szCs w:val="24"/>
          <w:lang w:eastAsia="en-GB"/>
        </w:rPr>
        <w:lastRenderedPageBreak/>
        <w:t xml:space="preserve">Condițiile climaterice nefavorabile care sunt dificil de prognozat pot contribui la diminuarea volumului producției agricole, cu repercusiuni asupra sectorului industrial și </w:t>
      </w:r>
      <w:r w:rsidR="00EF3C15" w:rsidRPr="003278ED">
        <w:rPr>
          <w:rFonts w:ascii="Times New Roman" w:hAnsi="Times New Roman" w:cs="Times New Roman"/>
          <w:i/>
          <w:color w:val="000000"/>
          <w:sz w:val="24"/>
          <w:szCs w:val="24"/>
          <w:lang w:eastAsia="en-GB"/>
        </w:rPr>
        <w:t xml:space="preserve">al </w:t>
      </w:r>
      <w:r w:rsidRPr="003278ED">
        <w:rPr>
          <w:rFonts w:ascii="Times New Roman" w:hAnsi="Times New Roman" w:cs="Times New Roman"/>
          <w:i/>
          <w:color w:val="000000"/>
          <w:sz w:val="24"/>
          <w:szCs w:val="24"/>
          <w:lang w:eastAsia="en-GB"/>
        </w:rPr>
        <w:t>exporturilor.</w:t>
      </w:r>
    </w:p>
    <w:p w14:paraId="4B8821D3" w14:textId="7D9E6D6A" w:rsidR="009F3C1D" w:rsidRPr="003278ED" w:rsidRDefault="009F3C1D" w:rsidP="00A47DB5">
      <w:pPr>
        <w:shd w:val="clear" w:color="auto" w:fill="FFFFFF"/>
        <w:spacing w:after="0" w:line="240" w:lineRule="auto"/>
        <w:ind w:firstLine="709"/>
        <w:jc w:val="both"/>
        <w:rPr>
          <w:rFonts w:ascii="Times New Roman" w:eastAsia="Times New Roman" w:hAnsi="Times New Roman" w:cs="Times New Roman"/>
          <w:color w:val="000000"/>
          <w:sz w:val="24"/>
          <w:szCs w:val="24"/>
          <w:lang w:eastAsia="en-GB"/>
        </w:rPr>
      </w:pPr>
      <w:r w:rsidRPr="003278ED">
        <w:rPr>
          <w:rFonts w:ascii="Times New Roman" w:eastAsia="Times New Roman" w:hAnsi="Times New Roman" w:cs="Times New Roman"/>
          <w:color w:val="000000"/>
          <w:sz w:val="24"/>
          <w:szCs w:val="24"/>
          <w:lang w:eastAsia="en-GB"/>
        </w:rPr>
        <w:t xml:space="preserve">Evoluțiile în sectorul agricol și traiectoria prețurilor la produsele alimentare pentru următorii ani </w:t>
      </w:r>
      <w:r w:rsidR="00EF3C15" w:rsidRPr="003278ED">
        <w:rPr>
          <w:rFonts w:ascii="Times New Roman" w:eastAsia="Times New Roman" w:hAnsi="Times New Roman" w:cs="Times New Roman"/>
          <w:color w:val="000000"/>
          <w:sz w:val="24"/>
          <w:szCs w:val="24"/>
          <w:lang w:eastAsia="en-GB"/>
        </w:rPr>
        <w:t>sunt</w:t>
      </w:r>
      <w:r w:rsidRPr="003278ED">
        <w:rPr>
          <w:rFonts w:ascii="Times New Roman" w:eastAsia="Times New Roman" w:hAnsi="Times New Roman" w:cs="Times New Roman"/>
          <w:color w:val="000000"/>
          <w:sz w:val="24"/>
          <w:szCs w:val="24"/>
          <w:lang w:eastAsia="en-GB"/>
        </w:rPr>
        <w:t xml:space="preserve"> marcat</w:t>
      </w:r>
      <w:r w:rsidR="00EF3C15" w:rsidRPr="003278ED">
        <w:rPr>
          <w:rFonts w:ascii="Times New Roman" w:eastAsia="Times New Roman" w:hAnsi="Times New Roman" w:cs="Times New Roman"/>
          <w:color w:val="000000"/>
          <w:sz w:val="24"/>
          <w:szCs w:val="24"/>
          <w:lang w:eastAsia="en-GB"/>
        </w:rPr>
        <w:t>e</w:t>
      </w:r>
      <w:r w:rsidRPr="003278ED">
        <w:rPr>
          <w:rFonts w:ascii="Times New Roman" w:eastAsia="Times New Roman" w:hAnsi="Times New Roman" w:cs="Times New Roman"/>
          <w:color w:val="000000"/>
          <w:sz w:val="24"/>
          <w:szCs w:val="24"/>
          <w:lang w:eastAsia="en-GB"/>
        </w:rPr>
        <w:t xml:space="preserve"> </w:t>
      </w:r>
      <w:r w:rsidR="00EF3C15" w:rsidRPr="003278ED">
        <w:rPr>
          <w:rFonts w:ascii="Times New Roman" w:eastAsia="Times New Roman" w:hAnsi="Times New Roman" w:cs="Times New Roman"/>
          <w:color w:val="000000"/>
          <w:sz w:val="24"/>
          <w:szCs w:val="24"/>
          <w:lang w:eastAsia="en-GB"/>
        </w:rPr>
        <w:t xml:space="preserve">de o incertitudine pronunțată. </w:t>
      </w:r>
      <w:r w:rsidRPr="003278ED">
        <w:rPr>
          <w:rFonts w:ascii="Times New Roman" w:eastAsia="Times New Roman" w:hAnsi="Times New Roman" w:cs="Times New Roman"/>
          <w:color w:val="000000"/>
          <w:sz w:val="24"/>
          <w:szCs w:val="24"/>
          <w:lang w:eastAsia="en-GB"/>
        </w:rPr>
        <w:t>De rezultatele obținute în sectorul agricol vor depinde, în mare măsură, exporturile de produse alimentare, precum și evoluția industriei alimentare în anii de prognoză.</w:t>
      </w:r>
    </w:p>
    <w:p w14:paraId="40867651" w14:textId="77777777" w:rsidR="009F3C1D" w:rsidRPr="003278ED" w:rsidRDefault="009F3C1D" w:rsidP="00A47DB5">
      <w:pPr>
        <w:pStyle w:val="Listparagraf"/>
        <w:shd w:val="clear" w:color="auto" w:fill="FFFFFF"/>
        <w:tabs>
          <w:tab w:val="left" w:pos="993"/>
        </w:tabs>
        <w:spacing w:after="0" w:line="240" w:lineRule="auto"/>
        <w:ind w:left="0" w:firstLine="709"/>
        <w:jc w:val="both"/>
        <w:rPr>
          <w:rFonts w:ascii="Times New Roman" w:hAnsi="Times New Roman" w:cs="Times New Roman"/>
          <w:i/>
          <w:color w:val="000000"/>
          <w:sz w:val="24"/>
          <w:szCs w:val="24"/>
          <w:lang w:eastAsia="en-GB"/>
        </w:rPr>
      </w:pPr>
      <w:r w:rsidRPr="003278ED">
        <w:rPr>
          <w:rFonts w:ascii="Times New Roman" w:hAnsi="Times New Roman" w:cs="Times New Roman"/>
          <w:i/>
          <w:color w:val="000000"/>
          <w:sz w:val="24"/>
          <w:szCs w:val="24"/>
          <w:lang w:eastAsia="en-GB"/>
        </w:rPr>
        <w:t>Instabilitatea politică, ce influențează negativ activitatea economică și investițională, intensifică tensiunea socială și provoacă instabilitate macroeconomică.</w:t>
      </w:r>
    </w:p>
    <w:p w14:paraId="0175D307" w14:textId="68AC3E29" w:rsidR="009F3C1D" w:rsidRPr="003278ED" w:rsidRDefault="009F3C1D" w:rsidP="00A47DB5">
      <w:pPr>
        <w:pStyle w:val="Listparagraf"/>
        <w:shd w:val="clear" w:color="auto" w:fill="FFFFFF"/>
        <w:tabs>
          <w:tab w:val="left" w:pos="993"/>
        </w:tabs>
        <w:spacing w:after="0" w:line="240" w:lineRule="auto"/>
        <w:ind w:left="0" w:firstLine="709"/>
        <w:jc w:val="both"/>
        <w:rPr>
          <w:rFonts w:ascii="Times New Roman" w:hAnsi="Times New Roman" w:cs="Times New Roman"/>
          <w:color w:val="000000"/>
          <w:sz w:val="24"/>
          <w:szCs w:val="24"/>
          <w:lang w:eastAsia="en-GB"/>
        </w:rPr>
      </w:pPr>
      <w:r w:rsidRPr="003278ED">
        <w:rPr>
          <w:rFonts w:ascii="Times New Roman" w:hAnsi="Times New Roman" w:cs="Times New Roman"/>
          <w:color w:val="000000"/>
          <w:sz w:val="24"/>
          <w:szCs w:val="24"/>
          <w:lang w:eastAsia="en-GB"/>
        </w:rPr>
        <w:t>Alegerile prezidențiale din toamna anului 2024 reprezintă un moment crucial în</w:t>
      </w:r>
      <w:r w:rsidR="00C079FD" w:rsidRPr="003278ED">
        <w:rPr>
          <w:rFonts w:ascii="Times New Roman" w:hAnsi="Times New Roman" w:cs="Times New Roman"/>
          <w:color w:val="000000"/>
          <w:sz w:val="24"/>
          <w:szCs w:val="24"/>
          <w:lang w:eastAsia="en-GB"/>
        </w:rPr>
        <w:t xml:space="preserve"> </w:t>
      </w:r>
      <w:r w:rsidRPr="003278ED">
        <w:rPr>
          <w:rFonts w:ascii="Times New Roman" w:hAnsi="Times New Roman" w:cs="Times New Roman"/>
          <w:color w:val="000000"/>
          <w:sz w:val="24"/>
          <w:szCs w:val="24"/>
          <w:lang w:eastAsia="en-GB"/>
        </w:rPr>
        <w:t>menținerea parcursului european al Republicii Moldova. Rezultatele acestor alegeri pot influența politica internă și externă și pot avea repercusiuni asupra relațiilor internaționale și procesului de integrare europeană. Într-un context în care integrarea europeană rămâne o opțiune vitală pentru viitorul R</w:t>
      </w:r>
      <w:r w:rsidR="00EF3C15" w:rsidRPr="003278ED">
        <w:rPr>
          <w:rFonts w:ascii="Times New Roman" w:hAnsi="Times New Roman" w:cs="Times New Roman"/>
          <w:color w:val="000000"/>
          <w:sz w:val="24"/>
          <w:szCs w:val="24"/>
          <w:lang w:eastAsia="en-GB"/>
        </w:rPr>
        <w:t xml:space="preserve">epublicii </w:t>
      </w:r>
      <w:r w:rsidRPr="003278ED">
        <w:rPr>
          <w:rFonts w:ascii="Times New Roman" w:hAnsi="Times New Roman" w:cs="Times New Roman"/>
          <w:color w:val="000000"/>
          <w:sz w:val="24"/>
          <w:szCs w:val="24"/>
          <w:lang w:eastAsia="en-GB"/>
        </w:rPr>
        <w:t>M</w:t>
      </w:r>
      <w:r w:rsidR="00EF3C15" w:rsidRPr="003278ED">
        <w:rPr>
          <w:rFonts w:ascii="Times New Roman" w:hAnsi="Times New Roman" w:cs="Times New Roman"/>
          <w:color w:val="000000"/>
          <w:sz w:val="24"/>
          <w:szCs w:val="24"/>
          <w:lang w:eastAsia="en-GB"/>
        </w:rPr>
        <w:t>oldova</w:t>
      </w:r>
      <w:r w:rsidRPr="003278ED">
        <w:rPr>
          <w:rFonts w:ascii="Times New Roman" w:hAnsi="Times New Roman" w:cs="Times New Roman"/>
          <w:color w:val="000000"/>
          <w:sz w:val="24"/>
          <w:szCs w:val="24"/>
          <w:lang w:eastAsia="en-GB"/>
        </w:rPr>
        <w:t xml:space="preserve">, consolidarea parcursului european și </w:t>
      </w:r>
      <w:r w:rsidR="00EF3C15" w:rsidRPr="003278ED">
        <w:rPr>
          <w:rFonts w:ascii="Times New Roman" w:hAnsi="Times New Roman" w:cs="Times New Roman"/>
          <w:color w:val="000000"/>
          <w:sz w:val="24"/>
          <w:szCs w:val="24"/>
          <w:lang w:eastAsia="en-GB"/>
        </w:rPr>
        <w:t xml:space="preserve">a </w:t>
      </w:r>
      <w:r w:rsidRPr="003278ED">
        <w:rPr>
          <w:rFonts w:ascii="Times New Roman" w:hAnsi="Times New Roman" w:cs="Times New Roman"/>
          <w:color w:val="000000"/>
          <w:sz w:val="24"/>
          <w:szCs w:val="24"/>
          <w:lang w:eastAsia="en-GB"/>
        </w:rPr>
        <w:t xml:space="preserve">reformelor economice sunt esențiale pentru asigurarea stabilității pe termen lung.  </w:t>
      </w:r>
    </w:p>
    <w:p w14:paraId="202D5F9A" w14:textId="77777777" w:rsidR="009F3C1D" w:rsidRPr="003278ED" w:rsidRDefault="009F3C1D" w:rsidP="00A47DB5">
      <w:pPr>
        <w:pStyle w:val="Listparagraf"/>
        <w:shd w:val="clear" w:color="auto" w:fill="FFFFFF"/>
        <w:tabs>
          <w:tab w:val="left" w:pos="993"/>
        </w:tabs>
        <w:spacing w:after="0" w:line="240" w:lineRule="auto"/>
        <w:ind w:left="0" w:firstLine="709"/>
        <w:jc w:val="both"/>
        <w:rPr>
          <w:rFonts w:ascii="Times New Roman" w:hAnsi="Times New Roman" w:cs="Times New Roman"/>
          <w:color w:val="000000"/>
          <w:lang w:eastAsia="en-GB"/>
        </w:rPr>
      </w:pPr>
      <w:r w:rsidRPr="003278ED">
        <w:rPr>
          <w:rFonts w:ascii="Times New Roman" w:hAnsi="Times New Roman" w:cs="Times New Roman"/>
          <w:i/>
          <w:color w:val="000000"/>
          <w:sz w:val="24"/>
          <w:szCs w:val="24"/>
          <w:lang w:eastAsia="en-GB"/>
        </w:rPr>
        <w:t>Accentuarea dezechilibrelor la nivel macroeconomic, în special legate și de deficitul forței de muncă pe piața muncii va contribui la creșterea vulnerabilității economiei naționale</w:t>
      </w:r>
      <w:r w:rsidRPr="003278ED">
        <w:rPr>
          <w:rFonts w:ascii="Times New Roman" w:hAnsi="Times New Roman" w:cs="Times New Roman"/>
          <w:color w:val="000000"/>
          <w:sz w:val="24"/>
          <w:szCs w:val="24"/>
          <w:lang w:eastAsia="en-GB"/>
        </w:rPr>
        <w:t>.</w:t>
      </w:r>
    </w:p>
    <w:p w14:paraId="07B9694C" w14:textId="77777777" w:rsidR="009F3C1D" w:rsidRPr="003278ED" w:rsidRDefault="009F3C1D" w:rsidP="00A47DB5">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en-GB"/>
        </w:rPr>
      </w:pPr>
      <w:r w:rsidRPr="003278ED">
        <w:rPr>
          <w:rFonts w:ascii="Times New Roman" w:eastAsia="Times New Roman" w:hAnsi="Times New Roman" w:cs="Times New Roman"/>
          <w:color w:val="000000"/>
          <w:sz w:val="24"/>
          <w:szCs w:val="24"/>
          <w:lang w:eastAsia="en-GB"/>
        </w:rPr>
        <w:t>Deficitul forței de muncă poate avea un impact considerabil asupra dezvoltării economice. Lipsa forței de muncă va menține creșterea economică sub nivelul potențial, va crea un mediu nefavorabil de afaceri, va influența capacitatea de cumpărare a populației care, fiind slabă, poate compromite creșterea consumului și, respectiv, creșterea eco</w:t>
      </w:r>
      <w:r w:rsidR="000A549A" w:rsidRPr="003278ED">
        <w:rPr>
          <w:rFonts w:ascii="Times New Roman" w:eastAsia="Times New Roman" w:hAnsi="Times New Roman" w:cs="Times New Roman"/>
          <w:color w:val="000000"/>
          <w:sz w:val="24"/>
          <w:szCs w:val="24"/>
          <w:lang w:eastAsia="en-GB"/>
        </w:rPr>
        <w:t xml:space="preserve">nomică. Totodată, actualitatea </w:t>
      </w:r>
      <w:r w:rsidRPr="003278ED">
        <w:rPr>
          <w:rFonts w:ascii="Times New Roman" w:eastAsia="Times New Roman" w:hAnsi="Times New Roman" w:cs="Times New Roman"/>
          <w:color w:val="000000"/>
          <w:sz w:val="24"/>
          <w:szCs w:val="24"/>
          <w:lang w:eastAsia="en-GB"/>
        </w:rPr>
        <w:t>problemei migrației în Moldova, în special a forței de muncă calificate, poate stârni temeri cu privire la creșterea viitoare a economiei.</w:t>
      </w:r>
    </w:p>
    <w:p w14:paraId="6F09391F" w14:textId="77777777" w:rsidR="009F3C1D" w:rsidRPr="003278ED" w:rsidRDefault="009F3C1D" w:rsidP="00A47DB5">
      <w:pPr>
        <w:pStyle w:val="Listparagraf"/>
        <w:shd w:val="clear" w:color="auto" w:fill="FFFFFF"/>
        <w:tabs>
          <w:tab w:val="left" w:pos="993"/>
        </w:tabs>
        <w:spacing w:after="0" w:line="240" w:lineRule="auto"/>
        <w:ind w:left="0" w:firstLine="709"/>
        <w:jc w:val="both"/>
        <w:rPr>
          <w:rFonts w:ascii="Times New Roman" w:hAnsi="Times New Roman" w:cs="Times New Roman"/>
          <w:i/>
          <w:color w:val="000000"/>
          <w:lang w:eastAsia="en-GB"/>
        </w:rPr>
      </w:pPr>
      <w:r w:rsidRPr="003278ED">
        <w:rPr>
          <w:rFonts w:ascii="Times New Roman" w:hAnsi="Times New Roman" w:cs="Times New Roman"/>
          <w:i/>
          <w:color w:val="000000"/>
          <w:sz w:val="24"/>
          <w:szCs w:val="24"/>
          <w:lang w:eastAsia="en-GB"/>
        </w:rPr>
        <w:t>Fluctuațiile excesive ale cursului de schimb al monedei naționale pot influența negativ activitatea agenților economici.</w:t>
      </w:r>
    </w:p>
    <w:p w14:paraId="4FE15EC6" w14:textId="3C509E0A" w:rsidR="003962BE" w:rsidRPr="003278ED" w:rsidRDefault="00330B34" w:rsidP="00A47DB5">
      <w:pPr>
        <w:spacing w:after="0" w:line="240" w:lineRule="auto"/>
        <w:ind w:firstLine="709"/>
        <w:jc w:val="both"/>
        <w:rPr>
          <w:rFonts w:ascii="Times New Roman" w:eastAsia="Times New Roman" w:hAnsi="Times New Roman" w:cs="Times New Roman"/>
          <w:b/>
          <w:sz w:val="24"/>
          <w:szCs w:val="24"/>
        </w:rPr>
      </w:pPr>
      <w:r w:rsidRPr="003278ED">
        <w:rPr>
          <w:rFonts w:ascii="Times New Roman" w:eastAsia="Times New Roman" w:hAnsi="Times New Roman" w:cs="Times New Roman"/>
          <w:color w:val="000000"/>
          <w:sz w:val="24"/>
          <w:szCs w:val="24"/>
          <w:lang w:eastAsia="en-GB"/>
        </w:rPr>
        <w:t>E</w:t>
      </w:r>
      <w:r w:rsidR="009F3C1D" w:rsidRPr="003278ED">
        <w:rPr>
          <w:rFonts w:ascii="Times New Roman" w:eastAsia="Times New Roman" w:hAnsi="Times New Roman" w:cs="Times New Roman"/>
          <w:color w:val="000000"/>
          <w:sz w:val="24"/>
          <w:szCs w:val="24"/>
          <w:lang w:eastAsia="en-GB"/>
        </w:rPr>
        <w:t>ventual</w:t>
      </w:r>
      <w:r w:rsidRPr="003278ED">
        <w:rPr>
          <w:rFonts w:ascii="Times New Roman" w:eastAsia="Times New Roman" w:hAnsi="Times New Roman" w:cs="Times New Roman"/>
          <w:color w:val="000000"/>
          <w:sz w:val="24"/>
          <w:szCs w:val="24"/>
          <w:lang w:eastAsia="en-GB"/>
        </w:rPr>
        <w:t>a</w:t>
      </w:r>
      <w:r w:rsidR="009F3C1D" w:rsidRPr="003278ED">
        <w:rPr>
          <w:rFonts w:ascii="Times New Roman" w:eastAsia="Times New Roman" w:hAnsi="Times New Roman" w:cs="Times New Roman"/>
          <w:color w:val="000000"/>
          <w:sz w:val="24"/>
          <w:szCs w:val="24"/>
          <w:lang w:eastAsia="en-GB"/>
        </w:rPr>
        <w:t xml:space="preserve"> apreciere sau depreciere a monedei naționale poate avea un impact considerabil asupra nivelului prețurilor mărfurilor și serviciilor importate</w:t>
      </w:r>
      <w:r w:rsidRPr="003278ED">
        <w:rPr>
          <w:rFonts w:ascii="Times New Roman" w:eastAsia="Times New Roman" w:hAnsi="Times New Roman" w:cs="Times New Roman"/>
          <w:color w:val="000000"/>
          <w:sz w:val="24"/>
          <w:szCs w:val="24"/>
          <w:lang w:eastAsia="en-GB"/>
        </w:rPr>
        <w:t>,</w:t>
      </w:r>
      <w:r w:rsidR="009F3C1D" w:rsidRPr="003278ED">
        <w:rPr>
          <w:rFonts w:ascii="Times New Roman" w:eastAsia="Times New Roman" w:hAnsi="Times New Roman" w:cs="Times New Roman"/>
          <w:color w:val="000000"/>
          <w:sz w:val="24"/>
          <w:szCs w:val="24"/>
          <w:lang w:eastAsia="en-GB"/>
        </w:rPr>
        <w:t xml:space="preserve"> destinate consumului final al gospodăriilor casnice, ale materiei prime și ale produselor intermediare </w:t>
      </w:r>
      <w:r w:rsidRPr="003278ED">
        <w:rPr>
          <w:rFonts w:ascii="Times New Roman" w:eastAsia="Times New Roman" w:hAnsi="Times New Roman" w:cs="Times New Roman"/>
          <w:color w:val="000000"/>
          <w:sz w:val="24"/>
          <w:szCs w:val="24"/>
          <w:lang w:eastAsia="en-GB"/>
        </w:rPr>
        <w:t xml:space="preserve">necesare </w:t>
      </w:r>
      <w:r w:rsidR="009F3C1D" w:rsidRPr="003278ED">
        <w:rPr>
          <w:rFonts w:ascii="Times New Roman" w:eastAsia="Times New Roman" w:hAnsi="Times New Roman" w:cs="Times New Roman"/>
          <w:color w:val="000000"/>
          <w:sz w:val="24"/>
          <w:szCs w:val="24"/>
          <w:lang w:eastAsia="en-GB"/>
        </w:rPr>
        <w:t>pentru producția bunurilor de consum final.</w:t>
      </w:r>
    </w:p>
    <w:p w14:paraId="13FDA195" w14:textId="77777777" w:rsidR="003962BE" w:rsidRPr="003278ED" w:rsidRDefault="003962BE" w:rsidP="00A47DB5">
      <w:pPr>
        <w:spacing w:after="0" w:line="240" w:lineRule="auto"/>
        <w:ind w:firstLine="709"/>
        <w:jc w:val="both"/>
        <w:rPr>
          <w:rFonts w:ascii="Times New Roman" w:eastAsia="Times New Roman" w:hAnsi="Times New Roman" w:cs="Times New Roman"/>
          <w:b/>
          <w:sz w:val="24"/>
          <w:szCs w:val="24"/>
        </w:rPr>
      </w:pPr>
    </w:p>
    <w:p w14:paraId="042C87D5" w14:textId="77777777" w:rsidR="003962BE" w:rsidRPr="003278ED" w:rsidRDefault="003962BE"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 xml:space="preserve">Riscurile </w:t>
      </w:r>
      <w:proofErr w:type="spellStart"/>
      <w:r w:rsidRPr="003278ED">
        <w:rPr>
          <w:rFonts w:ascii="Times New Roman" w:eastAsia="Times New Roman" w:hAnsi="Times New Roman" w:cs="Times New Roman"/>
          <w:b/>
          <w:i/>
          <w:sz w:val="24"/>
          <w:szCs w:val="24"/>
        </w:rPr>
        <w:t>macrobugetare</w:t>
      </w:r>
      <w:proofErr w:type="spellEnd"/>
      <w:r w:rsidRPr="003278ED">
        <w:rPr>
          <w:rFonts w:ascii="Times New Roman" w:eastAsia="Times New Roman" w:hAnsi="Times New Roman" w:cs="Times New Roman"/>
          <w:b/>
          <w:i/>
          <w:sz w:val="24"/>
          <w:szCs w:val="24"/>
        </w:rPr>
        <w:t xml:space="preserve"> pe termen mediu</w:t>
      </w:r>
    </w:p>
    <w:p w14:paraId="3B639A6C" w14:textId="77777777" w:rsidR="005872CF" w:rsidRPr="003278ED" w:rsidRDefault="005872CF" w:rsidP="00A47DB5">
      <w:pPr>
        <w:tabs>
          <w:tab w:val="left" w:pos="993"/>
        </w:tabs>
        <w:spacing w:after="0" w:line="240" w:lineRule="auto"/>
        <w:ind w:firstLine="709"/>
        <w:jc w:val="both"/>
        <w:rPr>
          <w:rFonts w:ascii="Times New Roman" w:eastAsia="Calibri" w:hAnsi="Times New Roman" w:cs="Times New Roman"/>
          <w:b/>
          <w:i/>
          <w:sz w:val="24"/>
          <w:szCs w:val="28"/>
        </w:rPr>
      </w:pPr>
      <w:r w:rsidRPr="003278ED">
        <w:rPr>
          <w:rFonts w:ascii="Times New Roman" w:eastAsia="Calibri" w:hAnsi="Times New Roman" w:cs="Times New Roman"/>
          <w:sz w:val="24"/>
          <w:szCs w:val="28"/>
        </w:rPr>
        <w:t>Printre principalele riscuri și incertitudini identificate la care ar putea fi expus bugetul se numără următoarele:</w:t>
      </w:r>
    </w:p>
    <w:p w14:paraId="6A21C33E" w14:textId="31AC1E44" w:rsidR="003136DF" w:rsidRPr="003278ED" w:rsidRDefault="003136DF" w:rsidP="00A47DB5">
      <w:pPr>
        <w:spacing w:after="0" w:line="240" w:lineRule="auto"/>
        <w:ind w:firstLine="709"/>
        <w:jc w:val="both"/>
        <w:rPr>
          <w:rFonts w:ascii="Times New Roman" w:eastAsia="Times New Roman" w:hAnsi="Times New Roman" w:cs="Times New Roman"/>
          <w:sz w:val="24"/>
          <w:szCs w:val="24"/>
        </w:rPr>
      </w:pPr>
      <w:r w:rsidRPr="003278ED">
        <w:rPr>
          <w:rFonts w:ascii="Times New Roman" w:eastAsia="Calibri" w:hAnsi="Times New Roman" w:cs="Times New Roman"/>
          <w:b/>
          <w:i/>
          <w:sz w:val="24"/>
          <w:szCs w:val="24"/>
        </w:rPr>
        <w:t>- riscurile asociate veniturilor bugetare</w:t>
      </w:r>
      <w:r w:rsidR="004F6585" w:rsidRPr="003278ED">
        <w:rPr>
          <w:rFonts w:ascii="Times New Roman" w:eastAsia="Calibri" w:hAnsi="Times New Roman" w:cs="Times New Roman"/>
          <w:b/>
          <w:i/>
          <w:sz w:val="24"/>
          <w:szCs w:val="24"/>
        </w:rPr>
        <w:t>,</w:t>
      </w:r>
      <w:r w:rsidRPr="003278ED">
        <w:rPr>
          <w:rFonts w:ascii="Times New Roman" w:eastAsia="Calibri" w:hAnsi="Times New Roman" w:cs="Times New Roman"/>
          <w:sz w:val="24"/>
          <w:szCs w:val="24"/>
        </w:rPr>
        <w:t xml:space="preserve"> strâns legate de evoluțiile macroeconomice neprevăzute, care modifică perspectivele de creștere economică în contextul geopolitic. În același timp, implementarea reformelor fiscale favorabile</w:t>
      </w:r>
      <w:r w:rsidR="00330B34"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în scopul lărgirii bazei de impozitare și îmbunăt</w:t>
      </w:r>
      <w:r w:rsidR="00330B34" w:rsidRPr="003278ED">
        <w:rPr>
          <w:rFonts w:ascii="Times New Roman" w:eastAsia="Calibri" w:hAnsi="Times New Roman" w:cs="Times New Roman"/>
          <w:sz w:val="24"/>
          <w:szCs w:val="24"/>
        </w:rPr>
        <w:t>ățirea conformității fiscale, va</w:t>
      </w:r>
      <w:r w:rsidRPr="003278ED">
        <w:rPr>
          <w:rFonts w:ascii="Times New Roman" w:eastAsia="Calibri" w:hAnsi="Times New Roman" w:cs="Times New Roman"/>
          <w:sz w:val="24"/>
          <w:szCs w:val="24"/>
        </w:rPr>
        <w:t xml:space="preserve"> contribui la </w:t>
      </w:r>
      <w:r w:rsidR="00330B34" w:rsidRPr="003278ED">
        <w:rPr>
          <w:rFonts w:ascii="Times New Roman" w:eastAsia="Calibri" w:hAnsi="Times New Roman" w:cs="Times New Roman"/>
          <w:sz w:val="24"/>
          <w:szCs w:val="24"/>
        </w:rPr>
        <w:t>creștere</w:t>
      </w:r>
      <w:r w:rsidRPr="003278ED">
        <w:rPr>
          <w:rFonts w:ascii="Times New Roman" w:eastAsia="Calibri" w:hAnsi="Times New Roman" w:cs="Times New Roman"/>
          <w:sz w:val="24"/>
          <w:szCs w:val="24"/>
        </w:rPr>
        <w:t xml:space="preserve">a veniturilor bugetare. Totuși, deși se estimează o tendință de creștere a veniturilor bugetare din impozite și taxe pe termen mediu, spațiul fiscal </w:t>
      </w:r>
      <w:r w:rsidR="001B5445" w:rsidRPr="003278ED">
        <w:rPr>
          <w:rFonts w:ascii="Times New Roman" w:eastAsia="Calibri" w:hAnsi="Times New Roman" w:cs="Times New Roman"/>
          <w:sz w:val="24"/>
          <w:szCs w:val="24"/>
        </w:rPr>
        <w:t>rămâne încă extrem de constrâns;</w:t>
      </w:r>
    </w:p>
    <w:p w14:paraId="50376359" w14:textId="4D08184F" w:rsidR="005872CF" w:rsidRPr="003278ED" w:rsidRDefault="005872CF" w:rsidP="00A47DB5">
      <w:pPr>
        <w:numPr>
          <w:ilvl w:val="0"/>
          <w:numId w:val="6"/>
        </w:numPr>
        <w:tabs>
          <w:tab w:val="left" w:pos="851"/>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b/>
          <w:i/>
          <w:sz w:val="24"/>
          <w:szCs w:val="28"/>
        </w:rPr>
        <w:t>riscurile asociate cheltuielilor bugetare</w:t>
      </w:r>
      <w:r w:rsidR="004F6585" w:rsidRPr="003278ED">
        <w:rPr>
          <w:rFonts w:ascii="Times New Roman" w:eastAsia="Calibri" w:hAnsi="Times New Roman" w:cs="Times New Roman"/>
          <w:b/>
          <w:i/>
          <w:sz w:val="24"/>
          <w:szCs w:val="28"/>
        </w:rPr>
        <w:t>,</w:t>
      </w:r>
      <w:r w:rsidRPr="003278ED">
        <w:rPr>
          <w:rFonts w:ascii="Times New Roman" w:eastAsia="Calibri" w:hAnsi="Times New Roman" w:cs="Times New Roman"/>
          <w:sz w:val="24"/>
          <w:szCs w:val="28"/>
        </w:rPr>
        <w:t xml:space="preserve"> se referă la sustenabilitatea cheltuielilor sociale, </w:t>
      </w:r>
      <w:r w:rsidR="004F6585" w:rsidRPr="003278ED">
        <w:rPr>
          <w:rFonts w:ascii="Times New Roman" w:eastAsia="Calibri" w:hAnsi="Times New Roman" w:cs="Times New Roman"/>
          <w:sz w:val="24"/>
          <w:szCs w:val="28"/>
        </w:rPr>
        <w:t xml:space="preserve">al căror </w:t>
      </w:r>
      <w:r w:rsidRPr="003278ED">
        <w:rPr>
          <w:rFonts w:ascii="Times New Roman" w:eastAsia="Calibri" w:hAnsi="Times New Roman" w:cs="Times New Roman"/>
          <w:sz w:val="24"/>
          <w:szCs w:val="28"/>
        </w:rPr>
        <w:t>ritm</w:t>
      </w:r>
      <w:r w:rsidR="004F6585" w:rsidRPr="003278ED">
        <w:rPr>
          <w:rFonts w:ascii="Times New Roman" w:eastAsia="Calibri" w:hAnsi="Times New Roman" w:cs="Times New Roman"/>
          <w:sz w:val="24"/>
          <w:szCs w:val="28"/>
        </w:rPr>
        <w:t xml:space="preserve"> </w:t>
      </w:r>
      <w:r w:rsidRPr="003278ED">
        <w:rPr>
          <w:rFonts w:ascii="Times New Roman" w:eastAsia="Calibri" w:hAnsi="Times New Roman" w:cs="Times New Roman"/>
          <w:sz w:val="24"/>
          <w:szCs w:val="28"/>
        </w:rPr>
        <w:t xml:space="preserve">de creștere este mai mare decât </w:t>
      </w:r>
      <w:r w:rsidR="004F6585" w:rsidRPr="003278ED">
        <w:rPr>
          <w:rFonts w:ascii="Times New Roman" w:eastAsia="Calibri" w:hAnsi="Times New Roman" w:cs="Times New Roman"/>
          <w:sz w:val="24"/>
          <w:szCs w:val="28"/>
        </w:rPr>
        <w:t xml:space="preserve">cel </w:t>
      </w:r>
      <w:r w:rsidRPr="003278ED">
        <w:rPr>
          <w:rFonts w:ascii="Times New Roman" w:eastAsia="Calibri" w:hAnsi="Times New Roman" w:cs="Times New Roman"/>
          <w:sz w:val="24"/>
          <w:szCs w:val="28"/>
        </w:rPr>
        <w:t xml:space="preserve">al posibilităților de generare a veniturilor bugetare; nivelul de executare a cheltuielilor pentru investiții publice și presiunile viitoare asupra cheltuielilor bugetare </w:t>
      </w:r>
      <w:r w:rsidR="004F6585" w:rsidRPr="003278ED">
        <w:rPr>
          <w:rFonts w:ascii="Times New Roman" w:eastAsia="Calibri" w:hAnsi="Times New Roman" w:cs="Times New Roman"/>
          <w:sz w:val="24"/>
          <w:szCs w:val="28"/>
        </w:rPr>
        <w:t xml:space="preserve">ca </w:t>
      </w:r>
      <w:r w:rsidRPr="003278ED">
        <w:rPr>
          <w:rFonts w:ascii="Times New Roman" w:eastAsia="Calibri" w:hAnsi="Times New Roman" w:cs="Times New Roman"/>
          <w:sz w:val="24"/>
          <w:szCs w:val="28"/>
        </w:rPr>
        <w:t xml:space="preserve">urmare </w:t>
      </w:r>
      <w:r w:rsidR="004F6585" w:rsidRPr="003278ED">
        <w:rPr>
          <w:rFonts w:ascii="Times New Roman" w:eastAsia="Calibri" w:hAnsi="Times New Roman" w:cs="Times New Roman"/>
          <w:sz w:val="24"/>
          <w:szCs w:val="28"/>
        </w:rPr>
        <w:t xml:space="preserve">a </w:t>
      </w:r>
      <w:r w:rsidRPr="003278ED">
        <w:rPr>
          <w:rFonts w:ascii="Times New Roman" w:eastAsia="Calibri" w:hAnsi="Times New Roman" w:cs="Times New Roman"/>
          <w:sz w:val="24"/>
          <w:szCs w:val="28"/>
        </w:rPr>
        <w:t xml:space="preserve">tergiversărilor în realizarea acestora; costul reformelor structurale în toate sectoarele economice și sociale necesare, în special în contextul aderării la </w:t>
      </w:r>
      <w:r w:rsidRPr="003278ED">
        <w:rPr>
          <w:rFonts w:ascii="Times New Roman" w:eastAsia="Calibri" w:hAnsi="Times New Roman" w:cs="Times New Roman"/>
          <w:sz w:val="24"/>
          <w:szCs w:val="24"/>
        </w:rPr>
        <w:t>UE</w:t>
      </w:r>
      <w:r w:rsidR="004F6585"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vor avea un impact </w:t>
      </w:r>
      <w:r w:rsidR="00173872" w:rsidRPr="003278ED">
        <w:rPr>
          <w:rFonts w:ascii="Times New Roman" w:eastAsia="Calibri" w:hAnsi="Times New Roman" w:cs="Times New Roman"/>
          <w:sz w:val="24"/>
          <w:szCs w:val="24"/>
        </w:rPr>
        <w:t>semnificativ</w:t>
      </w:r>
      <w:r w:rsidRPr="003278ED">
        <w:rPr>
          <w:rFonts w:ascii="Times New Roman" w:eastAsia="Calibri" w:hAnsi="Times New Roman" w:cs="Times New Roman"/>
          <w:sz w:val="24"/>
          <w:szCs w:val="24"/>
        </w:rPr>
        <w:t xml:space="preserve"> asupra cheltuielilor pub</w:t>
      </w:r>
      <w:r w:rsidR="001B5445" w:rsidRPr="003278ED">
        <w:rPr>
          <w:rFonts w:ascii="Times New Roman" w:eastAsia="Calibri" w:hAnsi="Times New Roman" w:cs="Times New Roman"/>
          <w:sz w:val="24"/>
          <w:szCs w:val="24"/>
        </w:rPr>
        <w:t>lice.</w:t>
      </w:r>
    </w:p>
    <w:p w14:paraId="117EA95A" w14:textId="77777777" w:rsidR="00EC71F9" w:rsidRPr="003278ED" w:rsidRDefault="00EC71F9" w:rsidP="007D3A2B">
      <w:pPr>
        <w:spacing w:after="0" w:line="240" w:lineRule="auto"/>
        <w:ind w:firstLine="709"/>
        <w:jc w:val="both"/>
        <w:rPr>
          <w:rFonts w:ascii="Times New Roman" w:eastAsia="Times New Roman" w:hAnsi="Times New Roman" w:cs="Times New Roman"/>
          <w:b/>
          <w:i/>
          <w:sz w:val="24"/>
          <w:szCs w:val="24"/>
        </w:rPr>
      </w:pPr>
    </w:p>
    <w:p w14:paraId="203DDA8F" w14:textId="77777777" w:rsidR="000721DE" w:rsidRDefault="000721DE" w:rsidP="00914ECD">
      <w:pPr>
        <w:pStyle w:val="Title1"/>
        <w:jc w:val="center"/>
        <w:outlineLvl w:val="0"/>
        <w:rPr>
          <w:rFonts w:ascii="Times New Roman" w:hAnsi="Times New Roman"/>
          <w:color w:val="auto"/>
          <w:sz w:val="24"/>
        </w:rPr>
      </w:pPr>
      <w:bookmarkStart w:id="8" w:name="_Toc175825345"/>
    </w:p>
    <w:p w14:paraId="7798365C" w14:textId="3818889E" w:rsidR="00EA7BB3" w:rsidRPr="009562A5" w:rsidRDefault="001E1938" w:rsidP="00914ECD">
      <w:pPr>
        <w:pStyle w:val="Title1"/>
        <w:jc w:val="center"/>
        <w:outlineLvl w:val="0"/>
        <w:rPr>
          <w:rFonts w:ascii="Times New Roman" w:eastAsia="Times New Roman" w:hAnsi="Times New Roman"/>
          <w:color w:val="auto"/>
          <w:sz w:val="24"/>
          <w:szCs w:val="24"/>
        </w:rPr>
      </w:pPr>
      <w:r w:rsidRPr="009562A5">
        <w:rPr>
          <w:rFonts w:ascii="Times New Roman" w:hAnsi="Times New Roman"/>
          <w:color w:val="auto"/>
          <w:sz w:val="24"/>
        </w:rPr>
        <w:lastRenderedPageBreak/>
        <w:t xml:space="preserve">III. POLITICA BUGETAR-FISCALĂ ȘI VAMALĂ </w:t>
      </w:r>
      <w:r w:rsidR="009F34DF" w:rsidRPr="009562A5">
        <w:rPr>
          <w:rFonts w:ascii="Times New Roman" w:hAnsi="Times New Roman"/>
          <w:color w:val="auto"/>
          <w:sz w:val="24"/>
        </w:rPr>
        <w:br/>
      </w:r>
      <w:r w:rsidRPr="009562A5">
        <w:rPr>
          <w:rFonts w:ascii="Times New Roman" w:hAnsi="Times New Roman"/>
          <w:color w:val="auto"/>
          <w:sz w:val="24"/>
        </w:rPr>
        <w:t>ȘI PROGNOZELE</w:t>
      </w:r>
      <w:r w:rsidR="009F34DF" w:rsidRPr="009562A5">
        <w:rPr>
          <w:rFonts w:ascii="Times New Roman" w:hAnsi="Times New Roman"/>
          <w:color w:val="auto"/>
          <w:sz w:val="24"/>
        </w:rPr>
        <w:t xml:space="preserve"> </w:t>
      </w:r>
      <w:r w:rsidRPr="009562A5">
        <w:rPr>
          <w:rFonts w:ascii="Times New Roman" w:hAnsi="Times New Roman"/>
          <w:color w:val="auto"/>
          <w:sz w:val="24"/>
        </w:rPr>
        <w:t>CBTM (2025-2027)</w:t>
      </w:r>
      <w:bookmarkEnd w:id="8"/>
    </w:p>
    <w:p w14:paraId="256A581E" w14:textId="77777777" w:rsidR="001E1938" w:rsidRPr="003278ED" w:rsidRDefault="001E1938" w:rsidP="00A47DB5">
      <w:pPr>
        <w:shd w:val="clear" w:color="auto" w:fill="FFFFFF" w:themeFill="background1"/>
        <w:spacing w:after="0" w:line="240" w:lineRule="auto"/>
        <w:jc w:val="both"/>
        <w:rPr>
          <w:rFonts w:ascii="Times New Roman" w:eastAsia="Times New Roman" w:hAnsi="Times New Roman" w:cs="Times New Roman"/>
          <w:b/>
          <w:sz w:val="24"/>
          <w:szCs w:val="24"/>
        </w:rPr>
      </w:pPr>
    </w:p>
    <w:p w14:paraId="7BC33190" w14:textId="77777777" w:rsidR="001E1938" w:rsidRPr="009562A5" w:rsidRDefault="00123546" w:rsidP="00914ECD">
      <w:pPr>
        <w:pStyle w:val="Title2"/>
        <w:jc w:val="center"/>
        <w:outlineLvl w:val="1"/>
        <w:rPr>
          <w:rFonts w:ascii="Times New Roman" w:hAnsi="Times New Roman"/>
          <w:i w:val="0"/>
          <w:color w:val="auto"/>
          <w:sz w:val="24"/>
        </w:rPr>
      </w:pPr>
      <w:bookmarkStart w:id="9" w:name="_Toc175825346"/>
      <w:r w:rsidRPr="009562A5">
        <w:rPr>
          <w:rFonts w:ascii="Times New Roman" w:hAnsi="Times New Roman"/>
          <w:i w:val="0"/>
          <w:color w:val="auto"/>
          <w:sz w:val="24"/>
        </w:rPr>
        <w:t>A. Prezentare generală a politicilor</w:t>
      </w:r>
      <w:bookmarkEnd w:id="9"/>
    </w:p>
    <w:p w14:paraId="0A516A23" w14:textId="77777777" w:rsidR="00123546" w:rsidRPr="003278ED" w:rsidRDefault="00123546" w:rsidP="007D3A2B">
      <w:pPr>
        <w:spacing w:after="0" w:line="240" w:lineRule="auto"/>
        <w:ind w:firstLine="709"/>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ab/>
      </w:r>
    </w:p>
    <w:p w14:paraId="706167E6" w14:textId="4A995A87" w:rsidR="00CC4753" w:rsidRPr="003278ED" w:rsidRDefault="00CC4753" w:rsidP="00A47DB5">
      <w:pPr>
        <w:tabs>
          <w:tab w:val="left" w:pos="993"/>
        </w:tabs>
        <w:spacing w:after="0" w:line="240" w:lineRule="auto"/>
        <w:ind w:firstLine="709"/>
        <w:jc w:val="both"/>
        <w:rPr>
          <w:rFonts w:ascii="Times New Roman" w:hAnsi="Times New Roman" w:cs="Times New Roman"/>
          <w:b/>
          <w:sz w:val="24"/>
          <w:szCs w:val="28"/>
        </w:rPr>
      </w:pPr>
      <w:r w:rsidRPr="003278ED">
        <w:rPr>
          <w:rFonts w:ascii="Times New Roman" w:hAnsi="Times New Roman" w:cs="Times New Roman"/>
          <w:sz w:val="24"/>
          <w:szCs w:val="28"/>
        </w:rPr>
        <w:t>În perioada 2025-2027</w:t>
      </w:r>
      <w:r w:rsidR="00DA4960" w:rsidRPr="003278ED">
        <w:rPr>
          <w:rFonts w:ascii="Times New Roman" w:hAnsi="Times New Roman" w:cs="Times New Roman"/>
          <w:sz w:val="24"/>
          <w:szCs w:val="28"/>
        </w:rPr>
        <w:t>,</w:t>
      </w:r>
      <w:r w:rsidRPr="003278ED">
        <w:rPr>
          <w:rFonts w:ascii="Times New Roman" w:hAnsi="Times New Roman" w:cs="Times New Roman"/>
          <w:sz w:val="24"/>
          <w:szCs w:val="28"/>
        </w:rPr>
        <w:t xml:space="preserve"> Guvernul își va consolida progresele în asigurarea stabilității și sustenabilității finanțelor publice. Măsurile-cheie care necesită a fi întreprinse sunt:</w:t>
      </w:r>
    </w:p>
    <w:p w14:paraId="63DBE2AE" w14:textId="517D349E" w:rsidR="00CC4753"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consolidarea bazei fiscale, susținute de ref</w:t>
      </w:r>
      <w:r w:rsidR="00D44623" w:rsidRPr="003278ED">
        <w:rPr>
          <w:rFonts w:ascii="Times New Roman" w:hAnsi="Times New Roman" w:cs="Times New Roman"/>
          <w:sz w:val="24"/>
          <w:szCs w:val="28"/>
        </w:rPr>
        <w:t xml:space="preserve">ormele aflate în desfășurare în </w:t>
      </w:r>
      <w:r w:rsidRPr="003278ED">
        <w:rPr>
          <w:rFonts w:ascii="Times New Roman" w:hAnsi="Times New Roman" w:cs="Times New Roman"/>
          <w:sz w:val="24"/>
          <w:szCs w:val="28"/>
        </w:rPr>
        <w:t xml:space="preserve">administrarea fiscală și vamală, </w:t>
      </w:r>
      <w:r w:rsidR="004F6585" w:rsidRPr="003278ED">
        <w:rPr>
          <w:rFonts w:ascii="Times New Roman" w:hAnsi="Times New Roman" w:cs="Times New Roman"/>
          <w:sz w:val="24"/>
          <w:szCs w:val="28"/>
        </w:rPr>
        <w:t>precum</w:t>
      </w:r>
      <w:r w:rsidRPr="003278ED">
        <w:rPr>
          <w:rFonts w:ascii="Times New Roman" w:hAnsi="Times New Roman" w:cs="Times New Roman"/>
          <w:sz w:val="24"/>
          <w:szCs w:val="28"/>
        </w:rPr>
        <w:t xml:space="preserve"> și prin consolidarea conformității fiscale</w:t>
      </w:r>
      <w:r w:rsidR="00D44623" w:rsidRPr="003278ED">
        <w:rPr>
          <w:rFonts w:ascii="Times New Roman" w:hAnsi="Times New Roman" w:cs="Times New Roman"/>
          <w:sz w:val="24"/>
          <w:szCs w:val="28"/>
        </w:rPr>
        <w:t xml:space="preserve"> și asigurarea angajamentelor de transpunere a a</w:t>
      </w:r>
      <w:r w:rsidR="004F6585" w:rsidRPr="003278ED">
        <w:rPr>
          <w:rFonts w:ascii="Times New Roman" w:hAnsi="Times New Roman" w:cs="Times New Roman"/>
          <w:sz w:val="24"/>
          <w:szCs w:val="28"/>
        </w:rPr>
        <w:t>c</w:t>
      </w:r>
      <w:r w:rsidR="00D44623" w:rsidRPr="003278ED">
        <w:rPr>
          <w:rFonts w:ascii="Times New Roman" w:hAnsi="Times New Roman" w:cs="Times New Roman"/>
          <w:sz w:val="24"/>
          <w:szCs w:val="28"/>
        </w:rPr>
        <w:t>quis</w:t>
      </w:r>
      <w:r w:rsidR="004F6585" w:rsidRPr="003278ED">
        <w:rPr>
          <w:rFonts w:ascii="Times New Roman" w:hAnsi="Times New Roman" w:cs="Times New Roman"/>
          <w:sz w:val="24"/>
          <w:szCs w:val="28"/>
        </w:rPr>
        <w:t>-</w:t>
      </w:r>
      <w:r w:rsidR="00D44623" w:rsidRPr="003278ED">
        <w:rPr>
          <w:rFonts w:ascii="Times New Roman" w:hAnsi="Times New Roman" w:cs="Times New Roman"/>
          <w:sz w:val="24"/>
          <w:szCs w:val="28"/>
        </w:rPr>
        <w:t>ului comunitar</w:t>
      </w:r>
      <w:r w:rsidRPr="003278ED">
        <w:rPr>
          <w:rFonts w:ascii="Times New Roman" w:hAnsi="Times New Roman" w:cs="Times New Roman"/>
          <w:sz w:val="24"/>
          <w:szCs w:val="28"/>
        </w:rPr>
        <w:t>;</w:t>
      </w:r>
    </w:p>
    <w:p w14:paraId="05941E6E" w14:textId="18BB047C" w:rsidR="00CC4753"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 xml:space="preserve">revizuirea </w:t>
      </w:r>
      <w:r w:rsidR="0025769D" w:rsidRPr="003278ED">
        <w:rPr>
          <w:rFonts w:ascii="Times New Roman" w:hAnsi="Times New Roman" w:cs="Times New Roman"/>
          <w:sz w:val="24"/>
          <w:szCs w:val="28"/>
        </w:rPr>
        <w:t>sistemului</w:t>
      </w:r>
      <w:r w:rsidR="002127AD" w:rsidRPr="003278ED">
        <w:rPr>
          <w:rFonts w:ascii="Times New Roman" w:hAnsi="Times New Roman" w:cs="Times New Roman"/>
          <w:sz w:val="24"/>
          <w:szCs w:val="28"/>
        </w:rPr>
        <w:t xml:space="preserve"> </w:t>
      </w:r>
      <w:r w:rsidRPr="003278ED">
        <w:rPr>
          <w:rFonts w:ascii="Times New Roman" w:hAnsi="Times New Roman" w:cs="Times New Roman"/>
          <w:sz w:val="24"/>
          <w:szCs w:val="28"/>
        </w:rPr>
        <w:t>de asigurări sociale, astfel ca acest</w:t>
      </w:r>
      <w:r w:rsidR="004F6585" w:rsidRPr="003278ED">
        <w:rPr>
          <w:rFonts w:ascii="Times New Roman" w:hAnsi="Times New Roman" w:cs="Times New Roman"/>
          <w:sz w:val="24"/>
          <w:szCs w:val="28"/>
        </w:rPr>
        <w:t>e</w:t>
      </w:r>
      <w:r w:rsidRPr="003278ED">
        <w:rPr>
          <w:rFonts w:ascii="Times New Roman" w:hAnsi="Times New Roman" w:cs="Times New Roman"/>
          <w:sz w:val="24"/>
          <w:szCs w:val="28"/>
        </w:rPr>
        <w:t>a să devină sustenabile pe termen mediu și lung;</w:t>
      </w:r>
      <w:r w:rsidR="004F6585" w:rsidRPr="003278ED">
        <w:rPr>
          <w:rFonts w:ascii="Times New Roman" w:hAnsi="Times New Roman" w:cs="Times New Roman"/>
          <w:sz w:val="24"/>
          <w:szCs w:val="28"/>
        </w:rPr>
        <w:t xml:space="preserve"> </w:t>
      </w:r>
    </w:p>
    <w:p w14:paraId="1E60270C" w14:textId="52C39AD9" w:rsidR="00CC4753" w:rsidRPr="003278ED" w:rsidRDefault="002127AD"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 xml:space="preserve">eficientizarea </w:t>
      </w:r>
      <w:r w:rsidR="00CC4753" w:rsidRPr="003278ED">
        <w:rPr>
          <w:rFonts w:ascii="Times New Roman" w:hAnsi="Times New Roman" w:cs="Times New Roman"/>
          <w:sz w:val="24"/>
          <w:szCs w:val="28"/>
        </w:rPr>
        <w:t xml:space="preserve">cheltuielilor publice pentru atingerea unor eficiențe sporite în utilizarea banilor publici, reforma administrației publice centrale și locale, țintirea </w:t>
      </w:r>
      <w:r w:rsidR="004F6585" w:rsidRPr="003278ED">
        <w:rPr>
          <w:rFonts w:ascii="Times New Roman" w:hAnsi="Times New Roman" w:cs="Times New Roman"/>
          <w:sz w:val="24"/>
          <w:szCs w:val="28"/>
        </w:rPr>
        <w:t xml:space="preserve">mai bună a </w:t>
      </w:r>
      <w:r w:rsidR="00CC4753" w:rsidRPr="003278ED">
        <w:rPr>
          <w:rFonts w:ascii="Times New Roman" w:hAnsi="Times New Roman" w:cs="Times New Roman"/>
          <w:sz w:val="24"/>
          <w:szCs w:val="28"/>
        </w:rPr>
        <w:t>beneficiilor sociale, consolidarea managementului investițiilor publice;</w:t>
      </w:r>
    </w:p>
    <w:p w14:paraId="69C6BCF7" w14:textId="77777777" w:rsidR="00CC4753"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reducerea treptată a nivelului deficitului bugetar;</w:t>
      </w:r>
    </w:p>
    <w:p w14:paraId="084C461F" w14:textId="77777777" w:rsidR="00CC4753"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extinderea și dezvoltarea continuă a pieței interne a valorilor mobiliare de stat;</w:t>
      </w:r>
    </w:p>
    <w:p w14:paraId="18289767" w14:textId="77777777" w:rsidR="0039372E"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8"/>
        </w:rPr>
        <w:t>asigurarea sustenabilității datoriei de stat;</w:t>
      </w:r>
    </w:p>
    <w:p w14:paraId="110B92DA" w14:textId="0D768DBF" w:rsidR="00CC4753" w:rsidRPr="003278ED" w:rsidRDefault="00CC4753" w:rsidP="00A47DB5">
      <w:pPr>
        <w:pStyle w:val="Listparagraf"/>
        <w:numPr>
          <w:ilvl w:val="0"/>
          <w:numId w:val="8"/>
        </w:numPr>
        <w:tabs>
          <w:tab w:val="left" w:pos="993"/>
        </w:tabs>
        <w:spacing w:after="0" w:line="240" w:lineRule="auto"/>
        <w:ind w:left="0" w:firstLine="709"/>
        <w:contextualSpacing w:val="0"/>
        <w:jc w:val="both"/>
        <w:rPr>
          <w:rFonts w:ascii="Times New Roman" w:hAnsi="Times New Roman" w:cs="Times New Roman"/>
          <w:sz w:val="24"/>
          <w:szCs w:val="28"/>
        </w:rPr>
      </w:pPr>
      <w:r w:rsidRPr="003278ED">
        <w:rPr>
          <w:rFonts w:ascii="Times New Roman" w:hAnsi="Times New Roman" w:cs="Times New Roman"/>
          <w:sz w:val="24"/>
          <w:szCs w:val="24"/>
        </w:rPr>
        <w:t>monitorizarea și gestionarea eficientă a riscurilor bugetar-fiscale.</w:t>
      </w:r>
    </w:p>
    <w:p w14:paraId="040D78DC" w14:textId="77777777" w:rsidR="00CC4753" w:rsidRPr="003278ED" w:rsidRDefault="00CC4753" w:rsidP="00A47DB5">
      <w:pPr>
        <w:spacing w:after="0" w:line="240" w:lineRule="auto"/>
        <w:ind w:firstLine="709"/>
        <w:jc w:val="both"/>
        <w:rPr>
          <w:rFonts w:ascii="Times New Roman" w:eastAsia="Times New Roman" w:hAnsi="Times New Roman" w:cs="Times New Roman"/>
          <w:b/>
          <w:sz w:val="24"/>
          <w:szCs w:val="24"/>
        </w:rPr>
      </w:pPr>
    </w:p>
    <w:p w14:paraId="13E2443A" w14:textId="4F1F2ED2" w:rsidR="00123546" w:rsidRPr="003278ED" w:rsidRDefault="00B36EC6"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sz w:val="24"/>
          <w:szCs w:val="24"/>
        </w:rPr>
        <w:t>Obiectivele politici</w:t>
      </w:r>
      <w:r w:rsidR="008B2A62" w:rsidRPr="003278ED">
        <w:rPr>
          <w:rFonts w:ascii="Times New Roman" w:eastAsia="Times New Roman" w:hAnsi="Times New Roman" w:cs="Times New Roman"/>
          <w:b/>
          <w:sz w:val="24"/>
          <w:szCs w:val="24"/>
        </w:rPr>
        <w:t>i</w:t>
      </w:r>
      <w:r w:rsidRPr="003278ED">
        <w:rPr>
          <w:rFonts w:ascii="Times New Roman" w:eastAsia="Times New Roman" w:hAnsi="Times New Roman" w:cs="Times New Roman"/>
          <w:b/>
          <w:sz w:val="24"/>
          <w:szCs w:val="24"/>
        </w:rPr>
        <w:t xml:space="preserve"> fiscale și vamale</w:t>
      </w:r>
      <w:r w:rsidR="004A189D" w:rsidRPr="003278ED">
        <w:rPr>
          <w:rFonts w:ascii="Times New Roman" w:eastAsia="Times New Roman" w:hAnsi="Times New Roman" w:cs="Times New Roman"/>
          <w:b/>
          <w:sz w:val="24"/>
          <w:szCs w:val="24"/>
        </w:rPr>
        <w:t xml:space="preserve"> și ale politicii de administrare fiscală și vamală pe termen mediu 2025-2027</w:t>
      </w:r>
    </w:p>
    <w:p w14:paraId="025E52C3" w14:textId="351868CD" w:rsidR="00FD70B5" w:rsidRPr="003278ED" w:rsidRDefault="00FD70B5" w:rsidP="00A47DB5">
      <w:pPr>
        <w:spacing w:after="0" w:line="240" w:lineRule="auto"/>
        <w:ind w:firstLine="709"/>
        <w:jc w:val="both"/>
        <w:rPr>
          <w:rFonts w:ascii="Times New Roman" w:eastAsia="Calibri" w:hAnsi="Times New Roman" w:cs="Times New Roman"/>
          <w:bCs/>
          <w:i/>
          <w:sz w:val="24"/>
          <w:szCs w:val="28"/>
        </w:rPr>
      </w:pPr>
      <w:r w:rsidRPr="003278ED">
        <w:rPr>
          <w:rFonts w:ascii="Times New Roman" w:eastAsia="Calibri" w:hAnsi="Times New Roman" w:cs="Times New Roman"/>
          <w:bCs/>
          <w:i/>
          <w:sz w:val="24"/>
          <w:szCs w:val="28"/>
        </w:rPr>
        <w:t>Măsurile de politică fiscală pe termen mediu țintesc fortificarea creșterii economice, stimularea cererii și ofertei de muncă, diminuarea economiei tenebre și racordarea treptată a sistemului fiscal la prevederile acquis-ul</w:t>
      </w:r>
      <w:r w:rsidR="004F6585" w:rsidRPr="003278ED">
        <w:rPr>
          <w:rFonts w:ascii="Times New Roman" w:eastAsia="Calibri" w:hAnsi="Times New Roman" w:cs="Times New Roman"/>
          <w:bCs/>
          <w:i/>
          <w:sz w:val="24"/>
          <w:szCs w:val="28"/>
        </w:rPr>
        <w:t>ui</w:t>
      </w:r>
      <w:r w:rsidRPr="003278ED">
        <w:rPr>
          <w:rFonts w:ascii="Times New Roman" w:eastAsia="Calibri" w:hAnsi="Times New Roman" w:cs="Times New Roman"/>
          <w:bCs/>
          <w:i/>
          <w:sz w:val="24"/>
          <w:szCs w:val="28"/>
        </w:rPr>
        <w:t xml:space="preserve"> comunitar.</w:t>
      </w:r>
    </w:p>
    <w:p w14:paraId="7799AED2" w14:textId="126E1041" w:rsidR="00FD70B5" w:rsidRPr="003278ED" w:rsidRDefault="00FD70B5" w:rsidP="00A47DB5">
      <w:pPr>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Ca parte componentă a </w:t>
      </w:r>
      <w:r w:rsidR="004F6585" w:rsidRPr="003278ED">
        <w:rPr>
          <w:rFonts w:ascii="Times New Roman" w:eastAsia="Calibri" w:hAnsi="Times New Roman" w:cs="Times New Roman"/>
          <w:bCs/>
          <w:sz w:val="24"/>
          <w:szCs w:val="28"/>
        </w:rPr>
        <w:t>CBTM</w:t>
      </w:r>
      <w:r w:rsidRPr="003278ED">
        <w:rPr>
          <w:rFonts w:ascii="Times New Roman" w:eastAsia="Calibri" w:hAnsi="Times New Roman" w:cs="Times New Roman"/>
          <w:bCs/>
          <w:sz w:val="24"/>
          <w:szCs w:val="28"/>
        </w:rPr>
        <w:t xml:space="preserve">, </w:t>
      </w:r>
      <w:r w:rsidRPr="003278ED">
        <w:rPr>
          <w:rFonts w:ascii="Times New Roman" w:eastAsia="Calibri" w:hAnsi="Times New Roman" w:cs="Times New Roman"/>
          <w:bCs/>
          <w:i/>
          <w:sz w:val="24"/>
          <w:szCs w:val="28"/>
        </w:rPr>
        <w:t>politica fiscală</w:t>
      </w:r>
      <w:r w:rsidRPr="003278ED">
        <w:rPr>
          <w:rFonts w:ascii="Times New Roman" w:eastAsia="Calibri" w:hAnsi="Times New Roman" w:cs="Times New Roman"/>
          <w:bCs/>
          <w:sz w:val="24"/>
          <w:szCs w:val="28"/>
        </w:rPr>
        <w:t xml:space="preserve"> va urmări stimularea proceselor economice și sociale, prin:</w:t>
      </w:r>
    </w:p>
    <w:p w14:paraId="5DD4A008" w14:textId="77777777" w:rsidR="00FD70B5"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creșterea rezilienței persoanelor fizice prin intermediul instrumentelor fiscale;</w:t>
      </w:r>
    </w:p>
    <w:p w14:paraId="410C397C" w14:textId="151D4885" w:rsidR="00FD70B5"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implementarea mecanismelor fiscale de atragere și </w:t>
      </w:r>
      <w:r w:rsidR="008E4171" w:rsidRPr="003278ED">
        <w:rPr>
          <w:rFonts w:ascii="Times New Roman" w:eastAsia="Calibri" w:hAnsi="Times New Roman" w:cs="Times New Roman"/>
          <w:bCs/>
          <w:sz w:val="24"/>
          <w:szCs w:val="28"/>
        </w:rPr>
        <w:t xml:space="preserve">de </w:t>
      </w:r>
      <w:r w:rsidRPr="003278ED">
        <w:rPr>
          <w:rFonts w:ascii="Times New Roman" w:eastAsia="Calibri" w:hAnsi="Times New Roman" w:cs="Times New Roman"/>
          <w:bCs/>
          <w:sz w:val="24"/>
          <w:szCs w:val="28"/>
        </w:rPr>
        <w:t>menținere a forței de muncă calificate;</w:t>
      </w:r>
    </w:p>
    <w:p w14:paraId="0D061714" w14:textId="77777777" w:rsidR="00FD70B5"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revizuirea proceselor de calculare și achitare a impozitelor și taxelor în vederea simplificării și clarificării cadrului legislativ;  </w:t>
      </w:r>
    </w:p>
    <w:p w14:paraId="3DB00340" w14:textId="77777777" w:rsidR="00FD70B5"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identificarea pârghiilor care ar crea premise pentru diminuarea „salariului în plic”;</w:t>
      </w:r>
    </w:p>
    <w:p w14:paraId="247995CE" w14:textId="77777777" w:rsidR="00FD70B5"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îmbunătățirea administrării fiscale și vamale prin extinderea spectrului de instrumente disponibile pentru intervenție, în vederea diminuării economiei tenebre și reducerii interacțiunii dintre contribuabil și funcționarul fiscal;</w:t>
      </w:r>
    </w:p>
    <w:p w14:paraId="6774B45C" w14:textId="1F73DB67" w:rsidR="00FB1636" w:rsidRPr="003278ED" w:rsidRDefault="00FD70B5" w:rsidP="00A47DB5">
      <w:pPr>
        <w:pStyle w:val="Listparagraf"/>
        <w:numPr>
          <w:ilvl w:val="0"/>
          <w:numId w:val="9"/>
        </w:numPr>
        <w:tabs>
          <w:tab w:val="left" w:pos="851"/>
        </w:tabs>
        <w:spacing w:after="0" w:line="240" w:lineRule="auto"/>
        <w:ind w:left="0" w:firstLine="709"/>
        <w:jc w:val="both"/>
        <w:rPr>
          <w:rFonts w:ascii="Times New Roman" w:eastAsia="Times New Roman" w:hAnsi="Times New Roman" w:cs="Times New Roman"/>
          <w:b/>
          <w:sz w:val="24"/>
          <w:szCs w:val="24"/>
        </w:rPr>
      </w:pPr>
      <w:r w:rsidRPr="003278ED">
        <w:rPr>
          <w:rFonts w:ascii="Times New Roman" w:eastAsia="Calibri" w:hAnsi="Times New Roman" w:cs="Times New Roman"/>
          <w:bCs/>
          <w:sz w:val="24"/>
          <w:szCs w:val="28"/>
        </w:rPr>
        <w:t>continuarea armonizării legislației naționale la prevederile acquis-ul</w:t>
      </w:r>
      <w:r w:rsidR="008E4171" w:rsidRPr="003278ED">
        <w:rPr>
          <w:rFonts w:ascii="Times New Roman" w:eastAsia="Calibri" w:hAnsi="Times New Roman" w:cs="Times New Roman"/>
          <w:bCs/>
          <w:sz w:val="24"/>
          <w:szCs w:val="28"/>
        </w:rPr>
        <w:t>ui</w:t>
      </w:r>
      <w:r w:rsidRPr="003278ED">
        <w:rPr>
          <w:rFonts w:ascii="Times New Roman" w:eastAsia="Calibri" w:hAnsi="Times New Roman" w:cs="Times New Roman"/>
          <w:bCs/>
          <w:sz w:val="24"/>
          <w:szCs w:val="28"/>
        </w:rPr>
        <w:t xml:space="preserve"> comunitar.</w:t>
      </w:r>
    </w:p>
    <w:p w14:paraId="033813EE" w14:textId="77777777" w:rsidR="005C70ED" w:rsidRPr="003278ED" w:rsidRDefault="005C70ED" w:rsidP="007D3A2B">
      <w:pPr>
        <w:tabs>
          <w:tab w:val="left" w:pos="851"/>
        </w:tabs>
        <w:spacing w:after="0" w:line="240" w:lineRule="auto"/>
        <w:ind w:left="709" w:firstLine="709"/>
        <w:jc w:val="both"/>
        <w:rPr>
          <w:rFonts w:ascii="Times New Roman" w:eastAsia="Times New Roman" w:hAnsi="Times New Roman" w:cs="Times New Roman"/>
          <w:sz w:val="24"/>
          <w:szCs w:val="24"/>
        </w:rPr>
      </w:pPr>
    </w:p>
    <w:p w14:paraId="19613129" w14:textId="43D11091" w:rsidR="000A699A" w:rsidRPr="003278ED" w:rsidRDefault="000A699A" w:rsidP="00A47DB5">
      <w:pPr>
        <w:spacing w:after="0" w:line="240" w:lineRule="auto"/>
        <w:ind w:firstLine="709"/>
        <w:jc w:val="both"/>
        <w:rPr>
          <w:rFonts w:ascii="Times New Roman" w:eastAsia="Times New Roman" w:hAnsi="Times New Roman" w:cs="Times New Roman"/>
          <w:sz w:val="24"/>
          <w:szCs w:val="24"/>
        </w:rPr>
      </w:pPr>
      <w:r w:rsidRPr="003278ED">
        <w:rPr>
          <w:rFonts w:ascii="Times New Roman" w:eastAsia="Calibri" w:hAnsi="Times New Roman" w:cs="Times New Roman"/>
          <w:b/>
          <w:bCs/>
          <w:sz w:val="24"/>
          <w:szCs w:val="28"/>
        </w:rPr>
        <w:t>Măsurile de politică fiscală pe termen mediu</w:t>
      </w:r>
      <w:r w:rsidR="008E4171" w:rsidRPr="003278ED">
        <w:rPr>
          <w:rFonts w:ascii="Times New Roman" w:eastAsia="Calibri" w:hAnsi="Times New Roman" w:cs="Times New Roman"/>
          <w:b/>
          <w:bCs/>
          <w:sz w:val="24"/>
          <w:szCs w:val="28"/>
        </w:rPr>
        <w:t>,</w:t>
      </w:r>
      <w:r w:rsidRPr="003278ED">
        <w:rPr>
          <w:rFonts w:ascii="Times New Roman" w:eastAsia="Calibri" w:hAnsi="Times New Roman" w:cs="Times New Roman"/>
          <w:bCs/>
          <w:sz w:val="24"/>
          <w:szCs w:val="28"/>
        </w:rPr>
        <w:t xml:space="preserve"> care vor asigura atingerea obiectivelor țintite</w:t>
      </w:r>
      <w:r w:rsidR="008E4171"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vor fi axate pe:</w:t>
      </w:r>
    </w:p>
    <w:p w14:paraId="40A79F01" w14:textId="77777777" w:rsidR="005C70ED" w:rsidRPr="003278ED" w:rsidRDefault="005C70ED" w:rsidP="00A47DB5">
      <w:pPr>
        <w:spacing w:after="0" w:line="240" w:lineRule="auto"/>
        <w:ind w:firstLine="709"/>
        <w:jc w:val="both"/>
        <w:rPr>
          <w:rFonts w:ascii="Times New Roman" w:eastAsia="Times New Roman" w:hAnsi="Times New Roman" w:cs="Times New Roman"/>
          <w:b/>
          <w:i/>
          <w:sz w:val="24"/>
          <w:szCs w:val="24"/>
        </w:rPr>
      </w:pPr>
    </w:p>
    <w:p w14:paraId="798BC12D" w14:textId="77777777" w:rsidR="00547DD9" w:rsidRPr="003278ED" w:rsidRDefault="00547DD9"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Impozitul pe venit</w:t>
      </w:r>
    </w:p>
    <w:p w14:paraId="017ED70F" w14:textId="50859442" w:rsidR="000A699A" w:rsidRPr="003278ED" w:rsidRDefault="000A699A" w:rsidP="00A47DB5">
      <w:pPr>
        <w:pStyle w:val="Listparagraf"/>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Identificarea instrumentelor suplimentare de menținere a forței de muncă calificate, prin implementarea Planului de stimulare a </w:t>
      </w:r>
      <w:r w:rsidR="00372871" w:rsidRPr="003278ED">
        <w:rPr>
          <w:rFonts w:ascii="Times New Roman" w:eastAsia="Calibri" w:hAnsi="Times New Roman" w:cs="Times New Roman"/>
          <w:bCs/>
          <w:sz w:val="24"/>
          <w:szCs w:val="28"/>
        </w:rPr>
        <w:t xml:space="preserve">angajaților </w:t>
      </w:r>
      <w:r w:rsidR="009F34DF" w:rsidRPr="003278ED">
        <w:rPr>
          <w:rFonts w:ascii="Times New Roman" w:eastAsia="Calibri" w:hAnsi="Times New Roman" w:cs="Times New Roman"/>
          <w:bCs/>
          <w:sz w:val="24"/>
          <w:szCs w:val="28"/>
        </w:rPr>
        <w:t>„</w:t>
      </w:r>
      <w:proofErr w:type="spellStart"/>
      <w:r w:rsidR="008E4171" w:rsidRPr="003278ED">
        <w:rPr>
          <w:rFonts w:ascii="Times New Roman" w:eastAsia="Calibri" w:hAnsi="Times New Roman" w:cs="Times New Roman"/>
          <w:bCs/>
          <w:sz w:val="24"/>
          <w:szCs w:val="28"/>
        </w:rPr>
        <w:t>Stock</w:t>
      </w:r>
      <w:proofErr w:type="spellEnd"/>
      <w:r w:rsidR="008E4171" w:rsidRPr="003278ED">
        <w:rPr>
          <w:rFonts w:ascii="Times New Roman" w:eastAsia="Calibri" w:hAnsi="Times New Roman" w:cs="Times New Roman"/>
          <w:bCs/>
          <w:sz w:val="24"/>
          <w:szCs w:val="28"/>
        </w:rPr>
        <w:t xml:space="preserve"> </w:t>
      </w:r>
      <w:proofErr w:type="spellStart"/>
      <w:r w:rsidR="008E4171" w:rsidRPr="003278ED">
        <w:rPr>
          <w:rFonts w:ascii="Times New Roman" w:eastAsia="Calibri" w:hAnsi="Times New Roman" w:cs="Times New Roman"/>
          <w:bCs/>
          <w:sz w:val="24"/>
          <w:szCs w:val="28"/>
        </w:rPr>
        <w:t>Option</w:t>
      </w:r>
      <w:proofErr w:type="spellEnd"/>
      <w:r w:rsidR="008E4171" w:rsidRPr="003278ED">
        <w:rPr>
          <w:rFonts w:ascii="Times New Roman" w:eastAsia="Calibri" w:hAnsi="Times New Roman" w:cs="Times New Roman"/>
          <w:bCs/>
          <w:sz w:val="24"/>
          <w:szCs w:val="28"/>
        </w:rPr>
        <w:t xml:space="preserve"> Plan”.</w:t>
      </w:r>
    </w:p>
    <w:p w14:paraId="7A0D09BA" w14:textId="16FB9878" w:rsidR="000A699A" w:rsidRPr="003278ED" w:rsidRDefault="000A699A" w:rsidP="00A47DB5">
      <w:pPr>
        <w:tabs>
          <w:tab w:val="left" w:pos="851"/>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Extinderea dreptului de uti</w:t>
      </w:r>
      <w:r w:rsidR="008E4171" w:rsidRPr="003278ED">
        <w:rPr>
          <w:rFonts w:ascii="Times New Roman" w:eastAsia="Calibri" w:hAnsi="Times New Roman" w:cs="Times New Roman"/>
          <w:bCs/>
          <w:sz w:val="24"/>
          <w:szCs w:val="28"/>
        </w:rPr>
        <w:t>lizare a amortizării accelerate.</w:t>
      </w:r>
    </w:p>
    <w:p w14:paraId="613B1603" w14:textId="77777777" w:rsidR="000A699A" w:rsidRPr="003278ED" w:rsidRDefault="000A699A" w:rsidP="00A47DB5">
      <w:pPr>
        <w:pStyle w:val="Listparagraf"/>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Eliminarea scutirii de la plata impozitului pe venit de către instituțiile de învățământ private cu asigurarea im</w:t>
      </w:r>
      <w:r w:rsidR="00372871" w:rsidRPr="003278ED">
        <w:rPr>
          <w:rFonts w:ascii="Times New Roman" w:eastAsia="Calibri" w:hAnsi="Times New Roman" w:cs="Times New Roman"/>
          <w:bCs/>
          <w:sz w:val="24"/>
          <w:szCs w:val="28"/>
        </w:rPr>
        <w:t>pozitării pe principii generale;</w:t>
      </w:r>
    </w:p>
    <w:p w14:paraId="32C8569E" w14:textId="36B7C64A" w:rsidR="000A699A" w:rsidRPr="003278ED" w:rsidRDefault="000A699A" w:rsidP="00A47DB5">
      <w:pPr>
        <w:tabs>
          <w:tab w:val="left" w:pos="851"/>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lastRenderedPageBreak/>
        <w:t>Stimularea investițiilor efectuate de către persoanel</w:t>
      </w:r>
      <w:r w:rsidR="008E4171" w:rsidRPr="003278ED">
        <w:rPr>
          <w:rFonts w:ascii="Times New Roman" w:eastAsia="Calibri" w:hAnsi="Times New Roman" w:cs="Times New Roman"/>
          <w:bCs/>
          <w:sz w:val="24"/>
          <w:szCs w:val="28"/>
        </w:rPr>
        <w:t>e</w:t>
      </w:r>
      <w:r w:rsidRPr="003278ED">
        <w:rPr>
          <w:rFonts w:ascii="Times New Roman" w:eastAsia="Calibri" w:hAnsi="Times New Roman" w:cs="Times New Roman"/>
          <w:bCs/>
          <w:sz w:val="24"/>
          <w:szCs w:val="28"/>
        </w:rPr>
        <w:t xml:space="preserve"> fizice rezidente în active financiare sub formă de valori mobiliare de stat, procurate direct de pe platforma Ministerului Finanțelor, prin neimpozitarea venitului obținut sub formă de d</w:t>
      </w:r>
      <w:r w:rsidR="00372871" w:rsidRPr="003278ED">
        <w:rPr>
          <w:rFonts w:ascii="Times New Roman" w:eastAsia="Calibri" w:hAnsi="Times New Roman" w:cs="Times New Roman"/>
          <w:bCs/>
          <w:sz w:val="24"/>
          <w:szCs w:val="28"/>
        </w:rPr>
        <w:t>obânzi sau creșterea de capital;</w:t>
      </w:r>
    </w:p>
    <w:p w14:paraId="4AAFC9F5" w14:textId="56D47FEC" w:rsidR="000A699A" w:rsidRPr="003278ED" w:rsidRDefault="000A699A" w:rsidP="00A47DB5">
      <w:pPr>
        <w:tabs>
          <w:tab w:val="left" w:pos="851"/>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Scutirea </w:t>
      </w:r>
      <w:r w:rsidR="004C2B11" w:rsidRPr="004C2B11">
        <w:rPr>
          <w:rFonts w:ascii="Times New Roman" w:eastAsia="Calibri" w:hAnsi="Times New Roman" w:cs="Times New Roman"/>
          <w:bCs/>
          <w:sz w:val="24"/>
          <w:szCs w:val="28"/>
        </w:rPr>
        <w:t>con</w:t>
      </w:r>
      <w:r w:rsidR="00756043" w:rsidRPr="004C2B11">
        <w:rPr>
          <w:rFonts w:ascii="Times New Roman" w:eastAsia="Calibri" w:hAnsi="Times New Roman" w:cs="Times New Roman"/>
          <w:bCs/>
          <w:sz w:val="24"/>
          <w:szCs w:val="28"/>
        </w:rPr>
        <w:t>s</w:t>
      </w:r>
      <w:r w:rsidRPr="004C2B11">
        <w:rPr>
          <w:rFonts w:ascii="Times New Roman" w:eastAsia="Calibri" w:hAnsi="Times New Roman" w:cs="Times New Roman"/>
          <w:bCs/>
          <w:sz w:val="24"/>
          <w:szCs w:val="28"/>
        </w:rPr>
        <w:t>umatorilor</w:t>
      </w:r>
      <w:r w:rsidRPr="003278ED">
        <w:rPr>
          <w:rFonts w:ascii="Times New Roman" w:eastAsia="Calibri" w:hAnsi="Times New Roman" w:cs="Times New Roman"/>
          <w:bCs/>
          <w:sz w:val="24"/>
          <w:szCs w:val="28"/>
        </w:rPr>
        <w:t xml:space="preserve"> (persoane fizice) de la plata impozitului pe venit pen</w:t>
      </w:r>
      <w:r w:rsidR="004C2B11">
        <w:rPr>
          <w:rFonts w:ascii="Times New Roman" w:eastAsia="Calibri" w:hAnsi="Times New Roman" w:cs="Times New Roman"/>
          <w:bCs/>
          <w:sz w:val="24"/>
          <w:szCs w:val="28"/>
        </w:rPr>
        <w:t xml:space="preserve">tru remunerarea obținută de la </w:t>
      </w:r>
      <w:r w:rsidRPr="003278ED">
        <w:rPr>
          <w:rFonts w:ascii="Times New Roman" w:eastAsia="Calibri" w:hAnsi="Times New Roman" w:cs="Times New Roman"/>
          <w:bCs/>
          <w:sz w:val="24"/>
          <w:szCs w:val="28"/>
        </w:rPr>
        <w:t>livrarea în rețeaua electrică de d</w:t>
      </w:r>
      <w:r w:rsidR="00372871" w:rsidRPr="003278ED">
        <w:rPr>
          <w:rFonts w:ascii="Times New Roman" w:eastAsia="Calibri" w:hAnsi="Times New Roman" w:cs="Times New Roman"/>
          <w:bCs/>
          <w:sz w:val="24"/>
          <w:szCs w:val="28"/>
        </w:rPr>
        <w:t>istribuție a energiei electrice;</w:t>
      </w:r>
    </w:p>
    <w:p w14:paraId="54E39EAF" w14:textId="4F6D94EC" w:rsidR="000A699A" w:rsidRPr="003278ED" w:rsidRDefault="000A699A" w:rsidP="00A47DB5">
      <w:pPr>
        <w:tabs>
          <w:tab w:val="left" w:pos="851"/>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Majorarea cu 10% a scutirilor personale și </w:t>
      </w:r>
      <w:r w:rsidR="008E4171" w:rsidRPr="003278ED">
        <w:rPr>
          <w:rFonts w:ascii="Times New Roman" w:eastAsia="Calibri" w:hAnsi="Times New Roman" w:cs="Times New Roman"/>
          <w:bCs/>
          <w:sz w:val="24"/>
          <w:szCs w:val="28"/>
        </w:rPr>
        <w:t xml:space="preserve">a </w:t>
      </w:r>
      <w:r w:rsidR="004C2B11" w:rsidRPr="003278ED">
        <w:rPr>
          <w:rFonts w:ascii="Times New Roman" w:eastAsia="Calibri" w:hAnsi="Times New Roman" w:cs="Times New Roman"/>
          <w:bCs/>
          <w:sz w:val="24"/>
          <w:szCs w:val="28"/>
        </w:rPr>
        <w:t>s</w:t>
      </w:r>
      <w:r w:rsidRPr="003278ED">
        <w:rPr>
          <w:rFonts w:ascii="Times New Roman" w:eastAsia="Calibri" w:hAnsi="Times New Roman" w:cs="Times New Roman"/>
          <w:bCs/>
          <w:sz w:val="24"/>
          <w:szCs w:val="28"/>
        </w:rPr>
        <w:t xml:space="preserve">cutirilor pentru persoanele întreținute acordate persoanelor fizice, în vederea atenuării impactului inflației asupra veniturilor cetățenilor, precum și </w:t>
      </w:r>
      <w:r w:rsidR="008E4171" w:rsidRPr="003278ED">
        <w:rPr>
          <w:rFonts w:ascii="Times New Roman" w:eastAsia="Calibri" w:hAnsi="Times New Roman" w:cs="Times New Roman"/>
          <w:bCs/>
          <w:sz w:val="24"/>
          <w:szCs w:val="28"/>
        </w:rPr>
        <w:t xml:space="preserve">a </w:t>
      </w:r>
      <w:r w:rsidRPr="003278ED">
        <w:rPr>
          <w:rFonts w:ascii="Times New Roman" w:eastAsia="Calibri" w:hAnsi="Times New Roman" w:cs="Times New Roman"/>
          <w:bCs/>
          <w:sz w:val="24"/>
          <w:szCs w:val="28"/>
        </w:rPr>
        <w:t>asigurării susținerii familiilor cu copii (impact</w:t>
      </w:r>
      <w:r w:rsidR="009B4347"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w:t>
      </w:r>
      <w:r w:rsidR="008E4171"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183,0 mil.</w:t>
      </w:r>
      <w:r w:rsidR="008E4171" w:rsidRPr="003278ED">
        <w:rPr>
          <w:rFonts w:ascii="Times New Roman" w:eastAsia="Calibri" w:hAnsi="Times New Roman" w:cs="Times New Roman"/>
          <w:bCs/>
          <w:sz w:val="24"/>
          <w:szCs w:val="28"/>
        </w:rPr>
        <w:t xml:space="preserve"> </w:t>
      </w:r>
      <w:r w:rsidRPr="003278ED">
        <w:rPr>
          <w:rFonts w:ascii="Times New Roman" w:eastAsia="Calibri" w:hAnsi="Times New Roman" w:cs="Times New Roman"/>
          <w:bCs/>
          <w:sz w:val="24"/>
          <w:szCs w:val="28"/>
        </w:rPr>
        <w:t>lei</w:t>
      </w:r>
      <w:r w:rsidR="00372871" w:rsidRPr="003278ED">
        <w:rPr>
          <w:rFonts w:ascii="Times New Roman" w:eastAsia="Calibri" w:hAnsi="Times New Roman" w:cs="Times New Roman"/>
          <w:bCs/>
          <w:sz w:val="24"/>
          <w:szCs w:val="28"/>
        </w:rPr>
        <w:t>);</w:t>
      </w:r>
    </w:p>
    <w:p w14:paraId="3B4B81E1" w14:textId="462F4B94" w:rsidR="000A699A" w:rsidRPr="003278ED" w:rsidRDefault="000A699A" w:rsidP="00A47DB5">
      <w:pPr>
        <w:pStyle w:val="Listparagraf"/>
        <w:tabs>
          <w:tab w:val="left" w:pos="851"/>
        </w:tabs>
        <w:spacing w:after="0" w:line="240" w:lineRule="auto"/>
        <w:ind w:left="0" w:firstLine="709"/>
        <w:jc w:val="both"/>
        <w:rPr>
          <w:rFonts w:ascii="Times New Roman" w:hAnsi="Times New Roman" w:cs="Times New Roman"/>
          <w:bCs/>
          <w:sz w:val="24"/>
          <w:szCs w:val="24"/>
        </w:rPr>
      </w:pPr>
      <w:r w:rsidRPr="003278ED">
        <w:rPr>
          <w:rFonts w:ascii="Times New Roman" w:eastAsia="Calibri" w:hAnsi="Times New Roman" w:cs="Times New Roman"/>
          <w:bCs/>
          <w:sz w:val="24"/>
          <w:szCs w:val="28"/>
        </w:rPr>
        <w:t>Extinderea spectrului de facilități acordate persoanelor fizice la determinarea impozitului pe venit</w:t>
      </w:r>
      <w:r w:rsidR="008E4171"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prin acordarea dreptului la deducere a cheltuielilor suportate pentru învățământul persoanelor întreținute.</w:t>
      </w:r>
    </w:p>
    <w:p w14:paraId="5AC27A91" w14:textId="77777777" w:rsidR="00B1565A" w:rsidRPr="003278ED" w:rsidRDefault="00B1565A" w:rsidP="007D3A2B">
      <w:pPr>
        <w:spacing w:after="0" w:line="240" w:lineRule="auto"/>
        <w:ind w:left="709" w:firstLine="709"/>
        <w:jc w:val="both"/>
        <w:rPr>
          <w:rFonts w:ascii="Times New Roman" w:eastAsia="Times New Roman" w:hAnsi="Times New Roman" w:cs="Times New Roman"/>
          <w:b/>
          <w:i/>
          <w:sz w:val="24"/>
          <w:szCs w:val="24"/>
        </w:rPr>
      </w:pPr>
    </w:p>
    <w:p w14:paraId="71E4E0BE" w14:textId="77777777" w:rsidR="00B1565A" w:rsidRPr="003278ED" w:rsidRDefault="00B1565A"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Taxa pe valoarea adăugată</w:t>
      </w:r>
    </w:p>
    <w:p w14:paraId="748ED195" w14:textId="77777777" w:rsidR="00C6580D" w:rsidRPr="003278ED" w:rsidRDefault="00C6580D" w:rsidP="00A47DB5">
      <w:pPr>
        <w:spacing w:after="0" w:line="240" w:lineRule="auto"/>
        <w:ind w:firstLine="709"/>
        <w:contextualSpacing/>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Revizuirea facilităților fiscale aferente TVA prin aplicarea regimului standard de impozitare pentru:</w:t>
      </w:r>
    </w:p>
    <w:p w14:paraId="260B2503" w14:textId="77777777" w:rsidR="00C6580D" w:rsidRPr="003278ED" w:rsidRDefault="009C3450" w:rsidP="00A47DB5">
      <w:pPr>
        <w:pStyle w:val="Listparagraf"/>
        <w:numPr>
          <w:ilvl w:val="0"/>
          <w:numId w:val="11"/>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pământul și arenda acestuia;</w:t>
      </w:r>
    </w:p>
    <w:p w14:paraId="14979C84" w14:textId="77777777" w:rsidR="00C6580D" w:rsidRPr="003278ED" w:rsidRDefault="00C6580D" w:rsidP="00A47DB5">
      <w:pPr>
        <w:pStyle w:val="Listparagraf"/>
        <w:numPr>
          <w:ilvl w:val="0"/>
          <w:numId w:val="11"/>
        </w:numPr>
        <w:tabs>
          <w:tab w:val="left" w:pos="851"/>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serviciile organizațiilor din sfera științei și inovării acreditate de Agenția Națională de Asigurare a Cal</w:t>
      </w:r>
      <w:r w:rsidR="009C3450" w:rsidRPr="003278ED">
        <w:rPr>
          <w:rFonts w:ascii="Times New Roman" w:eastAsia="Calibri" w:hAnsi="Times New Roman" w:cs="Times New Roman"/>
          <w:bCs/>
          <w:sz w:val="24"/>
          <w:szCs w:val="28"/>
        </w:rPr>
        <w:t>ității în Educație și Cercetare;</w:t>
      </w:r>
    </w:p>
    <w:p w14:paraId="175C1ED1" w14:textId="77777777" w:rsidR="00C6580D" w:rsidRPr="003278ED" w:rsidRDefault="00C6580D" w:rsidP="00A47DB5">
      <w:pPr>
        <w:pStyle w:val="Listparagraf"/>
        <w:numPr>
          <w:ilvl w:val="0"/>
          <w:numId w:val="11"/>
        </w:numPr>
        <w:tabs>
          <w:tab w:val="left" w:pos="851"/>
        </w:tabs>
        <w:spacing w:after="0" w:line="240" w:lineRule="auto"/>
        <w:ind w:left="0" w:firstLine="709"/>
        <w:jc w:val="both"/>
        <w:rPr>
          <w:rFonts w:ascii="Times New Roman" w:hAnsi="Times New Roman" w:cs="Times New Roman"/>
          <w:sz w:val="24"/>
          <w:szCs w:val="24"/>
        </w:rPr>
      </w:pPr>
      <w:r w:rsidRPr="003278ED">
        <w:rPr>
          <w:rFonts w:ascii="Times New Roman" w:eastAsia="Calibri" w:hAnsi="Times New Roman" w:cs="Times New Roman"/>
          <w:bCs/>
          <w:sz w:val="24"/>
          <w:szCs w:val="28"/>
        </w:rPr>
        <w:t xml:space="preserve">producția </w:t>
      </w:r>
      <w:r w:rsidRPr="003278ED">
        <w:rPr>
          <w:rFonts w:ascii="Times New Roman" w:hAnsi="Times New Roman" w:cs="Times New Roman"/>
          <w:sz w:val="24"/>
          <w:szCs w:val="24"/>
        </w:rPr>
        <w:t>atelierelor curative de producție (de muncă) de pe lângă spitalele de psihiatrie ale Ministerului Sănătății, în care muncesc persoane cu dizabilități.</w:t>
      </w:r>
    </w:p>
    <w:p w14:paraId="4416E781" w14:textId="77777777" w:rsidR="00C6580D" w:rsidRPr="003278ED" w:rsidRDefault="00C6580D" w:rsidP="00A47DB5">
      <w:pPr>
        <w:spacing w:after="0" w:line="240" w:lineRule="auto"/>
        <w:ind w:firstLine="709"/>
        <w:jc w:val="both"/>
        <w:rPr>
          <w:rFonts w:ascii="Times New Roman" w:eastAsia="Times New Roman" w:hAnsi="Times New Roman" w:cs="Times New Roman"/>
          <w:b/>
          <w:i/>
          <w:sz w:val="24"/>
          <w:szCs w:val="24"/>
        </w:rPr>
      </w:pPr>
    </w:p>
    <w:p w14:paraId="3DBC26D1" w14:textId="77777777" w:rsidR="00FB1636" w:rsidRPr="003278ED" w:rsidRDefault="00FB1636" w:rsidP="00A47DB5">
      <w:pPr>
        <w:spacing w:after="0" w:line="240" w:lineRule="auto"/>
        <w:ind w:firstLine="709"/>
        <w:jc w:val="both"/>
        <w:rPr>
          <w:rFonts w:ascii="Times New Roman" w:eastAsia="Times New Roman" w:hAnsi="Times New Roman" w:cs="Times New Roman"/>
          <w:b/>
          <w:i/>
          <w:sz w:val="24"/>
          <w:szCs w:val="24"/>
        </w:rPr>
      </w:pPr>
      <w:r w:rsidRPr="003278ED">
        <w:rPr>
          <w:rFonts w:ascii="Times New Roman" w:eastAsia="Times New Roman" w:hAnsi="Times New Roman" w:cs="Times New Roman"/>
          <w:b/>
          <w:i/>
          <w:sz w:val="24"/>
          <w:szCs w:val="24"/>
        </w:rPr>
        <w:t xml:space="preserve">Accize </w:t>
      </w:r>
    </w:p>
    <w:p w14:paraId="7629E96D" w14:textId="313C655D" w:rsidR="00103EAE" w:rsidRPr="003278ED" w:rsidRDefault="00103EAE" w:rsidP="00A47DB5">
      <w:pPr>
        <w:pStyle w:val="Listparagraf"/>
        <w:tabs>
          <w:tab w:val="left" w:pos="426"/>
        </w:tabs>
        <w:spacing w:after="0" w:line="240" w:lineRule="auto"/>
        <w:ind w:left="0" w:firstLine="709"/>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Ajustarea cotelor accizelor aplicabile la pozițiile tarifare ex.</w:t>
      </w:r>
      <w:r w:rsidR="004C2B11">
        <w:rPr>
          <w:rFonts w:ascii="Times New Roman" w:eastAsia="Calibri" w:hAnsi="Times New Roman" w:cs="Times New Roman"/>
          <w:bCs/>
          <w:sz w:val="24"/>
          <w:szCs w:val="28"/>
        </w:rPr>
        <w:t xml:space="preserve"> </w:t>
      </w:r>
      <w:r w:rsidRPr="003278ED">
        <w:rPr>
          <w:rFonts w:ascii="Times New Roman" w:eastAsia="Calibri" w:hAnsi="Times New Roman" w:cs="Times New Roman"/>
          <w:bCs/>
          <w:sz w:val="24"/>
          <w:szCs w:val="28"/>
        </w:rPr>
        <w:t>2404 și 240412000 din anexa nr.</w:t>
      </w:r>
      <w:r w:rsidR="009F34DF" w:rsidRPr="003278ED">
        <w:rPr>
          <w:rFonts w:ascii="Times New Roman" w:eastAsia="Calibri" w:hAnsi="Times New Roman" w:cs="Times New Roman"/>
          <w:bCs/>
          <w:sz w:val="24"/>
          <w:szCs w:val="28"/>
        </w:rPr>
        <w:t xml:space="preserve"> </w:t>
      </w:r>
      <w:r w:rsidRPr="003278ED">
        <w:rPr>
          <w:rFonts w:ascii="Times New Roman" w:eastAsia="Calibri" w:hAnsi="Times New Roman" w:cs="Times New Roman"/>
          <w:bCs/>
          <w:sz w:val="24"/>
          <w:szCs w:val="28"/>
        </w:rPr>
        <w:t>1 la Titlul IV al Codului fiscal</w:t>
      </w:r>
      <w:r w:rsidR="008E4171" w:rsidRPr="003278ED">
        <w:rPr>
          <w:rFonts w:ascii="Times New Roman" w:eastAsia="Calibri" w:hAnsi="Times New Roman" w:cs="Times New Roman"/>
          <w:bCs/>
          <w:sz w:val="24"/>
          <w:szCs w:val="28"/>
        </w:rPr>
        <w:t xml:space="preserve"> nr. 1163/1997</w:t>
      </w:r>
      <w:r w:rsidRPr="003278ED">
        <w:rPr>
          <w:rFonts w:ascii="Times New Roman" w:eastAsia="Calibri" w:hAnsi="Times New Roman" w:cs="Times New Roman"/>
          <w:bCs/>
          <w:sz w:val="24"/>
          <w:szCs w:val="28"/>
        </w:rPr>
        <w:t>:</w:t>
      </w:r>
    </w:p>
    <w:p w14:paraId="2DAFF03A" w14:textId="2802B05E" w:rsidR="003777DB" w:rsidRPr="003278ED" w:rsidRDefault="003777DB" w:rsidP="007D3A2B">
      <w:pPr>
        <w:tabs>
          <w:tab w:val="left" w:pos="426"/>
        </w:tabs>
        <w:spacing w:after="0" w:line="240" w:lineRule="auto"/>
        <w:rPr>
          <w:rFonts w:ascii="Times New Roman" w:eastAsia="Calibri" w:hAnsi="Times New Roman" w:cs="Times New Roman"/>
          <w:bCs/>
          <w:sz w:val="24"/>
          <w:szCs w:val="28"/>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1350"/>
        <w:gridCol w:w="3328"/>
        <w:gridCol w:w="1044"/>
        <w:gridCol w:w="1243"/>
        <w:gridCol w:w="1174"/>
        <w:gridCol w:w="1178"/>
      </w:tblGrid>
      <w:tr w:rsidR="00E37AA6" w:rsidRPr="003278ED" w14:paraId="6472D380" w14:textId="77777777" w:rsidTr="009F34DF">
        <w:trPr>
          <w:jc w:val="center"/>
        </w:trPr>
        <w:tc>
          <w:tcPr>
            <w:tcW w:w="725" w:type="pct"/>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519FAD46" w14:textId="77777777" w:rsidR="00E37AA6" w:rsidRPr="003278ED" w:rsidRDefault="00E37AA6" w:rsidP="007D3A2B">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Poziția</w:t>
            </w:r>
            <w:r w:rsidRPr="003278ED">
              <w:rPr>
                <w:rFonts w:ascii="Times New Roman" w:eastAsia="Times New Roman" w:hAnsi="Times New Roman" w:cs="Times New Roman"/>
                <w:b/>
                <w:bCs/>
                <w:sz w:val="20"/>
                <w:szCs w:val="20"/>
              </w:rPr>
              <w:br/>
              <w:t>tarifară</w:t>
            </w:r>
          </w:p>
        </w:tc>
        <w:tc>
          <w:tcPr>
            <w:tcW w:w="1786" w:type="pct"/>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75C725DA" w14:textId="77777777" w:rsidR="00E37AA6" w:rsidRPr="003278ED" w:rsidRDefault="00E37AA6" w:rsidP="007D3A2B">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Denumirea mărfii</w:t>
            </w:r>
          </w:p>
        </w:tc>
        <w:tc>
          <w:tcPr>
            <w:tcW w:w="560" w:type="pct"/>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14:paraId="74040AB6" w14:textId="71F4948D" w:rsidR="00D41830" w:rsidRPr="003278ED" w:rsidRDefault="00E37AA6" w:rsidP="007D3A2B">
            <w:pPr>
              <w:spacing w:after="0" w:line="240" w:lineRule="auto"/>
              <w:jc w:val="center"/>
              <w:rPr>
                <w:rFonts w:ascii="Times New Roman" w:eastAsia="Times New Roman" w:hAnsi="Times New Roman" w:cs="Times New Roman"/>
                <w:b/>
                <w:bCs/>
                <w:sz w:val="20"/>
                <w:szCs w:val="20"/>
              </w:rPr>
            </w:pPr>
            <w:r w:rsidRPr="003278ED">
              <w:rPr>
                <w:rFonts w:ascii="Times New Roman" w:eastAsia="Times New Roman" w:hAnsi="Times New Roman" w:cs="Times New Roman"/>
                <w:b/>
                <w:bCs/>
                <w:sz w:val="20"/>
                <w:szCs w:val="20"/>
              </w:rPr>
              <w:t>Unitatea</w:t>
            </w:r>
          </w:p>
          <w:p w14:paraId="5A1BE552" w14:textId="77777777" w:rsidR="00E37AA6" w:rsidRPr="003278ED" w:rsidRDefault="00E37AA6" w:rsidP="007D3A2B">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de</w:t>
            </w:r>
            <w:r w:rsidRPr="003278ED">
              <w:rPr>
                <w:rFonts w:ascii="Times New Roman" w:eastAsia="Times New Roman" w:hAnsi="Times New Roman" w:cs="Times New Roman"/>
                <w:b/>
                <w:bCs/>
                <w:sz w:val="20"/>
                <w:szCs w:val="20"/>
              </w:rPr>
              <w:br/>
              <w:t>măsură</w:t>
            </w:r>
          </w:p>
        </w:tc>
        <w:tc>
          <w:tcPr>
            <w:tcW w:w="1929" w:type="pct"/>
            <w:gridSpan w:val="3"/>
            <w:tcBorders>
              <w:top w:val="single" w:sz="6" w:space="0" w:color="000000"/>
              <w:left w:val="single" w:sz="6" w:space="0" w:color="000000"/>
              <w:bottom w:val="single" w:sz="6" w:space="0" w:color="000000"/>
              <w:right w:val="single" w:sz="6" w:space="0" w:color="000000"/>
            </w:tcBorders>
            <w:shd w:val="clear" w:color="auto" w:fill="FFFFFF" w:themeFill="background1"/>
          </w:tcPr>
          <w:p w14:paraId="7B3968B5" w14:textId="77777777" w:rsidR="00E37AA6" w:rsidRPr="003278ED" w:rsidRDefault="00E37AA6" w:rsidP="007D3A2B">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Cota accizelor</w:t>
            </w:r>
          </w:p>
        </w:tc>
      </w:tr>
      <w:tr w:rsidR="00E37AA6" w:rsidRPr="003278ED" w14:paraId="78466849" w14:textId="77777777" w:rsidTr="009F34DF">
        <w:trPr>
          <w:trHeight w:val="372"/>
          <w:jc w:val="center"/>
        </w:trPr>
        <w:tc>
          <w:tcPr>
            <w:tcW w:w="725" w:type="pct"/>
            <w:vMerge/>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2428B722" w14:textId="77777777" w:rsidR="00E37AA6" w:rsidRPr="003278ED" w:rsidRDefault="00E37AA6" w:rsidP="007D3A2B">
            <w:pPr>
              <w:spacing w:after="0" w:line="240" w:lineRule="auto"/>
              <w:rPr>
                <w:rFonts w:ascii="Times New Roman" w:eastAsia="Times New Roman" w:hAnsi="Times New Roman" w:cs="Times New Roman"/>
                <w:sz w:val="20"/>
                <w:szCs w:val="20"/>
              </w:rPr>
            </w:pPr>
          </w:p>
        </w:tc>
        <w:tc>
          <w:tcPr>
            <w:tcW w:w="1786" w:type="pct"/>
            <w:vMerge/>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490660D4" w14:textId="77777777" w:rsidR="00E37AA6" w:rsidRPr="003278ED" w:rsidRDefault="00E37AA6" w:rsidP="007D3A2B">
            <w:pPr>
              <w:spacing w:after="0" w:line="240" w:lineRule="auto"/>
              <w:rPr>
                <w:rFonts w:ascii="Times New Roman" w:eastAsia="Times New Roman" w:hAnsi="Times New Roman" w:cs="Times New Roman"/>
                <w:sz w:val="20"/>
                <w:szCs w:val="20"/>
              </w:rPr>
            </w:pPr>
          </w:p>
        </w:tc>
        <w:tc>
          <w:tcPr>
            <w:tcW w:w="560" w:type="pct"/>
            <w:vMerge/>
            <w:tcBorders>
              <w:top w:val="single" w:sz="6" w:space="0" w:color="000000"/>
              <w:left w:val="single" w:sz="6" w:space="0" w:color="000000"/>
              <w:bottom w:val="single" w:sz="6" w:space="0" w:color="000000"/>
              <w:right w:val="single" w:sz="6" w:space="0" w:color="000000"/>
            </w:tcBorders>
            <w:shd w:val="clear" w:color="auto" w:fill="FFFFFF" w:themeFill="background1"/>
            <w:hideMark/>
          </w:tcPr>
          <w:p w14:paraId="14BD77D0" w14:textId="77777777" w:rsidR="00E37AA6" w:rsidRPr="003278ED" w:rsidRDefault="00E37AA6" w:rsidP="007D3A2B">
            <w:pPr>
              <w:spacing w:after="0" w:line="240" w:lineRule="auto"/>
              <w:rPr>
                <w:rFonts w:ascii="Times New Roman" w:eastAsia="Times New Roman" w:hAnsi="Times New Roman" w:cs="Times New Roman"/>
                <w:sz w:val="20"/>
                <w:szCs w:val="20"/>
              </w:rPr>
            </w:pPr>
          </w:p>
        </w:tc>
        <w:tc>
          <w:tcPr>
            <w:tcW w:w="667" w:type="pct"/>
            <w:tcBorders>
              <w:top w:val="single" w:sz="6" w:space="0" w:color="000000"/>
              <w:left w:val="single" w:sz="4" w:space="0" w:color="auto"/>
              <w:bottom w:val="single" w:sz="6" w:space="0" w:color="000000"/>
              <w:right w:val="single" w:sz="4" w:space="0" w:color="auto"/>
            </w:tcBorders>
            <w:shd w:val="clear" w:color="auto" w:fill="FFFFFF" w:themeFill="background1"/>
          </w:tcPr>
          <w:p w14:paraId="43AA3563" w14:textId="77777777" w:rsidR="00E37AA6" w:rsidRPr="003278ED" w:rsidRDefault="00E37AA6" w:rsidP="008E4171">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Anul</w:t>
            </w:r>
            <w:r w:rsidRPr="003278ED">
              <w:rPr>
                <w:rFonts w:ascii="Times New Roman" w:eastAsia="Times New Roman" w:hAnsi="Times New Roman" w:cs="Times New Roman"/>
                <w:b/>
                <w:bCs/>
                <w:sz w:val="20"/>
                <w:szCs w:val="20"/>
              </w:rPr>
              <w:br/>
              <w:t>2024</w:t>
            </w:r>
          </w:p>
        </w:tc>
        <w:tc>
          <w:tcPr>
            <w:tcW w:w="630" w:type="pct"/>
            <w:tcBorders>
              <w:top w:val="single" w:sz="6" w:space="0" w:color="000000"/>
              <w:left w:val="single" w:sz="4" w:space="0" w:color="auto"/>
              <w:bottom w:val="single" w:sz="6" w:space="0" w:color="000000"/>
              <w:right w:val="single" w:sz="6" w:space="0" w:color="000000"/>
            </w:tcBorders>
            <w:shd w:val="clear" w:color="auto" w:fill="FFFFFF" w:themeFill="background1"/>
          </w:tcPr>
          <w:p w14:paraId="73CEF419" w14:textId="77777777" w:rsidR="00E37AA6" w:rsidRPr="003278ED" w:rsidRDefault="00E37AA6" w:rsidP="008E4171">
            <w:pPr>
              <w:spacing w:after="0" w:line="240" w:lineRule="auto"/>
              <w:jc w:val="center"/>
              <w:rPr>
                <w:rFonts w:ascii="Times New Roman" w:eastAsia="Times New Roman" w:hAnsi="Times New Roman" w:cs="Times New Roman"/>
                <w:sz w:val="20"/>
                <w:szCs w:val="20"/>
              </w:rPr>
            </w:pPr>
            <w:r w:rsidRPr="003278ED">
              <w:rPr>
                <w:rFonts w:ascii="Times New Roman" w:eastAsia="Times New Roman" w:hAnsi="Times New Roman" w:cs="Times New Roman"/>
                <w:b/>
                <w:bCs/>
                <w:sz w:val="20"/>
                <w:szCs w:val="20"/>
              </w:rPr>
              <w:t>Anul</w:t>
            </w:r>
            <w:r w:rsidRPr="003278ED">
              <w:rPr>
                <w:rFonts w:ascii="Times New Roman" w:eastAsia="Times New Roman" w:hAnsi="Times New Roman" w:cs="Times New Roman"/>
                <w:b/>
                <w:bCs/>
                <w:sz w:val="20"/>
                <w:szCs w:val="20"/>
              </w:rPr>
              <w:br/>
              <w:t>2025</w:t>
            </w:r>
          </w:p>
        </w:tc>
        <w:tc>
          <w:tcPr>
            <w:tcW w:w="633" w:type="pct"/>
            <w:tcBorders>
              <w:top w:val="single" w:sz="6" w:space="0" w:color="000000"/>
              <w:left w:val="single" w:sz="4" w:space="0" w:color="auto"/>
              <w:bottom w:val="single" w:sz="6" w:space="0" w:color="000000"/>
              <w:right w:val="single" w:sz="6" w:space="0" w:color="000000"/>
            </w:tcBorders>
            <w:shd w:val="clear" w:color="auto" w:fill="FFFFFF" w:themeFill="background1"/>
          </w:tcPr>
          <w:p w14:paraId="65775AD1" w14:textId="77777777" w:rsidR="00E37AA6" w:rsidRPr="003278ED" w:rsidRDefault="00E37AA6" w:rsidP="008E4171">
            <w:pPr>
              <w:spacing w:after="0" w:line="240" w:lineRule="auto"/>
              <w:jc w:val="center"/>
              <w:rPr>
                <w:rFonts w:ascii="Times New Roman" w:eastAsia="Times New Roman" w:hAnsi="Times New Roman" w:cs="Times New Roman"/>
                <w:b/>
                <w:bCs/>
                <w:sz w:val="20"/>
                <w:szCs w:val="20"/>
              </w:rPr>
            </w:pPr>
            <w:r w:rsidRPr="003278ED">
              <w:rPr>
                <w:rFonts w:ascii="Times New Roman" w:eastAsia="Times New Roman" w:hAnsi="Times New Roman" w:cs="Times New Roman"/>
                <w:b/>
                <w:bCs/>
                <w:sz w:val="20"/>
                <w:szCs w:val="20"/>
              </w:rPr>
              <w:t>Anul</w:t>
            </w:r>
          </w:p>
          <w:p w14:paraId="2EE3E7F5" w14:textId="77777777" w:rsidR="00E37AA6" w:rsidRPr="003278ED" w:rsidRDefault="00E37AA6" w:rsidP="008E4171">
            <w:pPr>
              <w:spacing w:after="0" w:line="240" w:lineRule="auto"/>
              <w:jc w:val="center"/>
              <w:rPr>
                <w:rFonts w:ascii="Times New Roman" w:eastAsia="Times New Roman" w:hAnsi="Times New Roman" w:cs="Times New Roman"/>
                <w:b/>
                <w:bCs/>
                <w:sz w:val="20"/>
                <w:szCs w:val="20"/>
              </w:rPr>
            </w:pPr>
            <w:r w:rsidRPr="003278ED">
              <w:rPr>
                <w:rFonts w:ascii="Times New Roman" w:eastAsia="Times New Roman" w:hAnsi="Times New Roman" w:cs="Times New Roman"/>
                <w:b/>
                <w:bCs/>
                <w:sz w:val="20"/>
                <w:szCs w:val="20"/>
              </w:rPr>
              <w:t>2026</w:t>
            </w:r>
          </w:p>
        </w:tc>
      </w:tr>
      <w:tr w:rsidR="00E37AA6" w:rsidRPr="003278ED" w14:paraId="3D5AFF9A" w14:textId="77777777" w:rsidTr="001274A1">
        <w:trPr>
          <w:trHeight w:val="508"/>
          <w:jc w:val="center"/>
        </w:trPr>
        <w:tc>
          <w:tcPr>
            <w:tcW w:w="725"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401BA0E5"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ex. 2404</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7EF84C13"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Rezerve din tutun pentru dispozitive de încălzire a tutunului</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168B81C5"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 xml:space="preserve">1000 bucăți </w:t>
            </w:r>
          </w:p>
        </w:tc>
        <w:tc>
          <w:tcPr>
            <w:tcW w:w="667" w:type="pct"/>
            <w:tcBorders>
              <w:top w:val="single" w:sz="6" w:space="0" w:color="000000"/>
              <w:left w:val="single" w:sz="4" w:space="0" w:color="auto"/>
              <w:bottom w:val="single" w:sz="6" w:space="0" w:color="000000"/>
              <w:right w:val="single" w:sz="4" w:space="0" w:color="auto"/>
            </w:tcBorders>
          </w:tcPr>
          <w:p w14:paraId="00FE28A1" w14:textId="77777777" w:rsidR="00E37AA6" w:rsidRPr="003278ED" w:rsidRDefault="00E37AA6" w:rsidP="007D3A2B">
            <w:pPr>
              <w:spacing w:after="0" w:line="240" w:lineRule="auto"/>
              <w:rPr>
                <w:rFonts w:ascii="Times New Roman" w:eastAsia="Calibri" w:hAnsi="Times New Roman" w:cs="Times New Roman"/>
              </w:rPr>
            </w:pPr>
            <w:r w:rsidRPr="003278ED">
              <w:rPr>
                <w:rFonts w:ascii="Times New Roman" w:eastAsia="Times New Roman" w:hAnsi="Times New Roman" w:cs="Times New Roman"/>
                <w:sz w:val="20"/>
                <w:szCs w:val="20"/>
              </w:rPr>
              <w:t>1</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318,62 lei</w:t>
            </w:r>
          </w:p>
        </w:tc>
        <w:tc>
          <w:tcPr>
            <w:tcW w:w="630" w:type="pct"/>
            <w:tcBorders>
              <w:top w:val="single" w:sz="6" w:space="0" w:color="000000"/>
              <w:left w:val="single" w:sz="4" w:space="0" w:color="auto"/>
              <w:bottom w:val="single" w:sz="6" w:space="0" w:color="000000"/>
              <w:right w:val="single" w:sz="6" w:space="0" w:color="000000"/>
            </w:tcBorders>
          </w:tcPr>
          <w:p w14:paraId="31695599"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1</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377,96 lei</w:t>
            </w:r>
          </w:p>
        </w:tc>
        <w:tc>
          <w:tcPr>
            <w:tcW w:w="633" w:type="pct"/>
            <w:tcBorders>
              <w:top w:val="single" w:sz="6" w:space="0" w:color="000000"/>
              <w:left w:val="single" w:sz="4" w:space="0" w:color="auto"/>
              <w:bottom w:val="single" w:sz="6" w:space="0" w:color="000000"/>
              <w:right w:val="single" w:sz="6" w:space="0" w:color="000000"/>
            </w:tcBorders>
          </w:tcPr>
          <w:p w14:paraId="31058F66" w14:textId="77777777" w:rsidR="00E37AA6" w:rsidRPr="003278ED" w:rsidRDefault="00E37AA6" w:rsidP="007D3A2B">
            <w:pPr>
              <w:spacing w:after="0" w:line="240" w:lineRule="auto"/>
              <w:rPr>
                <w:rFonts w:ascii="Times New Roman" w:eastAsia="Calibri" w:hAnsi="Times New Roman" w:cs="Times New Roman"/>
              </w:rPr>
            </w:pPr>
            <w:r w:rsidRPr="003278ED">
              <w:rPr>
                <w:rFonts w:ascii="Times New Roman" w:eastAsia="Times New Roman" w:hAnsi="Times New Roman" w:cs="Times New Roman"/>
                <w:sz w:val="20"/>
                <w:szCs w:val="20"/>
              </w:rPr>
              <w:t>1</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515,75 lei</w:t>
            </w:r>
          </w:p>
        </w:tc>
      </w:tr>
      <w:tr w:rsidR="00E37AA6" w:rsidRPr="003278ED" w14:paraId="47265105" w14:textId="77777777" w:rsidTr="001274A1">
        <w:trPr>
          <w:trHeight w:val="773"/>
          <w:jc w:val="center"/>
        </w:trPr>
        <w:tc>
          <w:tcPr>
            <w:tcW w:w="725"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670C9A56"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ex. 2404</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6989C03D"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Cartușe și rezerve pentru țigarete electronice, inclusiv țigarete electronice de unică folosință</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hideMark/>
          </w:tcPr>
          <w:p w14:paraId="64A0CCAF"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litru</w:t>
            </w:r>
          </w:p>
        </w:tc>
        <w:tc>
          <w:tcPr>
            <w:tcW w:w="667" w:type="pct"/>
            <w:tcBorders>
              <w:top w:val="single" w:sz="6" w:space="0" w:color="000000"/>
              <w:left w:val="single" w:sz="4" w:space="0" w:color="auto"/>
              <w:bottom w:val="single" w:sz="6" w:space="0" w:color="000000"/>
              <w:right w:val="single" w:sz="4" w:space="0" w:color="auto"/>
            </w:tcBorders>
          </w:tcPr>
          <w:p w14:paraId="07D93E54" w14:textId="77777777" w:rsidR="00E37AA6" w:rsidRPr="003278ED" w:rsidRDefault="00E37AA6" w:rsidP="007D3A2B">
            <w:pPr>
              <w:spacing w:after="0" w:line="240" w:lineRule="auto"/>
              <w:rPr>
                <w:rFonts w:ascii="Times New Roman" w:eastAsia="Calibri" w:hAnsi="Times New Roman" w:cs="Times New Roman"/>
              </w:rPr>
            </w:pPr>
            <w:r w:rsidRPr="003278ED">
              <w:rPr>
                <w:rFonts w:ascii="Times New Roman" w:eastAsia="Times New Roman" w:hAnsi="Times New Roman" w:cs="Times New Roman"/>
                <w:sz w:val="20"/>
                <w:szCs w:val="20"/>
              </w:rPr>
              <w:t>2</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690,87 lei</w:t>
            </w:r>
          </w:p>
        </w:tc>
        <w:tc>
          <w:tcPr>
            <w:tcW w:w="630" w:type="pct"/>
            <w:tcBorders>
              <w:top w:val="single" w:sz="6" w:space="0" w:color="000000"/>
              <w:left w:val="single" w:sz="4" w:space="0" w:color="auto"/>
              <w:bottom w:val="single" w:sz="6" w:space="0" w:color="000000"/>
              <w:right w:val="single" w:sz="6" w:space="0" w:color="000000"/>
            </w:tcBorders>
          </w:tcPr>
          <w:p w14:paraId="3438CD72"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3</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107,96 lei</w:t>
            </w:r>
          </w:p>
        </w:tc>
        <w:tc>
          <w:tcPr>
            <w:tcW w:w="633" w:type="pct"/>
            <w:tcBorders>
              <w:top w:val="single" w:sz="6" w:space="0" w:color="000000"/>
              <w:left w:val="single" w:sz="4" w:space="0" w:color="auto"/>
              <w:bottom w:val="single" w:sz="6" w:space="0" w:color="000000"/>
              <w:right w:val="single" w:sz="6" w:space="0" w:color="000000"/>
            </w:tcBorders>
          </w:tcPr>
          <w:p w14:paraId="022E5959" w14:textId="77777777" w:rsidR="00E37AA6" w:rsidRPr="003278ED" w:rsidRDefault="00E37AA6" w:rsidP="007D3A2B">
            <w:pPr>
              <w:spacing w:after="0" w:line="240" w:lineRule="auto"/>
              <w:rPr>
                <w:rFonts w:ascii="Times New Roman" w:eastAsia="Calibri" w:hAnsi="Times New Roman" w:cs="Times New Roman"/>
              </w:rPr>
            </w:pPr>
            <w:r w:rsidRPr="003278ED">
              <w:rPr>
                <w:rFonts w:ascii="Times New Roman" w:eastAsia="Times New Roman" w:hAnsi="Times New Roman" w:cs="Times New Roman"/>
                <w:sz w:val="20"/>
                <w:szCs w:val="20"/>
              </w:rPr>
              <w:t>3</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418,76 lei</w:t>
            </w:r>
          </w:p>
        </w:tc>
      </w:tr>
      <w:tr w:rsidR="00E37AA6" w:rsidRPr="003278ED" w14:paraId="7535C7CF" w14:textId="77777777" w:rsidTr="001274A1">
        <w:trPr>
          <w:trHeight w:val="660"/>
          <w:jc w:val="center"/>
        </w:trPr>
        <w:tc>
          <w:tcPr>
            <w:tcW w:w="725"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tcPr>
          <w:p w14:paraId="23FF14AC"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240412000</w:t>
            </w:r>
          </w:p>
        </w:tc>
        <w:tc>
          <w:tcPr>
            <w:tcW w:w="1786"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tcPr>
          <w:p w14:paraId="0BC8CB87"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Flacoane de reumplere care conțin nicotină destinate cartușelor și țigaretelor electronice</w:t>
            </w:r>
          </w:p>
        </w:tc>
        <w:tc>
          <w:tcPr>
            <w:tcW w:w="560" w:type="pct"/>
            <w:tcBorders>
              <w:top w:val="single" w:sz="6" w:space="0" w:color="000000"/>
              <w:left w:val="single" w:sz="6" w:space="0" w:color="000000"/>
              <w:bottom w:val="single" w:sz="6" w:space="0" w:color="000000"/>
              <w:right w:val="single" w:sz="6" w:space="0" w:color="000000"/>
            </w:tcBorders>
            <w:tcMar>
              <w:top w:w="24" w:type="dxa"/>
              <w:left w:w="45" w:type="dxa"/>
              <w:bottom w:w="24" w:type="dxa"/>
              <w:right w:w="45" w:type="dxa"/>
            </w:tcMar>
          </w:tcPr>
          <w:p w14:paraId="3134A0A2"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litru</w:t>
            </w:r>
          </w:p>
        </w:tc>
        <w:tc>
          <w:tcPr>
            <w:tcW w:w="667" w:type="pct"/>
            <w:tcBorders>
              <w:top w:val="single" w:sz="6" w:space="0" w:color="000000"/>
              <w:left w:val="single" w:sz="4" w:space="0" w:color="auto"/>
              <w:bottom w:val="single" w:sz="6" w:space="0" w:color="000000"/>
              <w:right w:val="single" w:sz="4" w:space="0" w:color="auto"/>
            </w:tcBorders>
          </w:tcPr>
          <w:p w14:paraId="4B032F3B"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2</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690,87 lei</w:t>
            </w:r>
          </w:p>
        </w:tc>
        <w:tc>
          <w:tcPr>
            <w:tcW w:w="630" w:type="pct"/>
            <w:tcBorders>
              <w:top w:val="single" w:sz="6" w:space="0" w:color="000000"/>
              <w:left w:val="single" w:sz="4" w:space="0" w:color="auto"/>
              <w:bottom w:val="single" w:sz="6" w:space="0" w:color="000000"/>
              <w:right w:val="single" w:sz="6" w:space="0" w:color="000000"/>
            </w:tcBorders>
          </w:tcPr>
          <w:p w14:paraId="5437D61B"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3</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107,96 lei</w:t>
            </w:r>
          </w:p>
        </w:tc>
        <w:tc>
          <w:tcPr>
            <w:tcW w:w="633" w:type="pct"/>
            <w:tcBorders>
              <w:top w:val="single" w:sz="6" w:space="0" w:color="000000"/>
              <w:left w:val="single" w:sz="4" w:space="0" w:color="auto"/>
              <w:bottom w:val="single" w:sz="6" w:space="0" w:color="000000"/>
              <w:right w:val="single" w:sz="6" w:space="0" w:color="000000"/>
            </w:tcBorders>
          </w:tcPr>
          <w:p w14:paraId="7D1DA452" w14:textId="77777777" w:rsidR="00E37AA6" w:rsidRPr="003278ED" w:rsidRDefault="00E37AA6" w:rsidP="007D3A2B">
            <w:pPr>
              <w:spacing w:after="0" w:line="240" w:lineRule="auto"/>
              <w:rPr>
                <w:rFonts w:ascii="Times New Roman" w:eastAsia="Times New Roman" w:hAnsi="Times New Roman" w:cs="Times New Roman"/>
                <w:sz w:val="20"/>
                <w:szCs w:val="20"/>
              </w:rPr>
            </w:pPr>
            <w:r w:rsidRPr="003278ED">
              <w:rPr>
                <w:rFonts w:ascii="Times New Roman" w:eastAsia="Times New Roman" w:hAnsi="Times New Roman" w:cs="Times New Roman"/>
                <w:sz w:val="20"/>
                <w:szCs w:val="20"/>
              </w:rPr>
              <w:t>3</w:t>
            </w:r>
            <w:r w:rsidR="00DE29AC" w:rsidRPr="003278ED">
              <w:rPr>
                <w:rFonts w:ascii="Times New Roman" w:eastAsia="Times New Roman" w:hAnsi="Times New Roman" w:cs="Times New Roman"/>
                <w:sz w:val="20"/>
                <w:szCs w:val="20"/>
              </w:rPr>
              <w:t xml:space="preserve"> </w:t>
            </w:r>
            <w:r w:rsidRPr="003278ED">
              <w:rPr>
                <w:rFonts w:ascii="Times New Roman" w:eastAsia="Times New Roman" w:hAnsi="Times New Roman" w:cs="Times New Roman"/>
                <w:sz w:val="20"/>
                <w:szCs w:val="20"/>
              </w:rPr>
              <w:t>418,76 lei</w:t>
            </w:r>
          </w:p>
        </w:tc>
      </w:tr>
    </w:tbl>
    <w:p w14:paraId="2B3F514D" w14:textId="77777777" w:rsidR="00103EAE" w:rsidRPr="003278ED" w:rsidRDefault="00103EAE" w:rsidP="007D3A2B">
      <w:pPr>
        <w:pStyle w:val="Listparagraf"/>
        <w:tabs>
          <w:tab w:val="left" w:pos="426"/>
        </w:tabs>
        <w:spacing w:after="0" w:line="240" w:lineRule="auto"/>
        <w:ind w:left="0" w:firstLine="567"/>
        <w:rPr>
          <w:rFonts w:ascii="Times New Roman" w:eastAsia="Calibri" w:hAnsi="Times New Roman" w:cs="Times New Roman"/>
          <w:bCs/>
          <w:sz w:val="24"/>
          <w:szCs w:val="28"/>
        </w:rPr>
      </w:pPr>
    </w:p>
    <w:p w14:paraId="371ECF9D" w14:textId="77777777" w:rsidR="007D11F5" w:rsidRPr="003278ED" w:rsidRDefault="007D11F5" w:rsidP="00A47DB5">
      <w:pPr>
        <w:pStyle w:val="Listparagraf"/>
        <w:tabs>
          <w:tab w:val="left" w:pos="426"/>
          <w:tab w:val="left" w:pos="993"/>
        </w:tabs>
        <w:spacing w:after="0" w:line="240" w:lineRule="auto"/>
        <w:ind w:left="0" w:firstLine="709"/>
        <w:rPr>
          <w:rFonts w:ascii="Times New Roman" w:eastAsia="Calibri" w:hAnsi="Times New Roman" w:cs="Times New Roman"/>
          <w:b/>
          <w:bCs/>
          <w:sz w:val="24"/>
          <w:szCs w:val="28"/>
        </w:rPr>
      </w:pPr>
      <w:r w:rsidRPr="003278ED">
        <w:rPr>
          <w:rFonts w:ascii="Times New Roman" w:eastAsia="Calibri" w:hAnsi="Times New Roman" w:cs="Times New Roman"/>
          <w:b/>
          <w:bCs/>
          <w:sz w:val="24"/>
          <w:szCs w:val="28"/>
        </w:rPr>
        <w:t>Obiective de politici fiscale de ordin general</w:t>
      </w:r>
    </w:p>
    <w:p w14:paraId="340F8F4E" w14:textId="77777777" w:rsidR="007D11F5" w:rsidRPr="003278ED" w:rsidRDefault="007D11F5" w:rsidP="00A47DB5">
      <w:pPr>
        <w:pStyle w:val="Listparagraf"/>
        <w:tabs>
          <w:tab w:val="left" w:pos="426"/>
          <w:tab w:val="left" w:pos="993"/>
        </w:tabs>
        <w:spacing w:after="0" w:line="240" w:lineRule="auto"/>
        <w:ind w:left="0" w:firstLine="709"/>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Armonizarea legislației fiscale în conformitate cu Directivele UE.</w:t>
      </w:r>
    </w:p>
    <w:p w14:paraId="65A66AA4" w14:textId="77777777" w:rsidR="009F34DF" w:rsidRPr="003278ED" w:rsidRDefault="009F34DF" w:rsidP="00A47DB5">
      <w:pPr>
        <w:tabs>
          <w:tab w:val="left" w:pos="709"/>
        </w:tabs>
        <w:spacing w:after="0" w:line="240" w:lineRule="auto"/>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ab/>
      </w:r>
    </w:p>
    <w:p w14:paraId="53F971EF" w14:textId="44F251B0" w:rsidR="004A189D" w:rsidRPr="003278ED" w:rsidRDefault="009F34DF" w:rsidP="00A47DB5">
      <w:pPr>
        <w:tabs>
          <w:tab w:val="left" w:pos="709"/>
        </w:tabs>
        <w:spacing w:after="0" w:line="240" w:lineRule="auto"/>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ab/>
      </w:r>
      <w:r w:rsidR="00075A90" w:rsidRPr="003278ED">
        <w:rPr>
          <w:rFonts w:ascii="Times New Roman" w:eastAsia="Times New Roman" w:hAnsi="Times New Roman" w:cs="Times New Roman"/>
          <w:b/>
          <w:sz w:val="24"/>
          <w:szCs w:val="24"/>
        </w:rPr>
        <w:t>Obi</w:t>
      </w:r>
      <w:r w:rsidR="00DA6947" w:rsidRPr="003278ED">
        <w:rPr>
          <w:rFonts w:ascii="Times New Roman" w:eastAsia="Times New Roman" w:hAnsi="Times New Roman" w:cs="Times New Roman"/>
          <w:b/>
          <w:sz w:val="24"/>
          <w:szCs w:val="24"/>
        </w:rPr>
        <w:t xml:space="preserve">ectivele politicii </w:t>
      </w:r>
      <w:r w:rsidR="00075A90" w:rsidRPr="003278ED">
        <w:rPr>
          <w:rFonts w:ascii="Times New Roman" w:eastAsia="Times New Roman" w:hAnsi="Times New Roman" w:cs="Times New Roman"/>
          <w:b/>
          <w:sz w:val="24"/>
          <w:szCs w:val="24"/>
        </w:rPr>
        <w:t>de administrare fiscală</w:t>
      </w:r>
      <w:r w:rsidR="00DA6947" w:rsidRPr="003278ED">
        <w:rPr>
          <w:rFonts w:ascii="Times New Roman" w:eastAsia="Times New Roman" w:hAnsi="Times New Roman" w:cs="Times New Roman"/>
          <w:b/>
          <w:sz w:val="24"/>
          <w:szCs w:val="24"/>
        </w:rPr>
        <w:t xml:space="preserve"> </w:t>
      </w:r>
      <w:r w:rsidR="002E1447" w:rsidRPr="003278ED">
        <w:rPr>
          <w:rFonts w:ascii="Times New Roman" w:eastAsia="Times New Roman" w:hAnsi="Times New Roman" w:cs="Times New Roman"/>
          <w:b/>
          <w:sz w:val="24"/>
          <w:szCs w:val="24"/>
        </w:rPr>
        <w:t>2025-2027</w:t>
      </w:r>
    </w:p>
    <w:p w14:paraId="2394CC6C" w14:textId="77777777" w:rsidR="00DA6947" w:rsidRPr="003278ED" w:rsidRDefault="00DA6947" w:rsidP="00A47DB5">
      <w:pPr>
        <w:tabs>
          <w:tab w:val="left" w:pos="426"/>
          <w:tab w:val="left" w:pos="993"/>
          <w:tab w:val="left" w:pos="1134"/>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Combaterea evaziunii și fraudei fiscale:</w:t>
      </w:r>
    </w:p>
    <w:p w14:paraId="1E73029C" w14:textId="461E6D0F"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i</w:t>
      </w:r>
      <w:r w:rsidR="00DA6947" w:rsidRPr="003278ED">
        <w:rPr>
          <w:rFonts w:ascii="Times New Roman" w:eastAsia="Calibri" w:hAnsi="Times New Roman" w:cs="Times New Roman"/>
          <w:bCs/>
          <w:sz w:val="24"/>
          <w:szCs w:val="28"/>
        </w:rPr>
        <w:t>mplementarea legislației prețurilor de tr</w:t>
      </w:r>
      <w:r w:rsidRPr="003278ED">
        <w:rPr>
          <w:rFonts w:ascii="Times New Roman" w:eastAsia="Calibri" w:hAnsi="Times New Roman" w:cs="Times New Roman"/>
          <w:bCs/>
          <w:sz w:val="24"/>
          <w:szCs w:val="28"/>
        </w:rPr>
        <w:t xml:space="preserve">ansfer și a regulilor </w:t>
      </w:r>
      <w:proofErr w:type="spellStart"/>
      <w:r w:rsidRPr="003278ED">
        <w:rPr>
          <w:rFonts w:ascii="Times New Roman" w:eastAsia="Calibri" w:hAnsi="Times New Roman" w:cs="Times New Roman"/>
          <w:bCs/>
          <w:sz w:val="24"/>
          <w:szCs w:val="28"/>
        </w:rPr>
        <w:t>anti</w:t>
      </w:r>
      <w:r w:rsidR="00204A4A" w:rsidRPr="003278ED">
        <w:rPr>
          <w:rFonts w:ascii="Times New Roman" w:eastAsia="Calibri" w:hAnsi="Times New Roman" w:cs="Times New Roman"/>
          <w:bCs/>
          <w:sz w:val="24"/>
          <w:szCs w:val="28"/>
        </w:rPr>
        <w:t>abuz</w:t>
      </w:r>
      <w:proofErr w:type="spellEnd"/>
      <w:r w:rsidR="00204A4A" w:rsidRPr="003278ED">
        <w:rPr>
          <w:rFonts w:ascii="Times New Roman" w:eastAsia="Calibri" w:hAnsi="Times New Roman" w:cs="Times New Roman"/>
          <w:bCs/>
          <w:sz w:val="24"/>
          <w:szCs w:val="28"/>
        </w:rPr>
        <w:t>;</w:t>
      </w:r>
    </w:p>
    <w:p w14:paraId="3D37D711" w14:textId="45AAD203"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implementarea s</w:t>
      </w:r>
      <w:r w:rsidR="00DA6947" w:rsidRPr="003278ED">
        <w:rPr>
          <w:rFonts w:ascii="Times New Roman" w:eastAsia="Calibri" w:hAnsi="Times New Roman" w:cs="Times New Roman"/>
          <w:bCs/>
          <w:sz w:val="24"/>
          <w:szCs w:val="28"/>
        </w:rPr>
        <w:t xml:space="preserve">tandardelor minime BEPS ca urmare </w:t>
      </w:r>
      <w:r w:rsidRPr="003278ED">
        <w:rPr>
          <w:rFonts w:ascii="Times New Roman" w:eastAsia="Calibri" w:hAnsi="Times New Roman" w:cs="Times New Roman"/>
          <w:bCs/>
          <w:sz w:val="24"/>
          <w:szCs w:val="28"/>
        </w:rPr>
        <w:t xml:space="preserve">a </w:t>
      </w:r>
      <w:r w:rsidR="00DA6947" w:rsidRPr="003278ED">
        <w:rPr>
          <w:rFonts w:ascii="Times New Roman" w:eastAsia="Calibri" w:hAnsi="Times New Roman" w:cs="Times New Roman"/>
          <w:bCs/>
          <w:sz w:val="24"/>
          <w:szCs w:val="28"/>
        </w:rPr>
        <w:t xml:space="preserve">aderării la cadrul incluziv al </w:t>
      </w:r>
      <w:r w:rsidR="00204A4A" w:rsidRPr="003278ED">
        <w:rPr>
          <w:rFonts w:ascii="Times New Roman" w:eastAsia="Calibri" w:hAnsi="Times New Roman" w:cs="Times New Roman"/>
          <w:bCs/>
          <w:sz w:val="24"/>
          <w:szCs w:val="28"/>
        </w:rPr>
        <w:t>OCDE;</w:t>
      </w:r>
    </w:p>
    <w:p w14:paraId="22426A17" w14:textId="648A703F"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e</w:t>
      </w:r>
      <w:r w:rsidR="00DA6947" w:rsidRPr="003278ED">
        <w:rPr>
          <w:rFonts w:ascii="Times New Roman" w:eastAsia="Calibri" w:hAnsi="Times New Roman" w:cs="Times New Roman"/>
          <w:bCs/>
          <w:sz w:val="24"/>
          <w:szCs w:val="28"/>
        </w:rPr>
        <w:t>xtinderea sistemului de monito</w:t>
      </w:r>
      <w:r w:rsidR="00204A4A" w:rsidRPr="003278ED">
        <w:rPr>
          <w:rFonts w:ascii="Times New Roman" w:eastAsia="Calibri" w:hAnsi="Times New Roman" w:cs="Times New Roman"/>
          <w:bCs/>
          <w:sz w:val="24"/>
          <w:szCs w:val="28"/>
        </w:rPr>
        <w:t>rizare electronică a vânzărilor;</w:t>
      </w:r>
    </w:p>
    <w:p w14:paraId="68ECAFB2" w14:textId="78AD8B93"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m</w:t>
      </w:r>
      <w:r w:rsidR="00DA6947" w:rsidRPr="003278ED">
        <w:rPr>
          <w:rFonts w:ascii="Times New Roman" w:eastAsia="Calibri" w:hAnsi="Times New Roman" w:cs="Times New Roman"/>
          <w:bCs/>
          <w:sz w:val="24"/>
          <w:szCs w:val="28"/>
        </w:rPr>
        <w:t>ajorare</w:t>
      </w:r>
      <w:r w:rsidR="00204A4A" w:rsidRPr="003278ED">
        <w:rPr>
          <w:rFonts w:ascii="Times New Roman" w:eastAsia="Calibri" w:hAnsi="Times New Roman" w:cs="Times New Roman"/>
          <w:bCs/>
          <w:sz w:val="24"/>
          <w:szCs w:val="28"/>
        </w:rPr>
        <w:t>a eficacității procesului penal;</w:t>
      </w:r>
    </w:p>
    <w:p w14:paraId="5B1D3A78" w14:textId="3AEEC657"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r</w:t>
      </w:r>
      <w:r w:rsidR="00DA6947" w:rsidRPr="003278ED">
        <w:rPr>
          <w:rFonts w:ascii="Times New Roman" w:eastAsia="Calibri" w:hAnsi="Times New Roman" w:cs="Times New Roman"/>
          <w:bCs/>
          <w:sz w:val="24"/>
          <w:szCs w:val="28"/>
        </w:rPr>
        <w:t>evizuirea și actualizarea continuă a criteriilor de risc, facilitând selectarea mai eficientă a grupurilor de contribuabili care prezintă risc s</w:t>
      </w:r>
      <w:r w:rsidR="00204A4A" w:rsidRPr="003278ED">
        <w:rPr>
          <w:rFonts w:ascii="Times New Roman" w:eastAsia="Calibri" w:hAnsi="Times New Roman" w:cs="Times New Roman"/>
          <w:bCs/>
          <w:sz w:val="24"/>
          <w:szCs w:val="28"/>
        </w:rPr>
        <w:t>porit de evaziune;</w:t>
      </w:r>
    </w:p>
    <w:p w14:paraId="0B5902A3" w14:textId="24402076"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lastRenderedPageBreak/>
        <w:t>d</w:t>
      </w:r>
      <w:r w:rsidR="00DA6947" w:rsidRPr="003278ED">
        <w:rPr>
          <w:rFonts w:ascii="Times New Roman" w:eastAsia="Calibri" w:hAnsi="Times New Roman" w:cs="Times New Roman"/>
          <w:bCs/>
          <w:sz w:val="24"/>
          <w:szCs w:val="28"/>
        </w:rPr>
        <w:t xml:space="preserve">ezvoltarea politicii de conformare a contribuabililor mari și </w:t>
      </w:r>
      <w:r w:rsidRPr="003278ED">
        <w:rPr>
          <w:rFonts w:ascii="Times New Roman" w:eastAsia="Calibri" w:hAnsi="Times New Roman" w:cs="Times New Roman"/>
          <w:bCs/>
          <w:sz w:val="24"/>
          <w:szCs w:val="28"/>
        </w:rPr>
        <w:t xml:space="preserve">a </w:t>
      </w:r>
      <w:r w:rsidR="00DA6947" w:rsidRPr="003278ED">
        <w:rPr>
          <w:rFonts w:ascii="Times New Roman" w:eastAsia="Calibri" w:hAnsi="Times New Roman" w:cs="Times New Roman"/>
          <w:bCs/>
          <w:sz w:val="24"/>
          <w:szCs w:val="28"/>
        </w:rPr>
        <w:t>pers</w:t>
      </w:r>
      <w:r w:rsidR="00204A4A" w:rsidRPr="003278ED">
        <w:rPr>
          <w:rFonts w:ascii="Times New Roman" w:eastAsia="Calibri" w:hAnsi="Times New Roman" w:cs="Times New Roman"/>
          <w:bCs/>
          <w:sz w:val="24"/>
          <w:szCs w:val="28"/>
        </w:rPr>
        <w:t>oanelor fizice cu venituri mari;</w:t>
      </w:r>
    </w:p>
    <w:p w14:paraId="70C6D00C" w14:textId="3C9BA176"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DA6947" w:rsidRPr="003278ED">
        <w:rPr>
          <w:rFonts w:ascii="Times New Roman" w:eastAsia="Calibri" w:hAnsi="Times New Roman" w:cs="Times New Roman"/>
          <w:bCs/>
          <w:sz w:val="24"/>
          <w:szCs w:val="28"/>
        </w:rPr>
        <w:t xml:space="preserve">onsolidarea strategiilor de control și majorarea </w:t>
      </w:r>
      <w:proofErr w:type="spellStart"/>
      <w:r w:rsidR="00DA6947" w:rsidRPr="003278ED">
        <w:rPr>
          <w:rFonts w:ascii="Times New Roman" w:eastAsia="Calibri" w:hAnsi="Times New Roman" w:cs="Times New Roman"/>
          <w:bCs/>
          <w:sz w:val="24"/>
          <w:szCs w:val="28"/>
        </w:rPr>
        <w:t>eficienţei</w:t>
      </w:r>
      <w:proofErr w:type="spellEnd"/>
      <w:r w:rsidR="00DA6947" w:rsidRPr="003278ED">
        <w:rPr>
          <w:rFonts w:ascii="Times New Roman" w:eastAsia="Calibri" w:hAnsi="Times New Roman" w:cs="Times New Roman"/>
          <w:bCs/>
          <w:sz w:val="24"/>
          <w:szCs w:val="28"/>
        </w:rPr>
        <w:t xml:space="preserve"> </w:t>
      </w:r>
      <w:proofErr w:type="spellStart"/>
      <w:r w:rsidR="00DA6947" w:rsidRPr="003278ED">
        <w:rPr>
          <w:rFonts w:ascii="Times New Roman" w:eastAsia="Calibri" w:hAnsi="Times New Roman" w:cs="Times New Roman"/>
          <w:bCs/>
          <w:sz w:val="24"/>
          <w:szCs w:val="28"/>
        </w:rPr>
        <w:t>şi</w:t>
      </w:r>
      <w:proofErr w:type="spellEnd"/>
      <w:r w:rsidR="00DA6947" w:rsidRPr="003278ED">
        <w:rPr>
          <w:rFonts w:ascii="Times New Roman" w:eastAsia="Calibri" w:hAnsi="Times New Roman" w:cs="Times New Roman"/>
          <w:bCs/>
          <w:sz w:val="24"/>
          <w:szCs w:val="28"/>
        </w:rPr>
        <w:t xml:space="preserve"> ef</w:t>
      </w:r>
      <w:r w:rsidR="00204A4A" w:rsidRPr="003278ED">
        <w:rPr>
          <w:rFonts w:ascii="Times New Roman" w:eastAsia="Calibri" w:hAnsi="Times New Roman" w:cs="Times New Roman"/>
          <w:bCs/>
          <w:sz w:val="24"/>
          <w:szCs w:val="28"/>
        </w:rPr>
        <w:t>icacității controalelor fiscale;</w:t>
      </w:r>
    </w:p>
    <w:p w14:paraId="16285C57" w14:textId="1A60ACB4"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DA6947" w:rsidRPr="003278ED">
        <w:rPr>
          <w:rFonts w:ascii="Times New Roman" w:eastAsia="Calibri" w:hAnsi="Times New Roman" w:cs="Times New Roman"/>
          <w:bCs/>
          <w:sz w:val="24"/>
          <w:szCs w:val="28"/>
        </w:rPr>
        <w:t>onsolidarea acțiunilor de control în domeniile cu risc sporit de neconformare fiscală</w:t>
      </w:r>
      <w:r w:rsidR="00204A4A" w:rsidRPr="003278ED">
        <w:rPr>
          <w:rFonts w:ascii="Times New Roman" w:eastAsia="Calibri" w:hAnsi="Times New Roman" w:cs="Times New Roman"/>
          <w:bCs/>
          <w:sz w:val="24"/>
          <w:szCs w:val="28"/>
        </w:rPr>
        <w:t>;</w:t>
      </w:r>
    </w:p>
    <w:p w14:paraId="256B3260" w14:textId="44AC6233" w:rsidR="00DA6947" w:rsidRPr="003278ED" w:rsidRDefault="002E1447" w:rsidP="00A47DB5">
      <w:pPr>
        <w:numPr>
          <w:ilvl w:val="1"/>
          <w:numId w:val="12"/>
        </w:numPr>
        <w:tabs>
          <w:tab w:val="left" w:pos="851"/>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DA6947" w:rsidRPr="003278ED">
        <w:rPr>
          <w:rFonts w:ascii="Times New Roman" w:eastAsia="Calibri" w:hAnsi="Times New Roman" w:cs="Times New Roman"/>
          <w:bCs/>
          <w:sz w:val="24"/>
          <w:szCs w:val="28"/>
        </w:rPr>
        <w:t>ezvoltarea programului automatizat de asigurare a disciplinei fiscale.</w:t>
      </w:r>
    </w:p>
    <w:p w14:paraId="1C784C44" w14:textId="77777777" w:rsidR="00DA6947" w:rsidRPr="003278ED" w:rsidRDefault="00DA6947" w:rsidP="00A47DB5">
      <w:pPr>
        <w:tabs>
          <w:tab w:val="left" w:pos="426"/>
          <w:tab w:val="left" w:pos="993"/>
          <w:tab w:val="left" w:pos="1134"/>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Transpunerea și implementarea reglementărilor UE:</w:t>
      </w:r>
    </w:p>
    <w:p w14:paraId="4E1299CE" w14:textId="779FC5EC" w:rsidR="00DA6947" w:rsidRPr="003278ED" w:rsidRDefault="002E1447" w:rsidP="00A47DB5">
      <w:pPr>
        <w:pStyle w:val="Listparagraf"/>
        <w:numPr>
          <w:ilvl w:val="1"/>
          <w:numId w:val="12"/>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v</w:t>
      </w:r>
      <w:r w:rsidR="00DA6947" w:rsidRPr="003278ED">
        <w:rPr>
          <w:rFonts w:ascii="Times New Roman" w:eastAsia="Calibri" w:hAnsi="Times New Roman" w:cs="Times New Roman"/>
          <w:bCs/>
          <w:sz w:val="24"/>
          <w:szCs w:val="28"/>
        </w:rPr>
        <w:t>alorificarea ș</w:t>
      </w:r>
      <w:r w:rsidRPr="003278ED">
        <w:rPr>
          <w:rFonts w:ascii="Times New Roman" w:eastAsia="Calibri" w:hAnsi="Times New Roman" w:cs="Times New Roman"/>
          <w:bCs/>
          <w:sz w:val="24"/>
          <w:szCs w:val="28"/>
        </w:rPr>
        <w:t>i implementarea programului UE „</w:t>
      </w:r>
      <w:r w:rsidR="00DA6947" w:rsidRPr="003278ED">
        <w:rPr>
          <w:rFonts w:ascii="Times New Roman" w:eastAsia="Calibri" w:hAnsi="Times New Roman" w:cs="Times New Roman"/>
          <w:bCs/>
          <w:sz w:val="24"/>
          <w:szCs w:val="28"/>
        </w:rPr>
        <w:t>FISCALIS”.</w:t>
      </w:r>
    </w:p>
    <w:p w14:paraId="3AA34A27" w14:textId="77777777" w:rsidR="00DA6947" w:rsidRPr="003278ED" w:rsidRDefault="00DA6947" w:rsidP="00A47DB5">
      <w:pPr>
        <w:tabs>
          <w:tab w:val="left" w:pos="426"/>
          <w:tab w:val="left" w:pos="993"/>
          <w:tab w:val="left" w:pos="1134"/>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Implementarea standardelor internaționale în domeniul fiscal:</w:t>
      </w:r>
    </w:p>
    <w:p w14:paraId="25609D9A" w14:textId="34687FDD" w:rsidR="00DA6947" w:rsidRPr="003278ED" w:rsidRDefault="002E1447" w:rsidP="00A47DB5">
      <w:pPr>
        <w:numPr>
          <w:ilvl w:val="1"/>
          <w:numId w:val="13"/>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DA6947" w:rsidRPr="003278ED">
        <w:rPr>
          <w:rFonts w:ascii="Times New Roman" w:eastAsia="Calibri" w:hAnsi="Times New Roman" w:cs="Times New Roman"/>
          <w:bCs/>
          <w:sz w:val="24"/>
          <w:szCs w:val="28"/>
        </w:rPr>
        <w:t>onsolidarea schimbu</w:t>
      </w:r>
      <w:r w:rsidR="00D147D0" w:rsidRPr="003278ED">
        <w:rPr>
          <w:rFonts w:ascii="Times New Roman" w:eastAsia="Calibri" w:hAnsi="Times New Roman" w:cs="Times New Roman"/>
          <w:bCs/>
          <w:sz w:val="24"/>
          <w:szCs w:val="28"/>
        </w:rPr>
        <w:t>lui de informații la solicitare;</w:t>
      </w:r>
    </w:p>
    <w:p w14:paraId="068AD1D9" w14:textId="56DFB4C6" w:rsidR="00DA6947" w:rsidRPr="003278ED" w:rsidRDefault="002E1447" w:rsidP="00A47DB5">
      <w:pPr>
        <w:numPr>
          <w:ilvl w:val="1"/>
          <w:numId w:val="13"/>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i</w:t>
      </w:r>
      <w:r w:rsidR="00DA6947" w:rsidRPr="003278ED">
        <w:rPr>
          <w:rFonts w:ascii="Times New Roman" w:eastAsia="Calibri" w:hAnsi="Times New Roman" w:cs="Times New Roman"/>
          <w:bCs/>
          <w:sz w:val="24"/>
          <w:szCs w:val="28"/>
        </w:rPr>
        <w:t>mplementarea și dezvoltarea schimbului automatizat de informații privind conturile financiare.</w:t>
      </w:r>
    </w:p>
    <w:p w14:paraId="16A12E74" w14:textId="77777777" w:rsidR="00DA6947" w:rsidRPr="003278ED" w:rsidRDefault="00DA6947" w:rsidP="00A47DB5">
      <w:pPr>
        <w:tabs>
          <w:tab w:val="left" w:pos="426"/>
          <w:tab w:val="left" w:pos="993"/>
          <w:tab w:val="left" w:pos="1134"/>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Asigurarea interoperabilității/interconexiunii cu sistemele UE în domeniul fiscal:</w:t>
      </w:r>
    </w:p>
    <w:p w14:paraId="407FC998" w14:textId="52DF810E"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e</w:t>
      </w:r>
      <w:r w:rsidR="00DA6947" w:rsidRPr="003278ED">
        <w:rPr>
          <w:rFonts w:ascii="Times New Roman" w:eastAsia="Calibri" w:hAnsi="Times New Roman" w:cs="Times New Roman"/>
          <w:bCs/>
          <w:sz w:val="24"/>
          <w:szCs w:val="28"/>
        </w:rPr>
        <w:t>laborarea Cartei de dezvol</w:t>
      </w:r>
      <w:r w:rsidR="00D147D0" w:rsidRPr="003278ED">
        <w:rPr>
          <w:rFonts w:ascii="Times New Roman" w:eastAsia="Calibri" w:hAnsi="Times New Roman" w:cs="Times New Roman"/>
          <w:bCs/>
          <w:sz w:val="24"/>
          <w:szCs w:val="28"/>
        </w:rPr>
        <w:t>tare a sistemului informațional;</w:t>
      </w:r>
    </w:p>
    <w:p w14:paraId="0165A191" w14:textId="59E13A90"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aderarea la programul OCDE/PNUD „</w:t>
      </w:r>
      <w:r w:rsidR="00DA6947" w:rsidRPr="003278ED">
        <w:rPr>
          <w:rFonts w:ascii="Times New Roman" w:eastAsia="Calibri" w:hAnsi="Times New Roman" w:cs="Times New Roman"/>
          <w:bCs/>
          <w:sz w:val="24"/>
          <w:szCs w:val="28"/>
        </w:rPr>
        <w:t>Ins</w:t>
      </w:r>
      <w:r w:rsidR="00D147D0" w:rsidRPr="003278ED">
        <w:rPr>
          <w:rFonts w:ascii="Times New Roman" w:eastAsia="Calibri" w:hAnsi="Times New Roman" w:cs="Times New Roman"/>
          <w:bCs/>
          <w:sz w:val="24"/>
          <w:szCs w:val="28"/>
        </w:rPr>
        <w:t>pectori fiscali fără frontiere”;</w:t>
      </w:r>
    </w:p>
    <w:p w14:paraId="32F3E6E2" w14:textId="34855357"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w:t>
      </w:r>
      <w:r w:rsidR="00DA6947" w:rsidRPr="003278ED">
        <w:rPr>
          <w:rFonts w:ascii="Times New Roman" w:eastAsia="Calibri" w:hAnsi="Times New Roman" w:cs="Times New Roman"/>
          <w:bCs/>
          <w:sz w:val="24"/>
          <w:szCs w:val="28"/>
        </w:rPr>
        <w:t xml:space="preserve">sigurarea interoperabilității dintre portalul </w:t>
      </w:r>
      <w:hyperlink r:id="rId11" w:history="1">
        <w:r w:rsidR="0013534C" w:rsidRPr="003278ED">
          <w:rPr>
            <w:rStyle w:val="Hyperlink"/>
            <w:rFonts w:ascii="Times New Roman" w:eastAsia="Calibri" w:hAnsi="Times New Roman" w:cs="Times New Roman"/>
            <w:bCs/>
            <w:color w:val="auto"/>
            <w:sz w:val="24"/>
            <w:szCs w:val="28"/>
            <w:u w:val="none"/>
          </w:rPr>
          <w:t>www.mcabinet.gov.md</w:t>
        </w:r>
      </w:hyperlink>
      <w:r w:rsidR="0013534C" w:rsidRPr="003278ED">
        <w:rPr>
          <w:rFonts w:ascii="Times New Roman" w:eastAsia="Calibri" w:hAnsi="Times New Roman" w:cs="Times New Roman"/>
          <w:bCs/>
          <w:sz w:val="24"/>
          <w:szCs w:val="28"/>
        </w:rPr>
        <w:t xml:space="preserve"> </w:t>
      </w:r>
      <w:r w:rsidR="00DA6947" w:rsidRPr="003278ED">
        <w:rPr>
          <w:rFonts w:ascii="Times New Roman" w:eastAsia="Calibri" w:hAnsi="Times New Roman" w:cs="Times New Roman"/>
          <w:bCs/>
          <w:sz w:val="24"/>
          <w:szCs w:val="28"/>
        </w:rPr>
        <w:t>și serviciile oferite de S</w:t>
      </w:r>
      <w:r w:rsidR="0013534C" w:rsidRPr="003278ED">
        <w:rPr>
          <w:rFonts w:ascii="Times New Roman" w:eastAsia="Calibri" w:hAnsi="Times New Roman" w:cs="Times New Roman"/>
          <w:bCs/>
          <w:sz w:val="24"/>
          <w:szCs w:val="28"/>
        </w:rPr>
        <w:t xml:space="preserve">erviciul </w:t>
      </w:r>
      <w:r w:rsidR="00DA6947" w:rsidRPr="003278ED">
        <w:rPr>
          <w:rFonts w:ascii="Times New Roman" w:eastAsia="Calibri" w:hAnsi="Times New Roman" w:cs="Times New Roman"/>
          <w:bCs/>
          <w:sz w:val="24"/>
          <w:szCs w:val="28"/>
        </w:rPr>
        <w:t>F</w:t>
      </w:r>
      <w:r w:rsidR="0013534C" w:rsidRPr="003278ED">
        <w:rPr>
          <w:rFonts w:ascii="Times New Roman" w:eastAsia="Calibri" w:hAnsi="Times New Roman" w:cs="Times New Roman"/>
          <w:bCs/>
          <w:sz w:val="24"/>
          <w:szCs w:val="28"/>
        </w:rPr>
        <w:t xml:space="preserve">iscal de </w:t>
      </w:r>
      <w:r w:rsidR="00DA6947" w:rsidRPr="003278ED">
        <w:rPr>
          <w:rFonts w:ascii="Times New Roman" w:eastAsia="Calibri" w:hAnsi="Times New Roman" w:cs="Times New Roman"/>
          <w:bCs/>
          <w:sz w:val="24"/>
          <w:szCs w:val="28"/>
        </w:rPr>
        <w:t>S</w:t>
      </w:r>
      <w:r w:rsidR="0013534C" w:rsidRPr="003278ED">
        <w:rPr>
          <w:rFonts w:ascii="Times New Roman" w:eastAsia="Calibri" w:hAnsi="Times New Roman" w:cs="Times New Roman"/>
          <w:bCs/>
          <w:sz w:val="24"/>
          <w:szCs w:val="28"/>
        </w:rPr>
        <w:t>tat</w:t>
      </w:r>
      <w:r w:rsidR="00D147D0" w:rsidRPr="003278ED">
        <w:rPr>
          <w:rFonts w:ascii="Times New Roman" w:eastAsia="Calibri" w:hAnsi="Times New Roman" w:cs="Times New Roman"/>
          <w:bCs/>
          <w:sz w:val="24"/>
          <w:szCs w:val="28"/>
        </w:rPr>
        <w:t>;</w:t>
      </w:r>
    </w:p>
    <w:p w14:paraId="51ED3036" w14:textId="226CD6EF"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DA6947" w:rsidRPr="003278ED">
        <w:rPr>
          <w:rFonts w:ascii="Times New Roman" w:eastAsia="Calibri" w:hAnsi="Times New Roman" w:cs="Times New Roman"/>
          <w:bCs/>
          <w:sz w:val="24"/>
          <w:szCs w:val="28"/>
        </w:rPr>
        <w:t>ezvoltarea continuă a schimbului de</w:t>
      </w:r>
      <w:r w:rsidR="00D147D0" w:rsidRPr="003278ED">
        <w:rPr>
          <w:rFonts w:ascii="Times New Roman" w:eastAsia="Calibri" w:hAnsi="Times New Roman" w:cs="Times New Roman"/>
          <w:bCs/>
          <w:sz w:val="24"/>
          <w:szCs w:val="28"/>
        </w:rPr>
        <w:t xml:space="preserve"> date prin intermediul </w:t>
      </w:r>
      <w:r w:rsidRPr="003278ED">
        <w:rPr>
          <w:rFonts w:ascii="Times New Roman" w:eastAsia="Calibri" w:hAnsi="Times New Roman" w:cs="Times New Roman"/>
          <w:bCs/>
          <w:sz w:val="24"/>
          <w:szCs w:val="28"/>
        </w:rPr>
        <w:t>platformei de interoperabilitate (</w:t>
      </w:r>
      <w:proofErr w:type="spellStart"/>
      <w:r w:rsidR="00D147D0" w:rsidRPr="003278ED">
        <w:rPr>
          <w:rFonts w:ascii="Times New Roman" w:eastAsia="Calibri" w:hAnsi="Times New Roman" w:cs="Times New Roman"/>
          <w:bCs/>
          <w:sz w:val="24"/>
          <w:szCs w:val="28"/>
        </w:rPr>
        <w:t>MConnect</w:t>
      </w:r>
      <w:proofErr w:type="spellEnd"/>
      <w:r w:rsidRPr="003278ED">
        <w:rPr>
          <w:rFonts w:ascii="Times New Roman" w:eastAsia="Calibri" w:hAnsi="Times New Roman" w:cs="Times New Roman"/>
          <w:bCs/>
          <w:sz w:val="24"/>
          <w:szCs w:val="28"/>
        </w:rPr>
        <w:t>)</w:t>
      </w:r>
      <w:r w:rsidR="00D147D0" w:rsidRPr="003278ED">
        <w:rPr>
          <w:rFonts w:ascii="Times New Roman" w:eastAsia="Calibri" w:hAnsi="Times New Roman" w:cs="Times New Roman"/>
          <w:bCs/>
          <w:sz w:val="24"/>
          <w:szCs w:val="28"/>
        </w:rPr>
        <w:t>;</w:t>
      </w:r>
    </w:p>
    <w:p w14:paraId="135F713B" w14:textId="3ABF75C6"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DA6947" w:rsidRPr="003278ED">
        <w:rPr>
          <w:rFonts w:ascii="Times New Roman" w:eastAsia="Calibri" w:hAnsi="Times New Roman" w:cs="Times New Roman"/>
          <w:bCs/>
          <w:sz w:val="24"/>
          <w:szCs w:val="28"/>
        </w:rPr>
        <w:t>ezvoltarea sistemului automatizat de managem</w:t>
      </w:r>
      <w:r w:rsidR="00D147D0" w:rsidRPr="003278ED">
        <w:rPr>
          <w:rFonts w:ascii="Times New Roman" w:eastAsia="Calibri" w:hAnsi="Times New Roman" w:cs="Times New Roman"/>
          <w:bCs/>
          <w:sz w:val="24"/>
          <w:szCs w:val="28"/>
        </w:rPr>
        <w:t>ent al riscurilor de conformare;</w:t>
      </w:r>
    </w:p>
    <w:p w14:paraId="4F87ABEA" w14:textId="0E9B5EE8"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DA6947" w:rsidRPr="003278ED">
        <w:rPr>
          <w:rFonts w:ascii="Times New Roman" w:eastAsia="Calibri" w:hAnsi="Times New Roman" w:cs="Times New Roman"/>
          <w:bCs/>
          <w:sz w:val="24"/>
          <w:szCs w:val="28"/>
        </w:rPr>
        <w:t>ezvoltarea sistemului automatizat de management al</w:t>
      </w:r>
      <w:r w:rsidR="00D147D0" w:rsidRPr="003278ED">
        <w:rPr>
          <w:rFonts w:ascii="Times New Roman" w:eastAsia="Calibri" w:hAnsi="Times New Roman" w:cs="Times New Roman"/>
          <w:bCs/>
          <w:sz w:val="24"/>
          <w:szCs w:val="28"/>
        </w:rPr>
        <w:t xml:space="preserve"> recuperării creanțelor;</w:t>
      </w:r>
    </w:p>
    <w:p w14:paraId="22DB14CA" w14:textId="53DF9F62" w:rsidR="00DA6947" w:rsidRPr="003278ED" w:rsidRDefault="002E1447" w:rsidP="00A47DB5">
      <w:pPr>
        <w:numPr>
          <w:ilvl w:val="1"/>
          <w:numId w:val="14"/>
        </w:numPr>
        <w:tabs>
          <w:tab w:val="left" w:pos="426"/>
          <w:tab w:val="left" w:pos="709"/>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s</w:t>
      </w:r>
      <w:r w:rsidR="00DA6947" w:rsidRPr="003278ED">
        <w:rPr>
          <w:rFonts w:ascii="Times New Roman" w:eastAsia="Calibri" w:hAnsi="Times New Roman" w:cs="Times New Roman"/>
          <w:bCs/>
          <w:sz w:val="24"/>
          <w:szCs w:val="28"/>
        </w:rPr>
        <w:t>implificarea și automatizarea proceselor de restituire a TVA și restituire a accizelor.</w:t>
      </w:r>
    </w:p>
    <w:p w14:paraId="3FD151F6" w14:textId="6779C7EF" w:rsidR="00075A90" w:rsidRPr="003278ED" w:rsidRDefault="00075A90" w:rsidP="007D3A2B">
      <w:pPr>
        <w:tabs>
          <w:tab w:val="left" w:pos="993"/>
        </w:tabs>
        <w:spacing w:after="0" w:line="240" w:lineRule="auto"/>
        <w:ind w:firstLine="709"/>
        <w:jc w:val="both"/>
        <w:rPr>
          <w:rFonts w:ascii="Times New Roman" w:eastAsia="Times New Roman" w:hAnsi="Times New Roman" w:cs="Times New Roman"/>
          <w:b/>
          <w:sz w:val="24"/>
          <w:szCs w:val="24"/>
        </w:rPr>
      </w:pPr>
    </w:p>
    <w:p w14:paraId="5C420E1A" w14:textId="5A5C101D" w:rsidR="00075A90" w:rsidRPr="003278ED" w:rsidRDefault="009F34DF" w:rsidP="00A47DB5">
      <w:pPr>
        <w:tabs>
          <w:tab w:val="left" w:pos="709"/>
        </w:tabs>
        <w:spacing w:after="0" w:line="240" w:lineRule="auto"/>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ab/>
      </w:r>
      <w:r w:rsidR="00FB6385" w:rsidRPr="003278ED">
        <w:rPr>
          <w:rFonts w:ascii="Times New Roman" w:eastAsia="Times New Roman" w:hAnsi="Times New Roman" w:cs="Times New Roman"/>
          <w:b/>
          <w:sz w:val="24"/>
          <w:szCs w:val="24"/>
        </w:rPr>
        <w:t xml:space="preserve">Obiectivele politicii </w:t>
      </w:r>
      <w:r w:rsidR="00075A90" w:rsidRPr="003278ED">
        <w:rPr>
          <w:rFonts w:ascii="Times New Roman" w:eastAsia="Times New Roman" w:hAnsi="Times New Roman" w:cs="Times New Roman"/>
          <w:b/>
          <w:sz w:val="24"/>
          <w:szCs w:val="24"/>
        </w:rPr>
        <w:t>de administrare vamală</w:t>
      </w:r>
      <w:r w:rsidR="0043641B" w:rsidRPr="003278ED">
        <w:rPr>
          <w:rFonts w:ascii="Times New Roman" w:eastAsia="Times New Roman" w:hAnsi="Times New Roman" w:cs="Times New Roman"/>
          <w:b/>
          <w:sz w:val="24"/>
          <w:szCs w:val="24"/>
        </w:rPr>
        <w:t xml:space="preserve"> </w:t>
      </w:r>
      <w:r w:rsidR="0043641B" w:rsidRPr="003278ED">
        <w:rPr>
          <w:rFonts w:ascii="Times New Roman" w:eastAsia="Calibri" w:hAnsi="Times New Roman" w:cs="Times New Roman"/>
          <w:b/>
          <w:bCs/>
          <w:sz w:val="24"/>
          <w:szCs w:val="28"/>
        </w:rPr>
        <w:t>2025-2027</w:t>
      </w:r>
    </w:p>
    <w:p w14:paraId="13E515BF" w14:textId="77777777" w:rsidR="00FB6385" w:rsidRPr="003278ED" w:rsidRDefault="00FB6385" w:rsidP="00A47DB5">
      <w:pPr>
        <w:tabs>
          <w:tab w:val="left" w:pos="426"/>
          <w:tab w:val="left" w:pos="993"/>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Asigurarea mobilizării veniturilor prin sporirea capacității Serviciului Vamal de administrare:</w:t>
      </w:r>
    </w:p>
    <w:p w14:paraId="567FECF8" w14:textId="6E58295E" w:rsidR="00FB6385" w:rsidRPr="003278ED" w:rsidRDefault="002E1447" w:rsidP="00A47DB5">
      <w:pPr>
        <w:pStyle w:val="Listparagraf"/>
        <w:numPr>
          <w:ilvl w:val="0"/>
          <w:numId w:val="16"/>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p</w:t>
      </w:r>
      <w:r w:rsidR="00FB6385" w:rsidRPr="003278ED">
        <w:rPr>
          <w:rFonts w:ascii="Times New Roman" w:eastAsia="Calibri" w:hAnsi="Times New Roman" w:cs="Times New Roman"/>
          <w:bCs/>
          <w:sz w:val="24"/>
          <w:szCs w:val="28"/>
        </w:rPr>
        <w:t xml:space="preserve">romovarea normelor </w:t>
      </w:r>
      <w:proofErr w:type="spellStart"/>
      <w:r w:rsidR="00FB6385" w:rsidRPr="003278ED">
        <w:rPr>
          <w:rFonts w:ascii="Times New Roman" w:eastAsia="Calibri" w:hAnsi="Times New Roman" w:cs="Times New Roman"/>
          <w:bCs/>
          <w:sz w:val="24"/>
          <w:szCs w:val="28"/>
        </w:rPr>
        <w:t>şi</w:t>
      </w:r>
      <w:proofErr w:type="spellEnd"/>
      <w:r w:rsidR="00FB6385" w:rsidRPr="003278ED">
        <w:rPr>
          <w:rFonts w:ascii="Times New Roman" w:eastAsia="Calibri" w:hAnsi="Times New Roman" w:cs="Times New Roman"/>
          <w:bCs/>
          <w:sz w:val="24"/>
          <w:szCs w:val="28"/>
        </w:rPr>
        <w:t xml:space="preserve"> standardelor interna</w:t>
      </w:r>
      <w:r w:rsidR="00712773" w:rsidRPr="003278ED">
        <w:rPr>
          <w:rFonts w:ascii="Times New Roman" w:eastAsia="Calibri" w:hAnsi="Times New Roman" w:cs="Times New Roman"/>
          <w:bCs/>
          <w:sz w:val="24"/>
          <w:szCs w:val="28"/>
        </w:rPr>
        <w:t>ț</w:t>
      </w:r>
      <w:r w:rsidR="00FB6385" w:rsidRPr="003278ED">
        <w:rPr>
          <w:rFonts w:ascii="Times New Roman" w:eastAsia="Calibri" w:hAnsi="Times New Roman" w:cs="Times New Roman"/>
          <w:bCs/>
          <w:sz w:val="24"/>
          <w:szCs w:val="28"/>
        </w:rPr>
        <w:t>ionale în domeniul vamal</w:t>
      </w:r>
      <w:r w:rsidRPr="003278ED">
        <w:rPr>
          <w:rFonts w:ascii="Times New Roman" w:eastAsia="Calibri" w:hAnsi="Times New Roman" w:cs="Times New Roman"/>
          <w:bCs/>
          <w:sz w:val="24"/>
          <w:szCs w:val="28"/>
        </w:rPr>
        <w:t>,</w:t>
      </w:r>
      <w:r w:rsidR="00FB6385" w:rsidRPr="003278ED">
        <w:rPr>
          <w:rFonts w:ascii="Times New Roman" w:eastAsia="Calibri" w:hAnsi="Times New Roman" w:cs="Times New Roman"/>
          <w:bCs/>
          <w:sz w:val="24"/>
          <w:szCs w:val="28"/>
        </w:rPr>
        <w:t xml:space="preserve"> în vederea reducerii duratei </w:t>
      </w:r>
      <w:proofErr w:type="spellStart"/>
      <w:r w:rsidR="00FB6385" w:rsidRPr="003278ED">
        <w:rPr>
          <w:rFonts w:ascii="Times New Roman" w:eastAsia="Calibri" w:hAnsi="Times New Roman" w:cs="Times New Roman"/>
          <w:bCs/>
          <w:sz w:val="24"/>
          <w:szCs w:val="28"/>
        </w:rPr>
        <w:t>şi</w:t>
      </w:r>
      <w:proofErr w:type="spellEnd"/>
      <w:r w:rsidR="00FB6385" w:rsidRPr="003278ED">
        <w:rPr>
          <w:rFonts w:ascii="Times New Roman" w:eastAsia="Calibri" w:hAnsi="Times New Roman" w:cs="Times New Roman"/>
          <w:bCs/>
          <w:sz w:val="24"/>
          <w:szCs w:val="28"/>
        </w:rPr>
        <w:t xml:space="preserve"> costurilor efectiv suportate de </w:t>
      </w:r>
      <w:proofErr w:type="spellStart"/>
      <w:r w:rsidR="00FB6385" w:rsidRPr="003278ED">
        <w:rPr>
          <w:rFonts w:ascii="Times New Roman" w:eastAsia="Calibri" w:hAnsi="Times New Roman" w:cs="Times New Roman"/>
          <w:bCs/>
          <w:sz w:val="24"/>
          <w:szCs w:val="28"/>
        </w:rPr>
        <w:t>agenţii</w:t>
      </w:r>
      <w:proofErr w:type="spellEnd"/>
      <w:r w:rsidR="00FB6385" w:rsidRPr="003278ED">
        <w:rPr>
          <w:rFonts w:ascii="Times New Roman" w:eastAsia="Calibri" w:hAnsi="Times New Roman" w:cs="Times New Roman"/>
          <w:bCs/>
          <w:sz w:val="24"/>
          <w:szCs w:val="28"/>
        </w:rPr>
        <w:t xml:space="preserve"> economici pentru vămuirea mărfurilor</w:t>
      </w:r>
      <w:r w:rsidR="00712773" w:rsidRPr="003278ED">
        <w:rPr>
          <w:rFonts w:ascii="Times New Roman" w:eastAsia="Calibri" w:hAnsi="Times New Roman" w:cs="Times New Roman"/>
          <w:bCs/>
          <w:sz w:val="24"/>
          <w:szCs w:val="28"/>
        </w:rPr>
        <w:t>;</w:t>
      </w:r>
    </w:p>
    <w:p w14:paraId="04B2C2DC" w14:textId="464B848E" w:rsidR="00FB6385" w:rsidRPr="003278ED" w:rsidRDefault="002E1447" w:rsidP="00A47DB5">
      <w:pPr>
        <w:pStyle w:val="Listparagraf"/>
        <w:numPr>
          <w:ilvl w:val="0"/>
          <w:numId w:val="16"/>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w:t>
      </w:r>
      <w:r w:rsidR="00FB6385" w:rsidRPr="003278ED">
        <w:rPr>
          <w:rFonts w:ascii="Times New Roman" w:eastAsia="Calibri" w:hAnsi="Times New Roman" w:cs="Times New Roman"/>
          <w:bCs/>
          <w:sz w:val="24"/>
          <w:szCs w:val="28"/>
        </w:rPr>
        <w:t xml:space="preserve">probarea și implementarea Strategiei </w:t>
      </w:r>
      <w:r w:rsidR="00713116" w:rsidRPr="003278ED">
        <w:rPr>
          <w:rFonts w:ascii="Times New Roman" w:eastAsia="Calibri" w:hAnsi="Times New Roman" w:cs="Times New Roman"/>
          <w:bCs/>
          <w:sz w:val="24"/>
          <w:szCs w:val="28"/>
        </w:rPr>
        <w:t>n</w:t>
      </w:r>
      <w:r w:rsidR="00FB6385" w:rsidRPr="003278ED">
        <w:rPr>
          <w:rFonts w:ascii="Times New Roman" w:eastAsia="Calibri" w:hAnsi="Times New Roman" w:cs="Times New Roman"/>
          <w:bCs/>
          <w:sz w:val="24"/>
          <w:szCs w:val="28"/>
        </w:rPr>
        <w:t>aționale privind modernizarea și armonizarea sistemelor informaționale vamale în corespu</w:t>
      </w:r>
      <w:r w:rsidR="00712773" w:rsidRPr="003278ED">
        <w:rPr>
          <w:rFonts w:ascii="Times New Roman" w:eastAsia="Calibri" w:hAnsi="Times New Roman" w:cs="Times New Roman"/>
          <w:bCs/>
          <w:sz w:val="24"/>
          <w:szCs w:val="28"/>
        </w:rPr>
        <w:t>ndere cu standardele comunitare;</w:t>
      </w:r>
    </w:p>
    <w:p w14:paraId="58EA2073" w14:textId="53E4052B" w:rsidR="00FB6385" w:rsidRPr="003278ED" w:rsidRDefault="002E1447" w:rsidP="00A47DB5">
      <w:pPr>
        <w:pStyle w:val="Listparagraf"/>
        <w:numPr>
          <w:ilvl w:val="0"/>
          <w:numId w:val="16"/>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w:t>
      </w:r>
      <w:r w:rsidR="00FB6385" w:rsidRPr="003278ED">
        <w:rPr>
          <w:rFonts w:ascii="Times New Roman" w:eastAsia="Calibri" w:hAnsi="Times New Roman" w:cs="Times New Roman"/>
          <w:bCs/>
          <w:sz w:val="24"/>
          <w:szCs w:val="28"/>
        </w:rPr>
        <w:t xml:space="preserve">sigurarea organizării și desfășurării sesiunilor de instruire pentru mediul de business, </w:t>
      </w:r>
      <w:r w:rsidRPr="003278ED">
        <w:rPr>
          <w:rFonts w:ascii="Times New Roman" w:eastAsia="Calibri" w:hAnsi="Times New Roman" w:cs="Times New Roman"/>
          <w:bCs/>
          <w:sz w:val="24"/>
          <w:szCs w:val="28"/>
        </w:rPr>
        <w:t xml:space="preserve">pentru </w:t>
      </w:r>
      <w:r w:rsidR="00FB6385" w:rsidRPr="003278ED">
        <w:rPr>
          <w:rFonts w:ascii="Times New Roman" w:eastAsia="Calibri" w:hAnsi="Times New Roman" w:cs="Times New Roman"/>
          <w:bCs/>
          <w:sz w:val="24"/>
          <w:szCs w:val="28"/>
        </w:rPr>
        <w:t xml:space="preserve">funcționarii vamali și </w:t>
      </w:r>
      <w:r w:rsidRPr="003278ED">
        <w:rPr>
          <w:rFonts w:ascii="Times New Roman" w:eastAsia="Calibri" w:hAnsi="Times New Roman" w:cs="Times New Roman"/>
          <w:bCs/>
          <w:sz w:val="24"/>
          <w:szCs w:val="28"/>
        </w:rPr>
        <w:t xml:space="preserve">pentru </w:t>
      </w:r>
      <w:r w:rsidR="00FB6385" w:rsidRPr="003278ED">
        <w:rPr>
          <w:rFonts w:ascii="Times New Roman" w:eastAsia="Calibri" w:hAnsi="Times New Roman" w:cs="Times New Roman"/>
          <w:bCs/>
          <w:sz w:val="24"/>
          <w:szCs w:val="28"/>
        </w:rPr>
        <w:t>alte entități de stat interesate</w:t>
      </w:r>
      <w:r w:rsidRPr="003278ED">
        <w:rPr>
          <w:rFonts w:ascii="Times New Roman" w:eastAsia="Calibri" w:hAnsi="Times New Roman" w:cs="Times New Roman"/>
          <w:bCs/>
          <w:sz w:val="24"/>
          <w:szCs w:val="28"/>
        </w:rPr>
        <w:t>,</w:t>
      </w:r>
      <w:r w:rsidR="00FB6385" w:rsidRPr="003278ED">
        <w:rPr>
          <w:rFonts w:ascii="Times New Roman" w:eastAsia="Calibri" w:hAnsi="Times New Roman" w:cs="Times New Roman"/>
          <w:bCs/>
          <w:sz w:val="24"/>
          <w:szCs w:val="28"/>
        </w:rPr>
        <w:t xml:space="preserve"> referito</w:t>
      </w:r>
      <w:r w:rsidRPr="003278ED">
        <w:rPr>
          <w:rFonts w:ascii="Times New Roman" w:eastAsia="Calibri" w:hAnsi="Times New Roman" w:cs="Times New Roman"/>
          <w:bCs/>
          <w:sz w:val="24"/>
          <w:szCs w:val="28"/>
        </w:rPr>
        <w:t>a</w:t>
      </w:r>
      <w:r w:rsidR="00FB6385" w:rsidRPr="003278ED">
        <w:rPr>
          <w:rFonts w:ascii="Times New Roman" w:eastAsia="Calibri" w:hAnsi="Times New Roman" w:cs="Times New Roman"/>
          <w:bCs/>
          <w:sz w:val="24"/>
          <w:szCs w:val="28"/>
        </w:rPr>
        <w:t>r</w:t>
      </w:r>
      <w:r w:rsidRPr="003278ED">
        <w:rPr>
          <w:rFonts w:ascii="Times New Roman" w:eastAsia="Calibri" w:hAnsi="Times New Roman" w:cs="Times New Roman"/>
          <w:bCs/>
          <w:sz w:val="24"/>
          <w:szCs w:val="28"/>
        </w:rPr>
        <w:t>e</w:t>
      </w:r>
      <w:r w:rsidR="00FB6385" w:rsidRPr="003278ED">
        <w:rPr>
          <w:rFonts w:ascii="Times New Roman" w:eastAsia="Calibri" w:hAnsi="Times New Roman" w:cs="Times New Roman"/>
          <w:bCs/>
          <w:sz w:val="24"/>
          <w:szCs w:val="28"/>
        </w:rPr>
        <w:t xml:space="preserve"> la prevederile noului Cod Vamal și </w:t>
      </w:r>
      <w:r w:rsidRPr="003278ED">
        <w:rPr>
          <w:rFonts w:ascii="Times New Roman" w:eastAsia="Calibri" w:hAnsi="Times New Roman" w:cs="Times New Roman"/>
          <w:bCs/>
          <w:sz w:val="24"/>
          <w:szCs w:val="28"/>
        </w:rPr>
        <w:t>la</w:t>
      </w:r>
      <w:r w:rsidR="00FB6385" w:rsidRPr="003278ED">
        <w:rPr>
          <w:rFonts w:ascii="Times New Roman" w:eastAsia="Calibri" w:hAnsi="Times New Roman" w:cs="Times New Roman"/>
          <w:bCs/>
          <w:sz w:val="24"/>
          <w:szCs w:val="28"/>
        </w:rPr>
        <w:t xml:space="preserve"> mec</w:t>
      </w:r>
      <w:r w:rsidR="00712773" w:rsidRPr="003278ED">
        <w:rPr>
          <w:rFonts w:ascii="Times New Roman" w:eastAsia="Calibri" w:hAnsi="Times New Roman" w:cs="Times New Roman"/>
          <w:bCs/>
          <w:sz w:val="24"/>
          <w:szCs w:val="28"/>
        </w:rPr>
        <w:t>anismele de aplicare a acestora;</w:t>
      </w:r>
    </w:p>
    <w:p w14:paraId="28EBD444" w14:textId="41295373" w:rsidR="00FB6385" w:rsidRPr="003278ED" w:rsidRDefault="002E1447" w:rsidP="00A47DB5">
      <w:pPr>
        <w:pStyle w:val="Listparagraf"/>
        <w:numPr>
          <w:ilvl w:val="0"/>
          <w:numId w:val="16"/>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p</w:t>
      </w:r>
      <w:r w:rsidR="00FB6385" w:rsidRPr="003278ED">
        <w:rPr>
          <w:rFonts w:ascii="Times New Roman" w:eastAsia="Calibri" w:hAnsi="Times New Roman" w:cs="Times New Roman"/>
          <w:bCs/>
          <w:sz w:val="24"/>
          <w:szCs w:val="28"/>
        </w:rPr>
        <w:t xml:space="preserve">unerea în aplicare a </w:t>
      </w:r>
      <w:r w:rsidRPr="003278ED">
        <w:rPr>
          <w:rFonts w:ascii="Times New Roman" w:eastAsia="Calibri" w:hAnsi="Times New Roman" w:cs="Times New Roman"/>
          <w:bCs/>
          <w:sz w:val="24"/>
          <w:szCs w:val="28"/>
        </w:rPr>
        <w:t>n</w:t>
      </w:r>
      <w:r w:rsidR="00FB6385" w:rsidRPr="003278ED">
        <w:rPr>
          <w:rFonts w:ascii="Times New Roman" w:eastAsia="Calibri" w:hAnsi="Times New Roman" w:cs="Times New Roman"/>
          <w:bCs/>
          <w:sz w:val="24"/>
          <w:szCs w:val="28"/>
        </w:rPr>
        <w:t>oului sistem c</w:t>
      </w:r>
      <w:r w:rsidR="00712773" w:rsidRPr="003278ED">
        <w:rPr>
          <w:rFonts w:ascii="Times New Roman" w:eastAsia="Calibri" w:hAnsi="Times New Roman" w:cs="Times New Roman"/>
          <w:bCs/>
          <w:sz w:val="24"/>
          <w:szCs w:val="28"/>
        </w:rPr>
        <w:t>omputerizat de tranzit (NCTS);</w:t>
      </w:r>
    </w:p>
    <w:p w14:paraId="7A3AEB2C" w14:textId="378DC5F6" w:rsidR="00FB6385" w:rsidRPr="003278ED" w:rsidRDefault="002E1447" w:rsidP="00A47DB5">
      <w:pPr>
        <w:pStyle w:val="Listparagraf"/>
        <w:numPr>
          <w:ilvl w:val="0"/>
          <w:numId w:val="16"/>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FB6385" w:rsidRPr="003278ED">
        <w:rPr>
          <w:rFonts w:ascii="Times New Roman" w:eastAsia="Calibri" w:hAnsi="Times New Roman" w:cs="Times New Roman"/>
          <w:bCs/>
          <w:sz w:val="24"/>
          <w:szCs w:val="28"/>
        </w:rPr>
        <w:t>ezvoltarea procedurilor simplificate de vămuire (procedura declarației simplificate, procedura înscrier</w:t>
      </w:r>
      <w:r w:rsidR="00712773" w:rsidRPr="003278ED">
        <w:rPr>
          <w:rFonts w:ascii="Times New Roman" w:eastAsia="Calibri" w:hAnsi="Times New Roman" w:cs="Times New Roman"/>
          <w:bCs/>
          <w:sz w:val="24"/>
          <w:szCs w:val="28"/>
        </w:rPr>
        <w:t>ii în evidențe a declarantului);</w:t>
      </w:r>
    </w:p>
    <w:p w14:paraId="415CF936" w14:textId="1E34CBC7" w:rsidR="00075A90" w:rsidRPr="003278ED" w:rsidRDefault="002E1447" w:rsidP="00A47DB5">
      <w:pPr>
        <w:pStyle w:val="Listparagraf"/>
        <w:numPr>
          <w:ilvl w:val="0"/>
          <w:numId w:val="17"/>
        </w:numPr>
        <w:tabs>
          <w:tab w:val="left" w:pos="993"/>
        </w:tabs>
        <w:spacing w:after="0" w:line="240" w:lineRule="auto"/>
        <w:ind w:left="0" w:firstLine="709"/>
        <w:jc w:val="both"/>
        <w:rPr>
          <w:rFonts w:ascii="Times New Roman" w:eastAsia="Times New Roman" w:hAnsi="Times New Roman" w:cs="Times New Roman"/>
          <w:b/>
          <w:sz w:val="24"/>
          <w:szCs w:val="24"/>
        </w:rPr>
      </w:pPr>
      <w:r w:rsidRPr="003278ED">
        <w:rPr>
          <w:rFonts w:ascii="Times New Roman" w:eastAsia="Calibri" w:hAnsi="Times New Roman" w:cs="Times New Roman"/>
          <w:bCs/>
          <w:sz w:val="24"/>
          <w:szCs w:val="28"/>
        </w:rPr>
        <w:t>m</w:t>
      </w:r>
      <w:r w:rsidR="00FB6385" w:rsidRPr="003278ED">
        <w:rPr>
          <w:rFonts w:ascii="Times New Roman" w:eastAsia="Calibri" w:hAnsi="Times New Roman" w:cs="Times New Roman"/>
          <w:bCs/>
          <w:sz w:val="24"/>
          <w:szCs w:val="28"/>
        </w:rPr>
        <w:t>onitorizarea implementării Deciziei de  recunoaștere reciproc</w:t>
      </w:r>
      <w:r w:rsidR="00713116" w:rsidRPr="003278ED">
        <w:rPr>
          <w:rFonts w:ascii="Times New Roman" w:eastAsia="Calibri" w:hAnsi="Times New Roman" w:cs="Times New Roman"/>
          <w:bCs/>
          <w:sz w:val="24"/>
          <w:szCs w:val="28"/>
        </w:rPr>
        <w:t>ă</w:t>
      </w:r>
      <w:r w:rsidR="00FB6385" w:rsidRPr="003278ED">
        <w:rPr>
          <w:rFonts w:ascii="Times New Roman" w:eastAsia="Calibri" w:hAnsi="Times New Roman" w:cs="Times New Roman"/>
          <w:bCs/>
          <w:sz w:val="24"/>
          <w:szCs w:val="28"/>
        </w:rPr>
        <w:t xml:space="preserve"> a operatorilor economici autorizați (AEO) cu statele membre UE.</w:t>
      </w:r>
    </w:p>
    <w:p w14:paraId="26D15AC5" w14:textId="77777777" w:rsidR="00EF7E8F" w:rsidRPr="003278ED" w:rsidRDefault="00EF7E8F" w:rsidP="007D3A2B">
      <w:pPr>
        <w:tabs>
          <w:tab w:val="left" w:pos="426"/>
          <w:tab w:val="left" w:pos="993"/>
        </w:tabs>
        <w:spacing w:after="0" w:line="240" w:lineRule="auto"/>
        <w:ind w:firstLine="709"/>
        <w:jc w:val="both"/>
        <w:rPr>
          <w:rFonts w:ascii="Times New Roman" w:eastAsia="Calibri" w:hAnsi="Times New Roman" w:cs="Times New Roman"/>
          <w:b/>
          <w:bCs/>
          <w:i/>
          <w:sz w:val="24"/>
          <w:szCs w:val="28"/>
        </w:rPr>
      </w:pPr>
    </w:p>
    <w:p w14:paraId="4893FC5A" w14:textId="77777777" w:rsidR="00730A78" w:rsidRPr="003278ED" w:rsidRDefault="00730A78" w:rsidP="00A47DB5">
      <w:pPr>
        <w:tabs>
          <w:tab w:val="left" w:pos="426"/>
          <w:tab w:val="left" w:pos="993"/>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 xml:space="preserve">Sporirea nivelului de securitate economică a statului </w:t>
      </w:r>
      <w:proofErr w:type="spellStart"/>
      <w:r w:rsidRPr="003278ED">
        <w:rPr>
          <w:rFonts w:ascii="Times New Roman" w:eastAsia="Calibri" w:hAnsi="Times New Roman" w:cs="Times New Roman"/>
          <w:b/>
          <w:bCs/>
          <w:i/>
          <w:sz w:val="24"/>
          <w:szCs w:val="28"/>
        </w:rPr>
        <w:t>şi</w:t>
      </w:r>
      <w:proofErr w:type="spellEnd"/>
      <w:r w:rsidRPr="003278ED">
        <w:rPr>
          <w:rFonts w:ascii="Times New Roman" w:eastAsia="Calibri" w:hAnsi="Times New Roman" w:cs="Times New Roman"/>
          <w:b/>
          <w:bCs/>
          <w:i/>
          <w:sz w:val="24"/>
          <w:szCs w:val="28"/>
        </w:rPr>
        <w:t xml:space="preserve"> de securizare a frontierei de stat:</w:t>
      </w:r>
    </w:p>
    <w:p w14:paraId="7044D8CB" w14:textId="79ACDFA8" w:rsidR="00730A78" w:rsidRPr="003278ED" w:rsidRDefault="00CA5BC5" w:rsidP="00A47DB5">
      <w:pPr>
        <w:pStyle w:val="Listparagraf"/>
        <w:numPr>
          <w:ilvl w:val="0"/>
          <w:numId w:val="18"/>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e</w:t>
      </w:r>
      <w:r w:rsidR="00730A78" w:rsidRPr="003278ED">
        <w:rPr>
          <w:rFonts w:ascii="Times New Roman" w:eastAsia="Calibri" w:hAnsi="Times New Roman" w:cs="Times New Roman"/>
          <w:bCs/>
          <w:sz w:val="24"/>
          <w:szCs w:val="28"/>
        </w:rPr>
        <w:t xml:space="preserve">ficientizarea măsurilor de prevenire </w:t>
      </w:r>
      <w:proofErr w:type="spellStart"/>
      <w:r w:rsidR="009D4332" w:rsidRPr="003278ED">
        <w:rPr>
          <w:rFonts w:ascii="Times New Roman" w:eastAsia="Calibri" w:hAnsi="Times New Roman" w:cs="Times New Roman"/>
          <w:bCs/>
          <w:sz w:val="24"/>
          <w:szCs w:val="28"/>
        </w:rPr>
        <w:t>şi</w:t>
      </w:r>
      <w:proofErr w:type="spellEnd"/>
      <w:r w:rsidR="009D4332" w:rsidRPr="003278ED">
        <w:rPr>
          <w:rFonts w:ascii="Times New Roman" w:eastAsia="Calibri" w:hAnsi="Times New Roman" w:cs="Times New Roman"/>
          <w:bCs/>
          <w:sz w:val="24"/>
          <w:szCs w:val="28"/>
        </w:rPr>
        <w:t xml:space="preserve"> combatere a fraudelor vamale;</w:t>
      </w:r>
    </w:p>
    <w:p w14:paraId="1C3DC442" w14:textId="32660C01" w:rsidR="00730A78" w:rsidRPr="003278ED" w:rsidRDefault="00CA5BC5" w:rsidP="00A47DB5">
      <w:pPr>
        <w:pStyle w:val="Listparagraf"/>
        <w:numPr>
          <w:ilvl w:val="0"/>
          <w:numId w:val="18"/>
        </w:numPr>
        <w:tabs>
          <w:tab w:val="left" w:pos="426"/>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730A78" w:rsidRPr="003278ED">
        <w:rPr>
          <w:rFonts w:ascii="Times New Roman" w:eastAsia="Calibri" w:hAnsi="Times New Roman" w:cs="Times New Roman"/>
          <w:bCs/>
          <w:sz w:val="24"/>
          <w:szCs w:val="28"/>
        </w:rPr>
        <w:t xml:space="preserve">onsolidarea cooperării cu Oficiul European Antifraudă și </w:t>
      </w:r>
      <w:r w:rsidRPr="003278ED">
        <w:rPr>
          <w:rFonts w:ascii="Times New Roman" w:eastAsia="Calibri" w:hAnsi="Times New Roman" w:cs="Times New Roman"/>
          <w:bCs/>
          <w:sz w:val="24"/>
          <w:szCs w:val="28"/>
        </w:rPr>
        <w:t xml:space="preserve">cu </w:t>
      </w:r>
      <w:r w:rsidR="00730A78" w:rsidRPr="003278ED">
        <w:rPr>
          <w:rFonts w:ascii="Times New Roman" w:eastAsia="Calibri" w:hAnsi="Times New Roman" w:cs="Times New Roman"/>
          <w:bCs/>
          <w:sz w:val="24"/>
          <w:szCs w:val="28"/>
        </w:rPr>
        <w:t xml:space="preserve">Parchetul European </w:t>
      </w:r>
      <w:r w:rsidR="009D4332" w:rsidRPr="003278ED">
        <w:rPr>
          <w:rFonts w:ascii="Times New Roman" w:eastAsia="Calibri" w:hAnsi="Times New Roman" w:cs="Times New Roman"/>
          <w:bCs/>
          <w:sz w:val="24"/>
          <w:szCs w:val="28"/>
        </w:rPr>
        <w:t>în lupta împotriva contrabandei;</w:t>
      </w:r>
    </w:p>
    <w:p w14:paraId="089EC9A8" w14:textId="3811535A" w:rsidR="00730A78" w:rsidRPr="003278ED" w:rsidRDefault="00CA5BC5" w:rsidP="00A47DB5">
      <w:pPr>
        <w:pStyle w:val="Listparagraf"/>
        <w:numPr>
          <w:ilvl w:val="0"/>
          <w:numId w:val="18"/>
        </w:numPr>
        <w:tabs>
          <w:tab w:val="left" w:pos="426"/>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730A78" w:rsidRPr="003278ED">
        <w:rPr>
          <w:rFonts w:ascii="Times New Roman" w:eastAsia="Calibri" w:hAnsi="Times New Roman" w:cs="Times New Roman"/>
          <w:bCs/>
          <w:sz w:val="24"/>
          <w:szCs w:val="28"/>
        </w:rPr>
        <w:t>onsolidarea managementului riscuri</w:t>
      </w:r>
      <w:r w:rsidR="009D4332" w:rsidRPr="003278ED">
        <w:rPr>
          <w:rFonts w:ascii="Times New Roman" w:eastAsia="Calibri" w:hAnsi="Times New Roman" w:cs="Times New Roman"/>
          <w:bCs/>
          <w:sz w:val="24"/>
          <w:szCs w:val="28"/>
        </w:rPr>
        <w:t>lor în cadrul Serviciului Vamal;</w:t>
      </w:r>
      <w:r w:rsidR="00730A78" w:rsidRPr="003278ED">
        <w:rPr>
          <w:rFonts w:ascii="Times New Roman" w:eastAsia="Calibri" w:hAnsi="Times New Roman" w:cs="Times New Roman"/>
          <w:bCs/>
          <w:sz w:val="24"/>
          <w:szCs w:val="28"/>
        </w:rPr>
        <w:t xml:space="preserve"> </w:t>
      </w:r>
    </w:p>
    <w:p w14:paraId="4EAAF5EA" w14:textId="0B5ECABF" w:rsidR="00730A78" w:rsidRPr="003278ED" w:rsidRDefault="00CA5BC5" w:rsidP="00A47DB5">
      <w:pPr>
        <w:pStyle w:val="Listparagraf"/>
        <w:tabs>
          <w:tab w:val="left" w:pos="426"/>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p</w:t>
      </w:r>
      <w:r w:rsidR="00730A78" w:rsidRPr="003278ED">
        <w:rPr>
          <w:rFonts w:ascii="Times New Roman" w:eastAsia="Calibri" w:hAnsi="Times New Roman" w:cs="Times New Roman"/>
          <w:bCs/>
          <w:sz w:val="24"/>
          <w:szCs w:val="28"/>
        </w:rPr>
        <w:t>revenirea, investigarea și combaterea schemelor ilegale și a corupției, precum și eliminarea intereselor personale și obscure care au tangență cu perimetrul transnistrean și care prejudiciază bugetul de stat și dezvolt</w:t>
      </w:r>
      <w:r w:rsidR="009D4332" w:rsidRPr="003278ED">
        <w:rPr>
          <w:rFonts w:ascii="Times New Roman" w:eastAsia="Calibri" w:hAnsi="Times New Roman" w:cs="Times New Roman"/>
          <w:bCs/>
          <w:sz w:val="24"/>
          <w:szCs w:val="28"/>
        </w:rPr>
        <w:t>area economică durabilă a țării;</w:t>
      </w:r>
    </w:p>
    <w:p w14:paraId="0FA90194" w14:textId="039D7895" w:rsidR="00730A78" w:rsidRPr="003278ED" w:rsidRDefault="00CA5BC5" w:rsidP="00A47DB5">
      <w:pPr>
        <w:pStyle w:val="Listparagraf"/>
        <w:numPr>
          <w:ilvl w:val="0"/>
          <w:numId w:val="18"/>
        </w:numPr>
        <w:tabs>
          <w:tab w:val="left" w:pos="426"/>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w:t>
      </w:r>
      <w:r w:rsidR="00730A78" w:rsidRPr="003278ED">
        <w:rPr>
          <w:rFonts w:ascii="Times New Roman" w:eastAsia="Calibri" w:hAnsi="Times New Roman" w:cs="Times New Roman"/>
          <w:bCs/>
          <w:sz w:val="24"/>
          <w:szCs w:val="28"/>
        </w:rPr>
        <w:t>onsolidarea competen</w:t>
      </w:r>
      <w:r w:rsidR="009D4332" w:rsidRPr="003278ED">
        <w:rPr>
          <w:rFonts w:ascii="Times New Roman" w:eastAsia="Calibri" w:hAnsi="Times New Roman" w:cs="Times New Roman"/>
          <w:bCs/>
          <w:sz w:val="24"/>
          <w:szCs w:val="28"/>
        </w:rPr>
        <w:t>ț</w:t>
      </w:r>
      <w:r w:rsidR="00730A78" w:rsidRPr="003278ED">
        <w:rPr>
          <w:rFonts w:ascii="Times New Roman" w:eastAsia="Calibri" w:hAnsi="Times New Roman" w:cs="Times New Roman"/>
          <w:bCs/>
          <w:sz w:val="24"/>
          <w:szCs w:val="28"/>
        </w:rPr>
        <w:t>elor Serviciului V</w:t>
      </w:r>
      <w:r w:rsidRPr="003278ED">
        <w:rPr>
          <w:rFonts w:ascii="Times New Roman" w:eastAsia="Calibri" w:hAnsi="Times New Roman" w:cs="Times New Roman"/>
          <w:bCs/>
          <w:sz w:val="24"/>
          <w:szCs w:val="28"/>
        </w:rPr>
        <w:t xml:space="preserve">amal în domeniul auditului </w:t>
      </w:r>
      <w:proofErr w:type="spellStart"/>
      <w:r w:rsidRPr="003278ED">
        <w:rPr>
          <w:rFonts w:ascii="Times New Roman" w:eastAsia="Calibri" w:hAnsi="Times New Roman" w:cs="Times New Roman"/>
          <w:bCs/>
          <w:sz w:val="24"/>
          <w:szCs w:val="28"/>
        </w:rPr>
        <w:t>post</w:t>
      </w:r>
      <w:r w:rsidR="00730A78" w:rsidRPr="003278ED">
        <w:rPr>
          <w:rFonts w:ascii="Times New Roman" w:eastAsia="Calibri" w:hAnsi="Times New Roman" w:cs="Times New Roman"/>
          <w:bCs/>
          <w:sz w:val="24"/>
          <w:szCs w:val="28"/>
        </w:rPr>
        <w:t>vămuire</w:t>
      </w:r>
      <w:proofErr w:type="spellEnd"/>
      <w:r w:rsidR="00730A78" w:rsidRPr="003278ED">
        <w:rPr>
          <w:rFonts w:ascii="Times New Roman" w:eastAsia="Calibri" w:hAnsi="Times New Roman" w:cs="Times New Roman"/>
          <w:bCs/>
          <w:sz w:val="24"/>
          <w:szCs w:val="28"/>
        </w:rPr>
        <w:t>, bazat pe sistemul informa</w:t>
      </w:r>
      <w:r w:rsidR="009D4332" w:rsidRPr="003278ED">
        <w:rPr>
          <w:rFonts w:ascii="Times New Roman" w:eastAsia="Calibri" w:hAnsi="Times New Roman" w:cs="Times New Roman"/>
          <w:bCs/>
          <w:sz w:val="24"/>
          <w:szCs w:val="28"/>
        </w:rPr>
        <w:t>ț</w:t>
      </w:r>
      <w:r w:rsidR="00730A78" w:rsidRPr="003278ED">
        <w:rPr>
          <w:rFonts w:ascii="Times New Roman" w:eastAsia="Calibri" w:hAnsi="Times New Roman" w:cs="Times New Roman"/>
          <w:bCs/>
          <w:sz w:val="24"/>
          <w:szCs w:val="28"/>
        </w:rPr>
        <w:t>ional automatizat, specializat în efectuarea anal</w:t>
      </w:r>
      <w:r w:rsidR="009D4332" w:rsidRPr="003278ED">
        <w:rPr>
          <w:rFonts w:ascii="Times New Roman" w:eastAsia="Calibri" w:hAnsi="Times New Roman" w:cs="Times New Roman"/>
          <w:bCs/>
          <w:sz w:val="24"/>
          <w:szCs w:val="28"/>
        </w:rPr>
        <w:t xml:space="preserve">izei de risc </w:t>
      </w:r>
      <w:proofErr w:type="spellStart"/>
      <w:r w:rsidR="009D4332" w:rsidRPr="003278ED">
        <w:rPr>
          <w:rFonts w:ascii="Times New Roman" w:eastAsia="Calibri" w:hAnsi="Times New Roman" w:cs="Times New Roman"/>
          <w:bCs/>
          <w:sz w:val="24"/>
          <w:szCs w:val="28"/>
        </w:rPr>
        <w:t>şi</w:t>
      </w:r>
      <w:proofErr w:type="spellEnd"/>
      <w:r w:rsidR="009D4332" w:rsidRPr="003278ED">
        <w:rPr>
          <w:rFonts w:ascii="Times New Roman" w:eastAsia="Calibri" w:hAnsi="Times New Roman" w:cs="Times New Roman"/>
          <w:bCs/>
          <w:sz w:val="24"/>
          <w:szCs w:val="28"/>
        </w:rPr>
        <w:t xml:space="preserve"> selectarea agenț</w:t>
      </w:r>
      <w:r w:rsidR="00730A78" w:rsidRPr="003278ED">
        <w:rPr>
          <w:rFonts w:ascii="Times New Roman" w:eastAsia="Calibri" w:hAnsi="Times New Roman" w:cs="Times New Roman"/>
          <w:bCs/>
          <w:sz w:val="24"/>
          <w:szCs w:val="28"/>
        </w:rPr>
        <w:t>ilor economici pentru efectuarea controlului ulterior.</w:t>
      </w:r>
    </w:p>
    <w:p w14:paraId="61AE4FFF" w14:textId="77777777" w:rsidR="00EF7E8F" w:rsidRPr="003278ED" w:rsidRDefault="00EF7E8F" w:rsidP="00A47DB5">
      <w:pPr>
        <w:tabs>
          <w:tab w:val="left" w:pos="426"/>
          <w:tab w:val="left" w:pos="993"/>
        </w:tabs>
        <w:spacing w:after="0" w:line="240" w:lineRule="auto"/>
        <w:ind w:firstLine="709"/>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lastRenderedPageBreak/>
        <w:t>Modernizarea infrastructurii Serviciului Vamal prin prisma gestionării coerente și eficiente a proiectelor de asistență:</w:t>
      </w:r>
    </w:p>
    <w:p w14:paraId="773FE38B" w14:textId="39C9E049" w:rsidR="00EF7E8F" w:rsidRPr="003278ED" w:rsidRDefault="00CA5BC5" w:rsidP="00A47DB5">
      <w:pPr>
        <w:pStyle w:val="Listparagraf"/>
        <w:numPr>
          <w:ilvl w:val="0"/>
          <w:numId w:val="19"/>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d</w:t>
      </w:r>
      <w:r w:rsidR="00EF7E8F" w:rsidRPr="003278ED">
        <w:rPr>
          <w:rFonts w:ascii="Times New Roman" w:eastAsia="Calibri" w:hAnsi="Times New Roman" w:cs="Times New Roman"/>
          <w:bCs/>
          <w:sz w:val="24"/>
          <w:szCs w:val="28"/>
        </w:rPr>
        <w:t>ezvoltarea infrastructurii aferente AEO în celelalte posturi vamale de frontieră cu Rom</w:t>
      </w:r>
      <w:r w:rsidR="00E86017" w:rsidRPr="003278ED">
        <w:rPr>
          <w:rFonts w:ascii="Times New Roman" w:eastAsia="Calibri" w:hAnsi="Times New Roman" w:cs="Times New Roman"/>
          <w:bCs/>
          <w:sz w:val="24"/>
          <w:szCs w:val="28"/>
        </w:rPr>
        <w:t>â</w:t>
      </w:r>
      <w:r w:rsidR="00EF7E8F" w:rsidRPr="003278ED">
        <w:rPr>
          <w:rFonts w:ascii="Times New Roman" w:eastAsia="Calibri" w:hAnsi="Times New Roman" w:cs="Times New Roman"/>
          <w:bCs/>
          <w:sz w:val="24"/>
          <w:szCs w:val="28"/>
        </w:rPr>
        <w:t xml:space="preserve">nia, pentru extinderea implementării recunoașterii mutuale a AEO cu UE și traversarea </w:t>
      </w:r>
      <w:r w:rsidR="0024167D" w:rsidRPr="003278ED">
        <w:rPr>
          <w:rFonts w:ascii="Times New Roman" w:eastAsia="Calibri" w:hAnsi="Times New Roman" w:cs="Times New Roman"/>
          <w:bCs/>
          <w:sz w:val="24"/>
          <w:szCs w:val="28"/>
        </w:rPr>
        <w:t>prioritară a frontierei de stat;</w:t>
      </w:r>
    </w:p>
    <w:p w14:paraId="690939A3" w14:textId="1F1FD6E6" w:rsidR="00EF7E8F" w:rsidRPr="003278ED" w:rsidRDefault="00CA5BC5" w:rsidP="00A47DB5">
      <w:pPr>
        <w:pStyle w:val="Listparagraf"/>
        <w:numPr>
          <w:ilvl w:val="0"/>
          <w:numId w:val="19"/>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p</w:t>
      </w:r>
      <w:r w:rsidR="00EF7E8F" w:rsidRPr="003278ED">
        <w:rPr>
          <w:rFonts w:ascii="Times New Roman" w:eastAsia="Calibri" w:hAnsi="Times New Roman" w:cs="Times New Roman"/>
          <w:bCs/>
          <w:sz w:val="24"/>
          <w:szCs w:val="28"/>
        </w:rPr>
        <w:t xml:space="preserve">articiparea în cadrul </w:t>
      </w:r>
      <w:r w:rsidRPr="003278ED">
        <w:rPr>
          <w:rFonts w:ascii="Times New Roman" w:eastAsia="Calibri" w:hAnsi="Times New Roman" w:cs="Times New Roman"/>
          <w:bCs/>
          <w:sz w:val="24"/>
          <w:szCs w:val="28"/>
        </w:rPr>
        <w:t>Proiectului ,,Construcția terminalului v</w:t>
      </w:r>
      <w:r w:rsidR="00EF7E8F" w:rsidRPr="003278ED">
        <w:rPr>
          <w:rFonts w:ascii="Times New Roman" w:eastAsia="Calibri" w:hAnsi="Times New Roman" w:cs="Times New Roman"/>
          <w:bCs/>
          <w:sz w:val="24"/>
          <w:szCs w:val="28"/>
        </w:rPr>
        <w:t>amal lângă Chișinău”</w:t>
      </w:r>
      <w:r w:rsidR="00226FE5" w:rsidRPr="003278ED">
        <w:rPr>
          <w:rFonts w:ascii="Times New Roman" w:eastAsia="Calibri" w:hAnsi="Times New Roman" w:cs="Times New Roman"/>
          <w:bCs/>
          <w:sz w:val="24"/>
          <w:szCs w:val="28"/>
        </w:rPr>
        <w:t>,</w:t>
      </w:r>
      <w:r w:rsidR="00EF7E8F" w:rsidRPr="003278ED">
        <w:rPr>
          <w:rFonts w:ascii="Times New Roman" w:eastAsia="Calibri" w:hAnsi="Times New Roman" w:cs="Times New Roman"/>
          <w:bCs/>
          <w:sz w:val="24"/>
          <w:szCs w:val="28"/>
        </w:rPr>
        <w:t xml:space="preserve"> în vederea instituirii unei singure locații de p</w:t>
      </w:r>
      <w:r w:rsidR="0024167D" w:rsidRPr="003278ED">
        <w:rPr>
          <w:rFonts w:ascii="Times New Roman" w:eastAsia="Calibri" w:hAnsi="Times New Roman" w:cs="Times New Roman"/>
          <w:bCs/>
          <w:sz w:val="24"/>
          <w:szCs w:val="28"/>
        </w:rPr>
        <w:t>erfectare a procedurilor vamale;</w:t>
      </w:r>
    </w:p>
    <w:p w14:paraId="21F52305" w14:textId="6BEB2355" w:rsidR="00EF7E8F" w:rsidRPr="003278ED" w:rsidRDefault="00CA5BC5" w:rsidP="00A47DB5">
      <w:pPr>
        <w:pStyle w:val="Listparagraf"/>
        <w:numPr>
          <w:ilvl w:val="0"/>
          <w:numId w:val="19"/>
        </w:numPr>
        <w:tabs>
          <w:tab w:val="left" w:pos="426"/>
          <w:tab w:val="left" w:pos="993"/>
        </w:tabs>
        <w:spacing w:after="0" w:line="240" w:lineRule="auto"/>
        <w:ind w:left="0" w:firstLine="709"/>
        <w:contextualSpacing w:val="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i</w:t>
      </w:r>
      <w:r w:rsidR="00EF7E8F" w:rsidRPr="003278ED">
        <w:rPr>
          <w:rFonts w:ascii="Times New Roman" w:eastAsia="Calibri" w:hAnsi="Times New Roman" w:cs="Times New Roman"/>
          <w:bCs/>
          <w:sz w:val="24"/>
          <w:szCs w:val="28"/>
        </w:rPr>
        <w:t>mplementarea în cadrul punctelor de trecere a frontierei de stat rutiere a sistemului electronic de management al rândurilor la traversar</w:t>
      </w:r>
      <w:r w:rsidR="0024167D" w:rsidRPr="003278ED">
        <w:rPr>
          <w:rFonts w:ascii="Times New Roman" w:eastAsia="Calibri" w:hAnsi="Times New Roman" w:cs="Times New Roman"/>
          <w:bCs/>
          <w:sz w:val="24"/>
          <w:szCs w:val="28"/>
        </w:rPr>
        <w:t>ea frontierei de stat;</w:t>
      </w:r>
    </w:p>
    <w:p w14:paraId="544D3382" w14:textId="6F54A8C3" w:rsidR="00EF7E8F" w:rsidRPr="003278ED" w:rsidRDefault="00CA5BC5" w:rsidP="00A47DB5">
      <w:pPr>
        <w:pStyle w:val="Listparagraf"/>
        <w:numPr>
          <w:ilvl w:val="0"/>
          <w:numId w:val="19"/>
        </w:numPr>
        <w:tabs>
          <w:tab w:val="left" w:pos="426"/>
          <w:tab w:val="left" w:pos="993"/>
        </w:tabs>
        <w:spacing w:after="0" w:line="240" w:lineRule="auto"/>
        <w:ind w:left="0"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m</w:t>
      </w:r>
      <w:r w:rsidR="00EF7E8F" w:rsidRPr="003278ED">
        <w:rPr>
          <w:rFonts w:ascii="Times New Roman" w:eastAsia="Calibri" w:hAnsi="Times New Roman" w:cs="Times New Roman"/>
          <w:bCs/>
          <w:sz w:val="24"/>
          <w:szCs w:val="28"/>
        </w:rPr>
        <w:t>odernizarea și reconstrucția infrastructurii vamale (</w:t>
      </w:r>
      <w:r w:rsidR="00DA0AD9" w:rsidRPr="003278ED">
        <w:rPr>
          <w:rFonts w:ascii="Times New Roman" w:eastAsia="Calibri" w:hAnsi="Times New Roman" w:cs="Times New Roman"/>
          <w:bCs/>
          <w:sz w:val="24"/>
          <w:szCs w:val="28"/>
        </w:rPr>
        <w:t>P</w:t>
      </w:r>
      <w:r w:rsidR="00EF7E8F" w:rsidRPr="003278ED">
        <w:rPr>
          <w:rFonts w:ascii="Times New Roman" w:eastAsia="Calibri" w:hAnsi="Times New Roman" w:cs="Times New Roman"/>
          <w:bCs/>
          <w:sz w:val="24"/>
          <w:szCs w:val="28"/>
        </w:rPr>
        <w:t xml:space="preserve">rogramul </w:t>
      </w:r>
      <w:r w:rsidR="007F228B"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Mecanismul pentru i</w:t>
      </w:r>
      <w:r w:rsidR="00EF7E8F" w:rsidRPr="003278ED">
        <w:rPr>
          <w:rFonts w:ascii="Times New Roman" w:eastAsia="Calibri" w:hAnsi="Times New Roman" w:cs="Times New Roman"/>
          <w:bCs/>
          <w:sz w:val="24"/>
          <w:szCs w:val="28"/>
        </w:rPr>
        <w:t>nterconectarea Europei</w:t>
      </w:r>
      <w:r w:rsidR="007F228B"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w:t>
      </w:r>
      <w:r w:rsidR="00EF7E8F" w:rsidRPr="003278ED">
        <w:rPr>
          <w:rFonts w:ascii="Times New Roman" w:eastAsia="Calibri" w:hAnsi="Times New Roman" w:cs="Times New Roman"/>
          <w:bCs/>
          <w:sz w:val="24"/>
          <w:szCs w:val="28"/>
        </w:rPr>
        <w:t xml:space="preserve">. Finanțarea este destinată dezvoltării infrastructurii transfrontaliere Ungheni (MD) </w:t>
      </w:r>
      <w:r w:rsidRPr="003278ED">
        <w:rPr>
          <w:rFonts w:ascii="Times New Roman" w:eastAsia="Calibri" w:hAnsi="Times New Roman" w:cs="Times New Roman"/>
          <w:bCs/>
          <w:sz w:val="24"/>
          <w:szCs w:val="28"/>
        </w:rPr>
        <w:t>–</w:t>
      </w:r>
      <w:r w:rsidR="00EF7E8F" w:rsidRPr="003278ED">
        <w:rPr>
          <w:rFonts w:ascii="Times New Roman" w:eastAsia="Calibri" w:hAnsi="Times New Roman" w:cs="Times New Roman"/>
          <w:bCs/>
          <w:sz w:val="24"/>
          <w:szCs w:val="28"/>
        </w:rPr>
        <w:t xml:space="preserve"> Ungheni (RO), Leușeni (MD) – Albița (RO) și Giurgiulești (MD) – Galați (RO).</w:t>
      </w:r>
    </w:p>
    <w:p w14:paraId="67EED675" w14:textId="77777777" w:rsidR="00730A78" w:rsidRPr="003278ED" w:rsidRDefault="00730A78" w:rsidP="00A47DB5">
      <w:pPr>
        <w:tabs>
          <w:tab w:val="left" w:pos="993"/>
        </w:tabs>
        <w:spacing w:after="0" w:line="240" w:lineRule="auto"/>
        <w:ind w:firstLine="709"/>
        <w:jc w:val="both"/>
        <w:rPr>
          <w:rFonts w:ascii="Times New Roman" w:eastAsia="Times New Roman" w:hAnsi="Times New Roman" w:cs="Times New Roman"/>
          <w:b/>
          <w:sz w:val="24"/>
          <w:szCs w:val="24"/>
        </w:rPr>
      </w:pPr>
    </w:p>
    <w:p w14:paraId="50A6304D" w14:textId="1DDB2EC3" w:rsidR="00B36EC6" w:rsidRPr="003278ED" w:rsidRDefault="00B36EC6" w:rsidP="00A47DB5">
      <w:pPr>
        <w:tabs>
          <w:tab w:val="left" w:pos="709"/>
        </w:tabs>
        <w:spacing w:after="0" w:line="240" w:lineRule="auto"/>
        <w:ind w:firstLine="709"/>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 xml:space="preserve">Cadrul bugetar-fiscal </w:t>
      </w:r>
    </w:p>
    <w:p w14:paraId="686304AD" w14:textId="77777777" w:rsidR="00C22A76" w:rsidRPr="003278ED" w:rsidRDefault="00C22A76" w:rsidP="00A47DB5">
      <w:pPr>
        <w:pStyle w:val="Numberedtex"/>
        <w:numPr>
          <w:ilvl w:val="0"/>
          <w:numId w:val="0"/>
        </w:numPr>
        <w:tabs>
          <w:tab w:val="clear" w:pos="403"/>
          <w:tab w:val="left" w:pos="993"/>
        </w:tabs>
        <w:spacing w:before="0" w:after="0" w:line="240" w:lineRule="auto"/>
        <w:ind w:firstLine="709"/>
        <w:contextualSpacing/>
        <w:rPr>
          <w:rFonts w:ascii="Times New Roman" w:hAnsi="Times New Roman"/>
          <w:sz w:val="24"/>
          <w:szCs w:val="28"/>
          <w:lang w:val="ro-RO"/>
        </w:rPr>
      </w:pPr>
      <w:r w:rsidRPr="003278ED">
        <w:rPr>
          <w:rFonts w:ascii="Times New Roman" w:hAnsi="Times New Roman"/>
          <w:sz w:val="24"/>
          <w:szCs w:val="28"/>
          <w:lang w:val="ro-RO"/>
        </w:rPr>
        <w:t>CBTM (2025-2027) a fost elaborat cu respectarea indicatorilor-țintă ai cadrului de resurse și prezintă principalele evoluții ale cadrului macroeconomic în perioada de referință, cu incertitudini și riscuri semnificative.</w:t>
      </w:r>
    </w:p>
    <w:p w14:paraId="39B75882" w14:textId="77777777" w:rsidR="00C22A76" w:rsidRPr="003278ED" w:rsidRDefault="00C22A76" w:rsidP="00A47DB5">
      <w:pPr>
        <w:pStyle w:val="Numberedtex"/>
        <w:numPr>
          <w:ilvl w:val="0"/>
          <w:numId w:val="0"/>
        </w:numPr>
        <w:tabs>
          <w:tab w:val="clear" w:pos="403"/>
          <w:tab w:val="left" w:pos="993"/>
        </w:tabs>
        <w:spacing w:before="0" w:after="0" w:line="240" w:lineRule="auto"/>
        <w:ind w:firstLine="709"/>
        <w:contextualSpacing/>
        <w:rPr>
          <w:rFonts w:ascii="Times New Roman" w:hAnsi="Times New Roman"/>
          <w:i/>
          <w:sz w:val="24"/>
          <w:szCs w:val="28"/>
          <w:lang w:val="ro-RO"/>
        </w:rPr>
      </w:pPr>
      <w:r w:rsidRPr="003278ED">
        <w:rPr>
          <w:rFonts w:ascii="Times New Roman" w:hAnsi="Times New Roman"/>
          <w:sz w:val="24"/>
          <w:szCs w:val="28"/>
          <w:lang w:val="ro-RO"/>
        </w:rPr>
        <w:t xml:space="preserve">Politicile bugetar-fiscale sunt elaborate în concordanță cu alte politici convergente și vor asigura obiectivele </w:t>
      </w:r>
      <w:r w:rsidRPr="003278ED">
        <w:rPr>
          <w:rFonts w:ascii="Times New Roman" w:hAnsi="Times New Roman"/>
          <w:sz w:val="24"/>
          <w:szCs w:val="24"/>
          <w:lang w:val="ro-RO"/>
        </w:rPr>
        <w:t>asumate în Programul de guvernare</w:t>
      </w:r>
      <w:r w:rsidRPr="003278ED">
        <w:rPr>
          <w:rFonts w:ascii="Times New Roman" w:hAnsi="Times New Roman"/>
          <w:i/>
          <w:sz w:val="24"/>
          <w:szCs w:val="24"/>
          <w:lang w:val="ro-RO"/>
        </w:rPr>
        <w:t>,</w:t>
      </w:r>
      <w:r w:rsidRPr="003278ED">
        <w:rPr>
          <w:rFonts w:ascii="Times New Roman" w:hAnsi="Times New Roman"/>
          <w:b/>
          <w:i/>
          <w:sz w:val="24"/>
          <w:szCs w:val="24"/>
          <w:lang w:val="ro-RO"/>
        </w:rPr>
        <w:t xml:space="preserve"> </w:t>
      </w:r>
      <w:r w:rsidRPr="003278ED">
        <w:rPr>
          <w:rFonts w:ascii="Times New Roman" w:hAnsi="Times New Roman"/>
          <w:i/>
          <w:sz w:val="24"/>
          <w:szCs w:val="24"/>
          <w:lang w:val="ro-RO"/>
        </w:rPr>
        <w:t>însă limitate de posibilitățile cadrului bugetar pe termen mediu.</w:t>
      </w:r>
      <w:r w:rsidRPr="003278ED">
        <w:rPr>
          <w:rFonts w:ascii="Times New Roman" w:hAnsi="Times New Roman"/>
          <w:i/>
          <w:sz w:val="24"/>
          <w:szCs w:val="28"/>
          <w:lang w:val="ro-RO"/>
        </w:rPr>
        <w:t xml:space="preserve"> </w:t>
      </w:r>
    </w:p>
    <w:p w14:paraId="49CB5023" w14:textId="1FE1113C" w:rsidR="00C22A76" w:rsidRPr="003278ED" w:rsidRDefault="00C22A76" w:rsidP="00A47DB5">
      <w:pPr>
        <w:pStyle w:val="Numberedtex"/>
        <w:numPr>
          <w:ilvl w:val="0"/>
          <w:numId w:val="0"/>
        </w:numPr>
        <w:tabs>
          <w:tab w:val="clear" w:pos="403"/>
          <w:tab w:val="left" w:pos="993"/>
        </w:tabs>
        <w:spacing w:before="0" w:after="0" w:line="240" w:lineRule="auto"/>
        <w:ind w:firstLine="709"/>
        <w:contextualSpacing/>
        <w:rPr>
          <w:rFonts w:ascii="Times New Roman" w:hAnsi="Times New Roman"/>
          <w:sz w:val="24"/>
          <w:szCs w:val="28"/>
          <w:lang w:val="ro-RO"/>
        </w:rPr>
      </w:pPr>
      <w:r w:rsidRPr="003278ED">
        <w:rPr>
          <w:rFonts w:ascii="Times New Roman" w:hAnsi="Times New Roman"/>
          <w:sz w:val="24"/>
          <w:szCs w:val="28"/>
          <w:lang w:val="ro-RO"/>
        </w:rPr>
        <w:t xml:space="preserve">Conform criteriilor de performanță structurale stabilite în cadrul Programului susținut de Fondul Monetar Internațional, precum și în baza concluziilor comune ale dialogului economic și financiar dintre </w:t>
      </w:r>
      <w:r w:rsidR="00CA5BC5" w:rsidRPr="003278ED">
        <w:rPr>
          <w:rFonts w:ascii="Times New Roman" w:hAnsi="Times New Roman"/>
          <w:sz w:val="24"/>
          <w:szCs w:val="28"/>
          <w:lang w:val="ro-RO"/>
        </w:rPr>
        <w:t>UE</w:t>
      </w:r>
      <w:r w:rsidRPr="003278ED">
        <w:rPr>
          <w:rFonts w:ascii="Times New Roman" w:hAnsi="Times New Roman"/>
          <w:sz w:val="24"/>
          <w:szCs w:val="28"/>
          <w:lang w:val="ro-RO"/>
        </w:rPr>
        <w:t xml:space="preserve"> și Republica Moldova (Programul de reforme economice pentru anii 2024-2026), scenariul pe termen mediu prevede o reducere treptată a nivelului deficitului bugetar pentru următorii trei ani.</w:t>
      </w:r>
    </w:p>
    <w:p w14:paraId="17CE318C" w14:textId="2CDA3CF7" w:rsidR="00C22A76" w:rsidRPr="003278ED" w:rsidRDefault="00C22A76" w:rsidP="00A47DB5">
      <w:pPr>
        <w:pStyle w:val="Numberedtex"/>
        <w:numPr>
          <w:ilvl w:val="0"/>
          <w:numId w:val="0"/>
        </w:numPr>
        <w:tabs>
          <w:tab w:val="clear" w:pos="403"/>
          <w:tab w:val="left" w:pos="993"/>
        </w:tabs>
        <w:spacing w:before="0" w:after="0" w:line="240" w:lineRule="auto"/>
        <w:ind w:firstLine="709"/>
        <w:rPr>
          <w:rFonts w:ascii="Times New Roman" w:hAnsi="Times New Roman"/>
          <w:sz w:val="24"/>
          <w:szCs w:val="28"/>
          <w:lang w:val="ro-RO"/>
        </w:rPr>
      </w:pPr>
      <w:r w:rsidRPr="003278ED">
        <w:rPr>
          <w:rFonts w:ascii="Times New Roman" w:hAnsi="Times New Roman"/>
          <w:sz w:val="24"/>
          <w:szCs w:val="28"/>
          <w:lang w:val="ro-RO"/>
        </w:rPr>
        <w:t xml:space="preserve">Astfel, </w:t>
      </w:r>
      <w:r w:rsidRPr="003278ED">
        <w:rPr>
          <w:rFonts w:ascii="Times New Roman" w:hAnsi="Times New Roman"/>
          <w:i/>
          <w:sz w:val="24"/>
          <w:szCs w:val="28"/>
          <w:lang w:val="ro-RO"/>
        </w:rPr>
        <w:t>soldul bugetar negativ al bugetului public național</w:t>
      </w:r>
      <w:r w:rsidRPr="003278ED">
        <w:rPr>
          <w:rFonts w:ascii="Times New Roman" w:hAnsi="Times New Roman"/>
          <w:sz w:val="24"/>
          <w:szCs w:val="28"/>
          <w:lang w:val="ro-RO"/>
        </w:rPr>
        <w:t xml:space="preserve"> pe termen mediu se estimează să descrească de la </w:t>
      </w:r>
      <w:r w:rsidR="009633EC" w:rsidRPr="003278ED">
        <w:rPr>
          <w:rFonts w:ascii="Times New Roman" w:hAnsi="Times New Roman"/>
          <w:sz w:val="24"/>
          <w:szCs w:val="28"/>
          <w:lang w:val="ro-RO"/>
        </w:rPr>
        <w:t>4,6</w:t>
      </w:r>
      <w:r w:rsidRPr="003278ED">
        <w:rPr>
          <w:rFonts w:ascii="Times New Roman" w:hAnsi="Times New Roman"/>
          <w:sz w:val="24"/>
          <w:szCs w:val="28"/>
          <w:lang w:val="ro-RO"/>
        </w:rPr>
        <w:t xml:space="preserve"> % din PIB în 2024, 3,8 % – în 2025 până la 3,1 % – în 2027.</w:t>
      </w:r>
    </w:p>
    <w:p w14:paraId="5C4F91BD" w14:textId="7CC16052" w:rsidR="00B36EC6" w:rsidRPr="003278ED" w:rsidRDefault="00C22A76" w:rsidP="00A47DB5">
      <w:pPr>
        <w:tabs>
          <w:tab w:val="left" w:pos="993"/>
        </w:tabs>
        <w:spacing w:after="0" w:line="240" w:lineRule="auto"/>
        <w:ind w:firstLine="709"/>
        <w:jc w:val="both"/>
        <w:rPr>
          <w:rFonts w:ascii="Times New Roman" w:hAnsi="Times New Roman"/>
          <w:sz w:val="24"/>
          <w:szCs w:val="28"/>
        </w:rPr>
      </w:pPr>
      <w:r w:rsidRPr="003278ED">
        <w:rPr>
          <w:rFonts w:ascii="Times New Roman" w:hAnsi="Times New Roman"/>
          <w:sz w:val="24"/>
          <w:szCs w:val="28"/>
        </w:rPr>
        <w:t>În acest context</w:t>
      </w:r>
      <w:r w:rsidRPr="003278ED">
        <w:rPr>
          <w:rFonts w:ascii="Times New Roman" w:hAnsi="Times New Roman"/>
          <w:sz w:val="24"/>
          <w:szCs w:val="28"/>
          <w:lang w:eastAsia="ru-RU"/>
        </w:rPr>
        <w:t xml:space="preserve">, </w:t>
      </w:r>
      <w:r w:rsidRPr="003278ED">
        <w:rPr>
          <w:rFonts w:ascii="Times New Roman" w:hAnsi="Times New Roman"/>
          <w:sz w:val="24"/>
          <w:szCs w:val="28"/>
        </w:rPr>
        <w:t xml:space="preserve">la estimarea soldului bugetului public național (deficit) pentru anii 2025-2027 a fost utilizată clauza de derogare de la regula bugetar-fiscală conform prevederilor </w:t>
      </w:r>
      <w:r w:rsidR="00CA5BC5" w:rsidRPr="003278ED">
        <w:rPr>
          <w:rFonts w:ascii="Times New Roman" w:hAnsi="Times New Roman"/>
          <w:sz w:val="24"/>
          <w:szCs w:val="28"/>
        </w:rPr>
        <w:br/>
      </w:r>
      <w:r w:rsidRPr="003278ED">
        <w:rPr>
          <w:rFonts w:ascii="Times New Roman" w:hAnsi="Times New Roman"/>
          <w:sz w:val="24"/>
          <w:szCs w:val="28"/>
        </w:rPr>
        <w:t xml:space="preserve">art.15 alin. (1) </w:t>
      </w:r>
      <w:r w:rsidR="00CA5BC5" w:rsidRPr="003278ED">
        <w:rPr>
          <w:rFonts w:ascii="Times New Roman" w:hAnsi="Times New Roman"/>
          <w:sz w:val="24"/>
          <w:szCs w:val="28"/>
        </w:rPr>
        <w:t>din</w:t>
      </w:r>
      <w:r w:rsidRPr="003278ED">
        <w:rPr>
          <w:rFonts w:ascii="Times New Roman" w:hAnsi="Times New Roman"/>
          <w:sz w:val="24"/>
          <w:szCs w:val="28"/>
        </w:rPr>
        <w:t xml:space="preserve"> Leg</w:t>
      </w:r>
      <w:r w:rsidR="00CA5BC5" w:rsidRPr="003278ED">
        <w:rPr>
          <w:rFonts w:ascii="Times New Roman" w:hAnsi="Times New Roman"/>
          <w:sz w:val="24"/>
          <w:szCs w:val="28"/>
        </w:rPr>
        <w:t>ea</w:t>
      </w:r>
      <w:r w:rsidRPr="003278ED">
        <w:rPr>
          <w:rFonts w:ascii="Times New Roman" w:hAnsi="Times New Roman"/>
          <w:sz w:val="24"/>
          <w:szCs w:val="28"/>
        </w:rPr>
        <w:t xml:space="preserve"> finanțelor publice și responsabilității bugetar-fiscale nr. 181/2014, care admite depășirea nivelului limită al deficitului de la regula bugetar-fiscală în condițiile existenței surselor reale de finanțare a proiectelor de investiții capitale finanțate din surse externe. Punerea în aplicare a clauzei de derogare va permite Guvernului să finanțeze proiecte de investiții capitale</w:t>
      </w:r>
      <w:r w:rsidR="00E338E9" w:rsidRPr="003278ED">
        <w:rPr>
          <w:rFonts w:ascii="Times New Roman" w:hAnsi="Times New Roman"/>
          <w:sz w:val="24"/>
          <w:szCs w:val="28"/>
        </w:rPr>
        <w:t>,</w:t>
      </w:r>
      <w:r w:rsidRPr="003278ED">
        <w:rPr>
          <w:rFonts w:ascii="Times New Roman" w:hAnsi="Times New Roman"/>
          <w:sz w:val="24"/>
          <w:szCs w:val="28"/>
        </w:rPr>
        <w:t xml:space="preserve"> cu condiția c</w:t>
      </w:r>
      <w:r w:rsidR="00B23302" w:rsidRPr="003278ED">
        <w:rPr>
          <w:rFonts w:ascii="Times New Roman" w:hAnsi="Times New Roman"/>
          <w:sz w:val="24"/>
          <w:szCs w:val="28"/>
        </w:rPr>
        <w:t>ă</w:t>
      </w:r>
      <w:r w:rsidRPr="003278ED">
        <w:rPr>
          <w:rFonts w:ascii="Times New Roman" w:hAnsi="Times New Roman"/>
          <w:sz w:val="24"/>
          <w:szCs w:val="28"/>
        </w:rPr>
        <w:t xml:space="preserve"> aceste proiecte să fie finanțate din surse externe (tabelul 3.1).</w:t>
      </w:r>
    </w:p>
    <w:p w14:paraId="0B32B01A" w14:textId="45120FBE" w:rsidR="0047332D" w:rsidRPr="003278ED" w:rsidRDefault="0047332D" w:rsidP="00A47DB5">
      <w:pPr>
        <w:tabs>
          <w:tab w:val="left" w:pos="993"/>
        </w:tabs>
        <w:spacing w:after="0" w:line="240" w:lineRule="auto"/>
        <w:ind w:firstLine="709"/>
        <w:jc w:val="both"/>
        <w:rPr>
          <w:rFonts w:ascii="Times New Roman" w:hAnsi="Times New Roman"/>
          <w:sz w:val="24"/>
          <w:szCs w:val="28"/>
        </w:rPr>
      </w:pPr>
    </w:p>
    <w:p w14:paraId="7396DD3E" w14:textId="21993289" w:rsidR="00603642" w:rsidRPr="003278ED" w:rsidRDefault="00603642" w:rsidP="007D3A2B">
      <w:pPr>
        <w:tabs>
          <w:tab w:val="left" w:pos="993"/>
        </w:tabs>
        <w:spacing w:after="0" w:line="240" w:lineRule="auto"/>
        <w:jc w:val="right"/>
        <w:rPr>
          <w:rFonts w:ascii="Times New Roman" w:eastAsia="Calibri" w:hAnsi="Times New Roman" w:cs="Times New Roman"/>
          <w:szCs w:val="18"/>
        </w:rPr>
      </w:pPr>
      <w:r w:rsidRPr="003278ED">
        <w:rPr>
          <w:rFonts w:ascii="Times New Roman" w:eastAsia="Calibri" w:hAnsi="Times New Roman" w:cs="Times New Roman"/>
          <w:sz w:val="24"/>
          <w:szCs w:val="24"/>
        </w:rPr>
        <w:t>Tabelul 3.1</w:t>
      </w:r>
      <w:r w:rsidR="009F34DF" w:rsidRPr="003278ED">
        <w:rPr>
          <w:rFonts w:ascii="Times New Roman" w:eastAsia="Calibri" w:hAnsi="Times New Roman" w:cs="Times New Roman"/>
          <w:szCs w:val="18"/>
        </w:rPr>
        <w:t xml:space="preserve"> </w:t>
      </w:r>
    </w:p>
    <w:p w14:paraId="7DB28EB4" w14:textId="6F481AF4" w:rsidR="00603642" w:rsidRPr="003278ED" w:rsidRDefault="00603642" w:rsidP="007D3A2B">
      <w:pPr>
        <w:tabs>
          <w:tab w:val="left" w:pos="993"/>
        </w:tabs>
        <w:spacing w:after="0" w:line="240" w:lineRule="auto"/>
        <w:jc w:val="center"/>
        <w:rPr>
          <w:rFonts w:ascii="Times New Roman" w:eastAsia="Calibri" w:hAnsi="Times New Roman" w:cs="Times New Roman"/>
          <w:b/>
          <w:sz w:val="24"/>
          <w:szCs w:val="24"/>
        </w:rPr>
      </w:pPr>
      <w:r w:rsidRPr="003278ED">
        <w:rPr>
          <w:rFonts w:ascii="Times New Roman" w:eastAsia="Calibri" w:hAnsi="Times New Roman" w:cs="Times New Roman"/>
          <w:b/>
          <w:sz w:val="24"/>
          <w:szCs w:val="24"/>
        </w:rPr>
        <w:t>Concordanța cu regula bugetar-fiscală</w:t>
      </w:r>
    </w:p>
    <w:p w14:paraId="3C3EEACB" w14:textId="76E5F0EF" w:rsidR="0047332D" w:rsidRPr="003278ED" w:rsidRDefault="0047332D" w:rsidP="007D3A2B">
      <w:pPr>
        <w:tabs>
          <w:tab w:val="left" w:pos="993"/>
        </w:tabs>
        <w:spacing w:after="0" w:line="240" w:lineRule="auto"/>
        <w:jc w:val="right"/>
        <w:rPr>
          <w:rFonts w:ascii="Times New Roman" w:eastAsia="Calibri" w:hAnsi="Times New Roman" w:cs="Times New Roman"/>
          <w:b/>
          <w:szCs w:val="18"/>
        </w:rPr>
      </w:pPr>
      <w:r w:rsidRPr="003278ED">
        <w:rPr>
          <w:rFonts w:ascii="Times New Roman" w:eastAsia="Calibri" w:hAnsi="Times New Roman" w:cs="Times New Roman"/>
          <w:b/>
          <w:color w:val="000000"/>
          <w:sz w:val="16"/>
          <w:szCs w:val="18"/>
          <w:lang w:eastAsia="ro-RO"/>
        </w:rPr>
        <w:t xml:space="preserve">                     </w:t>
      </w:r>
      <w:r w:rsidRPr="003278ED">
        <w:rPr>
          <w:rFonts w:ascii="Times New Roman" w:eastAsia="Calibri" w:hAnsi="Times New Roman" w:cs="Times New Roman"/>
          <w:color w:val="000000"/>
          <w:sz w:val="16"/>
          <w:szCs w:val="18"/>
          <w:lang w:eastAsia="ro-RO"/>
        </w:rPr>
        <w:t>(% din PIB)</w:t>
      </w:r>
    </w:p>
    <w:tbl>
      <w:tblPr>
        <w:tblStyle w:val="Tabelgril"/>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1579"/>
        <w:gridCol w:w="1292"/>
        <w:gridCol w:w="1292"/>
        <w:gridCol w:w="1292"/>
      </w:tblGrid>
      <w:tr w:rsidR="0047332D" w:rsidRPr="003278ED" w14:paraId="38F1248D" w14:textId="77777777" w:rsidTr="004C2B11">
        <w:trPr>
          <w:tblHeader/>
        </w:trPr>
        <w:tc>
          <w:tcPr>
            <w:tcW w:w="2077" w:type="pct"/>
          </w:tcPr>
          <w:p w14:paraId="2ED7FBF6" w14:textId="77777777" w:rsidR="0047332D" w:rsidRPr="003278ED" w:rsidRDefault="0047332D" w:rsidP="007D3A2B">
            <w:pPr>
              <w:rPr>
                <w:rFonts w:cs="Times New Roman"/>
                <w:sz w:val="16"/>
                <w:szCs w:val="16"/>
              </w:rPr>
            </w:pPr>
          </w:p>
        </w:tc>
        <w:tc>
          <w:tcPr>
            <w:tcW w:w="846" w:type="pct"/>
          </w:tcPr>
          <w:p w14:paraId="2EE9D8B8" w14:textId="77777777" w:rsidR="0047332D" w:rsidRPr="003278ED" w:rsidRDefault="0047332D" w:rsidP="007D3A2B">
            <w:pPr>
              <w:jc w:val="center"/>
              <w:rPr>
                <w:rFonts w:cs="Times New Roman"/>
                <w:b/>
                <w:sz w:val="16"/>
                <w:szCs w:val="16"/>
              </w:rPr>
            </w:pPr>
            <w:r w:rsidRPr="003278ED">
              <w:rPr>
                <w:rFonts w:cs="Times New Roman"/>
                <w:b/>
                <w:sz w:val="16"/>
                <w:szCs w:val="16"/>
              </w:rPr>
              <w:t>2024</w:t>
            </w:r>
          </w:p>
        </w:tc>
        <w:tc>
          <w:tcPr>
            <w:tcW w:w="692" w:type="pct"/>
          </w:tcPr>
          <w:p w14:paraId="5C2BE834" w14:textId="77777777" w:rsidR="0047332D" w:rsidRPr="003278ED" w:rsidRDefault="0047332D" w:rsidP="007D3A2B">
            <w:pPr>
              <w:jc w:val="center"/>
              <w:rPr>
                <w:rFonts w:cs="Times New Roman"/>
                <w:b/>
                <w:sz w:val="16"/>
                <w:szCs w:val="16"/>
              </w:rPr>
            </w:pPr>
            <w:r w:rsidRPr="003278ED">
              <w:rPr>
                <w:rFonts w:cs="Times New Roman"/>
                <w:b/>
                <w:sz w:val="16"/>
                <w:szCs w:val="16"/>
              </w:rPr>
              <w:t>2025</w:t>
            </w:r>
          </w:p>
        </w:tc>
        <w:tc>
          <w:tcPr>
            <w:tcW w:w="692" w:type="pct"/>
          </w:tcPr>
          <w:p w14:paraId="1B77F92C" w14:textId="77777777" w:rsidR="0047332D" w:rsidRPr="003278ED" w:rsidRDefault="0047332D" w:rsidP="007D3A2B">
            <w:pPr>
              <w:jc w:val="center"/>
              <w:rPr>
                <w:rFonts w:cs="Times New Roman"/>
                <w:b/>
                <w:sz w:val="16"/>
                <w:szCs w:val="16"/>
              </w:rPr>
            </w:pPr>
            <w:r w:rsidRPr="003278ED">
              <w:rPr>
                <w:rFonts w:cs="Times New Roman"/>
                <w:b/>
                <w:sz w:val="16"/>
                <w:szCs w:val="16"/>
              </w:rPr>
              <w:t>2026</w:t>
            </w:r>
          </w:p>
        </w:tc>
        <w:tc>
          <w:tcPr>
            <w:tcW w:w="692" w:type="pct"/>
          </w:tcPr>
          <w:p w14:paraId="649EBE23" w14:textId="77777777" w:rsidR="0047332D" w:rsidRPr="003278ED" w:rsidRDefault="0047332D" w:rsidP="007D3A2B">
            <w:pPr>
              <w:jc w:val="center"/>
              <w:rPr>
                <w:rFonts w:cs="Times New Roman"/>
                <w:b/>
                <w:sz w:val="16"/>
                <w:szCs w:val="16"/>
              </w:rPr>
            </w:pPr>
            <w:r w:rsidRPr="003278ED">
              <w:rPr>
                <w:rFonts w:cs="Times New Roman"/>
                <w:b/>
                <w:sz w:val="16"/>
                <w:szCs w:val="16"/>
              </w:rPr>
              <w:t>2027</w:t>
            </w:r>
          </w:p>
        </w:tc>
      </w:tr>
      <w:tr w:rsidR="0047332D" w:rsidRPr="003278ED" w14:paraId="22747079" w14:textId="77777777" w:rsidTr="004C2B11">
        <w:trPr>
          <w:tblHeader/>
        </w:trPr>
        <w:tc>
          <w:tcPr>
            <w:tcW w:w="2077" w:type="pct"/>
          </w:tcPr>
          <w:p w14:paraId="1613F4EA" w14:textId="77777777" w:rsidR="0047332D" w:rsidRPr="003278ED" w:rsidRDefault="0047332D" w:rsidP="007D3A2B">
            <w:pPr>
              <w:rPr>
                <w:rFonts w:cs="Times New Roman"/>
                <w:sz w:val="16"/>
                <w:szCs w:val="16"/>
              </w:rPr>
            </w:pPr>
          </w:p>
        </w:tc>
        <w:tc>
          <w:tcPr>
            <w:tcW w:w="846" w:type="pct"/>
          </w:tcPr>
          <w:p w14:paraId="16A7779F" w14:textId="77777777" w:rsidR="0047332D" w:rsidRPr="003278ED" w:rsidRDefault="0047332D" w:rsidP="007D3A2B">
            <w:pPr>
              <w:jc w:val="center"/>
              <w:rPr>
                <w:rFonts w:cs="Times New Roman"/>
                <w:b/>
                <w:sz w:val="16"/>
                <w:szCs w:val="16"/>
              </w:rPr>
            </w:pPr>
            <w:r w:rsidRPr="003278ED">
              <w:rPr>
                <w:rFonts w:cs="Times New Roman"/>
                <w:b/>
                <w:sz w:val="16"/>
                <w:szCs w:val="16"/>
              </w:rPr>
              <w:t>Aprobat</w:t>
            </w:r>
          </w:p>
        </w:tc>
        <w:tc>
          <w:tcPr>
            <w:tcW w:w="692" w:type="pct"/>
          </w:tcPr>
          <w:p w14:paraId="31A4D499" w14:textId="77777777" w:rsidR="0047332D" w:rsidRPr="003278ED" w:rsidRDefault="0047332D" w:rsidP="007D3A2B">
            <w:pPr>
              <w:jc w:val="center"/>
              <w:rPr>
                <w:rFonts w:cs="Times New Roman"/>
                <w:b/>
                <w:sz w:val="16"/>
                <w:szCs w:val="16"/>
              </w:rPr>
            </w:pPr>
            <w:r w:rsidRPr="003278ED">
              <w:rPr>
                <w:rFonts w:cs="Times New Roman"/>
                <w:b/>
                <w:sz w:val="16"/>
                <w:szCs w:val="16"/>
              </w:rPr>
              <w:t>Prognozat</w:t>
            </w:r>
          </w:p>
        </w:tc>
        <w:tc>
          <w:tcPr>
            <w:tcW w:w="692" w:type="pct"/>
          </w:tcPr>
          <w:p w14:paraId="1B7CB026" w14:textId="77777777" w:rsidR="0047332D" w:rsidRPr="003278ED" w:rsidRDefault="0047332D" w:rsidP="007D3A2B">
            <w:pPr>
              <w:jc w:val="center"/>
              <w:rPr>
                <w:rFonts w:cs="Times New Roman"/>
                <w:b/>
                <w:sz w:val="16"/>
                <w:szCs w:val="16"/>
              </w:rPr>
            </w:pPr>
            <w:r w:rsidRPr="003278ED">
              <w:rPr>
                <w:rFonts w:cs="Times New Roman"/>
                <w:b/>
                <w:sz w:val="16"/>
                <w:szCs w:val="16"/>
              </w:rPr>
              <w:t>Prognozat</w:t>
            </w:r>
          </w:p>
        </w:tc>
        <w:tc>
          <w:tcPr>
            <w:tcW w:w="692" w:type="pct"/>
          </w:tcPr>
          <w:p w14:paraId="197E6EFC" w14:textId="77777777" w:rsidR="0047332D" w:rsidRPr="003278ED" w:rsidRDefault="0047332D" w:rsidP="007D3A2B">
            <w:pPr>
              <w:jc w:val="center"/>
              <w:rPr>
                <w:rFonts w:cs="Times New Roman"/>
                <w:b/>
                <w:sz w:val="16"/>
                <w:szCs w:val="16"/>
              </w:rPr>
            </w:pPr>
            <w:r w:rsidRPr="003278ED">
              <w:rPr>
                <w:rFonts w:cs="Times New Roman"/>
                <w:b/>
                <w:sz w:val="16"/>
                <w:szCs w:val="16"/>
              </w:rPr>
              <w:t>Prognozat</w:t>
            </w:r>
          </w:p>
        </w:tc>
      </w:tr>
      <w:tr w:rsidR="0047332D" w:rsidRPr="003278ED" w14:paraId="2B9F14F0" w14:textId="77777777" w:rsidTr="004C2B11">
        <w:trPr>
          <w:trHeight w:val="380"/>
        </w:trPr>
        <w:tc>
          <w:tcPr>
            <w:tcW w:w="2077" w:type="pct"/>
            <w:shd w:val="clear" w:color="000000" w:fill="FFFFFF"/>
            <w:vAlign w:val="center"/>
          </w:tcPr>
          <w:p w14:paraId="680B8AE7" w14:textId="11959E92" w:rsidR="0047332D" w:rsidRPr="003278ED" w:rsidRDefault="0047332D" w:rsidP="007D3A2B">
            <w:pPr>
              <w:rPr>
                <w:rFonts w:cs="Times New Roman"/>
                <w:color w:val="000000"/>
                <w:sz w:val="16"/>
                <w:szCs w:val="16"/>
                <w:lang w:eastAsia="ro-RO"/>
              </w:rPr>
            </w:pPr>
            <w:r w:rsidRPr="003278ED">
              <w:rPr>
                <w:rFonts w:cs="Times New Roman"/>
                <w:b/>
                <w:bCs/>
                <w:color w:val="000000"/>
                <w:sz w:val="16"/>
                <w:szCs w:val="16"/>
                <w:lang w:eastAsia="ro-RO"/>
              </w:rPr>
              <w:t>I.1.</w:t>
            </w:r>
            <w:r w:rsidR="00CA5BC5" w:rsidRPr="003278ED">
              <w:rPr>
                <w:rFonts w:cs="Times New Roman"/>
                <w:b/>
                <w:bCs/>
                <w:color w:val="000000"/>
                <w:sz w:val="16"/>
                <w:szCs w:val="16"/>
                <w:lang w:eastAsia="ro-RO"/>
              </w:rPr>
              <w:t xml:space="preserve"> </w:t>
            </w:r>
            <w:r w:rsidRPr="003278ED">
              <w:rPr>
                <w:rFonts w:cs="Times New Roman"/>
                <w:b/>
                <w:bCs/>
                <w:color w:val="000000"/>
                <w:sz w:val="16"/>
                <w:szCs w:val="16"/>
                <w:lang w:eastAsia="ro-RO"/>
              </w:rPr>
              <w:t>Limita soldului BPN, excluzând gran</w:t>
            </w:r>
            <w:r w:rsidR="00CA5BC5" w:rsidRPr="003278ED">
              <w:rPr>
                <w:rFonts w:cs="Times New Roman"/>
                <w:b/>
                <w:bCs/>
                <w:color w:val="000000"/>
                <w:sz w:val="16"/>
                <w:szCs w:val="16"/>
                <w:lang w:eastAsia="ro-RO"/>
              </w:rPr>
              <w:t>turile (Regula bugetar-fiscală)</w:t>
            </w:r>
            <w:r w:rsidRPr="003278ED">
              <w:rPr>
                <w:rFonts w:cs="Times New Roman"/>
                <w:b/>
                <w:bCs/>
                <w:color w:val="000000"/>
                <w:sz w:val="16"/>
                <w:szCs w:val="16"/>
                <w:lang w:eastAsia="ro-RO"/>
              </w:rPr>
              <w:t xml:space="preserve"> </w:t>
            </w:r>
            <w:r w:rsidRPr="003278ED">
              <w:rPr>
                <w:rFonts w:cs="Times New Roman"/>
                <w:i/>
                <w:iCs/>
                <w:color w:val="000000"/>
                <w:sz w:val="16"/>
                <w:szCs w:val="16"/>
                <w:lang w:eastAsia="ro-RO"/>
              </w:rPr>
              <w:t>(informativ)</w:t>
            </w:r>
          </w:p>
        </w:tc>
        <w:tc>
          <w:tcPr>
            <w:tcW w:w="846" w:type="pct"/>
            <w:shd w:val="clear" w:color="000000" w:fill="FFFFFF"/>
            <w:vAlign w:val="center"/>
          </w:tcPr>
          <w:p w14:paraId="1DDC9B8F"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2,5</w:t>
            </w:r>
          </w:p>
        </w:tc>
        <w:tc>
          <w:tcPr>
            <w:tcW w:w="692" w:type="pct"/>
            <w:shd w:val="clear" w:color="000000" w:fill="FFFFFF"/>
            <w:vAlign w:val="center"/>
          </w:tcPr>
          <w:p w14:paraId="3348760C"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2,5</w:t>
            </w:r>
          </w:p>
        </w:tc>
        <w:tc>
          <w:tcPr>
            <w:tcW w:w="692" w:type="pct"/>
            <w:shd w:val="clear" w:color="000000" w:fill="FFFFFF"/>
            <w:vAlign w:val="center"/>
          </w:tcPr>
          <w:p w14:paraId="7DE56D91"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2,5</w:t>
            </w:r>
          </w:p>
        </w:tc>
        <w:tc>
          <w:tcPr>
            <w:tcW w:w="692" w:type="pct"/>
            <w:shd w:val="clear" w:color="000000" w:fill="FFFFFF"/>
            <w:vAlign w:val="center"/>
          </w:tcPr>
          <w:p w14:paraId="65A95141"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2,5</w:t>
            </w:r>
          </w:p>
        </w:tc>
      </w:tr>
      <w:tr w:rsidR="0047332D" w:rsidRPr="003278ED" w14:paraId="2811D98E" w14:textId="77777777" w:rsidTr="004C2B11">
        <w:trPr>
          <w:trHeight w:val="380"/>
        </w:trPr>
        <w:tc>
          <w:tcPr>
            <w:tcW w:w="2077" w:type="pct"/>
            <w:shd w:val="clear" w:color="000000" w:fill="FFFFFF"/>
            <w:vAlign w:val="center"/>
          </w:tcPr>
          <w:p w14:paraId="10F30B5D" w14:textId="77777777" w:rsidR="0047332D" w:rsidRPr="003278ED" w:rsidRDefault="0047332D" w:rsidP="007D3A2B">
            <w:pPr>
              <w:rPr>
                <w:rFonts w:cs="Times New Roman"/>
                <w:color w:val="000000"/>
                <w:sz w:val="16"/>
                <w:szCs w:val="16"/>
                <w:lang w:eastAsia="ro-RO"/>
              </w:rPr>
            </w:pPr>
            <w:r w:rsidRPr="003278ED">
              <w:rPr>
                <w:rFonts w:cs="Times New Roman"/>
                <w:color w:val="000000"/>
                <w:sz w:val="16"/>
                <w:szCs w:val="16"/>
                <w:lang w:eastAsia="ro-RO"/>
              </w:rPr>
              <w:t>I.2. Derogarea utilizată de la regula bugetar-fiscală</w:t>
            </w:r>
          </w:p>
        </w:tc>
        <w:tc>
          <w:tcPr>
            <w:tcW w:w="846" w:type="pct"/>
            <w:shd w:val="clear" w:color="000000" w:fill="FFFFFF"/>
            <w:vAlign w:val="center"/>
          </w:tcPr>
          <w:p w14:paraId="5707AFE6"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1,1</w:t>
            </w:r>
          </w:p>
        </w:tc>
        <w:tc>
          <w:tcPr>
            <w:tcW w:w="692" w:type="pct"/>
            <w:shd w:val="clear" w:color="000000" w:fill="FFFFFF"/>
            <w:vAlign w:val="center"/>
          </w:tcPr>
          <w:p w14:paraId="5CF3DE79"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1,3</w:t>
            </w:r>
          </w:p>
        </w:tc>
        <w:tc>
          <w:tcPr>
            <w:tcW w:w="692" w:type="pct"/>
            <w:shd w:val="clear" w:color="000000" w:fill="FFFFFF"/>
            <w:vAlign w:val="center"/>
          </w:tcPr>
          <w:p w14:paraId="12AAB295"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1,4</w:t>
            </w:r>
          </w:p>
        </w:tc>
        <w:tc>
          <w:tcPr>
            <w:tcW w:w="692" w:type="pct"/>
            <w:shd w:val="clear" w:color="000000" w:fill="FFFFFF"/>
            <w:vAlign w:val="center"/>
          </w:tcPr>
          <w:p w14:paraId="3991C3D0"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1,2</w:t>
            </w:r>
          </w:p>
        </w:tc>
      </w:tr>
      <w:tr w:rsidR="0047332D" w:rsidRPr="003278ED" w14:paraId="6913B86F" w14:textId="77777777" w:rsidTr="004C2B11">
        <w:trPr>
          <w:trHeight w:val="380"/>
        </w:trPr>
        <w:tc>
          <w:tcPr>
            <w:tcW w:w="2077" w:type="pct"/>
            <w:shd w:val="clear" w:color="000000" w:fill="FFFFFF"/>
            <w:vAlign w:val="center"/>
          </w:tcPr>
          <w:p w14:paraId="4FD3F201" w14:textId="77777777" w:rsidR="0047332D" w:rsidRPr="003278ED" w:rsidRDefault="0047332D" w:rsidP="007D3A2B">
            <w:pPr>
              <w:rPr>
                <w:rFonts w:cs="Times New Roman"/>
                <w:color w:val="000000"/>
                <w:sz w:val="16"/>
                <w:szCs w:val="16"/>
                <w:lang w:eastAsia="ro-RO"/>
              </w:rPr>
            </w:pPr>
            <w:r w:rsidRPr="003278ED">
              <w:rPr>
                <w:rFonts w:cs="Times New Roman"/>
                <w:b/>
                <w:bCs/>
                <w:color w:val="000000"/>
                <w:sz w:val="16"/>
                <w:szCs w:val="16"/>
                <w:lang w:eastAsia="ro-RO"/>
              </w:rPr>
              <w:t xml:space="preserve">I.3. Limita Soldului BPN cu utilizarea derogării </w:t>
            </w:r>
            <w:r w:rsidRPr="003278ED">
              <w:rPr>
                <w:rFonts w:cs="Times New Roman"/>
                <w:b/>
                <w:bCs/>
                <w:i/>
                <w:iCs/>
                <w:color w:val="000000"/>
                <w:sz w:val="16"/>
                <w:szCs w:val="16"/>
                <w:lang w:eastAsia="ro-RO"/>
              </w:rPr>
              <w:t>(I.1+I.2)</w:t>
            </w:r>
          </w:p>
        </w:tc>
        <w:tc>
          <w:tcPr>
            <w:tcW w:w="846" w:type="pct"/>
            <w:shd w:val="clear" w:color="000000" w:fill="FFFFFF"/>
            <w:vAlign w:val="center"/>
          </w:tcPr>
          <w:p w14:paraId="10F7ECE7"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3,6</w:t>
            </w:r>
          </w:p>
        </w:tc>
        <w:tc>
          <w:tcPr>
            <w:tcW w:w="692" w:type="pct"/>
            <w:shd w:val="clear" w:color="000000" w:fill="FFFFFF"/>
            <w:vAlign w:val="center"/>
          </w:tcPr>
          <w:p w14:paraId="124819E9"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3,8</w:t>
            </w:r>
          </w:p>
        </w:tc>
        <w:tc>
          <w:tcPr>
            <w:tcW w:w="692" w:type="pct"/>
            <w:shd w:val="clear" w:color="000000" w:fill="FFFFFF"/>
            <w:vAlign w:val="center"/>
          </w:tcPr>
          <w:p w14:paraId="7316B7C3"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3,9</w:t>
            </w:r>
          </w:p>
        </w:tc>
        <w:tc>
          <w:tcPr>
            <w:tcW w:w="692" w:type="pct"/>
            <w:shd w:val="clear" w:color="000000" w:fill="FFFFFF"/>
            <w:vAlign w:val="center"/>
          </w:tcPr>
          <w:p w14:paraId="4994B5EA" w14:textId="77777777" w:rsidR="0047332D" w:rsidRPr="003278ED" w:rsidRDefault="0047332D" w:rsidP="007D3A2B">
            <w:pPr>
              <w:jc w:val="center"/>
              <w:rPr>
                <w:rFonts w:cs="Times New Roman"/>
                <w:color w:val="000000"/>
                <w:sz w:val="16"/>
                <w:szCs w:val="16"/>
                <w:lang w:eastAsia="ro-RO"/>
              </w:rPr>
            </w:pPr>
            <w:r w:rsidRPr="003278ED">
              <w:rPr>
                <w:rFonts w:cs="Times New Roman"/>
                <w:b/>
                <w:bCs/>
                <w:color w:val="000000"/>
                <w:sz w:val="16"/>
                <w:szCs w:val="16"/>
                <w:lang w:eastAsia="ro-RO"/>
              </w:rPr>
              <w:t>3,7</w:t>
            </w:r>
          </w:p>
        </w:tc>
      </w:tr>
      <w:tr w:rsidR="0047332D" w:rsidRPr="003278ED" w14:paraId="63BA3A89" w14:textId="77777777" w:rsidTr="004C2B11">
        <w:trPr>
          <w:trHeight w:val="387"/>
        </w:trPr>
        <w:tc>
          <w:tcPr>
            <w:tcW w:w="2077" w:type="pct"/>
            <w:shd w:val="clear" w:color="000000" w:fill="FFFFFF"/>
            <w:vAlign w:val="center"/>
          </w:tcPr>
          <w:p w14:paraId="34975FC7" w14:textId="77777777" w:rsidR="0047332D" w:rsidRPr="003278ED" w:rsidRDefault="0047332D" w:rsidP="007D3A2B">
            <w:pPr>
              <w:rPr>
                <w:rFonts w:cs="Times New Roman"/>
                <w:iCs/>
                <w:color w:val="000000"/>
                <w:sz w:val="16"/>
                <w:szCs w:val="16"/>
                <w:lang w:eastAsia="ro-RO"/>
              </w:rPr>
            </w:pPr>
            <w:r w:rsidRPr="003278ED">
              <w:rPr>
                <w:rFonts w:cs="Times New Roman"/>
                <w:b/>
                <w:iCs/>
                <w:color w:val="000000"/>
                <w:sz w:val="16"/>
                <w:szCs w:val="16"/>
                <w:lang w:eastAsia="ro-RO"/>
              </w:rPr>
              <w:t>II.1.</w:t>
            </w:r>
            <w:r w:rsidRPr="003278ED">
              <w:rPr>
                <w:rFonts w:cs="Times New Roman"/>
                <w:iCs/>
                <w:color w:val="000000"/>
                <w:sz w:val="16"/>
                <w:szCs w:val="16"/>
                <w:lang w:eastAsia="ro-RO"/>
              </w:rPr>
              <w:t xml:space="preserve"> </w:t>
            </w:r>
            <w:r w:rsidRPr="003278ED">
              <w:rPr>
                <w:rFonts w:cs="Times New Roman"/>
                <w:b/>
                <w:bCs/>
                <w:color w:val="000000"/>
                <w:sz w:val="16"/>
                <w:szCs w:val="16"/>
                <w:lang w:eastAsia="ro-RO"/>
              </w:rPr>
              <w:t xml:space="preserve">Soldul BPN </w:t>
            </w:r>
          </w:p>
        </w:tc>
        <w:tc>
          <w:tcPr>
            <w:tcW w:w="846" w:type="pct"/>
            <w:shd w:val="clear" w:color="000000" w:fill="FFFFFF"/>
            <w:vAlign w:val="center"/>
          </w:tcPr>
          <w:p w14:paraId="2E422CE3" w14:textId="77777777" w:rsidR="0047332D" w:rsidRPr="003278ED" w:rsidRDefault="0047332D" w:rsidP="007D3A2B">
            <w:pPr>
              <w:jc w:val="center"/>
              <w:rPr>
                <w:rFonts w:cs="Times New Roman"/>
                <w:b/>
                <w:iCs/>
                <w:color w:val="000000"/>
                <w:sz w:val="16"/>
                <w:szCs w:val="16"/>
                <w:lang w:eastAsia="ro-RO"/>
              </w:rPr>
            </w:pPr>
            <w:r w:rsidRPr="003278ED">
              <w:rPr>
                <w:rFonts w:cs="Times New Roman"/>
                <w:b/>
                <w:bCs/>
                <w:color w:val="000000"/>
                <w:sz w:val="16"/>
                <w:szCs w:val="16"/>
                <w:lang w:eastAsia="ro-RO"/>
              </w:rPr>
              <w:t>4,6</w:t>
            </w:r>
          </w:p>
        </w:tc>
        <w:tc>
          <w:tcPr>
            <w:tcW w:w="692" w:type="pct"/>
            <w:shd w:val="clear" w:color="000000" w:fill="FFFFFF"/>
            <w:vAlign w:val="center"/>
          </w:tcPr>
          <w:p w14:paraId="3BC0C0E7" w14:textId="77777777" w:rsidR="0047332D" w:rsidRPr="003278ED" w:rsidRDefault="0047332D" w:rsidP="007D3A2B">
            <w:pPr>
              <w:jc w:val="center"/>
              <w:rPr>
                <w:rFonts w:cs="Times New Roman"/>
                <w:b/>
                <w:iCs/>
                <w:color w:val="000000"/>
                <w:sz w:val="16"/>
                <w:szCs w:val="16"/>
                <w:lang w:eastAsia="ro-RO"/>
              </w:rPr>
            </w:pPr>
            <w:r w:rsidRPr="003278ED">
              <w:rPr>
                <w:rFonts w:cs="Times New Roman"/>
                <w:b/>
                <w:bCs/>
                <w:color w:val="000000"/>
                <w:sz w:val="16"/>
                <w:szCs w:val="16"/>
                <w:lang w:eastAsia="ro-RO"/>
              </w:rPr>
              <w:t>3,8</w:t>
            </w:r>
          </w:p>
        </w:tc>
        <w:tc>
          <w:tcPr>
            <w:tcW w:w="692" w:type="pct"/>
            <w:shd w:val="clear" w:color="000000" w:fill="FFFFFF"/>
            <w:vAlign w:val="center"/>
          </w:tcPr>
          <w:p w14:paraId="6CB53FD9" w14:textId="77777777" w:rsidR="0047332D" w:rsidRPr="003278ED" w:rsidRDefault="0047332D" w:rsidP="007D3A2B">
            <w:pPr>
              <w:jc w:val="center"/>
              <w:rPr>
                <w:rFonts w:cs="Times New Roman"/>
                <w:b/>
                <w:iCs/>
                <w:color w:val="000000"/>
                <w:sz w:val="16"/>
                <w:szCs w:val="16"/>
                <w:lang w:eastAsia="ro-RO"/>
              </w:rPr>
            </w:pPr>
            <w:r w:rsidRPr="003278ED">
              <w:rPr>
                <w:rFonts w:cs="Times New Roman"/>
                <w:b/>
                <w:bCs/>
                <w:color w:val="000000"/>
                <w:sz w:val="16"/>
                <w:szCs w:val="16"/>
                <w:lang w:eastAsia="ro-RO"/>
              </w:rPr>
              <w:t>3,4</w:t>
            </w:r>
          </w:p>
        </w:tc>
        <w:tc>
          <w:tcPr>
            <w:tcW w:w="692" w:type="pct"/>
            <w:shd w:val="clear" w:color="000000" w:fill="FFFFFF"/>
            <w:vAlign w:val="center"/>
          </w:tcPr>
          <w:p w14:paraId="005F512F" w14:textId="77777777" w:rsidR="0047332D" w:rsidRPr="003278ED" w:rsidRDefault="0047332D" w:rsidP="007D3A2B">
            <w:pPr>
              <w:jc w:val="center"/>
              <w:rPr>
                <w:rFonts w:cs="Times New Roman"/>
                <w:b/>
                <w:iCs/>
                <w:color w:val="000000"/>
                <w:sz w:val="16"/>
                <w:szCs w:val="16"/>
                <w:lang w:eastAsia="ro-RO"/>
              </w:rPr>
            </w:pPr>
            <w:r w:rsidRPr="003278ED">
              <w:rPr>
                <w:rFonts w:cs="Times New Roman"/>
                <w:b/>
                <w:bCs/>
                <w:color w:val="000000"/>
                <w:sz w:val="16"/>
                <w:szCs w:val="16"/>
                <w:lang w:eastAsia="ro-RO"/>
              </w:rPr>
              <w:t>3,1</w:t>
            </w:r>
          </w:p>
        </w:tc>
      </w:tr>
      <w:tr w:rsidR="0047332D" w:rsidRPr="003278ED" w14:paraId="3B0F38D9" w14:textId="77777777" w:rsidTr="004C2B11">
        <w:trPr>
          <w:trHeight w:val="380"/>
        </w:trPr>
        <w:tc>
          <w:tcPr>
            <w:tcW w:w="2077" w:type="pct"/>
            <w:shd w:val="clear" w:color="000000" w:fill="FFFFFF"/>
            <w:vAlign w:val="center"/>
          </w:tcPr>
          <w:p w14:paraId="7A647807" w14:textId="77777777" w:rsidR="0047332D" w:rsidRPr="003278ED" w:rsidRDefault="0047332D" w:rsidP="007D3A2B">
            <w:pPr>
              <w:rPr>
                <w:rFonts w:cs="Times New Roman"/>
                <w:color w:val="000000"/>
                <w:sz w:val="16"/>
                <w:szCs w:val="16"/>
                <w:lang w:eastAsia="ro-RO"/>
              </w:rPr>
            </w:pPr>
            <w:r w:rsidRPr="003278ED">
              <w:rPr>
                <w:rFonts w:cs="Times New Roman"/>
                <w:color w:val="000000"/>
                <w:sz w:val="16"/>
                <w:szCs w:val="16"/>
                <w:lang w:eastAsia="ro-RO"/>
              </w:rPr>
              <w:t>II.2. Granturi</w:t>
            </w:r>
          </w:p>
        </w:tc>
        <w:tc>
          <w:tcPr>
            <w:tcW w:w="846" w:type="pct"/>
            <w:shd w:val="clear" w:color="000000" w:fill="FFFFFF"/>
            <w:vAlign w:val="center"/>
          </w:tcPr>
          <w:p w14:paraId="7B5DA019"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0,7</w:t>
            </w:r>
          </w:p>
        </w:tc>
        <w:tc>
          <w:tcPr>
            <w:tcW w:w="692" w:type="pct"/>
            <w:shd w:val="clear" w:color="000000" w:fill="FFFFFF"/>
            <w:vAlign w:val="center"/>
          </w:tcPr>
          <w:p w14:paraId="51D3CD27"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0,4</w:t>
            </w:r>
          </w:p>
        </w:tc>
        <w:tc>
          <w:tcPr>
            <w:tcW w:w="692" w:type="pct"/>
            <w:shd w:val="clear" w:color="000000" w:fill="FFFFFF"/>
            <w:vAlign w:val="center"/>
          </w:tcPr>
          <w:p w14:paraId="45722490"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0,4</w:t>
            </w:r>
          </w:p>
        </w:tc>
        <w:tc>
          <w:tcPr>
            <w:tcW w:w="692" w:type="pct"/>
            <w:shd w:val="clear" w:color="000000" w:fill="FFFFFF"/>
            <w:vAlign w:val="center"/>
          </w:tcPr>
          <w:p w14:paraId="46F18885"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0,3</w:t>
            </w:r>
          </w:p>
        </w:tc>
      </w:tr>
      <w:tr w:rsidR="0047332D" w:rsidRPr="003278ED" w14:paraId="719E4E11" w14:textId="77777777" w:rsidTr="004C2B11">
        <w:trPr>
          <w:trHeight w:val="455"/>
        </w:trPr>
        <w:tc>
          <w:tcPr>
            <w:tcW w:w="2077" w:type="pct"/>
            <w:shd w:val="clear" w:color="000000" w:fill="FFFFFF"/>
            <w:vAlign w:val="center"/>
          </w:tcPr>
          <w:p w14:paraId="5204B133" w14:textId="20DB0D32" w:rsidR="0047332D" w:rsidRPr="003278ED" w:rsidRDefault="0047332D" w:rsidP="007D3A2B">
            <w:pPr>
              <w:rPr>
                <w:rFonts w:cs="Times New Roman"/>
                <w:b/>
                <w:bCs/>
                <w:i/>
                <w:iCs/>
                <w:color w:val="000000"/>
                <w:sz w:val="16"/>
                <w:szCs w:val="16"/>
                <w:lang w:eastAsia="ro-RO"/>
              </w:rPr>
            </w:pPr>
            <w:r w:rsidRPr="003278ED">
              <w:rPr>
                <w:rFonts w:cs="Times New Roman"/>
                <w:b/>
                <w:bCs/>
                <w:color w:val="000000"/>
                <w:sz w:val="16"/>
                <w:szCs w:val="16"/>
                <w:lang w:eastAsia="ro-RO"/>
              </w:rPr>
              <w:t>II.3.</w:t>
            </w:r>
            <w:r w:rsidR="00CA5BC5" w:rsidRPr="003278ED">
              <w:rPr>
                <w:rFonts w:cs="Times New Roman"/>
                <w:b/>
                <w:bCs/>
                <w:color w:val="000000"/>
                <w:sz w:val="16"/>
                <w:szCs w:val="16"/>
                <w:lang w:eastAsia="ro-RO"/>
              </w:rPr>
              <w:t xml:space="preserve"> Soldul</w:t>
            </w:r>
            <w:r w:rsidRPr="003278ED">
              <w:rPr>
                <w:rFonts w:cs="Times New Roman"/>
                <w:b/>
                <w:bCs/>
                <w:color w:val="000000"/>
                <w:sz w:val="16"/>
                <w:szCs w:val="16"/>
                <w:lang w:eastAsia="ro-RO"/>
              </w:rPr>
              <w:t xml:space="preserve"> BPN </w:t>
            </w:r>
            <w:r w:rsidR="00CA5BC5" w:rsidRPr="003278ED">
              <w:rPr>
                <w:rFonts w:cs="Times New Roman"/>
                <w:b/>
                <w:bCs/>
                <w:color w:val="000000"/>
                <w:sz w:val="16"/>
                <w:szCs w:val="16"/>
                <w:lang w:eastAsia="ro-RO"/>
              </w:rPr>
              <w:t>excluzâ</w:t>
            </w:r>
            <w:r w:rsidRPr="003278ED">
              <w:rPr>
                <w:rFonts w:cs="Times New Roman"/>
                <w:b/>
                <w:bCs/>
                <w:color w:val="000000"/>
                <w:sz w:val="16"/>
                <w:szCs w:val="16"/>
                <w:lang w:eastAsia="ro-RO"/>
              </w:rPr>
              <w:t xml:space="preserve">nd granturile </w:t>
            </w:r>
          </w:p>
        </w:tc>
        <w:tc>
          <w:tcPr>
            <w:tcW w:w="846" w:type="pct"/>
            <w:shd w:val="clear" w:color="000000" w:fill="FFFFFF"/>
            <w:vAlign w:val="center"/>
          </w:tcPr>
          <w:p w14:paraId="190EDF9A"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5,3</w:t>
            </w:r>
          </w:p>
        </w:tc>
        <w:tc>
          <w:tcPr>
            <w:tcW w:w="692" w:type="pct"/>
            <w:shd w:val="clear" w:color="000000" w:fill="FFFFFF"/>
            <w:vAlign w:val="center"/>
          </w:tcPr>
          <w:p w14:paraId="6AA4C3E6"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4,2</w:t>
            </w:r>
          </w:p>
        </w:tc>
        <w:tc>
          <w:tcPr>
            <w:tcW w:w="692" w:type="pct"/>
            <w:shd w:val="clear" w:color="000000" w:fill="FFFFFF"/>
            <w:vAlign w:val="center"/>
          </w:tcPr>
          <w:p w14:paraId="4DFC4E28"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3,8</w:t>
            </w:r>
          </w:p>
        </w:tc>
        <w:tc>
          <w:tcPr>
            <w:tcW w:w="692" w:type="pct"/>
            <w:shd w:val="clear" w:color="000000" w:fill="FFFFFF"/>
            <w:vAlign w:val="center"/>
          </w:tcPr>
          <w:p w14:paraId="634F3B2E"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3,4</w:t>
            </w:r>
          </w:p>
        </w:tc>
      </w:tr>
      <w:tr w:rsidR="0047332D" w:rsidRPr="003278ED" w14:paraId="7C29466B" w14:textId="77777777" w:rsidTr="004C2B11">
        <w:trPr>
          <w:trHeight w:val="249"/>
        </w:trPr>
        <w:tc>
          <w:tcPr>
            <w:tcW w:w="2077" w:type="pct"/>
            <w:shd w:val="clear" w:color="000000" w:fill="FFFFFF"/>
            <w:vAlign w:val="center"/>
          </w:tcPr>
          <w:p w14:paraId="6125D3C4" w14:textId="77777777" w:rsidR="0047332D" w:rsidRPr="003278ED" w:rsidRDefault="0047332D" w:rsidP="007D3A2B">
            <w:pPr>
              <w:rPr>
                <w:rFonts w:cs="Times New Roman"/>
                <w:color w:val="000000"/>
                <w:sz w:val="16"/>
                <w:szCs w:val="16"/>
                <w:lang w:eastAsia="ro-RO"/>
              </w:rPr>
            </w:pPr>
            <w:r w:rsidRPr="003278ED">
              <w:rPr>
                <w:rFonts w:cs="Times New Roman"/>
                <w:color w:val="000000"/>
                <w:sz w:val="16"/>
                <w:szCs w:val="16"/>
                <w:lang w:eastAsia="ro-RO"/>
              </w:rPr>
              <w:t>Depășirea (-)/ corespunderea (+)</w:t>
            </w:r>
          </w:p>
        </w:tc>
        <w:tc>
          <w:tcPr>
            <w:tcW w:w="846" w:type="pct"/>
            <w:shd w:val="clear" w:color="000000" w:fill="FFFFFF"/>
            <w:vAlign w:val="center"/>
          </w:tcPr>
          <w:p w14:paraId="0339EE22"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-1,7</w:t>
            </w:r>
          </w:p>
        </w:tc>
        <w:tc>
          <w:tcPr>
            <w:tcW w:w="692" w:type="pct"/>
            <w:shd w:val="clear" w:color="000000" w:fill="FFFFFF"/>
            <w:vAlign w:val="center"/>
          </w:tcPr>
          <w:p w14:paraId="60713F5A"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-0,4</w:t>
            </w:r>
          </w:p>
        </w:tc>
        <w:tc>
          <w:tcPr>
            <w:tcW w:w="692" w:type="pct"/>
            <w:shd w:val="clear" w:color="000000" w:fill="FFFFFF"/>
            <w:vAlign w:val="center"/>
          </w:tcPr>
          <w:p w14:paraId="739857F4"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0,1</w:t>
            </w:r>
          </w:p>
        </w:tc>
        <w:tc>
          <w:tcPr>
            <w:tcW w:w="692" w:type="pct"/>
            <w:shd w:val="clear" w:color="000000" w:fill="FFFFFF"/>
            <w:vAlign w:val="center"/>
          </w:tcPr>
          <w:p w14:paraId="367330F0" w14:textId="77777777" w:rsidR="0047332D" w:rsidRPr="003278ED" w:rsidRDefault="0047332D" w:rsidP="007D3A2B">
            <w:pPr>
              <w:jc w:val="center"/>
              <w:rPr>
                <w:rFonts w:cs="Times New Roman"/>
                <w:color w:val="000000"/>
                <w:sz w:val="16"/>
                <w:szCs w:val="16"/>
                <w:lang w:eastAsia="ro-RO"/>
              </w:rPr>
            </w:pPr>
            <w:r w:rsidRPr="003278ED">
              <w:rPr>
                <w:rFonts w:cs="Times New Roman"/>
                <w:color w:val="000000"/>
                <w:sz w:val="16"/>
                <w:szCs w:val="16"/>
                <w:lang w:eastAsia="ro-RO"/>
              </w:rPr>
              <w:t>0,3</w:t>
            </w:r>
          </w:p>
        </w:tc>
      </w:tr>
      <w:tr w:rsidR="0047332D" w:rsidRPr="003278ED" w14:paraId="1B50D7B9" w14:textId="77777777" w:rsidTr="004C2B11">
        <w:tc>
          <w:tcPr>
            <w:tcW w:w="2077" w:type="pct"/>
            <w:shd w:val="clear" w:color="000000" w:fill="FFFFFF"/>
          </w:tcPr>
          <w:p w14:paraId="567F71E7" w14:textId="77777777" w:rsidR="0047332D" w:rsidRPr="003278ED" w:rsidRDefault="0047332D" w:rsidP="007D3A2B">
            <w:pPr>
              <w:rPr>
                <w:rFonts w:cs="Times New Roman"/>
                <w:bCs/>
                <w:i/>
                <w:color w:val="000000"/>
                <w:sz w:val="16"/>
                <w:szCs w:val="16"/>
                <w:lang w:eastAsia="ro-RO"/>
              </w:rPr>
            </w:pPr>
            <w:r w:rsidRPr="003278ED">
              <w:rPr>
                <w:rFonts w:cs="Times New Roman"/>
                <w:bCs/>
                <w:i/>
                <w:color w:val="000000"/>
                <w:sz w:val="16"/>
                <w:szCs w:val="16"/>
                <w:lang w:eastAsia="ro-RO"/>
              </w:rPr>
              <w:t>Informativ:</w:t>
            </w:r>
          </w:p>
          <w:p w14:paraId="72418EA5" w14:textId="143B4EB6" w:rsidR="0047332D" w:rsidRPr="003278ED" w:rsidRDefault="0047332D" w:rsidP="007D3A2B">
            <w:pPr>
              <w:rPr>
                <w:rFonts w:cs="Times New Roman"/>
                <w:b/>
                <w:bCs/>
                <w:color w:val="000000"/>
                <w:sz w:val="16"/>
                <w:szCs w:val="16"/>
                <w:lang w:eastAsia="ro-RO"/>
              </w:rPr>
            </w:pPr>
            <w:r w:rsidRPr="003278ED">
              <w:rPr>
                <w:rFonts w:cs="Times New Roman"/>
                <w:b/>
                <w:bCs/>
                <w:color w:val="000000"/>
                <w:sz w:val="16"/>
                <w:szCs w:val="16"/>
                <w:lang w:eastAsia="ro-RO"/>
              </w:rPr>
              <w:t>Cheltuielile proiectelor finanțate din surse externe, total (</w:t>
            </w:r>
            <w:r w:rsidRPr="003278ED">
              <w:rPr>
                <w:rFonts w:cs="Times New Roman"/>
                <w:b/>
                <w:bCs/>
                <w:i/>
                <w:color w:val="000000"/>
                <w:sz w:val="16"/>
                <w:szCs w:val="16"/>
                <w:lang w:eastAsia="ro-RO"/>
              </w:rPr>
              <w:t>mil.</w:t>
            </w:r>
            <w:r w:rsidR="00AA08E6" w:rsidRPr="003278ED">
              <w:rPr>
                <w:rFonts w:cs="Times New Roman"/>
                <w:b/>
                <w:bCs/>
                <w:i/>
                <w:color w:val="000000"/>
                <w:sz w:val="16"/>
                <w:szCs w:val="16"/>
                <w:lang w:eastAsia="ro-RO"/>
              </w:rPr>
              <w:t xml:space="preserve"> </w:t>
            </w:r>
            <w:r w:rsidRPr="003278ED">
              <w:rPr>
                <w:rFonts w:cs="Times New Roman"/>
                <w:b/>
                <w:bCs/>
                <w:i/>
                <w:color w:val="000000"/>
                <w:sz w:val="16"/>
                <w:szCs w:val="16"/>
                <w:lang w:eastAsia="ro-RO"/>
              </w:rPr>
              <w:t>lei</w:t>
            </w:r>
            <w:r w:rsidRPr="003278ED">
              <w:rPr>
                <w:rFonts w:cs="Times New Roman"/>
                <w:b/>
                <w:bCs/>
                <w:color w:val="000000"/>
                <w:sz w:val="16"/>
                <w:szCs w:val="16"/>
                <w:lang w:eastAsia="ro-RO"/>
              </w:rPr>
              <w:t>)</w:t>
            </w:r>
          </w:p>
        </w:tc>
        <w:tc>
          <w:tcPr>
            <w:tcW w:w="846" w:type="pct"/>
            <w:shd w:val="clear" w:color="000000" w:fill="FFFFFF"/>
          </w:tcPr>
          <w:p w14:paraId="580A4714" w14:textId="77777777" w:rsidR="0047332D" w:rsidRPr="003278ED" w:rsidRDefault="0047332D" w:rsidP="007D3A2B">
            <w:pPr>
              <w:ind w:left="-244" w:right="-143"/>
              <w:jc w:val="center"/>
              <w:rPr>
                <w:rFonts w:cs="Times New Roman"/>
                <w:b/>
                <w:bCs/>
                <w:color w:val="000000"/>
                <w:sz w:val="16"/>
                <w:szCs w:val="16"/>
                <w:lang w:eastAsia="ro-RO"/>
              </w:rPr>
            </w:pPr>
            <w:r w:rsidRPr="003278ED">
              <w:rPr>
                <w:rFonts w:cs="Times New Roman"/>
                <w:b/>
                <w:bCs/>
                <w:color w:val="000000"/>
                <w:sz w:val="16"/>
                <w:szCs w:val="16"/>
                <w:lang w:eastAsia="ro-RO"/>
              </w:rPr>
              <w:t xml:space="preserve">  </w:t>
            </w:r>
          </w:p>
          <w:p w14:paraId="1D559CEA" w14:textId="77777777" w:rsidR="0047332D" w:rsidRPr="003278ED" w:rsidRDefault="0047332D" w:rsidP="007D3A2B">
            <w:pPr>
              <w:ind w:left="-244" w:right="-143"/>
              <w:jc w:val="center"/>
              <w:rPr>
                <w:rFonts w:cs="Times New Roman"/>
                <w:b/>
                <w:bCs/>
                <w:color w:val="000000"/>
                <w:sz w:val="16"/>
                <w:szCs w:val="16"/>
                <w:lang w:eastAsia="ro-RO"/>
              </w:rPr>
            </w:pPr>
            <w:r w:rsidRPr="003278ED">
              <w:rPr>
                <w:rFonts w:cs="Times New Roman"/>
                <w:b/>
                <w:bCs/>
                <w:color w:val="000000"/>
                <w:sz w:val="16"/>
                <w:szCs w:val="16"/>
                <w:lang w:eastAsia="ro-RO"/>
              </w:rPr>
              <w:t xml:space="preserve">  3 611</w:t>
            </w:r>
          </w:p>
          <w:p w14:paraId="78717DE5" w14:textId="77777777" w:rsidR="0047332D" w:rsidRPr="003278ED" w:rsidRDefault="0047332D" w:rsidP="007D3A2B">
            <w:pPr>
              <w:rPr>
                <w:rFonts w:cs="Times New Roman"/>
                <w:b/>
                <w:bCs/>
                <w:color w:val="000000"/>
                <w:sz w:val="16"/>
                <w:szCs w:val="16"/>
                <w:lang w:eastAsia="ro-RO"/>
              </w:rPr>
            </w:pPr>
            <w:r w:rsidRPr="003278ED">
              <w:rPr>
                <w:rFonts w:cs="Times New Roman"/>
                <w:b/>
                <w:bCs/>
                <w:color w:val="000000"/>
                <w:sz w:val="16"/>
                <w:szCs w:val="16"/>
                <w:lang w:eastAsia="ro-RO"/>
              </w:rPr>
              <w:t xml:space="preserve">      </w:t>
            </w:r>
          </w:p>
        </w:tc>
        <w:tc>
          <w:tcPr>
            <w:tcW w:w="692" w:type="pct"/>
            <w:shd w:val="clear" w:color="000000" w:fill="FFFFFF"/>
          </w:tcPr>
          <w:p w14:paraId="34F79F92" w14:textId="77777777" w:rsidR="0047332D" w:rsidRPr="003278ED" w:rsidRDefault="0047332D" w:rsidP="007D3A2B">
            <w:pPr>
              <w:jc w:val="center"/>
              <w:rPr>
                <w:rFonts w:cs="Times New Roman"/>
                <w:b/>
                <w:bCs/>
                <w:color w:val="000000"/>
                <w:sz w:val="16"/>
                <w:szCs w:val="16"/>
                <w:lang w:eastAsia="ro-RO"/>
              </w:rPr>
            </w:pPr>
          </w:p>
          <w:p w14:paraId="1AB174BD"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4 510</w:t>
            </w:r>
          </w:p>
        </w:tc>
        <w:tc>
          <w:tcPr>
            <w:tcW w:w="692" w:type="pct"/>
            <w:shd w:val="clear" w:color="000000" w:fill="FFFFFF"/>
          </w:tcPr>
          <w:p w14:paraId="24D84231" w14:textId="77777777" w:rsidR="0047332D" w:rsidRPr="003278ED" w:rsidRDefault="0047332D" w:rsidP="007D3A2B">
            <w:pPr>
              <w:jc w:val="center"/>
              <w:rPr>
                <w:rFonts w:cs="Times New Roman"/>
                <w:b/>
                <w:bCs/>
                <w:color w:val="000000"/>
                <w:sz w:val="16"/>
                <w:szCs w:val="16"/>
                <w:lang w:eastAsia="ro-RO"/>
              </w:rPr>
            </w:pPr>
          </w:p>
          <w:p w14:paraId="177008E0" w14:textId="77777777" w:rsidR="0047332D" w:rsidRPr="003278ED" w:rsidRDefault="0047332D" w:rsidP="007D3A2B">
            <w:pPr>
              <w:rPr>
                <w:rFonts w:cs="Times New Roman"/>
                <w:b/>
                <w:bCs/>
                <w:color w:val="000000"/>
                <w:sz w:val="16"/>
                <w:szCs w:val="16"/>
                <w:lang w:eastAsia="ro-RO"/>
              </w:rPr>
            </w:pPr>
            <w:r w:rsidRPr="003278ED">
              <w:rPr>
                <w:rFonts w:cs="Times New Roman"/>
                <w:b/>
                <w:bCs/>
                <w:color w:val="000000"/>
                <w:sz w:val="16"/>
                <w:szCs w:val="16"/>
                <w:lang w:eastAsia="ro-RO"/>
              </w:rPr>
              <w:t xml:space="preserve">       5 627</w:t>
            </w:r>
          </w:p>
        </w:tc>
        <w:tc>
          <w:tcPr>
            <w:tcW w:w="692" w:type="pct"/>
            <w:shd w:val="clear" w:color="000000" w:fill="FFFFFF"/>
          </w:tcPr>
          <w:p w14:paraId="40114042" w14:textId="77777777" w:rsidR="0047332D" w:rsidRPr="003278ED" w:rsidRDefault="0047332D" w:rsidP="007D3A2B">
            <w:pPr>
              <w:jc w:val="center"/>
              <w:rPr>
                <w:rFonts w:cs="Times New Roman"/>
                <w:b/>
                <w:bCs/>
                <w:color w:val="000000"/>
                <w:sz w:val="16"/>
                <w:szCs w:val="16"/>
                <w:lang w:eastAsia="ro-RO"/>
              </w:rPr>
            </w:pPr>
          </w:p>
          <w:p w14:paraId="70DAF75E" w14:textId="77777777" w:rsidR="0047332D" w:rsidRPr="003278ED" w:rsidRDefault="0047332D" w:rsidP="007D3A2B">
            <w:pPr>
              <w:jc w:val="center"/>
              <w:rPr>
                <w:rFonts w:cs="Times New Roman"/>
                <w:b/>
                <w:bCs/>
                <w:color w:val="000000"/>
                <w:sz w:val="16"/>
                <w:szCs w:val="16"/>
                <w:lang w:eastAsia="ro-RO"/>
              </w:rPr>
            </w:pPr>
            <w:r w:rsidRPr="003278ED">
              <w:rPr>
                <w:rFonts w:cs="Times New Roman"/>
                <w:b/>
                <w:bCs/>
                <w:color w:val="000000"/>
                <w:sz w:val="16"/>
                <w:szCs w:val="16"/>
                <w:lang w:eastAsia="ro-RO"/>
              </w:rPr>
              <w:t>5 180</w:t>
            </w:r>
          </w:p>
        </w:tc>
      </w:tr>
    </w:tbl>
    <w:p w14:paraId="4E512EE9" w14:textId="77777777" w:rsidR="00A47DB5" w:rsidRDefault="00A47DB5" w:rsidP="007D3A2B">
      <w:pPr>
        <w:tabs>
          <w:tab w:val="left" w:pos="993"/>
        </w:tabs>
        <w:spacing w:after="0" w:line="240" w:lineRule="auto"/>
        <w:jc w:val="center"/>
        <w:rPr>
          <w:rFonts w:ascii="Times New Roman" w:eastAsia="Calibri" w:hAnsi="Times New Roman" w:cs="Times New Roman"/>
          <w:b/>
          <w:i/>
          <w:sz w:val="20"/>
          <w:szCs w:val="20"/>
        </w:rPr>
      </w:pPr>
    </w:p>
    <w:p w14:paraId="1AF87396" w14:textId="29A587A3" w:rsidR="00603642" w:rsidRPr="003278ED" w:rsidRDefault="00603642" w:rsidP="007D3A2B">
      <w:pPr>
        <w:tabs>
          <w:tab w:val="left" w:pos="993"/>
        </w:tabs>
        <w:spacing w:after="0" w:line="240" w:lineRule="auto"/>
        <w:jc w:val="center"/>
        <w:rPr>
          <w:rFonts w:ascii="Times New Roman" w:eastAsia="Calibri" w:hAnsi="Times New Roman" w:cs="Times New Roman"/>
          <w:i/>
          <w:sz w:val="20"/>
          <w:szCs w:val="20"/>
        </w:rPr>
      </w:pPr>
      <w:r w:rsidRPr="004C2B11">
        <w:rPr>
          <w:rFonts w:ascii="Times New Roman" w:eastAsia="Calibri" w:hAnsi="Times New Roman" w:cs="Times New Roman"/>
          <w:b/>
          <w:i/>
          <w:sz w:val="20"/>
          <w:szCs w:val="20"/>
        </w:rPr>
        <w:t>Sursa:</w:t>
      </w:r>
      <w:r w:rsidRPr="003278ED">
        <w:rPr>
          <w:rFonts w:ascii="Times New Roman" w:eastAsia="Calibri" w:hAnsi="Times New Roman" w:cs="Times New Roman"/>
          <w:i/>
          <w:sz w:val="20"/>
          <w:szCs w:val="20"/>
        </w:rPr>
        <w:t xml:space="preserve">  Ministerul Finanțelor</w:t>
      </w:r>
    </w:p>
    <w:p w14:paraId="2DD2406D" w14:textId="77777777" w:rsidR="00E338E9" w:rsidRPr="003278ED" w:rsidRDefault="00E338E9" w:rsidP="007D3A2B">
      <w:pPr>
        <w:spacing w:after="0" w:line="240" w:lineRule="auto"/>
        <w:ind w:firstLine="709"/>
        <w:jc w:val="both"/>
        <w:rPr>
          <w:rFonts w:ascii="Times New Roman" w:hAnsi="Times New Roman" w:cs="Times New Roman"/>
          <w:sz w:val="20"/>
          <w:szCs w:val="20"/>
        </w:rPr>
      </w:pPr>
    </w:p>
    <w:p w14:paraId="487704A1" w14:textId="0445D505" w:rsidR="00FA7F1A" w:rsidRPr="003278ED" w:rsidRDefault="00FA7F1A"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Totuși, pentru anul 2025 regula bugetar</w:t>
      </w:r>
      <w:r w:rsidR="001A12C2" w:rsidRPr="003278ED">
        <w:rPr>
          <w:rFonts w:ascii="Times New Roman" w:hAnsi="Times New Roman" w:cs="Times New Roman"/>
          <w:sz w:val="24"/>
          <w:szCs w:val="28"/>
        </w:rPr>
        <w:t>-</w:t>
      </w:r>
      <w:r w:rsidRPr="003278ED">
        <w:rPr>
          <w:rFonts w:ascii="Times New Roman" w:hAnsi="Times New Roman" w:cs="Times New Roman"/>
          <w:sz w:val="24"/>
          <w:szCs w:val="28"/>
        </w:rPr>
        <w:t xml:space="preserve">fiscală stabilită </w:t>
      </w:r>
      <w:r w:rsidR="00A460AF" w:rsidRPr="003278ED">
        <w:rPr>
          <w:rFonts w:ascii="Times New Roman" w:hAnsi="Times New Roman" w:cs="Times New Roman"/>
          <w:sz w:val="24"/>
          <w:szCs w:val="28"/>
        </w:rPr>
        <w:t xml:space="preserve">la </w:t>
      </w:r>
      <w:r w:rsidRPr="003278ED">
        <w:rPr>
          <w:rFonts w:ascii="Times New Roman" w:hAnsi="Times New Roman" w:cs="Times New Roman"/>
          <w:sz w:val="24"/>
          <w:szCs w:val="28"/>
        </w:rPr>
        <w:t>art.</w:t>
      </w:r>
      <w:r w:rsidR="00AA08E6" w:rsidRPr="003278ED">
        <w:rPr>
          <w:rFonts w:ascii="Times New Roman" w:hAnsi="Times New Roman" w:cs="Times New Roman"/>
          <w:sz w:val="24"/>
          <w:szCs w:val="28"/>
        </w:rPr>
        <w:t xml:space="preserve"> </w:t>
      </w:r>
      <w:r w:rsidRPr="003278ED">
        <w:rPr>
          <w:rFonts w:ascii="Times New Roman" w:hAnsi="Times New Roman" w:cs="Times New Roman"/>
          <w:sz w:val="24"/>
          <w:szCs w:val="28"/>
        </w:rPr>
        <w:t xml:space="preserve">15 alin. (1) </w:t>
      </w:r>
      <w:r w:rsidR="00AA08E6" w:rsidRPr="003278ED">
        <w:rPr>
          <w:rFonts w:ascii="Times New Roman" w:hAnsi="Times New Roman" w:cs="Times New Roman"/>
          <w:sz w:val="24"/>
          <w:szCs w:val="28"/>
        </w:rPr>
        <w:t>din</w:t>
      </w:r>
      <w:r w:rsidRPr="003278ED">
        <w:rPr>
          <w:rFonts w:ascii="Times New Roman" w:hAnsi="Times New Roman" w:cs="Times New Roman"/>
          <w:sz w:val="24"/>
          <w:szCs w:val="28"/>
        </w:rPr>
        <w:t xml:space="preserve"> leg</w:t>
      </w:r>
      <w:r w:rsidR="00AA08E6" w:rsidRPr="003278ED">
        <w:rPr>
          <w:rFonts w:ascii="Times New Roman" w:hAnsi="Times New Roman" w:cs="Times New Roman"/>
          <w:sz w:val="24"/>
          <w:szCs w:val="28"/>
        </w:rPr>
        <w:t>ea</w:t>
      </w:r>
      <w:r w:rsidRPr="003278ED">
        <w:rPr>
          <w:rFonts w:ascii="Times New Roman" w:hAnsi="Times New Roman" w:cs="Times New Roman"/>
          <w:sz w:val="24"/>
          <w:szCs w:val="28"/>
        </w:rPr>
        <w:t xml:space="preserve"> </w:t>
      </w:r>
      <w:r w:rsidR="0085082F" w:rsidRPr="003278ED">
        <w:rPr>
          <w:rFonts w:ascii="Times New Roman" w:hAnsi="Times New Roman" w:cs="Times New Roman"/>
          <w:sz w:val="24"/>
          <w:szCs w:val="28"/>
        </w:rPr>
        <w:t>prenotat</w:t>
      </w:r>
      <w:r w:rsidR="00AA08E6" w:rsidRPr="003278ED">
        <w:rPr>
          <w:rFonts w:ascii="Times New Roman" w:hAnsi="Times New Roman" w:cs="Times New Roman"/>
          <w:sz w:val="24"/>
          <w:szCs w:val="28"/>
        </w:rPr>
        <w:t>ă</w:t>
      </w:r>
      <w:r w:rsidRPr="003278ED">
        <w:rPr>
          <w:rFonts w:ascii="Times New Roman" w:hAnsi="Times New Roman" w:cs="Times New Roman"/>
          <w:sz w:val="24"/>
          <w:szCs w:val="28"/>
        </w:rPr>
        <w:t xml:space="preserve">, care limitează deficitul BPN (fără granturi) la 2,5% din PIB </w:t>
      </w:r>
      <w:r w:rsidR="00A177EE" w:rsidRPr="003278ED">
        <w:rPr>
          <w:rFonts w:ascii="Times New Roman" w:hAnsi="Times New Roman" w:cs="Times New Roman"/>
          <w:sz w:val="24"/>
          <w:szCs w:val="28"/>
        </w:rPr>
        <w:t xml:space="preserve">este </w:t>
      </w:r>
      <w:r w:rsidR="0094714B" w:rsidRPr="003278ED">
        <w:rPr>
          <w:rFonts w:ascii="Times New Roman" w:hAnsi="Times New Roman" w:cs="Times New Roman"/>
          <w:sz w:val="24"/>
          <w:szCs w:val="28"/>
        </w:rPr>
        <w:t>depășită</w:t>
      </w:r>
      <w:r w:rsidR="00A177EE" w:rsidRPr="003278ED">
        <w:rPr>
          <w:rFonts w:ascii="Times New Roman" w:hAnsi="Times New Roman" w:cs="Times New Roman"/>
          <w:sz w:val="24"/>
          <w:szCs w:val="28"/>
        </w:rPr>
        <w:t xml:space="preserve"> cu 0,4 </w:t>
      </w:r>
      <w:proofErr w:type="spellStart"/>
      <w:r w:rsidR="00A177EE" w:rsidRPr="003278ED">
        <w:rPr>
          <w:rFonts w:ascii="Times New Roman" w:hAnsi="Times New Roman" w:cs="Times New Roman"/>
          <w:sz w:val="24"/>
          <w:szCs w:val="28"/>
        </w:rPr>
        <w:t>p.p</w:t>
      </w:r>
      <w:proofErr w:type="spellEnd"/>
      <w:r w:rsidR="00C30087" w:rsidRPr="003278ED">
        <w:rPr>
          <w:rFonts w:ascii="Times New Roman" w:hAnsi="Times New Roman" w:cs="Times New Roman"/>
          <w:sz w:val="24"/>
          <w:szCs w:val="28"/>
        </w:rPr>
        <w:t xml:space="preserve">, procesul de revenire la un trend descendent fiind unul mai </w:t>
      </w:r>
      <w:r w:rsidR="005A1F0D" w:rsidRPr="003278ED">
        <w:rPr>
          <w:rFonts w:ascii="Times New Roman" w:hAnsi="Times New Roman" w:cs="Times New Roman"/>
          <w:sz w:val="24"/>
          <w:szCs w:val="28"/>
        </w:rPr>
        <w:t>îndelungat</w:t>
      </w:r>
      <w:r w:rsidRPr="003278ED">
        <w:rPr>
          <w:rFonts w:ascii="Times New Roman" w:hAnsi="Times New Roman" w:cs="Times New Roman"/>
          <w:sz w:val="24"/>
          <w:szCs w:val="28"/>
        </w:rPr>
        <w:t xml:space="preserve">, pe când în următorii ani de prognoză </w:t>
      </w:r>
      <w:r w:rsidR="00AA08E6" w:rsidRPr="003278ED">
        <w:rPr>
          <w:rFonts w:ascii="Times New Roman" w:hAnsi="Times New Roman" w:cs="Times New Roman"/>
          <w:sz w:val="24"/>
          <w:szCs w:val="28"/>
        </w:rPr>
        <w:t>(</w:t>
      </w:r>
      <w:r w:rsidRPr="003278ED">
        <w:rPr>
          <w:rFonts w:ascii="Times New Roman" w:hAnsi="Times New Roman" w:cs="Times New Roman"/>
          <w:sz w:val="24"/>
          <w:szCs w:val="28"/>
        </w:rPr>
        <w:t>2026-2027</w:t>
      </w:r>
      <w:r w:rsidR="00AA08E6" w:rsidRPr="003278ED">
        <w:rPr>
          <w:rFonts w:ascii="Times New Roman" w:hAnsi="Times New Roman" w:cs="Times New Roman"/>
          <w:sz w:val="24"/>
          <w:szCs w:val="28"/>
        </w:rPr>
        <w:t>)</w:t>
      </w:r>
      <w:r w:rsidRPr="003278ED">
        <w:rPr>
          <w:rFonts w:ascii="Times New Roman" w:hAnsi="Times New Roman" w:cs="Times New Roman"/>
          <w:sz w:val="24"/>
          <w:szCs w:val="28"/>
        </w:rPr>
        <w:t xml:space="preserve"> nivelul deficitului prognozat (fără granturi) se în</w:t>
      </w:r>
      <w:r w:rsidR="001C39F7" w:rsidRPr="003278ED">
        <w:rPr>
          <w:rFonts w:ascii="Times New Roman" w:hAnsi="Times New Roman" w:cs="Times New Roman"/>
          <w:sz w:val="24"/>
          <w:szCs w:val="28"/>
        </w:rPr>
        <w:t xml:space="preserve">cadrează în regula generală și </w:t>
      </w:r>
      <w:r w:rsidRPr="003278ED">
        <w:rPr>
          <w:rFonts w:ascii="Times New Roman" w:hAnsi="Times New Roman" w:cs="Times New Roman"/>
          <w:sz w:val="24"/>
          <w:szCs w:val="28"/>
        </w:rPr>
        <w:t xml:space="preserve">nu depășește nivelul admis al deficitului cu derogare. </w:t>
      </w:r>
    </w:p>
    <w:p w14:paraId="18F964BD" w14:textId="1045AABC" w:rsidR="00FA7F1A" w:rsidRPr="003278ED" w:rsidRDefault="00FA7F1A"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Agregatele bugetare pentru perioada CBTM (2025-2027) indică faptul că bugetul se află în continuă redresare, după impactul provocat de multiplele crize din ultima perioadă, dar încă într-un cadru bugetar-f</w:t>
      </w:r>
      <w:r w:rsidR="00E338E9" w:rsidRPr="003278ED">
        <w:rPr>
          <w:rFonts w:ascii="Times New Roman" w:hAnsi="Times New Roman" w:cs="Times New Roman"/>
          <w:sz w:val="24"/>
          <w:szCs w:val="28"/>
        </w:rPr>
        <w:t xml:space="preserve">iscal foarte constrâns (tabelul </w:t>
      </w:r>
      <w:r w:rsidRPr="003278ED">
        <w:rPr>
          <w:rFonts w:ascii="Times New Roman" w:hAnsi="Times New Roman" w:cs="Times New Roman"/>
          <w:sz w:val="24"/>
          <w:szCs w:val="28"/>
        </w:rPr>
        <w:t>3.2).</w:t>
      </w:r>
    </w:p>
    <w:p w14:paraId="4180846C" w14:textId="77777777" w:rsidR="00E338E9" w:rsidRPr="003278ED" w:rsidRDefault="00E338E9" w:rsidP="007D3A2B">
      <w:pPr>
        <w:pStyle w:val="Table"/>
        <w:spacing w:before="0" w:line="240" w:lineRule="auto"/>
        <w:ind w:left="7201" w:right="142"/>
        <w:jc w:val="right"/>
        <w:rPr>
          <w:rFonts w:ascii="Times New Roman" w:hAnsi="Times New Roman"/>
          <w:bCs/>
          <w:color w:val="auto"/>
          <w:sz w:val="24"/>
          <w:szCs w:val="24"/>
          <w:lang w:val="ro-RO"/>
        </w:rPr>
      </w:pPr>
    </w:p>
    <w:p w14:paraId="329A6EBE" w14:textId="77777777" w:rsidR="0081715E" w:rsidRPr="003278ED" w:rsidRDefault="0081715E" w:rsidP="007D3A2B">
      <w:pPr>
        <w:pStyle w:val="Table"/>
        <w:spacing w:before="0" w:line="240" w:lineRule="auto"/>
        <w:ind w:left="7201" w:right="142"/>
        <w:jc w:val="right"/>
        <w:rPr>
          <w:rFonts w:ascii="Times New Roman" w:hAnsi="Times New Roman"/>
          <w:b w:val="0"/>
          <w:bCs/>
          <w:color w:val="auto"/>
          <w:sz w:val="24"/>
          <w:szCs w:val="24"/>
          <w:lang w:val="ro-RO"/>
        </w:rPr>
      </w:pPr>
      <w:r w:rsidRPr="003278ED">
        <w:rPr>
          <w:rFonts w:ascii="Times New Roman" w:hAnsi="Times New Roman"/>
          <w:b w:val="0"/>
          <w:bCs/>
          <w:color w:val="auto"/>
          <w:sz w:val="24"/>
          <w:szCs w:val="24"/>
          <w:lang w:val="ro-RO"/>
        </w:rPr>
        <w:t>Tabelul 3.2</w:t>
      </w:r>
    </w:p>
    <w:p w14:paraId="636F7E0B" w14:textId="65712AB6" w:rsidR="0081715E" w:rsidRPr="003278ED" w:rsidRDefault="00E338E9" w:rsidP="007D3A2B">
      <w:pPr>
        <w:spacing w:after="0" w:line="240" w:lineRule="auto"/>
        <w:ind w:firstLine="567"/>
        <w:jc w:val="center"/>
        <w:rPr>
          <w:rFonts w:ascii="Times New Roman" w:hAnsi="Times New Roman" w:cs="Times New Roman"/>
          <w:b/>
          <w:sz w:val="24"/>
          <w:szCs w:val="28"/>
        </w:rPr>
      </w:pPr>
      <w:r w:rsidRPr="003278ED">
        <w:rPr>
          <w:rFonts w:ascii="Times New Roman" w:eastAsia="Times New Roman" w:hAnsi="Times New Roman"/>
          <w:b/>
          <w:bCs/>
          <w:sz w:val="24"/>
          <w:szCs w:val="24"/>
        </w:rPr>
        <w:t>Agregate bugetare</w:t>
      </w:r>
    </w:p>
    <w:p w14:paraId="55096B96" w14:textId="77777777" w:rsidR="00E338E9" w:rsidRPr="003278ED" w:rsidRDefault="00E338E9" w:rsidP="007D3A2B">
      <w:pPr>
        <w:spacing w:after="0" w:line="240" w:lineRule="auto"/>
        <w:ind w:firstLine="567"/>
        <w:jc w:val="both"/>
        <w:rPr>
          <w:rFonts w:ascii="Times New Roman" w:hAnsi="Times New Roman" w:cs="Times New Roman"/>
          <w:sz w:val="24"/>
          <w:szCs w:val="28"/>
        </w:rPr>
      </w:pPr>
    </w:p>
    <w:tbl>
      <w:tblPr>
        <w:tblStyle w:val="6"/>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1"/>
        <w:gridCol w:w="863"/>
        <w:gridCol w:w="920"/>
        <w:gridCol w:w="948"/>
        <w:gridCol w:w="948"/>
        <w:gridCol w:w="965"/>
        <w:gridCol w:w="948"/>
        <w:gridCol w:w="950"/>
        <w:gridCol w:w="950"/>
      </w:tblGrid>
      <w:tr w:rsidR="0081715E" w:rsidRPr="003278ED" w14:paraId="70C12121" w14:textId="77777777" w:rsidTr="004C2B11">
        <w:trPr>
          <w:tblHeader/>
        </w:trPr>
        <w:tc>
          <w:tcPr>
            <w:tcW w:w="986" w:type="pct"/>
            <w:vMerge w:val="restart"/>
          </w:tcPr>
          <w:p w14:paraId="474354BF" w14:textId="77777777" w:rsidR="0081715E" w:rsidRPr="003278ED" w:rsidRDefault="0081715E" w:rsidP="007D3A2B">
            <w:pPr>
              <w:ind w:firstLine="0"/>
              <w:jc w:val="center"/>
              <w:rPr>
                <w:rFonts w:ascii="Times New Roman" w:hAnsi="Times New Roman"/>
                <w:b/>
                <w:bCs/>
                <w:sz w:val="16"/>
                <w:szCs w:val="16"/>
              </w:rPr>
            </w:pPr>
          </w:p>
        </w:tc>
        <w:tc>
          <w:tcPr>
            <w:tcW w:w="1971" w:type="pct"/>
            <w:gridSpan w:val="4"/>
            <w:hideMark/>
          </w:tcPr>
          <w:p w14:paraId="7D16FAAD"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color w:val="000000"/>
                <w:sz w:val="16"/>
                <w:szCs w:val="16"/>
              </w:rPr>
              <w:t>mil. lei</w:t>
            </w:r>
          </w:p>
        </w:tc>
        <w:tc>
          <w:tcPr>
            <w:tcW w:w="2043" w:type="pct"/>
            <w:gridSpan w:val="4"/>
            <w:hideMark/>
          </w:tcPr>
          <w:p w14:paraId="759BB023"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color w:val="000000"/>
                <w:sz w:val="16"/>
                <w:szCs w:val="16"/>
              </w:rPr>
              <w:t>% din PIB</w:t>
            </w:r>
          </w:p>
        </w:tc>
      </w:tr>
      <w:tr w:rsidR="0081715E" w:rsidRPr="003278ED" w14:paraId="6341535D" w14:textId="77777777" w:rsidTr="004C2B11">
        <w:trPr>
          <w:trHeight w:val="306"/>
          <w:tblHeader/>
        </w:trPr>
        <w:tc>
          <w:tcPr>
            <w:tcW w:w="986" w:type="pct"/>
            <w:vMerge/>
          </w:tcPr>
          <w:p w14:paraId="3C20D6EA" w14:textId="77777777" w:rsidR="0081715E" w:rsidRPr="003278ED" w:rsidRDefault="0081715E" w:rsidP="007D3A2B">
            <w:pPr>
              <w:ind w:firstLine="0"/>
              <w:jc w:val="center"/>
              <w:rPr>
                <w:rFonts w:ascii="Times New Roman" w:hAnsi="Times New Roman"/>
                <w:b/>
                <w:bCs/>
                <w:sz w:val="16"/>
                <w:szCs w:val="16"/>
              </w:rPr>
            </w:pPr>
          </w:p>
        </w:tc>
        <w:tc>
          <w:tcPr>
            <w:tcW w:w="462" w:type="pct"/>
            <w:vAlign w:val="center"/>
            <w:hideMark/>
          </w:tcPr>
          <w:p w14:paraId="52E1A673"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2024</w:t>
            </w:r>
          </w:p>
        </w:tc>
        <w:tc>
          <w:tcPr>
            <w:tcW w:w="493" w:type="pct"/>
            <w:vAlign w:val="center"/>
            <w:hideMark/>
          </w:tcPr>
          <w:p w14:paraId="35BB62A5"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2025</w:t>
            </w:r>
            <w:r w:rsidRPr="003278ED">
              <w:rPr>
                <w:rFonts w:ascii="Times New Roman" w:hAnsi="Times New Roman"/>
                <w:b/>
                <w:color w:val="000000"/>
                <w:sz w:val="16"/>
                <w:szCs w:val="16"/>
              </w:rPr>
              <w:t xml:space="preserve"> </w:t>
            </w:r>
          </w:p>
        </w:tc>
        <w:tc>
          <w:tcPr>
            <w:tcW w:w="508" w:type="pct"/>
            <w:vAlign w:val="center"/>
            <w:hideMark/>
          </w:tcPr>
          <w:p w14:paraId="70C417C0"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2026</w:t>
            </w:r>
            <w:r w:rsidRPr="003278ED">
              <w:rPr>
                <w:rFonts w:ascii="Times New Roman" w:hAnsi="Times New Roman"/>
                <w:b/>
                <w:color w:val="000000"/>
                <w:sz w:val="16"/>
                <w:szCs w:val="16"/>
              </w:rPr>
              <w:t xml:space="preserve"> </w:t>
            </w:r>
          </w:p>
        </w:tc>
        <w:tc>
          <w:tcPr>
            <w:tcW w:w="508" w:type="pct"/>
            <w:vAlign w:val="center"/>
            <w:hideMark/>
          </w:tcPr>
          <w:p w14:paraId="2DD0095A"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2027</w:t>
            </w:r>
            <w:r w:rsidRPr="003278ED">
              <w:rPr>
                <w:rFonts w:ascii="Times New Roman" w:hAnsi="Times New Roman"/>
                <w:b/>
                <w:color w:val="000000"/>
                <w:sz w:val="16"/>
                <w:szCs w:val="16"/>
              </w:rPr>
              <w:t xml:space="preserve"> </w:t>
            </w:r>
          </w:p>
        </w:tc>
        <w:tc>
          <w:tcPr>
            <w:tcW w:w="517" w:type="pct"/>
            <w:vAlign w:val="center"/>
            <w:hideMark/>
          </w:tcPr>
          <w:p w14:paraId="21038B0D"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2024</w:t>
            </w:r>
          </w:p>
        </w:tc>
        <w:tc>
          <w:tcPr>
            <w:tcW w:w="508" w:type="pct"/>
            <w:vAlign w:val="center"/>
            <w:hideMark/>
          </w:tcPr>
          <w:p w14:paraId="1FFA44E5"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2025</w:t>
            </w:r>
            <w:r w:rsidRPr="003278ED">
              <w:rPr>
                <w:rFonts w:ascii="Times New Roman" w:hAnsi="Times New Roman"/>
                <w:b/>
                <w:color w:val="000000"/>
                <w:sz w:val="16"/>
                <w:szCs w:val="16"/>
              </w:rPr>
              <w:t xml:space="preserve"> </w:t>
            </w:r>
          </w:p>
        </w:tc>
        <w:tc>
          <w:tcPr>
            <w:tcW w:w="509" w:type="pct"/>
            <w:vAlign w:val="center"/>
            <w:hideMark/>
          </w:tcPr>
          <w:p w14:paraId="5F31D07E"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2026</w:t>
            </w:r>
            <w:r w:rsidRPr="003278ED">
              <w:rPr>
                <w:rFonts w:ascii="Times New Roman" w:hAnsi="Times New Roman"/>
                <w:b/>
                <w:color w:val="000000"/>
                <w:sz w:val="16"/>
                <w:szCs w:val="16"/>
              </w:rPr>
              <w:t xml:space="preserve"> </w:t>
            </w:r>
          </w:p>
        </w:tc>
        <w:tc>
          <w:tcPr>
            <w:tcW w:w="509" w:type="pct"/>
            <w:vAlign w:val="center"/>
            <w:hideMark/>
          </w:tcPr>
          <w:p w14:paraId="151860AC" w14:textId="77777777" w:rsidR="0081715E" w:rsidRPr="003278ED" w:rsidRDefault="0081715E" w:rsidP="007D3A2B">
            <w:pPr>
              <w:ind w:firstLine="0"/>
              <w:jc w:val="center"/>
              <w:rPr>
                <w:rFonts w:ascii="Times New Roman" w:hAnsi="Times New Roman"/>
                <w:b/>
                <w:bCs/>
                <w:sz w:val="16"/>
                <w:szCs w:val="16"/>
              </w:rPr>
            </w:pPr>
            <w:r w:rsidRPr="003278ED">
              <w:rPr>
                <w:rFonts w:ascii="Times New Roman" w:hAnsi="Times New Roman"/>
                <w:b/>
                <w:bCs/>
                <w:color w:val="000000"/>
                <w:sz w:val="16"/>
                <w:szCs w:val="16"/>
              </w:rPr>
              <w:t>2027</w:t>
            </w:r>
            <w:r w:rsidRPr="003278ED">
              <w:rPr>
                <w:rFonts w:ascii="Times New Roman" w:hAnsi="Times New Roman"/>
                <w:b/>
                <w:color w:val="000000"/>
                <w:sz w:val="16"/>
                <w:szCs w:val="16"/>
              </w:rPr>
              <w:t xml:space="preserve"> </w:t>
            </w:r>
          </w:p>
        </w:tc>
      </w:tr>
      <w:tr w:rsidR="0081715E" w:rsidRPr="003278ED" w14:paraId="64138306" w14:textId="77777777" w:rsidTr="004C2B11">
        <w:trPr>
          <w:trHeight w:val="108"/>
          <w:tblHeader/>
        </w:trPr>
        <w:tc>
          <w:tcPr>
            <w:tcW w:w="986" w:type="pct"/>
            <w:vMerge/>
            <w:vAlign w:val="center"/>
            <w:hideMark/>
          </w:tcPr>
          <w:p w14:paraId="5C280F6B" w14:textId="77777777" w:rsidR="0081715E" w:rsidRPr="003278ED" w:rsidRDefault="0081715E" w:rsidP="007D3A2B">
            <w:pPr>
              <w:rPr>
                <w:rFonts w:ascii="Times New Roman" w:eastAsia="Times New Roman" w:hAnsi="Times New Roman"/>
                <w:b/>
                <w:bCs/>
                <w:sz w:val="16"/>
                <w:szCs w:val="16"/>
              </w:rPr>
            </w:pPr>
          </w:p>
        </w:tc>
        <w:tc>
          <w:tcPr>
            <w:tcW w:w="462" w:type="pct"/>
            <w:vAlign w:val="center"/>
            <w:hideMark/>
          </w:tcPr>
          <w:p w14:paraId="07E466A6" w14:textId="77777777" w:rsidR="0081715E" w:rsidRPr="003278ED" w:rsidRDefault="0081715E" w:rsidP="007D3A2B">
            <w:pPr>
              <w:ind w:left="-61" w:firstLine="0"/>
              <w:contextualSpacing/>
              <w:jc w:val="center"/>
              <w:rPr>
                <w:rFonts w:ascii="Times New Roman" w:hAnsi="Times New Roman"/>
                <w:b/>
                <w:bCs/>
                <w:color w:val="000000"/>
                <w:sz w:val="16"/>
                <w:szCs w:val="16"/>
              </w:rPr>
            </w:pPr>
            <w:r w:rsidRPr="003278ED">
              <w:rPr>
                <w:rFonts w:ascii="Times New Roman" w:hAnsi="Times New Roman"/>
                <w:b/>
                <w:color w:val="000000"/>
                <w:sz w:val="16"/>
                <w:szCs w:val="16"/>
              </w:rPr>
              <w:t>Aprobat</w:t>
            </w:r>
          </w:p>
        </w:tc>
        <w:tc>
          <w:tcPr>
            <w:tcW w:w="493" w:type="pct"/>
            <w:vAlign w:val="center"/>
            <w:hideMark/>
          </w:tcPr>
          <w:p w14:paraId="60429B8F"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c>
          <w:tcPr>
            <w:tcW w:w="508" w:type="pct"/>
            <w:vAlign w:val="center"/>
            <w:hideMark/>
          </w:tcPr>
          <w:p w14:paraId="7656B20F"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c>
          <w:tcPr>
            <w:tcW w:w="508" w:type="pct"/>
            <w:vAlign w:val="center"/>
            <w:hideMark/>
          </w:tcPr>
          <w:p w14:paraId="76F9E5FA"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c>
          <w:tcPr>
            <w:tcW w:w="517" w:type="pct"/>
            <w:vAlign w:val="center"/>
            <w:hideMark/>
          </w:tcPr>
          <w:p w14:paraId="6BF8A3D3" w14:textId="77777777" w:rsidR="0081715E" w:rsidRPr="003278ED" w:rsidRDefault="0081715E" w:rsidP="007D3A2B">
            <w:pPr>
              <w:ind w:left="-61" w:firstLine="0"/>
              <w:contextualSpacing/>
              <w:jc w:val="center"/>
              <w:rPr>
                <w:rFonts w:ascii="Times New Roman" w:eastAsia="Times New Roman" w:hAnsi="Times New Roman"/>
                <w:b/>
                <w:color w:val="000000"/>
                <w:sz w:val="16"/>
                <w:szCs w:val="16"/>
              </w:rPr>
            </w:pPr>
            <w:r w:rsidRPr="003278ED">
              <w:rPr>
                <w:rFonts w:ascii="Times New Roman" w:hAnsi="Times New Roman"/>
                <w:b/>
                <w:color w:val="000000"/>
                <w:sz w:val="16"/>
                <w:szCs w:val="16"/>
              </w:rPr>
              <w:t>Aprobat</w:t>
            </w:r>
          </w:p>
        </w:tc>
        <w:tc>
          <w:tcPr>
            <w:tcW w:w="508" w:type="pct"/>
            <w:vAlign w:val="center"/>
            <w:hideMark/>
          </w:tcPr>
          <w:p w14:paraId="3CB1C72B"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c>
          <w:tcPr>
            <w:tcW w:w="509" w:type="pct"/>
            <w:vAlign w:val="center"/>
            <w:hideMark/>
          </w:tcPr>
          <w:p w14:paraId="0B329DA8"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c>
          <w:tcPr>
            <w:tcW w:w="509" w:type="pct"/>
            <w:vAlign w:val="center"/>
            <w:hideMark/>
          </w:tcPr>
          <w:p w14:paraId="2FD6F220"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color w:val="000000"/>
                <w:sz w:val="16"/>
                <w:szCs w:val="16"/>
              </w:rPr>
              <w:t>Prognozat</w:t>
            </w:r>
          </w:p>
        </w:tc>
      </w:tr>
      <w:tr w:rsidR="0081715E" w:rsidRPr="003278ED" w14:paraId="4E3360A0" w14:textId="77777777" w:rsidTr="004C2B11">
        <w:trPr>
          <w:trHeight w:val="366"/>
        </w:trPr>
        <w:tc>
          <w:tcPr>
            <w:tcW w:w="986" w:type="pct"/>
            <w:vAlign w:val="center"/>
            <w:hideMark/>
          </w:tcPr>
          <w:p w14:paraId="5B966F5E" w14:textId="77777777" w:rsidR="0081715E" w:rsidRPr="003278ED" w:rsidRDefault="0081715E" w:rsidP="007D3A2B">
            <w:pPr>
              <w:ind w:firstLine="0"/>
              <w:rPr>
                <w:rFonts w:ascii="Times New Roman" w:eastAsia="Times New Roman" w:hAnsi="Times New Roman"/>
                <w:b/>
                <w:bCs/>
                <w:sz w:val="16"/>
                <w:szCs w:val="16"/>
              </w:rPr>
            </w:pPr>
            <w:r w:rsidRPr="003278ED">
              <w:rPr>
                <w:rFonts w:ascii="Times New Roman" w:hAnsi="Times New Roman"/>
                <w:b/>
                <w:bCs/>
                <w:color w:val="000000"/>
                <w:sz w:val="16"/>
                <w:szCs w:val="16"/>
              </w:rPr>
              <w:t>Total venituri</w:t>
            </w:r>
          </w:p>
        </w:tc>
        <w:tc>
          <w:tcPr>
            <w:tcW w:w="462" w:type="pct"/>
            <w:vAlign w:val="center"/>
            <w:hideMark/>
          </w:tcPr>
          <w:p w14:paraId="353B627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107 172</w:t>
            </w:r>
          </w:p>
        </w:tc>
        <w:tc>
          <w:tcPr>
            <w:tcW w:w="493" w:type="pct"/>
            <w:vAlign w:val="center"/>
            <w:hideMark/>
          </w:tcPr>
          <w:p w14:paraId="423CFF44"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115 867</w:t>
            </w:r>
          </w:p>
        </w:tc>
        <w:tc>
          <w:tcPr>
            <w:tcW w:w="508" w:type="pct"/>
            <w:vAlign w:val="center"/>
            <w:hideMark/>
          </w:tcPr>
          <w:p w14:paraId="3919A899"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124 474</w:t>
            </w:r>
          </w:p>
        </w:tc>
        <w:tc>
          <w:tcPr>
            <w:tcW w:w="508" w:type="pct"/>
            <w:vAlign w:val="center"/>
            <w:hideMark/>
          </w:tcPr>
          <w:p w14:paraId="2865C7B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135 855</w:t>
            </w:r>
          </w:p>
        </w:tc>
        <w:tc>
          <w:tcPr>
            <w:tcW w:w="517" w:type="pct"/>
            <w:vAlign w:val="center"/>
            <w:hideMark/>
          </w:tcPr>
          <w:p w14:paraId="63AB213A"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31,3%</w:t>
            </w:r>
          </w:p>
        </w:tc>
        <w:tc>
          <w:tcPr>
            <w:tcW w:w="508" w:type="pct"/>
            <w:vAlign w:val="center"/>
            <w:hideMark/>
          </w:tcPr>
          <w:p w14:paraId="372689EF"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32,3%</w:t>
            </w:r>
          </w:p>
        </w:tc>
        <w:tc>
          <w:tcPr>
            <w:tcW w:w="509" w:type="pct"/>
            <w:vAlign w:val="center"/>
            <w:hideMark/>
          </w:tcPr>
          <w:p w14:paraId="5C8663D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31,7%</w:t>
            </w:r>
          </w:p>
        </w:tc>
        <w:tc>
          <w:tcPr>
            <w:tcW w:w="509" w:type="pct"/>
            <w:vAlign w:val="center"/>
            <w:hideMark/>
          </w:tcPr>
          <w:p w14:paraId="2AB072DD"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31,7%</w:t>
            </w:r>
          </w:p>
        </w:tc>
      </w:tr>
      <w:tr w:rsidR="0081715E" w:rsidRPr="003278ED" w14:paraId="32A9583B" w14:textId="77777777" w:rsidTr="004C2B11">
        <w:tc>
          <w:tcPr>
            <w:tcW w:w="986" w:type="pct"/>
            <w:vAlign w:val="center"/>
            <w:hideMark/>
          </w:tcPr>
          <w:p w14:paraId="240EB9E3" w14:textId="77777777" w:rsidR="0081715E" w:rsidRPr="003278ED" w:rsidRDefault="0081715E" w:rsidP="007D3A2B">
            <w:pPr>
              <w:ind w:left="30" w:firstLine="0"/>
              <w:rPr>
                <w:rFonts w:ascii="Times New Roman" w:eastAsia="Times New Roman" w:hAnsi="Times New Roman"/>
                <w:bCs/>
                <w:sz w:val="16"/>
                <w:szCs w:val="16"/>
              </w:rPr>
            </w:pPr>
            <w:r w:rsidRPr="003278ED">
              <w:rPr>
                <w:rFonts w:ascii="Times New Roman" w:hAnsi="Times New Roman"/>
                <w:color w:val="000000"/>
                <w:sz w:val="16"/>
                <w:szCs w:val="16"/>
              </w:rPr>
              <w:t>Impozite și taxe</w:t>
            </w:r>
          </w:p>
        </w:tc>
        <w:tc>
          <w:tcPr>
            <w:tcW w:w="462" w:type="pct"/>
            <w:vAlign w:val="center"/>
            <w:hideMark/>
          </w:tcPr>
          <w:p w14:paraId="63FDF22F"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99 901</w:t>
            </w:r>
          </w:p>
        </w:tc>
        <w:tc>
          <w:tcPr>
            <w:tcW w:w="493" w:type="pct"/>
            <w:vAlign w:val="center"/>
            <w:hideMark/>
          </w:tcPr>
          <w:p w14:paraId="2040E22C"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109 454</w:t>
            </w:r>
          </w:p>
        </w:tc>
        <w:tc>
          <w:tcPr>
            <w:tcW w:w="508" w:type="pct"/>
            <w:vAlign w:val="center"/>
            <w:hideMark/>
          </w:tcPr>
          <w:p w14:paraId="74317771"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117 806</w:t>
            </w:r>
          </w:p>
        </w:tc>
        <w:tc>
          <w:tcPr>
            <w:tcW w:w="508" w:type="pct"/>
            <w:vAlign w:val="center"/>
            <w:hideMark/>
          </w:tcPr>
          <w:p w14:paraId="28C01281"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129 355</w:t>
            </w:r>
          </w:p>
        </w:tc>
        <w:tc>
          <w:tcPr>
            <w:tcW w:w="517" w:type="pct"/>
            <w:vAlign w:val="center"/>
            <w:hideMark/>
          </w:tcPr>
          <w:p w14:paraId="6B929A6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29,2%</w:t>
            </w:r>
          </w:p>
        </w:tc>
        <w:tc>
          <w:tcPr>
            <w:tcW w:w="508" w:type="pct"/>
            <w:vAlign w:val="center"/>
            <w:hideMark/>
          </w:tcPr>
          <w:p w14:paraId="723B574F"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30,5%</w:t>
            </w:r>
          </w:p>
        </w:tc>
        <w:tc>
          <w:tcPr>
            <w:tcW w:w="509" w:type="pct"/>
            <w:vAlign w:val="center"/>
            <w:hideMark/>
          </w:tcPr>
          <w:p w14:paraId="69915A86"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30,0%</w:t>
            </w:r>
          </w:p>
        </w:tc>
        <w:tc>
          <w:tcPr>
            <w:tcW w:w="509" w:type="pct"/>
            <w:vAlign w:val="center"/>
            <w:hideMark/>
          </w:tcPr>
          <w:p w14:paraId="084AA50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30,1%</w:t>
            </w:r>
          </w:p>
        </w:tc>
      </w:tr>
      <w:tr w:rsidR="0081715E" w:rsidRPr="003278ED" w14:paraId="708DA49B" w14:textId="77777777" w:rsidTr="004C2B11">
        <w:tc>
          <w:tcPr>
            <w:tcW w:w="986" w:type="pct"/>
            <w:vAlign w:val="center"/>
            <w:hideMark/>
          </w:tcPr>
          <w:p w14:paraId="25AA97BE" w14:textId="77777777" w:rsidR="0081715E" w:rsidRPr="003278ED" w:rsidRDefault="0081715E" w:rsidP="007D3A2B">
            <w:pPr>
              <w:ind w:left="30" w:firstLine="0"/>
              <w:rPr>
                <w:rFonts w:ascii="Times New Roman" w:eastAsia="Times New Roman" w:hAnsi="Times New Roman"/>
                <w:bCs/>
                <w:sz w:val="16"/>
                <w:szCs w:val="16"/>
              </w:rPr>
            </w:pPr>
            <w:r w:rsidRPr="003278ED">
              <w:rPr>
                <w:rFonts w:ascii="Times New Roman" w:hAnsi="Times New Roman"/>
                <w:color w:val="000000"/>
                <w:sz w:val="16"/>
                <w:szCs w:val="16"/>
              </w:rPr>
              <w:t xml:space="preserve">Alte venituri </w:t>
            </w:r>
          </w:p>
        </w:tc>
        <w:tc>
          <w:tcPr>
            <w:tcW w:w="462" w:type="pct"/>
            <w:vAlign w:val="center"/>
            <w:hideMark/>
          </w:tcPr>
          <w:p w14:paraId="1C8C125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4 796</w:t>
            </w:r>
          </w:p>
        </w:tc>
        <w:tc>
          <w:tcPr>
            <w:tcW w:w="493" w:type="pct"/>
            <w:vAlign w:val="center"/>
            <w:hideMark/>
          </w:tcPr>
          <w:p w14:paraId="44A9586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4 982</w:t>
            </w:r>
          </w:p>
        </w:tc>
        <w:tc>
          <w:tcPr>
            <w:tcW w:w="508" w:type="pct"/>
            <w:vAlign w:val="center"/>
            <w:hideMark/>
          </w:tcPr>
          <w:p w14:paraId="2FB1EA8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5 239</w:t>
            </w:r>
          </w:p>
        </w:tc>
        <w:tc>
          <w:tcPr>
            <w:tcW w:w="508" w:type="pct"/>
            <w:vAlign w:val="center"/>
            <w:hideMark/>
          </w:tcPr>
          <w:p w14:paraId="577ECE80"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5 400</w:t>
            </w:r>
          </w:p>
        </w:tc>
        <w:tc>
          <w:tcPr>
            <w:tcW w:w="517" w:type="pct"/>
            <w:vAlign w:val="center"/>
            <w:hideMark/>
          </w:tcPr>
          <w:p w14:paraId="36C4EAB4"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1,4%</w:t>
            </w:r>
          </w:p>
        </w:tc>
        <w:tc>
          <w:tcPr>
            <w:tcW w:w="508" w:type="pct"/>
            <w:vAlign w:val="center"/>
            <w:hideMark/>
          </w:tcPr>
          <w:p w14:paraId="3B6CCBF0"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1,4%</w:t>
            </w:r>
          </w:p>
        </w:tc>
        <w:tc>
          <w:tcPr>
            <w:tcW w:w="509" w:type="pct"/>
            <w:vAlign w:val="center"/>
            <w:hideMark/>
          </w:tcPr>
          <w:p w14:paraId="57D89A24"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1,3%</w:t>
            </w:r>
          </w:p>
        </w:tc>
        <w:tc>
          <w:tcPr>
            <w:tcW w:w="509" w:type="pct"/>
            <w:vAlign w:val="center"/>
            <w:hideMark/>
          </w:tcPr>
          <w:p w14:paraId="2B9E3CC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1,3%</w:t>
            </w:r>
          </w:p>
        </w:tc>
      </w:tr>
      <w:tr w:rsidR="0081715E" w:rsidRPr="003278ED" w14:paraId="366D3C3E" w14:textId="77777777" w:rsidTr="004C2B11">
        <w:tc>
          <w:tcPr>
            <w:tcW w:w="986" w:type="pct"/>
            <w:shd w:val="clear" w:color="auto" w:fill="FFFFFF"/>
            <w:vAlign w:val="center"/>
            <w:hideMark/>
          </w:tcPr>
          <w:p w14:paraId="04F0CF1D" w14:textId="77777777" w:rsidR="0081715E" w:rsidRPr="003278ED" w:rsidRDefault="0081715E" w:rsidP="007D3A2B">
            <w:pPr>
              <w:ind w:left="30" w:firstLine="0"/>
              <w:rPr>
                <w:rFonts w:ascii="Times New Roman" w:eastAsia="Times New Roman" w:hAnsi="Times New Roman"/>
                <w:bCs/>
                <w:sz w:val="16"/>
                <w:szCs w:val="16"/>
              </w:rPr>
            </w:pPr>
            <w:r w:rsidRPr="003278ED">
              <w:rPr>
                <w:rFonts w:ascii="Times New Roman" w:hAnsi="Times New Roman"/>
                <w:color w:val="000000"/>
                <w:sz w:val="16"/>
                <w:szCs w:val="16"/>
              </w:rPr>
              <w:t>Granturi</w:t>
            </w:r>
          </w:p>
        </w:tc>
        <w:tc>
          <w:tcPr>
            <w:tcW w:w="462" w:type="pct"/>
            <w:shd w:val="clear" w:color="auto" w:fill="FFFFFF"/>
            <w:vAlign w:val="center"/>
            <w:hideMark/>
          </w:tcPr>
          <w:p w14:paraId="2546484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2 475</w:t>
            </w:r>
          </w:p>
        </w:tc>
        <w:tc>
          <w:tcPr>
            <w:tcW w:w="493" w:type="pct"/>
            <w:shd w:val="clear" w:color="auto" w:fill="FFFFFF"/>
            <w:vAlign w:val="center"/>
            <w:hideMark/>
          </w:tcPr>
          <w:p w14:paraId="145097BA"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1 431</w:t>
            </w:r>
          </w:p>
        </w:tc>
        <w:tc>
          <w:tcPr>
            <w:tcW w:w="508" w:type="pct"/>
            <w:shd w:val="clear" w:color="auto" w:fill="FFFFFF"/>
            <w:vAlign w:val="center"/>
            <w:hideMark/>
          </w:tcPr>
          <w:p w14:paraId="72D987A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1 429</w:t>
            </w:r>
          </w:p>
        </w:tc>
        <w:tc>
          <w:tcPr>
            <w:tcW w:w="508" w:type="pct"/>
            <w:shd w:val="clear" w:color="auto" w:fill="FFFFFF"/>
            <w:vAlign w:val="center"/>
            <w:hideMark/>
          </w:tcPr>
          <w:p w14:paraId="1E36A7C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1 101</w:t>
            </w:r>
          </w:p>
        </w:tc>
        <w:tc>
          <w:tcPr>
            <w:tcW w:w="517" w:type="pct"/>
            <w:vAlign w:val="center"/>
            <w:hideMark/>
          </w:tcPr>
          <w:p w14:paraId="31D046E7"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0,7%</w:t>
            </w:r>
          </w:p>
        </w:tc>
        <w:tc>
          <w:tcPr>
            <w:tcW w:w="508" w:type="pct"/>
            <w:vAlign w:val="center"/>
            <w:hideMark/>
          </w:tcPr>
          <w:p w14:paraId="1E3CE72F"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0,4%</w:t>
            </w:r>
          </w:p>
        </w:tc>
        <w:tc>
          <w:tcPr>
            <w:tcW w:w="509" w:type="pct"/>
            <w:vAlign w:val="center"/>
            <w:hideMark/>
          </w:tcPr>
          <w:p w14:paraId="217DB2B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0,4%</w:t>
            </w:r>
          </w:p>
        </w:tc>
        <w:tc>
          <w:tcPr>
            <w:tcW w:w="509" w:type="pct"/>
            <w:vAlign w:val="center"/>
            <w:hideMark/>
          </w:tcPr>
          <w:p w14:paraId="6E3D081D"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0,3%</w:t>
            </w:r>
          </w:p>
        </w:tc>
      </w:tr>
      <w:tr w:rsidR="0081715E" w:rsidRPr="003278ED" w14:paraId="5137995A" w14:textId="77777777" w:rsidTr="004C2B11">
        <w:trPr>
          <w:trHeight w:val="408"/>
        </w:trPr>
        <w:tc>
          <w:tcPr>
            <w:tcW w:w="986" w:type="pct"/>
            <w:shd w:val="clear" w:color="auto" w:fill="FFFFFF"/>
            <w:vAlign w:val="center"/>
            <w:hideMark/>
          </w:tcPr>
          <w:p w14:paraId="17ACEC2B" w14:textId="77777777" w:rsidR="0081715E" w:rsidRPr="003278ED" w:rsidRDefault="0081715E" w:rsidP="007D3A2B">
            <w:pPr>
              <w:ind w:firstLine="0"/>
              <w:rPr>
                <w:rFonts w:ascii="Times New Roman" w:hAnsi="Times New Roman"/>
                <w:b/>
                <w:color w:val="000000"/>
                <w:sz w:val="16"/>
                <w:szCs w:val="16"/>
              </w:rPr>
            </w:pPr>
            <w:r w:rsidRPr="003278ED">
              <w:rPr>
                <w:rFonts w:ascii="Times New Roman" w:hAnsi="Times New Roman"/>
                <w:b/>
                <w:bCs/>
                <w:color w:val="000000"/>
                <w:sz w:val="16"/>
                <w:szCs w:val="16"/>
              </w:rPr>
              <w:t>Total cheltuieli</w:t>
            </w:r>
          </w:p>
        </w:tc>
        <w:tc>
          <w:tcPr>
            <w:tcW w:w="462" w:type="pct"/>
            <w:shd w:val="clear" w:color="auto" w:fill="FFFFFF"/>
            <w:vAlign w:val="center"/>
            <w:hideMark/>
          </w:tcPr>
          <w:p w14:paraId="5FECF8B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122 962</w:t>
            </w:r>
          </w:p>
        </w:tc>
        <w:tc>
          <w:tcPr>
            <w:tcW w:w="493" w:type="pct"/>
            <w:shd w:val="clear" w:color="auto" w:fill="FFFFFF"/>
            <w:vAlign w:val="center"/>
            <w:hideMark/>
          </w:tcPr>
          <w:p w14:paraId="210DC50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129 557</w:t>
            </w:r>
          </w:p>
        </w:tc>
        <w:tc>
          <w:tcPr>
            <w:tcW w:w="508" w:type="pct"/>
            <w:shd w:val="clear" w:color="auto" w:fill="FFFFFF"/>
            <w:vAlign w:val="center"/>
            <w:hideMark/>
          </w:tcPr>
          <w:p w14:paraId="284C0A10" w14:textId="77777777" w:rsidR="0081715E" w:rsidRPr="003278ED" w:rsidRDefault="0081715E" w:rsidP="007D3A2B">
            <w:pPr>
              <w:ind w:firstLine="0"/>
              <w:jc w:val="center"/>
              <w:rPr>
                <w:rFonts w:ascii="Times New Roman" w:hAnsi="Times New Roman"/>
                <w:b/>
                <w:bCs/>
                <w:color w:val="000000"/>
                <w:sz w:val="16"/>
                <w:szCs w:val="16"/>
              </w:rPr>
            </w:pPr>
            <w:r w:rsidRPr="003278ED">
              <w:rPr>
                <w:rFonts w:ascii="Times New Roman" w:hAnsi="Times New Roman"/>
                <w:b/>
                <w:bCs/>
                <w:color w:val="000000"/>
                <w:sz w:val="16"/>
                <w:szCs w:val="16"/>
              </w:rPr>
              <w:t>137 924</w:t>
            </w:r>
          </w:p>
        </w:tc>
        <w:tc>
          <w:tcPr>
            <w:tcW w:w="508" w:type="pct"/>
            <w:shd w:val="clear" w:color="auto" w:fill="FFFFFF"/>
            <w:vAlign w:val="center"/>
            <w:hideMark/>
          </w:tcPr>
          <w:p w14:paraId="082AD8F7"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149 255</w:t>
            </w:r>
          </w:p>
        </w:tc>
        <w:tc>
          <w:tcPr>
            <w:tcW w:w="517" w:type="pct"/>
            <w:vAlign w:val="center"/>
            <w:hideMark/>
          </w:tcPr>
          <w:p w14:paraId="6ED22457"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35,9%</w:t>
            </w:r>
          </w:p>
        </w:tc>
        <w:tc>
          <w:tcPr>
            <w:tcW w:w="508" w:type="pct"/>
            <w:vAlign w:val="center"/>
            <w:hideMark/>
          </w:tcPr>
          <w:p w14:paraId="0EC908A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36,1%</w:t>
            </w:r>
          </w:p>
        </w:tc>
        <w:tc>
          <w:tcPr>
            <w:tcW w:w="509" w:type="pct"/>
            <w:vAlign w:val="center"/>
            <w:hideMark/>
          </w:tcPr>
          <w:p w14:paraId="515EC46A"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35,1%</w:t>
            </w:r>
          </w:p>
        </w:tc>
        <w:tc>
          <w:tcPr>
            <w:tcW w:w="509" w:type="pct"/>
            <w:vAlign w:val="center"/>
            <w:hideMark/>
          </w:tcPr>
          <w:p w14:paraId="3BA2021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34,8%</w:t>
            </w:r>
          </w:p>
        </w:tc>
      </w:tr>
      <w:tr w:rsidR="0081715E" w:rsidRPr="003278ED" w14:paraId="1DF9B205" w14:textId="77777777" w:rsidTr="004C2B11">
        <w:tc>
          <w:tcPr>
            <w:tcW w:w="986" w:type="pct"/>
            <w:shd w:val="clear" w:color="auto" w:fill="FFFFFF"/>
            <w:vAlign w:val="center"/>
            <w:hideMark/>
          </w:tcPr>
          <w:p w14:paraId="5D02FFD7" w14:textId="0609C8C2" w:rsidR="0081715E" w:rsidRPr="003278ED" w:rsidRDefault="0081715E" w:rsidP="00AA08E6">
            <w:pPr>
              <w:ind w:firstLine="0"/>
              <w:rPr>
                <w:rFonts w:ascii="Times New Roman" w:hAnsi="Times New Roman"/>
                <w:color w:val="000000"/>
                <w:sz w:val="16"/>
                <w:szCs w:val="16"/>
              </w:rPr>
            </w:pPr>
            <w:r w:rsidRPr="003278ED">
              <w:rPr>
                <w:rFonts w:ascii="Times New Roman" w:hAnsi="Times New Roman"/>
                <w:color w:val="000000"/>
                <w:sz w:val="16"/>
                <w:szCs w:val="16"/>
              </w:rPr>
              <w:t>Cheltuieli recurente, din care:</w:t>
            </w:r>
          </w:p>
        </w:tc>
        <w:tc>
          <w:tcPr>
            <w:tcW w:w="462" w:type="pct"/>
            <w:shd w:val="clear" w:color="auto" w:fill="FFFFFF"/>
            <w:vAlign w:val="center"/>
            <w:hideMark/>
          </w:tcPr>
          <w:p w14:paraId="571DB56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120 059</w:t>
            </w:r>
          </w:p>
        </w:tc>
        <w:tc>
          <w:tcPr>
            <w:tcW w:w="493" w:type="pct"/>
            <w:shd w:val="clear" w:color="auto" w:fill="FFFFFF"/>
            <w:vAlign w:val="center"/>
            <w:hideMark/>
          </w:tcPr>
          <w:p w14:paraId="29C4B8D0"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126 222</w:t>
            </w:r>
          </w:p>
        </w:tc>
        <w:tc>
          <w:tcPr>
            <w:tcW w:w="508" w:type="pct"/>
            <w:shd w:val="clear" w:color="auto" w:fill="FFFFFF"/>
            <w:vAlign w:val="center"/>
            <w:hideMark/>
          </w:tcPr>
          <w:p w14:paraId="7AF2C439" w14:textId="31537312"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133 7</w:t>
            </w:r>
            <w:r w:rsidR="00550DA8" w:rsidRPr="003278ED">
              <w:rPr>
                <w:rFonts w:ascii="Times New Roman" w:hAnsi="Times New Roman"/>
                <w:bCs/>
                <w:color w:val="000000"/>
                <w:sz w:val="16"/>
                <w:szCs w:val="16"/>
              </w:rPr>
              <w:t>19</w:t>
            </w:r>
          </w:p>
        </w:tc>
        <w:tc>
          <w:tcPr>
            <w:tcW w:w="508" w:type="pct"/>
            <w:shd w:val="clear" w:color="auto" w:fill="FFFFFF"/>
            <w:vAlign w:val="center"/>
            <w:hideMark/>
          </w:tcPr>
          <w:p w14:paraId="4E5EB58B" w14:textId="5FB1F24E"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 xml:space="preserve">144 </w:t>
            </w:r>
            <w:r w:rsidR="00550DA8" w:rsidRPr="003278ED">
              <w:rPr>
                <w:rFonts w:ascii="Times New Roman" w:hAnsi="Times New Roman"/>
                <w:bCs/>
                <w:color w:val="000000"/>
                <w:sz w:val="16"/>
                <w:szCs w:val="16"/>
              </w:rPr>
              <w:t>848</w:t>
            </w:r>
          </w:p>
        </w:tc>
        <w:tc>
          <w:tcPr>
            <w:tcW w:w="517" w:type="pct"/>
            <w:vAlign w:val="center"/>
          </w:tcPr>
          <w:p w14:paraId="226772A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35,1%</w:t>
            </w:r>
          </w:p>
        </w:tc>
        <w:tc>
          <w:tcPr>
            <w:tcW w:w="508" w:type="pct"/>
            <w:vAlign w:val="center"/>
          </w:tcPr>
          <w:p w14:paraId="75A58239"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35,2%</w:t>
            </w:r>
          </w:p>
        </w:tc>
        <w:tc>
          <w:tcPr>
            <w:tcW w:w="509" w:type="pct"/>
            <w:vAlign w:val="center"/>
          </w:tcPr>
          <w:p w14:paraId="6981A896"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34,0%</w:t>
            </w:r>
          </w:p>
        </w:tc>
        <w:tc>
          <w:tcPr>
            <w:tcW w:w="509" w:type="pct"/>
            <w:vAlign w:val="center"/>
          </w:tcPr>
          <w:p w14:paraId="2E2D6147"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33,8%</w:t>
            </w:r>
          </w:p>
        </w:tc>
      </w:tr>
      <w:tr w:rsidR="0081715E" w:rsidRPr="003278ED" w14:paraId="404A88F7" w14:textId="77777777" w:rsidTr="004C2B11">
        <w:tc>
          <w:tcPr>
            <w:tcW w:w="986" w:type="pct"/>
            <w:shd w:val="clear" w:color="auto" w:fill="FFFFFF"/>
            <w:vAlign w:val="center"/>
          </w:tcPr>
          <w:p w14:paraId="0F2F1966" w14:textId="77777777" w:rsidR="0081715E" w:rsidRPr="003278ED" w:rsidRDefault="0081715E" w:rsidP="007D3A2B">
            <w:pPr>
              <w:ind w:left="-115" w:firstLine="0"/>
              <w:jc w:val="center"/>
              <w:rPr>
                <w:rFonts w:ascii="Times New Roman" w:hAnsi="Times New Roman"/>
                <w:color w:val="000000"/>
                <w:sz w:val="16"/>
                <w:szCs w:val="16"/>
              </w:rPr>
            </w:pPr>
            <w:r w:rsidRPr="003278ED">
              <w:rPr>
                <w:rFonts w:ascii="Times New Roman" w:hAnsi="Times New Roman"/>
                <w:i/>
                <w:color w:val="000000"/>
                <w:sz w:val="16"/>
                <w:szCs w:val="16"/>
              </w:rPr>
              <w:t>- cheltuieli de personal</w:t>
            </w:r>
          </w:p>
        </w:tc>
        <w:tc>
          <w:tcPr>
            <w:tcW w:w="462" w:type="pct"/>
            <w:shd w:val="clear" w:color="auto" w:fill="FFFFFF"/>
            <w:vAlign w:val="center"/>
          </w:tcPr>
          <w:p w14:paraId="1CEE1EA5"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27 549</w:t>
            </w:r>
          </w:p>
        </w:tc>
        <w:tc>
          <w:tcPr>
            <w:tcW w:w="493" w:type="pct"/>
            <w:shd w:val="clear" w:color="auto" w:fill="FFFFFF"/>
            <w:vAlign w:val="center"/>
          </w:tcPr>
          <w:p w14:paraId="761A6971" w14:textId="48A974ED" w:rsidR="0081715E" w:rsidRPr="003278ED" w:rsidRDefault="00550DA8"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28820</w:t>
            </w:r>
          </w:p>
        </w:tc>
        <w:tc>
          <w:tcPr>
            <w:tcW w:w="508" w:type="pct"/>
            <w:shd w:val="clear" w:color="auto" w:fill="FFFFFF"/>
            <w:vAlign w:val="center"/>
          </w:tcPr>
          <w:p w14:paraId="6E4C1B85" w14:textId="27F772BA" w:rsidR="0081715E" w:rsidRPr="003278ED" w:rsidRDefault="00550DA8"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30395</w:t>
            </w:r>
          </w:p>
        </w:tc>
        <w:tc>
          <w:tcPr>
            <w:tcW w:w="508" w:type="pct"/>
            <w:shd w:val="clear" w:color="auto" w:fill="FFFFFF"/>
            <w:vAlign w:val="center"/>
          </w:tcPr>
          <w:p w14:paraId="78C8A6BD" w14:textId="5AF9201C" w:rsidR="0081715E" w:rsidRPr="003278ED" w:rsidRDefault="00550DA8"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33041</w:t>
            </w:r>
          </w:p>
        </w:tc>
        <w:tc>
          <w:tcPr>
            <w:tcW w:w="517" w:type="pct"/>
            <w:vAlign w:val="center"/>
          </w:tcPr>
          <w:p w14:paraId="44B19061"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8,1%</w:t>
            </w:r>
          </w:p>
        </w:tc>
        <w:tc>
          <w:tcPr>
            <w:tcW w:w="508" w:type="pct"/>
            <w:vAlign w:val="center"/>
          </w:tcPr>
          <w:p w14:paraId="6AFCAC7B"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7,7%</w:t>
            </w:r>
          </w:p>
        </w:tc>
        <w:tc>
          <w:tcPr>
            <w:tcW w:w="509" w:type="pct"/>
            <w:vAlign w:val="center"/>
          </w:tcPr>
          <w:p w14:paraId="7A71E351"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7,0%</w:t>
            </w:r>
          </w:p>
        </w:tc>
        <w:tc>
          <w:tcPr>
            <w:tcW w:w="509" w:type="pct"/>
            <w:vAlign w:val="center"/>
          </w:tcPr>
          <w:p w14:paraId="7E2A8558"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6,4%</w:t>
            </w:r>
          </w:p>
        </w:tc>
      </w:tr>
      <w:tr w:rsidR="0081715E" w:rsidRPr="003278ED" w14:paraId="6F491C0C" w14:textId="77777777" w:rsidTr="004C2B11">
        <w:tc>
          <w:tcPr>
            <w:tcW w:w="986" w:type="pct"/>
            <w:shd w:val="clear" w:color="auto" w:fill="FFFFFF"/>
            <w:vAlign w:val="center"/>
          </w:tcPr>
          <w:p w14:paraId="06753949" w14:textId="651DBEBC" w:rsidR="0081715E" w:rsidRPr="003278ED" w:rsidRDefault="00A47DB5" w:rsidP="00A47DB5">
            <w:pPr>
              <w:ind w:left="-115" w:firstLine="115"/>
              <w:jc w:val="left"/>
              <w:rPr>
                <w:rFonts w:ascii="Times New Roman" w:hAnsi="Times New Roman"/>
                <w:color w:val="000000"/>
                <w:sz w:val="16"/>
                <w:szCs w:val="16"/>
              </w:rPr>
            </w:pPr>
            <w:r>
              <w:rPr>
                <w:rFonts w:ascii="Times New Roman" w:hAnsi="Times New Roman"/>
                <w:i/>
                <w:color w:val="000000"/>
                <w:sz w:val="16"/>
                <w:szCs w:val="16"/>
              </w:rPr>
              <w:t xml:space="preserve"> </w:t>
            </w:r>
            <w:r w:rsidR="0081715E" w:rsidRPr="003278ED">
              <w:rPr>
                <w:rFonts w:ascii="Times New Roman" w:hAnsi="Times New Roman"/>
                <w:i/>
                <w:color w:val="000000"/>
                <w:sz w:val="16"/>
                <w:szCs w:val="16"/>
              </w:rPr>
              <w:t>- dobânzi</w:t>
            </w:r>
          </w:p>
        </w:tc>
        <w:tc>
          <w:tcPr>
            <w:tcW w:w="462" w:type="pct"/>
            <w:shd w:val="clear" w:color="auto" w:fill="FFFFFF"/>
            <w:vAlign w:val="center"/>
          </w:tcPr>
          <w:p w14:paraId="5A2358EB"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5 280</w:t>
            </w:r>
          </w:p>
        </w:tc>
        <w:tc>
          <w:tcPr>
            <w:tcW w:w="493" w:type="pct"/>
            <w:shd w:val="clear" w:color="auto" w:fill="FFFFFF"/>
            <w:vAlign w:val="center"/>
          </w:tcPr>
          <w:p w14:paraId="19172071"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4 938</w:t>
            </w:r>
          </w:p>
        </w:tc>
        <w:tc>
          <w:tcPr>
            <w:tcW w:w="508" w:type="pct"/>
            <w:shd w:val="clear" w:color="auto" w:fill="FFFFFF"/>
            <w:vAlign w:val="center"/>
          </w:tcPr>
          <w:p w14:paraId="27444633"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5 415</w:t>
            </w:r>
          </w:p>
        </w:tc>
        <w:tc>
          <w:tcPr>
            <w:tcW w:w="508" w:type="pct"/>
            <w:shd w:val="clear" w:color="auto" w:fill="FFFFFF"/>
            <w:vAlign w:val="center"/>
          </w:tcPr>
          <w:p w14:paraId="0145E062"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5 954</w:t>
            </w:r>
          </w:p>
        </w:tc>
        <w:tc>
          <w:tcPr>
            <w:tcW w:w="517" w:type="pct"/>
            <w:vAlign w:val="center"/>
          </w:tcPr>
          <w:p w14:paraId="70BDB883"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1,5%</w:t>
            </w:r>
          </w:p>
        </w:tc>
        <w:tc>
          <w:tcPr>
            <w:tcW w:w="508" w:type="pct"/>
            <w:vAlign w:val="center"/>
          </w:tcPr>
          <w:p w14:paraId="395C5A2D"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1,4%</w:t>
            </w:r>
          </w:p>
        </w:tc>
        <w:tc>
          <w:tcPr>
            <w:tcW w:w="509" w:type="pct"/>
            <w:vAlign w:val="center"/>
          </w:tcPr>
          <w:p w14:paraId="26FC349C"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1,4%</w:t>
            </w:r>
          </w:p>
        </w:tc>
        <w:tc>
          <w:tcPr>
            <w:tcW w:w="509" w:type="pct"/>
            <w:vAlign w:val="center"/>
          </w:tcPr>
          <w:p w14:paraId="347B0A5B"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1,4%</w:t>
            </w:r>
          </w:p>
        </w:tc>
      </w:tr>
      <w:tr w:rsidR="0081715E" w:rsidRPr="003278ED" w14:paraId="5AE612F0" w14:textId="77777777" w:rsidTr="004C2B11">
        <w:tc>
          <w:tcPr>
            <w:tcW w:w="986" w:type="pct"/>
            <w:shd w:val="clear" w:color="auto" w:fill="FFFFFF"/>
            <w:vAlign w:val="center"/>
            <w:hideMark/>
          </w:tcPr>
          <w:p w14:paraId="62C5F424" w14:textId="77777777" w:rsidR="0081715E" w:rsidRPr="003278ED" w:rsidRDefault="0081715E" w:rsidP="007D3A2B">
            <w:pPr>
              <w:ind w:firstLine="0"/>
              <w:rPr>
                <w:rFonts w:ascii="Times New Roman" w:hAnsi="Times New Roman"/>
                <w:color w:val="000000"/>
                <w:sz w:val="16"/>
                <w:szCs w:val="16"/>
              </w:rPr>
            </w:pPr>
            <w:r w:rsidRPr="003278ED">
              <w:rPr>
                <w:rFonts w:ascii="Times New Roman" w:hAnsi="Times New Roman"/>
                <w:color w:val="000000"/>
                <w:sz w:val="16"/>
                <w:szCs w:val="16"/>
              </w:rPr>
              <w:t>Investiții capitale</w:t>
            </w:r>
          </w:p>
        </w:tc>
        <w:tc>
          <w:tcPr>
            <w:tcW w:w="462" w:type="pct"/>
            <w:shd w:val="clear" w:color="auto" w:fill="FFFFFF"/>
            <w:vAlign w:val="center"/>
            <w:hideMark/>
          </w:tcPr>
          <w:p w14:paraId="5F33E59D"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2 903</w:t>
            </w:r>
          </w:p>
        </w:tc>
        <w:tc>
          <w:tcPr>
            <w:tcW w:w="493" w:type="pct"/>
            <w:shd w:val="clear" w:color="auto" w:fill="FFFFFF"/>
            <w:vAlign w:val="center"/>
            <w:hideMark/>
          </w:tcPr>
          <w:p w14:paraId="64FC9E6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3 335</w:t>
            </w:r>
          </w:p>
        </w:tc>
        <w:tc>
          <w:tcPr>
            <w:tcW w:w="508" w:type="pct"/>
            <w:shd w:val="clear" w:color="auto" w:fill="FFFFFF"/>
            <w:vAlign w:val="center"/>
            <w:hideMark/>
          </w:tcPr>
          <w:p w14:paraId="4A551A73" w14:textId="2251CA82" w:rsidR="0081715E" w:rsidRPr="003278ED" w:rsidRDefault="00550DA8"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4205</w:t>
            </w:r>
          </w:p>
        </w:tc>
        <w:tc>
          <w:tcPr>
            <w:tcW w:w="508" w:type="pct"/>
            <w:shd w:val="clear" w:color="auto" w:fill="FFFFFF"/>
            <w:vAlign w:val="center"/>
            <w:hideMark/>
          </w:tcPr>
          <w:p w14:paraId="3DE4897D" w14:textId="36D2AC20" w:rsidR="0081715E" w:rsidRPr="003278ED" w:rsidRDefault="00550DA8"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4407</w:t>
            </w:r>
          </w:p>
        </w:tc>
        <w:tc>
          <w:tcPr>
            <w:tcW w:w="517" w:type="pct"/>
            <w:vAlign w:val="center"/>
          </w:tcPr>
          <w:p w14:paraId="037B66D7"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0,8%</w:t>
            </w:r>
          </w:p>
        </w:tc>
        <w:tc>
          <w:tcPr>
            <w:tcW w:w="508" w:type="pct"/>
            <w:vAlign w:val="center"/>
          </w:tcPr>
          <w:p w14:paraId="3025053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0,9%</w:t>
            </w:r>
          </w:p>
        </w:tc>
        <w:tc>
          <w:tcPr>
            <w:tcW w:w="509" w:type="pct"/>
            <w:vAlign w:val="center"/>
          </w:tcPr>
          <w:p w14:paraId="174526C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1,1%</w:t>
            </w:r>
          </w:p>
        </w:tc>
        <w:tc>
          <w:tcPr>
            <w:tcW w:w="509" w:type="pct"/>
            <w:vAlign w:val="center"/>
          </w:tcPr>
          <w:p w14:paraId="52ECA0EA"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1,0%</w:t>
            </w:r>
          </w:p>
        </w:tc>
      </w:tr>
      <w:tr w:rsidR="0081715E" w:rsidRPr="003278ED" w14:paraId="0C5DFF9A" w14:textId="77777777" w:rsidTr="004C2B11">
        <w:trPr>
          <w:trHeight w:val="354"/>
        </w:trPr>
        <w:tc>
          <w:tcPr>
            <w:tcW w:w="986" w:type="pct"/>
            <w:shd w:val="clear" w:color="auto" w:fill="FFFFFF"/>
            <w:vAlign w:val="center"/>
            <w:hideMark/>
          </w:tcPr>
          <w:p w14:paraId="47716A89" w14:textId="77777777" w:rsidR="0081715E" w:rsidRPr="003278ED" w:rsidRDefault="0081715E" w:rsidP="007D3A2B">
            <w:pPr>
              <w:ind w:firstLine="0"/>
              <w:rPr>
                <w:rFonts w:ascii="Times New Roman" w:hAnsi="Times New Roman"/>
                <w:b/>
                <w:color w:val="000000"/>
                <w:sz w:val="16"/>
                <w:szCs w:val="16"/>
              </w:rPr>
            </w:pPr>
            <w:r w:rsidRPr="003278ED">
              <w:rPr>
                <w:rFonts w:ascii="Times New Roman" w:hAnsi="Times New Roman"/>
                <w:b/>
                <w:bCs/>
                <w:color w:val="000000"/>
                <w:sz w:val="16"/>
                <w:szCs w:val="16"/>
              </w:rPr>
              <w:t>Soldul bugetar</w:t>
            </w:r>
          </w:p>
        </w:tc>
        <w:tc>
          <w:tcPr>
            <w:tcW w:w="462" w:type="pct"/>
            <w:shd w:val="clear" w:color="auto" w:fill="FFFFFF"/>
            <w:vAlign w:val="center"/>
            <w:hideMark/>
          </w:tcPr>
          <w:p w14:paraId="6510F271"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-15 790</w:t>
            </w:r>
          </w:p>
        </w:tc>
        <w:tc>
          <w:tcPr>
            <w:tcW w:w="493" w:type="pct"/>
            <w:shd w:val="clear" w:color="auto" w:fill="FFFFFF"/>
            <w:vAlign w:val="center"/>
            <w:hideMark/>
          </w:tcPr>
          <w:p w14:paraId="5631CFBC"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-13 690</w:t>
            </w:r>
          </w:p>
        </w:tc>
        <w:tc>
          <w:tcPr>
            <w:tcW w:w="508" w:type="pct"/>
            <w:shd w:val="clear" w:color="auto" w:fill="FFFFFF"/>
            <w:vAlign w:val="center"/>
            <w:hideMark/>
          </w:tcPr>
          <w:p w14:paraId="4FFB54B5"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-13 450</w:t>
            </w:r>
          </w:p>
        </w:tc>
        <w:tc>
          <w:tcPr>
            <w:tcW w:w="508" w:type="pct"/>
            <w:shd w:val="clear" w:color="auto" w:fill="FFFFFF"/>
            <w:vAlign w:val="center"/>
            <w:hideMark/>
          </w:tcPr>
          <w:p w14:paraId="77ED95C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-13 400</w:t>
            </w:r>
          </w:p>
        </w:tc>
        <w:tc>
          <w:tcPr>
            <w:tcW w:w="517" w:type="pct"/>
            <w:vAlign w:val="center"/>
            <w:hideMark/>
          </w:tcPr>
          <w:p w14:paraId="7098781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-4,6%</w:t>
            </w:r>
          </w:p>
        </w:tc>
        <w:tc>
          <w:tcPr>
            <w:tcW w:w="508" w:type="pct"/>
            <w:vAlign w:val="center"/>
            <w:hideMark/>
          </w:tcPr>
          <w:p w14:paraId="2444FBF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-3,8%</w:t>
            </w:r>
          </w:p>
        </w:tc>
        <w:tc>
          <w:tcPr>
            <w:tcW w:w="509" w:type="pct"/>
            <w:vAlign w:val="center"/>
            <w:hideMark/>
          </w:tcPr>
          <w:p w14:paraId="0583810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-3,4%</w:t>
            </w:r>
          </w:p>
        </w:tc>
        <w:tc>
          <w:tcPr>
            <w:tcW w:w="509" w:type="pct"/>
            <w:vAlign w:val="center"/>
            <w:hideMark/>
          </w:tcPr>
          <w:p w14:paraId="20F905B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
                <w:bCs/>
                <w:color w:val="000000"/>
                <w:sz w:val="16"/>
                <w:szCs w:val="16"/>
              </w:rPr>
              <w:t>-3,1%</w:t>
            </w:r>
          </w:p>
        </w:tc>
      </w:tr>
      <w:tr w:rsidR="0081715E" w:rsidRPr="003278ED" w14:paraId="746E8081" w14:textId="77777777" w:rsidTr="004C2B11">
        <w:tc>
          <w:tcPr>
            <w:tcW w:w="986" w:type="pct"/>
            <w:shd w:val="clear" w:color="auto" w:fill="FFFFFF"/>
            <w:vAlign w:val="center"/>
            <w:hideMark/>
          </w:tcPr>
          <w:p w14:paraId="0D23658E" w14:textId="77777777" w:rsidR="0081715E" w:rsidRPr="003278ED" w:rsidRDefault="0081715E" w:rsidP="007D3A2B">
            <w:pPr>
              <w:ind w:firstLine="0"/>
              <w:jc w:val="left"/>
              <w:rPr>
                <w:rFonts w:ascii="Times New Roman" w:hAnsi="Times New Roman"/>
                <w:color w:val="000000"/>
                <w:sz w:val="16"/>
                <w:szCs w:val="16"/>
              </w:rPr>
            </w:pPr>
            <w:r w:rsidRPr="003278ED">
              <w:rPr>
                <w:rFonts w:ascii="Times New Roman" w:hAnsi="Times New Roman"/>
                <w:color w:val="000000"/>
                <w:sz w:val="16"/>
                <w:szCs w:val="16"/>
              </w:rPr>
              <w:t>Finanțat din:</w:t>
            </w:r>
          </w:p>
        </w:tc>
        <w:tc>
          <w:tcPr>
            <w:tcW w:w="462" w:type="pct"/>
            <w:vAlign w:val="center"/>
          </w:tcPr>
          <w:p w14:paraId="21FBAB51" w14:textId="77777777" w:rsidR="0081715E" w:rsidRPr="003278ED" w:rsidRDefault="0081715E" w:rsidP="007D3A2B">
            <w:pPr>
              <w:ind w:firstLine="0"/>
              <w:jc w:val="center"/>
              <w:rPr>
                <w:rFonts w:ascii="Times New Roman" w:hAnsi="Times New Roman"/>
                <w:bCs/>
                <w:color w:val="000000"/>
                <w:sz w:val="16"/>
                <w:szCs w:val="16"/>
              </w:rPr>
            </w:pPr>
          </w:p>
        </w:tc>
        <w:tc>
          <w:tcPr>
            <w:tcW w:w="493" w:type="pct"/>
            <w:vAlign w:val="center"/>
          </w:tcPr>
          <w:p w14:paraId="4EE7F4C7" w14:textId="77777777" w:rsidR="0081715E" w:rsidRPr="003278ED" w:rsidRDefault="0081715E" w:rsidP="007D3A2B">
            <w:pPr>
              <w:ind w:firstLine="0"/>
              <w:jc w:val="center"/>
              <w:rPr>
                <w:rFonts w:ascii="Times New Roman" w:hAnsi="Times New Roman"/>
                <w:bCs/>
                <w:color w:val="000000"/>
                <w:sz w:val="16"/>
                <w:szCs w:val="16"/>
              </w:rPr>
            </w:pPr>
          </w:p>
        </w:tc>
        <w:tc>
          <w:tcPr>
            <w:tcW w:w="508" w:type="pct"/>
            <w:vAlign w:val="center"/>
          </w:tcPr>
          <w:p w14:paraId="33A65288" w14:textId="77777777" w:rsidR="0081715E" w:rsidRPr="003278ED" w:rsidRDefault="0081715E" w:rsidP="007D3A2B">
            <w:pPr>
              <w:ind w:firstLine="0"/>
              <w:jc w:val="center"/>
              <w:rPr>
                <w:rFonts w:ascii="Times New Roman" w:hAnsi="Times New Roman"/>
                <w:bCs/>
                <w:color w:val="000000"/>
                <w:sz w:val="16"/>
                <w:szCs w:val="16"/>
              </w:rPr>
            </w:pPr>
          </w:p>
        </w:tc>
        <w:tc>
          <w:tcPr>
            <w:tcW w:w="508" w:type="pct"/>
            <w:vAlign w:val="center"/>
          </w:tcPr>
          <w:p w14:paraId="0EB8F5E3" w14:textId="77777777" w:rsidR="0081715E" w:rsidRPr="003278ED" w:rsidRDefault="0081715E" w:rsidP="007D3A2B">
            <w:pPr>
              <w:ind w:firstLine="0"/>
              <w:jc w:val="center"/>
              <w:rPr>
                <w:rFonts w:ascii="Times New Roman" w:hAnsi="Times New Roman"/>
                <w:bCs/>
                <w:color w:val="000000"/>
                <w:sz w:val="16"/>
                <w:szCs w:val="16"/>
              </w:rPr>
            </w:pPr>
          </w:p>
        </w:tc>
        <w:tc>
          <w:tcPr>
            <w:tcW w:w="517" w:type="pct"/>
            <w:vAlign w:val="center"/>
          </w:tcPr>
          <w:p w14:paraId="68BDCE11" w14:textId="77777777" w:rsidR="0081715E" w:rsidRPr="003278ED" w:rsidRDefault="0081715E" w:rsidP="007D3A2B">
            <w:pPr>
              <w:ind w:firstLine="0"/>
              <w:jc w:val="center"/>
              <w:rPr>
                <w:rFonts w:ascii="Times New Roman" w:hAnsi="Times New Roman"/>
                <w:bCs/>
                <w:color w:val="000000"/>
                <w:sz w:val="16"/>
                <w:szCs w:val="16"/>
              </w:rPr>
            </w:pPr>
          </w:p>
        </w:tc>
        <w:tc>
          <w:tcPr>
            <w:tcW w:w="508" w:type="pct"/>
            <w:vAlign w:val="center"/>
          </w:tcPr>
          <w:p w14:paraId="549762C0" w14:textId="77777777" w:rsidR="0081715E" w:rsidRPr="003278ED" w:rsidRDefault="0081715E" w:rsidP="007D3A2B">
            <w:pPr>
              <w:ind w:firstLine="0"/>
              <w:jc w:val="center"/>
              <w:rPr>
                <w:rFonts w:ascii="Times New Roman" w:hAnsi="Times New Roman"/>
                <w:bCs/>
                <w:color w:val="000000"/>
                <w:sz w:val="16"/>
                <w:szCs w:val="16"/>
              </w:rPr>
            </w:pPr>
          </w:p>
        </w:tc>
        <w:tc>
          <w:tcPr>
            <w:tcW w:w="509" w:type="pct"/>
            <w:vAlign w:val="center"/>
          </w:tcPr>
          <w:p w14:paraId="4EB45443" w14:textId="77777777" w:rsidR="0081715E" w:rsidRPr="003278ED" w:rsidRDefault="0081715E" w:rsidP="007D3A2B">
            <w:pPr>
              <w:ind w:firstLine="0"/>
              <w:jc w:val="center"/>
              <w:rPr>
                <w:rFonts w:ascii="Times New Roman" w:hAnsi="Times New Roman"/>
                <w:bCs/>
                <w:color w:val="000000"/>
                <w:sz w:val="16"/>
                <w:szCs w:val="16"/>
              </w:rPr>
            </w:pPr>
          </w:p>
        </w:tc>
        <w:tc>
          <w:tcPr>
            <w:tcW w:w="509" w:type="pct"/>
            <w:vAlign w:val="center"/>
          </w:tcPr>
          <w:p w14:paraId="7711797C" w14:textId="77777777" w:rsidR="0081715E" w:rsidRPr="003278ED" w:rsidRDefault="0081715E" w:rsidP="007D3A2B">
            <w:pPr>
              <w:ind w:firstLine="0"/>
              <w:jc w:val="center"/>
              <w:rPr>
                <w:rFonts w:ascii="Times New Roman" w:hAnsi="Times New Roman"/>
                <w:bCs/>
                <w:color w:val="000000"/>
                <w:sz w:val="16"/>
                <w:szCs w:val="16"/>
              </w:rPr>
            </w:pPr>
          </w:p>
        </w:tc>
      </w:tr>
      <w:tr w:rsidR="0081715E" w:rsidRPr="003278ED" w14:paraId="355A3E90" w14:textId="77777777" w:rsidTr="004C2B11">
        <w:trPr>
          <w:trHeight w:val="327"/>
        </w:trPr>
        <w:tc>
          <w:tcPr>
            <w:tcW w:w="986" w:type="pct"/>
            <w:vAlign w:val="center"/>
            <w:hideMark/>
          </w:tcPr>
          <w:p w14:paraId="4E44DBCF" w14:textId="77777777" w:rsidR="0081715E" w:rsidRPr="003278ED" w:rsidRDefault="0081715E" w:rsidP="007D3A2B">
            <w:pPr>
              <w:ind w:firstLine="0"/>
              <w:rPr>
                <w:rFonts w:ascii="Times New Roman" w:hAnsi="Times New Roman"/>
                <w:color w:val="000000"/>
                <w:sz w:val="16"/>
                <w:szCs w:val="16"/>
              </w:rPr>
            </w:pPr>
            <w:r w:rsidRPr="003278ED">
              <w:rPr>
                <w:rFonts w:ascii="Times New Roman" w:hAnsi="Times New Roman"/>
                <w:color w:val="000000"/>
                <w:sz w:val="16"/>
                <w:szCs w:val="16"/>
              </w:rPr>
              <w:t>împrumuturi externe</w:t>
            </w:r>
          </w:p>
        </w:tc>
        <w:tc>
          <w:tcPr>
            <w:tcW w:w="462" w:type="pct"/>
            <w:vAlign w:val="center"/>
            <w:hideMark/>
          </w:tcPr>
          <w:p w14:paraId="42B17349"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4 136</w:t>
            </w:r>
          </w:p>
        </w:tc>
        <w:tc>
          <w:tcPr>
            <w:tcW w:w="493" w:type="pct"/>
            <w:vAlign w:val="center"/>
            <w:hideMark/>
          </w:tcPr>
          <w:p w14:paraId="2CA07E41"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6 423</w:t>
            </w:r>
          </w:p>
        </w:tc>
        <w:tc>
          <w:tcPr>
            <w:tcW w:w="508" w:type="pct"/>
            <w:vAlign w:val="center"/>
            <w:hideMark/>
          </w:tcPr>
          <w:p w14:paraId="2418491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4 379</w:t>
            </w:r>
          </w:p>
        </w:tc>
        <w:tc>
          <w:tcPr>
            <w:tcW w:w="508" w:type="pct"/>
            <w:vAlign w:val="center"/>
            <w:hideMark/>
          </w:tcPr>
          <w:p w14:paraId="52B81FFD"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bCs/>
                <w:color w:val="000000"/>
                <w:sz w:val="16"/>
                <w:szCs w:val="16"/>
              </w:rPr>
              <w:t>3 051</w:t>
            </w:r>
          </w:p>
        </w:tc>
        <w:tc>
          <w:tcPr>
            <w:tcW w:w="517" w:type="pct"/>
            <w:vAlign w:val="center"/>
            <w:hideMark/>
          </w:tcPr>
          <w:p w14:paraId="7CB00EB0"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1,2%</w:t>
            </w:r>
          </w:p>
        </w:tc>
        <w:tc>
          <w:tcPr>
            <w:tcW w:w="508" w:type="pct"/>
            <w:vAlign w:val="center"/>
            <w:hideMark/>
          </w:tcPr>
          <w:p w14:paraId="093077B8"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1,8%</w:t>
            </w:r>
          </w:p>
        </w:tc>
        <w:tc>
          <w:tcPr>
            <w:tcW w:w="509" w:type="pct"/>
            <w:vAlign w:val="center"/>
            <w:hideMark/>
          </w:tcPr>
          <w:p w14:paraId="236D7209"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1,1%</w:t>
            </w:r>
          </w:p>
        </w:tc>
        <w:tc>
          <w:tcPr>
            <w:tcW w:w="509" w:type="pct"/>
            <w:vAlign w:val="center"/>
            <w:hideMark/>
          </w:tcPr>
          <w:p w14:paraId="38BC92D8"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0,7%</w:t>
            </w:r>
          </w:p>
        </w:tc>
      </w:tr>
      <w:tr w:rsidR="0081715E" w:rsidRPr="003278ED" w14:paraId="1B7A17F0" w14:textId="77777777" w:rsidTr="004C2B11">
        <w:trPr>
          <w:trHeight w:val="279"/>
        </w:trPr>
        <w:tc>
          <w:tcPr>
            <w:tcW w:w="986" w:type="pct"/>
            <w:vAlign w:val="center"/>
            <w:hideMark/>
          </w:tcPr>
          <w:p w14:paraId="621EE8D6" w14:textId="77777777" w:rsidR="0081715E" w:rsidRPr="003278ED" w:rsidRDefault="0081715E" w:rsidP="007D3A2B">
            <w:pPr>
              <w:ind w:firstLine="0"/>
              <w:rPr>
                <w:rFonts w:ascii="Times New Roman" w:hAnsi="Times New Roman"/>
                <w:color w:val="000000"/>
                <w:sz w:val="16"/>
                <w:szCs w:val="16"/>
              </w:rPr>
            </w:pPr>
            <w:r w:rsidRPr="003278ED">
              <w:rPr>
                <w:rFonts w:ascii="Times New Roman" w:hAnsi="Times New Roman"/>
                <w:color w:val="000000"/>
                <w:sz w:val="16"/>
                <w:szCs w:val="16"/>
              </w:rPr>
              <w:t>împrumuturi interne</w:t>
            </w:r>
          </w:p>
        </w:tc>
        <w:tc>
          <w:tcPr>
            <w:tcW w:w="462" w:type="pct"/>
            <w:vAlign w:val="center"/>
            <w:hideMark/>
          </w:tcPr>
          <w:p w14:paraId="56D7415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4 459</w:t>
            </w:r>
          </w:p>
        </w:tc>
        <w:tc>
          <w:tcPr>
            <w:tcW w:w="493" w:type="pct"/>
            <w:vAlign w:val="center"/>
            <w:hideMark/>
          </w:tcPr>
          <w:p w14:paraId="1AF39502"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9 409</w:t>
            </w:r>
          </w:p>
        </w:tc>
        <w:tc>
          <w:tcPr>
            <w:tcW w:w="508" w:type="pct"/>
            <w:vAlign w:val="center"/>
            <w:hideMark/>
          </w:tcPr>
          <w:p w14:paraId="0DA829BF"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9 392</w:t>
            </w:r>
          </w:p>
        </w:tc>
        <w:tc>
          <w:tcPr>
            <w:tcW w:w="508" w:type="pct"/>
            <w:vAlign w:val="center"/>
            <w:hideMark/>
          </w:tcPr>
          <w:p w14:paraId="07564AD3"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9 227</w:t>
            </w:r>
          </w:p>
        </w:tc>
        <w:tc>
          <w:tcPr>
            <w:tcW w:w="517" w:type="pct"/>
            <w:vAlign w:val="center"/>
            <w:hideMark/>
          </w:tcPr>
          <w:p w14:paraId="14812A3E"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1,3%</w:t>
            </w:r>
          </w:p>
        </w:tc>
        <w:tc>
          <w:tcPr>
            <w:tcW w:w="508" w:type="pct"/>
            <w:vAlign w:val="center"/>
            <w:hideMark/>
          </w:tcPr>
          <w:p w14:paraId="3A3E38BB"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2,6%</w:t>
            </w:r>
          </w:p>
        </w:tc>
        <w:tc>
          <w:tcPr>
            <w:tcW w:w="509" w:type="pct"/>
            <w:vAlign w:val="center"/>
            <w:hideMark/>
          </w:tcPr>
          <w:p w14:paraId="00133E38"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2,4%</w:t>
            </w:r>
          </w:p>
        </w:tc>
        <w:tc>
          <w:tcPr>
            <w:tcW w:w="509" w:type="pct"/>
            <w:vAlign w:val="center"/>
            <w:hideMark/>
          </w:tcPr>
          <w:p w14:paraId="7D46AD7A" w14:textId="77777777" w:rsidR="0081715E" w:rsidRPr="003278ED" w:rsidRDefault="0081715E" w:rsidP="007D3A2B">
            <w:pPr>
              <w:ind w:firstLine="0"/>
              <w:jc w:val="center"/>
              <w:rPr>
                <w:rFonts w:ascii="Times New Roman" w:hAnsi="Times New Roman"/>
                <w:bCs/>
                <w:color w:val="000000"/>
                <w:sz w:val="16"/>
                <w:szCs w:val="16"/>
              </w:rPr>
            </w:pPr>
            <w:r w:rsidRPr="003278ED">
              <w:rPr>
                <w:rFonts w:ascii="Times New Roman" w:hAnsi="Times New Roman"/>
                <w:color w:val="000000"/>
                <w:sz w:val="16"/>
                <w:szCs w:val="16"/>
              </w:rPr>
              <w:t>2,2%</w:t>
            </w:r>
          </w:p>
        </w:tc>
      </w:tr>
      <w:tr w:rsidR="0081715E" w:rsidRPr="003278ED" w14:paraId="37D930C6" w14:textId="77777777" w:rsidTr="004C2B11">
        <w:trPr>
          <w:trHeight w:val="404"/>
        </w:trPr>
        <w:tc>
          <w:tcPr>
            <w:tcW w:w="986" w:type="pct"/>
            <w:vAlign w:val="center"/>
            <w:hideMark/>
          </w:tcPr>
          <w:p w14:paraId="35F5019E" w14:textId="77777777" w:rsidR="0081715E" w:rsidRPr="003278ED" w:rsidRDefault="0081715E" w:rsidP="007D3A2B">
            <w:pPr>
              <w:ind w:firstLine="0"/>
              <w:jc w:val="left"/>
              <w:rPr>
                <w:rFonts w:ascii="Times New Roman" w:hAnsi="Times New Roman"/>
                <w:color w:val="000000"/>
                <w:sz w:val="16"/>
                <w:szCs w:val="16"/>
              </w:rPr>
            </w:pPr>
            <w:r w:rsidRPr="003278ED">
              <w:rPr>
                <w:rFonts w:ascii="Times New Roman" w:hAnsi="Times New Roman"/>
                <w:color w:val="000000"/>
                <w:sz w:val="16"/>
                <w:szCs w:val="16"/>
              </w:rPr>
              <w:t>Alte surse de finanțare</w:t>
            </w:r>
          </w:p>
        </w:tc>
        <w:tc>
          <w:tcPr>
            <w:tcW w:w="462" w:type="pct"/>
            <w:vAlign w:val="center"/>
            <w:hideMark/>
          </w:tcPr>
          <w:p w14:paraId="134BE36B"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7 195</w:t>
            </w:r>
          </w:p>
        </w:tc>
        <w:tc>
          <w:tcPr>
            <w:tcW w:w="493" w:type="pct"/>
            <w:vAlign w:val="center"/>
            <w:hideMark/>
          </w:tcPr>
          <w:p w14:paraId="61602B41"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-2 142</w:t>
            </w:r>
          </w:p>
        </w:tc>
        <w:tc>
          <w:tcPr>
            <w:tcW w:w="508" w:type="pct"/>
            <w:vAlign w:val="center"/>
            <w:hideMark/>
          </w:tcPr>
          <w:p w14:paraId="41683CF9"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-321</w:t>
            </w:r>
          </w:p>
        </w:tc>
        <w:tc>
          <w:tcPr>
            <w:tcW w:w="508" w:type="pct"/>
            <w:vAlign w:val="center"/>
            <w:hideMark/>
          </w:tcPr>
          <w:p w14:paraId="56F7E68F"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1 122</w:t>
            </w:r>
          </w:p>
        </w:tc>
        <w:tc>
          <w:tcPr>
            <w:tcW w:w="517" w:type="pct"/>
            <w:vAlign w:val="center"/>
            <w:hideMark/>
          </w:tcPr>
          <w:p w14:paraId="7F54EE70"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2,1%</w:t>
            </w:r>
          </w:p>
        </w:tc>
        <w:tc>
          <w:tcPr>
            <w:tcW w:w="508" w:type="pct"/>
            <w:vAlign w:val="center"/>
            <w:hideMark/>
          </w:tcPr>
          <w:p w14:paraId="784C2D81"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-0,6%</w:t>
            </w:r>
          </w:p>
        </w:tc>
        <w:tc>
          <w:tcPr>
            <w:tcW w:w="509" w:type="pct"/>
            <w:vAlign w:val="center"/>
            <w:hideMark/>
          </w:tcPr>
          <w:p w14:paraId="1D7AA095"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-0,1%</w:t>
            </w:r>
          </w:p>
        </w:tc>
        <w:tc>
          <w:tcPr>
            <w:tcW w:w="509" w:type="pct"/>
            <w:vAlign w:val="center"/>
            <w:hideMark/>
          </w:tcPr>
          <w:p w14:paraId="046F2B35" w14:textId="77777777" w:rsidR="0081715E" w:rsidRPr="003278ED" w:rsidRDefault="0081715E" w:rsidP="007D3A2B">
            <w:pPr>
              <w:ind w:firstLine="0"/>
              <w:jc w:val="center"/>
              <w:rPr>
                <w:rFonts w:ascii="Times New Roman" w:hAnsi="Times New Roman"/>
                <w:color w:val="000000"/>
                <w:sz w:val="16"/>
                <w:szCs w:val="16"/>
              </w:rPr>
            </w:pPr>
            <w:r w:rsidRPr="003278ED">
              <w:rPr>
                <w:rFonts w:ascii="Times New Roman" w:hAnsi="Times New Roman"/>
                <w:color w:val="000000"/>
                <w:sz w:val="16"/>
                <w:szCs w:val="16"/>
              </w:rPr>
              <w:t>0,3%</w:t>
            </w:r>
          </w:p>
        </w:tc>
      </w:tr>
      <w:tr w:rsidR="0081715E" w:rsidRPr="003278ED" w14:paraId="4A5A235C" w14:textId="77777777" w:rsidTr="004C2B11">
        <w:trPr>
          <w:trHeight w:val="350"/>
        </w:trPr>
        <w:tc>
          <w:tcPr>
            <w:tcW w:w="5000" w:type="pct"/>
            <w:gridSpan w:val="9"/>
            <w:shd w:val="clear" w:color="auto" w:fill="FFFFFF"/>
            <w:vAlign w:val="center"/>
            <w:hideMark/>
          </w:tcPr>
          <w:p w14:paraId="2230EF54" w14:textId="77777777" w:rsidR="0081715E" w:rsidRPr="003278ED" w:rsidRDefault="0081715E" w:rsidP="007D3A2B">
            <w:pPr>
              <w:ind w:firstLine="0"/>
              <w:jc w:val="center"/>
              <w:rPr>
                <w:rFonts w:ascii="Times New Roman" w:hAnsi="Times New Roman"/>
                <w:bCs/>
                <w:color w:val="000000"/>
              </w:rPr>
            </w:pPr>
            <w:r w:rsidRPr="004C2B11">
              <w:rPr>
                <w:rFonts w:ascii="Times New Roman" w:hAnsi="Times New Roman"/>
                <w:b/>
                <w:i/>
                <w:iCs/>
                <w:color w:val="000000"/>
              </w:rPr>
              <w:t>Sursa</w:t>
            </w:r>
            <w:r w:rsidRPr="003278ED">
              <w:rPr>
                <w:rFonts w:ascii="Times New Roman" w:hAnsi="Times New Roman"/>
                <w:i/>
                <w:iCs/>
                <w:color w:val="000000"/>
              </w:rPr>
              <w:t>: Ministerul Finanțelor</w:t>
            </w:r>
          </w:p>
        </w:tc>
      </w:tr>
    </w:tbl>
    <w:p w14:paraId="7F0B62F3" w14:textId="77777777" w:rsidR="0081715E" w:rsidRPr="003278ED" w:rsidRDefault="0081715E" w:rsidP="007D3A2B">
      <w:pPr>
        <w:spacing w:after="0" w:line="240" w:lineRule="auto"/>
        <w:ind w:firstLine="567"/>
        <w:jc w:val="both"/>
        <w:rPr>
          <w:rFonts w:ascii="Times New Roman" w:hAnsi="Times New Roman" w:cs="Times New Roman"/>
          <w:sz w:val="24"/>
          <w:szCs w:val="28"/>
        </w:rPr>
      </w:pPr>
    </w:p>
    <w:p w14:paraId="72DFFF02" w14:textId="79A049A9" w:rsidR="00335190" w:rsidRPr="003278ED" w:rsidRDefault="00335190"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Proiecțiile bugetare demonstrează că, până în anul 2027</w:t>
      </w:r>
      <w:r w:rsidR="00AA08E6" w:rsidRPr="003278ED">
        <w:rPr>
          <w:rFonts w:ascii="Times New Roman" w:hAnsi="Times New Roman" w:cs="Times New Roman"/>
          <w:sz w:val="24"/>
          <w:szCs w:val="28"/>
        </w:rPr>
        <w:t>,</w:t>
      </w:r>
      <w:r w:rsidRPr="003278ED">
        <w:rPr>
          <w:rFonts w:ascii="Times New Roman" w:hAnsi="Times New Roman" w:cs="Times New Roman"/>
          <w:sz w:val="24"/>
          <w:szCs w:val="28"/>
        </w:rPr>
        <w:t xml:space="preserve"> veniturile bugetului public național </w:t>
      </w:r>
      <w:r w:rsidRPr="003278ED">
        <w:rPr>
          <w:rFonts w:ascii="Times New Roman" w:hAnsi="Times New Roman" w:cs="Times New Roman"/>
          <w:sz w:val="24"/>
          <w:szCs w:val="24"/>
        </w:rPr>
        <w:t xml:space="preserve">vor fi în creștere </w:t>
      </w:r>
      <w:r w:rsidR="004C79B4" w:rsidRPr="003278ED">
        <w:rPr>
          <w:rFonts w:ascii="Times New Roman" w:hAnsi="Times New Roman" w:cs="Times New Roman"/>
          <w:sz w:val="24"/>
          <w:szCs w:val="24"/>
        </w:rPr>
        <w:t xml:space="preserve">cu 26,8 % </w:t>
      </w:r>
      <w:r w:rsidRPr="003278ED">
        <w:rPr>
          <w:rFonts w:ascii="Times New Roman" w:hAnsi="Times New Roman" w:cs="Times New Roman"/>
          <w:sz w:val="24"/>
          <w:szCs w:val="24"/>
        </w:rPr>
        <w:t>față de anul 2024</w:t>
      </w:r>
      <w:r w:rsidR="004C79B4" w:rsidRPr="003278ED">
        <w:rPr>
          <w:rFonts w:ascii="Times New Roman" w:hAnsi="Times New Roman" w:cs="Times New Roman"/>
          <w:sz w:val="24"/>
          <w:szCs w:val="24"/>
        </w:rPr>
        <w:t>,</w:t>
      </w:r>
      <w:r w:rsidRPr="003278ED">
        <w:rPr>
          <w:rFonts w:ascii="Times New Roman" w:hAnsi="Times New Roman" w:cs="Times New Roman"/>
          <w:sz w:val="24"/>
          <w:szCs w:val="24"/>
        </w:rPr>
        <w:t xml:space="preserve"> inclusiv </w:t>
      </w:r>
      <w:r w:rsidR="004C79B4" w:rsidRPr="003278ED">
        <w:rPr>
          <w:rFonts w:ascii="Times New Roman" w:hAnsi="Times New Roman" w:cs="Times New Roman"/>
          <w:sz w:val="24"/>
          <w:szCs w:val="24"/>
        </w:rPr>
        <w:t xml:space="preserve">cu 8,1 % </w:t>
      </w:r>
      <w:r w:rsidRPr="003278ED">
        <w:rPr>
          <w:rFonts w:ascii="Times New Roman" w:hAnsi="Times New Roman" w:cs="Times New Roman"/>
          <w:sz w:val="24"/>
          <w:szCs w:val="24"/>
        </w:rPr>
        <w:t>în anul 2025 față de anul 2024. Majorarea veniturilor va fi susținută, în primul rând, de restabilirea economică, impactul politicilor de stat de susținere a sectoarelor economice, precum și din contul unor măsuri ale politicii fiscale și vamale și de administrare mai bună a veniturilor.</w:t>
      </w:r>
      <w:r w:rsidRPr="003278ED">
        <w:rPr>
          <w:rFonts w:ascii="Times New Roman" w:hAnsi="Times New Roman" w:cs="Times New Roman"/>
          <w:sz w:val="24"/>
          <w:szCs w:val="28"/>
        </w:rPr>
        <w:t xml:space="preserve">  Totuși, veniturile bugetare pe termen mediu au la bază estimări ale granturilor la un nivel minim istoric, iar creșterea veniturilor se bazează pe creșterea încasărilor din impozite și taxe.</w:t>
      </w:r>
    </w:p>
    <w:p w14:paraId="1646DDF3" w14:textId="5933F5BE" w:rsidR="00335190" w:rsidRPr="003278ED" w:rsidRDefault="008D3CA9" w:rsidP="007D3A2B">
      <w:pPr>
        <w:spacing w:after="0" w:line="240" w:lineRule="auto"/>
        <w:ind w:firstLine="709"/>
        <w:jc w:val="both"/>
        <w:rPr>
          <w:rFonts w:ascii="Times New Roman" w:hAnsi="Times New Roman" w:cs="Times New Roman"/>
          <w:sz w:val="24"/>
          <w:szCs w:val="28"/>
        </w:rPr>
      </w:pPr>
      <w:r w:rsidRPr="003278ED">
        <w:rPr>
          <w:rFonts w:ascii="Times New Roman" w:eastAsia="Calibri" w:hAnsi="Times New Roman" w:cs="Times New Roman"/>
          <w:sz w:val="24"/>
          <w:szCs w:val="28"/>
        </w:rPr>
        <w:t>Estimările indicatorilor bugetului asigurărilor sociale de stat pe</w:t>
      </w:r>
      <w:r w:rsidR="004C79B4" w:rsidRPr="003278ED">
        <w:rPr>
          <w:rFonts w:ascii="Times New Roman" w:eastAsia="Calibri" w:hAnsi="Times New Roman" w:cs="Times New Roman"/>
          <w:sz w:val="24"/>
          <w:szCs w:val="28"/>
        </w:rPr>
        <w:t>ntru</w:t>
      </w:r>
      <w:r w:rsidRPr="003278ED">
        <w:rPr>
          <w:rFonts w:ascii="Times New Roman" w:eastAsia="Calibri" w:hAnsi="Times New Roman" w:cs="Times New Roman"/>
          <w:sz w:val="24"/>
          <w:szCs w:val="28"/>
        </w:rPr>
        <w:t xml:space="preserve"> anii 2025-2027 înregistrează o tendință de creștere cu circa 22,3 % în 2027 față de 2024,</w:t>
      </w:r>
      <w:r w:rsidRPr="003278ED">
        <w:rPr>
          <w:rFonts w:ascii="Times New Roman" w:hAnsi="Times New Roman" w:cs="Times New Roman"/>
          <w:sz w:val="24"/>
          <w:szCs w:val="28"/>
        </w:rPr>
        <w:t xml:space="preserve"> inclusiv </w:t>
      </w:r>
      <w:r w:rsidR="004C79B4" w:rsidRPr="003278ED">
        <w:rPr>
          <w:rFonts w:ascii="Times New Roman" w:hAnsi="Times New Roman" w:cs="Times New Roman"/>
          <w:sz w:val="24"/>
          <w:szCs w:val="28"/>
        </w:rPr>
        <w:t xml:space="preserve">cu 8,2 % </w:t>
      </w:r>
      <w:r w:rsidRPr="003278ED">
        <w:rPr>
          <w:rFonts w:ascii="Times New Roman" w:hAnsi="Times New Roman" w:cs="Times New Roman"/>
          <w:sz w:val="24"/>
          <w:szCs w:val="28"/>
        </w:rPr>
        <w:t>în anul 2025 față de anul 2024</w:t>
      </w:r>
      <w:r w:rsidR="004C79B4" w:rsidRPr="003278ED">
        <w:rPr>
          <w:rFonts w:ascii="Times New Roman" w:hAnsi="Times New Roman" w:cs="Times New Roman"/>
          <w:sz w:val="24"/>
          <w:szCs w:val="28"/>
        </w:rPr>
        <w:t xml:space="preserve">. </w:t>
      </w:r>
      <w:r w:rsidRPr="003278ED">
        <w:rPr>
          <w:rFonts w:ascii="Times New Roman" w:hAnsi="Times New Roman" w:cs="Times New Roman"/>
          <w:sz w:val="24"/>
          <w:szCs w:val="28"/>
        </w:rPr>
        <w:t>T</w:t>
      </w:r>
      <w:r w:rsidR="00335190" w:rsidRPr="003278ED">
        <w:rPr>
          <w:rFonts w:ascii="Times New Roman" w:hAnsi="Times New Roman" w:cs="Times New Roman"/>
          <w:sz w:val="24"/>
          <w:szCs w:val="28"/>
        </w:rPr>
        <w:t xml:space="preserve">ransferurile pentru </w:t>
      </w:r>
      <w:r w:rsidR="00335190" w:rsidRPr="003278ED">
        <w:rPr>
          <w:rFonts w:ascii="Times New Roman" w:eastAsia="Calibri" w:hAnsi="Times New Roman" w:cs="Times New Roman"/>
          <w:sz w:val="24"/>
          <w:szCs w:val="28"/>
        </w:rPr>
        <w:t xml:space="preserve">bugetul asigurărilor sociale de stat vor crește cu 3,6 % în 2025 față de 2024. </w:t>
      </w:r>
      <w:r w:rsidR="004C79B4" w:rsidRPr="003278ED">
        <w:rPr>
          <w:rFonts w:ascii="Times New Roman" w:hAnsi="Times New Roman" w:cs="Times New Roman"/>
          <w:sz w:val="24"/>
          <w:szCs w:val="28"/>
        </w:rPr>
        <w:t>E de menționat că</w:t>
      </w:r>
      <w:r w:rsidR="00335190" w:rsidRPr="003278ED">
        <w:rPr>
          <w:rFonts w:ascii="Times New Roman" w:hAnsi="Times New Roman" w:cs="Times New Roman"/>
          <w:sz w:val="24"/>
          <w:szCs w:val="28"/>
        </w:rPr>
        <w:t xml:space="preserve"> pentru orizontul anilor 2025-2027 transferurile pentru acoperirea deficitului BASS vor constitui sumele de 5 632</w:t>
      </w:r>
      <w:r w:rsidR="004A30CF" w:rsidRPr="003278ED">
        <w:rPr>
          <w:rFonts w:ascii="Times New Roman" w:hAnsi="Times New Roman" w:cs="Times New Roman"/>
          <w:sz w:val="24"/>
          <w:szCs w:val="28"/>
        </w:rPr>
        <w:t>,0</w:t>
      </w:r>
      <w:r w:rsidR="00335190" w:rsidRPr="003278ED">
        <w:rPr>
          <w:rFonts w:ascii="Times New Roman" w:hAnsi="Times New Roman" w:cs="Times New Roman"/>
          <w:sz w:val="24"/>
          <w:szCs w:val="28"/>
        </w:rPr>
        <w:t xml:space="preserve"> mil. lei în 2025, </w:t>
      </w:r>
      <w:r w:rsidR="004C79B4" w:rsidRPr="003278ED">
        <w:rPr>
          <w:rFonts w:ascii="Times New Roman" w:hAnsi="Times New Roman" w:cs="Times New Roman"/>
          <w:sz w:val="24"/>
          <w:szCs w:val="28"/>
        </w:rPr>
        <w:br/>
        <w:t xml:space="preserve">de </w:t>
      </w:r>
      <w:r w:rsidR="00335190" w:rsidRPr="003278ED">
        <w:rPr>
          <w:rFonts w:ascii="Times New Roman" w:hAnsi="Times New Roman" w:cs="Times New Roman"/>
          <w:sz w:val="24"/>
          <w:szCs w:val="28"/>
        </w:rPr>
        <w:t>5 293</w:t>
      </w:r>
      <w:r w:rsidR="004A30CF" w:rsidRPr="003278ED">
        <w:rPr>
          <w:rFonts w:ascii="Times New Roman" w:hAnsi="Times New Roman" w:cs="Times New Roman"/>
          <w:sz w:val="24"/>
          <w:szCs w:val="28"/>
        </w:rPr>
        <w:t>,0</w:t>
      </w:r>
      <w:r w:rsidR="00335190" w:rsidRPr="003278ED">
        <w:rPr>
          <w:rFonts w:ascii="Times New Roman" w:hAnsi="Times New Roman" w:cs="Times New Roman"/>
          <w:sz w:val="24"/>
          <w:szCs w:val="28"/>
        </w:rPr>
        <w:t xml:space="preserve"> mil. lei și 5 094</w:t>
      </w:r>
      <w:r w:rsidR="004A30CF" w:rsidRPr="003278ED">
        <w:rPr>
          <w:rFonts w:ascii="Times New Roman" w:hAnsi="Times New Roman" w:cs="Times New Roman"/>
          <w:sz w:val="24"/>
          <w:szCs w:val="28"/>
        </w:rPr>
        <w:t>,0</w:t>
      </w:r>
      <w:r w:rsidR="00335190" w:rsidRPr="003278ED">
        <w:rPr>
          <w:rFonts w:ascii="Times New Roman" w:hAnsi="Times New Roman" w:cs="Times New Roman"/>
          <w:sz w:val="24"/>
          <w:szCs w:val="28"/>
        </w:rPr>
        <w:t xml:space="preserve"> mil. lei pentru </w:t>
      </w:r>
      <w:r w:rsidR="004C79B4" w:rsidRPr="003278ED">
        <w:rPr>
          <w:rFonts w:ascii="Times New Roman" w:hAnsi="Times New Roman" w:cs="Times New Roman"/>
          <w:sz w:val="24"/>
          <w:szCs w:val="28"/>
        </w:rPr>
        <w:t xml:space="preserve">anii </w:t>
      </w:r>
      <w:r w:rsidR="00335190" w:rsidRPr="003278ED">
        <w:rPr>
          <w:rFonts w:ascii="Times New Roman" w:hAnsi="Times New Roman" w:cs="Times New Roman"/>
          <w:sz w:val="24"/>
          <w:szCs w:val="28"/>
        </w:rPr>
        <w:t>2026 și</w:t>
      </w:r>
      <w:r w:rsidR="002D4DD0" w:rsidRPr="003278ED">
        <w:rPr>
          <w:rFonts w:ascii="Times New Roman" w:hAnsi="Times New Roman" w:cs="Times New Roman"/>
          <w:sz w:val="24"/>
          <w:szCs w:val="28"/>
        </w:rPr>
        <w:t>,</w:t>
      </w:r>
      <w:r w:rsidR="00335190" w:rsidRPr="003278ED">
        <w:rPr>
          <w:rFonts w:ascii="Times New Roman" w:hAnsi="Times New Roman" w:cs="Times New Roman"/>
          <w:sz w:val="24"/>
          <w:szCs w:val="28"/>
        </w:rPr>
        <w:t xml:space="preserve"> </w:t>
      </w:r>
      <w:r w:rsidR="002D4DD0" w:rsidRPr="003278ED">
        <w:rPr>
          <w:rFonts w:ascii="Times New Roman" w:hAnsi="Times New Roman" w:cs="Times New Roman"/>
          <w:sz w:val="24"/>
          <w:szCs w:val="28"/>
        </w:rPr>
        <w:t xml:space="preserve">respectiv, </w:t>
      </w:r>
      <w:r w:rsidR="00335190" w:rsidRPr="003278ED">
        <w:rPr>
          <w:rFonts w:ascii="Times New Roman" w:hAnsi="Times New Roman" w:cs="Times New Roman"/>
          <w:sz w:val="24"/>
          <w:szCs w:val="28"/>
        </w:rPr>
        <w:t>2027. Prin urmare, presiunea asupra bugetului asigurărilor sociale de stat crește de la an la an, ca urmare a reformelor implementate în ultimii ani, iar veniturile bugetului asigurărilor sociale de stat au un ritm de creștere mai lent decât cheltuielile, ceea ce afectează sustenabilitatea acestui</w:t>
      </w:r>
      <w:r w:rsidR="004C79B4" w:rsidRPr="003278ED">
        <w:rPr>
          <w:rFonts w:ascii="Times New Roman" w:hAnsi="Times New Roman" w:cs="Times New Roman"/>
          <w:sz w:val="24"/>
          <w:szCs w:val="28"/>
        </w:rPr>
        <w:t>a</w:t>
      </w:r>
      <w:r w:rsidR="00335190" w:rsidRPr="003278ED">
        <w:rPr>
          <w:rFonts w:ascii="Times New Roman" w:hAnsi="Times New Roman" w:cs="Times New Roman"/>
          <w:sz w:val="24"/>
          <w:szCs w:val="28"/>
        </w:rPr>
        <w:t xml:space="preserve"> și majorează constant povara asupra bugetului de stat. </w:t>
      </w:r>
      <w:r w:rsidR="002F6780" w:rsidRPr="003278ED">
        <w:rPr>
          <w:rFonts w:ascii="Times New Roman" w:hAnsi="Times New Roman" w:cs="Times New Roman"/>
          <w:sz w:val="24"/>
          <w:szCs w:val="28"/>
        </w:rPr>
        <w:t xml:space="preserve">În acest sens, </w:t>
      </w:r>
      <w:r w:rsidR="0003780D" w:rsidRPr="003278ED">
        <w:rPr>
          <w:rFonts w:ascii="Times New Roman" w:hAnsi="Times New Roman" w:cs="Times New Roman"/>
          <w:sz w:val="24"/>
          <w:szCs w:val="28"/>
        </w:rPr>
        <w:t>în cadrul exerci</w:t>
      </w:r>
      <w:r w:rsidR="004C79B4" w:rsidRPr="003278ED">
        <w:rPr>
          <w:rFonts w:ascii="Times New Roman" w:hAnsi="Times New Roman" w:cs="Times New Roman"/>
          <w:sz w:val="24"/>
          <w:szCs w:val="28"/>
        </w:rPr>
        <w:t>ț</w:t>
      </w:r>
      <w:r w:rsidR="0003780D" w:rsidRPr="003278ED">
        <w:rPr>
          <w:rFonts w:ascii="Times New Roman" w:hAnsi="Times New Roman" w:cs="Times New Roman"/>
          <w:sz w:val="24"/>
          <w:szCs w:val="28"/>
        </w:rPr>
        <w:t>iului de ra</w:t>
      </w:r>
      <w:r w:rsidR="004C79B4" w:rsidRPr="003278ED">
        <w:rPr>
          <w:rFonts w:ascii="Times New Roman" w:hAnsi="Times New Roman" w:cs="Times New Roman"/>
          <w:sz w:val="24"/>
          <w:szCs w:val="28"/>
        </w:rPr>
        <w:t>ț</w:t>
      </w:r>
      <w:r w:rsidR="0003780D" w:rsidRPr="003278ED">
        <w:rPr>
          <w:rFonts w:ascii="Times New Roman" w:hAnsi="Times New Roman" w:cs="Times New Roman"/>
          <w:sz w:val="24"/>
          <w:szCs w:val="28"/>
        </w:rPr>
        <w:t xml:space="preserve">ionalizare a </w:t>
      </w:r>
      <w:r w:rsidR="0003780D" w:rsidRPr="003278ED">
        <w:rPr>
          <w:rFonts w:ascii="Times New Roman" w:hAnsi="Times New Roman" w:cs="Times New Roman"/>
          <w:sz w:val="24"/>
          <w:szCs w:val="28"/>
        </w:rPr>
        <w:lastRenderedPageBreak/>
        <w:t>cheltuielilor urmează a fi identificate m</w:t>
      </w:r>
      <w:r w:rsidR="004C79B4" w:rsidRPr="003278ED">
        <w:rPr>
          <w:rFonts w:ascii="Times New Roman" w:hAnsi="Times New Roman" w:cs="Times New Roman"/>
          <w:sz w:val="24"/>
          <w:szCs w:val="28"/>
        </w:rPr>
        <w:t>ă</w:t>
      </w:r>
      <w:r w:rsidR="0003780D" w:rsidRPr="003278ED">
        <w:rPr>
          <w:rFonts w:ascii="Times New Roman" w:hAnsi="Times New Roman" w:cs="Times New Roman"/>
          <w:sz w:val="24"/>
          <w:szCs w:val="28"/>
        </w:rPr>
        <w:t xml:space="preserve">suri ce ar </w:t>
      </w:r>
      <w:r w:rsidR="00DE6086" w:rsidRPr="003278ED">
        <w:rPr>
          <w:rFonts w:ascii="Times New Roman" w:hAnsi="Times New Roman" w:cs="Times New Roman"/>
          <w:sz w:val="24"/>
          <w:szCs w:val="28"/>
        </w:rPr>
        <w:t>avea impact asupr</w:t>
      </w:r>
      <w:r w:rsidR="004C2B11">
        <w:rPr>
          <w:rFonts w:ascii="Times New Roman" w:hAnsi="Times New Roman" w:cs="Times New Roman"/>
          <w:sz w:val="24"/>
          <w:szCs w:val="28"/>
        </w:rPr>
        <w:t>a</w:t>
      </w:r>
      <w:r w:rsidR="00DE6086" w:rsidRPr="003278ED">
        <w:rPr>
          <w:rFonts w:ascii="Times New Roman" w:hAnsi="Times New Roman" w:cs="Times New Roman"/>
          <w:sz w:val="24"/>
          <w:szCs w:val="28"/>
        </w:rPr>
        <w:t xml:space="preserve"> reducerii dependen</w:t>
      </w:r>
      <w:r w:rsidR="004C79B4" w:rsidRPr="003278ED">
        <w:rPr>
          <w:rFonts w:ascii="Times New Roman" w:hAnsi="Times New Roman" w:cs="Times New Roman"/>
          <w:sz w:val="24"/>
          <w:szCs w:val="28"/>
        </w:rPr>
        <w:t>ț</w:t>
      </w:r>
      <w:r w:rsidR="00DE6086" w:rsidRPr="003278ED">
        <w:rPr>
          <w:rFonts w:ascii="Times New Roman" w:hAnsi="Times New Roman" w:cs="Times New Roman"/>
          <w:sz w:val="24"/>
          <w:szCs w:val="28"/>
        </w:rPr>
        <w:t>ei BASS de transferurile de la bugetul de stat.</w:t>
      </w:r>
      <w:r w:rsidR="00335190" w:rsidRPr="003278ED">
        <w:rPr>
          <w:rFonts w:ascii="Times New Roman" w:hAnsi="Times New Roman" w:cs="Times New Roman"/>
          <w:sz w:val="24"/>
          <w:szCs w:val="28"/>
        </w:rPr>
        <w:t xml:space="preserve"> </w:t>
      </w:r>
    </w:p>
    <w:p w14:paraId="793B3ED9" w14:textId="74D7D545" w:rsidR="00D123BB" w:rsidRPr="003278ED" w:rsidRDefault="00D123BB"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Veniturile și cheltuielile fondurilor asigurărilor obligatorii de asistență medicală în perioada anilor 2025-2027 vor crește în 2025 cu 9,1 % față de 2024, iar în 2026 și 2027 cu</w:t>
      </w:r>
      <w:r w:rsidR="004C79B4" w:rsidRPr="003278ED">
        <w:rPr>
          <w:rFonts w:ascii="Times New Roman" w:hAnsi="Times New Roman" w:cs="Times New Roman"/>
          <w:sz w:val="24"/>
          <w:szCs w:val="28"/>
        </w:rPr>
        <w:br/>
      </w:r>
      <w:r w:rsidRPr="003278ED">
        <w:rPr>
          <w:rFonts w:ascii="Times New Roman" w:hAnsi="Times New Roman" w:cs="Times New Roman"/>
          <w:sz w:val="24"/>
          <w:szCs w:val="28"/>
        </w:rPr>
        <w:t xml:space="preserve"> 17,1</w:t>
      </w:r>
      <w:r w:rsidR="001F2718" w:rsidRPr="003278ED">
        <w:rPr>
          <w:rFonts w:ascii="Times New Roman" w:hAnsi="Times New Roman" w:cs="Times New Roman"/>
          <w:sz w:val="24"/>
          <w:szCs w:val="28"/>
        </w:rPr>
        <w:t xml:space="preserve"> % și</w:t>
      </w:r>
      <w:r w:rsidR="004C79B4" w:rsidRPr="003278ED">
        <w:rPr>
          <w:rFonts w:ascii="Times New Roman" w:hAnsi="Times New Roman" w:cs="Times New Roman"/>
          <w:sz w:val="24"/>
          <w:szCs w:val="28"/>
        </w:rPr>
        <w:t>,</w:t>
      </w:r>
      <w:r w:rsidR="001F2718" w:rsidRPr="003278ED">
        <w:rPr>
          <w:rFonts w:ascii="Times New Roman" w:hAnsi="Times New Roman" w:cs="Times New Roman"/>
          <w:sz w:val="24"/>
          <w:szCs w:val="28"/>
        </w:rPr>
        <w:t xml:space="preserve"> </w:t>
      </w:r>
      <w:r w:rsidR="004C79B4" w:rsidRPr="003278ED">
        <w:rPr>
          <w:rFonts w:ascii="Times New Roman" w:hAnsi="Times New Roman" w:cs="Times New Roman"/>
          <w:sz w:val="24"/>
          <w:szCs w:val="28"/>
        </w:rPr>
        <w:t xml:space="preserve">respectiv, </w:t>
      </w:r>
      <w:r w:rsidR="001F2718" w:rsidRPr="003278ED">
        <w:rPr>
          <w:rFonts w:ascii="Times New Roman" w:hAnsi="Times New Roman" w:cs="Times New Roman"/>
          <w:sz w:val="24"/>
          <w:szCs w:val="28"/>
        </w:rPr>
        <w:t>25</w:t>
      </w:r>
      <w:r w:rsidRPr="003278ED">
        <w:rPr>
          <w:rFonts w:ascii="Times New Roman" w:hAnsi="Times New Roman" w:cs="Times New Roman"/>
          <w:sz w:val="24"/>
          <w:szCs w:val="28"/>
        </w:rPr>
        <w:t>,7 %.</w:t>
      </w:r>
    </w:p>
    <w:p w14:paraId="70E71479" w14:textId="54C05FFA" w:rsidR="00D123BB" w:rsidRPr="003278ED" w:rsidRDefault="00D123BB" w:rsidP="007D3A2B">
      <w:pPr>
        <w:spacing w:after="0" w:line="240" w:lineRule="auto"/>
        <w:ind w:firstLine="709"/>
        <w:jc w:val="both"/>
        <w:rPr>
          <w:rFonts w:ascii="Times New Roman" w:hAnsi="Times New Roman" w:cs="Times New Roman"/>
          <w:sz w:val="24"/>
          <w:szCs w:val="28"/>
        </w:rPr>
      </w:pPr>
      <w:r w:rsidRPr="003278ED">
        <w:rPr>
          <w:rFonts w:ascii="Times New Roman" w:hAnsi="Times New Roman" w:cs="Times New Roman"/>
          <w:sz w:val="24"/>
          <w:szCs w:val="28"/>
        </w:rPr>
        <w:t xml:space="preserve">Pe componenta bugetelor locale pentru anii 2025-2027 se estimează o creștere de </w:t>
      </w:r>
      <w:r w:rsidR="008D3CA9" w:rsidRPr="003278ED">
        <w:rPr>
          <w:rFonts w:ascii="Times New Roman" w:hAnsi="Times New Roman" w:cs="Times New Roman"/>
          <w:sz w:val="24"/>
          <w:szCs w:val="28"/>
        </w:rPr>
        <w:t>7,6</w:t>
      </w:r>
      <w:r w:rsidRPr="003278ED">
        <w:rPr>
          <w:rFonts w:ascii="Times New Roman" w:hAnsi="Times New Roman" w:cs="Times New Roman"/>
          <w:sz w:val="24"/>
          <w:szCs w:val="28"/>
        </w:rPr>
        <w:t xml:space="preserve"> % în 2025 față de 2024, iar în anii 2026 și 2027 cu </w:t>
      </w:r>
      <w:r w:rsidR="001F2718" w:rsidRPr="003278ED">
        <w:rPr>
          <w:rFonts w:ascii="Times New Roman" w:hAnsi="Times New Roman" w:cs="Times New Roman"/>
          <w:sz w:val="24"/>
          <w:szCs w:val="28"/>
        </w:rPr>
        <w:t>10,8</w:t>
      </w:r>
      <w:r w:rsidRPr="003278ED">
        <w:rPr>
          <w:rFonts w:ascii="Times New Roman" w:hAnsi="Times New Roman" w:cs="Times New Roman"/>
          <w:sz w:val="24"/>
          <w:szCs w:val="28"/>
        </w:rPr>
        <w:t xml:space="preserve"> % și</w:t>
      </w:r>
      <w:r w:rsidR="002D4DD0" w:rsidRPr="003278ED">
        <w:rPr>
          <w:rFonts w:ascii="Times New Roman" w:hAnsi="Times New Roman" w:cs="Times New Roman"/>
          <w:sz w:val="24"/>
          <w:szCs w:val="28"/>
        </w:rPr>
        <w:t>,</w:t>
      </w:r>
      <w:r w:rsidRPr="003278ED">
        <w:rPr>
          <w:rFonts w:ascii="Times New Roman" w:hAnsi="Times New Roman" w:cs="Times New Roman"/>
          <w:sz w:val="24"/>
          <w:szCs w:val="28"/>
        </w:rPr>
        <w:t xml:space="preserve"> </w:t>
      </w:r>
      <w:r w:rsidR="002D4DD0" w:rsidRPr="003278ED">
        <w:rPr>
          <w:rFonts w:ascii="Times New Roman" w:hAnsi="Times New Roman" w:cs="Times New Roman"/>
          <w:sz w:val="24"/>
          <w:szCs w:val="28"/>
        </w:rPr>
        <w:t xml:space="preserve">respectiv, </w:t>
      </w:r>
      <w:r w:rsidR="001F2718" w:rsidRPr="003278ED">
        <w:rPr>
          <w:rFonts w:ascii="Times New Roman" w:hAnsi="Times New Roman" w:cs="Times New Roman"/>
          <w:sz w:val="24"/>
          <w:szCs w:val="28"/>
        </w:rPr>
        <w:t>14,3</w:t>
      </w:r>
      <w:r w:rsidRPr="003278ED">
        <w:rPr>
          <w:rFonts w:ascii="Times New Roman" w:hAnsi="Times New Roman" w:cs="Times New Roman"/>
          <w:sz w:val="24"/>
          <w:szCs w:val="28"/>
        </w:rPr>
        <w:t xml:space="preserve"> %.</w:t>
      </w:r>
    </w:p>
    <w:p w14:paraId="6C0959B8" w14:textId="77777777" w:rsidR="00D123BB" w:rsidRPr="003278ED" w:rsidRDefault="00D123BB" w:rsidP="007D3A2B">
      <w:pPr>
        <w:spacing w:after="0" w:line="240" w:lineRule="auto"/>
        <w:ind w:firstLine="709"/>
        <w:jc w:val="both"/>
        <w:rPr>
          <w:rFonts w:ascii="Times New Roman" w:hAnsi="Times New Roman" w:cs="Times New Roman"/>
          <w:sz w:val="24"/>
          <w:szCs w:val="28"/>
          <w:lang w:eastAsia="ru-RU"/>
        </w:rPr>
      </w:pPr>
      <w:r w:rsidRPr="003278ED">
        <w:rPr>
          <w:rFonts w:ascii="Times New Roman" w:hAnsi="Times New Roman" w:cs="Times New Roman"/>
          <w:sz w:val="24"/>
          <w:szCs w:val="28"/>
          <w:lang w:eastAsia="ru-RU"/>
        </w:rPr>
        <w:t>Estimările CBTM (2025-2027) pe componentele bugetului public național se prezintă în tabelul 3.3.</w:t>
      </w:r>
    </w:p>
    <w:p w14:paraId="24534D75" w14:textId="77777777" w:rsidR="00E338E9" w:rsidRPr="003278ED" w:rsidRDefault="00E338E9" w:rsidP="007D3A2B">
      <w:pPr>
        <w:spacing w:after="0" w:line="240" w:lineRule="auto"/>
        <w:ind w:firstLine="709"/>
        <w:jc w:val="both"/>
        <w:rPr>
          <w:rFonts w:ascii="Times New Roman" w:hAnsi="Times New Roman" w:cs="Times New Roman"/>
          <w:sz w:val="24"/>
          <w:szCs w:val="24"/>
          <w:lang w:eastAsia="ru-RU"/>
        </w:rPr>
      </w:pPr>
    </w:p>
    <w:p w14:paraId="3DC3DA1C" w14:textId="77777777" w:rsidR="00D123BB" w:rsidRPr="003278ED" w:rsidRDefault="00D123BB" w:rsidP="007D3A2B">
      <w:pPr>
        <w:pStyle w:val="Table"/>
        <w:spacing w:before="0" w:line="240" w:lineRule="auto"/>
        <w:ind w:firstLine="567"/>
        <w:jc w:val="right"/>
        <w:rPr>
          <w:rFonts w:ascii="Times New Roman" w:eastAsia="Times New Roman" w:hAnsi="Times New Roman"/>
          <w:b w:val="0"/>
          <w:bCs/>
          <w:color w:val="auto"/>
          <w:sz w:val="24"/>
          <w:szCs w:val="24"/>
          <w:lang w:val="ro-RO"/>
        </w:rPr>
      </w:pPr>
      <w:r w:rsidRPr="003278ED">
        <w:rPr>
          <w:rFonts w:ascii="Times New Roman" w:eastAsia="Times New Roman" w:hAnsi="Times New Roman"/>
          <w:b w:val="0"/>
          <w:bCs/>
          <w:color w:val="auto"/>
          <w:sz w:val="24"/>
          <w:szCs w:val="24"/>
          <w:lang w:val="ro-RO"/>
        </w:rPr>
        <w:t>Tabelul 3.3</w:t>
      </w:r>
    </w:p>
    <w:p w14:paraId="1D933E2A" w14:textId="77777777" w:rsidR="00D123BB" w:rsidRPr="003278ED" w:rsidRDefault="00D123BB" w:rsidP="007D3A2B">
      <w:pPr>
        <w:pStyle w:val="Table"/>
        <w:spacing w:before="0" w:line="240" w:lineRule="auto"/>
        <w:ind w:firstLine="567"/>
        <w:rPr>
          <w:rFonts w:ascii="Times New Roman" w:eastAsia="Times New Roman" w:hAnsi="Times New Roman"/>
          <w:bCs/>
          <w:color w:val="auto"/>
          <w:sz w:val="24"/>
          <w:szCs w:val="24"/>
          <w:lang w:val="ro-RO"/>
        </w:rPr>
      </w:pPr>
      <w:r w:rsidRPr="003278ED">
        <w:rPr>
          <w:rFonts w:ascii="Times New Roman" w:eastAsia="Times New Roman" w:hAnsi="Times New Roman"/>
          <w:bCs/>
          <w:color w:val="auto"/>
          <w:sz w:val="24"/>
          <w:szCs w:val="24"/>
          <w:lang w:val="ro-RO"/>
        </w:rPr>
        <w:t>CBTM (2025-2027)</w:t>
      </w:r>
    </w:p>
    <w:p w14:paraId="34C48A81" w14:textId="77777777" w:rsidR="00D123BB" w:rsidRPr="003278ED" w:rsidRDefault="00D123BB" w:rsidP="007D3A2B">
      <w:pPr>
        <w:spacing w:after="0" w:line="240" w:lineRule="auto"/>
        <w:ind w:firstLine="567"/>
        <w:jc w:val="both"/>
        <w:rPr>
          <w:rFonts w:ascii="Times New Roman" w:hAnsi="Times New Roman" w:cs="Times New Roman"/>
          <w:sz w:val="24"/>
          <w:szCs w:val="24"/>
          <w:lang w:eastAsia="ru-RU"/>
        </w:rPr>
      </w:pPr>
    </w:p>
    <w:tbl>
      <w:tblPr>
        <w:tblW w:w="5000" w:type="pct"/>
        <w:tblLook w:val="04A0" w:firstRow="1" w:lastRow="0" w:firstColumn="1" w:lastColumn="0" w:noHBand="0" w:noVBand="1"/>
      </w:tblPr>
      <w:tblGrid>
        <w:gridCol w:w="405"/>
        <w:gridCol w:w="1381"/>
        <w:gridCol w:w="564"/>
        <w:gridCol w:w="959"/>
        <w:gridCol w:w="859"/>
        <w:gridCol w:w="859"/>
        <w:gridCol w:w="861"/>
        <w:gridCol w:w="866"/>
        <w:gridCol w:w="859"/>
        <w:gridCol w:w="859"/>
        <w:gridCol w:w="861"/>
      </w:tblGrid>
      <w:tr w:rsidR="00D123BB" w:rsidRPr="003278ED" w14:paraId="1FDBDAA2" w14:textId="77777777" w:rsidTr="004C2B11">
        <w:trPr>
          <w:trHeight w:val="119"/>
          <w:tblHeader/>
        </w:trPr>
        <w:tc>
          <w:tcPr>
            <w:tcW w:w="217" w:type="pct"/>
            <w:noWrap/>
            <w:vAlign w:val="center"/>
            <w:hideMark/>
          </w:tcPr>
          <w:p w14:paraId="73024802" w14:textId="77777777" w:rsidR="00D123BB" w:rsidRPr="003278ED" w:rsidRDefault="00D123BB" w:rsidP="007D3A2B">
            <w:pPr>
              <w:spacing w:after="0" w:line="240" w:lineRule="auto"/>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w:t>
            </w:r>
          </w:p>
        </w:tc>
        <w:tc>
          <w:tcPr>
            <w:tcW w:w="1042" w:type="pct"/>
            <w:gridSpan w:val="2"/>
            <w:noWrap/>
            <w:vAlign w:val="center"/>
            <w:hideMark/>
          </w:tcPr>
          <w:p w14:paraId="39916A11" w14:textId="77777777" w:rsidR="00D123BB" w:rsidRPr="003278ED" w:rsidRDefault="00D123BB" w:rsidP="007D3A2B">
            <w:pPr>
              <w:spacing w:after="0" w:line="240" w:lineRule="auto"/>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w:t>
            </w:r>
          </w:p>
        </w:tc>
        <w:tc>
          <w:tcPr>
            <w:tcW w:w="1895" w:type="pct"/>
            <w:gridSpan w:val="4"/>
            <w:noWrap/>
            <w:vAlign w:val="center"/>
            <w:hideMark/>
          </w:tcPr>
          <w:p w14:paraId="1A9ED30A"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mil. lei</w:t>
            </w:r>
          </w:p>
        </w:tc>
        <w:tc>
          <w:tcPr>
            <w:tcW w:w="1845" w:type="pct"/>
            <w:gridSpan w:val="4"/>
            <w:noWrap/>
            <w:vAlign w:val="center"/>
            <w:hideMark/>
          </w:tcPr>
          <w:p w14:paraId="5A12D756"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din PIB</w:t>
            </w:r>
          </w:p>
        </w:tc>
      </w:tr>
      <w:tr w:rsidR="00D123BB" w:rsidRPr="003278ED" w14:paraId="46BC79D5" w14:textId="77777777" w:rsidTr="004C2B11">
        <w:trPr>
          <w:trHeight w:val="251"/>
          <w:tblHeader/>
        </w:trPr>
        <w:tc>
          <w:tcPr>
            <w:tcW w:w="217" w:type="pct"/>
            <w:noWrap/>
            <w:vAlign w:val="bottom"/>
            <w:hideMark/>
          </w:tcPr>
          <w:p w14:paraId="505F2AE7" w14:textId="77777777" w:rsidR="00D123BB" w:rsidRPr="003278ED" w:rsidRDefault="00D123BB" w:rsidP="007D3A2B">
            <w:pPr>
              <w:spacing w:after="0" w:line="240" w:lineRule="auto"/>
              <w:rPr>
                <w:rFonts w:ascii="Times New Roman" w:hAnsi="Times New Roman" w:cs="Times New Roman"/>
                <w:b/>
                <w:color w:val="000000"/>
                <w:sz w:val="14"/>
                <w:szCs w:val="14"/>
              </w:rPr>
            </w:pPr>
          </w:p>
        </w:tc>
        <w:tc>
          <w:tcPr>
            <w:tcW w:w="1042" w:type="pct"/>
            <w:gridSpan w:val="2"/>
            <w:noWrap/>
            <w:vAlign w:val="bottom"/>
            <w:hideMark/>
          </w:tcPr>
          <w:p w14:paraId="6DFDC6A4"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514" w:type="pct"/>
            <w:noWrap/>
            <w:vAlign w:val="center"/>
            <w:hideMark/>
          </w:tcPr>
          <w:p w14:paraId="3BBA82E8" w14:textId="77777777" w:rsidR="00D123BB" w:rsidRPr="003278ED" w:rsidRDefault="00D123BB" w:rsidP="007D3A2B">
            <w:pPr>
              <w:spacing w:after="0" w:line="240" w:lineRule="auto"/>
              <w:jc w:val="center"/>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2024</w:t>
            </w:r>
          </w:p>
        </w:tc>
        <w:tc>
          <w:tcPr>
            <w:tcW w:w="460" w:type="pct"/>
            <w:noWrap/>
            <w:vAlign w:val="center"/>
            <w:hideMark/>
          </w:tcPr>
          <w:p w14:paraId="7D3CC58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2025</w:t>
            </w:r>
          </w:p>
        </w:tc>
        <w:tc>
          <w:tcPr>
            <w:tcW w:w="460" w:type="pct"/>
            <w:noWrap/>
            <w:vAlign w:val="center"/>
            <w:hideMark/>
          </w:tcPr>
          <w:p w14:paraId="1F730F02"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2026</w:t>
            </w:r>
          </w:p>
        </w:tc>
        <w:tc>
          <w:tcPr>
            <w:tcW w:w="461" w:type="pct"/>
            <w:noWrap/>
            <w:vAlign w:val="center"/>
            <w:hideMark/>
          </w:tcPr>
          <w:p w14:paraId="1C138B7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2027</w:t>
            </w:r>
          </w:p>
        </w:tc>
        <w:tc>
          <w:tcPr>
            <w:tcW w:w="464" w:type="pct"/>
            <w:noWrap/>
            <w:vAlign w:val="center"/>
            <w:hideMark/>
          </w:tcPr>
          <w:p w14:paraId="34DAB9A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2024</w:t>
            </w:r>
          </w:p>
        </w:tc>
        <w:tc>
          <w:tcPr>
            <w:tcW w:w="460" w:type="pct"/>
            <w:noWrap/>
            <w:vAlign w:val="center"/>
            <w:hideMark/>
          </w:tcPr>
          <w:p w14:paraId="4611694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2025</w:t>
            </w:r>
          </w:p>
        </w:tc>
        <w:tc>
          <w:tcPr>
            <w:tcW w:w="460" w:type="pct"/>
            <w:noWrap/>
            <w:vAlign w:val="center"/>
            <w:hideMark/>
          </w:tcPr>
          <w:p w14:paraId="25009D5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2026</w:t>
            </w:r>
          </w:p>
        </w:tc>
        <w:tc>
          <w:tcPr>
            <w:tcW w:w="461" w:type="pct"/>
            <w:noWrap/>
            <w:vAlign w:val="center"/>
            <w:hideMark/>
          </w:tcPr>
          <w:p w14:paraId="239FDBB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2027</w:t>
            </w:r>
          </w:p>
        </w:tc>
      </w:tr>
      <w:tr w:rsidR="00D123BB" w:rsidRPr="003278ED" w14:paraId="018385D2" w14:textId="77777777" w:rsidTr="004C2B11">
        <w:trPr>
          <w:trHeight w:val="74"/>
          <w:tblHeader/>
        </w:trPr>
        <w:tc>
          <w:tcPr>
            <w:tcW w:w="217" w:type="pct"/>
            <w:noWrap/>
            <w:vAlign w:val="center"/>
            <w:hideMark/>
          </w:tcPr>
          <w:p w14:paraId="479ABA5E"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w:t>
            </w:r>
          </w:p>
        </w:tc>
        <w:tc>
          <w:tcPr>
            <w:tcW w:w="1042" w:type="pct"/>
            <w:gridSpan w:val="2"/>
            <w:noWrap/>
            <w:vAlign w:val="center"/>
            <w:hideMark/>
          </w:tcPr>
          <w:p w14:paraId="15EC87C3"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w:t>
            </w:r>
          </w:p>
        </w:tc>
        <w:tc>
          <w:tcPr>
            <w:tcW w:w="514" w:type="pct"/>
            <w:noWrap/>
            <w:vAlign w:val="center"/>
            <w:hideMark/>
          </w:tcPr>
          <w:p w14:paraId="2E20EEA0"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xml:space="preserve">Aprobat </w:t>
            </w:r>
          </w:p>
        </w:tc>
        <w:tc>
          <w:tcPr>
            <w:tcW w:w="460" w:type="pct"/>
            <w:noWrap/>
            <w:vAlign w:val="center"/>
            <w:hideMark/>
          </w:tcPr>
          <w:p w14:paraId="406F3F1A"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c>
          <w:tcPr>
            <w:tcW w:w="460" w:type="pct"/>
            <w:noWrap/>
            <w:vAlign w:val="center"/>
            <w:hideMark/>
          </w:tcPr>
          <w:p w14:paraId="06D48D29"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c>
          <w:tcPr>
            <w:tcW w:w="461" w:type="pct"/>
            <w:noWrap/>
            <w:vAlign w:val="center"/>
            <w:hideMark/>
          </w:tcPr>
          <w:p w14:paraId="233800AA"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c>
          <w:tcPr>
            <w:tcW w:w="464" w:type="pct"/>
            <w:noWrap/>
            <w:vAlign w:val="center"/>
            <w:hideMark/>
          </w:tcPr>
          <w:p w14:paraId="367E3806"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 xml:space="preserve">Aprobat </w:t>
            </w:r>
          </w:p>
        </w:tc>
        <w:tc>
          <w:tcPr>
            <w:tcW w:w="460" w:type="pct"/>
            <w:noWrap/>
            <w:vAlign w:val="center"/>
            <w:hideMark/>
          </w:tcPr>
          <w:p w14:paraId="233815D9"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c>
          <w:tcPr>
            <w:tcW w:w="460" w:type="pct"/>
            <w:noWrap/>
            <w:vAlign w:val="center"/>
            <w:hideMark/>
          </w:tcPr>
          <w:p w14:paraId="39AAED3D"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c>
          <w:tcPr>
            <w:tcW w:w="461" w:type="pct"/>
            <w:noWrap/>
            <w:vAlign w:val="center"/>
            <w:hideMark/>
          </w:tcPr>
          <w:p w14:paraId="6D5C1AF8" w14:textId="77777777" w:rsidR="00D123BB" w:rsidRPr="003278ED" w:rsidRDefault="00D123BB" w:rsidP="007D3A2B">
            <w:pPr>
              <w:spacing w:after="0" w:line="240" w:lineRule="auto"/>
              <w:jc w:val="center"/>
              <w:rPr>
                <w:rFonts w:ascii="Times New Roman" w:hAnsi="Times New Roman" w:cs="Times New Roman"/>
                <w:b/>
                <w:color w:val="000000"/>
                <w:sz w:val="14"/>
                <w:szCs w:val="14"/>
              </w:rPr>
            </w:pPr>
            <w:r w:rsidRPr="003278ED">
              <w:rPr>
                <w:rFonts w:ascii="Times New Roman" w:hAnsi="Times New Roman" w:cs="Times New Roman"/>
                <w:b/>
                <w:color w:val="000000"/>
                <w:sz w:val="14"/>
                <w:szCs w:val="14"/>
              </w:rPr>
              <w:t>Prognozat</w:t>
            </w:r>
          </w:p>
        </w:tc>
      </w:tr>
      <w:tr w:rsidR="00D123BB" w:rsidRPr="003278ED" w14:paraId="0300A407" w14:textId="77777777" w:rsidTr="004C2B11">
        <w:trPr>
          <w:trHeight w:val="415"/>
        </w:trPr>
        <w:tc>
          <w:tcPr>
            <w:tcW w:w="1259" w:type="pct"/>
            <w:gridSpan w:val="3"/>
            <w:noWrap/>
            <w:vAlign w:val="center"/>
            <w:hideMark/>
          </w:tcPr>
          <w:p w14:paraId="2DB18828" w14:textId="77777777" w:rsidR="00D123BB" w:rsidRPr="003278ED" w:rsidRDefault="00D123BB" w:rsidP="007D3A2B">
            <w:pPr>
              <w:spacing w:after="0" w:line="240" w:lineRule="auto"/>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Total venituri BPN</w:t>
            </w:r>
          </w:p>
        </w:tc>
        <w:tc>
          <w:tcPr>
            <w:tcW w:w="514" w:type="pct"/>
            <w:noWrap/>
            <w:vAlign w:val="center"/>
            <w:hideMark/>
          </w:tcPr>
          <w:p w14:paraId="0EC1293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107 172</w:t>
            </w:r>
          </w:p>
        </w:tc>
        <w:tc>
          <w:tcPr>
            <w:tcW w:w="460" w:type="pct"/>
            <w:noWrap/>
            <w:vAlign w:val="center"/>
            <w:hideMark/>
          </w:tcPr>
          <w:p w14:paraId="235721A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115 867</w:t>
            </w:r>
          </w:p>
        </w:tc>
        <w:tc>
          <w:tcPr>
            <w:tcW w:w="460" w:type="pct"/>
            <w:noWrap/>
            <w:vAlign w:val="center"/>
            <w:hideMark/>
          </w:tcPr>
          <w:p w14:paraId="60B2A66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124 474</w:t>
            </w:r>
          </w:p>
        </w:tc>
        <w:tc>
          <w:tcPr>
            <w:tcW w:w="461" w:type="pct"/>
            <w:noWrap/>
            <w:vAlign w:val="center"/>
            <w:hideMark/>
          </w:tcPr>
          <w:p w14:paraId="40A6650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135 855</w:t>
            </w:r>
          </w:p>
        </w:tc>
        <w:tc>
          <w:tcPr>
            <w:tcW w:w="464" w:type="pct"/>
            <w:noWrap/>
            <w:vAlign w:val="center"/>
            <w:hideMark/>
          </w:tcPr>
          <w:p w14:paraId="4A7E376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31,3%</w:t>
            </w:r>
          </w:p>
        </w:tc>
        <w:tc>
          <w:tcPr>
            <w:tcW w:w="460" w:type="pct"/>
            <w:noWrap/>
            <w:vAlign w:val="center"/>
            <w:hideMark/>
          </w:tcPr>
          <w:p w14:paraId="672021F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32,3%</w:t>
            </w:r>
          </w:p>
        </w:tc>
        <w:tc>
          <w:tcPr>
            <w:tcW w:w="460" w:type="pct"/>
            <w:noWrap/>
            <w:vAlign w:val="center"/>
            <w:hideMark/>
          </w:tcPr>
          <w:p w14:paraId="56C2E4E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31,7%</w:t>
            </w:r>
          </w:p>
        </w:tc>
        <w:tc>
          <w:tcPr>
            <w:tcW w:w="461" w:type="pct"/>
            <w:noWrap/>
            <w:vAlign w:val="center"/>
            <w:hideMark/>
          </w:tcPr>
          <w:p w14:paraId="0DD36CC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31,7%</w:t>
            </w:r>
          </w:p>
        </w:tc>
      </w:tr>
      <w:tr w:rsidR="00D123BB" w:rsidRPr="003278ED" w14:paraId="5DA35CCD" w14:textId="77777777" w:rsidTr="004C2B11">
        <w:trPr>
          <w:trHeight w:val="251"/>
        </w:trPr>
        <w:tc>
          <w:tcPr>
            <w:tcW w:w="217" w:type="pct"/>
            <w:noWrap/>
            <w:vAlign w:val="bottom"/>
            <w:hideMark/>
          </w:tcPr>
          <w:p w14:paraId="4AA14795"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2843EAF6"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Bugetul de stat</w:t>
            </w:r>
            <w:r w:rsidRPr="003278ED">
              <w:rPr>
                <w:rFonts w:ascii="Times New Roman" w:hAnsi="Times New Roman" w:cs="Times New Roman"/>
                <w:i/>
                <w:iCs/>
                <w:color w:val="000000"/>
                <w:sz w:val="14"/>
                <w:szCs w:val="14"/>
              </w:rPr>
              <w:t xml:space="preserve">   </w:t>
            </w:r>
          </w:p>
        </w:tc>
        <w:tc>
          <w:tcPr>
            <w:tcW w:w="514" w:type="pct"/>
            <w:noWrap/>
            <w:vAlign w:val="center"/>
            <w:hideMark/>
          </w:tcPr>
          <w:p w14:paraId="5099A2F4"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
                <w:bCs/>
                <w:color w:val="000000"/>
                <w:sz w:val="14"/>
                <w:szCs w:val="14"/>
              </w:rPr>
              <w:t>66 632</w:t>
            </w:r>
          </w:p>
        </w:tc>
        <w:tc>
          <w:tcPr>
            <w:tcW w:w="460" w:type="pct"/>
            <w:noWrap/>
            <w:vAlign w:val="center"/>
            <w:hideMark/>
          </w:tcPr>
          <w:p w14:paraId="310D3E56"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
                <w:bCs/>
                <w:color w:val="000000"/>
                <w:sz w:val="14"/>
                <w:szCs w:val="14"/>
              </w:rPr>
              <w:t>70 581</w:t>
            </w:r>
          </w:p>
        </w:tc>
        <w:tc>
          <w:tcPr>
            <w:tcW w:w="460" w:type="pct"/>
            <w:noWrap/>
            <w:vAlign w:val="center"/>
            <w:hideMark/>
          </w:tcPr>
          <w:p w14:paraId="641D3EF5"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
                <w:bCs/>
                <w:color w:val="000000"/>
                <w:sz w:val="14"/>
                <w:szCs w:val="14"/>
              </w:rPr>
              <w:t>75 043</w:t>
            </w:r>
          </w:p>
        </w:tc>
        <w:tc>
          <w:tcPr>
            <w:tcW w:w="461" w:type="pct"/>
            <w:noWrap/>
            <w:vAlign w:val="center"/>
            <w:hideMark/>
          </w:tcPr>
          <w:p w14:paraId="5105356A" w14:textId="424CE7F1" w:rsidR="00D123BB" w:rsidRPr="003278ED" w:rsidRDefault="008D3CA9"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
                <w:bCs/>
                <w:color w:val="000000"/>
                <w:sz w:val="14"/>
                <w:szCs w:val="14"/>
              </w:rPr>
              <w:t>82</w:t>
            </w:r>
            <w:r w:rsidR="00D123BB" w:rsidRPr="003278ED">
              <w:rPr>
                <w:rFonts w:ascii="Times New Roman" w:hAnsi="Times New Roman" w:cs="Times New Roman"/>
                <w:b/>
                <w:bCs/>
                <w:color w:val="000000"/>
                <w:sz w:val="14"/>
                <w:szCs w:val="14"/>
              </w:rPr>
              <w:t xml:space="preserve"> 069</w:t>
            </w:r>
          </w:p>
        </w:tc>
        <w:tc>
          <w:tcPr>
            <w:tcW w:w="464" w:type="pct"/>
            <w:noWrap/>
            <w:vAlign w:val="center"/>
            <w:hideMark/>
          </w:tcPr>
          <w:p w14:paraId="4FDEF96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19,5%</w:t>
            </w:r>
          </w:p>
        </w:tc>
        <w:tc>
          <w:tcPr>
            <w:tcW w:w="460" w:type="pct"/>
            <w:noWrap/>
            <w:vAlign w:val="center"/>
            <w:hideMark/>
          </w:tcPr>
          <w:p w14:paraId="3811B7D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19,7%</w:t>
            </w:r>
          </w:p>
        </w:tc>
        <w:tc>
          <w:tcPr>
            <w:tcW w:w="460" w:type="pct"/>
            <w:noWrap/>
            <w:vAlign w:val="center"/>
            <w:hideMark/>
          </w:tcPr>
          <w:p w14:paraId="1AC7408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19,1%</w:t>
            </w:r>
          </w:p>
        </w:tc>
        <w:tc>
          <w:tcPr>
            <w:tcW w:w="461" w:type="pct"/>
            <w:noWrap/>
            <w:vAlign w:val="center"/>
            <w:hideMark/>
          </w:tcPr>
          <w:p w14:paraId="69041B9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19,1%</w:t>
            </w:r>
          </w:p>
        </w:tc>
      </w:tr>
      <w:tr w:rsidR="00D123BB" w:rsidRPr="003278ED" w14:paraId="1C694FFC" w14:textId="77777777" w:rsidTr="004C2B11">
        <w:trPr>
          <w:trHeight w:val="251"/>
        </w:trPr>
        <w:tc>
          <w:tcPr>
            <w:tcW w:w="217" w:type="pct"/>
            <w:noWrap/>
            <w:vAlign w:val="bottom"/>
          </w:tcPr>
          <w:p w14:paraId="5F2C025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p>
        </w:tc>
        <w:tc>
          <w:tcPr>
            <w:tcW w:w="1042" w:type="pct"/>
            <w:gridSpan w:val="2"/>
            <w:noWrap/>
            <w:vAlign w:val="center"/>
            <w:hideMark/>
          </w:tcPr>
          <w:p w14:paraId="36634DC0" w14:textId="77777777" w:rsidR="00D123BB" w:rsidRPr="003278ED" w:rsidRDefault="00D123BB" w:rsidP="007D3A2B">
            <w:pPr>
              <w:spacing w:after="0" w:line="240" w:lineRule="auto"/>
              <w:rPr>
                <w:rFonts w:ascii="Times New Roman" w:hAnsi="Times New Roman" w:cs="Times New Roman"/>
                <w:b/>
                <w:bCs/>
                <w:color w:val="000000"/>
                <w:sz w:val="14"/>
                <w:szCs w:val="14"/>
              </w:rPr>
            </w:pPr>
            <w:r w:rsidRPr="003278ED">
              <w:rPr>
                <w:rFonts w:ascii="Times New Roman" w:hAnsi="Times New Roman" w:cs="Times New Roman"/>
                <w:i/>
                <w:iCs/>
                <w:color w:val="000000"/>
                <w:sz w:val="14"/>
                <w:szCs w:val="14"/>
              </w:rPr>
              <w:t>inclusiv transferuri</w:t>
            </w:r>
          </w:p>
        </w:tc>
        <w:tc>
          <w:tcPr>
            <w:tcW w:w="514" w:type="pct"/>
            <w:noWrap/>
            <w:vAlign w:val="center"/>
            <w:hideMark/>
          </w:tcPr>
          <w:p w14:paraId="1AAA9FC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Cs/>
                <w:i/>
                <w:color w:val="000000"/>
                <w:sz w:val="14"/>
                <w:szCs w:val="14"/>
              </w:rPr>
              <w:t>19</w:t>
            </w:r>
          </w:p>
        </w:tc>
        <w:tc>
          <w:tcPr>
            <w:tcW w:w="460" w:type="pct"/>
            <w:noWrap/>
            <w:vAlign w:val="center"/>
            <w:hideMark/>
          </w:tcPr>
          <w:p w14:paraId="1EC09E1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Cs/>
                <w:i/>
                <w:color w:val="000000"/>
                <w:sz w:val="14"/>
                <w:szCs w:val="14"/>
              </w:rPr>
              <w:t>26</w:t>
            </w:r>
          </w:p>
        </w:tc>
        <w:tc>
          <w:tcPr>
            <w:tcW w:w="460" w:type="pct"/>
            <w:noWrap/>
            <w:vAlign w:val="center"/>
            <w:hideMark/>
          </w:tcPr>
          <w:p w14:paraId="5E7E8BEF"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Cs/>
                <w:i/>
                <w:color w:val="000000"/>
                <w:sz w:val="14"/>
                <w:szCs w:val="14"/>
              </w:rPr>
              <w:t>14</w:t>
            </w:r>
          </w:p>
        </w:tc>
        <w:tc>
          <w:tcPr>
            <w:tcW w:w="461" w:type="pct"/>
            <w:noWrap/>
            <w:vAlign w:val="center"/>
            <w:hideMark/>
          </w:tcPr>
          <w:p w14:paraId="37CB4204"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Cs/>
                <w:i/>
                <w:color w:val="000000"/>
                <w:sz w:val="14"/>
                <w:szCs w:val="14"/>
              </w:rPr>
              <w:t>56</w:t>
            </w:r>
          </w:p>
        </w:tc>
        <w:tc>
          <w:tcPr>
            <w:tcW w:w="464" w:type="pct"/>
            <w:noWrap/>
            <w:vAlign w:val="center"/>
          </w:tcPr>
          <w:p w14:paraId="0BB0666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p>
        </w:tc>
        <w:tc>
          <w:tcPr>
            <w:tcW w:w="460" w:type="pct"/>
            <w:noWrap/>
            <w:vAlign w:val="center"/>
          </w:tcPr>
          <w:p w14:paraId="095533D2"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p>
        </w:tc>
        <w:tc>
          <w:tcPr>
            <w:tcW w:w="460" w:type="pct"/>
            <w:noWrap/>
            <w:vAlign w:val="center"/>
          </w:tcPr>
          <w:p w14:paraId="24B1ADD2"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p>
        </w:tc>
        <w:tc>
          <w:tcPr>
            <w:tcW w:w="461" w:type="pct"/>
            <w:noWrap/>
            <w:vAlign w:val="center"/>
          </w:tcPr>
          <w:p w14:paraId="4F66236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p>
        </w:tc>
      </w:tr>
      <w:tr w:rsidR="00D123BB" w:rsidRPr="003278ED" w14:paraId="0BEB9F87" w14:textId="77777777" w:rsidTr="004C2B11">
        <w:trPr>
          <w:trHeight w:val="251"/>
        </w:trPr>
        <w:tc>
          <w:tcPr>
            <w:tcW w:w="217" w:type="pct"/>
            <w:noWrap/>
            <w:vAlign w:val="center"/>
            <w:hideMark/>
          </w:tcPr>
          <w:p w14:paraId="0F2E2C0D"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795C965B"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Bugetele locale</w:t>
            </w:r>
          </w:p>
        </w:tc>
        <w:tc>
          <w:tcPr>
            <w:tcW w:w="514" w:type="pct"/>
            <w:noWrap/>
            <w:vAlign w:val="center"/>
            <w:hideMark/>
          </w:tcPr>
          <w:p w14:paraId="700124A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25 724</w:t>
            </w:r>
          </w:p>
        </w:tc>
        <w:tc>
          <w:tcPr>
            <w:tcW w:w="460" w:type="pct"/>
            <w:noWrap/>
            <w:vAlign w:val="center"/>
            <w:hideMark/>
          </w:tcPr>
          <w:p w14:paraId="76E7333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27 669</w:t>
            </w:r>
          </w:p>
        </w:tc>
        <w:tc>
          <w:tcPr>
            <w:tcW w:w="460" w:type="pct"/>
            <w:noWrap/>
            <w:vAlign w:val="center"/>
            <w:hideMark/>
          </w:tcPr>
          <w:p w14:paraId="1EA3BEA3"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28 514</w:t>
            </w:r>
          </w:p>
        </w:tc>
        <w:tc>
          <w:tcPr>
            <w:tcW w:w="461" w:type="pct"/>
            <w:noWrap/>
            <w:vAlign w:val="center"/>
            <w:hideMark/>
          </w:tcPr>
          <w:p w14:paraId="0AD532F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29 392</w:t>
            </w:r>
          </w:p>
        </w:tc>
        <w:tc>
          <w:tcPr>
            <w:tcW w:w="464" w:type="pct"/>
            <w:noWrap/>
            <w:vAlign w:val="center"/>
            <w:hideMark/>
          </w:tcPr>
          <w:p w14:paraId="301190C4"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7,5%</w:t>
            </w:r>
          </w:p>
        </w:tc>
        <w:tc>
          <w:tcPr>
            <w:tcW w:w="460" w:type="pct"/>
            <w:noWrap/>
            <w:vAlign w:val="center"/>
            <w:hideMark/>
          </w:tcPr>
          <w:p w14:paraId="2CEB70E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7,7%</w:t>
            </w:r>
          </w:p>
        </w:tc>
        <w:tc>
          <w:tcPr>
            <w:tcW w:w="460" w:type="pct"/>
            <w:noWrap/>
            <w:vAlign w:val="center"/>
            <w:hideMark/>
          </w:tcPr>
          <w:p w14:paraId="5F57A64F"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7,3%</w:t>
            </w:r>
          </w:p>
        </w:tc>
        <w:tc>
          <w:tcPr>
            <w:tcW w:w="461" w:type="pct"/>
            <w:noWrap/>
            <w:vAlign w:val="center"/>
            <w:hideMark/>
          </w:tcPr>
          <w:p w14:paraId="409414B8"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6,8%</w:t>
            </w:r>
          </w:p>
        </w:tc>
      </w:tr>
      <w:tr w:rsidR="00D123BB" w:rsidRPr="003278ED" w14:paraId="0064BC45" w14:textId="77777777" w:rsidTr="004C2B11">
        <w:trPr>
          <w:trHeight w:val="251"/>
        </w:trPr>
        <w:tc>
          <w:tcPr>
            <w:tcW w:w="217" w:type="pct"/>
            <w:noWrap/>
            <w:vAlign w:val="center"/>
            <w:hideMark/>
          </w:tcPr>
          <w:p w14:paraId="6953B8DC"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4BE7C050" w14:textId="77777777" w:rsidR="00D123BB" w:rsidRPr="003278ED" w:rsidRDefault="00D123BB" w:rsidP="002D4DD0">
            <w:pPr>
              <w:spacing w:after="0" w:line="240" w:lineRule="auto"/>
              <w:rPr>
                <w:rFonts w:ascii="Times New Roman" w:eastAsia="Times New Roman" w:hAnsi="Times New Roman" w:cs="Times New Roman"/>
                <w:i/>
                <w:iCs/>
                <w:color w:val="000000"/>
                <w:sz w:val="14"/>
                <w:szCs w:val="14"/>
              </w:rPr>
            </w:pPr>
            <w:r w:rsidRPr="003278ED">
              <w:rPr>
                <w:rFonts w:ascii="Times New Roman" w:hAnsi="Times New Roman" w:cs="Times New Roman"/>
                <w:i/>
                <w:iCs/>
                <w:color w:val="000000"/>
                <w:sz w:val="14"/>
                <w:szCs w:val="14"/>
              </w:rPr>
              <w:t>inclusiv transferuri</w:t>
            </w:r>
          </w:p>
        </w:tc>
        <w:tc>
          <w:tcPr>
            <w:tcW w:w="514" w:type="pct"/>
            <w:noWrap/>
            <w:vAlign w:val="center"/>
            <w:hideMark/>
          </w:tcPr>
          <w:p w14:paraId="14C9A896"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17 903</w:t>
            </w:r>
          </w:p>
        </w:tc>
        <w:tc>
          <w:tcPr>
            <w:tcW w:w="460" w:type="pct"/>
            <w:noWrap/>
            <w:vAlign w:val="center"/>
            <w:hideMark/>
          </w:tcPr>
          <w:p w14:paraId="17554F1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19 031</w:t>
            </w:r>
          </w:p>
        </w:tc>
        <w:tc>
          <w:tcPr>
            <w:tcW w:w="460" w:type="pct"/>
            <w:noWrap/>
            <w:vAlign w:val="center"/>
            <w:hideMark/>
          </w:tcPr>
          <w:p w14:paraId="3EC73171"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19 285</w:t>
            </w:r>
          </w:p>
        </w:tc>
        <w:tc>
          <w:tcPr>
            <w:tcW w:w="461" w:type="pct"/>
            <w:noWrap/>
            <w:vAlign w:val="center"/>
            <w:hideMark/>
          </w:tcPr>
          <w:p w14:paraId="7AC095F6"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19 513</w:t>
            </w:r>
          </w:p>
        </w:tc>
        <w:tc>
          <w:tcPr>
            <w:tcW w:w="464" w:type="pct"/>
            <w:noWrap/>
            <w:vAlign w:val="center"/>
            <w:hideMark/>
          </w:tcPr>
          <w:p w14:paraId="4945FD5F"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5,2%</w:t>
            </w:r>
          </w:p>
        </w:tc>
        <w:tc>
          <w:tcPr>
            <w:tcW w:w="460" w:type="pct"/>
            <w:noWrap/>
            <w:vAlign w:val="center"/>
            <w:hideMark/>
          </w:tcPr>
          <w:p w14:paraId="1D15FADC"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5,3%</w:t>
            </w:r>
          </w:p>
        </w:tc>
        <w:tc>
          <w:tcPr>
            <w:tcW w:w="460" w:type="pct"/>
            <w:noWrap/>
            <w:vAlign w:val="center"/>
            <w:hideMark/>
          </w:tcPr>
          <w:p w14:paraId="6F457920"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4,9%</w:t>
            </w:r>
          </w:p>
        </w:tc>
        <w:tc>
          <w:tcPr>
            <w:tcW w:w="461" w:type="pct"/>
            <w:noWrap/>
            <w:vAlign w:val="center"/>
            <w:hideMark/>
          </w:tcPr>
          <w:p w14:paraId="5744AB19"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4,5%</w:t>
            </w:r>
          </w:p>
        </w:tc>
      </w:tr>
      <w:tr w:rsidR="00D123BB" w:rsidRPr="003278ED" w14:paraId="713D4931" w14:textId="77777777" w:rsidTr="004C2B11">
        <w:trPr>
          <w:trHeight w:val="251"/>
        </w:trPr>
        <w:tc>
          <w:tcPr>
            <w:tcW w:w="217" w:type="pct"/>
            <w:noWrap/>
            <w:vAlign w:val="center"/>
            <w:hideMark/>
          </w:tcPr>
          <w:p w14:paraId="339762E8" w14:textId="77777777" w:rsidR="00D123BB" w:rsidRPr="003278ED" w:rsidRDefault="00D123BB" w:rsidP="007D3A2B">
            <w:pPr>
              <w:spacing w:after="0" w:line="240" w:lineRule="auto"/>
              <w:rPr>
                <w:rFonts w:ascii="Times New Roman" w:hAnsi="Times New Roman" w:cs="Times New Roman"/>
                <w:i/>
                <w:iCs/>
                <w:color w:val="000000"/>
                <w:sz w:val="14"/>
                <w:szCs w:val="14"/>
              </w:rPr>
            </w:pPr>
          </w:p>
        </w:tc>
        <w:tc>
          <w:tcPr>
            <w:tcW w:w="1042" w:type="pct"/>
            <w:gridSpan w:val="2"/>
            <w:noWrap/>
            <w:vAlign w:val="center"/>
            <w:hideMark/>
          </w:tcPr>
          <w:p w14:paraId="51BA2ED4"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BASS</w:t>
            </w:r>
          </w:p>
        </w:tc>
        <w:tc>
          <w:tcPr>
            <w:tcW w:w="514" w:type="pct"/>
            <w:noWrap/>
            <w:vAlign w:val="center"/>
            <w:hideMark/>
          </w:tcPr>
          <w:p w14:paraId="6EA36D5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42 804</w:t>
            </w:r>
          </w:p>
        </w:tc>
        <w:tc>
          <w:tcPr>
            <w:tcW w:w="460" w:type="pct"/>
            <w:noWrap/>
            <w:vAlign w:val="center"/>
            <w:hideMark/>
          </w:tcPr>
          <w:p w14:paraId="0EA71CF2"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46 326</w:t>
            </w:r>
          </w:p>
        </w:tc>
        <w:tc>
          <w:tcPr>
            <w:tcW w:w="460" w:type="pct"/>
            <w:noWrap/>
            <w:vAlign w:val="center"/>
            <w:hideMark/>
          </w:tcPr>
          <w:p w14:paraId="3C0E1E2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49 182</w:t>
            </w:r>
          </w:p>
        </w:tc>
        <w:tc>
          <w:tcPr>
            <w:tcW w:w="461" w:type="pct"/>
            <w:noWrap/>
            <w:vAlign w:val="center"/>
            <w:hideMark/>
          </w:tcPr>
          <w:p w14:paraId="04A74E0F"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52 374</w:t>
            </w:r>
          </w:p>
        </w:tc>
        <w:tc>
          <w:tcPr>
            <w:tcW w:w="464" w:type="pct"/>
            <w:noWrap/>
            <w:vAlign w:val="center"/>
            <w:hideMark/>
          </w:tcPr>
          <w:p w14:paraId="216A360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12,5%</w:t>
            </w:r>
          </w:p>
        </w:tc>
        <w:tc>
          <w:tcPr>
            <w:tcW w:w="460" w:type="pct"/>
            <w:noWrap/>
            <w:vAlign w:val="center"/>
            <w:hideMark/>
          </w:tcPr>
          <w:p w14:paraId="02A81E5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12,9%</w:t>
            </w:r>
          </w:p>
        </w:tc>
        <w:tc>
          <w:tcPr>
            <w:tcW w:w="460" w:type="pct"/>
            <w:noWrap/>
            <w:vAlign w:val="center"/>
            <w:hideMark/>
          </w:tcPr>
          <w:p w14:paraId="06A18B83"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12,5%</w:t>
            </w:r>
          </w:p>
        </w:tc>
        <w:tc>
          <w:tcPr>
            <w:tcW w:w="461" w:type="pct"/>
            <w:noWrap/>
            <w:vAlign w:val="center"/>
            <w:hideMark/>
          </w:tcPr>
          <w:p w14:paraId="7E71DD2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12,2%</w:t>
            </w:r>
          </w:p>
        </w:tc>
      </w:tr>
      <w:tr w:rsidR="00D123BB" w:rsidRPr="003278ED" w14:paraId="0AD1CD5C" w14:textId="77777777" w:rsidTr="004C2B11">
        <w:trPr>
          <w:trHeight w:val="251"/>
        </w:trPr>
        <w:tc>
          <w:tcPr>
            <w:tcW w:w="217" w:type="pct"/>
            <w:noWrap/>
            <w:vAlign w:val="center"/>
            <w:hideMark/>
          </w:tcPr>
          <w:p w14:paraId="572DC46D"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11D56B88" w14:textId="77777777" w:rsidR="00D123BB" w:rsidRPr="003278ED" w:rsidRDefault="00D123BB" w:rsidP="002D4DD0">
            <w:pPr>
              <w:spacing w:after="0" w:line="240" w:lineRule="auto"/>
              <w:rPr>
                <w:rFonts w:ascii="Times New Roman" w:eastAsia="Times New Roman" w:hAnsi="Times New Roman" w:cs="Times New Roman"/>
                <w:i/>
                <w:iCs/>
                <w:color w:val="000000"/>
                <w:sz w:val="14"/>
                <w:szCs w:val="14"/>
              </w:rPr>
            </w:pPr>
            <w:r w:rsidRPr="003278ED">
              <w:rPr>
                <w:rFonts w:ascii="Times New Roman" w:hAnsi="Times New Roman" w:cs="Times New Roman"/>
                <w:i/>
                <w:iCs/>
                <w:color w:val="000000"/>
                <w:sz w:val="14"/>
                <w:szCs w:val="14"/>
              </w:rPr>
              <w:t>inclusiv transferuri</w:t>
            </w:r>
          </w:p>
        </w:tc>
        <w:tc>
          <w:tcPr>
            <w:tcW w:w="514" w:type="pct"/>
            <w:noWrap/>
            <w:vAlign w:val="center"/>
            <w:hideMark/>
          </w:tcPr>
          <w:p w14:paraId="438B0364"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18 487</w:t>
            </w:r>
          </w:p>
        </w:tc>
        <w:tc>
          <w:tcPr>
            <w:tcW w:w="460" w:type="pct"/>
            <w:noWrap/>
            <w:vAlign w:val="center"/>
            <w:hideMark/>
          </w:tcPr>
          <w:p w14:paraId="470DFC01"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19 147</w:t>
            </w:r>
          </w:p>
        </w:tc>
        <w:tc>
          <w:tcPr>
            <w:tcW w:w="460" w:type="pct"/>
            <w:noWrap/>
            <w:vAlign w:val="center"/>
            <w:hideMark/>
          </w:tcPr>
          <w:p w14:paraId="7E8982AF"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19 364</w:t>
            </w:r>
          </w:p>
        </w:tc>
        <w:tc>
          <w:tcPr>
            <w:tcW w:w="461" w:type="pct"/>
            <w:noWrap/>
            <w:vAlign w:val="center"/>
            <w:hideMark/>
          </w:tcPr>
          <w:p w14:paraId="7C6768FC"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19 753</w:t>
            </w:r>
          </w:p>
        </w:tc>
        <w:tc>
          <w:tcPr>
            <w:tcW w:w="464" w:type="pct"/>
            <w:noWrap/>
            <w:vAlign w:val="center"/>
            <w:hideMark/>
          </w:tcPr>
          <w:p w14:paraId="26337DAA"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5,4%</w:t>
            </w:r>
          </w:p>
        </w:tc>
        <w:tc>
          <w:tcPr>
            <w:tcW w:w="460" w:type="pct"/>
            <w:noWrap/>
            <w:vAlign w:val="center"/>
            <w:hideMark/>
          </w:tcPr>
          <w:p w14:paraId="2068AED0"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5,3%</w:t>
            </w:r>
          </w:p>
        </w:tc>
        <w:tc>
          <w:tcPr>
            <w:tcW w:w="460" w:type="pct"/>
            <w:noWrap/>
            <w:vAlign w:val="center"/>
            <w:hideMark/>
          </w:tcPr>
          <w:p w14:paraId="6B07230C"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4,9%</w:t>
            </w:r>
          </w:p>
        </w:tc>
        <w:tc>
          <w:tcPr>
            <w:tcW w:w="461" w:type="pct"/>
            <w:noWrap/>
            <w:vAlign w:val="center"/>
            <w:hideMark/>
          </w:tcPr>
          <w:p w14:paraId="0BD87A20"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4,6%</w:t>
            </w:r>
          </w:p>
        </w:tc>
      </w:tr>
      <w:tr w:rsidR="00D123BB" w:rsidRPr="003278ED" w14:paraId="335658B0" w14:textId="77777777" w:rsidTr="004C2B11">
        <w:trPr>
          <w:trHeight w:val="251"/>
        </w:trPr>
        <w:tc>
          <w:tcPr>
            <w:tcW w:w="217" w:type="pct"/>
            <w:noWrap/>
            <w:vAlign w:val="center"/>
          </w:tcPr>
          <w:p w14:paraId="2DBFEA96"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tcPr>
          <w:p w14:paraId="36973DC1" w14:textId="77777777" w:rsidR="00D123BB" w:rsidRPr="003278ED" w:rsidRDefault="00D123BB" w:rsidP="007D3A2B">
            <w:pPr>
              <w:spacing w:after="0" w:line="240" w:lineRule="auto"/>
              <w:jc w:val="right"/>
              <w:rPr>
                <w:rFonts w:ascii="Times New Roman" w:hAnsi="Times New Roman" w:cs="Times New Roman"/>
                <w:i/>
                <w:iCs/>
                <w:color w:val="000000"/>
                <w:sz w:val="14"/>
                <w:szCs w:val="16"/>
              </w:rPr>
            </w:pPr>
            <w:r w:rsidRPr="003278ED">
              <w:rPr>
                <w:rFonts w:ascii="Times New Roman" w:hAnsi="Times New Roman" w:cs="Times New Roman"/>
                <w:i/>
                <w:iCs/>
                <w:color w:val="000000"/>
                <w:sz w:val="14"/>
                <w:szCs w:val="16"/>
              </w:rPr>
              <w:t xml:space="preserve">dintre care pentru acoperirea </w:t>
            </w:r>
          </w:p>
          <w:p w14:paraId="6328F6F8" w14:textId="77777777" w:rsidR="00D123BB" w:rsidRPr="003278ED" w:rsidRDefault="00D123BB" w:rsidP="002D4DD0">
            <w:pPr>
              <w:spacing w:after="0" w:line="240" w:lineRule="auto"/>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6"/>
              </w:rPr>
              <w:t>deficitului BASS</w:t>
            </w:r>
          </w:p>
        </w:tc>
        <w:tc>
          <w:tcPr>
            <w:tcW w:w="514" w:type="pct"/>
            <w:noWrap/>
            <w:vAlign w:val="center"/>
          </w:tcPr>
          <w:p w14:paraId="35976A7A"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6 579</w:t>
            </w:r>
          </w:p>
        </w:tc>
        <w:tc>
          <w:tcPr>
            <w:tcW w:w="460" w:type="pct"/>
            <w:noWrap/>
            <w:vAlign w:val="center"/>
          </w:tcPr>
          <w:p w14:paraId="0CDC90C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5 632</w:t>
            </w:r>
          </w:p>
        </w:tc>
        <w:tc>
          <w:tcPr>
            <w:tcW w:w="460" w:type="pct"/>
            <w:noWrap/>
            <w:vAlign w:val="center"/>
          </w:tcPr>
          <w:p w14:paraId="04AA0C11" w14:textId="17BB8D6D" w:rsidR="00D123BB" w:rsidRPr="003278ED" w:rsidRDefault="001F2718"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w:t>
            </w:r>
            <w:r w:rsidR="00D123BB" w:rsidRPr="003278ED">
              <w:rPr>
                <w:rFonts w:ascii="Times New Roman" w:hAnsi="Times New Roman" w:cs="Times New Roman"/>
                <w:i/>
                <w:iCs/>
                <w:color w:val="000000"/>
                <w:sz w:val="14"/>
                <w:szCs w:val="14"/>
              </w:rPr>
              <w:t xml:space="preserve"> 293</w:t>
            </w:r>
          </w:p>
        </w:tc>
        <w:tc>
          <w:tcPr>
            <w:tcW w:w="461" w:type="pct"/>
            <w:noWrap/>
            <w:vAlign w:val="center"/>
          </w:tcPr>
          <w:p w14:paraId="0A9D9463"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5 094</w:t>
            </w:r>
          </w:p>
        </w:tc>
        <w:tc>
          <w:tcPr>
            <w:tcW w:w="464" w:type="pct"/>
            <w:noWrap/>
            <w:vAlign w:val="center"/>
          </w:tcPr>
          <w:p w14:paraId="5A5253E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w:t>
            </w:r>
          </w:p>
        </w:tc>
        <w:tc>
          <w:tcPr>
            <w:tcW w:w="460" w:type="pct"/>
            <w:noWrap/>
            <w:vAlign w:val="center"/>
          </w:tcPr>
          <w:p w14:paraId="2368EE9A"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1,6%</w:t>
            </w:r>
          </w:p>
        </w:tc>
        <w:tc>
          <w:tcPr>
            <w:tcW w:w="460" w:type="pct"/>
            <w:noWrap/>
            <w:vAlign w:val="center"/>
          </w:tcPr>
          <w:p w14:paraId="0B965A3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1,3%</w:t>
            </w:r>
          </w:p>
        </w:tc>
        <w:tc>
          <w:tcPr>
            <w:tcW w:w="461" w:type="pct"/>
            <w:noWrap/>
            <w:vAlign w:val="center"/>
          </w:tcPr>
          <w:p w14:paraId="220EF83F"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1,2%</w:t>
            </w:r>
          </w:p>
        </w:tc>
      </w:tr>
      <w:tr w:rsidR="00D123BB" w:rsidRPr="003278ED" w14:paraId="52F20161" w14:textId="77777777" w:rsidTr="004C2B11">
        <w:trPr>
          <w:trHeight w:val="251"/>
        </w:trPr>
        <w:tc>
          <w:tcPr>
            <w:tcW w:w="217" w:type="pct"/>
            <w:noWrap/>
            <w:vAlign w:val="center"/>
            <w:hideMark/>
          </w:tcPr>
          <w:p w14:paraId="12951C93" w14:textId="77777777" w:rsidR="00D123BB" w:rsidRPr="003278ED" w:rsidRDefault="00D123BB" w:rsidP="007D3A2B">
            <w:pPr>
              <w:spacing w:after="0" w:line="240" w:lineRule="auto"/>
              <w:rPr>
                <w:rFonts w:ascii="Times New Roman" w:hAnsi="Times New Roman" w:cs="Times New Roman"/>
                <w:i/>
                <w:iCs/>
                <w:color w:val="000000"/>
                <w:sz w:val="14"/>
                <w:szCs w:val="14"/>
              </w:rPr>
            </w:pPr>
          </w:p>
        </w:tc>
        <w:tc>
          <w:tcPr>
            <w:tcW w:w="740" w:type="pct"/>
            <w:noWrap/>
            <w:vAlign w:val="center"/>
            <w:hideMark/>
          </w:tcPr>
          <w:p w14:paraId="7D75F590"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FAOAM</w:t>
            </w:r>
          </w:p>
        </w:tc>
        <w:tc>
          <w:tcPr>
            <w:tcW w:w="302" w:type="pct"/>
            <w:noWrap/>
            <w:vAlign w:val="center"/>
            <w:hideMark/>
          </w:tcPr>
          <w:p w14:paraId="315A7E10"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514" w:type="pct"/>
            <w:noWrap/>
            <w:vAlign w:val="center"/>
            <w:hideMark/>
          </w:tcPr>
          <w:p w14:paraId="77A30340" w14:textId="77777777" w:rsidR="00D123BB" w:rsidRPr="003278ED" w:rsidRDefault="00D123BB" w:rsidP="007D3A2B">
            <w:pPr>
              <w:spacing w:after="0" w:line="240" w:lineRule="auto"/>
              <w:jc w:val="center"/>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15 420</w:t>
            </w:r>
          </w:p>
        </w:tc>
        <w:tc>
          <w:tcPr>
            <w:tcW w:w="460" w:type="pct"/>
            <w:noWrap/>
            <w:vAlign w:val="center"/>
            <w:hideMark/>
          </w:tcPr>
          <w:p w14:paraId="43C0AD7A"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16 816</w:t>
            </w:r>
          </w:p>
        </w:tc>
        <w:tc>
          <w:tcPr>
            <w:tcW w:w="460" w:type="pct"/>
            <w:noWrap/>
            <w:vAlign w:val="center"/>
            <w:hideMark/>
          </w:tcPr>
          <w:p w14:paraId="51CC0BA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18 051</w:t>
            </w:r>
          </w:p>
        </w:tc>
        <w:tc>
          <w:tcPr>
            <w:tcW w:w="461" w:type="pct"/>
            <w:noWrap/>
            <w:vAlign w:val="center"/>
            <w:hideMark/>
          </w:tcPr>
          <w:p w14:paraId="1BE7891E"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19 377</w:t>
            </w:r>
          </w:p>
        </w:tc>
        <w:tc>
          <w:tcPr>
            <w:tcW w:w="464" w:type="pct"/>
            <w:noWrap/>
            <w:vAlign w:val="center"/>
            <w:hideMark/>
          </w:tcPr>
          <w:p w14:paraId="1C840503"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4,5%</w:t>
            </w:r>
          </w:p>
        </w:tc>
        <w:tc>
          <w:tcPr>
            <w:tcW w:w="460" w:type="pct"/>
            <w:noWrap/>
            <w:vAlign w:val="center"/>
            <w:hideMark/>
          </w:tcPr>
          <w:p w14:paraId="0FC11803"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4,7%</w:t>
            </w:r>
          </w:p>
        </w:tc>
        <w:tc>
          <w:tcPr>
            <w:tcW w:w="460" w:type="pct"/>
            <w:noWrap/>
            <w:vAlign w:val="center"/>
            <w:hideMark/>
          </w:tcPr>
          <w:p w14:paraId="7DC2EF5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4,6%</w:t>
            </w:r>
          </w:p>
        </w:tc>
        <w:tc>
          <w:tcPr>
            <w:tcW w:w="461" w:type="pct"/>
            <w:noWrap/>
            <w:vAlign w:val="center"/>
            <w:hideMark/>
          </w:tcPr>
          <w:p w14:paraId="3A65156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4,5%</w:t>
            </w:r>
          </w:p>
        </w:tc>
      </w:tr>
      <w:tr w:rsidR="00D123BB" w:rsidRPr="003278ED" w14:paraId="114136D3" w14:textId="77777777" w:rsidTr="004C2B11">
        <w:trPr>
          <w:trHeight w:val="238"/>
        </w:trPr>
        <w:tc>
          <w:tcPr>
            <w:tcW w:w="217" w:type="pct"/>
            <w:noWrap/>
            <w:vAlign w:val="center"/>
            <w:hideMark/>
          </w:tcPr>
          <w:p w14:paraId="292BC998"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0FE1A084" w14:textId="412B1ECB" w:rsidR="00D123BB" w:rsidRPr="003278ED" w:rsidRDefault="00A47DB5" w:rsidP="002D4DD0">
            <w:pPr>
              <w:spacing w:after="0" w:line="240" w:lineRule="auto"/>
              <w:rPr>
                <w:rFonts w:ascii="Times New Roman" w:eastAsia="Times New Roman" w:hAnsi="Times New Roman" w:cs="Times New Roman"/>
                <w:i/>
                <w:iCs/>
                <w:color w:val="000000"/>
                <w:sz w:val="14"/>
                <w:szCs w:val="14"/>
              </w:rPr>
            </w:pPr>
            <w:r>
              <w:rPr>
                <w:rFonts w:ascii="Times New Roman" w:hAnsi="Times New Roman" w:cs="Times New Roman"/>
                <w:i/>
                <w:iCs/>
                <w:color w:val="000000"/>
                <w:sz w:val="14"/>
                <w:szCs w:val="14"/>
              </w:rPr>
              <w:t>i</w:t>
            </w:r>
            <w:r w:rsidR="00D123BB" w:rsidRPr="003278ED">
              <w:rPr>
                <w:rFonts w:ascii="Times New Roman" w:hAnsi="Times New Roman" w:cs="Times New Roman"/>
                <w:i/>
                <w:iCs/>
                <w:color w:val="000000"/>
                <w:sz w:val="14"/>
                <w:szCs w:val="14"/>
              </w:rPr>
              <w:t>nclusiv transferuri</w:t>
            </w:r>
          </w:p>
        </w:tc>
        <w:tc>
          <w:tcPr>
            <w:tcW w:w="514" w:type="pct"/>
            <w:noWrap/>
            <w:vAlign w:val="center"/>
            <w:hideMark/>
          </w:tcPr>
          <w:p w14:paraId="5DD7A8B1"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6 999</w:t>
            </w:r>
          </w:p>
        </w:tc>
        <w:tc>
          <w:tcPr>
            <w:tcW w:w="460" w:type="pct"/>
            <w:noWrap/>
            <w:vAlign w:val="center"/>
            <w:hideMark/>
          </w:tcPr>
          <w:p w14:paraId="356F65BE"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7 321</w:t>
            </w:r>
          </w:p>
        </w:tc>
        <w:tc>
          <w:tcPr>
            <w:tcW w:w="460" w:type="pct"/>
            <w:noWrap/>
            <w:vAlign w:val="center"/>
            <w:hideMark/>
          </w:tcPr>
          <w:p w14:paraId="0D9F02E4"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7 653</w:t>
            </w:r>
          </w:p>
        </w:tc>
        <w:tc>
          <w:tcPr>
            <w:tcW w:w="461" w:type="pct"/>
            <w:noWrap/>
            <w:vAlign w:val="center"/>
            <w:hideMark/>
          </w:tcPr>
          <w:p w14:paraId="283EA8A4"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8 036</w:t>
            </w:r>
          </w:p>
        </w:tc>
        <w:tc>
          <w:tcPr>
            <w:tcW w:w="464" w:type="pct"/>
            <w:noWrap/>
            <w:vAlign w:val="center"/>
            <w:hideMark/>
          </w:tcPr>
          <w:p w14:paraId="06D85DD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2,0%</w:t>
            </w:r>
          </w:p>
        </w:tc>
        <w:tc>
          <w:tcPr>
            <w:tcW w:w="460" w:type="pct"/>
            <w:noWrap/>
            <w:vAlign w:val="center"/>
            <w:hideMark/>
          </w:tcPr>
          <w:p w14:paraId="3593E448"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2,0%</w:t>
            </w:r>
          </w:p>
        </w:tc>
        <w:tc>
          <w:tcPr>
            <w:tcW w:w="460" w:type="pct"/>
            <w:noWrap/>
            <w:vAlign w:val="center"/>
            <w:hideMark/>
          </w:tcPr>
          <w:p w14:paraId="05A97155"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w:t>
            </w:r>
          </w:p>
        </w:tc>
        <w:tc>
          <w:tcPr>
            <w:tcW w:w="461" w:type="pct"/>
            <w:noWrap/>
            <w:vAlign w:val="center"/>
            <w:hideMark/>
          </w:tcPr>
          <w:p w14:paraId="506D6ED1"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1,9%</w:t>
            </w:r>
          </w:p>
        </w:tc>
      </w:tr>
      <w:tr w:rsidR="00D123BB" w:rsidRPr="003278ED" w14:paraId="42DC613E" w14:textId="77777777" w:rsidTr="004C2B11">
        <w:trPr>
          <w:trHeight w:val="75"/>
        </w:trPr>
        <w:tc>
          <w:tcPr>
            <w:tcW w:w="217" w:type="pct"/>
            <w:noWrap/>
            <w:vAlign w:val="center"/>
            <w:hideMark/>
          </w:tcPr>
          <w:p w14:paraId="0DE0E98A" w14:textId="77777777" w:rsidR="00D123BB" w:rsidRPr="003278ED" w:rsidRDefault="00D123BB" w:rsidP="007D3A2B">
            <w:pPr>
              <w:spacing w:after="0" w:line="240" w:lineRule="auto"/>
              <w:rPr>
                <w:rFonts w:ascii="Times New Roman" w:hAnsi="Times New Roman" w:cs="Times New Roman"/>
                <w:i/>
                <w:iCs/>
                <w:color w:val="000000"/>
                <w:sz w:val="14"/>
                <w:szCs w:val="14"/>
              </w:rPr>
            </w:pPr>
          </w:p>
        </w:tc>
        <w:tc>
          <w:tcPr>
            <w:tcW w:w="740" w:type="pct"/>
            <w:noWrap/>
            <w:vAlign w:val="center"/>
            <w:hideMark/>
          </w:tcPr>
          <w:p w14:paraId="086BFF0B"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302" w:type="pct"/>
            <w:noWrap/>
            <w:vAlign w:val="center"/>
            <w:hideMark/>
          </w:tcPr>
          <w:p w14:paraId="32240D68"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514" w:type="pct"/>
            <w:noWrap/>
            <w:vAlign w:val="center"/>
            <w:hideMark/>
          </w:tcPr>
          <w:p w14:paraId="2C232267"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0" w:type="pct"/>
            <w:noWrap/>
            <w:vAlign w:val="center"/>
            <w:hideMark/>
          </w:tcPr>
          <w:p w14:paraId="5AEB982B"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0" w:type="pct"/>
            <w:noWrap/>
            <w:vAlign w:val="center"/>
            <w:hideMark/>
          </w:tcPr>
          <w:p w14:paraId="1B397FCB"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1" w:type="pct"/>
            <w:noWrap/>
            <w:vAlign w:val="center"/>
            <w:hideMark/>
          </w:tcPr>
          <w:p w14:paraId="07E83DE1"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4" w:type="pct"/>
            <w:noWrap/>
            <w:vAlign w:val="center"/>
            <w:hideMark/>
          </w:tcPr>
          <w:p w14:paraId="739A9DE0" w14:textId="77777777" w:rsidR="00D123BB" w:rsidRPr="003278ED" w:rsidRDefault="00D123BB" w:rsidP="007D3A2B">
            <w:pPr>
              <w:spacing w:after="0" w:line="240" w:lineRule="auto"/>
              <w:jc w:val="center"/>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 </w:t>
            </w:r>
          </w:p>
        </w:tc>
        <w:tc>
          <w:tcPr>
            <w:tcW w:w="460" w:type="pct"/>
            <w:noWrap/>
            <w:vAlign w:val="center"/>
            <w:hideMark/>
          </w:tcPr>
          <w:p w14:paraId="0DA7A2F9"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460" w:type="pct"/>
            <w:noWrap/>
            <w:vAlign w:val="center"/>
            <w:hideMark/>
          </w:tcPr>
          <w:p w14:paraId="7323E306"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1" w:type="pct"/>
            <w:noWrap/>
            <w:vAlign w:val="center"/>
            <w:hideMark/>
          </w:tcPr>
          <w:p w14:paraId="42C962B4" w14:textId="77777777" w:rsidR="00D123BB" w:rsidRPr="003278ED" w:rsidRDefault="00D123BB" w:rsidP="007D3A2B">
            <w:pPr>
              <w:spacing w:after="0" w:line="240" w:lineRule="auto"/>
              <w:rPr>
                <w:rFonts w:ascii="Times New Roman" w:hAnsi="Times New Roman" w:cs="Times New Roman"/>
                <w:sz w:val="14"/>
                <w:szCs w:val="14"/>
                <w:lang w:eastAsia="en-GB"/>
              </w:rPr>
            </w:pPr>
          </w:p>
        </w:tc>
      </w:tr>
      <w:tr w:rsidR="00D123BB" w:rsidRPr="003278ED" w14:paraId="0CAB8F0F" w14:textId="77777777" w:rsidTr="004C2B11">
        <w:trPr>
          <w:trHeight w:val="377"/>
        </w:trPr>
        <w:tc>
          <w:tcPr>
            <w:tcW w:w="1259" w:type="pct"/>
            <w:gridSpan w:val="3"/>
            <w:noWrap/>
            <w:vAlign w:val="center"/>
            <w:hideMark/>
          </w:tcPr>
          <w:p w14:paraId="1B8B56CD"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Total cheltuieli BPN</w:t>
            </w:r>
          </w:p>
        </w:tc>
        <w:tc>
          <w:tcPr>
            <w:tcW w:w="514" w:type="pct"/>
            <w:noWrap/>
            <w:vAlign w:val="center"/>
            <w:hideMark/>
          </w:tcPr>
          <w:p w14:paraId="4B8DB0B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122 962</w:t>
            </w:r>
          </w:p>
        </w:tc>
        <w:tc>
          <w:tcPr>
            <w:tcW w:w="460" w:type="pct"/>
            <w:noWrap/>
            <w:vAlign w:val="center"/>
            <w:hideMark/>
          </w:tcPr>
          <w:p w14:paraId="15C0555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129 557</w:t>
            </w:r>
          </w:p>
        </w:tc>
        <w:tc>
          <w:tcPr>
            <w:tcW w:w="460" w:type="pct"/>
            <w:noWrap/>
            <w:vAlign w:val="center"/>
            <w:hideMark/>
          </w:tcPr>
          <w:p w14:paraId="0E959DD4"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137 924</w:t>
            </w:r>
          </w:p>
        </w:tc>
        <w:tc>
          <w:tcPr>
            <w:tcW w:w="461" w:type="pct"/>
            <w:noWrap/>
            <w:vAlign w:val="center"/>
            <w:hideMark/>
          </w:tcPr>
          <w:p w14:paraId="1CD4979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149 255</w:t>
            </w:r>
          </w:p>
        </w:tc>
        <w:tc>
          <w:tcPr>
            <w:tcW w:w="464" w:type="pct"/>
            <w:noWrap/>
            <w:vAlign w:val="center"/>
            <w:hideMark/>
          </w:tcPr>
          <w:p w14:paraId="22C88A4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35,9%</w:t>
            </w:r>
          </w:p>
        </w:tc>
        <w:tc>
          <w:tcPr>
            <w:tcW w:w="460" w:type="pct"/>
            <w:noWrap/>
            <w:vAlign w:val="center"/>
            <w:hideMark/>
          </w:tcPr>
          <w:p w14:paraId="026E448E"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36,1%</w:t>
            </w:r>
          </w:p>
        </w:tc>
        <w:tc>
          <w:tcPr>
            <w:tcW w:w="460" w:type="pct"/>
            <w:noWrap/>
            <w:vAlign w:val="center"/>
            <w:hideMark/>
          </w:tcPr>
          <w:p w14:paraId="5B489EE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35,1%</w:t>
            </w:r>
          </w:p>
        </w:tc>
        <w:tc>
          <w:tcPr>
            <w:tcW w:w="461" w:type="pct"/>
            <w:noWrap/>
            <w:vAlign w:val="center"/>
            <w:hideMark/>
          </w:tcPr>
          <w:p w14:paraId="0C03E66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34,8%</w:t>
            </w:r>
          </w:p>
        </w:tc>
      </w:tr>
      <w:tr w:rsidR="00D123BB" w:rsidRPr="003278ED" w14:paraId="754F727A" w14:textId="77777777" w:rsidTr="004C2B11">
        <w:trPr>
          <w:trHeight w:val="251"/>
        </w:trPr>
        <w:tc>
          <w:tcPr>
            <w:tcW w:w="217" w:type="pct"/>
            <w:noWrap/>
            <w:vAlign w:val="center"/>
            <w:hideMark/>
          </w:tcPr>
          <w:p w14:paraId="2C9BF36A"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75D5EF7D"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Bugetul de stat</w:t>
            </w:r>
          </w:p>
        </w:tc>
        <w:tc>
          <w:tcPr>
            <w:tcW w:w="514" w:type="pct"/>
            <w:noWrap/>
            <w:vAlign w:val="center"/>
            <w:hideMark/>
          </w:tcPr>
          <w:p w14:paraId="2B51814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82 222</w:t>
            </w:r>
          </w:p>
        </w:tc>
        <w:tc>
          <w:tcPr>
            <w:tcW w:w="460" w:type="pct"/>
            <w:noWrap/>
            <w:vAlign w:val="center"/>
            <w:hideMark/>
          </w:tcPr>
          <w:p w14:paraId="70D945C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84 141</w:t>
            </w:r>
          </w:p>
        </w:tc>
        <w:tc>
          <w:tcPr>
            <w:tcW w:w="460" w:type="pct"/>
            <w:noWrap/>
            <w:vAlign w:val="center"/>
            <w:hideMark/>
          </w:tcPr>
          <w:p w14:paraId="5A57AE7A"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88 493</w:t>
            </w:r>
          </w:p>
        </w:tc>
        <w:tc>
          <w:tcPr>
            <w:tcW w:w="461" w:type="pct"/>
            <w:noWrap/>
            <w:vAlign w:val="center"/>
            <w:hideMark/>
          </w:tcPr>
          <w:p w14:paraId="70CD527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95 469</w:t>
            </w:r>
          </w:p>
        </w:tc>
        <w:tc>
          <w:tcPr>
            <w:tcW w:w="464" w:type="pct"/>
            <w:noWrap/>
            <w:vAlign w:val="center"/>
            <w:hideMark/>
          </w:tcPr>
          <w:p w14:paraId="0FE1786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24,0%</w:t>
            </w:r>
          </w:p>
        </w:tc>
        <w:tc>
          <w:tcPr>
            <w:tcW w:w="460" w:type="pct"/>
            <w:noWrap/>
            <w:vAlign w:val="center"/>
            <w:hideMark/>
          </w:tcPr>
          <w:p w14:paraId="57D49A8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23,5%</w:t>
            </w:r>
          </w:p>
        </w:tc>
        <w:tc>
          <w:tcPr>
            <w:tcW w:w="460" w:type="pct"/>
            <w:noWrap/>
            <w:vAlign w:val="center"/>
            <w:hideMark/>
          </w:tcPr>
          <w:p w14:paraId="1238ECB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22,5%</w:t>
            </w:r>
          </w:p>
        </w:tc>
        <w:tc>
          <w:tcPr>
            <w:tcW w:w="461" w:type="pct"/>
            <w:noWrap/>
            <w:vAlign w:val="center"/>
            <w:hideMark/>
          </w:tcPr>
          <w:p w14:paraId="2CDEAAE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22,2%</w:t>
            </w:r>
          </w:p>
        </w:tc>
      </w:tr>
      <w:tr w:rsidR="00D123BB" w:rsidRPr="003278ED" w14:paraId="109EB432" w14:textId="77777777" w:rsidTr="004C2B11">
        <w:trPr>
          <w:trHeight w:val="251"/>
        </w:trPr>
        <w:tc>
          <w:tcPr>
            <w:tcW w:w="217" w:type="pct"/>
            <w:noWrap/>
            <w:vAlign w:val="center"/>
            <w:hideMark/>
          </w:tcPr>
          <w:p w14:paraId="03E79741"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66A23F80" w14:textId="77777777" w:rsidR="00D123BB" w:rsidRPr="003278ED" w:rsidRDefault="00D123BB" w:rsidP="002D4DD0">
            <w:pPr>
              <w:spacing w:after="0" w:line="240" w:lineRule="auto"/>
              <w:rPr>
                <w:rFonts w:ascii="Times New Roman" w:eastAsia="Times New Roman" w:hAnsi="Times New Roman" w:cs="Times New Roman"/>
                <w:i/>
                <w:iCs/>
                <w:color w:val="000000"/>
                <w:sz w:val="14"/>
                <w:szCs w:val="14"/>
              </w:rPr>
            </w:pPr>
            <w:r w:rsidRPr="003278ED">
              <w:rPr>
                <w:rFonts w:ascii="Times New Roman" w:hAnsi="Times New Roman" w:cs="Times New Roman"/>
                <w:i/>
                <w:iCs/>
                <w:color w:val="000000"/>
                <w:sz w:val="14"/>
                <w:szCs w:val="14"/>
              </w:rPr>
              <w:t>inclusiv transferuri</w:t>
            </w:r>
          </w:p>
        </w:tc>
        <w:tc>
          <w:tcPr>
            <w:tcW w:w="514" w:type="pct"/>
            <w:noWrap/>
            <w:vAlign w:val="center"/>
            <w:hideMark/>
          </w:tcPr>
          <w:p w14:paraId="796AF5C0"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43 408</w:t>
            </w:r>
          </w:p>
        </w:tc>
        <w:tc>
          <w:tcPr>
            <w:tcW w:w="460" w:type="pct"/>
            <w:noWrap/>
            <w:vAlign w:val="center"/>
            <w:hideMark/>
          </w:tcPr>
          <w:p w14:paraId="1762C84E"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45 526</w:t>
            </w:r>
          </w:p>
        </w:tc>
        <w:tc>
          <w:tcPr>
            <w:tcW w:w="460" w:type="pct"/>
            <w:noWrap/>
            <w:vAlign w:val="center"/>
            <w:hideMark/>
          </w:tcPr>
          <w:p w14:paraId="43AB0E0F"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46 316</w:t>
            </w:r>
          </w:p>
        </w:tc>
        <w:tc>
          <w:tcPr>
            <w:tcW w:w="461" w:type="pct"/>
            <w:noWrap/>
            <w:vAlign w:val="center"/>
            <w:hideMark/>
          </w:tcPr>
          <w:p w14:paraId="1447385C"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47 357</w:t>
            </w:r>
          </w:p>
        </w:tc>
        <w:tc>
          <w:tcPr>
            <w:tcW w:w="464" w:type="pct"/>
            <w:noWrap/>
            <w:vAlign w:val="center"/>
            <w:hideMark/>
          </w:tcPr>
          <w:p w14:paraId="0B49CBE9"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12,7%</w:t>
            </w:r>
          </w:p>
        </w:tc>
        <w:tc>
          <w:tcPr>
            <w:tcW w:w="460" w:type="pct"/>
            <w:noWrap/>
            <w:vAlign w:val="center"/>
            <w:hideMark/>
          </w:tcPr>
          <w:p w14:paraId="29205CBF"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12,7%</w:t>
            </w:r>
          </w:p>
        </w:tc>
        <w:tc>
          <w:tcPr>
            <w:tcW w:w="460" w:type="pct"/>
            <w:noWrap/>
            <w:vAlign w:val="center"/>
            <w:hideMark/>
          </w:tcPr>
          <w:p w14:paraId="5992E094"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11,8%</w:t>
            </w:r>
          </w:p>
        </w:tc>
        <w:tc>
          <w:tcPr>
            <w:tcW w:w="461" w:type="pct"/>
            <w:noWrap/>
            <w:vAlign w:val="center"/>
            <w:hideMark/>
          </w:tcPr>
          <w:p w14:paraId="72BE7BC2" w14:textId="77777777" w:rsidR="00D123BB" w:rsidRPr="003278ED" w:rsidRDefault="00D123BB" w:rsidP="007D3A2B">
            <w:pPr>
              <w:spacing w:after="0" w:line="240" w:lineRule="auto"/>
              <w:jc w:val="center"/>
              <w:rPr>
                <w:rFonts w:ascii="Times New Roman" w:hAnsi="Times New Roman" w:cs="Times New Roman"/>
                <w:i/>
                <w:iCs/>
                <w:color w:val="000000"/>
                <w:sz w:val="14"/>
                <w:szCs w:val="14"/>
              </w:rPr>
            </w:pPr>
            <w:r w:rsidRPr="003278ED">
              <w:rPr>
                <w:rFonts w:ascii="Times New Roman" w:hAnsi="Times New Roman" w:cs="Times New Roman"/>
                <w:i/>
                <w:iCs/>
                <w:color w:val="000000"/>
                <w:sz w:val="14"/>
                <w:szCs w:val="14"/>
              </w:rPr>
              <w:t>11,0%</w:t>
            </w:r>
          </w:p>
        </w:tc>
      </w:tr>
      <w:tr w:rsidR="00D123BB" w:rsidRPr="003278ED" w14:paraId="6826B451" w14:textId="77777777" w:rsidTr="004C2B11">
        <w:trPr>
          <w:trHeight w:val="251"/>
        </w:trPr>
        <w:tc>
          <w:tcPr>
            <w:tcW w:w="217" w:type="pct"/>
            <w:noWrap/>
            <w:vAlign w:val="center"/>
            <w:hideMark/>
          </w:tcPr>
          <w:p w14:paraId="3373993D" w14:textId="77777777" w:rsidR="00D123BB" w:rsidRPr="003278ED" w:rsidRDefault="00D123BB" w:rsidP="007D3A2B">
            <w:pPr>
              <w:spacing w:after="0" w:line="240" w:lineRule="auto"/>
              <w:rPr>
                <w:rFonts w:ascii="Times New Roman" w:hAnsi="Times New Roman" w:cs="Times New Roman"/>
                <w:i/>
                <w:iCs/>
                <w:color w:val="000000"/>
                <w:sz w:val="14"/>
                <w:szCs w:val="14"/>
              </w:rPr>
            </w:pPr>
          </w:p>
        </w:tc>
        <w:tc>
          <w:tcPr>
            <w:tcW w:w="1042" w:type="pct"/>
            <w:gridSpan w:val="2"/>
            <w:noWrap/>
            <w:vAlign w:val="center"/>
            <w:hideMark/>
          </w:tcPr>
          <w:p w14:paraId="74CA800A"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Bugetele locale</w:t>
            </w:r>
          </w:p>
        </w:tc>
        <w:tc>
          <w:tcPr>
            <w:tcW w:w="514" w:type="pct"/>
            <w:noWrap/>
            <w:vAlign w:val="center"/>
            <w:hideMark/>
          </w:tcPr>
          <w:p w14:paraId="179EF96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25 924</w:t>
            </w:r>
          </w:p>
        </w:tc>
        <w:tc>
          <w:tcPr>
            <w:tcW w:w="460" w:type="pct"/>
            <w:noWrap/>
            <w:vAlign w:val="center"/>
            <w:hideMark/>
          </w:tcPr>
          <w:p w14:paraId="48D2519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27 799</w:t>
            </w:r>
          </w:p>
        </w:tc>
        <w:tc>
          <w:tcPr>
            <w:tcW w:w="460" w:type="pct"/>
            <w:noWrap/>
            <w:vAlign w:val="center"/>
            <w:hideMark/>
          </w:tcPr>
          <w:p w14:paraId="4791B72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28 514</w:t>
            </w:r>
          </w:p>
        </w:tc>
        <w:tc>
          <w:tcPr>
            <w:tcW w:w="461" w:type="pct"/>
            <w:noWrap/>
            <w:vAlign w:val="center"/>
            <w:hideMark/>
          </w:tcPr>
          <w:p w14:paraId="3C2CE33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29 392</w:t>
            </w:r>
          </w:p>
        </w:tc>
        <w:tc>
          <w:tcPr>
            <w:tcW w:w="464" w:type="pct"/>
            <w:noWrap/>
            <w:vAlign w:val="center"/>
            <w:hideMark/>
          </w:tcPr>
          <w:p w14:paraId="21163CE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7,6%</w:t>
            </w:r>
          </w:p>
        </w:tc>
        <w:tc>
          <w:tcPr>
            <w:tcW w:w="460" w:type="pct"/>
            <w:noWrap/>
            <w:vAlign w:val="center"/>
            <w:hideMark/>
          </w:tcPr>
          <w:p w14:paraId="6D2A538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7,7%</w:t>
            </w:r>
          </w:p>
        </w:tc>
        <w:tc>
          <w:tcPr>
            <w:tcW w:w="460" w:type="pct"/>
            <w:noWrap/>
            <w:vAlign w:val="center"/>
            <w:hideMark/>
          </w:tcPr>
          <w:p w14:paraId="0BD399C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7,3%</w:t>
            </w:r>
          </w:p>
        </w:tc>
        <w:tc>
          <w:tcPr>
            <w:tcW w:w="461" w:type="pct"/>
            <w:noWrap/>
            <w:vAlign w:val="center"/>
            <w:hideMark/>
          </w:tcPr>
          <w:p w14:paraId="4FBEDCBA"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6,8%</w:t>
            </w:r>
          </w:p>
        </w:tc>
      </w:tr>
      <w:tr w:rsidR="00D123BB" w:rsidRPr="003278ED" w14:paraId="0A3EECAB" w14:textId="77777777" w:rsidTr="004C2B11">
        <w:trPr>
          <w:trHeight w:val="251"/>
        </w:trPr>
        <w:tc>
          <w:tcPr>
            <w:tcW w:w="217" w:type="pct"/>
            <w:noWrap/>
            <w:vAlign w:val="center"/>
            <w:hideMark/>
          </w:tcPr>
          <w:p w14:paraId="2FE08515"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535E418E"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BASS</w:t>
            </w:r>
          </w:p>
        </w:tc>
        <w:tc>
          <w:tcPr>
            <w:tcW w:w="514" w:type="pct"/>
            <w:noWrap/>
            <w:vAlign w:val="center"/>
            <w:hideMark/>
          </w:tcPr>
          <w:p w14:paraId="6205D700"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42 804</w:t>
            </w:r>
          </w:p>
        </w:tc>
        <w:tc>
          <w:tcPr>
            <w:tcW w:w="460" w:type="pct"/>
            <w:noWrap/>
            <w:vAlign w:val="center"/>
            <w:hideMark/>
          </w:tcPr>
          <w:p w14:paraId="151602D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46 326</w:t>
            </w:r>
          </w:p>
        </w:tc>
        <w:tc>
          <w:tcPr>
            <w:tcW w:w="460" w:type="pct"/>
            <w:noWrap/>
            <w:vAlign w:val="center"/>
            <w:hideMark/>
          </w:tcPr>
          <w:p w14:paraId="08783599"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49 182</w:t>
            </w:r>
          </w:p>
        </w:tc>
        <w:tc>
          <w:tcPr>
            <w:tcW w:w="461" w:type="pct"/>
            <w:noWrap/>
            <w:vAlign w:val="center"/>
            <w:hideMark/>
          </w:tcPr>
          <w:p w14:paraId="06ACDE3E"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52 374</w:t>
            </w:r>
          </w:p>
        </w:tc>
        <w:tc>
          <w:tcPr>
            <w:tcW w:w="464" w:type="pct"/>
            <w:noWrap/>
            <w:vAlign w:val="center"/>
            <w:hideMark/>
          </w:tcPr>
          <w:p w14:paraId="30D691B8"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12,5%</w:t>
            </w:r>
          </w:p>
        </w:tc>
        <w:tc>
          <w:tcPr>
            <w:tcW w:w="460" w:type="pct"/>
            <w:noWrap/>
            <w:vAlign w:val="center"/>
            <w:hideMark/>
          </w:tcPr>
          <w:p w14:paraId="32A1053A"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12,9%</w:t>
            </w:r>
          </w:p>
        </w:tc>
        <w:tc>
          <w:tcPr>
            <w:tcW w:w="460" w:type="pct"/>
            <w:noWrap/>
            <w:vAlign w:val="center"/>
            <w:hideMark/>
          </w:tcPr>
          <w:p w14:paraId="6652638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12,5%</w:t>
            </w:r>
          </w:p>
        </w:tc>
        <w:tc>
          <w:tcPr>
            <w:tcW w:w="461" w:type="pct"/>
            <w:noWrap/>
            <w:vAlign w:val="center"/>
            <w:hideMark/>
          </w:tcPr>
          <w:p w14:paraId="01C1FE2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12,2%</w:t>
            </w:r>
          </w:p>
        </w:tc>
      </w:tr>
      <w:tr w:rsidR="00D123BB" w:rsidRPr="003278ED" w14:paraId="718AD847" w14:textId="77777777" w:rsidTr="004C2B11">
        <w:trPr>
          <w:trHeight w:val="74"/>
        </w:trPr>
        <w:tc>
          <w:tcPr>
            <w:tcW w:w="217" w:type="pct"/>
            <w:noWrap/>
            <w:vAlign w:val="center"/>
            <w:hideMark/>
          </w:tcPr>
          <w:p w14:paraId="2B0A03D6"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3A41FD8D"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FAOAM</w:t>
            </w:r>
          </w:p>
        </w:tc>
        <w:tc>
          <w:tcPr>
            <w:tcW w:w="514" w:type="pct"/>
            <w:noWrap/>
            <w:vAlign w:val="center"/>
            <w:hideMark/>
          </w:tcPr>
          <w:p w14:paraId="10A8EC7F"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15 420</w:t>
            </w:r>
          </w:p>
        </w:tc>
        <w:tc>
          <w:tcPr>
            <w:tcW w:w="460" w:type="pct"/>
            <w:noWrap/>
            <w:vAlign w:val="center"/>
            <w:hideMark/>
          </w:tcPr>
          <w:p w14:paraId="3B856CE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16 816</w:t>
            </w:r>
          </w:p>
        </w:tc>
        <w:tc>
          <w:tcPr>
            <w:tcW w:w="460" w:type="pct"/>
            <w:noWrap/>
            <w:vAlign w:val="center"/>
            <w:hideMark/>
          </w:tcPr>
          <w:p w14:paraId="08AF8634"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18 051</w:t>
            </w:r>
          </w:p>
        </w:tc>
        <w:tc>
          <w:tcPr>
            <w:tcW w:w="461" w:type="pct"/>
            <w:noWrap/>
            <w:vAlign w:val="center"/>
            <w:hideMark/>
          </w:tcPr>
          <w:p w14:paraId="50BC39C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19 377</w:t>
            </w:r>
          </w:p>
        </w:tc>
        <w:tc>
          <w:tcPr>
            <w:tcW w:w="464" w:type="pct"/>
            <w:noWrap/>
            <w:vAlign w:val="center"/>
            <w:hideMark/>
          </w:tcPr>
          <w:p w14:paraId="60016CA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4,5%</w:t>
            </w:r>
          </w:p>
        </w:tc>
        <w:tc>
          <w:tcPr>
            <w:tcW w:w="460" w:type="pct"/>
            <w:noWrap/>
            <w:vAlign w:val="center"/>
            <w:hideMark/>
          </w:tcPr>
          <w:p w14:paraId="31B2D31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4,7%</w:t>
            </w:r>
          </w:p>
        </w:tc>
        <w:tc>
          <w:tcPr>
            <w:tcW w:w="460" w:type="pct"/>
            <w:noWrap/>
            <w:vAlign w:val="center"/>
            <w:hideMark/>
          </w:tcPr>
          <w:p w14:paraId="34599DBB"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4,6%</w:t>
            </w:r>
          </w:p>
        </w:tc>
        <w:tc>
          <w:tcPr>
            <w:tcW w:w="461" w:type="pct"/>
            <w:noWrap/>
            <w:vAlign w:val="center"/>
            <w:hideMark/>
          </w:tcPr>
          <w:p w14:paraId="6D04F07D"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4,5%</w:t>
            </w:r>
          </w:p>
        </w:tc>
      </w:tr>
      <w:tr w:rsidR="00D123BB" w:rsidRPr="003278ED" w14:paraId="73DC4D6F" w14:textId="77777777" w:rsidTr="004C2B11">
        <w:trPr>
          <w:trHeight w:val="85"/>
        </w:trPr>
        <w:tc>
          <w:tcPr>
            <w:tcW w:w="217" w:type="pct"/>
            <w:noWrap/>
            <w:vAlign w:val="center"/>
            <w:hideMark/>
          </w:tcPr>
          <w:p w14:paraId="76981925"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740" w:type="pct"/>
            <w:noWrap/>
            <w:vAlign w:val="center"/>
            <w:hideMark/>
          </w:tcPr>
          <w:p w14:paraId="44099C4C"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302" w:type="pct"/>
            <w:noWrap/>
            <w:vAlign w:val="center"/>
            <w:hideMark/>
          </w:tcPr>
          <w:p w14:paraId="3FBDF330"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514" w:type="pct"/>
            <w:noWrap/>
            <w:vAlign w:val="center"/>
            <w:hideMark/>
          </w:tcPr>
          <w:p w14:paraId="752761A2"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0" w:type="pct"/>
            <w:noWrap/>
            <w:vAlign w:val="center"/>
            <w:hideMark/>
          </w:tcPr>
          <w:p w14:paraId="02D984F5"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0" w:type="pct"/>
            <w:noWrap/>
            <w:vAlign w:val="center"/>
            <w:hideMark/>
          </w:tcPr>
          <w:p w14:paraId="6DCE5D47"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1" w:type="pct"/>
            <w:noWrap/>
            <w:vAlign w:val="center"/>
            <w:hideMark/>
          </w:tcPr>
          <w:p w14:paraId="20DD686E"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4" w:type="pct"/>
            <w:noWrap/>
            <w:vAlign w:val="center"/>
            <w:hideMark/>
          </w:tcPr>
          <w:p w14:paraId="68FC0346" w14:textId="77777777" w:rsidR="00D123BB" w:rsidRPr="003278ED" w:rsidRDefault="00D123BB" w:rsidP="007D3A2B">
            <w:pPr>
              <w:spacing w:after="0" w:line="240" w:lineRule="auto"/>
              <w:jc w:val="center"/>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 </w:t>
            </w:r>
          </w:p>
        </w:tc>
        <w:tc>
          <w:tcPr>
            <w:tcW w:w="460" w:type="pct"/>
            <w:noWrap/>
            <w:vAlign w:val="center"/>
            <w:hideMark/>
          </w:tcPr>
          <w:p w14:paraId="271680ED"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460" w:type="pct"/>
            <w:noWrap/>
            <w:vAlign w:val="center"/>
            <w:hideMark/>
          </w:tcPr>
          <w:p w14:paraId="255CDE8A" w14:textId="77777777" w:rsidR="00D123BB" w:rsidRPr="003278ED" w:rsidRDefault="00D123BB" w:rsidP="007D3A2B">
            <w:pPr>
              <w:spacing w:after="0" w:line="240" w:lineRule="auto"/>
              <w:rPr>
                <w:rFonts w:ascii="Times New Roman" w:hAnsi="Times New Roman" w:cs="Times New Roman"/>
                <w:sz w:val="14"/>
                <w:szCs w:val="14"/>
                <w:lang w:eastAsia="en-GB"/>
              </w:rPr>
            </w:pPr>
          </w:p>
        </w:tc>
        <w:tc>
          <w:tcPr>
            <w:tcW w:w="461" w:type="pct"/>
            <w:noWrap/>
            <w:vAlign w:val="center"/>
            <w:hideMark/>
          </w:tcPr>
          <w:p w14:paraId="76D210D2" w14:textId="77777777" w:rsidR="00D123BB" w:rsidRPr="003278ED" w:rsidRDefault="00D123BB" w:rsidP="007D3A2B">
            <w:pPr>
              <w:spacing w:after="0" w:line="240" w:lineRule="auto"/>
              <w:rPr>
                <w:rFonts w:ascii="Times New Roman" w:hAnsi="Times New Roman" w:cs="Times New Roman"/>
                <w:sz w:val="14"/>
                <w:szCs w:val="14"/>
                <w:lang w:eastAsia="en-GB"/>
              </w:rPr>
            </w:pPr>
          </w:p>
        </w:tc>
      </w:tr>
      <w:tr w:rsidR="00D123BB" w:rsidRPr="003278ED" w14:paraId="2AF563FC" w14:textId="77777777" w:rsidTr="004C2B11">
        <w:trPr>
          <w:trHeight w:val="74"/>
        </w:trPr>
        <w:tc>
          <w:tcPr>
            <w:tcW w:w="1259" w:type="pct"/>
            <w:gridSpan w:val="3"/>
            <w:noWrap/>
            <w:vAlign w:val="center"/>
            <w:hideMark/>
          </w:tcPr>
          <w:p w14:paraId="659392FC"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Sold total</w:t>
            </w:r>
          </w:p>
          <w:p w14:paraId="697AAA88" w14:textId="77777777" w:rsidR="00D123BB" w:rsidRPr="003278ED" w:rsidRDefault="00D123BB" w:rsidP="007D3A2B">
            <w:pPr>
              <w:spacing w:after="0" w:line="240" w:lineRule="auto"/>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 xml:space="preserve"> (Deficit (-) / Excedent (+))</w:t>
            </w:r>
          </w:p>
        </w:tc>
        <w:tc>
          <w:tcPr>
            <w:tcW w:w="514" w:type="pct"/>
            <w:noWrap/>
            <w:vAlign w:val="center"/>
            <w:hideMark/>
          </w:tcPr>
          <w:p w14:paraId="21ED0D35"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-15 790</w:t>
            </w:r>
          </w:p>
        </w:tc>
        <w:tc>
          <w:tcPr>
            <w:tcW w:w="460" w:type="pct"/>
            <w:noWrap/>
            <w:vAlign w:val="center"/>
            <w:hideMark/>
          </w:tcPr>
          <w:p w14:paraId="1E207004"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-13 690</w:t>
            </w:r>
          </w:p>
        </w:tc>
        <w:tc>
          <w:tcPr>
            <w:tcW w:w="460" w:type="pct"/>
            <w:noWrap/>
            <w:vAlign w:val="center"/>
            <w:hideMark/>
          </w:tcPr>
          <w:p w14:paraId="5D76010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-13 450</w:t>
            </w:r>
          </w:p>
        </w:tc>
        <w:tc>
          <w:tcPr>
            <w:tcW w:w="461" w:type="pct"/>
            <w:noWrap/>
            <w:vAlign w:val="center"/>
            <w:hideMark/>
          </w:tcPr>
          <w:p w14:paraId="13132106"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-13 400</w:t>
            </w:r>
          </w:p>
        </w:tc>
        <w:tc>
          <w:tcPr>
            <w:tcW w:w="464" w:type="pct"/>
            <w:noWrap/>
            <w:vAlign w:val="center"/>
            <w:hideMark/>
          </w:tcPr>
          <w:p w14:paraId="5FE699BA"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-4,6%</w:t>
            </w:r>
          </w:p>
        </w:tc>
        <w:tc>
          <w:tcPr>
            <w:tcW w:w="460" w:type="pct"/>
            <w:noWrap/>
            <w:vAlign w:val="center"/>
            <w:hideMark/>
          </w:tcPr>
          <w:p w14:paraId="2CA45767"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-3,8%</w:t>
            </w:r>
          </w:p>
        </w:tc>
        <w:tc>
          <w:tcPr>
            <w:tcW w:w="460" w:type="pct"/>
            <w:noWrap/>
            <w:vAlign w:val="center"/>
            <w:hideMark/>
          </w:tcPr>
          <w:p w14:paraId="37B9D44C"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-3,4%</w:t>
            </w:r>
          </w:p>
        </w:tc>
        <w:tc>
          <w:tcPr>
            <w:tcW w:w="461" w:type="pct"/>
            <w:noWrap/>
            <w:vAlign w:val="center"/>
            <w:hideMark/>
          </w:tcPr>
          <w:p w14:paraId="6F124531" w14:textId="77777777" w:rsidR="00D123BB" w:rsidRPr="003278ED" w:rsidRDefault="00D123BB"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-3,1%</w:t>
            </w:r>
          </w:p>
        </w:tc>
      </w:tr>
      <w:tr w:rsidR="00D123BB" w:rsidRPr="003278ED" w14:paraId="78493E37" w14:textId="77777777" w:rsidTr="004C2B11">
        <w:trPr>
          <w:trHeight w:val="251"/>
        </w:trPr>
        <w:tc>
          <w:tcPr>
            <w:tcW w:w="217" w:type="pct"/>
            <w:noWrap/>
            <w:vAlign w:val="center"/>
            <w:hideMark/>
          </w:tcPr>
          <w:p w14:paraId="230985B4" w14:textId="77777777" w:rsidR="00D123BB" w:rsidRPr="003278ED" w:rsidRDefault="00D123BB" w:rsidP="007D3A2B">
            <w:pPr>
              <w:spacing w:after="0" w:line="240" w:lineRule="auto"/>
              <w:rPr>
                <w:rFonts w:ascii="Times New Roman" w:hAnsi="Times New Roman" w:cs="Times New Roman"/>
                <w:b/>
                <w:bCs/>
                <w:color w:val="000000"/>
                <w:sz w:val="14"/>
                <w:szCs w:val="14"/>
              </w:rPr>
            </w:pPr>
          </w:p>
        </w:tc>
        <w:tc>
          <w:tcPr>
            <w:tcW w:w="1042" w:type="pct"/>
            <w:gridSpan w:val="2"/>
            <w:noWrap/>
            <w:vAlign w:val="center"/>
            <w:hideMark/>
          </w:tcPr>
          <w:p w14:paraId="3F5B04FC"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Bugetul de stat</w:t>
            </w:r>
          </w:p>
        </w:tc>
        <w:tc>
          <w:tcPr>
            <w:tcW w:w="514" w:type="pct"/>
            <w:noWrap/>
            <w:vAlign w:val="center"/>
            <w:hideMark/>
          </w:tcPr>
          <w:p w14:paraId="21DB1309"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-15 590</w:t>
            </w:r>
          </w:p>
        </w:tc>
        <w:tc>
          <w:tcPr>
            <w:tcW w:w="460" w:type="pct"/>
            <w:noWrap/>
            <w:vAlign w:val="center"/>
            <w:hideMark/>
          </w:tcPr>
          <w:p w14:paraId="6C7611CA"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-13 560</w:t>
            </w:r>
          </w:p>
        </w:tc>
        <w:tc>
          <w:tcPr>
            <w:tcW w:w="460" w:type="pct"/>
            <w:noWrap/>
            <w:vAlign w:val="center"/>
            <w:hideMark/>
          </w:tcPr>
          <w:p w14:paraId="08956434"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-13 450</w:t>
            </w:r>
          </w:p>
        </w:tc>
        <w:tc>
          <w:tcPr>
            <w:tcW w:w="461" w:type="pct"/>
            <w:noWrap/>
            <w:vAlign w:val="center"/>
            <w:hideMark/>
          </w:tcPr>
          <w:p w14:paraId="6631CF11"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-13 400</w:t>
            </w:r>
          </w:p>
        </w:tc>
        <w:tc>
          <w:tcPr>
            <w:tcW w:w="464" w:type="pct"/>
            <w:noWrap/>
            <w:vAlign w:val="center"/>
            <w:hideMark/>
          </w:tcPr>
          <w:p w14:paraId="1FE1B783"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-4,6%</w:t>
            </w:r>
          </w:p>
        </w:tc>
        <w:tc>
          <w:tcPr>
            <w:tcW w:w="460" w:type="pct"/>
            <w:noWrap/>
            <w:vAlign w:val="center"/>
            <w:hideMark/>
          </w:tcPr>
          <w:p w14:paraId="3149EB7E"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-3,8%</w:t>
            </w:r>
          </w:p>
        </w:tc>
        <w:tc>
          <w:tcPr>
            <w:tcW w:w="460" w:type="pct"/>
            <w:noWrap/>
            <w:vAlign w:val="center"/>
            <w:hideMark/>
          </w:tcPr>
          <w:p w14:paraId="7BDBFE83"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-3,4%</w:t>
            </w:r>
          </w:p>
        </w:tc>
        <w:tc>
          <w:tcPr>
            <w:tcW w:w="461" w:type="pct"/>
            <w:noWrap/>
            <w:vAlign w:val="center"/>
            <w:hideMark/>
          </w:tcPr>
          <w:p w14:paraId="41BFDB34"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-3,1%</w:t>
            </w:r>
          </w:p>
        </w:tc>
      </w:tr>
      <w:tr w:rsidR="00D123BB" w:rsidRPr="003278ED" w14:paraId="48938FBF" w14:textId="77777777" w:rsidTr="004C2B11">
        <w:trPr>
          <w:trHeight w:val="251"/>
        </w:trPr>
        <w:tc>
          <w:tcPr>
            <w:tcW w:w="217" w:type="pct"/>
            <w:noWrap/>
            <w:vAlign w:val="center"/>
            <w:hideMark/>
          </w:tcPr>
          <w:p w14:paraId="2CE4CC80" w14:textId="77777777" w:rsidR="00D123BB" w:rsidRPr="003278ED" w:rsidRDefault="00D123BB" w:rsidP="007D3A2B">
            <w:pPr>
              <w:spacing w:after="0" w:line="240" w:lineRule="auto"/>
              <w:rPr>
                <w:rFonts w:ascii="Times New Roman" w:hAnsi="Times New Roman" w:cs="Times New Roman"/>
                <w:color w:val="000000"/>
                <w:sz w:val="14"/>
                <w:szCs w:val="14"/>
              </w:rPr>
            </w:pPr>
          </w:p>
        </w:tc>
        <w:tc>
          <w:tcPr>
            <w:tcW w:w="1042" w:type="pct"/>
            <w:gridSpan w:val="2"/>
            <w:noWrap/>
            <w:vAlign w:val="center"/>
            <w:hideMark/>
          </w:tcPr>
          <w:p w14:paraId="6086228A"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Bugetele locale</w:t>
            </w:r>
          </w:p>
        </w:tc>
        <w:tc>
          <w:tcPr>
            <w:tcW w:w="514" w:type="pct"/>
            <w:noWrap/>
            <w:vAlign w:val="center"/>
            <w:hideMark/>
          </w:tcPr>
          <w:p w14:paraId="14E7F262"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-200</w:t>
            </w:r>
          </w:p>
        </w:tc>
        <w:tc>
          <w:tcPr>
            <w:tcW w:w="460" w:type="pct"/>
            <w:noWrap/>
            <w:vAlign w:val="center"/>
            <w:hideMark/>
          </w:tcPr>
          <w:p w14:paraId="214A62CF"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-130</w:t>
            </w:r>
          </w:p>
        </w:tc>
        <w:tc>
          <w:tcPr>
            <w:tcW w:w="460" w:type="pct"/>
            <w:noWrap/>
            <w:vAlign w:val="center"/>
            <w:hideMark/>
          </w:tcPr>
          <w:p w14:paraId="3DBD646F"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25C2C9DF"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4" w:type="pct"/>
            <w:noWrap/>
            <w:vAlign w:val="center"/>
            <w:hideMark/>
          </w:tcPr>
          <w:p w14:paraId="3CC737CB"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-0,1%</w:t>
            </w:r>
          </w:p>
        </w:tc>
        <w:tc>
          <w:tcPr>
            <w:tcW w:w="460" w:type="pct"/>
            <w:noWrap/>
            <w:vAlign w:val="center"/>
            <w:hideMark/>
          </w:tcPr>
          <w:p w14:paraId="41B44109"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3B2FCB64"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339A7BFE"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r>
      <w:tr w:rsidR="00D123BB" w:rsidRPr="003278ED" w14:paraId="36379329" w14:textId="77777777" w:rsidTr="004C2B11">
        <w:trPr>
          <w:trHeight w:val="251"/>
        </w:trPr>
        <w:tc>
          <w:tcPr>
            <w:tcW w:w="217" w:type="pct"/>
            <w:noWrap/>
            <w:vAlign w:val="center"/>
            <w:hideMark/>
          </w:tcPr>
          <w:p w14:paraId="5FFE6F5F" w14:textId="77777777" w:rsidR="00D123BB" w:rsidRPr="003278ED" w:rsidRDefault="00D123BB" w:rsidP="007D3A2B">
            <w:pPr>
              <w:spacing w:after="0" w:line="240" w:lineRule="auto"/>
              <w:rPr>
                <w:rFonts w:ascii="Times New Roman" w:hAnsi="Times New Roman" w:cs="Times New Roman"/>
                <w:color w:val="000000"/>
                <w:sz w:val="14"/>
                <w:szCs w:val="14"/>
              </w:rPr>
            </w:pPr>
          </w:p>
        </w:tc>
        <w:tc>
          <w:tcPr>
            <w:tcW w:w="1042" w:type="pct"/>
            <w:gridSpan w:val="2"/>
            <w:noWrap/>
            <w:vAlign w:val="center"/>
            <w:hideMark/>
          </w:tcPr>
          <w:p w14:paraId="3F037950" w14:textId="77777777" w:rsidR="00D123BB" w:rsidRPr="003278ED" w:rsidRDefault="00D123BB" w:rsidP="007D3A2B">
            <w:pPr>
              <w:spacing w:after="0" w:line="240" w:lineRule="auto"/>
              <w:rPr>
                <w:rFonts w:ascii="Times New Roman" w:eastAsia="Times New Roman" w:hAnsi="Times New Roman" w:cs="Times New Roman"/>
                <w:b/>
                <w:bCs/>
                <w:color w:val="000000"/>
                <w:sz w:val="14"/>
                <w:szCs w:val="14"/>
              </w:rPr>
            </w:pPr>
            <w:r w:rsidRPr="003278ED">
              <w:rPr>
                <w:rFonts w:ascii="Times New Roman" w:hAnsi="Times New Roman" w:cs="Times New Roman"/>
                <w:b/>
                <w:bCs/>
                <w:color w:val="000000"/>
                <w:sz w:val="14"/>
                <w:szCs w:val="14"/>
              </w:rPr>
              <w:t>BASS</w:t>
            </w:r>
          </w:p>
        </w:tc>
        <w:tc>
          <w:tcPr>
            <w:tcW w:w="514" w:type="pct"/>
            <w:noWrap/>
            <w:vAlign w:val="center"/>
            <w:hideMark/>
          </w:tcPr>
          <w:p w14:paraId="0351B7D3"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7105D13F"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0739558E"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3D93CFC6"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4" w:type="pct"/>
            <w:noWrap/>
            <w:vAlign w:val="center"/>
            <w:hideMark/>
          </w:tcPr>
          <w:p w14:paraId="6A96B8B1"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33384F5E"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1249A6A9"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2E8B6F3F"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r>
      <w:tr w:rsidR="00D123BB" w:rsidRPr="003278ED" w14:paraId="1DA8C380" w14:textId="77777777" w:rsidTr="004C2B11">
        <w:trPr>
          <w:trHeight w:val="264"/>
        </w:trPr>
        <w:tc>
          <w:tcPr>
            <w:tcW w:w="217" w:type="pct"/>
            <w:noWrap/>
            <w:vAlign w:val="center"/>
            <w:hideMark/>
          </w:tcPr>
          <w:p w14:paraId="0D156C7B" w14:textId="77777777" w:rsidR="00D123BB" w:rsidRPr="003278ED" w:rsidRDefault="00D123BB" w:rsidP="007D3A2B">
            <w:pPr>
              <w:spacing w:after="0" w:line="240" w:lineRule="auto"/>
              <w:rPr>
                <w:rFonts w:ascii="Times New Roman" w:hAnsi="Times New Roman" w:cs="Times New Roman"/>
                <w:color w:val="000000"/>
                <w:sz w:val="14"/>
                <w:szCs w:val="14"/>
              </w:rPr>
            </w:pPr>
            <w:r w:rsidRPr="003278ED">
              <w:rPr>
                <w:rFonts w:ascii="Times New Roman" w:hAnsi="Times New Roman" w:cs="Times New Roman"/>
                <w:color w:val="000000"/>
                <w:sz w:val="14"/>
                <w:szCs w:val="14"/>
              </w:rPr>
              <w:t> </w:t>
            </w:r>
          </w:p>
        </w:tc>
        <w:tc>
          <w:tcPr>
            <w:tcW w:w="1042" w:type="pct"/>
            <w:gridSpan w:val="2"/>
            <w:noWrap/>
            <w:vAlign w:val="center"/>
            <w:hideMark/>
          </w:tcPr>
          <w:p w14:paraId="09EF6355" w14:textId="77777777" w:rsidR="00D123BB" w:rsidRPr="003278ED" w:rsidRDefault="00D123BB" w:rsidP="007D3A2B">
            <w:pPr>
              <w:spacing w:after="0" w:line="240" w:lineRule="auto"/>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FAOAM</w:t>
            </w:r>
          </w:p>
        </w:tc>
        <w:tc>
          <w:tcPr>
            <w:tcW w:w="514" w:type="pct"/>
            <w:noWrap/>
            <w:vAlign w:val="center"/>
            <w:hideMark/>
          </w:tcPr>
          <w:p w14:paraId="3FC273A5"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21DB4A86"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74C6B864"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069CB9A3"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4" w:type="pct"/>
            <w:noWrap/>
            <w:vAlign w:val="center"/>
            <w:hideMark/>
          </w:tcPr>
          <w:p w14:paraId="458A4582"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649954E8"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0" w:type="pct"/>
            <w:noWrap/>
            <w:vAlign w:val="center"/>
            <w:hideMark/>
          </w:tcPr>
          <w:p w14:paraId="695B2976"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c>
          <w:tcPr>
            <w:tcW w:w="461" w:type="pct"/>
            <w:noWrap/>
            <w:vAlign w:val="center"/>
            <w:hideMark/>
          </w:tcPr>
          <w:p w14:paraId="69528442" w14:textId="77777777" w:rsidR="00D123BB" w:rsidRPr="003278ED" w:rsidRDefault="00D123BB" w:rsidP="007D3A2B">
            <w:pPr>
              <w:spacing w:after="0" w:line="240" w:lineRule="auto"/>
              <w:jc w:val="center"/>
              <w:rPr>
                <w:rFonts w:ascii="Times New Roman" w:hAnsi="Times New Roman" w:cs="Times New Roman"/>
                <w:color w:val="000000"/>
                <w:sz w:val="14"/>
                <w:szCs w:val="14"/>
              </w:rPr>
            </w:pPr>
            <w:r w:rsidRPr="003278ED">
              <w:rPr>
                <w:rFonts w:ascii="Times New Roman" w:hAnsi="Times New Roman" w:cs="Times New Roman"/>
                <w:color w:val="000000"/>
                <w:sz w:val="14"/>
                <w:szCs w:val="14"/>
              </w:rPr>
              <w:t>0,0%</w:t>
            </w:r>
          </w:p>
        </w:tc>
      </w:tr>
      <w:tr w:rsidR="00D123BB" w:rsidRPr="003278ED" w14:paraId="111B56EF" w14:textId="77777777" w:rsidTr="004C2B11">
        <w:trPr>
          <w:trHeight w:val="101"/>
        </w:trPr>
        <w:tc>
          <w:tcPr>
            <w:tcW w:w="1259" w:type="pct"/>
            <w:gridSpan w:val="3"/>
            <w:noWrap/>
            <w:vAlign w:val="bottom"/>
            <w:hideMark/>
          </w:tcPr>
          <w:p w14:paraId="6E60D213" w14:textId="2DE34F24" w:rsidR="00D123BB" w:rsidRPr="003278ED" w:rsidRDefault="00D123BB" w:rsidP="007D3A2B">
            <w:pPr>
              <w:spacing w:after="0" w:line="240" w:lineRule="auto"/>
              <w:rPr>
                <w:rFonts w:ascii="Times New Roman" w:hAnsi="Times New Roman" w:cs="Times New Roman"/>
                <w:bCs/>
                <w:i/>
                <w:color w:val="000000"/>
                <w:sz w:val="14"/>
                <w:szCs w:val="14"/>
              </w:rPr>
            </w:pPr>
            <w:r w:rsidRPr="003278ED">
              <w:rPr>
                <w:rFonts w:ascii="Times New Roman" w:hAnsi="Times New Roman" w:cs="Times New Roman"/>
                <w:bCs/>
                <w:i/>
                <w:color w:val="000000"/>
                <w:sz w:val="14"/>
                <w:szCs w:val="14"/>
              </w:rPr>
              <w:t>Informativ PIB (mil.</w:t>
            </w:r>
            <w:r w:rsidR="002D4DD0" w:rsidRPr="003278ED">
              <w:rPr>
                <w:rFonts w:ascii="Times New Roman" w:hAnsi="Times New Roman" w:cs="Times New Roman"/>
                <w:bCs/>
                <w:i/>
                <w:color w:val="000000"/>
                <w:sz w:val="14"/>
                <w:szCs w:val="14"/>
              </w:rPr>
              <w:t xml:space="preserve"> </w:t>
            </w:r>
            <w:r w:rsidRPr="003278ED">
              <w:rPr>
                <w:rFonts w:ascii="Times New Roman" w:hAnsi="Times New Roman" w:cs="Times New Roman"/>
                <w:bCs/>
                <w:i/>
                <w:color w:val="000000"/>
                <w:sz w:val="14"/>
                <w:szCs w:val="14"/>
              </w:rPr>
              <w:t>lei) </w:t>
            </w:r>
          </w:p>
        </w:tc>
        <w:tc>
          <w:tcPr>
            <w:tcW w:w="514" w:type="pct"/>
            <w:noWrap/>
            <w:vAlign w:val="center"/>
            <w:hideMark/>
          </w:tcPr>
          <w:p w14:paraId="1368152C" w14:textId="77777777" w:rsidR="00D123BB" w:rsidRPr="003278ED" w:rsidRDefault="00D123BB" w:rsidP="007D3A2B">
            <w:pPr>
              <w:spacing w:after="0" w:line="240" w:lineRule="auto"/>
              <w:jc w:val="center"/>
              <w:rPr>
                <w:rFonts w:ascii="Times New Roman" w:hAnsi="Times New Roman" w:cs="Times New Roman"/>
                <w:i/>
                <w:color w:val="000000"/>
                <w:sz w:val="14"/>
                <w:szCs w:val="14"/>
              </w:rPr>
            </w:pPr>
            <w:r w:rsidRPr="003278ED">
              <w:rPr>
                <w:rFonts w:ascii="Times New Roman" w:hAnsi="Times New Roman" w:cs="Times New Roman"/>
                <w:i/>
                <w:color w:val="000000"/>
                <w:sz w:val="14"/>
                <w:szCs w:val="14"/>
              </w:rPr>
              <w:t> </w:t>
            </w:r>
          </w:p>
        </w:tc>
        <w:tc>
          <w:tcPr>
            <w:tcW w:w="460" w:type="pct"/>
            <w:noWrap/>
            <w:vAlign w:val="center"/>
            <w:hideMark/>
          </w:tcPr>
          <w:p w14:paraId="1B00EC9D" w14:textId="77777777" w:rsidR="00D123BB" w:rsidRPr="003278ED" w:rsidRDefault="00D123BB" w:rsidP="007D3A2B">
            <w:pPr>
              <w:spacing w:after="0" w:line="240" w:lineRule="auto"/>
              <w:jc w:val="center"/>
              <w:rPr>
                <w:rFonts w:ascii="Times New Roman" w:hAnsi="Times New Roman" w:cs="Times New Roman"/>
                <w:i/>
                <w:color w:val="000000"/>
                <w:sz w:val="14"/>
                <w:szCs w:val="14"/>
              </w:rPr>
            </w:pPr>
            <w:r w:rsidRPr="003278ED">
              <w:rPr>
                <w:rFonts w:ascii="Times New Roman" w:hAnsi="Times New Roman" w:cs="Times New Roman"/>
                <w:i/>
                <w:color w:val="000000"/>
                <w:sz w:val="14"/>
                <w:szCs w:val="14"/>
              </w:rPr>
              <w:t> </w:t>
            </w:r>
          </w:p>
        </w:tc>
        <w:tc>
          <w:tcPr>
            <w:tcW w:w="460" w:type="pct"/>
            <w:noWrap/>
            <w:vAlign w:val="center"/>
            <w:hideMark/>
          </w:tcPr>
          <w:p w14:paraId="0D81FC49" w14:textId="77777777" w:rsidR="00D123BB" w:rsidRPr="003278ED" w:rsidRDefault="00D123BB" w:rsidP="007D3A2B">
            <w:pPr>
              <w:spacing w:after="0" w:line="240" w:lineRule="auto"/>
              <w:jc w:val="center"/>
              <w:rPr>
                <w:rFonts w:ascii="Times New Roman" w:hAnsi="Times New Roman" w:cs="Times New Roman"/>
                <w:i/>
                <w:color w:val="000000"/>
                <w:sz w:val="14"/>
                <w:szCs w:val="14"/>
              </w:rPr>
            </w:pPr>
            <w:r w:rsidRPr="003278ED">
              <w:rPr>
                <w:rFonts w:ascii="Times New Roman" w:hAnsi="Times New Roman" w:cs="Times New Roman"/>
                <w:i/>
                <w:color w:val="000000"/>
                <w:sz w:val="14"/>
                <w:szCs w:val="14"/>
              </w:rPr>
              <w:t> </w:t>
            </w:r>
          </w:p>
        </w:tc>
        <w:tc>
          <w:tcPr>
            <w:tcW w:w="461" w:type="pct"/>
            <w:noWrap/>
            <w:vAlign w:val="center"/>
            <w:hideMark/>
          </w:tcPr>
          <w:p w14:paraId="4EB8274E" w14:textId="77777777" w:rsidR="00D123BB" w:rsidRPr="003278ED" w:rsidRDefault="00D123BB" w:rsidP="007D3A2B">
            <w:pPr>
              <w:spacing w:after="0" w:line="240" w:lineRule="auto"/>
              <w:jc w:val="center"/>
              <w:rPr>
                <w:rFonts w:ascii="Times New Roman" w:hAnsi="Times New Roman" w:cs="Times New Roman"/>
                <w:i/>
                <w:color w:val="000000"/>
                <w:sz w:val="14"/>
                <w:szCs w:val="14"/>
              </w:rPr>
            </w:pPr>
            <w:r w:rsidRPr="003278ED">
              <w:rPr>
                <w:rFonts w:ascii="Times New Roman" w:hAnsi="Times New Roman" w:cs="Times New Roman"/>
                <w:i/>
                <w:color w:val="000000"/>
                <w:sz w:val="14"/>
                <w:szCs w:val="14"/>
              </w:rPr>
              <w:t> </w:t>
            </w:r>
          </w:p>
        </w:tc>
        <w:tc>
          <w:tcPr>
            <w:tcW w:w="464" w:type="pct"/>
            <w:noWrap/>
            <w:vAlign w:val="center"/>
            <w:hideMark/>
          </w:tcPr>
          <w:p w14:paraId="09C8AA50"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Cs/>
                <w:i/>
                <w:color w:val="000000"/>
                <w:sz w:val="14"/>
                <w:szCs w:val="14"/>
              </w:rPr>
              <w:t>342 100</w:t>
            </w:r>
          </w:p>
        </w:tc>
        <w:tc>
          <w:tcPr>
            <w:tcW w:w="460" w:type="pct"/>
            <w:noWrap/>
            <w:vAlign w:val="center"/>
            <w:hideMark/>
          </w:tcPr>
          <w:p w14:paraId="723A83C5"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Cs/>
                <w:i/>
                <w:color w:val="000000"/>
                <w:sz w:val="14"/>
                <w:szCs w:val="14"/>
              </w:rPr>
              <w:t>358 700</w:t>
            </w:r>
          </w:p>
        </w:tc>
        <w:tc>
          <w:tcPr>
            <w:tcW w:w="460" w:type="pct"/>
            <w:noWrap/>
            <w:vAlign w:val="center"/>
            <w:hideMark/>
          </w:tcPr>
          <w:p w14:paraId="49DE0C0F"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Cs/>
                <w:i/>
                <w:color w:val="000000"/>
                <w:sz w:val="14"/>
                <w:szCs w:val="14"/>
              </w:rPr>
              <w:t>392 800</w:t>
            </w:r>
          </w:p>
        </w:tc>
        <w:tc>
          <w:tcPr>
            <w:tcW w:w="461" w:type="pct"/>
            <w:noWrap/>
            <w:vAlign w:val="center"/>
            <w:hideMark/>
          </w:tcPr>
          <w:p w14:paraId="66818013" w14:textId="77777777" w:rsidR="00D123BB" w:rsidRPr="003278ED" w:rsidRDefault="00D123BB" w:rsidP="007D3A2B">
            <w:pPr>
              <w:spacing w:after="0" w:line="240" w:lineRule="auto"/>
              <w:jc w:val="center"/>
              <w:rPr>
                <w:rFonts w:ascii="Times New Roman" w:hAnsi="Times New Roman" w:cs="Times New Roman"/>
                <w:bCs/>
                <w:i/>
                <w:color w:val="000000"/>
                <w:sz w:val="14"/>
                <w:szCs w:val="14"/>
              </w:rPr>
            </w:pPr>
            <w:r w:rsidRPr="003278ED">
              <w:rPr>
                <w:rFonts w:ascii="Times New Roman" w:hAnsi="Times New Roman" w:cs="Times New Roman"/>
                <w:bCs/>
                <w:i/>
                <w:color w:val="000000"/>
                <w:sz w:val="14"/>
                <w:szCs w:val="14"/>
              </w:rPr>
              <w:t>429 100</w:t>
            </w:r>
          </w:p>
        </w:tc>
      </w:tr>
    </w:tbl>
    <w:p w14:paraId="259750D0" w14:textId="77777777" w:rsidR="00072588" w:rsidRDefault="00072588" w:rsidP="007D3A2B">
      <w:pPr>
        <w:pStyle w:val="Table"/>
        <w:spacing w:before="0" w:line="240" w:lineRule="auto"/>
        <w:rPr>
          <w:rFonts w:ascii="Times New Roman" w:hAnsi="Times New Roman"/>
          <w:bCs/>
          <w:i/>
          <w:iCs/>
          <w:color w:val="000000"/>
          <w:sz w:val="16"/>
          <w:szCs w:val="16"/>
          <w:lang w:val="ro-RO"/>
        </w:rPr>
      </w:pPr>
    </w:p>
    <w:p w14:paraId="60E2D63B" w14:textId="08FE79E7" w:rsidR="00D123BB" w:rsidRPr="00072588" w:rsidRDefault="00D123BB" w:rsidP="007D3A2B">
      <w:pPr>
        <w:pStyle w:val="Table"/>
        <w:spacing w:before="0" w:line="240" w:lineRule="auto"/>
        <w:rPr>
          <w:rFonts w:ascii="Times New Roman" w:hAnsi="Times New Roman"/>
          <w:b w:val="0"/>
          <w:bCs/>
          <w:i/>
          <w:iCs/>
          <w:color w:val="000000"/>
          <w:szCs w:val="20"/>
          <w:lang w:val="ro-RO"/>
        </w:rPr>
      </w:pPr>
      <w:r w:rsidRPr="00072588">
        <w:rPr>
          <w:rFonts w:ascii="Times New Roman" w:hAnsi="Times New Roman"/>
          <w:bCs/>
          <w:i/>
          <w:iCs/>
          <w:color w:val="000000"/>
          <w:szCs w:val="20"/>
          <w:lang w:val="ro-RO"/>
        </w:rPr>
        <w:t>Sursa:</w:t>
      </w:r>
      <w:r w:rsidRPr="00072588">
        <w:rPr>
          <w:rFonts w:ascii="Times New Roman" w:hAnsi="Times New Roman"/>
          <w:b w:val="0"/>
          <w:bCs/>
          <w:i/>
          <w:iCs/>
          <w:color w:val="000000"/>
          <w:szCs w:val="20"/>
          <w:lang w:val="ro-RO"/>
        </w:rPr>
        <w:t xml:space="preserve"> Ministerul Finanțelor</w:t>
      </w:r>
    </w:p>
    <w:p w14:paraId="7941733E" w14:textId="77777777" w:rsidR="00436DCC" w:rsidRPr="003278ED" w:rsidRDefault="00436DCC" w:rsidP="007D3A2B">
      <w:pPr>
        <w:pStyle w:val="Table"/>
        <w:spacing w:before="0" w:line="240" w:lineRule="auto"/>
        <w:ind w:firstLine="567"/>
        <w:contextualSpacing/>
        <w:rPr>
          <w:rFonts w:ascii="Times New Roman" w:hAnsi="Times New Roman"/>
          <w:b w:val="0"/>
          <w:color w:val="auto"/>
          <w:sz w:val="24"/>
          <w:szCs w:val="24"/>
          <w:lang w:val="ro-RO" w:eastAsia="ru-RU"/>
        </w:rPr>
      </w:pPr>
    </w:p>
    <w:p w14:paraId="5EEEFB3F" w14:textId="77777777" w:rsidR="00813D27" w:rsidRPr="003278ED" w:rsidRDefault="00813D27" w:rsidP="007D3A2B">
      <w:pPr>
        <w:pStyle w:val="Table"/>
        <w:spacing w:before="0" w:line="240" w:lineRule="auto"/>
        <w:ind w:firstLine="709"/>
        <w:contextualSpacing/>
        <w:jc w:val="both"/>
        <w:rPr>
          <w:rFonts w:ascii="Times New Roman" w:hAnsi="Times New Roman"/>
          <w:b w:val="0"/>
          <w:color w:val="auto"/>
          <w:sz w:val="24"/>
          <w:szCs w:val="24"/>
          <w:lang w:val="ro-RO" w:eastAsia="ru-RU"/>
        </w:rPr>
      </w:pPr>
      <w:r w:rsidRPr="003278ED">
        <w:rPr>
          <w:rFonts w:ascii="Times New Roman" w:hAnsi="Times New Roman"/>
          <w:b w:val="0"/>
          <w:color w:val="auto"/>
          <w:sz w:val="24"/>
          <w:szCs w:val="24"/>
          <w:lang w:val="ro-RO" w:eastAsia="ru-RU"/>
        </w:rPr>
        <w:t xml:space="preserve">Totuși, perspectivele pe termen mediu sunt pozitive, cu asigurarea unui echilibru optim între consolidarea bugetară și sprijinirea redresării economice. </w:t>
      </w:r>
    </w:p>
    <w:p w14:paraId="1129851E" w14:textId="68D0B12A" w:rsidR="00813D27" w:rsidRPr="003278ED" w:rsidRDefault="00813D27" w:rsidP="007D3A2B">
      <w:pPr>
        <w:pStyle w:val="Table"/>
        <w:spacing w:before="0" w:line="240" w:lineRule="auto"/>
        <w:ind w:firstLine="709"/>
        <w:jc w:val="both"/>
        <w:rPr>
          <w:rFonts w:ascii="Times New Roman" w:hAnsi="Times New Roman"/>
          <w:b w:val="0"/>
          <w:color w:val="auto"/>
          <w:sz w:val="24"/>
          <w:szCs w:val="24"/>
          <w:lang w:val="ro-RO" w:eastAsia="ru-RU"/>
        </w:rPr>
      </w:pPr>
      <w:r w:rsidRPr="003278ED">
        <w:rPr>
          <w:rFonts w:ascii="Times New Roman" w:hAnsi="Times New Roman"/>
          <w:b w:val="0"/>
          <w:color w:val="auto"/>
          <w:sz w:val="24"/>
          <w:szCs w:val="24"/>
          <w:lang w:val="ro-RO" w:eastAsia="ru-RU"/>
        </w:rPr>
        <w:t>Devierile față de CBTM (2025-2027) pe indicatorii bugetului public național se prezintă în tabelul 3.4</w:t>
      </w:r>
      <w:r w:rsidR="002D4DD0" w:rsidRPr="003278ED">
        <w:rPr>
          <w:rFonts w:ascii="Times New Roman" w:hAnsi="Times New Roman"/>
          <w:b w:val="0"/>
          <w:color w:val="auto"/>
          <w:sz w:val="24"/>
          <w:szCs w:val="24"/>
          <w:lang w:val="ro-RO" w:eastAsia="ru-RU"/>
        </w:rPr>
        <w:t>.</w:t>
      </w:r>
    </w:p>
    <w:p w14:paraId="2B73A987" w14:textId="77777777" w:rsidR="00E338E9" w:rsidRPr="003278ED" w:rsidRDefault="00E338E9" w:rsidP="007D3A2B">
      <w:pPr>
        <w:pStyle w:val="Table"/>
        <w:spacing w:before="0" w:line="240" w:lineRule="auto"/>
        <w:ind w:right="119" w:firstLine="567"/>
        <w:contextualSpacing/>
        <w:jc w:val="right"/>
        <w:rPr>
          <w:rFonts w:ascii="Times New Roman" w:hAnsi="Times New Roman"/>
          <w:bCs/>
          <w:color w:val="auto"/>
          <w:sz w:val="22"/>
          <w:szCs w:val="18"/>
          <w:lang w:val="ro-RO"/>
        </w:rPr>
      </w:pPr>
    </w:p>
    <w:p w14:paraId="00E49297" w14:textId="77777777" w:rsidR="00813D27" w:rsidRPr="003278ED" w:rsidRDefault="00813D27" w:rsidP="007D3A2B">
      <w:pPr>
        <w:pStyle w:val="Table"/>
        <w:spacing w:before="0" w:line="240" w:lineRule="auto"/>
        <w:ind w:right="119" w:firstLine="567"/>
        <w:contextualSpacing/>
        <w:jc w:val="right"/>
        <w:rPr>
          <w:rFonts w:ascii="Times New Roman" w:hAnsi="Times New Roman"/>
          <w:b w:val="0"/>
          <w:bCs/>
          <w:color w:val="auto"/>
          <w:sz w:val="24"/>
          <w:szCs w:val="24"/>
          <w:lang w:val="ro-RO"/>
        </w:rPr>
      </w:pPr>
      <w:r w:rsidRPr="003278ED">
        <w:rPr>
          <w:rFonts w:ascii="Times New Roman" w:hAnsi="Times New Roman"/>
          <w:b w:val="0"/>
          <w:bCs/>
          <w:color w:val="auto"/>
          <w:sz w:val="24"/>
          <w:szCs w:val="24"/>
          <w:lang w:val="ro-RO"/>
        </w:rPr>
        <w:t>Tabelul 3.4</w:t>
      </w:r>
    </w:p>
    <w:p w14:paraId="5BD8514B" w14:textId="77777777" w:rsidR="00813D27" w:rsidRPr="003278ED" w:rsidRDefault="00813D27" w:rsidP="007D3A2B">
      <w:pPr>
        <w:pStyle w:val="Table"/>
        <w:spacing w:before="0" w:line="240" w:lineRule="auto"/>
        <w:ind w:firstLine="567"/>
        <w:contextualSpacing/>
        <w:jc w:val="both"/>
        <w:rPr>
          <w:rFonts w:ascii="Times New Roman" w:hAnsi="Times New Roman"/>
          <w:b w:val="0"/>
          <w:color w:val="auto"/>
          <w:sz w:val="24"/>
          <w:szCs w:val="24"/>
          <w:lang w:val="ro-RO"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2599"/>
        <w:gridCol w:w="812"/>
        <w:gridCol w:w="812"/>
        <w:gridCol w:w="853"/>
        <w:gridCol w:w="855"/>
        <w:gridCol w:w="827"/>
        <w:gridCol w:w="827"/>
        <w:gridCol w:w="874"/>
        <w:gridCol w:w="874"/>
      </w:tblGrid>
      <w:tr w:rsidR="00813D27" w:rsidRPr="003278ED" w14:paraId="7CC86B33" w14:textId="77777777" w:rsidTr="004C2B11">
        <w:trPr>
          <w:tblHeader/>
        </w:trPr>
        <w:tc>
          <w:tcPr>
            <w:tcW w:w="1393" w:type="pct"/>
            <w:vMerge w:val="restart"/>
            <w:tcMar>
              <w:top w:w="0" w:type="dxa"/>
              <w:left w:w="115" w:type="dxa"/>
              <w:bottom w:w="0" w:type="dxa"/>
              <w:right w:w="115" w:type="dxa"/>
            </w:tcMar>
            <w:hideMark/>
          </w:tcPr>
          <w:p w14:paraId="14B38B0F"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p>
        </w:tc>
        <w:tc>
          <w:tcPr>
            <w:tcW w:w="870" w:type="pct"/>
            <w:gridSpan w:val="2"/>
            <w:tcMar>
              <w:top w:w="0" w:type="dxa"/>
              <w:left w:w="115" w:type="dxa"/>
              <w:bottom w:w="0" w:type="dxa"/>
              <w:right w:w="115" w:type="dxa"/>
            </w:tcMar>
            <w:hideMark/>
          </w:tcPr>
          <w:p w14:paraId="46EA711A"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CBTM (2024-2026)</w:t>
            </w:r>
          </w:p>
        </w:tc>
        <w:tc>
          <w:tcPr>
            <w:tcW w:w="915" w:type="pct"/>
            <w:gridSpan w:val="2"/>
          </w:tcPr>
          <w:p w14:paraId="2B01C432"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color w:val="000000"/>
                <w:sz w:val="16"/>
                <w:szCs w:val="16"/>
                <w:shd w:val="clear" w:color="auto" w:fill="FFFFFF"/>
              </w:rPr>
              <w:t>CBTM</w:t>
            </w:r>
            <w:r w:rsidRPr="003278ED">
              <w:rPr>
                <w:rFonts w:ascii="Times New Roman" w:eastAsia="Times New Roman" w:hAnsi="Times New Roman" w:cs="Times New Roman"/>
                <w:b/>
                <w:bCs/>
                <w:color w:val="000000"/>
                <w:sz w:val="16"/>
                <w:szCs w:val="16"/>
                <w:shd w:val="clear" w:color="auto" w:fill="FFFFFF"/>
              </w:rPr>
              <w:t xml:space="preserve"> (2025-2027)</w:t>
            </w:r>
          </w:p>
        </w:tc>
        <w:tc>
          <w:tcPr>
            <w:tcW w:w="885" w:type="pct"/>
            <w:gridSpan w:val="2"/>
            <w:tcMar>
              <w:top w:w="0" w:type="dxa"/>
              <w:left w:w="115" w:type="dxa"/>
              <w:bottom w:w="0" w:type="dxa"/>
              <w:right w:w="115" w:type="dxa"/>
            </w:tcMar>
            <w:hideMark/>
          </w:tcPr>
          <w:p w14:paraId="7DD06C28"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CBTM (2024-2026)</w:t>
            </w:r>
          </w:p>
        </w:tc>
        <w:tc>
          <w:tcPr>
            <w:tcW w:w="937" w:type="pct"/>
            <w:gridSpan w:val="2"/>
          </w:tcPr>
          <w:p w14:paraId="3FD22B00"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color w:val="000000"/>
                <w:sz w:val="16"/>
                <w:szCs w:val="16"/>
                <w:shd w:val="clear" w:color="auto" w:fill="FFFFFF"/>
              </w:rPr>
              <w:t>CBTM</w:t>
            </w:r>
            <w:r w:rsidRPr="003278ED">
              <w:rPr>
                <w:rFonts w:ascii="Times New Roman" w:eastAsia="Times New Roman" w:hAnsi="Times New Roman" w:cs="Times New Roman"/>
                <w:b/>
                <w:bCs/>
                <w:color w:val="000000"/>
                <w:sz w:val="16"/>
                <w:szCs w:val="16"/>
                <w:shd w:val="clear" w:color="auto" w:fill="FFFFFF"/>
              </w:rPr>
              <w:t xml:space="preserve"> (2025-2027)</w:t>
            </w:r>
          </w:p>
        </w:tc>
      </w:tr>
      <w:tr w:rsidR="00813D27" w:rsidRPr="003278ED" w14:paraId="67BA88C5" w14:textId="77777777" w:rsidTr="004C2B11">
        <w:trPr>
          <w:trHeight w:val="306"/>
          <w:tblHeader/>
        </w:trPr>
        <w:tc>
          <w:tcPr>
            <w:tcW w:w="1393" w:type="pct"/>
            <w:vMerge/>
            <w:vAlign w:val="center"/>
            <w:hideMark/>
          </w:tcPr>
          <w:p w14:paraId="2FC57951" w14:textId="77777777" w:rsidR="00813D27" w:rsidRPr="003278ED" w:rsidRDefault="00813D27" w:rsidP="007D3A2B">
            <w:pPr>
              <w:spacing w:after="0" w:line="240" w:lineRule="auto"/>
              <w:rPr>
                <w:rFonts w:ascii="Times New Roman" w:eastAsia="Times New Roman" w:hAnsi="Times New Roman" w:cs="Times New Roman"/>
                <w:b/>
                <w:bCs/>
                <w:sz w:val="24"/>
                <w:szCs w:val="24"/>
              </w:rPr>
            </w:pPr>
          </w:p>
        </w:tc>
        <w:tc>
          <w:tcPr>
            <w:tcW w:w="435" w:type="pct"/>
            <w:tcMar>
              <w:top w:w="0" w:type="dxa"/>
              <w:left w:w="115" w:type="dxa"/>
              <w:bottom w:w="0" w:type="dxa"/>
              <w:right w:w="115" w:type="dxa"/>
            </w:tcMar>
            <w:vAlign w:val="center"/>
            <w:hideMark/>
          </w:tcPr>
          <w:p w14:paraId="45CBE095"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2025</w:t>
            </w:r>
          </w:p>
        </w:tc>
        <w:tc>
          <w:tcPr>
            <w:tcW w:w="435" w:type="pct"/>
            <w:tcMar>
              <w:top w:w="0" w:type="dxa"/>
              <w:left w:w="115" w:type="dxa"/>
              <w:bottom w:w="0" w:type="dxa"/>
              <w:right w:w="115" w:type="dxa"/>
            </w:tcMar>
            <w:vAlign w:val="center"/>
            <w:hideMark/>
          </w:tcPr>
          <w:p w14:paraId="39738AE6"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2026</w:t>
            </w:r>
          </w:p>
        </w:tc>
        <w:tc>
          <w:tcPr>
            <w:tcW w:w="457" w:type="pct"/>
            <w:tcMar>
              <w:top w:w="0" w:type="dxa"/>
              <w:left w:w="115" w:type="dxa"/>
              <w:bottom w:w="0" w:type="dxa"/>
              <w:right w:w="115" w:type="dxa"/>
            </w:tcMar>
            <w:vAlign w:val="center"/>
            <w:hideMark/>
          </w:tcPr>
          <w:p w14:paraId="20A45A12"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2025</w:t>
            </w:r>
          </w:p>
        </w:tc>
        <w:tc>
          <w:tcPr>
            <w:tcW w:w="457" w:type="pct"/>
            <w:tcMar>
              <w:top w:w="0" w:type="dxa"/>
              <w:left w:w="115" w:type="dxa"/>
              <w:bottom w:w="0" w:type="dxa"/>
              <w:right w:w="115" w:type="dxa"/>
            </w:tcMar>
            <w:vAlign w:val="center"/>
            <w:hideMark/>
          </w:tcPr>
          <w:p w14:paraId="5C202713"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2026</w:t>
            </w:r>
          </w:p>
        </w:tc>
        <w:tc>
          <w:tcPr>
            <w:tcW w:w="443" w:type="pct"/>
            <w:tcMar>
              <w:top w:w="0" w:type="dxa"/>
              <w:left w:w="115" w:type="dxa"/>
              <w:bottom w:w="0" w:type="dxa"/>
              <w:right w:w="115" w:type="dxa"/>
            </w:tcMar>
            <w:vAlign w:val="center"/>
            <w:hideMark/>
          </w:tcPr>
          <w:p w14:paraId="5887E921"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highlight w:val="lightGray"/>
              </w:rPr>
            </w:pPr>
            <w:r w:rsidRPr="003278ED">
              <w:rPr>
                <w:rFonts w:ascii="Times New Roman" w:eastAsia="Times New Roman" w:hAnsi="Times New Roman" w:cs="Times New Roman"/>
                <w:b/>
                <w:bCs/>
                <w:color w:val="000000"/>
                <w:sz w:val="16"/>
                <w:szCs w:val="16"/>
                <w:shd w:val="clear" w:color="auto" w:fill="FFFFFF"/>
              </w:rPr>
              <w:t>2025</w:t>
            </w:r>
          </w:p>
        </w:tc>
        <w:tc>
          <w:tcPr>
            <w:tcW w:w="443" w:type="pct"/>
            <w:tcMar>
              <w:top w:w="0" w:type="dxa"/>
              <w:left w:w="115" w:type="dxa"/>
              <w:bottom w:w="0" w:type="dxa"/>
              <w:right w:w="115" w:type="dxa"/>
            </w:tcMar>
            <w:vAlign w:val="center"/>
            <w:hideMark/>
          </w:tcPr>
          <w:p w14:paraId="71078009"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highlight w:val="lightGray"/>
              </w:rPr>
            </w:pPr>
            <w:r w:rsidRPr="003278ED">
              <w:rPr>
                <w:rFonts w:ascii="Times New Roman" w:eastAsia="Times New Roman" w:hAnsi="Times New Roman" w:cs="Times New Roman"/>
                <w:b/>
                <w:bCs/>
                <w:color w:val="000000"/>
                <w:sz w:val="16"/>
                <w:szCs w:val="16"/>
                <w:shd w:val="clear" w:color="auto" w:fill="FFFFFF"/>
              </w:rPr>
              <w:t>2026</w:t>
            </w:r>
          </w:p>
        </w:tc>
        <w:tc>
          <w:tcPr>
            <w:tcW w:w="468" w:type="pct"/>
            <w:tcMar>
              <w:top w:w="0" w:type="dxa"/>
              <w:left w:w="115" w:type="dxa"/>
              <w:bottom w:w="0" w:type="dxa"/>
              <w:right w:w="115" w:type="dxa"/>
            </w:tcMar>
            <w:vAlign w:val="center"/>
            <w:hideMark/>
          </w:tcPr>
          <w:p w14:paraId="47C7CC6F"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2025</w:t>
            </w:r>
          </w:p>
        </w:tc>
        <w:tc>
          <w:tcPr>
            <w:tcW w:w="468" w:type="pct"/>
            <w:tcMar>
              <w:top w:w="0" w:type="dxa"/>
              <w:left w:w="115" w:type="dxa"/>
              <w:bottom w:w="0" w:type="dxa"/>
              <w:right w:w="115" w:type="dxa"/>
            </w:tcMar>
            <w:vAlign w:val="center"/>
            <w:hideMark/>
          </w:tcPr>
          <w:p w14:paraId="56FA9F35"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2026</w:t>
            </w:r>
          </w:p>
        </w:tc>
      </w:tr>
      <w:tr w:rsidR="00813D27" w:rsidRPr="003278ED" w14:paraId="1737FCD6" w14:textId="77777777" w:rsidTr="004C2B11">
        <w:trPr>
          <w:trHeight w:val="197"/>
        </w:trPr>
        <w:tc>
          <w:tcPr>
            <w:tcW w:w="1393" w:type="pct"/>
            <w:vMerge/>
            <w:tcMar>
              <w:top w:w="0" w:type="dxa"/>
              <w:left w:w="115" w:type="dxa"/>
              <w:bottom w:w="0" w:type="dxa"/>
              <w:right w:w="115" w:type="dxa"/>
            </w:tcMar>
            <w:vAlign w:val="center"/>
          </w:tcPr>
          <w:p w14:paraId="7A1DE992" w14:textId="77777777" w:rsidR="00813D27" w:rsidRPr="003278ED" w:rsidRDefault="00813D27" w:rsidP="007D3A2B">
            <w:pPr>
              <w:spacing w:after="0" w:line="240" w:lineRule="auto"/>
              <w:jc w:val="both"/>
              <w:rPr>
                <w:rFonts w:ascii="Times New Roman" w:eastAsia="Times New Roman" w:hAnsi="Times New Roman" w:cs="Times New Roman"/>
                <w:b/>
                <w:bCs/>
                <w:color w:val="000000"/>
                <w:sz w:val="16"/>
                <w:szCs w:val="16"/>
                <w:shd w:val="clear" w:color="auto" w:fill="FFFFFF"/>
              </w:rPr>
            </w:pPr>
          </w:p>
        </w:tc>
        <w:tc>
          <w:tcPr>
            <w:tcW w:w="1785" w:type="pct"/>
            <w:gridSpan w:val="4"/>
            <w:tcMar>
              <w:top w:w="0" w:type="dxa"/>
              <w:left w:w="115" w:type="dxa"/>
              <w:bottom w:w="0" w:type="dxa"/>
              <w:right w:w="115" w:type="dxa"/>
            </w:tcMar>
          </w:tcPr>
          <w:p w14:paraId="6896777A"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Mil. lei</w:t>
            </w:r>
          </w:p>
        </w:tc>
        <w:tc>
          <w:tcPr>
            <w:tcW w:w="1822" w:type="pct"/>
            <w:gridSpan w:val="4"/>
            <w:tcMar>
              <w:top w:w="0" w:type="dxa"/>
              <w:left w:w="115" w:type="dxa"/>
              <w:bottom w:w="0" w:type="dxa"/>
              <w:right w:w="115" w:type="dxa"/>
            </w:tcMar>
          </w:tcPr>
          <w:p w14:paraId="6F7283D2" w14:textId="77777777" w:rsidR="00813D27" w:rsidRPr="003278ED" w:rsidRDefault="00813D27" w:rsidP="007D3A2B">
            <w:pPr>
              <w:spacing w:after="0" w:line="240" w:lineRule="auto"/>
              <w:jc w:val="center"/>
              <w:rPr>
                <w:rFonts w:ascii="Times New Roman" w:eastAsia="Times New Roman" w:hAnsi="Times New Roman" w:cs="Times New Roman"/>
                <w:b/>
                <w:bCs/>
                <w:sz w:val="24"/>
                <w:szCs w:val="24"/>
              </w:rPr>
            </w:pPr>
            <w:r w:rsidRPr="003278ED">
              <w:rPr>
                <w:rFonts w:ascii="Times New Roman" w:eastAsia="Times New Roman" w:hAnsi="Times New Roman" w:cs="Times New Roman"/>
                <w:b/>
                <w:bCs/>
                <w:color w:val="000000"/>
                <w:sz w:val="16"/>
                <w:szCs w:val="16"/>
                <w:shd w:val="clear" w:color="auto" w:fill="FFFFFF"/>
              </w:rPr>
              <w:t>% in PIB</w:t>
            </w:r>
          </w:p>
        </w:tc>
      </w:tr>
      <w:tr w:rsidR="0020727D" w:rsidRPr="003278ED" w14:paraId="04EC45F1" w14:textId="77777777" w:rsidTr="004C2B11">
        <w:trPr>
          <w:trHeight w:val="366"/>
        </w:trPr>
        <w:tc>
          <w:tcPr>
            <w:tcW w:w="1393" w:type="pct"/>
            <w:shd w:val="clear" w:color="auto" w:fill="auto"/>
            <w:tcMar>
              <w:top w:w="0" w:type="dxa"/>
              <w:left w:w="115" w:type="dxa"/>
              <w:bottom w:w="0" w:type="dxa"/>
              <w:right w:w="115" w:type="dxa"/>
            </w:tcMar>
            <w:vAlign w:val="center"/>
            <w:hideMark/>
          </w:tcPr>
          <w:p w14:paraId="59EB66CC" w14:textId="77777777" w:rsidR="00813D27" w:rsidRPr="003278ED" w:rsidRDefault="00813D27" w:rsidP="007D3A2B">
            <w:pPr>
              <w:spacing w:after="0" w:line="240" w:lineRule="auto"/>
              <w:rPr>
                <w:rFonts w:ascii="Times New Roman" w:hAnsi="Times New Roman" w:cs="Times New Roman"/>
                <w:b/>
                <w:sz w:val="18"/>
                <w:szCs w:val="18"/>
              </w:rPr>
            </w:pPr>
            <w:r w:rsidRPr="003278ED">
              <w:rPr>
                <w:rFonts w:ascii="Times New Roman" w:hAnsi="Times New Roman" w:cs="Times New Roman"/>
                <w:b/>
                <w:sz w:val="18"/>
                <w:szCs w:val="18"/>
              </w:rPr>
              <w:t>Total venituri</w:t>
            </w:r>
          </w:p>
        </w:tc>
        <w:tc>
          <w:tcPr>
            <w:tcW w:w="435" w:type="pct"/>
            <w:shd w:val="clear" w:color="auto" w:fill="auto"/>
            <w:tcMar>
              <w:top w:w="0" w:type="dxa"/>
              <w:left w:w="115" w:type="dxa"/>
              <w:bottom w:w="0" w:type="dxa"/>
              <w:right w:w="115" w:type="dxa"/>
            </w:tcMar>
            <w:vAlign w:val="center"/>
            <w:hideMark/>
          </w:tcPr>
          <w:p w14:paraId="36D37DC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113 234</w:t>
            </w:r>
          </w:p>
        </w:tc>
        <w:tc>
          <w:tcPr>
            <w:tcW w:w="435" w:type="pct"/>
            <w:shd w:val="clear" w:color="auto" w:fill="auto"/>
            <w:tcMar>
              <w:top w:w="0" w:type="dxa"/>
              <w:left w:w="115" w:type="dxa"/>
              <w:bottom w:w="0" w:type="dxa"/>
              <w:right w:w="115" w:type="dxa"/>
            </w:tcMar>
            <w:vAlign w:val="center"/>
            <w:hideMark/>
          </w:tcPr>
          <w:p w14:paraId="6A8CCA5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122 394</w:t>
            </w:r>
          </w:p>
        </w:tc>
        <w:tc>
          <w:tcPr>
            <w:tcW w:w="457" w:type="pct"/>
            <w:shd w:val="clear" w:color="auto" w:fill="auto"/>
            <w:tcMar>
              <w:top w:w="0" w:type="dxa"/>
              <w:left w:w="115" w:type="dxa"/>
              <w:bottom w:w="0" w:type="dxa"/>
              <w:right w:w="115" w:type="dxa"/>
            </w:tcMar>
            <w:vAlign w:val="center"/>
            <w:hideMark/>
          </w:tcPr>
          <w:p w14:paraId="363BCC1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115 867</w:t>
            </w:r>
          </w:p>
        </w:tc>
        <w:tc>
          <w:tcPr>
            <w:tcW w:w="457" w:type="pct"/>
            <w:shd w:val="clear" w:color="auto" w:fill="auto"/>
            <w:tcMar>
              <w:top w:w="0" w:type="dxa"/>
              <w:left w:w="115" w:type="dxa"/>
              <w:bottom w:w="0" w:type="dxa"/>
              <w:right w:w="115" w:type="dxa"/>
            </w:tcMar>
            <w:vAlign w:val="center"/>
            <w:hideMark/>
          </w:tcPr>
          <w:p w14:paraId="2F116FB0"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124 474</w:t>
            </w:r>
          </w:p>
        </w:tc>
        <w:tc>
          <w:tcPr>
            <w:tcW w:w="443" w:type="pct"/>
            <w:shd w:val="clear" w:color="auto" w:fill="auto"/>
            <w:tcMar>
              <w:top w:w="0" w:type="dxa"/>
              <w:left w:w="115" w:type="dxa"/>
              <w:bottom w:w="0" w:type="dxa"/>
              <w:right w:w="115" w:type="dxa"/>
            </w:tcMar>
            <w:vAlign w:val="center"/>
            <w:hideMark/>
          </w:tcPr>
          <w:p w14:paraId="4AF68AE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30,1%</w:t>
            </w:r>
          </w:p>
        </w:tc>
        <w:tc>
          <w:tcPr>
            <w:tcW w:w="443" w:type="pct"/>
            <w:shd w:val="clear" w:color="auto" w:fill="auto"/>
            <w:tcMar>
              <w:top w:w="0" w:type="dxa"/>
              <w:left w:w="115" w:type="dxa"/>
              <w:bottom w:w="0" w:type="dxa"/>
              <w:right w:w="115" w:type="dxa"/>
            </w:tcMar>
            <w:vAlign w:val="center"/>
            <w:hideMark/>
          </w:tcPr>
          <w:p w14:paraId="6F3BA332"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29,3%</w:t>
            </w:r>
          </w:p>
        </w:tc>
        <w:tc>
          <w:tcPr>
            <w:tcW w:w="468" w:type="pct"/>
            <w:shd w:val="clear" w:color="auto" w:fill="auto"/>
            <w:tcMar>
              <w:top w:w="0" w:type="dxa"/>
              <w:left w:w="115" w:type="dxa"/>
              <w:bottom w:w="0" w:type="dxa"/>
              <w:right w:w="115" w:type="dxa"/>
            </w:tcMar>
            <w:vAlign w:val="center"/>
            <w:hideMark/>
          </w:tcPr>
          <w:p w14:paraId="5DF0A8D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32,3%</w:t>
            </w:r>
          </w:p>
        </w:tc>
        <w:tc>
          <w:tcPr>
            <w:tcW w:w="468" w:type="pct"/>
            <w:shd w:val="clear" w:color="auto" w:fill="auto"/>
            <w:tcMar>
              <w:top w:w="0" w:type="dxa"/>
              <w:left w:w="115" w:type="dxa"/>
              <w:bottom w:w="0" w:type="dxa"/>
              <w:right w:w="115" w:type="dxa"/>
            </w:tcMar>
            <w:vAlign w:val="center"/>
            <w:hideMark/>
          </w:tcPr>
          <w:p w14:paraId="748A9E6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sz w:val="16"/>
                <w:szCs w:val="16"/>
                <w:shd w:val="clear" w:color="auto" w:fill="FFFFFF"/>
              </w:rPr>
              <w:t>31,7%</w:t>
            </w:r>
          </w:p>
        </w:tc>
      </w:tr>
      <w:tr w:rsidR="00813D27" w:rsidRPr="003278ED" w14:paraId="76AF3154" w14:textId="77777777" w:rsidTr="004C2B11">
        <w:tc>
          <w:tcPr>
            <w:tcW w:w="1393" w:type="pct"/>
            <w:tcMar>
              <w:top w:w="0" w:type="dxa"/>
              <w:left w:w="115" w:type="dxa"/>
              <w:bottom w:w="0" w:type="dxa"/>
              <w:right w:w="115" w:type="dxa"/>
            </w:tcMar>
            <w:vAlign w:val="center"/>
            <w:hideMark/>
          </w:tcPr>
          <w:p w14:paraId="7743E4B9" w14:textId="77777777" w:rsidR="00813D27" w:rsidRPr="003278ED" w:rsidRDefault="00813D27" w:rsidP="007D3A2B">
            <w:pPr>
              <w:spacing w:after="0" w:line="240" w:lineRule="auto"/>
              <w:rPr>
                <w:rFonts w:ascii="Times New Roman" w:hAnsi="Times New Roman" w:cs="Times New Roman"/>
                <w:sz w:val="18"/>
                <w:szCs w:val="18"/>
              </w:rPr>
            </w:pPr>
            <w:r w:rsidRPr="003278ED">
              <w:rPr>
                <w:rFonts w:ascii="Times New Roman" w:hAnsi="Times New Roman" w:cs="Times New Roman"/>
                <w:color w:val="000000"/>
                <w:sz w:val="18"/>
                <w:szCs w:val="18"/>
              </w:rPr>
              <w:t>Impozite și taxe</w:t>
            </w:r>
          </w:p>
        </w:tc>
        <w:tc>
          <w:tcPr>
            <w:tcW w:w="435" w:type="pct"/>
            <w:tcMar>
              <w:top w:w="0" w:type="dxa"/>
              <w:left w:w="115" w:type="dxa"/>
              <w:bottom w:w="0" w:type="dxa"/>
              <w:right w:w="115" w:type="dxa"/>
            </w:tcMar>
            <w:vAlign w:val="center"/>
            <w:hideMark/>
          </w:tcPr>
          <w:p w14:paraId="02AA7390"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107 653</w:t>
            </w:r>
          </w:p>
        </w:tc>
        <w:tc>
          <w:tcPr>
            <w:tcW w:w="435" w:type="pct"/>
            <w:tcMar>
              <w:top w:w="0" w:type="dxa"/>
              <w:left w:w="115" w:type="dxa"/>
              <w:bottom w:w="0" w:type="dxa"/>
              <w:right w:w="115" w:type="dxa"/>
            </w:tcMar>
            <w:vAlign w:val="center"/>
            <w:hideMark/>
          </w:tcPr>
          <w:p w14:paraId="6020139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117 090</w:t>
            </w:r>
          </w:p>
        </w:tc>
        <w:tc>
          <w:tcPr>
            <w:tcW w:w="457" w:type="pct"/>
            <w:tcMar>
              <w:top w:w="0" w:type="dxa"/>
              <w:left w:w="115" w:type="dxa"/>
              <w:bottom w:w="0" w:type="dxa"/>
              <w:right w:w="115" w:type="dxa"/>
            </w:tcMar>
            <w:vAlign w:val="center"/>
            <w:hideMark/>
          </w:tcPr>
          <w:p w14:paraId="499C24C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109 454</w:t>
            </w:r>
          </w:p>
        </w:tc>
        <w:tc>
          <w:tcPr>
            <w:tcW w:w="457" w:type="pct"/>
            <w:tcMar>
              <w:top w:w="0" w:type="dxa"/>
              <w:left w:w="115" w:type="dxa"/>
              <w:bottom w:w="0" w:type="dxa"/>
              <w:right w:w="115" w:type="dxa"/>
            </w:tcMar>
            <w:vAlign w:val="center"/>
            <w:hideMark/>
          </w:tcPr>
          <w:p w14:paraId="063BDB7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117 806</w:t>
            </w:r>
          </w:p>
        </w:tc>
        <w:tc>
          <w:tcPr>
            <w:tcW w:w="443" w:type="pct"/>
            <w:tcMar>
              <w:top w:w="0" w:type="dxa"/>
              <w:left w:w="115" w:type="dxa"/>
              <w:bottom w:w="0" w:type="dxa"/>
              <w:right w:w="115" w:type="dxa"/>
            </w:tcMar>
            <w:vAlign w:val="center"/>
            <w:hideMark/>
          </w:tcPr>
          <w:p w14:paraId="415FDAD2"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28,6%</w:t>
            </w:r>
          </w:p>
        </w:tc>
        <w:tc>
          <w:tcPr>
            <w:tcW w:w="443" w:type="pct"/>
            <w:tcMar>
              <w:top w:w="0" w:type="dxa"/>
              <w:left w:w="115" w:type="dxa"/>
              <w:bottom w:w="0" w:type="dxa"/>
              <w:right w:w="115" w:type="dxa"/>
            </w:tcMar>
            <w:vAlign w:val="center"/>
            <w:hideMark/>
          </w:tcPr>
          <w:p w14:paraId="155A7BA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28,1%</w:t>
            </w:r>
          </w:p>
        </w:tc>
        <w:tc>
          <w:tcPr>
            <w:tcW w:w="468" w:type="pct"/>
            <w:tcMar>
              <w:top w:w="0" w:type="dxa"/>
              <w:left w:w="115" w:type="dxa"/>
              <w:bottom w:w="0" w:type="dxa"/>
              <w:right w:w="115" w:type="dxa"/>
            </w:tcMar>
            <w:vAlign w:val="center"/>
            <w:hideMark/>
          </w:tcPr>
          <w:p w14:paraId="4B46E64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30,5%</w:t>
            </w:r>
          </w:p>
        </w:tc>
        <w:tc>
          <w:tcPr>
            <w:tcW w:w="468" w:type="pct"/>
            <w:tcMar>
              <w:top w:w="0" w:type="dxa"/>
              <w:left w:w="115" w:type="dxa"/>
              <w:bottom w:w="0" w:type="dxa"/>
              <w:right w:w="115" w:type="dxa"/>
            </w:tcMar>
            <w:vAlign w:val="center"/>
            <w:hideMark/>
          </w:tcPr>
          <w:p w14:paraId="79FCEA23"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30,0%</w:t>
            </w:r>
          </w:p>
        </w:tc>
      </w:tr>
      <w:tr w:rsidR="00813D27" w:rsidRPr="003278ED" w14:paraId="41BF1776" w14:textId="77777777" w:rsidTr="004C2B11">
        <w:tc>
          <w:tcPr>
            <w:tcW w:w="1393" w:type="pct"/>
            <w:tcMar>
              <w:top w:w="0" w:type="dxa"/>
              <w:left w:w="115" w:type="dxa"/>
              <w:bottom w:w="0" w:type="dxa"/>
              <w:right w:w="115" w:type="dxa"/>
            </w:tcMar>
            <w:vAlign w:val="center"/>
            <w:hideMark/>
          </w:tcPr>
          <w:p w14:paraId="3A046405" w14:textId="77777777" w:rsidR="00813D27" w:rsidRPr="003278ED" w:rsidRDefault="00813D27" w:rsidP="007D3A2B">
            <w:pPr>
              <w:spacing w:after="0" w:line="240" w:lineRule="auto"/>
              <w:rPr>
                <w:rFonts w:ascii="Times New Roman" w:hAnsi="Times New Roman" w:cs="Times New Roman"/>
                <w:sz w:val="18"/>
                <w:szCs w:val="18"/>
              </w:rPr>
            </w:pPr>
            <w:r w:rsidRPr="003278ED">
              <w:rPr>
                <w:rFonts w:ascii="Times New Roman" w:hAnsi="Times New Roman" w:cs="Times New Roman"/>
                <w:color w:val="000000"/>
                <w:sz w:val="18"/>
                <w:szCs w:val="18"/>
              </w:rPr>
              <w:t xml:space="preserve">Alte venituri </w:t>
            </w:r>
          </w:p>
        </w:tc>
        <w:tc>
          <w:tcPr>
            <w:tcW w:w="435" w:type="pct"/>
            <w:tcMar>
              <w:top w:w="0" w:type="dxa"/>
              <w:left w:w="115" w:type="dxa"/>
              <w:bottom w:w="0" w:type="dxa"/>
              <w:right w:w="115" w:type="dxa"/>
            </w:tcMar>
            <w:vAlign w:val="center"/>
            <w:hideMark/>
          </w:tcPr>
          <w:p w14:paraId="557DDB12"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4 479</w:t>
            </w:r>
          </w:p>
        </w:tc>
        <w:tc>
          <w:tcPr>
            <w:tcW w:w="435" w:type="pct"/>
            <w:tcMar>
              <w:top w:w="0" w:type="dxa"/>
              <w:left w:w="115" w:type="dxa"/>
              <w:bottom w:w="0" w:type="dxa"/>
              <w:right w:w="115" w:type="dxa"/>
            </w:tcMar>
            <w:vAlign w:val="center"/>
            <w:hideMark/>
          </w:tcPr>
          <w:p w14:paraId="584A37C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4 419</w:t>
            </w:r>
          </w:p>
        </w:tc>
        <w:tc>
          <w:tcPr>
            <w:tcW w:w="457" w:type="pct"/>
            <w:tcMar>
              <w:top w:w="0" w:type="dxa"/>
              <w:left w:w="115" w:type="dxa"/>
              <w:bottom w:w="0" w:type="dxa"/>
              <w:right w:w="115" w:type="dxa"/>
            </w:tcMar>
            <w:vAlign w:val="center"/>
            <w:hideMark/>
          </w:tcPr>
          <w:p w14:paraId="324A98E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4 982</w:t>
            </w:r>
          </w:p>
        </w:tc>
        <w:tc>
          <w:tcPr>
            <w:tcW w:w="457" w:type="pct"/>
            <w:tcMar>
              <w:top w:w="0" w:type="dxa"/>
              <w:left w:w="115" w:type="dxa"/>
              <w:bottom w:w="0" w:type="dxa"/>
              <w:right w:w="115" w:type="dxa"/>
            </w:tcMar>
            <w:vAlign w:val="center"/>
            <w:hideMark/>
          </w:tcPr>
          <w:p w14:paraId="72D86D9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5 239</w:t>
            </w:r>
          </w:p>
        </w:tc>
        <w:tc>
          <w:tcPr>
            <w:tcW w:w="443" w:type="pct"/>
            <w:tcMar>
              <w:top w:w="0" w:type="dxa"/>
              <w:left w:w="115" w:type="dxa"/>
              <w:bottom w:w="0" w:type="dxa"/>
              <w:right w:w="115" w:type="dxa"/>
            </w:tcMar>
            <w:vAlign w:val="center"/>
            <w:hideMark/>
          </w:tcPr>
          <w:p w14:paraId="73F1495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1,2%</w:t>
            </w:r>
          </w:p>
        </w:tc>
        <w:tc>
          <w:tcPr>
            <w:tcW w:w="443" w:type="pct"/>
            <w:tcMar>
              <w:top w:w="0" w:type="dxa"/>
              <w:left w:w="115" w:type="dxa"/>
              <w:bottom w:w="0" w:type="dxa"/>
              <w:right w:w="115" w:type="dxa"/>
            </w:tcMar>
            <w:vAlign w:val="center"/>
            <w:hideMark/>
          </w:tcPr>
          <w:p w14:paraId="0A9788D1"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w:t>
            </w:r>
          </w:p>
        </w:tc>
        <w:tc>
          <w:tcPr>
            <w:tcW w:w="468" w:type="pct"/>
            <w:tcMar>
              <w:top w:w="0" w:type="dxa"/>
              <w:left w:w="115" w:type="dxa"/>
              <w:bottom w:w="0" w:type="dxa"/>
              <w:right w:w="115" w:type="dxa"/>
            </w:tcMar>
            <w:vAlign w:val="center"/>
            <w:hideMark/>
          </w:tcPr>
          <w:p w14:paraId="7268774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1,4%</w:t>
            </w:r>
          </w:p>
        </w:tc>
        <w:tc>
          <w:tcPr>
            <w:tcW w:w="468" w:type="pct"/>
            <w:tcMar>
              <w:top w:w="0" w:type="dxa"/>
              <w:left w:w="115" w:type="dxa"/>
              <w:bottom w:w="0" w:type="dxa"/>
              <w:right w:w="115" w:type="dxa"/>
            </w:tcMar>
            <w:vAlign w:val="center"/>
            <w:hideMark/>
          </w:tcPr>
          <w:p w14:paraId="2CB5490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1,3%</w:t>
            </w:r>
          </w:p>
        </w:tc>
      </w:tr>
      <w:tr w:rsidR="00813D27" w:rsidRPr="003278ED" w14:paraId="59EB455B" w14:textId="77777777" w:rsidTr="004C2B11">
        <w:tc>
          <w:tcPr>
            <w:tcW w:w="1393" w:type="pct"/>
            <w:shd w:val="clear" w:color="auto" w:fill="FFFFFF"/>
            <w:tcMar>
              <w:top w:w="0" w:type="dxa"/>
              <w:left w:w="115" w:type="dxa"/>
              <w:bottom w:w="0" w:type="dxa"/>
              <w:right w:w="115" w:type="dxa"/>
            </w:tcMar>
            <w:vAlign w:val="center"/>
            <w:hideMark/>
          </w:tcPr>
          <w:p w14:paraId="5AF3F11E" w14:textId="77777777" w:rsidR="00813D27" w:rsidRPr="003278ED" w:rsidRDefault="00813D27" w:rsidP="007D3A2B">
            <w:pPr>
              <w:spacing w:after="0" w:line="240" w:lineRule="auto"/>
              <w:rPr>
                <w:rFonts w:ascii="Times New Roman" w:hAnsi="Times New Roman" w:cs="Times New Roman"/>
                <w:sz w:val="18"/>
                <w:szCs w:val="18"/>
              </w:rPr>
            </w:pPr>
            <w:r w:rsidRPr="003278ED">
              <w:rPr>
                <w:rFonts w:ascii="Times New Roman" w:hAnsi="Times New Roman" w:cs="Times New Roman"/>
                <w:color w:val="000000"/>
                <w:sz w:val="18"/>
                <w:szCs w:val="18"/>
              </w:rPr>
              <w:t>Granturi</w:t>
            </w:r>
          </w:p>
        </w:tc>
        <w:tc>
          <w:tcPr>
            <w:tcW w:w="435" w:type="pct"/>
            <w:shd w:val="clear" w:color="auto" w:fill="FFFFFF"/>
            <w:tcMar>
              <w:top w:w="0" w:type="dxa"/>
              <w:left w:w="115" w:type="dxa"/>
              <w:bottom w:w="0" w:type="dxa"/>
              <w:right w:w="115" w:type="dxa"/>
            </w:tcMar>
            <w:vAlign w:val="center"/>
            <w:hideMark/>
          </w:tcPr>
          <w:p w14:paraId="5B75F14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1 102</w:t>
            </w:r>
          </w:p>
        </w:tc>
        <w:tc>
          <w:tcPr>
            <w:tcW w:w="435" w:type="pct"/>
            <w:shd w:val="clear" w:color="auto" w:fill="FFFFFF"/>
            <w:tcMar>
              <w:top w:w="0" w:type="dxa"/>
              <w:left w:w="115" w:type="dxa"/>
              <w:bottom w:w="0" w:type="dxa"/>
              <w:right w:w="115" w:type="dxa"/>
            </w:tcMar>
            <w:vAlign w:val="center"/>
            <w:hideMark/>
          </w:tcPr>
          <w:p w14:paraId="56B6016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885</w:t>
            </w:r>
          </w:p>
        </w:tc>
        <w:tc>
          <w:tcPr>
            <w:tcW w:w="457" w:type="pct"/>
            <w:shd w:val="clear" w:color="auto" w:fill="FFFFFF"/>
            <w:tcMar>
              <w:top w:w="0" w:type="dxa"/>
              <w:left w:w="115" w:type="dxa"/>
              <w:bottom w:w="0" w:type="dxa"/>
              <w:right w:w="115" w:type="dxa"/>
            </w:tcMar>
            <w:vAlign w:val="center"/>
            <w:hideMark/>
          </w:tcPr>
          <w:p w14:paraId="1F612A6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1 431</w:t>
            </w:r>
          </w:p>
        </w:tc>
        <w:tc>
          <w:tcPr>
            <w:tcW w:w="457" w:type="pct"/>
            <w:shd w:val="clear" w:color="auto" w:fill="FFFFFF"/>
            <w:tcMar>
              <w:top w:w="0" w:type="dxa"/>
              <w:left w:w="115" w:type="dxa"/>
              <w:bottom w:w="0" w:type="dxa"/>
              <w:right w:w="115" w:type="dxa"/>
            </w:tcMar>
            <w:vAlign w:val="center"/>
            <w:hideMark/>
          </w:tcPr>
          <w:p w14:paraId="6DA59F8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1 429</w:t>
            </w:r>
          </w:p>
        </w:tc>
        <w:tc>
          <w:tcPr>
            <w:tcW w:w="443" w:type="pct"/>
            <w:tcMar>
              <w:top w:w="0" w:type="dxa"/>
              <w:left w:w="115" w:type="dxa"/>
              <w:bottom w:w="0" w:type="dxa"/>
              <w:right w:w="115" w:type="dxa"/>
            </w:tcMar>
            <w:vAlign w:val="center"/>
            <w:hideMark/>
          </w:tcPr>
          <w:p w14:paraId="05E577D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0,3%</w:t>
            </w:r>
          </w:p>
        </w:tc>
        <w:tc>
          <w:tcPr>
            <w:tcW w:w="443" w:type="pct"/>
            <w:tcMar>
              <w:top w:w="0" w:type="dxa"/>
              <w:left w:w="115" w:type="dxa"/>
              <w:bottom w:w="0" w:type="dxa"/>
              <w:right w:w="115" w:type="dxa"/>
            </w:tcMar>
            <w:vAlign w:val="center"/>
            <w:hideMark/>
          </w:tcPr>
          <w:p w14:paraId="4F32B0A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0,2%</w:t>
            </w:r>
          </w:p>
        </w:tc>
        <w:tc>
          <w:tcPr>
            <w:tcW w:w="468" w:type="pct"/>
            <w:tcMar>
              <w:top w:w="0" w:type="dxa"/>
              <w:left w:w="115" w:type="dxa"/>
              <w:bottom w:w="0" w:type="dxa"/>
              <w:right w:w="115" w:type="dxa"/>
            </w:tcMar>
            <w:vAlign w:val="center"/>
            <w:hideMark/>
          </w:tcPr>
          <w:p w14:paraId="66AF7F5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0,4%</w:t>
            </w:r>
          </w:p>
        </w:tc>
        <w:tc>
          <w:tcPr>
            <w:tcW w:w="468" w:type="pct"/>
            <w:tcMar>
              <w:top w:w="0" w:type="dxa"/>
              <w:left w:w="115" w:type="dxa"/>
              <w:bottom w:w="0" w:type="dxa"/>
              <w:right w:w="115" w:type="dxa"/>
            </w:tcMar>
            <w:vAlign w:val="center"/>
            <w:hideMark/>
          </w:tcPr>
          <w:p w14:paraId="75B5C8F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0,4%</w:t>
            </w:r>
          </w:p>
        </w:tc>
      </w:tr>
      <w:tr w:rsidR="00813D27" w:rsidRPr="003278ED" w14:paraId="07894C69" w14:textId="77777777" w:rsidTr="004C2B11">
        <w:trPr>
          <w:trHeight w:val="408"/>
        </w:trPr>
        <w:tc>
          <w:tcPr>
            <w:tcW w:w="1393" w:type="pct"/>
            <w:shd w:val="clear" w:color="auto" w:fill="auto"/>
            <w:tcMar>
              <w:top w:w="0" w:type="dxa"/>
              <w:left w:w="115" w:type="dxa"/>
              <w:bottom w:w="0" w:type="dxa"/>
              <w:right w:w="115" w:type="dxa"/>
            </w:tcMar>
            <w:vAlign w:val="center"/>
            <w:hideMark/>
          </w:tcPr>
          <w:p w14:paraId="31D092B2" w14:textId="77777777" w:rsidR="00813D27" w:rsidRPr="003278ED" w:rsidRDefault="00813D27" w:rsidP="007D3A2B">
            <w:pPr>
              <w:spacing w:after="0" w:line="240" w:lineRule="auto"/>
              <w:rPr>
                <w:rFonts w:ascii="Times New Roman" w:hAnsi="Times New Roman" w:cs="Times New Roman"/>
                <w:b/>
                <w:sz w:val="18"/>
                <w:szCs w:val="18"/>
              </w:rPr>
            </w:pPr>
            <w:r w:rsidRPr="003278ED">
              <w:rPr>
                <w:rFonts w:ascii="Times New Roman" w:hAnsi="Times New Roman" w:cs="Times New Roman"/>
                <w:b/>
                <w:sz w:val="18"/>
                <w:szCs w:val="18"/>
              </w:rPr>
              <w:t>Total cheltuieli</w:t>
            </w:r>
          </w:p>
        </w:tc>
        <w:tc>
          <w:tcPr>
            <w:tcW w:w="435" w:type="pct"/>
            <w:shd w:val="clear" w:color="auto" w:fill="auto"/>
            <w:tcMar>
              <w:top w:w="0" w:type="dxa"/>
              <w:left w:w="115" w:type="dxa"/>
              <w:bottom w:w="0" w:type="dxa"/>
              <w:right w:w="115" w:type="dxa"/>
            </w:tcMar>
            <w:vAlign w:val="center"/>
            <w:hideMark/>
          </w:tcPr>
          <w:p w14:paraId="299879F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127 530</w:t>
            </w:r>
          </w:p>
        </w:tc>
        <w:tc>
          <w:tcPr>
            <w:tcW w:w="435" w:type="pct"/>
            <w:shd w:val="clear" w:color="auto" w:fill="auto"/>
            <w:tcMar>
              <w:top w:w="0" w:type="dxa"/>
              <w:left w:w="115" w:type="dxa"/>
              <w:bottom w:w="0" w:type="dxa"/>
              <w:right w:w="115" w:type="dxa"/>
            </w:tcMar>
            <w:vAlign w:val="center"/>
            <w:hideMark/>
          </w:tcPr>
          <w:p w14:paraId="598B3D7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136 572</w:t>
            </w:r>
          </w:p>
        </w:tc>
        <w:tc>
          <w:tcPr>
            <w:tcW w:w="457" w:type="pct"/>
            <w:shd w:val="clear" w:color="auto" w:fill="auto"/>
            <w:tcMar>
              <w:top w:w="0" w:type="dxa"/>
              <w:left w:w="115" w:type="dxa"/>
              <w:bottom w:w="0" w:type="dxa"/>
              <w:right w:w="115" w:type="dxa"/>
            </w:tcMar>
            <w:vAlign w:val="center"/>
            <w:hideMark/>
          </w:tcPr>
          <w:p w14:paraId="4DC1BE12"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w:t>
            </w:r>
            <w:r w:rsidR="009D42D3" w:rsidRPr="003278ED">
              <w:rPr>
                <w:rFonts w:ascii="Times New Roman" w:eastAsia="Times New Roman" w:hAnsi="Times New Roman" w:cs="Times New Roman"/>
                <w:b/>
                <w:bCs/>
                <w:color w:val="000000"/>
                <w:sz w:val="16"/>
                <w:szCs w:val="16"/>
                <w:shd w:val="clear" w:color="auto" w:fill="FFFFFF"/>
              </w:rPr>
              <w:t>29</w:t>
            </w:r>
            <w:r w:rsidRPr="003278ED">
              <w:rPr>
                <w:rFonts w:ascii="Times New Roman" w:eastAsia="Times New Roman" w:hAnsi="Times New Roman" w:cs="Times New Roman"/>
                <w:b/>
                <w:bCs/>
                <w:color w:val="000000"/>
                <w:sz w:val="16"/>
                <w:szCs w:val="16"/>
                <w:shd w:val="clear" w:color="auto" w:fill="FFFFFF"/>
              </w:rPr>
              <w:t xml:space="preserve"> </w:t>
            </w:r>
            <w:r w:rsidR="009D42D3" w:rsidRPr="003278ED">
              <w:rPr>
                <w:rFonts w:ascii="Times New Roman" w:eastAsia="Times New Roman" w:hAnsi="Times New Roman" w:cs="Times New Roman"/>
                <w:b/>
                <w:bCs/>
                <w:color w:val="000000"/>
                <w:sz w:val="16"/>
                <w:szCs w:val="16"/>
                <w:shd w:val="clear" w:color="auto" w:fill="FFFFFF"/>
              </w:rPr>
              <w:t>557</w:t>
            </w:r>
          </w:p>
        </w:tc>
        <w:tc>
          <w:tcPr>
            <w:tcW w:w="457" w:type="pct"/>
            <w:shd w:val="clear" w:color="auto" w:fill="auto"/>
            <w:tcMar>
              <w:top w:w="0" w:type="dxa"/>
              <w:left w:w="115" w:type="dxa"/>
              <w:bottom w:w="0" w:type="dxa"/>
              <w:right w:w="115" w:type="dxa"/>
            </w:tcMar>
            <w:vAlign w:val="center"/>
            <w:hideMark/>
          </w:tcPr>
          <w:p w14:paraId="1CA5891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13</w:t>
            </w:r>
            <w:r w:rsidR="009D42D3" w:rsidRPr="003278ED">
              <w:rPr>
                <w:rFonts w:ascii="Times New Roman" w:eastAsia="Times New Roman" w:hAnsi="Times New Roman" w:cs="Times New Roman"/>
                <w:b/>
                <w:bCs/>
                <w:color w:val="000000"/>
                <w:sz w:val="16"/>
                <w:szCs w:val="16"/>
                <w:shd w:val="clear" w:color="auto" w:fill="FFFFFF"/>
              </w:rPr>
              <w:t>7</w:t>
            </w:r>
            <w:r w:rsidRPr="003278ED">
              <w:rPr>
                <w:rFonts w:ascii="Times New Roman" w:eastAsia="Times New Roman" w:hAnsi="Times New Roman" w:cs="Times New Roman"/>
                <w:b/>
                <w:bCs/>
                <w:color w:val="000000"/>
                <w:sz w:val="16"/>
                <w:szCs w:val="16"/>
                <w:shd w:val="clear" w:color="auto" w:fill="FFFFFF"/>
              </w:rPr>
              <w:t xml:space="preserve"> </w:t>
            </w:r>
            <w:r w:rsidR="009D42D3" w:rsidRPr="003278ED">
              <w:rPr>
                <w:rFonts w:ascii="Times New Roman" w:eastAsia="Times New Roman" w:hAnsi="Times New Roman" w:cs="Times New Roman"/>
                <w:b/>
                <w:bCs/>
                <w:color w:val="000000"/>
                <w:sz w:val="16"/>
                <w:szCs w:val="16"/>
                <w:shd w:val="clear" w:color="auto" w:fill="FFFFFF"/>
              </w:rPr>
              <w:t>924</w:t>
            </w:r>
          </w:p>
        </w:tc>
        <w:tc>
          <w:tcPr>
            <w:tcW w:w="443" w:type="pct"/>
            <w:shd w:val="clear" w:color="auto" w:fill="auto"/>
            <w:tcMar>
              <w:top w:w="0" w:type="dxa"/>
              <w:left w:w="115" w:type="dxa"/>
              <w:bottom w:w="0" w:type="dxa"/>
              <w:right w:w="115" w:type="dxa"/>
            </w:tcMar>
            <w:vAlign w:val="center"/>
            <w:hideMark/>
          </w:tcPr>
          <w:p w14:paraId="1588F4F3"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33,9%</w:t>
            </w:r>
          </w:p>
        </w:tc>
        <w:tc>
          <w:tcPr>
            <w:tcW w:w="443" w:type="pct"/>
            <w:shd w:val="clear" w:color="auto" w:fill="auto"/>
            <w:tcMar>
              <w:top w:w="0" w:type="dxa"/>
              <w:left w:w="115" w:type="dxa"/>
              <w:bottom w:w="0" w:type="dxa"/>
              <w:right w:w="115" w:type="dxa"/>
            </w:tcMar>
            <w:vAlign w:val="center"/>
            <w:hideMark/>
          </w:tcPr>
          <w:p w14:paraId="4229CD9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32,7%</w:t>
            </w:r>
          </w:p>
        </w:tc>
        <w:tc>
          <w:tcPr>
            <w:tcW w:w="468" w:type="pct"/>
            <w:shd w:val="clear" w:color="auto" w:fill="auto"/>
            <w:tcMar>
              <w:top w:w="0" w:type="dxa"/>
              <w:left w:w="115" w:type="dxa"/>
              <w:bottom w:w="0" w:type="dxa"/>
              <w:right w:w="115" w:type="dxa"/>
            </w:tcMar>
            <w:vAlign w:val="center"/>
            <w:hideMark/>
          </w:tcPr>
          <w:p w14:paraId="58C1065A"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36,1%</w:t>
            </w:r>
          </w:p>
        </w:tc>
        <w:tc>
          <w:tcPr>
            <w:tcW w:w="468" w:type="pct"/>
            <w:shd w:val="clear" w:color="auto" w:fill="auto"/>
            <w:tcMar>
              <w:top w:w="0" w:type="dxa"/>
              <w:left w:w="115" w:type="dxa"/>
              <w:bottom w:w="0" w:type="dxa"/>
              <w:right w:w="115" w:type="dxa"/>
            </w:tcMar>
            <w:vAlign w:val="center"/>
            <w:hideMark/>
          </w:tcPr>
          <w:p w14:paraId="001D8523"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35,1%</w:t>
            </w:r>
          </w:p>
        </w:tc>
      </w:tr>
      <w:tr w:rsidR="00813D27" w:rsidRPr="003278ED" w14:paraId="4E63597C" w14:textId="77777777" w:rsidTr="004C2B11">
        <w:tc>
          <w:tcPr>
            <w:tcW w:w="1393" w:type="pct"/>
            <w:shd w:val="clear" w:color="auto" w:fill="FFFFFF"/>
            <w:tcMar>
              <w:top w:w="0" w:type="dxa"/>
              <w:left w:w="115" w:type="dxa"/>
              <w:bottom w:w="0" w:type="dxa"/>
              <w:right w:w="115" w:type="dxa"/>
            </w:tcMar>
            <w:vAlign w:val="center"/>
            <w:hideMark/>
          </w:tcPr>
          <w:p w14:paraId="39451091" w14:textId="77777777" w:rsidR="00813D27" w:rsidRPr="003278ED" w:rsidRDefault="00813D27" w:rsidP="007D3A2B">
            <w:pPr>
              <w:spacing w:after="0" w:line="240" w:lineRule="auto"/>
              <w:rPr>
                <w:rFonts w:ascii="Times New Roman" w:hAnsi="Times New Roman" w:cs="Times New Roman"/>
                <w:sz w:val="18"/>
                <w:szCs w:val="18"/>
                <w:highlight w:val="yellow"/>
              </w:rPr>
            </w:pPr>
            <w:r w:rsidRPr="003278ED">
              <w:rPr>
                <w:rFonts w:ascii="Times New Roman" w:hAnsi="Times New Roman" w:cs="Times New Roman"/>
                <w:sz w:val="18"/>
                <w:szCs w:val="18"/>
              </w:rPr>
              <w:t>Cheltuieli recurente, dintre care:</w:t>
            </w:r>
          </w:p>
        </w:tc>
        <w:tc>
          <w:tcPr>
            <w:tcW w:w="435" w:type="pct"/>
            <w:shd w:val="clear" w:color="auto" w:fill="FFFFFF"/>
            <w:tcMar>
              <w:top w:w="0" w:type="dxa"/>
              <w:left w:w="115" w:type="dxa"/>
              <w:bottom w:w="0" w:type="dxa"/>
              <w:right w:w="115" w:type="dxa"/>
            </w:tcMar>
            <w:vAlign w:val="center"/>
            <w:hideMark/>
          </w:tcPr>
          <w:p w14:paraId="29996A4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121 451</w:t>
            </w:r>
          </w:p>
        </w:tc>
        <w:tc>
          <w:tcPr>
            <w:tcW w:w="435" w:type="pct"/>
            <w:shd w:val="clear" w:color="auto" w:fill="FFFFFF"/>
            <w:tcMar>
              <w:top w:w="0" w:type="dxa"/>
              <w:left w:w="115" w:type="dxa"/>
              <w:bottom w:w="0" w:type="dxa"/>
              <w:right w:w="115" w:type="dxa"/>
            </w:tcMar>
            <w:vAlign w:val="center"/>
            <w:hideMark/>
          </w:tcPr>
          <w:p w14:paraId="7D8EE7A7"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130 883</w:t>
            </w:r>
          </w:p>
        </w:tc>
        <w:tc>
          <w:tcPr>
            <w:tcW w:w="457" w:type="pct"/>
            <w:shd w:val="clear" w:color="auto" w:fill="FFFFFF"/>
            <w:tcMar>
              <w:top w:w="0" w:type="dxa"/>
              <w:left w:w="115" w:type="dxa"/>
              <w:bottom w:w="0" w:type="dxa"/>
              <w:right w:w="115" w:type="dxa"/>
            </w:tcMar>
            <w:vAlign w:val="center"/>
          </w:tcPr>
          <w:p w14:paraId="6E59E4E8"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126 222</w:t>
            </w:r>
          </w:p>
        </w:tc>
        <w:tc>
          <w:tcPr>
            <w:tcW w:w="457" w:type="pct"/>
            <w:shd w:val="clear" w:color="auto" w:fill="FFFFFF"/>
            <w:tcMar>
              <w:top w:w="0" w:type="dxa"/>
              <w:left w:w="115" w:type="dxa"/>
              <w:bottom w:w="0" w:type="dxa"/>
              <w:right w:w="115" w:type="dxa"/>
            </w:tcMar>
            <w:vAlign w:val="center"/>
          </w:tcPr>
          <w:p w14:paraId="09AF8036"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133 733</w:t>
            </w:r>
          </w:p>
        </w:tc>
        <w:tc>
          <w:tcPr>
            <w:tcW w:w="443" w:type="pct"/>
            <w:tcMar>
              <w:top w:w="0" w:type="dxa"/>
              <w:left w:w="115" w:type="dxa"/>
              <w:bottom w:w="0" w:type="dxa"/>
              <w:right w:w="115" w:type="dxa"/>
            </w:tcMar>
            <w:vAlign w:val="center"/>
            <w:hideMark/>
          </w:tcPr>
          <w:p w14:paraId="2CD648B2"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32,3%</w:t>
            </w:r>
          </w:p>
        </w:tc>
        <w:tc>
          <w:tcPr>
            <w:tcW w:w="443" w:type="pct"/>
            <w:tcMar>
              <w:top w:w="0" w:type="dxa"/>
              <w:left w:w="115" w:type="dxa"/>
              <w:bottom w:w="0" w:type="dxa"/>
              <w:right w:w="115" w:type="dxa"/>
            </w:tcMar>
            <w:vAlign w:val="center"/>
            <w:hideMark/>
          </w:tcPr>
          <w:p w14:paraId="33AFAD8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31,4%</w:t>
            </w:r>
          </w:p>
        </w:tc>
        <w:tc>
          <w:tcPr>
            <w:tcW w:w="468" w:type="pct"/>
            <w:tcMar>
              <w:top w:w="0" w:type="dxa"/>
              <w:left w:w="115" w:type="dxa"/>
              <w:bottom w:w="0" w:type="dxa"/>
              <w:right w:w="115" w:type="dxa"/>
            </w:tcMar>
            <w:vAlign w:val="center"/>
            <w:hideMark/>
          </w:tcPr>
          <w:p w14:paraId="75A0FE37" w14:textId="77777777" w:rsidR="00813D27" w:rsidRPr="003278ED" w:rsidRDefault="00740B81"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35,2</w:t>
            </w:r>
            <w:r w:rsidR="00813D27" w:rsidRPr="003278ED">
              <w:rPr>
                <w:rFonts w:ascii="Times New Roman" w:eastAsia="Times New Roman" w:hAnsi="Times New Roman" w:cs="Times New Roman"/>
                <w:color w:val="000000"/>
                <w:sz w:val="16"/>
                <w:szCs w:val="16"/>
                <w:shd w:val="clear" w:color="auto" w:fill="FFFFFF"/>
              </w:rPr>
              <w:t>%</w:t>
            </w:r>
          </w:p>
        </w:tc>
        <w:tc>
          <w:tcPr>
            <w:tcW w:w="468" w:type="pct"/>
            <w:tcMar>
              <w:top w:w="0" w:type="dxa"/>
              <w:left w:w="115" w:type="dxa"/>
              <w:bottom w:w="0" w:type="dxa"/>
              <w:right w:w="115" w:type="dxa"/>
            </w:tcMar>
            <w:vAlign w:val="center"/>
            <w:hideMark/>
          </w:tcPr>
          <w:p w14:paraId="3C456C95" w14:textId="77777777" w:rsidR="00813D27" w:rsidRPr="003278ED" w:rsidRDefault="00740B81"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34,0</w:t>
            </w:r>
            <w:r w:rsidR="00813D27" w:rsidRPr="003278ED">
              <w:rPr>
                <w:rFonts w:ascii="Times New Roman" w:eastAsia="Times New Roman" w:hAnsi="Times New Roman" w:cs="Times New Roman"/>
                <w:color w:val="000000"/>
                <w:sz w:val="16"/>
                <w:szCs w:val="16"/>
                <w:shd w:val="clear" w:color="auto" w:fill="FFFFFF"/>
              </w:rPr>
              <w:t>%</w:t>
            </w:r>
          </w:p>
        </w:tc>
      </w:tr>
      <w:tr w:rsidR="001F3B67" w:rsidRPr="003278ED" w14:paraId="65D8E85A" w14:textId="77777777" w:rsidTr="004C2B11">
        <w:tc>
          <w:tcPr>
            <w:tcW w:w="1393" w:type="pct"/>
            <w:shd w:val="clear" w:color="auto" w:fill="auto"/>
            <w:tcMar>
              <w:top w:w="0" w:type="dxa"/>
              <w:left w:w="115" w:type="dxa"/>
              <w:bottom w:w="0" w:type="dxa"/>
              <w:right w:w="115" w:type="dxa"/>
            </w:tcMar>
            <w:vAlign w:val="center"/>
            <w:hideMark/>
          </w:tcPr>
          <w:p w14:paraId="546CBD37" w14:textId="77777777" w:rsidR="001F3B67" w:rsidRPr="003278ED" w:rsidRDefault="001F3B67" w:rsidP="007D3A2B">
            <w:pPr>
              <w:spacing w:after="0" w:line="240" w:lineRule="auto"/>
              <w:ind w:left="174"/>
              <w:rPr>
                <w:rFonts w:ascii="Times New Roman" w:hAnsi="Times New Roman" w:cs="Times New Roman"/>
                <w:sz w:val="18"/>
                <w:szCs w:val="18"/>
              </w:rPr>
            </w:pPr>
            <w:r w:rsidRPr="003278ED">
              <w:rPr>
                <w:rFonts w:ascii="Times New Roman" w:hAnsi="Times New Roman" w:cs="Times New Roman"/>
                <w:i/>
                <w:color w:val="000000"/>
                <w:sz w:val="16"/>
                <w:szCs w:val="16"/>
              </w:rPr>
              <w:t>- cheltuieli de personal</w:t>
            </w:r>
          </w:p>
        </w:tc>
        <w:tc>
          <w:tcPr>
            <w:tcW w:w="435" w:type="pct"/>
            <w:shd w:val="clear" w:color="auto" w:fill="auto"/>
            <w:tcMar>
              <w:top w:w="0" w:type="dxa"/>
              <w:left w:w="115" w:type="dxa"/>
              <w:bottom w:w="0" w:type="dxa"/>
              <w:right w:w="115" w:type="dxa"/>
            </w:tcMar>
            <w:vAlign w:val="center"/>
            <w:hideMark/>
          </w:tcPr>
          <w:p w14:paraId="6AA3D8A5" w14:textId="77777777"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26 859</w:t>
            </w:r>
          </w:p>
        </w:tc>
        <w:tc>
          <w:tcPr>
            <w:tcW w:w="435" w:type="pct"/>
            <w:shd w:val="clear" w:color="auto" w:fill="auto"/>
            <w:tcMar>
              <w:top w:w="0" w:type="dxa"/>
              <w:left w:w="115" w:type="dxa"/>
              <w:bottom w:w="0" w:type="dxa"/>
              <w:right w:w="115" w:type="dxa"/>
            </w:tcMar>
            <w:vAlign w:val="center"/>
            <w:hideMark/>
          </w:tcPr>
          <w:p w14:paraId="2ABB20D6" w14:textId="43E23731"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hAnsi="Times New Roman"/>
                <w:color w:val="000000"/>
                <w:sz w:val="16"/>
                <w:szCs w:val="16"/>
              </w:rPr>
              <w:t>28 820</w:t>
            </w:r>
          </w:p>
        </w:tc>
        <w:tc>
          <w:tcPr>
            <w:tcW w:w="457" w:type="pct"/>
            <w:shd w:val="clear" w:color="auto" w:fill="auto"/>
            <w:tcMar>
              <w:top w:w="0" w:type="dxa"/>
              <w:left w:w="115" w:type="dxa"/>
              <w:bottom w:w="0" w:type="dxa"/>
              <w:right w:w="115" w:type="dxa"/>
            </w:tcMar>
            <w:vAlign w:val="center"/>
          </w:tcPr>
          <w:p w14:paraId="67E784FC" w14:textId="318A085E" w:rsidR="001F3B67" w:rsidRPr="003278ED" w:rsidRDefault="001F3B6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hAnsi="Times New Roman"/>
                <w:color w:val="000000"/>
                <w:sz w:val="16"/>
                <w:szCs w:val="16"/>
              </w:rPr>
              <w:t>30 395</w:t>
            </w:r>
          </w:p>
        </w:tc>
        <w:tc>
          <w:tcPr>
            <w:tcW w:w="457" w:type="pct"/>
            <w:shd w:val="clear" w:color="auto" w:fill="auto"/>
            <w:tcMar>
              <w:top w:w="0" w:type="dxa"/>
              <w:left w:w="115" w:type="dxa"/>
              <w:bottom w:w="0" w:type="dxa"/>
              <w:right w:w="115" w:type="dxa"/>
            </w:tcMar>
            <w:vAlign w:val="center"/>
          </w:tcPr>
          <w:p w14:paraId="37E5B02F" w14:textId="176FBAD8" w:rsidR="001F3B67" w:rsidRPr="003278ED" w:rsidRDefault="001F3B6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hAnsi="Times New Roman"/>
                <w:color w:val="000000"/>
                <w:sz w:val="16"/>
                <w:szCs w:val="16"/>
              </w:rPr>
              <w:t>33 041</w:t>
            </w:r>
          </w:p>
        </w:tc>
        <w:tc>
          <w:tcPr>
            <w:tcW w:w="443" w:type="pct"/>
            <w:shd w:val="clear" w:color="auto" w:fill="auto"/>
            <w:tcMar>
              <w:top w:w="0" w:type="dxa"/>
              <w:left w:w="115" w:type="dxa"/>
              <w:bottom w:w="0" w:type="dxa"/>
              <w:right w:w="115" w:type="dxa"/>
            </w:tcMar>
            <w:vAlign w:val="center"/>
            <w:hideMark/>
          </w:tcPr>
          <w:p w14:paraId="01A4BF7D" w14:textId="2EBAE72F"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hAnsi="Times New Roman"/>
                <w:color w:val="000000"/>
                <w:sz w:val="16"/>
                <w:szCs w:val="16"/>
              </w:rPr>
              <w:t>8,1%</w:t>
            </w:r>
          </w:p>
        </w:tc>
        <w:tc>
          <w:tcPr>
            <w:tcW w:w="443" w:type="pct"/>
            <w:shd w:val="clear" w:color="auto" w:fill="auto"/>
            <w:tcMar>
              <w:top w:w="0" w:type="dxa"/>
              <w:left w:w="115" w:type="dxa"/>
              <w:bottom w:w="0" w:type="dxa"/>
              <w:right w:w="115" w:type="dxa"/>
            </w:tcMar>
            <w:vAlign w:val="center"/>
            <w:hideMark/>
          </w:tcPr>
          <w:p w14:paraId="2852CBAB" w14:textId="54DF040D"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hAnsi="Times New Roman"/>
                <w:color w:val="000000"/>
                <w:sz w:val="16"/>
                <w:szCs w:val="16"/>
              </w:rPr>
              <w:t>8,0%</w:t>
            </w:r>
          </w:p>
        </w:tc>
        <w:tc>
          <w:tcPr>
            <w:tcW w:w="468" w:type="pct"/>
            <w:shd w:val="clear" w:color="auto" w:fill="auto"/>
            <w:tcMar>
              <w:top w:w="0" w:type="dxa"/>
              <w:left w:w="115" w:type="dxa"/>
              <w:bottom w:w="0" w:type="dxa"/>
              <w:right w:w="115" w:type="dxa"/>
            </w:tcMar>
            <w:vAlign w:val="center"/>
            <w:hideMark/>
          </w:tcPr>
          <w:p w14:paraId="0B5C2DE0" w14:textId="0AAB3CAB"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hAnsi="Times New Roman"/>
                <w:color w:val="000000"/>
                <w:sz w:val="16"/>
                <w:szCs w:val="16"/>
              </w:rPr>
              <w:t>7,7%</w:t>
            </w:r>
          </w:p>
        </w:tc>
        <w:tc>
          <w:tcPr>
            <w:tcW w:w="468" w:type="pct"/>
            <w:shd w:val="clear" w:color="auto" w:fill="auto"/>
            <w:tcMar>
              <w:top w:w="0" w:type="dxa"/>
              <w:left w:w="115" w:type="dxa"/>
              <w:bottom w:w="0" w:type="dxa"/>
              <w:right w:w="115" w:type="dxa"/>
            </w:tcMar>
            <w:vAlign w:val="center"/>
            <w:hideMark/>
          </w:tcPr>
          <w:p w14:paraId="6A58A5AE" w14:textId="66432CB5" w:rsidR="001F3B67" w:rsidRPr="003278ED" w:rsidRDefault="001F3B67" w:rsidP="007D3A2B">
            <w:pPr>
              <w:spacing w:after="0" w:line="240" w:lineRule="auto"/>
              <w:jc w:val="center"/>
              <w:rPr>
                <w:rFonts w:ascii="Times New Roman" w:eastAsia="Times New Roman" w:hAnsi="Times New Roman" w:cs="Times New Roman"/>
                <w:sz w:val="24"/>
                <w:szCs w:val="24"/>
              </w:rPr>
            </w:pPr>
            <w:r w:rsidRPr="003278ED">
              <w:rPr>
                <w:rFonts w:ascii="Times New Roman" w:hAnsi="Times New Roman"/>
                <w:color w:val="000000"/>
                <w:sz w:val="16"/>
                <w:szCs w:val="16"/>
              </w:rPr>
              <w:t>7.7%</w:t>
            </w:r>
          </w:p>
        </w:tc>
      </w:tr>
      <w:tr w:rsidR="00813D27" w:rsidRPr="003278ED" w14:paraId="0016E9C1" w14:textId="77777777" w:rsidTr="004C2B11">
        <w:tc>
          <w:tcPr>
            <w:tcW w:w="1393" w:type="pct"/>
            <w:shd w:val="clear" w:color="auto" w:fill="FFFFFF"/>
            <w:tcMar>
              <w:top w:w="0" w:type="dxa"/>
              <w:left w:w="115" w:type="dxa"/>
              <w:bottom w:w="0" w:type="dxa"/>
              <w:right w:w="115" w:type="dxa"/>
            </w:tcMar>
            <w:vAlign w:val="center"/>
            <w:hideMark/>
          </w:tcPr>
          <w:p w14:paraId="4D56A8A6" w14:textId="77777777" w:rsidR="00813D27" w:rsidRPr="003278ED" w:rsidRDefault="00813D27" w:rsidP="007D3A2B">
            <w:pPr>
              <w:spacing w:after="0" w:line="240" w:lineRule="auto"/>
              <w:ind w:left="174"/>
              <w:rPr>
                <w:rFonts w:ascii="Times New Roman" w:hAnsi="Times New Roman" w:cs="Times New Roman"/>
                <w:sz w:val="18"/>
                <w:szCs w:val="18"/>
                <w:highlight w:val="yellow"/>
              </w:rPr>
            </w:pPr>
            <w:r w:rsidRPr="003278ED">
              <w:rPr>
                <w:rFonts w:ascii="Times New Roman" w:hAnsi="Times New Roman" w:cs="Times New Roman"/>
                <w:i/>
                <w:color w:val="000000"/>
                <w:sz w:val="16"/>
                <w:szCs w:val="16"/>
              </w:rPr>
              <w:t>- dobânzi</w:t>
            </w:r>
          </w:p>
        </w:tc>
        <w:tc>
          <w:tcPr>
            <w:tcW w:w="435" w:type="pct"/>
            <w:shd w:val="clear" w:color="auto" w:fill="FFFFFF"/>
            <w:tcMar>
              <w:top w:w="0" w:type="dxa"/>
              <w:left w:w="115" w:type="dxa"/>
              <w:bottom w:w="0" w:type="dxa"/>
              <w:right w:w="115" w:type="dxa"/>
            </w:tcMar>
            <w:vAlign w:val="center"/>
            <w:hideMark/>
          </w:tcPr>
          <w:p w14:paraId="1090CDF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4 342</w:t>
            </w:r>
          </w:p>
        </w:tc>
        <w:tc>
          <w:tcPr>
            <w:tcW w:w="435" w:type="pct"/>
            <w:shd w:val="clear" w:color="auto" w:fill="FFFFFF"/>
            <w:tcMar>
              <w:top w:w="0" w:type="dxa"/>
              <w:left w:w="115" w:type="dxa"/>
              <w:bottom w:w="0" w:type="dxa"/>
              <w:right w:w="115" w:type="dxa"/>
            </w:tcMar>
            <w:vAlign w:val="center"/>
            <w:hideMark/>
          </w:tcPr>
          <w:p w14:paraId="1E3B02A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4 673</w:t>
            </w:r>
          </w:p>
        </w:tc>
        <w:tc>
          <w:tcPr>
            <w:tcW w:w="457" w:type="pct"/>
            <w:shd w:val="clear" w:color="auto" w:fill="FFFFFF"/>
            <w:tcMar>
              <w:top w:w="0" w:type="dxa"/>
              <w:left w:w="115" w:type="dxa"/>
              <w:bottom w:w="0" w:type="dxa"/>
              <w:right w:w="115" w:type="dxa"/>
            </w:tcMar>
            <w:vAlign w:val="center"/>
          </w:tcPr>
          <w:p w14:paraId="58E2A7A6"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4 938</w:t>
            </w:r>
          </w:p>
        </w:tc>
        <w:tc>
          <w:tcPr>
            <w:tcW w:w="457" w:type="pct"/>
            <w:shd w:val="clear" w:color="auto" w:fill="FFFFFF"/>
            <w:tcMar>
              <w:top w:w="0" w:type="dxa"/>
              <w:left w:w="115" w:type="dxa"/>
              <w:bottom w:w="0" w:type="dxa"/>
              <w:right w:w="115" w:type="dxa"/>
            </w:tcMar>
            <w:vAlign w:val="center"/>
          </w:tcPr>
          <w:p w14:paraId="0A466E5D"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5 415</w:t>
            </w:r>
          </w:p>
        </w:tc>
        <w:tc>
          <w:tcPr>
            <w:tcW w:w="443" w:type="pct"/>
            <w:tcMar>
              <w:top w:w="0" w:type="dxa"/>
              <w:left w:w="115" w:type="dxa"/>
              <w:bottom w:w="0" w:type="dxa"/>
              <w:right w:w="115" w:type="dxa"/>
            </w:tcMar>
            <w:vAlign w:val="center"/>
            <w:hideMark/>
          </w:tcPr>
          <w:p w14:paraId="4B049E35"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1,2%</w:t>
            </w:r>
          </w:p>
        </w:tc>
        <w:tc>
          <w:tcPr>
            <w:tcW w:w="443" w:type="pct"/>
            <w:tcMar>
              <w:top w:w="0" w:type="dxa"/>
              <w:left w:w="115" w:type="dxa"/>
              <w:bottom w:w="0" w:type="dxa"/>
              <w:right w:w="115" w:type="dxa"/>
            </w:tcMar>
            <w:vAlign w:val="center"/>
            <w:hideMark/>
          </w:tcPr>
          <w:p w14:paraId="0B36287B"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w:t>
            </w:r>
          </w:p>
        </w:tc>
        <w:tc>
          <w:tcPr>
            <w:tcW w:w="468" w:type="pct"/>
            <w:tcMar>
              <w:top w:w="0" w:type="dxa"/>
              <w:left w:w="115" w:type="dxa"/>
              <w:bottom w:w="0" w:type="dxa"/>
              <w:right w:w="115" w:type="dxa"/>
            </w:tcMar>
            <w:vAlign w:val="center"/>
            <w:hideMark/>
          </w:tcPr>
          <w:p w14:paraId="37BBA64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1,4%</w:t>
            </w:r>
          </w:p>
        </w:tc>
        <w:tc>
          <w:tcPr>
            <w:tcW w:w="468" w:type="pct"/>
            <w:tcMar>
              <w:top w:w="0" w:type="dxa"/>
              <w:left w:w="115" w:type="dxa"/>
              <w:bottom w:w="0" w:type="dxa"/>
              <w:right w:w="115" w:type="dxa"/>
            </w:tcMar>
            <w:vAlign w:val="center"/>
            <w:hideMark/>
          </w:tcPr>
          <w:p w14:paraId="34E63F4B"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1,4%</w:t>
            </w:r>
          </w:p>
        </w:tc>
      </w:tr>
      <w:tr w:rsidR="00813D27" w:rsidRPr="003278ED" w14:paraId="37043FBE" w14:textId="77777777" w:rsidTr="004C2B11">
        <w:tc>
          <w:tcPr>
            <w:tcW w:w="1393" w:type="pct"/>
            <w:shd w:val="clear" w:color="auto" w:fill="FFFFFF"/>
            <w:tcMar>
              <w:top w:w="0" w:type="dxa"/>
              <w:left w:w="115" w:type="dxa"/>
              <w:bottom w:w="0" w:type="dxa"/>
              <w:right w:w="115" w:type="dxa"/>
            </w:tcMar>
            <w:vAlign w:val="center"/>
            <w:hideMark/>
          </w:tcPr>
          <w:p w14:paraId="0A124BDC" w14:textId="77777777" w:rsidR="00813D27" w:rsidRPr="003278ED" w:rsidRDefault="00813D27" w:rsidP="007D3A2B">
            <w:pPr>
              <w:spacing w:after="0" w:line="240" w:lineRule="auto"/>
              <w:rPr>
                <w:rFonts w:ascii="Times New Roman" w:hAnsi="Times New Roman" w:cs="Times New Roman"/>
                <w:sz w:val="18"/>
                <w:szCs w:val="18"/>
                <w:highlight w:val="yellow"/>
              </w:rPr>
            </w:pPr>
            <w:r w:rsidRPr="003278ED">
              <w:rPr>
                <w:rFonts w:ascii="Times New Roman" w:hAnsi="Times New Roman" w:cs="Times New Roman"/>
                <w:color w:val="000000"/>
                <w:sz w:val="16"/>
                <w:szCs w:val="16"/>
              </w:rPr>
              <w:t>Investiții capitale</w:t>
            </w:r>
          </w:p>
        </w:tc>
        <w:tc>
          <w:tcPr>
            <w:tcW w:w="435" w:type="pct"/>
            <w:shd w:val="clear" w:color="auto" w:fill="FFFFFF"/>
            <w:tcMar>
              <w:top w:w="0" w:type="dxa"/>
              <w:left w:w="115" w:type="dxa"/>
              <w:bottom w:w="0" w:type="dxa"/>
              <w:right w:w="115" w:type="dxa"/>
            </w:tcMar>
            <w:vAlign w:val="center"/>
            <w:hideMark/>
          </w:tcPr>
          <w:p w14:paraId="7AF4F9FB"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6 080</w:t>
            </w:r>
          </w:p>
        </w:tc>
        <w:tc>
          <w:tcPr>
            <w:tcW w:w="435" w:type="pct"/>
            <w:shd w:val="clear" w:color="auto" w:fill="FFFFFF"/>
            <w:tcMar>
              <w:top w:w="0" w:type="dxa"/>
              <w:left w:w="115" w:type="dxa"/>
              <w:bottom w:w="0" w:type="dxa"/>
              <w:right w:w="115" w:type="dxa"/>
            </w:tcMar>
            <w:vAlign w:val="center"/>
            <w:hideMark/>
          </w:tcPr>
          <w:p w14:paraId="23270F7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5 689</w:t>
            </w:r>
          </w:p>
        </w:tc>
        <w:tc>
          <w:tcPr>
            <w:tcW w:w="457" w:type="pct"/>
            <w:shd w:val="clear" w:color="auto" w:fill="FFFFFF"/>
            <w:tcMar>
              <w:top w:w="0" w:type="dxa"/>
              <w:left w:w="115" w:type="dxa"/>
              <w:bottom w:w="0" w:type="dxa"/>
              <w:right w:w="115" w:type="dxa"/>
            </w:tcMar>
            <w:vAlign w:val="center"/>
          </w:tcPr>
          <w:p w14:paraId="2C89CEB5"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3 335</w:t>
            </w:r>
          </w:p>
        </w:tc>
        <w:tc>
          <w:tcPr>
            <w:tcW w:w="457" w:type="pct"/>
            <w:shd w:val="clear" w:color="auto" w:fill="FFFFFF"/>
            <w:tcMar>
              <w:top w:w="0" w:type="dxa"/>
              <w:left w:w="115" w:type="dxa"/>
              <w:bottom w:w="0" w:type="dxa"/>
              <w:right w:w="115" w:type="dxa"/>
            </w:tcMar>
            <w:vAlign w:val="center"/>
          </w:tcPr>
          <w:p w14:paraId="3DCBB43F"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4 191</w:t>
            </w:r>
          </w:p>
        </w:tc>
        <w:tc>
          <w:tcPr>
            <w:tcW w:w="443" w:type="pct"/>
            <w:tcMar>
              <w:top w:w="0" w:type="dxa"/>
              <w:left w:w="115" w:type="dxa"/>
              <w:bottom w:w="0" w:type="dxa"/>
              <w:right w:w="115" w:type="dxa"/>
            </w:tcMar>
            <w:vAlign w:val="center"/>
            <w:hideMark/>
          </w:tcPr>
          <w:p w14:paraId="4ACE9B1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1,6%</w:t>
            </w:r>
          </w:p>
        </w:tc>
        <w:tc>
          <w:tcPr>
            <w:tcW w:w="443" w:type="pct"/>
            <w:tcMar>
              <w:top w:w="0" w:type="dxa"/>
              <w:left w:w="115" w:type="dxa"/>
              <w:bottom w:w="0" w:type="dxa"/>
              <w:right w:w="115" w:type="dxa"/>
            </w:tcMar>
            <w:vAlign w:val="center"/>
            <w:hideMark/>
          </w:tcPr>
          <w:p w14:paraId="7320C91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1,4%</w:t>
            </w:r>
          </w:p>
        </w:tc>
        <w:tc>
          <w:tcPr>
            <w:tcW w:w="468" w:type="pct"/>
            <w:tcMar>
              <w:top w:w="0" w:type="dxa"/>
              <w:left w:w="115" w:type="dxa"/>
              <w:bottom w:w="0" w:type="dxa"/>
              <w:right w:w="115" w:type="dxa"/>
            </w:tcMar>
            <w:vAlign w:val="center"/>
            <w:hideMark/>
          </w:tcPr>
          <w:p w14:paraId="4BD0AF8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0,9%</w:t>
            </w:r>
          </w:p>
        </w:tc>
        <w:tc>
          <w:tcPr>
            <w:tcW w:w="468" w:type="pct"/>
            <w:tcMar>
              <w:top w:w="0" w:type="dxa"/>
              <w:left w:w="115" w:type="dxa"/>
              <w:bottom w:w="0" w:type="dxa"/>
              <w:right w:w="115" w:type="dxa"/>
            </w:tcMar>
            <w:vAlign w:val="center"/>
            <w:hideMark/>
          </w:tcPr>
          <w:p w14:paraId="1FEBE02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w:t>
            </w:r>
          </w:p>
        </w:tc>
      </w:tr>
      <w:tr w:rsidR="00813D27" w:rsidRPr="003278ED" w14:paraId="233D1E49" w14:textId="77777777" w:rsidTr="004C2B11">
        <w:trPr>
          <w:trHeight w:val="354"/>
        </w:trPr>
        <w:tc>
          <w:tcPr>
            <w:tcW w:w="1393" w:type="pct"/>
            <w:shd w:val="clear" w:color="auto" w:fill="auto"/>
            <w:tcMar>
              <w:top w:w="0" w:type="dxa"/>
              <w:left w:w="115" w:type="dxa"/>
              <w:bottom w:w="0" w:type="dxa"/>
              <w:right w:w="115" w:type="dxa"/>
            </w:tcMar>
            <w:vAlign w:val="center"/>
            <w:hideMark/>
          </w:tcPr>
          <w:p w14:paraId="390E3F9B" w14:textId="77777777" w:rsidR="00813D27" w:rsidRPr="003278ED" w:rsidRDefault="00813D27" w:rsidP="007D3A2B">
            <w:pPr>
              <w:spacing w:after="0" w:line="240" w:lineRule="auto"/>
              <w:rPr>
                <w:rFonts w:ascii="Times New Roman" w:hAnsi="Times New Roman" w:cs="Times New Roman"/>
                <w:b/>
                <w:sz w:val="18"/>
                <w:szCs w:val="18"/>
              </w:rPr>
            </w:pPr>
            <w:r w:rsidRPr="003278ED">
              <w:rPr>
                <w:rFonts w:ascii="Times New Roman" w:hAnsi="Times New Roman" w:cs="Times New Roman"/>
                <w:b/>
                <w:sz w:val="18"/>
                <w:szCs w:val="18"/>
              </w:rPr>
              <w:t>Soldul bugetar (deficit)</w:t>
            </w:r>
          </w:p>
        </w:tc>
        <w:tc>
          <w:tcPr>
            <w:tcW w:w="435" w:type="pct"/>
            <w:shd w:val="clear" w:color="auto" w:fill="auto"/>
            <w:tcMar>
              <w:top w:w="0" w:type="dxa"/>
              <w:left w:w="115" w:type="dxa"/>
              <w:bottom w:w="0" w:type="dxa"/>
              <w:right w:w="115" w:type="dxa"/>
            </w:tcMar>
            <w:vAlign w:val="center"/>
            <w:hideMark/>
          </w:tcPr>
          <w:p w14:paraId="72AAE02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-14 296</w:t>
            </w:r>
          </w:p>
        </w:tc>
        <w:tc>
          <w:tcPr>
            <w:tcW w:w="435" w:type="pct"/>
            <w:shd w:val="clear" w:color="auto" w:fill="auto"/>
            <w:tcMar>
              <w:top w:w="0" w:type="dxa"/>
              <w:left w:w="115" w:type="dxa"/>
              <w:bottom w:w="0" w:type="dxa"/>
              <w:right w:w="115" w:type="dxa"/>
            </w:tcMar>
            <w:vAlign w:val="center"/>
            <w:hideMark/>
          </w:tcPr>
          <w:p w14:paraId="2065C62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-14 178</w:t>
            </w:r>
          </w:p>
        </w:tc>
        <w:tc>
          <w:tcPr>
            <w:tcW w:w="457" w:type="pct"/>
            <w:shd w:val="clear" w:color="auto" w:fill="auto"/>
            <w:tcMar>
              <w:top w:w="0" w:type="dxa"/>
              <w:left w:w="115" w:type="dxa"/>
              <w:bottom w:w="0" w:type="dxa"/>
              <w:right w:w="115" w:type="dxa"/>
            </w:tcMar>
            <w:vAlign w:val="center"/>
            <w:hideMark/>
          </w:tcPr>
          <w:p w14:paraId="7B70AB59" w14:textId="19C3952D" w:rsidR="00813D27" w:rsidRPr="003278ED" w:rsidRDefault="00ED3734"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-13 690</w:t>
            </w:r>
          </w:p>
        </w:tc>
        <w:tc>
          <w:tcPr>
            <w:tcW w:w="457" w:type="pct"/>
            <w:shd w:val="clear" w:color="auto" w:fill="auto"/>
            <w:tcMar>
              <w:top w:w="0" w:type="dxa"/>
              <w:left w:w="115" w:type="dxa"/>
              <w:bottom w:w="0" w:type="dxa"/>
              <w:right w:w="115" w:type="dxa"/>
            </w:tcMar>
            <w:vAlign w:val="center"/>
            <w:hideMark/>
          </w:tcPr>
          <w:p w14:paraId="2C6A70F7" w14:textId="2A5C22F4" w:rsidR="00813D27" w:rsidRPr="003278ED" w:rsidRDefault="00ED3734"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-13 450</w:t>
            </w:r>
          </w:p>
        </w:tc>
        <w:tc>
          <w:tcPr>
            <w:tcW w:w="443" w:type="pct"/>
            <w:shd w:val="clear" w:color="auto" w:fill="auto"/>
            <w:tcMar>
              <w:top w:w="0" w:type="dxa"/>
              <w:left w:w="115" w:type="dxa"/>
              <w:bottom w:w="0" w:type="dxa"/>
              <w:right w:w="115" w:type="dxa"/>
            </w:tcMar>
            <w:vAlign w:val="center"/>
            <w:hideMark/>
          </w:tcPr>
          <w:p w14:paraId="0A7C827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-3,8%</w:t>
            </w:r>
          </w:p>
        </w:tc>
        <w:tc>
          <w:tcPr>
            <w:tcW w:w="443" w:type="pct"/>
            <w:shd w:val="clear" w:color="auto" w:fill="auto"/>
            <w:tcMar>
              <w:top w:w="0" w:type="dxa"/>
              <w:left w:w="115" w:type="dxa"/>
              <w:bottom w:w="0" w:type="dxa"/>
              <w:right w:w="115" w:type="dxa"/>
            </w:tcMar>
            <w:vAlign w:val="center"/>
            <w:hideMark/>
          </w:tcPr>
          <w:p w14:paraId="65A67ED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-3,4%</w:t>
            </w:r>
          </w:p>
        </w:tc>
        <w:tc>
          <w:tcPr>
            <w:tcW w:w="468" w:type="pct"/>
            <w:shd w:val="clear" w:color="auto" w:fill="auto"/>
            <w:tcMar>
              <w:top w:w="0" w:type="dxa"/>
              <w:left w:w="115" w:type="dxa"/>
              <w:bottom w:w="0" w:type="dxa"/>
              <w:right w:w="115" w:type="dxa"/>
            </w:tcMar>
            <w:vAlign w:val="center"/>
            <w:hideMark/>
          </w:tcPr>
          <w:p w14:paraId="3F5D46B0"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-3,8%</w:t>
            </w:r>
          </w:p>
        </w:tc>
        <w:tc>
          <w:tcPr>
            <w:tcW w:w="468" w:type="pct"/>
            <w:shd w:val="clear" w:color="auto" w:fill="auto"/>
            <w:tcMar>
              <w:top w:w="0" w:type="dxa"/>
              <w:left w:w="115" w:type="dxa"/>
              <w:bottom w:w="0" w:type="dxa"/>
              <w:right w:w="115" w:type="dxa"/>
            </w:tcMar>
            <w:vAlign w:val="center"/>
            <w:hideMark/>
          </w:tcPr>
          <w:p w14:paraId="786DB170"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b/>
                <w:bCs/>
                <w:color w:val="000000"/>
                <w:sz w:val="16"/>
                <w:szCs w:val="16"/>
                <w:shd w:val="clear" w:color="auto" w:fill="FFFFFF"/>
              </w:rPr>
              <w:t>-3,4%</w:t>
            </w:r>
          </w:p>
        </w:tc>
      </w:tr>
      <w:tr w:rsidR="00813D27" w:rsidRPr="003278ED" w14:paraId="2EEE7F9A" w14:textId="77777777" w:rsidTr="004C2B11">
        <w:tc>
          <w:tcPr>
            <w:tcW w:w="1393" w:type="pct"/>
            <w:shd w:val="clear" w:color="auto" w:fill="FFFFFF"/>
            <w:tcMar>
              <w:top w:w="0" w:type="dxa"/>
              <w:left w:w="115" w:type="dxa"/>
              <w:bottom w:w="0" w:type="dxa"/>
              <w:right w:w="115" w:type="dxa"/>
            </w:tcMar>
            <w:vAlign w:val="center"/>
            <w:hideMark/>
          </w:tcPr>
          <w:p w14:paraId="7ABF8F16" w14:textId="77777777" w:rsidR="00813D27" w:rsidRPr="00A47DB5" w:rsidRDefault="00813D27" w:rsidP="007D3A2B">
            <w:pPr>
              <w:spacing w:after="0" w:line="240" w:lineRule="auto"/>
              <w:ind w:firstLine="174"/>
              <w:rPr>
                <w:rFonts w:ascii="Times New Roman" w:hAnsi="Times New Roman" w:cs="Times New Roman"/>
                <w:sz w:val="18"/>
                <w:szCs w:val="18"/>
              </w:rPr>
            </w:pPr>
            <w:r w:rsidRPr="00A47DB5">
              <w:rPr>
                <w:rFonts w:ascii="Times New Roman" w:hAnsi="Times New Roman" w:cs="Times New Roman"/>
                <w:color w:val="000000"/>
                <w:sz w:val="18"/>
                <w:szCs w:val="18"/>
              </w:rPr>
              <w:t>Finanțat din:</w:t>
            </w:r>
          </w:p>
        </w:tc>
        <w:tc>
          <w:tcPr>
            <w:tcW w:w="435" w:type="pct"/>
            <w:tcMar>
              <w:top w:w="0" w:type="dxa"/>
              <w:left w:w="115" w:type="dxa"/>
              <w:bottom w:w="0" w:type="dxa"/>
              <w:right w:w="115" w:type="dxa"/>
            </w:tcMar>
            <w:vAlign w:val="center"/>
            <w:hideMark/>
          </w:tcPr>
          <w:p w14:paraId="21E14484"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35" w:type="pct"/>
            <w:tcMar>
              <w:top w:w="0" w:type="dxa"/>
              <w:left w:w="115" w:type="dxa"/>
              <w:bottom w:w="0" w:type="dxa"/>
              <w:right w:w="115" w:type="dxa"/>
            </w:tcMar>
            <w:vAlign w:val="center"/>
            <w:hideMark/>
          </w:tcPr>
          <w:p w14:paraId="5A0E49CD"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57" w:type="pct"/>
            <w:tcMar>
              <w:top w:w="0" w:type="dxa"/>
              <w:left w:w="115" w:type="dxa"/>
              <w:bottom w:w="0" w:type="dxa"/>
              <w:right w:w="115" w:type="dxa"/>
            </w:tcMar>
            <w:vAlign w:val="center"/>
            <w:hideMark/>
          </w:tcPr>
          <w:p w14:paraId="7132331B"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57" w:type="pct"/>
            <w:tcMar>
              <w:top w:w="0" w:type="dxa"/>
              <w:left w:w="115" w:type="dxa"/>
              <w:bottom w:w="0" w:type="dxa"/>
              <w:right w:w="115" w:type="dxa"/>
            </w:tcMar>
            <w:vAlign w:val="center"/>
            <w:hideMark/>
          </w:tcPr>
          <w:p w14:paraId="2DDF99C2"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43" w:type="pct"/>
            <w:tcMar>
              <w:top w:w="0" w:type="dxa"/>
              <w:left w:w="115" w:type="dxa"/>
              <w:bottom w:w="0" w:type="dxa"/>
              <w:right w:w="115" w:type="dxa"/>
            </w:tcMar>
            <w:vAlign w:val="center"/>
            <w:hideMark/>
          </w:tcPr>
          <w:p w14:paraId="761A6032"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43" w:type="pct"/>
            <w:tcMar>
              <w:top w:w="0" w:type="dxa"/>
              <w:left w:w="115" w:type="dxa"/>
              <w:bottom w:w="0" w:type="dxa"/>
              <w:right w:w="115" w:type="dxa"/>
            </w:tcMar>
            <w:vAlign w:val="center"/>
            <w:hideMark/>
          </w:tcPr>
          <w:p w14:paraId="6CE94B42"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68" w:type="pct"/>
            <w:tcMar>
              <w:top w:w="0" w:type="dxa"/>
              <w:left w:w="115" w:type="dxa"/>
              <w:bottom w:w="0" w:type="dxa"/>
              <w:right w:w="115" w:type="dxa"/>
            </w:tcMar>
            <w:vAlign w:val="center"/>
            <w:hideMark/>
          </w:tcPr>
          <w:p w14:paraId="4CF90ECC" w14:textId="77777777" w:rsidR="00813D27" w:rsidRPr="003278ED" w:rsidRDefault="00813D27" w:rsidP="007D3A2B">
            <w:pPr>
              <w:spacing w:after="0" w:line="240" w:lineRule="auto"/>
              <w:rPr>
                <w:rFonts w:ascii="Times New Roman" w:eastAsia="Times New Roman" w:hAnsi="Times New Roman" w:cs="Times New Roman"/>
                <w:sz w:val="24"/>
                <w:szCs w:val="24"/>
              </w:rPr>
            </w:pPr>
          </w:p>
        </w:tc>
        <w:tc>
          <w:tcPr>
            <w:tcW w:w="468" w:type="pct"/>
            <w:tcMar>
              <w:top w:w="0" w:type="dxa"/>
              <w:left w:w="115" w:type="dxa"/>
              <w:bottom w:w="0" w:type="dxa"/>
              <w:right w:w="115" w:type="dxa"/>
            </w:tcMar>
            <w:vAlign w:val="center"/>
            <w:hideMark/>
          </w:tcPr>
          <w:p w14:paraId="09B990A3" w14:textId="77777777" w:rsidR="00813D27" w:rsidRPr="003278ED" w:rsidRDefault="00813D27" w:rsidP="007D3A2B">
            <w:pPr>
              <w:spacing w:after="0" w:line="240" w:lineRule="auto"/>
              <w:rPr>
                <w:rFonts w:ascii="Times New Roman" w:eastAsia="Times New Roman" w:hAnsi="Times New Roman" w:cs="Times New Roman"/>
                <w:sz w:val="24"/>
                <w:szCs w:val="24"/>
              </w:rPr>
            </w:pPr>
          </w:p>
        </w:tc>
      </w:tr>
      <w:tr w:rsidR="00813D27" w:rsidRPr="003278ED" w14:paraId="557E76CF" w14:textId="77777777" w:rsidTr="004C2B11">
        <w:trPr>
          <w:trHeight w:val="249"/>
        </w:trPr>
        <w:tc>
          <w:tcPr>
            <w:tcW w:w="1393" w:type="pct"/>
            <w:tcMar>
              <w:top w:w="0" w:type="dxa"/>
              <w:left w:w="115" w:type="dxa"/>
              <w:bottom w:w="0" w:type="dxa"/>
              <w:right w:w="115" w:type="dxa"/>
            </w:tcMar>
            <w:vAlign w:val="center"/>
            <w:hideMark/>
          </w:tcPr>
          <w:p w14:paraId="0EA20E3D" w14:textId="77777777" w:rsidR="00813D27" w:rsidRPr="003278ED" w:rsidRDefault="00813D27" w:rsidP="007D3A2B">
            <w:pPr>
              <w:spacing w:after="0" w:line="240" w:lineRule="auto"/>
              <w:ind w:left="315"/>
              <w:rPr>
                <w:rFonts w:ascii="Times New Roman" w:hAnsi="Times New Roman" w:cs="Times New Roman"/>
                <w:sz w:val="18"/>
                <w:szCs w:val="18"/>
              </w:rPr>
            </w:pPr>
            <w:r w:rsidRPr="003278ED">
              <w:rPr>
                <w:rFonts w:ascii="Times New Roman" w:hAnsi="Times New Roman" w:cs="Times New Roman"/>
                <w:color w:val="000000"/>
                <w:sz w:val="18"/>
                <w:szCs w:val="18"/>
              </w:rPr>
              <w:t>împrumuturi externe</w:t>
            </w:r>
          </w:p>
        </w:tc>
        <w:tc>
          <w:tcPr>
            <w:tcW w:w="435" w:type="pct"/>
            <w:tcMar>
              <w:top w:w="0" w:type="dxa"/>
              <w:left w:w="115" w:type="dxa"/>
              <w:bottom w:w="0" w:type="dxa"/>
              <w:right w:w="115" w:type="dxa"/>
            </w:tcMar>
            <w:vAlign w:val="center"/>
            <w:hideMark/>
          </w:tcPr>
          <w:p w14:paraId="7A09051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-805</w:t>
            </w:r>
          </w:p>
        </w:tc>
        <w:tc>
          <w:tcPr>
            <w:tcW w:w="435" w:type="pct"/>
            <w:tcMar>
              <w:top w:w="0" w:type="dxa"/>
              <w:left w:w="115" w:type="dxa"/>
              <w:bottom w:w="0" w:type="dxa"/>
              <w:right w:w="115" w:type="dxa"/>
            </w:tcMar>
            <w:vAlign w:val="center"/>
            <w:hideMark/>
          </w:tcPr>
          <w:p w14:paraId="47150F6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101</w:t>
            </w:r>
          </w:p>
        </w:tc>
        <w:tc>
          <w:tcPr>
            <w:tcW w:w="457" w:type="pct"/>
            <w:tcMar>
              <w:top w:w="0" w:type="dxa"/>
              <w:left w:w="115" w:type="dxa"/>
              <w:bottom w:w="0" w:type="dxa"/>
              <w:right w:w="115" w:type="dxa"/>
            </w:tcMar>
            <w:vAlign w:val="center"/>
            <w:hideMark/>
          </w:tcPr>
          <w:p w14:paraId="0DFCF0B6"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3 923</w:t>
            </w:r>
          </w:p>
        </w:tc>
        <w:tc>
          <w:tcPr>
            <w:tcW w:w="457" w:type="pct"/>
            <w:tcMar>
              <w:top w:w="0" w:type="dxa"/>
              <w:left w:w="115" w:type="dxa"/>
              <w:bottom w:w="0" w:type="dxa"/>
              <w:right w:w="115" w:type="dxa"/>
            </w:tcMar>
            <w:vAlign w:val="center"/>
            <w:hideMark/>
          </w:tcPr>
          <w:p w14:paraId="3BAB271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1 379</w:t>
            </w:r>
          </w:p>
        </w:tc>
        <w:tc>
          <w:tcPr>
            <w:tcW w:w="443" w:type="pct"/>
            <w:tcMar>
              <w:top w:w="0" w:type="dxa"/>
              <w:left w:w="115" w:type="dxa"/>
              <w:bottom w:w="0" w:type="dxa"/>
              <w:right w:w="115" w:type="dxa"/>
            </w:tcMar>
            <w:vAlign w:val="center"/>
            <w:hideMark/>
          </w:tcPr>
          <w:p w14:paraId="3008A22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-0,2%</w:t>
            </w:r>
          </w:p>
        </w:tc>
        <w:tc>
          <w:tcPr>
            <w:tcW w:w="443" w:type="pct"/>
            <w:tcMar>
              <w:top w:w="0" w:type="dxa"/>
              <w:left w:w="115" w:type="dxa"/>
              <w:bottom w:w="0" w:type="dxa"/>
              <w:right w:w="115" w:type="dxa"/>
            </w:tcMar>
            <w:vAlign w:val="center"/>
            <w:hideMark/>
          </w:tcPr>
          <w:p w14:paraId="5641C6D3"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0,02%</w:t>
            </w:r>
          </w:p>
        </w:tc>
        <w:tc>
          <w:tcPr>
            <w:tcW w:w="468" w:type="pct"/>
            <w:tcMar>
              <w:top w:w="0" w:type="dxa"/>
              <w:left w:w="115" w:type="dxa"/>
              <w:bottom w:w="0" w:type="dxa"/>
              <w:right w:w="115" w:type="dxa"/>
            </w:tcMar>
            <w:vAlign w:val="center"/>
            <w:hideMark/>
          </w:tcPr>
          <w:p w14:paraId="347574E1"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w:t>
            </w:r>
          </w:p>
        </w:tc>
        <w:tc>
          <w:tcPr>
            <w:tcW w:w="468" w:type="pct"/>
            <w:tcMar>
              <w:top w:w="0" w:type="dxa"/>
              <w:left w:w="115" w:type="dxa"/>
              <w:bottom w:w="0" w:type="dxa"/>
              <w:right w:w="115" w:type="dxa"/>
            </w:tcMar>
            <w:vAlign w:val="center"/>
            <w:hideMark/>
          </w:tcPr>
          <w:p w14:paraId="1911A89E"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0,4%</w:t>
            </w:r>
          </w:p>
        </w:tc>
      </w:tr>
      <w:tr w:rsidR="00813D27" w:rsidRPr="003278ED" w14:paraId="166746DB" w14:textId="77777777" w:rsidTr="004C2B11">
        <w:tc>
          <w:tcPr>
            <w:tcW w:w="1393" w:type="pct"/>
            <w:tcMar>
              <w:top w:w="0" w:type="dxa"/>
              <w:left w:w="115" w:type="dxa"/>
              <w:bottom w:w="0" w:type="dxa"/>
              <w:right w:w="115" w:type="dxa"/>
            </w:tcMar>
            <w:vAlign w:val="center"/>
            <w:hideMark/>
          </w:tcPr>
          <w:p w14:paraId="6FA0D2FD" w14:textId="77777777" w:rsidR="00813D27" w:rsidRPr="003278ED" w:rsidRDefault="00813D27" w:rsidP="007D3A2B">
            <w:pPr>
              <w:spacing w:after="0" w:line="240" w:lineRule="auto"/>
              <w:ind w:left="315"/>
              <w:rPr>
                <w:rFonts w:ascii="Times New Roman" w:hAnsi="Times New Roman" w:cs="Times New Roman"/>
                <w:sz w:val="18"/>
                <w:szCs w:val="18"/>
              </w:rPr>
            </w:pPr>
            <w:r w:rsidRPr="003278ED">
              <w:rPr>
                <w:rFonts w:ascii="Times New Roman" w:hAnsi="Times New Roman" w:cs="Times New Roman"/>
                <w:color w:val="000000"/>
                <w:sz w:val="18"/>
                <w:szCs w:val="18"/>
              </w:rPr>
              <w:t>împrumuturi interne</w:t>
            </w:r>
          </w:p>
        </w:tc>
        <w:tc>
          <w:tcPr>
            <w:tcW w:w="435" w:type="pct"/>
            <w:tcMar>
              <w:top w:w="0" w:type="dxa"/>
              <w:left w:w="115" w:type="dxa"/>
              <w:bottom w:w="0" w:type="dxa"/>
              <w:right w:w="115" w:type="dxa"/>
            </w:tcMar>
            <w:vAlign w:val="center"/>
            <w:hideMark/>
          </w:tcPr>
          <w:p w14:paraId="07CB346A" w14:textId="77777777" w:rsidR="00813D27" w:rsidRPr="003278ED" w:rsidRDefault="00813D27"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color w:val="000000"/>
                <w:sz w:val="16"/>
                <w:szCs w:val="16"/>
                <w:shd w:val="clear" w:color="auto" w:fill="FFFFFF"/>
              </w:rPr>
              <w:t>3 479</w:t>
            </w:r>
          </w:p>
        </w:tc>
        <w:tc>
          <w:tcPr>
            <w:tcW w:w="435" w:type="pct"/>
            <w:tcMar>
              <w:top w:w="0" w:type="dxa"/>
              <w:left w:w="115" w:type="dxa"/>
              <w:bottom w:w="0" w:type="dxa"/>
              <w:right w:w="115" w:type="dxa"/>
            </w:tcMar>
            <w:vAlign w:val="center"/>
            <w:hideMark/>
          </w:tcPr>
          <w:p w14:paraId="19A68DC4" w14:textId="77777777" w:rsidR="00813D27" w:rsidRPr="003278ED" w:rsidRDefault="00813D27"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color w:val="000000"/>
                <w:sz w:val="16"/>
                <w:szCs w:val="16"/>
                <w:shd w:val="clear" w:color="auto" w:fill="FFFFFF"/>
              </w:rPr>
              <w:t>4 464</w:t>
            </w:r>
          </w:p>
        </w:tc>
        <w:tc>
          <w:tcPr>
            <w:tcW w:w="457" w:type="pct"/>
            <w:tcMar>
              <w:top w:w="0" w:type="dxa"/>
              <w:left w:w="115" w:type="dxa"/>
              <w:bottom w:w="0" w:type="dxa"/>
              <w:right w:w="115" w:type="dxa"/>
            </w:tcMar>
            <w:vAlign w:val="center"/>
            <w:hideMark/>
          </w:tcPr>
          <w:p w14:paraId="25996814"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9 409</w:t>
            </w:r>
          </w:p>
        </w:tc>
        <w:tc>
          <w:tcPr>
            <w:tcW w:w="457" w:type="pct"/>
            <w:tcMar>
              <w:top w:w="0" w:type="dxa"/>
              <w:left w:w="115" w:type="dxa"/>
              <w:bottom w:w="0" w:type="dxa"/>
              <w:right w:w="115" w:type="dxa"/>
            </w:tcMar>
            <w:vAlign w:val="center"/>
            <w:hideMark/>
          </w:tcPr>
          <w:p w14:paraId="093A92DF"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9 392</w:t>
            </w:r>
          </w:p>
        </w:tc>
        <w:tc>
          <w:tcPr>
            <w:tcW w:w="443" w:type="pct"/>
            <w:tcMar>
              <w:top w:w="0" w:type="dxa"/>
              <w:left w:w="115" w:type="dxa"/>
              <w:bottom w:w="0" w:type="dxa"/>
              <w:right w:w="115" w:type="dxa"/>
            </w:tcMar>
            <w:vAlign w:val="center"/>
            <w:hideMark/>
          </w:tcPr>
          <w:p w14:paraId="2721330E"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0,9%</w:t>
            </w:r>
          </w:p>
        </w:tc>
        <w:tc>
          <w:tcPr>
            <w:tcW w:w="443" w:type="pct"/>
            <w:tcMar>
              <w:top w:w="0" w:type="dxa"/>
              <w:left w:w="115" w:type="dxa"/>
              <w:bottom w:w="0" w:type="dxa"/>
              <w:right w:w="115" w:type="dxa"/>
            </w:tcMar>
            <w:vAlign w:val="center"/>
            <w:hideMark/>
          </w:tcPr>
          <w:p w14:paraId="3FB062D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1,1%</w:t>
            </w:r>
          </w:p>
        </w:tc>
        <w:tc>
          <w:tcPr>
            <w:tcW w:w="468" w:type="pct"/>
            <w:tcMar>
              <w:top w:w="0" w:type="dxa"/>
              <w:left w:w="115" w:type="dxa"/>
              <w:bottom w:w="0" w:type="dxa"/>
              <w:right w:w="115" w:type="dxa"/>
            </w:tcMar>
            <w:vAlign w:val="center"/>
            <w:hideMark/>
          </w:tcPr>
          <w:p w14:paraId="6CCCF29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2,6%</w:t>
            </w:r>
          </w:p>
        </w:tc>
        <w:tc>
          <w:tcPr>
            <w:tcW w:w="468" w:type="pct"/>
            <w:tcMar>
              <w:top w:w="0" w:type="dxa"/>
              <w:left w:w="115" w:type="dxa"/>
              <w:bottom w:w="0" w:type="dxa"/>
              <w:right w:w="115" w:type="dxa"/>
            </w:tcMar>
            <w:vAlign w:val="center"/>
            <w:hideMark/>
          </w:tcPr>
          <w:p w14:paraId="0D83DAA3"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2,4%</w:t>
            </w:r>
          </w:p>
        </w:tc>
      </w:tr>
      <w:tr w:rsidR="00813D27" w:rsidRPr="003278ED" w14:paraId="123B5969" w14:textId="77777777" w:rsidTr="004C2B11">
        <w:trPr>
          <w:trHeight w:val="303"/>
        </w:trPr>
        <w:tc>
          <w:tcPr>
            <w:tcW w:w="1393" w:type="pct"/>
            <w:tcMar>
              <w:top w:w="0" w:type="dxa"/>
              <w:left w:w="115" w:type="dxa"/>
              <w:bottom w:w="0" w:type="dxa"/>
              <w:right w:w="115" w:type="dxa"/>
            </w:tcMar>
            <w:vAlign w:val="center"/>
          </w:tcPr>
          <w:p w14:paraId="1315F669" w14:textId="77777777" w:rsidR="00813D27" w:rsidRPr="003278ED" w:rsidRDefault="00813D27" w:rsidP="007D3A2B">
            <w:pPr>
              <w:spacing w:after="0" w:line="240" w:lineRule="auto"/>
              <w:rPr>
                <w:rFonts w:ascii="Times New Roman" w:hAnsi="Times New Roman" w:cs="Times New Roman"/>
                <w:sz w:val="18"/>
                <w:szCs w:val="18"/>
              </w:rPr>
            </w:pPr>
            <w:r w:rsidRPr="003278ED">
              <w:rPr>
                <w:rFonts w:ascii="Times New Roman" w:hAnsi="Times New Roman" w:cs="Times New Roman"/>
                <w:color w:val="000000"/>
                <w:sz w:val="18"/>
                <w:szCs w:val="18"/>
              </w:rPr>
              <w:t>Alte surse de finanțare</w:t>
            </w:r>
          </w:p>
        </w:tc>
        <w:tc>
          <w:tcPr>
            <w:tcW w:w="435" w:type="pct"/>
            <w:tcMar>
              <w:top w:w="0" w:type="dxa"/>
              <w:left w:w="115" w:type="dxa"/>
              <w:bottom w:w="0" w:type="dxa"/>
              <w:right w:w="115" w:type="dxa"/>
            </w:tcMar>
            <w:vAlign w:val="center"/>
          </w:tcPr>
          <w:p w14:paraId="4C9ACC1F"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4122</w:t>
            </w:r>
          </w:p>
        </w:tc>
        <w:tc>
          <w:tcPr>
            <w:tcW w:w="435" w:type="pct"/>
            <w:tcMar>
              <w:top w:w="0" w:type="dxa"/>
              <w:left w:w="115" w:type="dxa"/>
              <w:bottom w:w="0" w:type="dxa"/>
              <w:right w:w="115" w:type="dxa"/>
            </w:tcMar>
            <w:vAlign w:val="center"/>
          </w:tcPr>
          <w:p w14:paraId="6995A105"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1813</w:t>
            </w:r>
          </w:p>
        </w:tc>
        <w:tc>
          <w:tcPr>
            <w:tcW w:w="457" w:type="pct"/>
            <w:tcMar>
              <w:top w:w="0" w:type="dxa"/>
              <w:left w:w="115" w:type="dxa"/>
              <w:bottom w:w="0" w:type="dxa"/>
              <w:right w:w="115" w:type="dxa"/>
            </w:tcMar>
            <w:vAlign w:val="center"/>
          </w:tcPr>
          <w:p w14:paraId="2C4F1BE7"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-2 142</w:t>
            </w:r>
          </w:p>
        </w:tc>
        <w:tc>
          <w:tcPr>
            <w:tcW w:w="457" w:type="pct"/>
            <w:tcMar>
              <w:top w:w="0" w:type="dxa"/>
              <w:left w:w="115" w:type="dxa"/>
              <w:bottom w:w="0" w:type="dxa"/>
              <w:right w:w="115" w:type="dxa"/>
            </w:tcMar>
            <w:vAlign w:val="center"/>
          </w:tcPr>
          <w:p w14:paraId="71EE33A6"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-321</w:t>
            </w:r>
          </w:p>
        </w:tc>
        <w:tc>
          <w:tcPr>
            <w:tcW w:w="443" w:type="pct"/>
            <w:tcMar>
              <w:top w:w="0" w:type="dxa"/>
              <w:left w:w="115" w:type="dxa"/>
              <w:bottom w:w="0" w:type="dxa"/>
              <w:right w:w="115" w:type="dxa"/>
            </w:tcMar>
            <w:vAlign w:val="center"/>
          </w:tcPr>
          <w:p w14:paraId="5A405320"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1,1%</w:t>
            </w:r>
          </w:p>
        </w:tc>
        <w:tc>
          <w:tcPr>
            <w:tcW w:w="443" w:type="pct"/>
            <w:tcMar>
              <w:top w:w="0" w:type="dxa"/>
              <w:left w:w="115" w:type="dxa"/>
              <w:bottom w:w="0" w:type="dxa"/>
              <w:right w:w="115" w:type="dxa"/>
            </w:tcMar>
            <w:vAlign w:val="center"/>
          </w:tcPr>
          <w:p w14:paraId="70C1DB26"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0,4%</w:t>
            </w:r>
          </w:p>
        </w:tc>
        <w:tc>
          <w:tcPr>
            <w:tcW w:w="468" w:type="pct"/>
            <w:tcMar>
              <w:top w:w="0" w:type="dxa"/>
              <w:left w:w="115" w:type="dxa"/>
              <w:bottom w:w="0" w:type="dxa"/>
              <w:right w:w="115" w:type="dxa"/>
            </w:tcMar>
            <w:vAlign w:val="center"/>
          </w:tcPr>
          <w:p w14:paraId="5801298E"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-0,6%</w:t>
            </w:r>
          </w:p>
        </w:tc>
        <w:tc>
          <w:tcPr>
            <w:tcW w:w="468" w:type="pct"/>
            <w:tcMar>
              <w:top w:w="0" w:type="dxa"/>
              <w:left w:w="115" w:type="dxa"/>
              <w:bottom w:w="0" w:type="dxa"/>
              <w:right w:w="115" w:type="dxa"/>
            </w:tcMar>
            <w:vAlign w:val="center"/>
          </w:tcPr>
          <w:p w14:paraId="3FA40407" w14:textId="77777777" w:rsidR="00813D27" w:rsidRPr="003278ED" w:rsidRDefault="00813D27" w:rsidP="007D3A2B">
            <w:pPr>
              <w:spacing w:after="0" w:line="240" w:lineRule="auto"/>
              <w:jc w:val="center"/>
              <w:rPr>
                <w:rFonts w:ascii="Times New Roman" w:eastAsia="Times New Roman" w:hAnsi="Times New Roman" w:cs="Times New Roman"/>
                <w:color w:val="000000"/>
                <w:sz w:val="16"/>
                <w:szCs w:val="16"/>
                <w:shd w:val="clear" w:color="auto" w:fill="FFFFFF"/>
              </w:rPr>
            </w:pPr>
            <w:r w:rsidRPr="003278ED">
              <w:rPr>
                <w:rFonts w:ascii="Times New Roman" w:eastAsia="Times New Roman" w:hAnsi="Times New Roman" w:cs="Times New Roman"/>
                <w:color w:val="000000"/>
                <w:sz w:val="16"/>
                <w:szCs w:val="16"/>
                <w:shd w:val="clear" w:color="auto" w:fill="FFFFFF"/>
              </w:rPr>
              <w:t>0,1%</w:t>
            </w:r>
          </w:p>
        </w:tc>
      </w:tr>
      <w:tr w:rsidR="00813D27" w:rsidRPr="003278ED" w14:paraId="6E066E0F" w14:textId="77777777" w:rsidTr="004C2B11">
        <w:trPr>
          <w:trHeight w:val="279"/>
        </w:trPr>
        <w:tc>
          <w:tcPr>
            <w:tcW w:w="1393" w:type="pct"/>
            <w:tcMar>
              <w:top w:w="0" w:type="dxa"/>
              <w:left w:w="115" w:type="dxa"/>
              <w:bottom w:w="0" w:type="dxa"/>
              <w:right w:w="115" w:type="dxa"/>
            </w:tcMar>
            <w:vAlign w:val="center"/>
            <w:hideMark/>
          </w:tcPr>
          <w:p w14:paraId="09E1D4F5" w14:textId="77777777" w:rsidR="00813D27" w:rsidRPr="003278ED" w:rsidRDefault="00813D27" w:rsidP="007D3A2B">
            <w:pPr>
              <w:spacing w:after="0" w:line="240" w:lineRule="auto"/>
              <w:rPr>
                <w:rFonts w:ascii="Times New Roman" w:hAnsi="Times New Roman" w:cs="Times New Roman"/>
                <w:sz w:val="18"/>
                <w:szCs w:val="18"/>
              </w:rPr>
            </w:pPr>
            <w:r w:rsidRPr="003278ED">
              <w:rPr>
                <w:rFonts w:ascii="Times New Roman" w:hAnsi="Times New Roman" w:cs="Times New Roman"/>
                <w:sz w:val="18"/>
                <w:szCs w:val="18"/>
              </w:rPr>
              <w:t>Decalaj de finanțare</w:t>
            </w:r>
          </w:p>
        </w:tc>
        <w:tc>
          <w:tcPr>
            <w:tcW w:w="435" w:type="pct"/>
            <w:tcMar>
              <w:top w:w="0" w:type="dxa"/>
              <w:left w:w="115" w:type="dxa"/>
              <w:bottom w:w="0" w:type="dxa"/>
              <w:right w:w="115" w:type="dxa"/>
            </w:tcMar>
            <w:vAlign w:val="center"/>
            <w:hideMark/>
          </w:tcPr>
          <w:p w14:paraId="37B37D3E" w14:textId="77777777" w:rsidR="00813D27" w:rsidRPr="003278ED" w:rsidRDefault="00813D27" w:rsidP="007D3A2B">
            <w:pPr>
              <w:spacing w:after="0" w:line="240" w:lineRule="auto"/>
              <w:jc w:val="center"/>
              <w:rPr>
                <w:rFonts w:ascii="Times New Roman" w:hAnsi="Times New Roman" w:cs="Times New Roman"/>
                <w:sz w:val="16"/>
                <w:szCs w:val="16"/>
              </w:rPr>
            </w:pPr>
            <w:r w:rsidRPr="003278ED">
              <w:rPr>
                <w:rFonts w:ascii="Times New Roman" w:hAnsi="Times New Roman" w:cs="Times New Roman"/>
                <w:sz w:val="16"/>
                <w:szCs w:val="16"/>
              </w:rPr>
              <w:t>7500</w:t>
            </w:r>
          </w:p>
        </w:tc>
        <w:tc>
          <w:tcPr>
            <w:tcW w:w="435" w:type="pct"/>
            <w:tcMar>
              <w:top w:w="0" w:type="dxa"/>
              <w:left w:w="115" w:type="dxa"/>
              <w:bottom w:w="0" w:type="dxa"/>
              <w:right w:w="115" w:type="dxa"/>
            </w:tcMar>
            <w:vAlign w:val="center"/>
            <w:hideMark/>
          </w:tcPr>
          <w:p w14:paraId="7BD87CE0" w14:textId="77777777" w:rsidR="00813D27" w:rsidRPr="003278ED" w:rsidRDefault="00813D27" w:rsidP="007D3A2B">
            <w:pPr>
              <w:spacing w:after="0" w:line="240" w:lineRule="auto"/>
              <w:jc w:val="center"/>
              <w:rPr>
                <w:rFonts w:ascii="Times New Roman" w:hAnsi="Times New Roman" w:cs="Times New Roman"/>
                <w:sz w:val="16"/>
                <w:szCs w:val="16"/>
              </w:rPr>
            </w:pPr>
            <w:r w:rsidRPr="003278ED">
              <w:rPr>
                <w:rFonts w:ascii="Times New Roman" w:hAnsi="Times New Roman" w:cs="Times New Roman"/>
                <w:sz w:val="16"/>
                <w:szCs w:val="16"/>
              </w:rPr>
              <w:t>7800</w:t>
            </w:r>
          </w:p>
        </w:tc>
        <w:tc>
          <w:tcPr>
            <w:tcW w:w="457" w:type="pct"/>
            <w:tcMar>
              <w:top w:w="0" w:type="dxa"/>
              <w:left w:w="115" w:type="dxa"/>
              <w:bottom w:w="0" w:type="dxa"/>
              <w:right w:w="115" w:type="dxa"/>
            </w:tcMar>
            <w:vAlign w:val="center"/>
            <w:hideMark/>
          </w:tcPr>
          <w:p w14:paraId="3B3B96E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2500</w:t>
            </w:r>
          </w:p>
        </w:tc>
        <w:tc>
          <w:tcPr>
            <w:tcW w:w="457" w:type="pct"/>
            <w:tcMar>
              <w:top w:w="0" w:type="dxa"/>
              <w:left w:w="115" w:type="dxa"/>
              <w:bottom w:w="0" w:type="dxa"/>
              <w:right w:w="115" w:type="dxa"/>
            </w:tcMar>
            <w:vAlign w:val="center"/>
            <w:hideMark/>
          </w:tcPr>
          <w:p w14:paraId="78193418"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3000</w:t>
            </w:r>
          </w:p>
        </w:tc>
        <w:tc>
          <w:tcPr>
            <w:tcW w:w="443" w:type="pct"/>
            <w:tcMar>
              <w:top w:w="0" w:type="dxa"/>
              <w:left w:w="115" w:type="dxa"/>
              <w:bottom w:w="0" w:type="dxa"/>
              <w:right w:w="115" w:type="dxa"/>
            </w:tcMar>
            <w:vAlign w:val="center"/>
            <w:hideMark/>
          </w:tcPr>
          <w:p w14:paraId="79F0798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2,0%</w:t>
            </w:r>
          </w:p>
        </w:tc>
        <w:tc>
          <w:tcPr>
            <w:tcW w:w="443" w:type="pct"/>
            <w:tcMar>
              <w:top w:w="0" w:type="dxa"/>
              <w:left w:w="115" w:type="dxa"/>
              <w:bottom w:w="0" w:type="dxa"/>
              <w:right w:w="115" w:type="dxa"/>
            </w:tcMar>
            <w:vAlign w:val="center"/>
            <w:hideMark/>
          </w:tcPr>
          <w:p w14:paraId="1973E161"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1,9%</w:t>
            </w:r>
          </w:p>
        </w:tc>
        <w:tc>
          <w:tcPr>
            <w:tcW w:w="468" w:type="pct"/>
            <w:tcMar>
              <w:top w:w="0" w:type="dxa"/>
              <w:left w:w="115" w:type="dxa"/>
              <w:bottom w:w="0" w:type="dxa"/>
              <w:right w:w="115" w:type="dxa"/>
            </w:tcMar>
            <w:vAlign w:val="center"/>
            <w:hideMark/>
          </w:tcPr>
          <w:p w14:paraId="0D9A00E9"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0,7%</w:t>
            </w:r>
          </w:p>
        </w:tc>
        <w:tc>
          <w:tcPr>
            <w:tcW w:w="468" w:type="pct"/>
            <w:tcMar>
              <w:top w:w="0" w:type="dxa"/>
              <w:left w:w="115" w:type="dxa"/>
              <w:bottom w:w="0" w:type="dxa"/>
              <w:right w:w="115" w:type="dxa"/>
            </w:tcMar>
            <w:vAlign w:val="center"/>
            <w:hideMark/>
          </w:tcPr>
          <w:p w14:paraId="6821A6BC" w14:textId="77777777" w:rsidR="00813D27" w:rsidRPr="003278ED" w:rsidRDefault="00813D27" w:rsidP="007D3A2B">
            <w:pPr>
              <w:spacing w:after="0" w:line="240" w:lineRule="auto"/>
              <w:jc w:val="center"/>
              <w:rPr>
                <w:rFonts w:ascii="Times New Roman" w:eastAsia="Times New Roman" w:hAnsi="Times New Roman" w:cs="Times New Roman"/>
                <w:sz w:val="24"/>
                <w:szCs w:val="24"/>
              </w:rPr>
            </w:pPr>
            <w:r w:rsidRPr="003278ED">
              <w:rPr>
                <w:rFonts w:ascii="Times New Roman" w:eastAsia="Times New Roman" w:hAnsi="Times New Roman" w:cs="Times New Roman"/>
                <w:color w:val="000000"/>
                <w:sz w:val="16"/>
                <w:szCs w:val="16"/>
                <w:shd w:val="clear" w:color="auto" w:fill="FFFFFF"/>
              </w:rPr>
              <w:t>0,8%</w:t>
            </w:r>
          </w:p>
        </w:tc>
      </w:tr>
    </w:tbl>
    <w:p w14:paraId="656E278E" w14:textId="77777777" w:rsidR="00072588" w:rsidRDefault="00072588" w:rsidP="007D3A2B">
      <w:pPr>
        <w:pStyle w:val="Table"/>
        <w:spacing w:before="0" w:line="240" w:lineRule="auto"/>
        <w:rPr>
          <w:rFonts w:ascii="Times New Roman" w:hAnsi="Times New Roman"/>
          <w:b w:val="0"/>
          <w:bCs/>
          <w:i/>
          <w:iCs/>
          <w:color w:val="000000"/>
          <w:szCs w:val="20"/>
          <w:lang w:val="ro-RO"/>
        </w:rPr>
      </w:pPr>
    </w:p>
    <w:p w14:paraId="7230035D" w14:textId="28EB4977" w:rsidR="009C5B95" w:rsidRPr="003278ED" w:rsidRDefault="009C5B95" w:rsidP="007D3A2B">
      <w:pPr>
        <w:pStyle w:val="Table"/>
        <w:spacing w:before="0" w:line="240" w:lineRule="auto"/>
        <w:rPr>
          <w:rFonts w:ascii="Times New Roman" w:hAnsi="Times New Roman"/>
          <w:b w:val="0"/>
          <w:bCs/>
          <w:i/>
          <w:iCs/>
          <w:color w:val="000000"/>
          <w:szCs w:val="20"/>
          <w:lang w:val="ro-RO"/>
        </w:rPr>
      </w:pPr>
      <w:r w:rsidRPr="003278ED">
        <w:rPr>
          <w:rFonts w:ascii="Times New Roman" w:hAnsi="Times New Roman"/>
          <w:b w:val="0"/>
          <w:bCs/>
          <w:i/>
          <w:iCs/>
          <w:color w:val="000000"/>
          <w:szCs w:val="20"/>
          <w:lang w:val="ro-RO"/>
        </w:rPr>
        <w:t>Sursa: Ministerul Finanțelor</w:t>
      </w:r>
    </w:p>
    <w:p w14:paraId="07B927A5" w14:textId="77777777" w:rsidR="00813D27" w:rsidRPr="003278ED" w:rsidRDefault="00813D27" w:rsidP="007D3A2B">
      <w:pPr>
        <w:pStyle w:val="Table"/>
        <w:spacing w:before="0" w:line="240" w:lineRule="auto"/>
        <w:contextualSpacing/>
        <w:jc w:val="both"/>
        <w:rPr>
          <w:rFonts w:ascii="Times New Roman" w:hAnsi="Times New Roman"/>
          <w:b w:val="0"/>
          <w:color w:val="auto"/>
          <w:sz w:val="24"/>
          <w:szCs w:val="24"/>
          <w:lang w:val="ro-RO" w:eastAsia="ru-RU"/>
        </w:rPr>
      </w:pPr>
    </w:p>
    <w:p w14:paraId="65329186" w14:textId="10605D6C" w:rsidR="00813D27" w:rsidRPr="003278ED" w:rsidRDefault="00813D27" w:rsidP="007D3A2B">
      <w:pPr>
        <w:pStyle w:val="Table"/>
        <w:tabs>
          <w:tab w:val="left" w:pos="993"/>
        </w:tabs>
        <w:spacing w:before="0" w:line="240" w:lineRule="auto"/>
        <w:ind w:firstLine="709"/>
        <w:contextualSpacing/>
        <w:jc w:val="both"/>
        <w:rPr>
          <w:rFonts w:ascii="Times New Roman" w:hAnsi="Times New Roman"/>
          <w:b w:val="0"/>
          <w:color w:val="auto"/>
          <w:sz w:val="24"/>
          <w:szCs w:val="24"/>
          <w:lang w:val="ro-RO" w:eastAsia="ru-RU"/>
        </w:rPr>
      </w:pPr>
      <w:r w:rsidRPr="003278ED">
        <w:rPr>
          <w:rFonts w:ascii="Times New Roman" w:hAnsi="Times New Roman"/>
          <w:b w:val="0"/>
          <w:color w:val="auto"/>
          <w:sz w:val="24"/>
          <w:szCs w:val="24"/>
          <w:lang w:val="ro-RO" w:eastAsia="ru-RU"/>
        </w:rPr>
        <w:t xml:space="preserve">Față de CBTM </w:t>
      </w:r>
      <w:r w:rsidR="00436DCC" w:rsidRPr="003278ED">
        <w:rPr>
          <w:rFonts w:ascii="Times New Roman" w:hAnsi="Times New Roman"/>
          <w:b w:val="0"/>
          <w:color w:val="auto"/>
          <w:sz w:val="24"/>
          <w:szCs w:val="24"/>
          <w:lang w:val="ro-RO" w:eastAsia="ru-RU"/>
        </w:rPr>
        <w:t>(</w:t>
      </w:r>
      <w:r w:rsidRPr="003278ED">
        <w:rPr>
          <w:rFonts w:ascii="Times New Roman" w:hAnsi="Times New Roman"/>
          <w:b w:val="0"/>
          <w:color w:val="auto"/>
          <w:sz w:val="24"/>
          <w:szCs w:val="24"/>
          <w:lang w:val="ro-RO" w:eastAsia="ru-RU"/>
        </w:rPr>
        <w:t>2024-2026</w:t>
      </w:r>
      <w:r w:rsidR="00436DCC" w:rsidRPr="003278ED">
        <w:rPr>
          <w:rFonts w:ascii="Times New Roman" w:hAnsi="Times New Roman"/>
          <w:b w:val="0"/>
          <w:color w:val="auto"/>
          <w:sz w:val="24"/>
          <w:szCs w:val="24"/>
          <w:lang w:val="ro-RO" w:eastAsia="ru-RU"/>
        </w:rPr>
        <w:t>)</w:t>
      </w:r>
      <w:r w:rsidRPr="003278ED">
        <w:rPr>
          <w:rFonts w:ascii="Times New Roman" w:hAnsi="Times New Roman"/>
          <w:b w:val="0"/>
          <w:color w:val="auto"/>
          <w:sz w:val="24"/>
          <w:szCs w:val="24"/>
          <w:lang w:val="ro-RO" w:eastAsia="ru-RU"/>
        </w:rPr>
        <w:t>,</w:t>
      </w:r>
      <w:r w:rsidR="002D4DD0" w:rsidRPr="003278ED">
        <w:rPr>
          <w:rFonts w:ascii="Times New Roman" w:hAnsi="Times New Roman"/>
          <w:b w:val="0"/>
          <w:color w:val="auto"/>
          <w:sz w:val="24"/>
          <w:szCs w:val="24"/>
          <w:lang w:val="ro-RO" w:eastAsia="ru-RU"/>
        </w:rPr>
        <w:t xml:space="preserve"> pentru anii 2025 și </w:t>
      </w:r>
      <w:r w:rsidRPr="003278ED">
        <w:rPr>
          <w:rFonts w:ascii="Times New Roman" w:hAnsi="Times New Roman"/>
          <w:b w:val="0"/>
          <w:color w:val="auto"/>
          <w:sz w:val="24"/>
          <w:szCs w:val="24"/>
          <w:lang w:val="ro-RO" w:eastAsia="ru-RU"/>
        </w:rPr>
        <w:t>2026 veniturile bugetului pu</w:t>
      </w:r>
      <w:r w:rsidR="002D4DD0" w:rsidRPr="003278ED">
        <w:rPr>
          <w:rFonts w:ascii="Times New Roman" w:hAnsi="Times New Roman"/>
          <w:b w:val="0"/>
          <w:color w:val="auto"/>
          <w:sz w:val="24"/>
          <w:szCs w:val="24"/>
          <w:lang w:val="ro-RO" w:eastAsia="ru-RU"/>
        </w:rPr>
        <w:t>blic național au fost revizuite</w:t>
      </w:r>
      <w:r w:rsidRPr="003278ED">
        <w:rPr>
          <w:rFonts w:ascii="Times New Roman" w:hAnsi="Times New Roman"/>
          <w:b w:val="0"/>
          <w:color w:val="auto"/>
          <w:sz w:val="24"/>
          <w:szCs w:val="24"/>
          <w:lang w:val="ro-RO" w:eastAsia="ru-RU"/>
        </w:rPr>
        <w:t xml:space="preserve"> din contul încasărilor din impozite și taxe cu circa 1,9</w:t>
      </w:r>
      <w:r w:rsidR="00760CA9" w:rsidRPr="003278ED">
        <w:rPr>
          <w:rFonts w:ascii="Times New Roman" w:hAnsi="Times New Roman"/>
          <w:b w:val="0"/>
          <w:color w:val="auto"/>
          <w:sz w:val="24"/>
          <w:szCs w:val="24"/>
          <w:lang w:val="ro-RO" w:eastAsia="ru-RU"/>
        </w:rPr>
        <w:t xml:space="preserve"> </w:t>
      </w:r>
      <w:r w:rsidRPr="003278ED">
        <w:rPr>
          <w:rFonts w:ascii="Times New Roman" w:hAnsi="Times New Roman"/>
          <w:b w:val="0"/>
          <w:color w:val="auto"/>
          <w:sz w:val="24"/>
          <w:szCs w:val="24"/>
          <w:lang w:val="ro-RO" w:eastAsia="ru-RU"/>
        </w:rPr>
        <w:t xml:space="preserve">% în PIB anual, și anume din impozitele pe venit și încasările din contribuțiile sociale și </w:t>
      </w:r>
      <w:r w:rsidR="002D4DD0" w:rsidRPr="003278ED">
        <w:rPr>
          <w:rFonts w:ascii="Times New Roman" w:hAnsi="Times New Roman"/>
          <w:b w:val="0"/>
          <w:color w:val="auto"/>
          <w:sz w:val="24"/>
          <w:szCs w:val="24"/>
          <w:lang w:val="ro-RO" w:eastAsia="ru-RU"/>
        </w:rPr>
        <w:t xml:space="preserve">din </w:t>
      </w:r>
      <w:r w:rsidRPr="003278ED">
        <w:rPr>
          <w:rFonts w:ascii="Times New Roman" w:hAnsi="Times New Roman"/>
          <w:b w:val="0"/>
          <w:color w:val="auto"/>
          <w:sz w:val="24"/>
          <w:szCs w:val="24"/>
          <w:lang w:val="ro-RO" w:eastAsia="ru-RU"/>
        </w:rPr>
        <w:t>primele de asigurări medicale</w:t>
      </w:r>
      <w:r w:rsidR="002D4DD0" w:rsidRPr="003278ED">
        <w:rPr>
          <w:rFonts w:ascii="Times New Roman" w:hAnsi="Times New Roman"/>
          <w:b w:val="0"/>
          <w:color w:val="auto"/>
          <w:sz w:val="24"/>
          <w:szCs w:val="24"/>
          <w:lang w:val="ro-RO" w:eastAsia="ru-RU"/>
        </w:rPr>
        <w:t>,</w:t>
      </w:r>
      <w:r w:rsidRPr="003278ED">
        <w:rPr>
          <w:rFonts w:ascii="Times New Roman" w:hAnsi="Times New Roman"/>
          <w:b w:val="0"/>
          <w:color w:val="auto"/>
          <w:sz w:val="24"/>
          <w:szCs w:val="24"/>
          <w:lang w:val="ro-RO" w:eastAsia="ru-RU"/>
        </w:rPr>
        <w:t xml:space="preserve"> ca urmare a </w:t>
      </w:r>
      <w:r w:rsidR="009633EC" w:rsidRPr="003278ED">
        <w:rPr>
          <w:rFonts w:ascii="Times New Roman" w:hAnsi="Times New Roman"/>
          <w:b w:val="0"/>
          <w:color w:val="auto"/>
          <w:sz w:val="24"/>
          <w:szCs w:val="24"/>
          <w:lang w:val="ro-RO" w:eastAsia="ru-RU"/>
        </w:rPr>
        <w:t xml:space="preserve">revizuirii prognozei fondului de remunerare a muncii </w:t>
      </w:r>
      <w:r w:rsidR="009F1724" w:rsidRPr="003278ED">
        <w:rPr>
          <w:rFonts w:ascii="Times New Roman" w:hAnsi="Times New Roman"/>
          <w:b w:val="0"/>
          <w:color w:val="auto"/>
          <w:sz w:val="24"/>
          <w:szCs w:val="24"/>
          <w:lang w:val="ro-RO" w:eastAsia="ru-RU"/>
        </w:rPr>
        <w:t>(</w:t>
      </w:r>
      <w:r w:rsidRPr="003278ED">
        <w:rPr>
          <w:rFonts w:ascii="Times New Roman" w:hAnsi="Times New Roman"/>
          <w:b w:val="0"/>
          <w:color w:val="auto"/>
          <w:sz w:val="24"/>
          <w:szCs w:val="24"/>
          <w:lang w:val="ro-RO" w:eastAsia="ru-RU"/>
        </w:rPr>
        <w:t>10,6</w:t>
      </w:r>
      <w:r w:rsidR="00760CA9" w:rsidRPr="003278ED">
        <w:rPr>
          <w:rFonts w:ascii="Times New Roman" w:hAnsi="Times New Roman"/>
          <w:b w:val="0"/>
          <w:color w:val="auto"/>
          <w:sz w:val="24"/>
          <w:szCs w:val="24"/>
          <w:lang w:val="ro-RO" w:eastAsia="ru-RU"/>
        </w:rPr>
        <w:t xml:space="preserve"> </w:t>
      </w:r>
      <w:r w:rsidRPr="003278ED">
        <w:rPr>
          <w:rFonts w:ascii="Times New Roman" w:hAnsi="Times New Roman"/>
          <w:b w:val="0"/>
          <w:color w:val="auto"/>
          <w:sz w:val="24"/>
          <w:szCs w:val="24"/>
          <w:lang w:val="ro-RO" w:eastAsia="ru-RU"/>
        </w:rPr>
        <w:t>% în 2025 și 9,7 % în 2026</w:t>
      </w:r>
      <w:r w:rsidR="009F1724" w:rsidRPr="003278ED">
        <w:rPr>
          <w:rFonts w:ascii="Times New Roman" w:hAnsi="Times New Roman"/>
          <w:b w:val="0"/>
          <w:color w:val="auto"/>
          <w:sz w:val="24"/>
          <w:szCs w:val="24"/>
          <w:lang w:val="ro-RO" w:eastAsia="ru-RU"/>
        </w:rPr>
        <w:t>)</w:t>
      </w:r>
      <w:r w:rsidRPr="003278ED">
        <w:rPr>
          <w:rFonts w:ascii="Times New Roman" w:hAnsi="Times New Roman"/>
          <w:b w:val="0"/>
          <w:color w:val="auto"/>
          <w:sz w:val="24"/>
          <w:szCs w:val="24"/>
          <w:lang w:val="ro-RO" w:eastAsia="ru-RU"/>
        </w:rPr>
        <w:t>, precum și ca urmare a încasărilor mai mari a acestor venituri în anul precedent.</w:t>
      </w:r>
    </w:p>
    <w:p w14:paraId="60059E70" w14:textId="1F698046" w:rsidR="00813D27" w:rsidRPr="003278ED" w:rsidRDefault="00813D27" w:rsidP="007D3A2B">
      <w:pPr>
        <w:pStyle w:val="Table"/>
        <w:tabs>
          <w:tab w:val="left" w:pos="993"/>
        </w:tabs>
        <w:spacing w:before="0" w:line="240" w:lineRule="auto"/>
        <w:ind w:firstLine="709"/>
        <w:contextualSpacing/>
        <w:jc w:val="both"/>
        <w:rPr>
          <w:rFonts w:ascii="Times New Roman" w:hAnsi="Times New Roman"/>
          <w:b w:val="0"/>
          <w:color w:val="auto"/>
          <w:sz w:val="24"/>
          <w:szCs w:val="24"/>
          <w:lang w:val="ro-RO" w:eastAsia="ru-RU"/>
        </w:rPr>
      </w:pPr>
      <w:r w:rsidRPr="003278ED">
        <w:rPr>
          <w:rFonts w:ascii="Times New Roman" w:hAnsi="Times New Roman"/>
          <w:b w:val="0"/>
          <w:color w:val="auto"/>
          <w:sz w:val="24"/>
          <w:szCs w:val="24"/>
          <w:lang w:val="ro-RO" w:eastAsia="ru-RU"/>
        </w:rPr>
        <w:t>Totodată, pentru ani</w:t>
      </w:r>
      <w:r w:rsidR="002D4DD0" w:rsidRPr="003278ED">
        <w:rPr>
          <w:rFonts w:ascii="Times New Roman" w:hAnsi="Times New Roman"/>
          <w:b w:val="0"/>
          <w:color w:val="auto"/>
          <w:sz w:val="24"/>
          <w:szCs w:val="24"/>
          <w:lang w:val="ro-RO" w:eastAsia="ru-RU"/>
        </w:rPr>
        <w:t>i</w:t>
      </w:r>
      <w:r w:rsidRPr="003278ED">
        <w:rPr>
          <w:rFonts w:ascii="Times New Roman" w:hAnsi="Times New Roman"/>
          <w:b w:val="0"/>
          <w:color w:val="auto"/>
          <w:sz w:val="24"/>
          <w:szCs w:val="24"/>
          <w:lang w:val="ro-RO" w:eastAsia="ru-RU"/>
        </w:rPr>
        <w:t xml:space="preserve"> 2025-2026 au fost revăzute intrările de granturi externe cu 0,1</w:t>
      </w:r>
      <w:r w:rsidR="00760CA9" w:rsidRPr="003278ED">
        <w:rPr>
          <w:rFonts w:ascii="Times New Roman" w:hAnsi="Times New Roman"/>
          <w:b w:val="0"/>
          <w:color w:val="auto"/>
          <w:sz w:val="24"/>
          <w:szCs w:val="24"/>
          <w:lang w:val="ro-RO" w:eastAsia="ru-RU"/>
        </w:rPr>
        <w:t xml:space="preserve"> </w:t>
      </w:r>
      <w:r w:rsidRPr="003278ED">
        <w:rPr>
          <w:rFonts w:ascii="Times New Roman" w:hAnsi="Times New Roman"/>
          <w:b w:val="0"/>
          <w:color w:val="auto"/>
          <w:sz w:val="24"/>
          <w:szCs w:val="24"/>
          <w:lang w:val="ro-RO" w:eastAsia="ru-RU"/>
        </w:rPr>
        <w:t>% și 0,2</w:t>
      </w:r>
      <w:r w:rsidR="00760CA9" w:rsidRPr="003278ED">
        <w:rPr>
          <w:rFonts w:ascii="Times New Roman" w:hAnsi="Times New Roman"/>
          <w:b w:val="0"/>
          <w:color w:val="auto"/>
          <w:sz w:val="24"/>
          <w:szCs w:val="24"/>
          <w:lang w:val="ro-RO" w:eastAsia="ru-RU"/>
        </w:rPr>
        <w:t xml:space="preserve"> </w:t>
      </w:r>
      <w:r w:rsidRPr="003278ED">
        <w:rPr>
          <w:rFonts w:ascii="Times New Roman" w:hAnsi="Times New Roman"/>
          <w:b w:val="0"/>
          <w:color w:val="auto"/>
          <w:sz w:val="24"/>
          <w:szCs w:val="24"/>
          <w:lang w:val="ro-RO" w:eastAsia="ru-RU"/>
        </w:rPr>
        <w:t>% în PIB. În același timp, aceste estimări pot suferi ajustări semnificative și vor fi actualizate pe măsură ce devin disponibile informații suplimentare și noi acorduri de grant.</w:t>
      </w:r>
    </w:p>
    <w:p w14:paraId="7A3C8B59" w14:textId="600A24C2" w:rsidR="00867684" w:rsidRPr="003278ED" w:rsidRDefault="00867684" w:rsidP="007D3A2B">
      <w:pPr>
        <w:tabs>
          <w:tab w:val="left" w:pos="993"/>
        </w:tabs>
        <w:spacing w:after="0" w:line="240" w:lineRule="auto"/>
        <w:ind w:firstLine="709"/>
        <w:jc w:val="both"/>
        <w:rPr>
          <w:rFonts w:ascii="Times New Roman" w:eastAsia="Times New Roman" w:hAnsi="Times New Roman" w:cs="Times New Roman"/>
          <w:b/>
          <w:sz w:val="24"/>
          <w:szCs w:val="24"/>
        </w:rPr>
      </w:pPr>
    </w:p>
    <w:p w14:paraId="0308651C" w14:textId="77777777" w:rsidR="0098731F" w:rsidRPr="009562A5" w:rsidRDefault="0098731F" w:rsidP="00914ECD">
      <w:pPr>
        <w:pStyle w:val="Title2"/>
        <w:jc w:val="center"/>
        <w:outlineLvl w:val="1"/>
        <w:rPr>
          <w:rFonts w:ascii="Times New Roman" w:hAnsi="Times New Roman"/>
          <w:i w:val="0"/>
          <w:color w:val="auto"/>
          <w:sz w:val="24"/>
        </w:rPr>
      </w:pPr>
      <w:bookmarkStart w:id="10" w:name="_Toc175825347"/>
      <w:r w:rsidRPr="009562A5">
        <w:rPr>
          <w:rFonts w:ascii="Times New Roman" w:hAnsi="Times New Roman"/>
          <w:i w:val="0"/>
          <w:color w:val="auto"/>
          <w:sz w:val="24"/>
        </w:rPr>
        <w:t>B. Venituri</w:t>
      </w:r>
      <w:bookmarkEnd w:id="10"/>
    </w:p>
    <w:p w14:paraId="741B98AB" w14:textId="77777777" w:rsidR="0022407B" w:rsidRPr="003278ED" w:rsidRDefault="0022407B" w:rsidP="007D3A2B">
      <w:pPr>
        <w:tabs>
          <w:tab w:val="left" w:pos="993"/>
        </w:tabs>
        <w:spacing w:after="0" w:line="240" w:lineRule="auto"/>
        <w:ind w:firstLine="709"/>
        <w:jc w:val="both"/>
        <w:rPr>
          <w:rFonts w:ascii="Times New Roman" w:eastAsia="Times New Roman" w:hAnsi="Times New Roman" w:cs="Times New Roman"/>
          <w:b/>
          <w:i/>
          <w:sz w:val="24"/>
          <w:szCs w:val="24"/>
        </w:rPr>
      </w:pPr>
    </w:p>
    <w:p w14:paraId="61BCCC7C" w14:textId="77777777" w:rsidR="0098731F" w:rsidRPr="003278ED" w:rsidRDefault="0022407B" w:rsidP="007D3A2B">
      <w:pPr>
        <w:tabs>
          <w:tab w:val="left" w:pos="993"/>
        </w:tabs>
        <w:spacing w:after="0" w:line="240" w:lineRule="auto"/>
        <w:ind w:firstLine="709"/>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Estimările veniturilor în 2024</w:t>
      </w:r>
    </w:p>
    <w:p w14:paraId="22FDA543" w14:textId="42DB8ED9" w:rsidR="000A48FE" w:rsidRPr="003278ED" w:rsidRDefault="000A48FE" w:rsidP="007D3A2B">
      <w:pPr>
        <w:pStyle w:val="Numberedtex"/>
        <w:numPr>
          <w:ilvl w:val="0"/>
          <w:numId w:val="0"/>
        </w:numPr>
        <w:tabs>
          <w:tab w:val="clear" w:pos="403"/>
          <w:tab w:val="left" w:pos="993"/>
        </w:tabs>
        <w:spacing w:before="0" w:after="0" w:line="240" w:lineRule="auto"/>
        <w:ind w:firstLine="709"/>
        <w:rPr>
          <w:rFonts w:ascii="Times New Roman" w:hAnsi="Times New Roman"/>
          <w:sz w:val="24"/>
          <w:szCs w:val="28"/>
          <w:lang w:val="ro-RO" w:eastAsia="ru-RU"/>
        </w:rPr>
      </w:pPr>
      <w:r w:rsidRPr="003278ED">
        <w:rPr>
          <w:rFonts w:ascii="Times New Roman" w:hAnsi="Times New Roman"/>
          <w:sz w:val="24"/>
          <w:szCs w:val="28"/>
          <w:lang w:val="ro-RO" w:eastAsia="ru-RU"/>
        </w:rPr>
        <w:t xml:space="preserve">Pentru anul 2024, veniturile bugetului public național au fost estimate în sumă de </w:t>
      </w:r>
      <w:r w:rsidR="002D4DD0" w:rsidRPr="003278ED">
        <w:rPr>
          <w:rFonts w:ascii="Times New Roman" w:hAnsi="Times New Roman"/>
          <w:sz w:val="24"/>
          <w:szCs w:val="28"/>
          <w:lang w:val="ro-RO" w:eastAsia="ru-RU"/>
        </w:rPr>
        <w:br/>
      </w:r>
      <w:r w:rsidRPr="003278ED">
        <w:rPr>
          <w:rFonts w:ascii="Times New Roman" w:hAnsi="Times New Roman"/>
          <w:sz w:val="24"/>
          <w:szCs w:val="28"/>
          <w:lang w:val="ro-RO" w:eastAsia="ru-RU"/>
        </w:rPr>
        <w:t>107 172,0 mil. lei, față de 102 299,0 mil. lei executate în 2023, iar ca pondere în PIB vor constitui 31,3 %, diminuându-se față de anul precedent cu 2,8 punte procentuale. Totodată, față de anul precedent, veniturile bugetului public național vor creșt</w:t>
      </w:r>
      <w:r w:rsidR="00C7092C" w:rsidRPr="003278ED">
        <w:rPr>
          <w:rFonts w:ascii="Times New Roman" w:hAnsi="Times New Roman"/>
          <w:sz w:val="24"/>
          <w:szCs w:val="28"/>
          <w:lang w:val="ro-RO" w:eastAsia="ru-RU"/>
        </w:rPr>
        <w:t xml:space="preserve">e cu circa 4 873,0 mil. </w:t>
      </w:r>
      <w:r w:rsidR="002D4DD0" w:rsidRPr="003278ED">
        <w:rPr>
          <w:rFonts w:ascii="Times New Roman" w:hAnsi="Times New Roman"/>
          <w:sz w:val="24"/>
          <w:szCs w:val="28"/>
          <w:lang w:val="ro-RO" w:eastAsia="ru-RU"/>
        </w:rPr>
        <w:t>L</w:t>
      </w:r>
      <w:r w:rsidR="00C7092C" w:rsidRPr="003278ED">
        <w:rPr>
          <w:rFonts w:ascii="Times New Roman" w:hAnsi="Times New Roman"/>
          <w:sz w:val="24"/>
          <w:szCs w:val="28"/>
          <w:lang w:val="ro-RO" w:eastAsia="ru-RU"/>
        </w:rPr>
        <w:t>ei</w:t>
      </w:r>
      <w:r w:rsidR="002D4DD0" w:rsidRPr="003278ED">
        <w:rPr>
          <w:rFonts w:ascii="Times New Roman" w:hAnsi="Times New Roman"/>
          <w:sz w:val="24"/>
          <w:szCs w:val="28"/>
          <w:lang w:val="ro-RO" w:eastAsia="ru-RU"/>
        </w:rPr>
        <w:br/>
      </w:r>
      <w:r w:rsidR="00C7092C" w:rsidRPr="003278ED">
        <w:rPr>
          <w:rFonts w:ascii="Times New Roman" w:hAnsi="Times New Roman"/>
          <w:sz w:val="24"/>
          <w:szCs w:val="28"/>
          <w:lang w:val="ro-RO" w:eastAsia="ru-RU"/>
        </w:rPr>
        <w:t>(4,8</w:t>
      </w:r>
      <w:r w:rsidRPr="003278ED">
        <w:rPr>
          <w:rFonts w:ascii="Times New Roman" w:hAnsi="Times New Roman"/>
          <w:sz w:val="24"/>
          <w:szCs w:val="28"/>
          <w:lang w:val="ro-RO" w:eastAsia="ru-RU"/>
        </w:rPr>
        <w:t xml:space="preserve"> %). Partea majoră care a determinat această creștere a</w:t>
      </w:r>
      <w:r w:rsidR="003F22CE" w:rsidRPr="003278ED">
        <w:rPr>
          <w:rFonts w:ascii="Times New Roman" w:hAnsi="Times New Roman"/>
          <w:sz w:val="24"/>
          <w:szCs w:val="28"/>
          <w:lang w:val="ro-RO" w:eastAsia="ru-RU"/>
        </w:rPr>
        <w:t>u</w:t>
      </w:r>
      <w:r w:rsidRPr="003278ED">
        <w:rPr>
          <w:rFonts w:ascii="Times New Roman" w:hAnsi="Times New Roman"/>
          <w:sz w:val="24"/>
          <w:szCs w:val="28"/>
          <w:lang w:val="ro-RO" w:eastAsia="ru-RU"/>
        </w:rPr>
        <w:t xml:space="preserve"> </w:t>
      </w:r>
      <w:proofErr w:type="spellStart"/>
      <w:r w:rsidRPr="003278ED">
        <w:rPr>
          <w:rFonts w:ascii="Times New Roman" w:hAnsi="Times New Roman"/>
          <w:sz w:val="24"/>
          <w:szCs w:val="28"/>
          <w:lang w:val="ro-RO" w:eastAsia="ru-RU"/>
        </w:rPr>
        <w:t>constituit</w:t>
      </w:r>
      <w:r w:rsidR="003F22CE" w:rsidRPr="003278ED">
        <w:rPr>
          <w:rFonts w:ascii="Times New Roman" w:hAnsi="Times New Roman"/>
          <w:sz w:val="24"/>
          <w:szCs w:val="28"/>
          <w:lang w:val="ro-RO" w:eastAsia="ru-RU"/>
        </w:rPr>
        <w:t>-o</w:t>
      </w:r>
      <w:proofErr w:type="spellEnd"/>
      <w:r w:rsidRPr="003278ED">
        <w:rPr>
          <w:rFonts w:ascii="Times New Roman" w:hAnsi="Times New Roman"/>
          <w:sz w:val="24"/>
          <w:szCs w:val="28"/>
          <w:lang w:val="ro-RO" w:eastAsia="ru-RU"/>
        </w:rPr>
        <w:t xml:space="preserve"> încasările din impozite și taxe care se estimează că se vor majora cu 4 949,0 mil. lei (7,9 %). </w:t>
      </w:r>
    </w:p>
    <w:p w14:paraId="77B9CA9C" w14:textId="77777777" w:rsidR="000A48FE" w:rsidRPr="003278ED" w:rsidRDefault="000A48FE" w:rsidP="007D3A2B">
      <w:pPr>
        <w:pStyle w:val="Numberedtex"/>
        <w:numPr>
          <w:ilvl w:val="0"/>
          <w:numId w:val="0"/>
        </w:numPr>
        <w:tabs>
          <w:tab w:val="clear" w:pos="403"/>
          <w:tab w:val="left" w:pos="993"/>
        </w:tabs>
        <w:spacing w:before="0" w:after="0" w:line="240" w:lineRule="auto"/>
        <w:ind w:firstLine="709"/>
        <w:rPr>
          <w:rFonts w:ascii="Times New Roman" w:hAnsi="Times New Roman"/>
          <w:sz w:val="24"/>
          <w:szCs w:val="28"/>
          <w:lang w:val="ro-RO" w:eastAsia="ru-RU"/>
        </w:rPr>
      </w:pPr>
      <w:r w:rsidRPr="003278ED">
        <w:rPr>
          <w:rFonts w:ascii="Times New Roman" w:hAnsi="Times New Roman"/>
          <w:sz w:val="24"/>
          <w:szCs w:val="28"/>
          <w:lang w:val="ro-RO" w:eastAsia="ru-RU"/>
        </w:rPr>
        <w:t xml:space="preserve"> Performanța principalelor tipuri de venituri pentru anul 2024 poate fi sintetizată în modul următor:</w:t>
      </w:r>
    </w:p>
    <w:p w14:paraId="2D9EC99F" w14:textId="77AB01A5" w:rsidR="000A48FE" w:rsidRPr="003278ED" w:rsidRDefault="000A48FE" w:rsidP="007D3A2B">
      <w:pPr>
        <w:pStyle w:val="Listparagraf"/>
        <w:numPr>
          <w:ilvl w:val="0"/>
          <w:numId w:val="6"/>
        </w:numPr>
        <w:tabs>
          <w:tab w:val="left" w:pos="0"/>
          <w:tab w:val="left" w:pos="633"/>
          <w:tab w:val="left" w:pos="993"/>
        </w:tabs>
        <w:spacing w:after="0" w:line="240" w:lineRule="auto"/>
        <w:ind w:left="0" w:firstLine="709"/>
        <w:jc w:val="both"/>
        <w:rPr>
          <w:rFonts w:ascii="Times New Roman" w:hAnsi="Times New Roman" w:cs="Times New Roman"/>
          <w:sz w:val="24"/>
          <w:szCs w:val="28"/>
        </w:rPr>
      </w:pPr>
      <w:r w:rsidRPr="003278ED">
        <w:rPr>
          <w:rFonts w:ascii="Times New Roman" w:hAnsi="Times New Roman" w:cs="Times New Roman"/>
          <w:sz w:val="24"/>
          <w:szCs w:val="28"/>
        </w:rPr>
        <w:t xml:space="preserve">încasările </w:t>
      </w:r>
      <w:r w:rsidRPr="003278ED">
        <w:rPr>
          <w:rFonts w:ascii="Times New Roman" w:hAnsi="Times New Roman" w:cs="Times New Roman"/>
          <w:bCs/>
          <w:iCs/>
          <w:sz w:val="24"/>
          <w:szCs w:val="28"/>
        </w:rPr>
        <w:t>din impozite și taxe pe bunuri și servicii</w:t>
      </w:r>
      <w:r w:rsidRPr="003278ED">
        <w:rPr>
          <w:rFonts w:ascii="Times New Roman" w:hAnsi="Times New Roman" w:cs="Times New Roman"/>
          <w:sz w:val="24"/>
          <w:szCs w:val="28"/>
        </w:rPr>
        <w:t xml:space="preserve"> vor crește cu </w:t>
      </w:r>
      <w:r w:rsidR="00C7092C" w:rsidRPr="003278ED">
        <w:rPr>
          <w:rFonts w:ascii="Times New Roman" w:hAnsi="Times New Roman" w:cs="Times New Roman"/>
          <w:sz w:val="24"/>
          <w:szCs w:val="28"/>
        </w:rPr>
        <w:t>10,3</w:t>
      </w:r>
      <w:r w:rsidRPr="003278ED">
        <w:rPr>
          <w:rFonts w:ascii="Times New Roman" w:hAnsi="Times New Roman" w:cs="Times New Roman"/>
          <w:sz w:val="24"/>
          <w:szCs w:val="28"/>
        </w:rPr>
        <w:t xml:space="preserve"> % în 2024. Creșterea va fi înregistrată la încasările din TVA cu 13,1</w:t>
      </w:r>
      <w:r w:rsidR="00A07A21" w:rsidRPr="003278ED">
        <w:rPr>
          <w:rFonts w:ascii="Times New Roman" w:hAnsi="Times New Roman" w:cs="Times New Roman"/>
          <w:sz w:val="24"/>
          <w:szCs w:val="28"/>
        </w:rPr>
        <w:t xml:space="preserve"> </w:t>
      </w:r>
      <w:r w:rsidRPr="003278ED">
        <w:rPr>
          <w:rFonts w:ascii="Times New Roman" w:hAnsi="Times New Roman" w:cs="Times New Roman"/>
          <w:sz w:val="24"/>
          <w:szCs w:val="28"/>
        </w:rPr>
        <w:t>% ca urmare a creșterii importurilor față de a</w:t>
      </w:r>
      <w:r w:rsidR="008C7211" w:rsidRPr="003278ED">
        <w:rPr>
          <w:rFonts w:ascii="Times New Roman" w:hAnsi="Times New Roman" w:cs="Times New Roman"/>
          <w:sz w:val="24"/>
          <w:szCs w:val="28"/>
        </w:rPr>
        <w:t>nul precedent cu 9,5 %</w:t>
      </w:r>
      <w:r w:rsidRPr="003278ED">
        <w:rPr>
          <w:rFonts w:ascii="Times New Roman" w:hAnsi="Times New Roman" w:cs="Times New Roman"/>
          <w:sz w:val="24"/>
          <w:szCs w:val="28"/>
        </w:rPr>
        <w:t>;</w:t>
      </w:r>
    </w:p>
    <w:p w14:paraId="3FA9917C" w14:textId="51999025" w:rsidR="000A48FE" w:rsidRPr="003278ED" w:rsidRDefault="007E461A" w:rsidP="007D3A2B">
      <w:pPr>
        <w:tabs>
          <w:tab w:val="left" w:pos="633"/>
          <w:tab w:val="left" w:pos="993"/>
        </w:tabs>
        <w:spacing w:after="0" w:line="240" w:lineRule="auto"/>
        <w:jc w:val="both"/>
        <w:rPr>
          <w:rFonts w:ascii="Times New Roman" w:hAnsi="Times New Roman" w:cs="Times New Roman"/>
          <w:sz w:val="24"/>
          <w:szCs w:val="24"/>
        </w:rPr>
      </w:pPr>
      <w:r w:rsidRPr="003278ED">
        <w:rPr>
          <w:rFonts w:ascii="Times New Roman" w:hAnsi="Times New Roman" w:cs="Times New Roman"/>
          <w:sz w:val="24"/>
          <w:szCs w:val="28"/>
        </w:rPr>
        <w:tab/>
        <w:t xml:space="preserve">- </w:t>
      </w:r>
      <w:r w:rsidR="000A48FE" w:rsidRPr="003278ED">
        <w:rPr>
          <w:rFonts w:ascii="Times New Roman" w:hAnsi="Times New Roman" w:cs="Times New Roman"/>
          <w:sz w:val="24"/>
          <w:szCs w:val="28"/>
        </w:rPr>
        <w:t xml:space="preserve">încasările </w:t>
      </w:r>
      <w:r w:rsidR="000A48FE" w:rsidRPr="003278ED">
        <w:rPr>
          <w:rFonts w:ascii="Times New Roman" w:hAnsi="Times New Roman" w:cs="Times New Roman"/>
          <w:bCs/>
          <w:iCs/>
          <w:sz w:val="24"/>
          <w:szCs w:val="28"/>
        </w:rPr>
        <w:t>contribuțiilor de asigurări sociale de stat și ale primelor de asigurare obligatorie de asistență medicală</w:t>
      </w:r>
      <w:r w:rsidR="000A48FE" w:rsidRPr="003278ED">
        <w:rPr>
          <w:rFonts w:ascii="Times New Roman" w:hAnsi="Times New Roman" w:cs="Times New Roman"/>
          <w:sz w:val="24"/>
          <w:szCs w:val="28"/>
        </w:rPr>
        <w:t xml:space="preserve"> vor crește cu 10,2</w:t>
      </w:r>
      <w:r w:rsidR="00101392" w:rsidRPr="003278ED">
        <w:rPr>
          <w:rFonts w:ascii="Times New Roman" w:hAnsi="Times New Roman" w:cs="Times New Roman"/>
          <w:sz w:val="24"/>
          <w:szCs w:val="28"/>
        </w:rPr>
        <w:t xml:space="preserve"> </w:t>
      </w:r>
      <w:r w:rsidR="000A48FE" w:rsidRPr="003278ED">
        <w:rPr>
          <w:rFonts w:ascii="Times New Roman" w:hAnsi="Times New Roman" w:cs="Times New Roman"/>
          <w:sz w:val="24"/>
          <w:szCs w:val="28"/>
        </w:rPr>
        <w:t xml:space="preserve">% și, respectiv, cu 9,8 % în </w:t>
      </w:r>
      <w:r w:rsidR="000A48FE" w:rsidRPr="003278ED">
        <w:rPr>
          <w:rFonts w:ascii="Times New Roman" w:hAnsi="Times New Roman" w:cs="Times New Roman"/>
          <w:sz w:val="24"/>
          <w:szCs w:val="24"/>
        </w:rPr>
        <w:t xml:space="preserve">2024. </w:t>
      </w:r>
      <w:r w:rsidR="003F22CE" w:rsidRPr="003278ED">
        <w:rPr>
          <w:rFonts w:ascii="Times New Roman" w:hAnsi="Times New Roman" w:cs="Times New Roman"/>
          <w:sz w:val="24"/>
          <w:szCs w:val="24"/>
        </w:rPr>
        <w:t>Aceste c</w:t>
      </w:r>
      <w:r w:rsidR="000A48FE" w:rsidRPr="003278ED">
        <w:rPr>
          <w:rFonts w:ascii="Times New Roman" w:hAnsi="Times New Roman" w:cs="Times New Roman"/>
          <w:sz w:val="24"/>
          <w:szCs w:val="24"/>
        </w:rPr>
        <w:t>reșteri au la bază estimările fondului de remunerare a muncii care se prognozează a fi pe un trend ascendent;</w:t>
      </w:r>
    </w:p>
    <w:p w14:paraId="673F08C7" w14:textId="0B3BC29F" w:rsidR="0022407B" w:rsidRPr="003278ED" w:rsidRDefault="007E461A" w:rsidP="007D3A2B">
      <w:pPr>
        <w:tabs>
          <w:tab w:val="left" w:pos="709"/>
        </w:tabs>
        <w:spacing w:after="0" w:line="240" w:lineRule="auto"/>
        <w:jc w:val="both"/>
        <w:rPr>
          <w:rFonts w:ascii="Times New Roman" w:eastAsia="Times New Roman" w:hAnsi="Times New Roman" w:cs="Times New Roman"/>
          <w:b/>
          <w:sz w:val="24"/>
          <w:szCs w:val="24"/>
        </w:rPr>
      </w:pPr>
      <w:r w:rsidRPr="003278ED">
        <w:rPr>
          <w:rFonts w:ascii="Times New Roman" w:hAnsi="Times New Roman" w:cs="Times New Roman"/>
          <w:bCs/>
          <w:iCs/>
          <w:sz w:val="24"/>
          <w:szCs w:val="28"/>
        </w:rPr>
        <w:tab/>
        <w:t xml:space="preserve">- </w:t>
      </w:r>
      <w:r w:rsidR="000A48FE" w:rsidRPr="003278ED">
        <w:rPr>
          <w:rFonts w:ascii="Times New Roman" w:hAnsi="Times New Roman" w:cs="Times New Roman"/>
          <w:bCs/>
          <w:iCs/>
          <w:sz w:val="24"/>
          <w:szCs w:val="28"/>
        </w:rPr>
        <w:t>granturile externe pentru suport bugetar și pentru proiectele finanțate din surse externe</w:t>
      </w:r>
      <w:r w:rsidR="000A48FE" w:rsidRPr="003278ED">
        <w:rPr>
          <w:rFonts w:ascii="Times New Roman" w:hAnsi="Times New Roman" w:cs="Times New Roman"/>
          <w:sz w:val="24"/>
          <w:szCs w:val="28"/>
        </w:rPr>
        <w:t xml:space="preserve"> se vor diminua cu 53,7</w:t>
      </w:r>
      <w:r w:rsidR="00376B5A" w:rsidRPr="003278ED">
        <w:rPr>
          <w:rFonts w:ascii="Times New Roman" w:hAnsi="Times New Roman" w:cs="Times New Roman"/>
          <w:sz w:val="24"/>
          <w:szCs w:val="28"/>
        </w:rPr>
        <w:t xml:space="preserve"> </w:t>
      </w:r>
      <w:r w:rsidR="000A48FE" w:rsidRPr="003278ED">
        <w:rPr>
          <w:rFonts w:ascii="Times New Roman" w:hAnsi="Times New Roman" w:cs="Times New Roman"/>
          <w:sz w:val="24"/>
          <w:szCs w:val="28"/>
        </w:rPr>
        <w:t xml:space="preserve">% în 2024 față de anul 2023 și vor constitui 2 475,1 mil. lei. </w:t>
      </w:r>
      <w:r w:rsidR="000A48FE" w:rsidRPr="003278ED">
        <w:rPr>
          <w:rFonts w:ascii="Times New Roman" w:hAnsi="Times New Roman" w:cs="Times New Roman"/>
          <w:sz w:val="24"/>
          <w:szCs w:val="24"/>
        </w:rPr>
        <w:t>Din suma menționată, granturile pentru suport bugetar constituie 1 906,9 mil. lei.</w:t>
      </w:r>
    </w:p>
    <w:p w14:paraId="7840A61D" w14:textId="77777777" w:rsidR="00060D77" w:rsidRPr="003278ED" w:rsidRDefault="00060D77" w:rsidP="007D3A2B">
      <w:pPr>
        <w:tabs>
          <w:tab w:val="left" w:pos="993"/>
        </w:tabs>
        <w:spacing w:after="0" w:line="240" w:lineRule="auto"/>
        <w:ind w:firstLine="709"/>
        <w:jc w:val="both"/>
        <w:rPr>
          <w:rFonts w:ascii="Times New Roman" w:eastAsia="Times New Roman" w:hAnsi="Times New Roman" w:cs="Times New Roman"/>
          <w:b/>
          <w:i/>
          <w:sz w:val="24"/>
          <w:szCs w:val="24"/>
        </w:rPr>
      </w:pPr>
    </w:p>
    <w:p w14:paraId="63318EFC" w14:textId="77777777" w:rsidR="0022407B" w:rsidRPr="003278ED" w:rsidRDefault="0022407B" w:rsidP="007D3A2B">
      <w:pPr>
        <w:tabs>
          <w:tab w:val="left" w:pos="0"/>
        </w:tabs>
        <w:spacing w:after="0" w:line="240" w:lineRule="auto"/>
        <w:ind w:firstLine="709"/>
        <w:jc w:val="both"/>
        <w:rPr>
          <w:rFonts w:ascii="Times New Roman" w:eastAsia="Times New Roman" w:hAnsi="Times New Roman" w:cs="Times New Roman"/>
          <w:b/>
          <w:sz w:val="24"/>
          <w:szCs w:val="24"/>
        </w:rPr>
      </w:pPr>
      <w:r w:rsidRPr="003278ED">
        <w:rPr>
          <w:rFonts w:ascii="Times New Roman" w:eastAsia="Times New Roman" w:hAnsi="Times New Roman" w:cs="Times New Roman"/>
          <w:b/>
          <w:sz w:val="24"/>
          <w:szCs w:val="24"/>
        </w:rPr>
        <w:t xml:space="preserve">Perspective </w:t>
      </w:r>
      <w:r w:rsidR="001B73BC" w:rsidRPr="003278ED">
        <w:rPr>
          <w:rFonts w:ascii="Times New Roman" w:eastAsia="Times New Roman" w:hAnsi="Times New Roman" w:cs="Times New Roman"/>
          <w:b/>
          <w:sz w:val="24"/>
          <w:szCs w:val="24"/>
        </w:rPr>
        <w:t xml:space="preserve">de venituri </w:t>
      </w:r>
      <w:r w:rsidRPr="003278ED">
        <w:rPr>
          <w:rFonts w:ascii="Times New Roman" w:eastAsia="Times New Roman" w:hAnsi="Times New Roman" w:cs="Times New Roman"/>
          <w:b/>
          <w:sz w:val="24"/>
          <w:szCs w:val="24"/>
        </w:rPr>
        <w:t>pe termen mediu 2025-2027</w:t>
      </w:r>
    </w:p>
    <w:p w14:paraId="7F473B7A" w14:textId="0EA605D0" w:rsidR="00704158" w:rsidRPr="003278ED" w:rsidRDefault="00704158" w:rsidP="007D3A2B">
      <w:pPr>
        <w:pStyle w:val="Numberedtex"/>
        <w:numPr>
          <w:ilvl w:val="0"/>
          <w:numId w:val="0"/>
        </w:numPr>
        <w:tabs>
          <w:tab w:val="clear" w:pos="403"/>
          <w:tab w:val="left" w:pos="0"/>
        </w:tabs>
        <w:spacing w:before="0" w:after="0" w:line="240" w:lineRule="auto"/>
        <w:ind w:firstLineChars="295" w:firstLine="708"/>
        <w:rPr>
          <w:rFonts w:ascii="Times New Roman" w:eastAsiaTheme="minorHAnsi" w:hAnsi="Times New Roman"/>
          <w:color w:val="000000"/>
          <w:sz w:val="24"/>
          <w:szCs w:val="28"/>
          <w:lang w:val="ro-RO"/>
        </w:rPr>
      </w:pPr>
      <w:r w:rsidRPr="003278ED">
        <w:rPr>
          <w:rFonts w:ascii="Times New Roman" w:eastAsia="Times New Roman" w:hAnsi="Times New Roman"/>
          <w:sz w:val="24"/>
          <w:lang w:val="ro-RO"/>
        </w:rPr>
        <w:t>Pe baza previziunilor macroeconomice,</w:t>
      </w:r>
      <w:r w:rsidRPr="003278ED">
        <w:rPr>
          <w:rFonts w:ascii="Times New Roman" w:eastAsiaTheme="minorHAnsi" w:hAnsi="Times New Roman"/>
          <w:color w:val="000000"/>
          <w:sz w:val="24"/>
          <w:szCs w:val="28"/>
          <w:lang w:val="ro-RO"/>
        </w:rPr>
        <w:t xml:space="preserve"> precum și </w:t>
      </w:r>
      <w:r w:rsidR="003F22CE" w:rsidRPr="003278ED">
        <w:rPr>
          <w:rFonts w:ascii="Times New Roman" w:eastAsiaTheme="minorHAnsi" w:hAnsi="Times New Roman"/>
          <w:color w:val="000000"/>
          <w:sz w:val="24"/>
          <w:szCs w:val="28"/>
          <w:lang w:val="ro-RO"/>
        </w:rPr>
        <w:t xml:space="preserve">a </w:t>
      </w:r>
      <w:r w:rsidRPr="003278ED">
        <w:rPr>
          <w:rFonts w:ascii="Times New Roman" w:eastAsiaTheme="minorHAnsi" w:hAnsi="Times New Roman"/>
          <w:color w:val="000000"/>
          <w:sz w:val="24"/>
          <w:szCs w:val="28"/>
          <w:lang w:val="ro-RO"/>
        </w:rPr>
        <w:t>măsurilor prevăzute în domeniul fiscal și vamal pe această perioadă</w:t>
      </w:r>
      <w:r w:rsidRPr="003278ED">
        <w:rPr>
          <w:rFonts w:ascii="Times New Roman" w:eastAsia="Times New Roman" w:hAnsi="Times New Roman"/>
          <w:sz w:val="24"/>
          <w:lang w:val="ro-RO"/>
        </w:rPr>
        <w:t>, se preconizează că veniturile vor continua să crească pe termen mediu (2025-2027) la o rată medie de 8,2</w:t>
      </w:r>
      <w:r w:rsidR="00376B5A" w:rsidRPr="003278ED">
        <w:rPr>
          <w:rFonts w:ascii="Times New Roman" w:eastAsia="Times New Roman" w:hAnsi="Times New Roman"/>
          <w:sz w:val="24"/>
          <w:lang w:val="ro-RO"/>
        </w:rPr>
        <w:t xml:space="preserve"> </w:t>
      </w:r>
      <w:r w:rsidRPr="003278ED">
        <w:rPr>
          <w:rFonts w:ascii="Times New Roman" w:eastAsia="Times New Roman" w:hAnsi="Times New Roman"/>
          <w:sz w:val="24"/>
          <w:lang w:val="ro-RO"/>
        </w:rPr>
        <w:t xml:space="preserve">%. </w:t>
      </w:r>
      <w:r w:rsidRPr="003278ED">
        <w:rPr>
          <w:rFonts w:ascii="Times New Roman" w:eastAsiaTheme="minorHAnsi" w:hAnsi="Times New Roman"/>
          <w:color w:val="000000"/>
          <w:sz w:val="24"/>
          <w:szCs w:val="28"/>
          <w:lang w:val="ro-RO"/>
        </w:rPr>
        <w:t xml:space="preserve">Se estimează că </w:t>
      </w:r>
      <w:r w:rsidRPr="003278ED">
        <w:rPr>
          <w:rFonts w:ascii="Times New Roman" w:eastAsiaTheme="minorHAnsi" w:hAnsi="Times New Roman"/>
          <w:bCs/>
          <w:color w:val="000000"/>
          <w:sz w:val="24"/>
          <w:szCs w:val="28"/>
          <w:lang w:val="ro-RO"/>
        </w:rPr>
        <w:t>veniturile bugetare</w:t>
      </w:r>
      <w:r w:rsidRPr="003278ED">
        <w:rPr>
          <w:rFonts w:ascii="Times New Roman" w:eastAsiaTheme="minorHAnsi" w:hAnsi="Times New Roman"/>
          <w:color w:val="000000"/>
          <w:sz w:val="24"/>
          <w:szCs w:val="28"/>
          <w:lang w:val="ro-RO"/>
        </w:rPr>
        <w:t xml:space="preserve"> vor crește în valori nominale de la 115 867,0 mil. lei în 2025 la 135 855</w:t>
      </w:r>
      <w:r w:rsidR="0059271D" w:rsidRPr="003278ED">
        <w:rPr>
          <w:rFonts w:ascii="Times New Roman" w:eastAsiaTheme="minorHAnsi" w:hAnsi="Times New Roman"/>
          <w:color w:val="000000"/>
          <w:sz w:val="24"/>
          <w:szCs w:val="28"/>
          <w:lang w:val="ro-RO"/>
        </w:rPr>
        <w:t>,0 mil. lei în 2027</w:t>
      </w:r>
      <w:r w:rsidRPr="003278ED">
        <w:rPr>
          <w:rFonts w:ascii="Times New Roman" w:eastAsiaTheme="minorHAnsi" w:hAnsi="Times New Roman"/>
          <w:color w:val="000000"/>
          <w:sz w:val="24"/>
          <w:szCs w:val="28"/>
          <w:lang w:val="ro-RO"/>
        </w:rPr>
        <w:t xml:space="preserve"> sau cu 17,2 % (tabelul 3.</w:t>
      </w:r>
      <w:r w:rsidR="00D474F9" w:rsidRPr="003278ED">
        <w:rPr>
          <w:rFonts w:ascii="Times New Roman" w:eastAsiaTheme="minorHAnsi" w:hAnsi="Times New Roman"/>
          <w:color w:val="000000"/>
          <w:sz w:val="24"/>
          <w:szCs w:val="28"/>
          <w:lang w:val="ro-RO"/>
        </w:rPr>
        <w:t>5</w:t>
      </w:r>
      <w:r w:rsidRPr="003278ED">
        <w:rPr>
          <w:rFonts w:ascii="Times New Roman" w:eastAsiaTheme="minorHAnsi" w:hAnsi="Times New Roman"/>
          <w:color w:val="000000"/>
          <w:sz w:val="24"/>
          <w:szCs w:val="28"/>
          <w:lang w:val="ro-RO"/>
        </w:rPr>
        <w:t>).</w:t>
      </w:r>
    </w:p>
    <w:p w14:paraId="6AC1A0AB" w14:textId="77777777" w:rsidR="00704158" w:rsidRPr="003278ED" w:rsidRDefault="00704158" w:rsidP="007D3A2B">
      <w:pPr>
        <w:tabs>
          <w:tab w:val="left" w:pos="993"/>
        </w:tabs>
        <w:spacing w:after="0" w:line="240" w:lineRule="auto"/>
        <w:ind w:firstLine="709"/>
        <w:jc w:val="right"/>
        <w:rPr>
          <w:rFonts w:ascii="Times New Roman" w:hAnsi="Times New Roman" w:cs="Times New Roman"/>
          <w:b/>
          <w:bCs/>
          <w:color w:val="000000"/>
          <w:sz w:val="20"/>
          <w:szCs w:val="20"/>
        </w:rPr>
      </w:pPr>
    </w:p>
    <w:p w14:paraId="213DA8F3" w14:textId="77777777" w:rsidR="00704158" w:rsidRPr="003278ED" w:rsidRDefault="00704158" w:rsidP="007D3A2B">
      <w:pPr>
        <w:spacing w:after="0" w:line="240" w:lineRule="auto"/>
        <w:jc w:val="right"/>
        <w:rPr>
          <w:rFonts w:ascii="Times New Roman" w:hAnsi="Times New Roman" w:cs="Times New Roman"/>
          <w:bCs/>
          <w:color w:val="000000"/>
          <w:sz w:val="24"/>
          <w:szCs w:val="24"/>
        </w:rPr>
      </w:pPr>
      <w:r w:rsidRPr="003278ED">
        <w:rPr>
          <w:rFonts w:ascii="Times New Roman" w:hAnsi="Times New Roman" w:cs="Times New Roman"/>
          <w:bCs/>
          <w:color w:val="000000"/>
          <w:sz w:val="24"/>
          <w:szCs w:val="24"/>
        </w:rPr>
        <w:t>Tabelul 3.</w:t>
      </w:r>
      <w:r w:rsidR="00180BEE" w:rsidRPr="003278ED">
        <w:rPr>
          <w:rFonts w:ascii="Times New Roman" w:hAnsi="Times New Roman" w:cs="Times New Roman"/>
          <w:bCs/>
          <w:color w:val="000000"/>
          <w:sz w:val="24"/>
          <w:szCs w:val="24"/>
        </w:rPr>
        <w:t>5</w:t>
      </w:r>
    </w:p>
    <w:p w14:paraId="55872A2C" w14:textId="77777777" w:rsidR="00060D77" w:rsidRPr="003278ED" w:rsidRDefault="00704158" w:rsidP="007D3A2B">
      <w:pPr>
        <w:spacing w:after="0" w:line="240" w:lineRule="auto"/>
        <w:jc w:val="center"/>
        <w:rPr>
          <w:rFonts w:ascii="Times New Roman" w:eastAsia="Times New Roman" w:hAnsi="Times New Roman" w:cs="Times New Roman"/>
          <w:b/>
          <w:sz w:val="24"/>
          <w:szCs w:val="24"/>
          <w:highlight w:val="yellow"/>
        </w:rPr>
      </w:pPr>
      <w:r w:rsidRPr="003278ED">
        <w:rPr>
          <w:rFonts w:ascii="Times New Roman" w:hAnsi="Times New Roman" w:cs="Times New Roman"/>
          <w:b/>
          <w:bCs/>
          <w:sz w:val="24"/>
          <w:szCs w:val="24"/>
        </w:rPr>
        <w:t>Tabelul sumar al veniturilor</w:t>
      </w:r>
    </w:p>
    <w:p w14:paraId="3D69C728" w14:textId="77777777" w:rsidR="008647C4" w:rsidRPr="003278ED" w:rsidRDefault="008647C4" w:rsidP="007D3A2B">
      <w:pPr>
        <w:spacing w:after="0" w:line="240" w:lineRule="auto"/>
        <w:ind w:firstLine="720"/>
        <w:jc w:val="both"/>
        <w:rPr>
          <w:rFonts w:ascii="Times New Roman" w:eastAsia="Times New Roman" w:hAnsi="Times New Roman" w:cs="Times New Roman"/>
          <w:b/>
          <w:sz w:val="24"/>
          <w:szCs w:val="28"/>
          <w:highlight w:val="yellow"/>
        </w:rPr>
      </w:pPr>
    </w:p>
    <w:tbl>
      <w:tblPr>
        <w:tblW w:w="5000" w:type="pct"/>
        <w:tblLook w:val="04A0" w:firstRow="1" w:lastRow="0" w:firstColumn="1" w:lastColumn="0" w:noHBand="0" w:noVBand="1"/>
      </w:tblPr>
      <w:tblGrid>
        <w:gridCol w:w="878"/>
        <w:gridCol w:w="2858"/>
        <w:gridCol w:w="897"/>
        <w:gridCol w:w="900"/>
        <w:gridCol w:w="975"/>
        <w:gridCol w:w="987"/>
        <w:gridCol w:w="919"/>
        <w:gridCol w:w="919"/>
      </w:tblGrid>
      <w:tr w:rsidR="001534CB" w:rsidRPr="003278ED" w14:paraId="24557D5C" w14:textId="77777777" w:rsidTr="004C2B11">
        <w:trPr>
          <w:trHeight w:val="245"/>
          <w:tblHeader/>
        </w:trPr>
        <w:tc>
          <w:tcPr>
            <w:tcW w:w="429" w:type="pct"/>
            <w:noWrap/>
            <w:vAlign w:val="center"/>
            <w:hideMark/>
          </w:tcPr>
          <w:p w14:paraId="1E0A15F6"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1397" w:type="pct"/>
            <w:noWrap/>
            <w:vAlign w:val="center"/>
            <w:hideMark/>
          </w:tcPr>
          <w:p w14:paraId="03F93C56"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530" w:type="pct"/>
            <w:noWrap/>
            <w:vAlign w:val="center"/>
            <w:hideMark/>
          </w:tcPr>
          <w:p w14:paraId="0B8C6B0A"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2022</w:t>
            </w:r>
          </w:p>
        </w:tc>
        <w:tc>
          <w:tcPr>
            <w:tcW w:w="531" w:type="pct"/>
            <w:noWrap/>
            <w:vAlign w:val="center"/>
            <w:hideMark/>
          </w:tcPr>
          <w:p w14:paraId="24F3102A"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2023</w:t>
            </w:r>
          </w:p>
        </w:tc>
        <w:tc>
          <w:tcPr>
            <w:tcW w:w="571" w:type="pct"/>
            <w:noWrap/>
            <w:vAlign w:val="center"/>
            <w:hideMark/>
          </w:tcPr>
          <w:p w14:paraId="1BBFD135"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2024</w:t>
            </w:r>
          </w:p>
        </w:tc>
        <w:tc>
          <w:tcPr>
            <w:tcW w:w="515" w:type="pct"/>
            <w:noWrap/>
            <w:vAlign w:val="center"/>
            <w:hideMark/>
          </w:tcPr>
          <w:p w14:paraId="28C9AFB4"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2025</w:t>
            </w:r>
          </w:p>
        </w:tc>
        <w:tc>
          <w:tcPr>
            <w:tcW w:w="515" w:type="pct"/>
            <w:noWrap/>
            <w:vAlign w:val="center"/>
            <w:hideMark/>
          </w:tcPr>
          <w:p w14:paraId="5C6650E0"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2026</w:t>
            </w:r>
          </w:p>
        </w:tc>
        <w:tc>
          <w:tcPr>
            <w:tcW w:w="512" w:type="pct"/>
            <w:noWrap/>
            <w:vAlign w:val="center"/>
            <w:hideMark/>
          </w:tcPr>
          <w:p w14:paraId="5C397BF6"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2027</w:t>
            </w:r>
          </w:p>
        </w:tc>
      </w:tr>
      <w:tr w:rsidR="001534CB" w:rsidRPr="003278ED" w14:paraId="488D02B5" w14:textId="77777777" w:rsidTr="004C2B11">
        <w:trPr>
          <w:trHeight w:val="258"/>
          <w:tblHeader/>
        </w:trPr>
        <w:tc>
          <w:tcPr>
            <w:tcW w:w="429" w:type="pct"/>
            <w:noWrap/>
            <w:vAlign w:val="center"/>
            <w:hideMark/>
          </w:tcPr>
          <w:p w14:paraId="7EB708F6"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1397" w:type="pct"/>
            <w:noWrap/>
            <w:vAlign w:val="center"/>
            <w:hideMark/>
          </w:tcPr>
          <w:p w14:paraId="4EDFBDB4"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530" w:type="pct"/>
            <w:noWrap/>
            <w:vAlign w:val="center"/>
            <w:hideMark/>
          </w:tcPr>
          <w:p w14:paraId="787D7170"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Efectiv</w:t>
            </w:r>
          </w:p>
        </w:tc>
        <w:tc>
          <w:tcPr>
            <w:tcW w:w="531" w:type="pct"/>
            <w:noWrap/>
            <w:vAlign w:val="center"/>
            <w:hideMark/>
          </w:tcPr>
          <w:p w14:paraId="7F75C7BA"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Efectiv</w:t>
            </w:r>
          </w:p>
        </w:tc>
        <w:tc>
          <w:tcPr>
            <w:tcW w:w="571" w:type="pct"/>
            <w:noWrap/>
            <w:vAlign w:val="center"/>
            <w:hideMark/>
          </w:tcPr>
          <w:p w14:paraId="647C1617"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Aprobat </w:t>
            </w:r>
          </w:p>
        </w:tc>
        <w:tc>
          <w:tcPr>
            <w:tcW w:w="515" w:type="pct"/>
            <w:noWrap/>
            <w:vAlign w:val="center"/>
            <w:hideMark/>
          </w:tcPr>
          <w:p w14:paraId="07686360" w14:textId="77777777" w:rsidR="001534CB" w:rsidRPr="003278ED" w:rsidRDefault="001534CB" w:rsidP="007D3A2B">
            <w:pPr>
              <w:spacing w:after="0" w:line="240" w:lineRule="auto"/>
              <w:ind w:left="-12"/>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Prognozat</w:t>
            </w:r>
          </w:p>
        </w:tc>
        <w:tc>
          <w:tcPr>
            <w:tcW w:w="515" w:type="pct"/>
            <w:noWrap/>
            <w:vAlign w:val="center"/>
            <w:hideMark/>
          </w:tcPr>
          <w:p w14:paraId="4AB90662"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Prognozat</w:t>
            </w:r>
          </w:p>
        </w:tc>
        <w:tc>
          <w:tcPr>
            <w:tcW w:w="512" w:type="pct"/>
            <w:noWrap/>
            <w:vAlign w:val="center"/>
            <w:hideMark/>
          </w:tcPr>
          <w:p w14:paraId="3736B365"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Prognozat</w:t>
            </w:r>
          </w:p>
        </w:tc>
      </w:tr>
      <w:tr w:rsidR="001534CB" w:rsidRPr="003278ED" w14:paraId="43F6A7BF" w14:textId="77777777" w:rsidTr="004C2B11">
        <w:trPr>
          <w:trHeight w:val="258"/>
        </w:trPr>
        <w:tc>
          <w:tcPr>
            <w:tcW w:w="429" w:type="pct"/>
            <w:noWrap/>
            <w:vAlign w:val="center"/>
            <w:hideMark/>
          </w:tcPr>
          <w:p w14:paraId="64ADAB80"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1397" w:type="pct"/>
            <w:noWrap/>
            <w:vAlign w:val="center"/>
            <w:hideMark/>
          </w:tcPr>
          <w:p w14:paraId="75992DDB" w14:textId="77777777" w:rsidR="001534CB" w:rsidRPr="003278ED" w:rsidRDefault="001534CB"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3174" w:type="pct"/>
            <w:gridSpan w:val="6"/>
            <w:noWrap/>
            <w:vAlign w:val="center"/>
            <w:hideMark/>
          </w:tcPr>
          <w:p w14:paraId="10811B07" w14:textId="77777777" w:rsidR="001534CB" w:rsidRPr="003278ED" w:rsidRDefault="001534CB" w:rsidP="007D3A2B">
            <w:pPr>
              <w:spacing w:after="0" w:line="240" w:lineRule="auto"/>
              <w:jc w:val="center"/>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mil. lei</w:t>
            </w:r>
          </w:p>
        </w:tc>
      </w:tr>
      <w:tr w:rsidR="001534CB" w:rsidRPr="003278ED" w14:paraId="704427DA" w14:textId="77777777" w:rsidTr="004C2B11">
        <w:trPr>
          <w:trHeight w:val="245"/>
        </w:trPr>
        <w:tc>
          <w:tcPr>
            <w:tcW w:w="1826" w:type="pct"/>
            <w:gridSpan w:val="2"/>
            <w:noWrap/>
            <w:vAlign w:val="center"/>
            <w:hideMark/>
          </w:tcPr>
          <w:p w14:paraId="688E19CF"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Total venituri și granturi</w:t>
            </w:r>
          </w:p>
        </w:tc>
        <w:tc>
          <w:tcPr>
            <w:tcW w:w="530" w:type="pct"/>
            <w:noWrap/>
            <w:vAlign w:val="center"/>
            <w:hideMark/>
          </w:tcPr>
          <w:p w14:paraId="2E8108B8"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91 505</w:t>
            </w:r>
          </w:p>
        </w:tc>
        <w:tc>
          <w:tcPr>
            <w:tcW w:w="531" w:type="pct"/>
            <w:noWrap/>
            <w:vAlign w:val="center"/>
            <w:hideMark/>
          </w:tcPr>
          <w:p w14:paraId="2738519D"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102 299</w:t>
            </w:r>
          </w:p>
        </w:tc>
        <w:tc>
          <w:tcPr>
            <w:tcW w:w="571" w:type="pct"/>
            <w:noWrap/>
            <w:vAlign w:val="center"/>
            <w:hideMark/>
          </w:tcPr>
          <w:p w14:paraId="369FB48D"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107 172</w:t>
            </w:r>
          </w:p>
        </w:tc>
        <w:tc>
          <w:tcPr>
            <w:tcW w:w="515" w:type="pct"/>
            <w:noWrap/>
            <w:vAlign w:val="center"/>
            <w:hideMark/>
          </w:tcPr>
          <w:p w14:paraId="27DE47C3"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115 867</w:t>
            </w:r>
          </w:p>
        </w:tc>
        <w:tc>
          <w:tcPr>
            <w:tcW w:w="515" w:type="pct"/>
            <w:noWrap/>
            <w:vAlign w:val="center"/>
            <w:hideMark/>
          </w:tcPr>
          <w:p w14:paraId="1573C2B5"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124 474</w:t>
            </w:r>
          </w:p>
        </w:tc>
        <w:tc>
          <w:tcPr>
            <w:tcW w:w="512" w:type="pct"/>
            <w:noWrap/>
            <w:vAlign w:val="center"/>
            <w:hideMark/>
          </w:tcPr>
          <w:p w14:paraId="15015C71"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135 855</w:t>
            </w:r>
          </w:p>
        </w:tc>
      </w:tr>
      <w:tr w:rsidR="001534CB" w:rsidRPr="003278ED" w14:paraId="78927D45" w14:textId="77777777" w:rsidTr="004C2B11">
        <w:trPr>
          <w:trHeight w:val="245"/>
        </w:trPr>
        <w:tc>
          <w:tcPr>
            <w:tcW w:w="1826" w:type="pct"/>
            <w:gridSpan w:val="2"/>
            <w:noWrap/>
            <w:vAlign w:val="center"/>
            <w:hideMark/>
          </w:tcPr>
          <w:p w14:paraId="01B9B702"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Impozite și taxe</w:t>
            </w:r>
          </w:p>
        </w:tc>
        <w:tc>
          <w:tcPr>
            <w:tcW w:w="530" w:type="pct"/>
            <w:noWrap/>
            <w:vAlign w:val="center"/>
            <w:hideMark/>
          </w:tcPr>
          <w:p w14:paraId="4CAE6EE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57 524</w:t>
            </w:r>
          </w:p>
        </w:tc>
        <w:tc>
          <w:tcPr>
            <w:tcW w:w="531" w:type="pct"/>
            <w:noWrap/>
            <w:vAlign w:val="center"/>
            <w:hideMark/>
          </w:tcPr>
          <w:p w14:paraId="5AE1E0C6"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63 006</w:t>
            </w:r>
          </w:p>
        </w:tc>
        <w:tc>
          <w:tcPr>
            <w:tcW w:w="571" w:type="pct"/>
            <w:noWrap/>
            <w:vAlign w:val="center"/>
            <w:hideMark/>
          </w:tcPr>
          <w:p w14:paraId="2678EDA3"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67 955</w:t>
            </w:r>
          </w:p>
        </w:tc>
        <w:tc>
          <w:tcPr>
            <w:tcW w:w="515" w:type="pct"/>
            <w:noWrap/>
            <w:vAlign w:val="center"/>
            <w:hideMark/>
          </w:tcPr>
          <w:p w14:paraId="08415AA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73 684</w:t>
            </w:r>
          </w:p>
        </w:tc>
        <w:tc>
          <w:tcPr>
            <w:tcW w:w="515" w:type="pct"/>
            <w:noWrap/>
            <w:vAlign w:val="center"/>
            <w:hideMark/>
          </w:tcPr>
          <w:p w14:paraId="4E3FD412"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78 580</w:t>
            </w:r>
          </w:p>
        </w:tc>
        <w:tc>
          <w:tcPr>
            <w:tcW w:w="512" w:type="pct"/>
            <w:noWrap/>
            <w:vAlign w:val="center"/>
            <w:hideMark/>
          </w:tcPr>
          <w:p w14:paraId="01B785BE"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86 473</w:t>
            </w:r>
          </w:p>
        </w:tc>
      </w:tr>
      <w:tr w:rsidR="001534CB" w:rsidRPr="003278ED" w14:paraId="13290009" w14:textId="77777777" w:rsidTr="004C2B11">
        <w:trPr>
          <w:trHeight w:val="245"/>
        </w:trPr>
        <w:tc>
          <w:tcPr>
            <w:tcW w:w="429" w:type="pct"/>
            <w:noWrap/>
            <w:vAlign w:val="bottom"/>
            <w:hideMark/>
          </w:tcPr>
          <w:p w14:paraId="26DCC990" w14:textId="77777777" w:rsidR="001534CB" w:rsidRPr="003278ED" w:rsidRDefault="001534CB" w:rsidP="007D3A2B">
            <w:pPr>
              <w:spacing w:after="0" w:line="240" w:lineRule="auto"/>
              <w:rPr>
                <w:rFonts w:ascii="Times New Roman" w:hAnsi="Times New Roman" w:cs="Times New Roman"/>
                <w:b/>
                <w:bCs/>
                <w:color w:val="000000"/>
                <w:sz w:val="16"/>
                <w:szCs w:val="16"/>
              </w:rPr>
            </w:pPr>
          </w:p>
        </w:tc>
        <w:tc>
          <w:tcPr>
            <w:tcW w:w="1397" w:type="pct"/>
            <w:noWrap/>
            <w:vAlign w:val="center"/>
            <w:hideMark/>
          </w:tcPr>
          <w:p w14:paraId="7F2D6FB4"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 pe venitul persoanelor fizice</w:t>
            </w:r>
          </w:p>
        </w:tc>
        <w:tc>
          <w:tcPr>
            <w:tcW w:w="530" w:type="pct"/>
            <w:noWrap/>
            <w:vAlign w:val="center"/>
            <w:hideMark/>
          </w:tcPr>
          <w:p w14:paraId="0D2336C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5 997</w:t>
            </w:r>
          </w:p>
        </w:tc>
        <w:tc>
          <w:tcPr>
            <w:tcW w:w="531" w:type="pct"/>
            <w:noWrap/>
            <w:vAlign w:val="center"/>
            <w:hideMark/>
          </w:tcPr>
          <w:p w14:paraId="1AF9BA87"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7 233</w:t>
            </w:r>
          </w:p>
        </w:tc>
        <w:tc>
          <w:tcPr>
            <w:tcW w:w="571" w:type="pct"/>
            <w:noWrap/>
            <w:vAlign w:val="center"/>
            <w:hideMark/>
          </w:tcPr>
          <w:p w14:paraId="79758A0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7 862</w:t>
            </w:r>
          </w:p>
        </w:tc>
        <w:tc>
          <w:tcPr>
            <w:tcW w:w="515" w:type="pct"/>
            <w:noWrap/>
            <w:vAlign w:val="center"/>
            <w:hideMark/>
          </w:tcPr>
          <w:p w14:paraId="2D3D4F91"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8 867</w:t>
            </w:r>
          </w:p>
        </w:tc>
        <w:tc>
          <w:tcPr>
            <w:tcW w:w="515" w:type="pct"/>
            <w:noWrap/>
            <w:vAlign w:val="center"/>
            <w:hideMark/>
          </w:tcPr>
          <w:p w14:paraId="24222E7E"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9 700</w:t>
            </w:r>
          </w:p>
        </w:tc>
        <w:tc>
          <w:tcPr>
            <w:tcW w:w="512" w:type="pct"/>
            <w:noWrap/>
            <w:vAlign w:val="center"/>
            <w:hideMark/>
          </w:tcPr>
          <w:p w14:paraId="4E5E4FD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10 600</w:t>
            </w:r>
          </w:p>
        </w:tc>
      </w:tr>
      <w:tr w:rsidR="001534CB" w:rsidRPr="003278ED" w14:paraId="47FA1D89" w14:textId="77777777" w:rsidTr="004C2B11">
        <w:trPr>
          <w:trHeight w:val="245"/>
        </w:trPr>
        <w:tc>
          <w:tcPr>
            <w:tcW w:w="429" w:type="pct"/>
            <w:noWrap/>
            <w:vAlign w:val="bottom"/>
            <w:hideMark/>
          </w:tcPr>
          <w:p w14:paraId="26F31D75"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57BDD038"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 pe venitul persoanelor juridice</w:t>
            </w:r>
          </w:p>
        </w:tc>
        <w:tc>
          <w:tcPr>
            <w:tcW w:w="530" w:type="pct"/>
            <w:noWrap/>
            <w:vAlign w:val="center"/>
            <w:hideMark/>
          </w:tcPr>
          <w:p w14:paraId="27E9CF7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8 729</w:t>
            </w:r>
          </w:p>
        </w:tc>
        <w:tc>
          <w:tcPr>
            <w:tcW w:w="531" w:type="pct"/>
            <w:noWrap/>
            <w:vAlign w:val="center"/>
            <w:hideMark/>
          </w:tcPr>
          <w:p w14:paraId="4FC8908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9 422</w:t>
            </w:r>
          </w:p>
        </w:tc>
        <w:tc>
          <w:tcPr>
            <w:tcW w:w="571" w:type="pct"/>
            <w:noWrap/>
            <w:vAlign w:val="center"/>
            <w:hideMark/>
          </w:tcPr>
          <w:p w14:paraId="5C5E2AE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9 605</w:t>
            </w:r>
          </w:p>
        </w:tc>
        <w:tc>
          <w:tcPr>
            <w:tcW w:w="515" w:type="pct"/>
            <w:noWrap/>
            <w:vAlign w:val="center"/>
            <w:hideMark/>
          </w:tcPr>
          <w:p w14:paraId="23A14DF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9 840</w:t>
            </w:r>
          </w:p>
        </w:tc>
        <w:tc>
          <w:tcPr>
            <w:tcW w:w="515" w:type="pct"/>
            <w:noWrap/>
            <w:vAlign w:val="center"/>
            <w:hideMark/>
          </w:tcPr>
          <w:p w14:paraId="7E38D957"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10 784</w:t>
            </w:r>
          </w:p>
        </w:tc>
        <w:tc>
          <w:tcPr>
            <w:tcW w:w="512" w:type="pct"/>
            <w:noWrap/>
            <w:vAlign w:val="center"/>
            <w:hideMark/>
          </w:tcPr>
          <w:p w14:paraId="65F6CBED"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12 393</w:t>
            </w:r>
          </w:p>
        </w:tc>
      </w:tr>
      <w:tr w:rsidR="001534CB" w:rsidRPr="003278ED" w14:paraId="559B59AA" w14:textId="77777777" w:rsidTr="004C2B11">
        <w:trPr>
          <w:trHeight w:val="245"/>
        </w:trPr>
        <w:tc>
          <w:tcPr>
            <w:tcW w:w="429" w:type="pct"/>
            <w:noWrap/>
            <w:vAlign w:val="bottom"/>
            <w:hideMark/>
          </w:tcPr>
          <w:p w14:paraId="614BF3D3"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39D5C470"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TVA</w:t>
            </w:r>
          </w:p>
        </w:tc>
        <w:tc>
          <w:tcPr>
            <w:tcW w:w="530" w:type="pct"/>
            <w:noWrap/>
            <w:vAlign w:val="center"/>
            <w:hideMark/>
          </w:tcPr>
          <w:p w14:paraId="58DDCDE9"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29 057</w:t>
            </w:r>
          </w:p>
        </w:tc>
        <w:tc>
          <w:tcPr>
            <w:tcW w:w="531" w:type="pct"/>
            <w:noWrap/>
            <w:vAlign w:val="center"/>
            <w:hideMark/>
          </w:tcPr>
          <w:p w14:paraId="5031399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30 209</w:t>
            </w:r>
          </w:p>
        </w:tc>
        <w:tc>
          <w:tcPr>
            <w:tcW w:w="571" w:type="pct"/>
            <w:noWrap/>
            <w:vAlign w:val="center"/>
            <w:hideMark/>
          </w:tcPr>
          <w:p w14:paraId="0B7B167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34 176</w:t>
            </w:r>
          </w:p>
        </w:tc>
        <w:tc>
          <w:tcPr>
            <w:tcW w:w="515" w:type="pct"/>
            <w:noWrap/>
            <w:vAlign w:val="center"/>
            <w:hideMark/>
          </w:tcPr>
          <w:p w14:paraId="0C18DCE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36 790</w:t>
            </w:r>
          </w:p>
        </w:tc>
        <w:tc>
          <w:tcPr>
            <w:tcW w:w="515" w:type="pct"/>
            <w:noWrap/>
            <w:vAlign w:val="center"/>
            <w:hideMark/>
          </w:tcPr>
          <w:p w14:paraId="30E0047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41 040</w:t>
            </w:r>
          </w:p>
        </w:tc>
        <w:tc>
          <w:tcPr>
            <w:tcW w:w="512" w:type="pct"/>
            <w:noWrap/>
            <w:vAlign w:val="center"/>
            <w:hideMark/>
          </w:tcPr>
          <w:p w14:paraId="1D18A5BF"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44 830</w:t>
            </w:r>
          </w:p>
        </w:tc>
      </w:tr>
      <w:tr w:rsidR="001534CB" w:rsidRPr="003278ED" w14:paraId="3BB860EA" w14:textId="77777777" w:rsidTr="004C2B11">
        <w:trPr>
          <w:trHeight w:val="245"/>
        </w:trPr>
        <w:tc>
          <w:tcPr>
            <w:tcW w:w="429" w:type="pct"/>
            <w:noWrap/>
            <w:vAlign w:val="bottom"/>
            <w:hideMark/>
          </w:tcPr>
          <w:p w14:paraId="43CBC153"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7AC45C93"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Accize</w:t>
            </w:r>
          </w:p>
        </w:tc>
        <w:tc>
          <w:tcPr>
            <w:tcW w:w="530" w:type="pct"/>
            <w:noWrap/>
            <w:vAlign w:val="center"/>
            <w:hideMark/>
          </w:tcPr>
          <w:p w14:paraId="5A2061E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8 013</w:t>
            </w:r>
          </w:p>
        </w:tc>
        <w:tc>
          <w:tcPr>
            <w:tcW w:w="531" w:type="pct"/>
            <w:noWrap/>
            <w:vAlign w:val="center"/>
            <w:hideMark/>
          </w:tcPr>
          <w:p w14:paraId="27597194"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10 138</w:t>
            </w:r>
          </w:p>
        </w:tc>
        <w:tc>
          <w:tcPr>
            <w:tcW w:w="571" w:type="pct"/>
            <w:noWrap/>
            <w:vAlign w:val="center"/>
            <w:hideMark/>
          </w:tcPr>
          <w:p w14:paraId="2D67024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10 457</w:t>
            </w:r>
          </w:p>
        </w:tc>
        <w:tc>
          <w:tcPr>
            <w:tcW w:w="515" w:type="pct"/>
            <w:noWrap/>
            <w:vAlign w:val="center"/>
            <w:hideMark/>
          </w:tcPr>
          <w:p w14:paraId="63CE0FAA"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12 128</w:t>
            </w:r>
          </w:p>
        </w:tc>
        <w:tc>
          <w:tcPr>
            <w:tcW w:w="515" w:type="pct"/>
            <w:noWrap/>
            <w:vAlign w:val="center"/>
            <w:hideMark/>
          </w:tcPr>
          <w:p w14:paraId="733BD25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10 667</w:t>
            </w:r>
          </w:p>
        </w:tc>
        <w:tc>
          <w:tcPr>
            <w:tcW w:w="512" w:type="pct"/>
            <w:noWrap/>
            <w:vAlign w:val="center"/>
            <w:hideMark/>
          </w:tcPr>
          <w:p w14:paraId="5901F8F3"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11 928</w:t>
            </w:r>
          </w:p>
        </w:tc>
      </w:tr>
      <w:tr w:rsidR="001534CB" w:rsidRPr="003278ED" w14:paraId="7E923DBF" w14:textId="77777777" w:rsidTr="004C2B11">
        <w:trPr>
          <w:trHeight w:val="245"/>
        </w:trPr>
        <w:tc>
          <w:tcPr>
            <w:tcW w:w="429" w:type="pct"/>
            <w:noWrap/>
            <w:vAlign w:val="bottom"/>
            <w:hideMark/>
          </w:tcPr>
          <w:p w14:paraId="2B6AB44C"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37937F6F"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Taxe asupra comerțului exterior</w:t>
            </w:r>
          </w:p>
        </w:tc>
        <w:tc>
          <w:tcPr>
            <w:tcW w:w="530" w:type="pct"/>
            <w:noWrap/>
            <w:vAlign w:val="center"/>
            <w:hideMark/>
          </w:tcPr>
          <w:p w14:paraId="308C852A"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2 732</w:t>
            </w:r>
          </w:p>
        </w:tc>
        <w:tc>
          <w:tcPr>
            <w:tcW w:w="531" w:type="pct"/>
            <w:noWrap/>
            <w:vAlign w:val="center"/>
            <w:hideMark/>
          </w:tcPr>
          <w:p w14:paraId="19DD6CCF"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2 812</w:t>
            </w:r>
          </w:p>
        </w:tc>
        <w:tc>
          <w:tcPr>
            <w:tcW w:w="571" w:type="pct"/>
            <w:noWrap/>
            <w:vAlign w:val="center"/>
            <w:hideMark/>
          </w:tcPr>
          <w:p w14:paraId="5EA3FECA"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2 526</w:t>
            </w:r>
          </w:p>
        </w:tc>
        <w:tc>
          <w:tcPr>
            <w:tcW w:w="515" w:type="pct"/>
            <w:noWrap/>
            <w:vAlign w:val="center"/>
            <w:hideMark/>
          </w:tcPr>
          <w:p w14:paraId="5472710F"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2 774</w:t>
            </w:r>
          </w:p>
        </w:tc>
        <w:tc>
          <w:tcPr>
            <w:tcW w:w="515" w:type="pct"/>
            <w:noWrap/>
            <w:vAlign w:val="center"/>
            <w:hideMark/>
          </w:tcPr>
          <w:p w14:paraId="456838F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3 035</w:t>
            </w:r>
          </w:p>
        </w:tc>
        <w:tc>
          <w:tcPr>
            <w:tcW w:w="512" w:type="pct"/>
            <w:noWrap/>
            <w:vAlign w:val="center"/>
            <w:hideMark/>
          </w:tcPr>
          <w:p w14:paraId="4A5D765A"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3 319</w:t>
            </w:r>
          </w:p>
        </w:tc>
      </w:tr>
      <w:tr w:rsidR="001534CB" w:rsidRPr="003278ED" w14:paraId="6CE6651E" w14:textId="77777777" w:rsidTr="004C2B11">
        <w:trPr>
          <w:trHeight w:val="245"/>
        </w:trPr>
        <w:tc>
          <w:tcPr>
            <w:tcW w:w="429" w:type="pct"/>
            <w:noWrap/>
            <w:vAlign w:val="bottom"/>
            <w:hideMark/>
          </w:tcPr>
          <w:p w14:paraId="4B57CD89"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0274D212"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Impozite pe proprietate</w:t>
            </w:r>
          </w:p>
        </w:tc>
        <w:tc>
          <w:tcPr>
            <w:tcW w:w="530" w:type="pct"/>
            <w:noWrap/>
            <w:vAlign w:val="center"/>
            <w:hideMark/>
          </w:tcPr>
          <w:p w14:paraId="56ABB31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755</w:t>
            </w:r>
          </w:p>
        </w:tc>
        <w:tc>
          <w:tcPr>
            <w:tcW w:w="531" w:type="pct"/>
            <w:noWrap/>
            <w:vAlign w:val="center"/>
            <w:hideMark/>
          </w:tcPr>
          <w:p w14:paraId="140235D4"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794</w:t>
            </w:r>
          </w:p>
        </w:tc>
        <w:tc>
          <w:tcPr>
            <w:tcW w:w="571" w:type="pct"/>
            <w:noWrap/>
            <w:vAlign w:val="center"/>
            <w:hideMark/>
          </w:tcPr>
          <w:p w14:paraId="33D7C089"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813</w:t>
            </w:r>
          </w:p>
        </w:tc>
        <w:tc>
          <w:tcPr>
            <w:tcW w:w="515" w:type="pct"/>
            <w:noWrap/>
            <w:vAlign w:val="center"/>
            <w:hideMark/>
          </w:tcPr>
          <w:p w14:paraId="77021C49"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817</w:t>
            </w:r>
          </w:p>
        </w:tc>
        <w:tc>
          <w:tcPr>
            <w:tcW w:w="515" w:type="pct"/>
            <w:noWrap/>
            <w:vAlign w:val="center"/>
            <w:hideMark/>
          </w:tcPr>
          <w:p w14:paraId="27041887"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824</w:t>
            </w:r>
          </w:p>
        </w:tc>
        <w:tc>
          <w:tcPr>
            <w:tcW w:w="512" w:type="pct"/>
            <w:noWrap/>
            <w:vAlign w:val="center"/>
            <w:hideMark/>
          </w:tcPr>
          <w:p w14:paraId="632DBE3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831</w:t>
            </w:r>
          </w:p>
        </w:tc>
      </w:tr>
      <w:tr w:rsidR="001534CB" w:rsidRPr="003278ED" w14:paraId="066F01A9" w14:textId="77777777" w:rsidTr="004C2B11">
        <w:trPr>
          <w:trHeight w:val="245"/>
        </w:trPr>
        <w:tc>
          <w:tcPr>
            <w:tcW w:w="429" w:type="pct"/>
            <w:noWrap/>
            <w:vAlign w:val="bottom"/>
          </w:tcPr>
          <w:p w14:paraId="5DC231BF" w14:textId="77777777" w:rsidR="001534CB" w:rsidRPr="003278ED" w:rsidRDefault="001534CB" w:rsidP="007D3A2B">
            <w:pPr>
              <w:spacing w:after="0" w:line="240" w:lineRule="auto"/>
              <w:jc w:val="right"/>
              <w:rPr>
                <w:rFonts w:ascii="Times New Roman" w:hAnsi="Times New Roman" w:cs="Times New Roman"/>
                <w:color w:val="000000"/>
                <w:sz w:val="16"/>
                <w:szCs w:val="16"/>
              </w:rPr>
            </w:pPr>
          </w:p>
        </w:tc>
        <w:tc>
          <w:tcPr>
            <w:tcW w:w="1397" w:type="pct"/>
            <w:noWrap/>
            <w:vAlign w:val="center"/>
            <w:hideMark/>
          </w:tcPr>
          <w:p w14:paraId="7DFB6458" w14:textId="77777777" w:rsidR="001534CB" w:rsidRPr="003278ED" w:rsidRDefault="001534CB"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Alte impozite si taxe</w:t>
            </w:r>
          </w:p>
        </w:tc>
        <w:tc>
          <w:tcPr>
            <w:tcW w:w="530" w:type="pct"/>
            <w:noWrap/>
            <w:vAlign w:val="center"/>
            <w:hideMark/>
          </w:tcPr>
          <w:p w14:paraId="30457CC1"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2 241</w:t>
            </w:r>
          </w:p>
        </w:tc>
        <w:tc>
          <w:tcPr>
            <w:tcW w:w="531" w:type="pct"/>
            <w:noWrap/>
            <w:vAlign w:val="center"/>
            <w:hideMark/>
          </w:tcPr>
          <w:p w14:paraId="74CFCA7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2 399</w:t>
            </w:r>
          </w:p>
        </w:tc>
        <w:tc>
          <w:tcPr>
            <w:tcW w:w="571" w:type="pct"/>
            <w:noWrap/>
            <w:vAlign w:val="center"/>
            <w:hideMark/>
          </w:tcPr>
          <w:p w14:paraId="6296DC3E"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2 516</w:t>
            </w:r>
          </w:p>
        </w:tc>
        <w:tc>
          <w:tcPr>
            <w:tcW w:w="515" w:type="pct"/>
            <w:noWrap/>
            <w:vAlign w:val="center"/>
            <w:hideMark/>
          </w:tcPr>
          <w:p w14:paraId="508C2C89"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2 468</w:t>
            </w:r>
          </w:p>
        </w:tc>
        <w:tc>
          <w:tcPr>
            <w:tcW w:w="515" w:type="pct"/>
            <w:noWrap/>
            <w:vAlign w:val="center"/>
            <w:hideMark/>
          </w:tcPr>
          <w:p w14:paraId="2C9560D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2 530</w:t>
            </w:r>
          </w:p>
        </w:tc>
        <w:tc>
          <w:tcPr>
            <w:tcW w:w="512" w:type="pct"/>
            <w:noWrap/>
            <w:vAlign w:val="center"/>
            <w:hideMark/>
          </w:tcPr>
          <w:p w14:paraId="79B095C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2 573</w:t>
            </w:r>
          </w:p>
        </w:tc>
      </w:tr>
      <w:tr w:rsidR="001534CB" w:rsidRPr="003278ED" w14:paraId="2E86091D" w14:textId="77777777" w:rsidTr="004C2B11">
        <w:trPr>
          <w:trHeight w:val="245"/>
        </w:trPr>
        <w:tc>
          <w:tcPr>
            <w:tcW w:w="1826" w:type="pct"/>
            <w:gridSpan w:val="2"/>
            <w:noWrap/>
            <w:vAlign w:val="bottom"/>
            <w:hideMark/>
          </w:tcPr>
          <w:p w14:paraId="6B9F685D" w14:textId="77777777" w:rsidR="001534CB" w:rsidRPr="003278ED" w:rsidRDefault="001534CB" w:rsidP="007D3A2B">
            <w:pPr>
              <w:spacing w:after="0" w:line="240" w:lineRule="auto"/>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Contribuții de asigurări sociale de stat</w:t>
            </w:r>
          </w:p>
        </w:tc>
        <w:tc>
          <w:tcPr>
            <w:tcW w:w="530" w:type="pct"/>
            <w:noWrap/>
            <w:vAlign w:val="center"/>
            <w:hideMark/>
          </w:tcPr>
          <w:p w14:paraId="5D73ABEC"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18 573</w:t>
            </w:r>
          </w:p>
        </w:tc>
        <w:tc>
          <w:tcPr>
            <w:tcW w:w="531" w:type="pct"/>
            <w:noWrap/>
            <w:vAlign w:val="center"/>
            <w:hideMark/>
          </w:tcPr>
          <w:p w14:paraId="39976B8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21 524</w:t>
            </w:r>
          </w:p>
        </w:tc>
        <w:tc>
          <w:tcPr>
            <w:tcW w:w="571" w:type="pct"/>
            <w:noWrap/>
            <w:vAlign w:val="center"/>
            <w:hideMark/>
          </w:tcPr>
          <w:p w14:paraId="0105F2D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23 714</w:t>
            </w:r>
          </w:p>
        </w:tc>
        <w:tc>
          <w:tcPr>
            <w:tcW w:w="515" w:type="pct"/>
            <w:noWrap/>
            <w:vAlign w:val="center"/>
            <w:hideMark/>
          </w:tcPr>
          <w:p w14:paraId="5C42DEAD"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26 483</w:t>
            </w:r>
          </w:p>
        </w:tc>
        <w:tc>
          <w:tcPr>
            <w:tcW w:w="515" w:type="pct"/>
            <w:noWrap/>
            <w:vAlign w:val="center"/>
            <w:hideMark/>
          </w:tcPr>
          <w:p w14:paraId="0C657D40"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29 055</w:t>
            </w:r>
          </w:p>
        </w:tc>
        <w:tc>
          <w:tcPr>
            <w:tcW w:w="512" w:type="pct"/>
            <w:noWrap/>
            <w:vAlign w:val="center"/>
            <w:hideMark/>
          </w:tcPr>
          <w:p w14:paraId="2C82BC7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31 787</w:t>
            </w:r>
          </w:p>
        </w:tc>
      </w:tr>
      <w:tr w:rsidR="001534CB" w:rsidRPr="003278ED" w14:paraId="5698FA1E" w14:textId="77777777" w:rsidTr="004C2B11">
        <w:trPr>
          <w:trHeight w:val="245"/>
        </w:trPr>
        <w:tc>
          <w:tcPr>
            <w:tcW w:w="1826" w:type="pct"/>
            <w:gridSpan w:val="2"/>
            <w:noWrap/>
            <w:vAlign w:val="bottom"/>
            <w:hideMark/>
          </w:tcPr>
          <w:p w14:paraId="6718611E" w14:textId="77777777" w:rsidR="001534CB" w:rsidRPr="003278ED" w:rsidRDefault="001534CB" w:rsidP="007D3A2B">
            <w:pPr>
              <w:spacing w:after="0" w:line="240" w:lineRule="auto"/>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Prime de asigurări obligatorii de asistență medicală</w:t>
            </w:r>
          </w:p>
        </w:tc>
        <w:tc>
          <w:tcPr>
            <w:tcW w:w="530" w:type="pct"/>
            <w:noWrap/>
            <w:vAlign w:val="center"/>
            <w:hideMark/>
          </w:tcPr>
          <w:p w14:paraId="2D52B5F5"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6 350</w:t>
            </w:r>
          </w:p>
        </w:tc>
        <w:tc>
          <w:tcPr>
            <w:tcW w:w="531" w:type="pct"/>
            <w:noWrap/>
            <w:vAlign w:val="center"/>
            <w:hideMark/>
          </w:tcPr>
          <w:p w14:paraId="591B4DB8"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7 498</w:t>
            </w:r>
          </w:p>
        </w:tc>
        <w:tc>
          <w:tcPr>
            <w:tcW w:w="571" w:type="pct"/>
            <w:noWrap/>
            <w:vAlign w:val="center"/>
            <w:hideMark/>
          </w:tcPr>
          <w:p w14:paraId="07818442"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8 232</w:t>
            </w:r>
          </w:p>
        </w:tc>
        <w:tc>
          <w:tcPr>
            <w:tcW w:w="515" w:type="pct"/>
            <w:noWrap/>
            <w:vAlign w:val="center"/>
            <w:hideMark/>
          </w:tcPr>
          <w:p w14:paraId="0EBB877C"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9 287</w:t>
            </w:r>
          </w:p>
        </w:tc>
        <w:tc>
          <w:tcPr>
            <w:tcW w:w="515" w:type="pct"/>
            <w:noWrap/>
            <w:vAlign w:val="center"/>
            <w:hideMark/>
          </w:tcPr>
          <w:p w14:paraId="4B4959AB"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10 171</w:t>
            </w:r>
          </w:p>
        </w:tc>
        <w:tc>
          <w:tcPr>
            <w:tcW w:w="512" w:type="pct"/>
            <w:noWrap/>
            <w:vAlign w:val="center"/>
            <w:hideMark/>
          </w:tcPr>
          <w:p w14:paraId="5801C2BF"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11 094</w:t>
            </w:r>
          </w:p>
        </w:tc>
      </w:tr>
      <w:tr w:rsidR="001534CB" w:rsidRPr="003278ED" w14:paraId="4804212C" w14:textId="77777777" w:rsidTr="004C2B11">
        <w:trPr>
          <w:trHeight w:val="245"/>
        </w:trPr>
        <w:tc>
          <w:tcPr>
            <w:tcW w:w="1826" w:type="pct"/>
            <w:gridSpan w:val="2"/>
            <w:noWrap/>
            <w:vAlign w:val="center"/>
            <w:hideMark/>
          </w:tcPr>
          <w:p w14:paraId="45C03DD8"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Alte venituri </w:t>
            </w:r>
          </w:p>
        </w:tc>
        <w:tc>
          <w:tcPr>
            <w:tcW w:w="530" w:type="pct"/>
            <w:noWrap/>
            <w:vAlign w:val="center"/>
            <w:hideMark/>
          </w:tcPr>
          <w:p w14:paraId="7B11655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4 519</w:t>
            </w:r>
          </w:p>
        </w:tc>
        <w:tc>
          <w:tcPr>
            <w:tcW w:w="531" w:type="pct"/>
            <w:noWrap/>
            <w:vAlign w:val="center"/>
            <w:hideMark/>
          </w:tcPr>
          <w:p w14:paraId="656A1E63"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4 924</w:t>
            </w:r>
          </w:p>
        </w:tc>
        <w:tc>
          <w:tcPr>
            <w:tcW w:w="571" w:type="pct"/>
            <w:noWrap/>
            <w:vAlign w:val="center"/>
            <w:hideMark/>
          </w:tcPr>
          <w:p w14:paraId="331C9D00" w14:textId="213481F0" w:rsidR="001534CB" w:rsidRPr="003278ED" w:rsidRDefault="004B74CC"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4</w:t>
            </w:r>
            <w:r w:rsidR="001534CB" w:rsidRPr="003278ED">
              <w:rPr>
                <w:rFonts w:ascii="Times New Roman" w:hAnsi="Times New Roman" w:cs="Times New Roman"/>
                <w:b/>
                <w:bCs/>
                <w:color w:val="000000"/>
                <w:sz w:val="16"/>
                <w:szCs w:val="16"/>
              </w:rPr>
              <w:t xml:space="preserve"> 796</w:t>
            </w:r>
          </w:p>
        </w:tc>
        <w:tc>
          <w:tcPr>
            <w:tcW w:w="515" w:type="pct"/>
            <w:noWrap/>
            <w:vAlign w:val="center"/>
            <w:hideMark/>
          </w:tcPr>
          <w:p w14:paraId="6BBFC517"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4 982</w:t>
            </w:r>
          </w:p>
        </w:tc>
        <w:tc>
          <w:tcPr>
            <w:tcW w:w="515" w:type="pct"/>
            <w:noWrap/>
            <w:vAlign w:val="center"/>
            <w:hideMark/>
          </w:tcPr>
          <w:p w14:paraId="36F8F71F"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5 239</w:t>
            </w:r>
          </w:p>
        </w:tc>
        <w:tc>
          <w:tcPr>
            <w:tcW w:w="512" w:type="pct"/>
            <w:noWrap/>
            <w:vAlign w:val="center"/>
            <w:hideMark/>
          </w:tcPr>
          <w:p w14:paraId="082D2C2B"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5 400</w:t>
            </w:r>
          </w:p>
        </w:tc>
      </w:tr>
      <w:tr w:rsidR="001534CB" w:rsidRPr="003278ED" w14:paraId="559E92F2" w14:textId="77777777" w:rsidTr="004C2B11">
        <w:trPr>
          <w:trHeight w:val="258"/>
        </w:trPr>
        <w:tc>
          <w:tcPr>
            <w:tcW w:w="1826" w:type="pct"/>
            <w:gridSpan w:val="2"/>
            <w:noWrap/>
            <w:vAlign w:val="center"/>
            <w:hideMark/>
          </w:tcPr>
          <w:p w14:paraId="61796D9F"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Granturi</w:t>
            </w:r>
          </w:p>
        </w:tc>
        <w:tc>
          <w:tcPr>
            <w:tcW w:w="530" w:type="pct"/>
            <w:noWrap/>
            <w:vAlign w:val="center"/>
            <w:hideMark/>
          </w:tcPr>
          <w:p w14:paraId="0A6F6866"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4 539</w:t>
            </w:r>
          </w:p>
        </w:tc>
        <w:tc>
          <w:tcPr>
            <w:tcW w:w="531" w:type="pct"/>
            <w:noWrap/>
            <w:vAlign w:val="center"/>
            <w:hideMark/>
          </w:tcPr>
          <w:p w14:paraId="6F04B94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5 347</w:t>
            </w:r>
          </w:p>
        </w:tc>
        <w:tc>
          <w:tcPr>
            <w:tcW w:w="571" w:type="pct"/>
            <w:noWrap/>
            <w:vAlign w:val="center"/>
            <w:hideMark/>
          </w:tcPr>
          <w:p w14:paraId="23453A7B"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2 475</w:t>
            </w:r>
          </w:p>
        </w:tc>
        <w:tc>
          <w:tcPr>
            <w:tcW w:w="515" w:type="pct"/>
            <w:noWrap/>
            <w:vAlign w:val="center"/>
            <w:hideMark/>
          </w:tcPr>
          <w:p w14:paraId="31E1380F"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1 431</w:t>
            </w:r>
          </w:p>
        </w:tc>
        <w:tc>
          <w:tcPr>
            <w:tcW w:w="515" w:type="pct"/>
            <w:noWrap/>
            <w:vAlign w:val="center"/>
            <w:hideMark/>
          </w:tcPr>
          <w:p w14:paraId="283053D8"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1 429</w:t>
            </w:r>
          </w:p>
        </w:tc>
        <w:tc>
          <w:tcPr>
            <w:tcW w:w="512" w:type="pct"/>
            <w:noWrap/>
            <w:vAlign w:val="center"/>
            <w:hideMark/>
          </w:tcPr>
          <w:p w14:paraId="610D4861"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1 101</w:t>
            </w:r>
          </w:p>
        </w:tc>
      </w:tr>
      <w:tr w:rsidR="001534CB" w:rsidRPr="003278ED" w14:paraId="55313BD8" w14:textId="77777777" w:rsidTr="004C2B11">
        <w:trPr>
          <w:trHeight w:val="258"/>
        </w:trPr>
        <w:tc>
          <w:tcPr>
            <w:tcW w:w="429" w:type="pct"/>
            <w:noWrap/>
            <w:vAlign w:val="center"/>
            <w:hideMark/>
          </w:tcPr>
          <w:p w14:paraId="3F78225C" w14:textId="77777777" w:rsidR="001534CB" w:rsidRPr="003278ED" w:rsidRDefault="001534CB"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w:t>
            </w:r>
          </w:p>
        </w:tc>
        <w:tc>
          <w:tcPr>
            <w:tcW w:w="1397" w:type="pct"/>
            <w:noWrap/>
            <w:vAlign w:val="center"/>
            <w:hideMark/>
          </w:tcPr>
          <w:p w14:paraId="7ECAF218" w14:textId="77777777" w:rsidR="001534CB" w:rsidRPr="003278ED" w:rsidRDefault="001534CB"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w:t>
            </w:r>
          </w:p>
        </w:tc>
        <w:tc>
          <w:tcPr>
            <w:tcW w:w="3174" w:type="pct"/>
            <w:gridSpan w:val="6"/>
            <w:noWrap/>
            <w:vAlign w:val="center"/>
            <w:hideMark/>
          </w:tcPr>
          <w:p w14:paraId="4AB67848" w14:textId="77777777" w:rsidR="001534CB" w:rsidRPr="003278ED" w:rsidRDefault="001534CB" w:rsidP="007D3A2B">
            <w:pPr>
              <w:spacing w:after="0" w:line="240" w:lineRule="auto"/>
              <w:jc w:val="center"/>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 din PIB</w:t>
            </w:r>
          </w:p>
        </w:tc>
      </w:tr>
      <w:tr w:rsidR="001534CB" w:rsidRPr="003278ED" w14:paraId="25CF8AF1" w14:textId="77777777" w:rsidTr="004C2B11">
        <w:trPr>
          <w:trHeight w:val="245"/>
        </w:trPr>
        <w:tc>
          <w:tcPr>
            <w:tcW w:w="1826" w:type="pct"/>
            <w:gridSpan w:val="2"/>
            <w:noWrap/>
            <w:vAlign w:val="center"/>
            <w:hideMark/>
          </w:tcPr>
          <w:p w14:paraId="5CD1B791"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Total venituri și granturi</w:t>
            </w:r>
          </w:p>
        </w:tc>
        <w:tc>
          <w:tcPr>
            <w:tcW w:w="530" w:type="pct"/>
            <w:noWrap/>
            <w:vAlign w:val="center"/>
            <w:hideMark/>
          </w:tcPr>
          <w:p w14:paraId="747C174E"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33,3%</w:t>
            </w:r>
          </w:p>
        </w:tc>
        <w:tc>
          <w:tcPr>
            <w:tcW w:w="531" w:type="pct"/>
            <w:noWrap/>
            <w:vAlign w:val="center"/>
            <w:hideMark/>
          </w:tcPr>
          <w:p w14:paraId="5796FF2D"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34,1%</w:t>
            </w:r>
          </w:p>
        </w:tc>
        <w:tc>
          <w:tcPr>
            <w:tcW w:w="571" w:type="pct"/>
            <w:noWrap/>
            <w:vAlign w:val="center"/>
            <w:hideMark/>
          </w:tcPr>
          <w:p w14:paraId="56C8344B"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31,3%</w:t>
            </w:r>
          </w:p>
        </w:tc>
        <w:tc>
          <w:tcPr>
            <w:tcW w:w="515" w:type="pct"/>
            <w:noWrap/>
            <w:vAlign w:val="center"/>
            <w:hideMark/>
          </w:tcPr>
          <w:p w14:paraId="598AFE02"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32,3%</w:t>
            </w:r>
          </w:p>
        </w:tc>
        <w:tc>
          <w:tcPr>
            <w:tcW w:w="515" w:type="pct"/>
            <w:noWrap/>
            <w:vAlign w:val="center"/>
            <w:hideMark/>
          </w:tcPr>
          <w:p w14:paraId="443F679F"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31,7%</w:t>
            </w:r>
          </w:p>
        </w:tc>
        <w:tc>
          <w:tcPr>
            <w:tcW w:w="512" w:type="pct"/>
            <w:noWrap/>
            <w:vAlign w:val="center"/>
            <w:hideMark/>
          </w:tcPr>
          <w:p w14:paraId="4F7710E2"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31,7%</w:t>
            </w:r>
          </w:p>
        </w:tc>
      </w:tr>
      <w:tr w:rsidR="001534CB" w:rsidRPr="003278ED" w14:paraId="108F82E8" w14:textId="77777777" w:rsidTr="004C2B11">
        <w:trPr>
          <w:trHeight w:val="245"/>
        </w:trPr>
        <w:tc>
          <w:tcPr>
            <w:tcW w:w="1826" w:type="pct"/>
            <w:gridSpan w:val="2"/>
            <w:noWrap/>
            <w:vAlign w:val="center"/>
            <w:hideMark/>
          </w:tcPr>
          <w:p w14:paraId="2611F50D"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Impozite și taxe</w:t>
            </w:r>
          </w:p>
        </w:tc>
        <w:tc>
          <w:tcPr>
            <w:tcW w:w="530" w:type="pct"/>
            <w:noWrap/>
            <w:vAlign w:val="center"/>
            <w:hideMark/>
          </w:tcPr>
          <w:p w14:paraId="19F2C1B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21,0%</w:t>
            </w:r>
          </w:p>
        </w:tc>
        <w:tc>
          <w:tcPr>
            <w:tcW w:w="531" w:type="pct"/>
            <w:noWrap/>
            <w:vAlign w:val="center"/>
            <w:hideMark/>
          </w:tcPr>
          <w:p w14:paraId="10FEB36C"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21,0%</w:t>
            </w:r>
          </w:p>
        </w:tc>
        <w:tc>
          <w:tcPr>
            <w:tcW w:w="571" w:type="pct"/>
            <w:noWrap/>
            <w:vAlign w:val="center"/>
            <w:hideMark/>
          </w:tcPr>
          <w:p w14:paraId="1635E837"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19,9%</w:t>
            </w:r>
          </w:p>
        </w:tc>
        <w:tc>
          <w:tcPr>
            <w:tcW w:w="515" w:type="pct"/>
            <w:noWrap/>
            <w:vAlign w:val="center"/>
            <w:hideMark/>
          </w:tcPr>
          <w:p w14:paraId="2D1A3F61"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20,5%</w:t>
            </w:r>
          </w:p>
        </w:tc>
        <w:tc>
          <w:tcPr>
            <w:tcW w:w="515" w:type="pct"/>
            <w:noWrap/>
            <w:vAlign w:val="center"/>
            <w:hideMark/>
          </w:tcPr>
          <w:p w14:paraId="62FE24F5"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20,0%</w:t>
            </w:r>
          </w:p>
        </w:tc>
        <w:tc>
          <w:tcPr>
            <w:tcW w:w="512" w:type="pct"/>
            <w:noWrap/>
            <w:vAlign w:val="center"/>
            <w:hideMark/>
          </w:tcPr>
          <w:p w14:paraId="4ADCB819"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w:t>
            </w:r>
          </w:p>
        </w:tc>
      </w:tr>
      <w:tr w:rsidR="001534CB" w:rsidRPr="003278ED" w14:paraId="6E842470" w14:textId="77777777" w:rsidTr="004C2B11">
        <w:trPr>
          <w:trHeight w:val="245"/>
        </w:trPr>
        <w:tc>
          <w:tcPr>
            <w:tcW w:w="429" w:type="pct"/>
            <w:noWrap/>
            <w:vAlign w:val="bottom"/>
            <w:hideMark/>
          </w:tcPr>
          <w:p w14:paraId="6C9DC05E" w14:textId="77777777" w:rsidR="001534CB" w:rsidRPr="003278ED" w:rsidRDefault="001534CB" w:rsidP="007D3A2B">
            <w:pPr>
              <w:spacing w:after="0" w:line="240" w:lineRule="auto"/>
              <w:rPr>
                <w:rFonts w:ascii="Times New Roman" w:hAnsi="Times New Roman" w:cs="Times New Roman"/>
                <w:b/>
                <w:bCs/>
                <w:color w:val="000000"/>
                <w:sz w:val="16"/>
                <w:szCs w:val="16"/>
              </w:rPr>
            </w:pPr>
          </w:p>
        </w:tc>
        <w:tc>
          <w:tcPr>
            <w:tcW w:w="1397" w:type="pct"/>
            <w:noWrap/>
            <w:vAlign w:val="center"/>
            <w:hideMark/>
          </w:tcPr>
          <w:p w14:paraId="7AE9B7ED"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 pe venitul persoanelor fizice</w:t>
            </w:r>
          </w:p>
        </w:tc>
        <w:tc>
          <w:tcPr>
            <w:tcW w:w="530" w:type="pct"/>
            <w:noWrap/>
            <w:vAlign w:val="center"/>
            <w:hideMark/>
          </w:tcPr>
          <w:p w14:paraId="734200F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2,2%</w:t>
            </w:r>
          </w:p>
        </w:tc>
        <w:tc>
          <w:tcPr>
            <w:tcW w:w="531" w:type="pct"/>
            <w:noWrap/>
            <w:vAlign w:val="center"/>
            <w:hideMark/>
          </w:tcPr>
          <w:p w14:paraId="462B3BE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2,4%</w:t>
            </w:r>
          </w:p>
        </w:tc>
        <w:tc>
          <w:tcPr>
            <w:tcW w:w="571" w:type="pct"/>
            <w:noWrap/>
            <w:vAlign w:val="center"/>
            <w:hideMark/>
          </w:tcPr>
          <w:p w14:paraId="03A4D2E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2,3%</w:t>
            </w:r>
          </w:p>
        </w:tc>
        <w:tc>
          <w:tcPr>
            <w:tcW w:w="515" w:type="pct"/>
            <w:noWrap/>
            <w:vAlign w:val="center"/>
            <w:hideMark/>
          </w:tcPr>
          <w:p w14:paraId="653A8E53"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2,5%</w:t>
            </w:r>
          </w:p>
        </w:tc>
        <w:tc>
          <w:tcPr>
            <w:tcW w:w="515" w:type="pct"/>
            <w:noWrap/>
            <w:vAlign w:val="center"/>
            <w:hideMark/>
          </w:tcPr>
          <w:p w14:paraId="1272F3C7"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2,5%</w:t>
            </w:r>
          </w:p>
        </w:tc>
        <w:tc>
          <w:tcPr>
            <w:tcW w:w="512" w:type="pct"/>
            <w:noWrap/>
            <w:vAlign w:val="center"/>
            <w:hideMark/>
          </w:tcPr>
          <w:p w14:paraId="5EFEC2CD"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2,5%</w:t>
            </w:r>
          </w:p>
        </w:tc>
      </w:tr>
      <w:tr w:rsidR="001534CB" w:rsidRPr="003278ED" w14:paraId="39CF08D2" w14:textId="77777777" w:rsidTr="004C2B11">
        <w:trPr>
          <w:trHeight w:val="245"/>
        </w:trPr>
        <w:tc>
          <w:tcPr>
            <w:tcW w:w="429" w:type="pct"/>
            <w:noWrap/>
            <w:vAlign w:val="bottom"/>
            <w:hideMark/>
          </w:tcPr>
          <w:p w14:paraId="5E76C117"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0CDA787C"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 pe venitul persoanelor juridice</w:t>
            </w:r>
          </w:p>
        </w:tc>
        <w:tc>
          <w:tcPr>
            <w:tcW w:w="530" w:type="pct"/>
            <w:noWrap/>
            <w:vAlign w:val="center"/>
            <w:hideMark/>
          </w:tcPr>
          <w:p w14:paraId="344CDA74"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3,2%</w:t>
            </w:r>
          </w:p>
        </w:tc>
        <w:tc>
          <w:tcPr>
            <w:tcW w:w="531" w:type="pct"/>
            <w:noWrap/>
            <w:vAlign w:val="center"/>
            <w:hideMark/>
          </w:tcPr>
          <w:p w14:paraId="036570D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3,1%</w:t>
            </w:r>
          </w:p>
        </w:tc>
        <w:tc>
          <w:tcPr>
            <w:tcW w:w="571" w:type="pct"/>
            <w:noWrap/>
            <w:vAlign w:val="center"/>
            <w:hideMark/>
          </w:tcPr>
          <w:p w14:paraId="65A642F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2,8%</w:t>
            </w:r>
          </w:p>
        </w:tc>
        <w:tc>
          <w:tcPr>
            <w:tcW w:w="515" w:type="pct"/>
            <w:noWrap/>
            <w:vAlign w:val="center"/>
            <w:hideMark/>
          </w:tcPr>
          <w:p w14:paraId="3662EDC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2,7%</w:t>
            </w:r>
          </w:p>
        </w:tc>
        <w:tc>
          <w:tcPr>
            <w:tcW w:w="515" w:type="pct"/>
            <w:noWrap/>
            <w:vAlign w:val="center"/>
            <w:hideMark/>
          </w:tcPr>
          <w:p w14:paraId="0C49613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2,7%</w:t>
            </w:r>
          </w:p>
        </w:tc>
        <w:tc>
          <w:tcPr>
            <w:tcW w:w="512" w:type="pct"/>
            <w:noWrap/>
            <w:vAlign w:val="center"/>
            <w:hideMark/>
          </w:tcPr>
          <w:p w14:paraId="76230DA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2,9%</w:t>
            </w:r>
          </w:p>
        </w:tc>
      </w:tr>
      <w:tr w:rsidR="001534CB" w:rsidRPr="003278ED" w14:paraId="601A2F14" w14:textId="77777777" w:rsidTr="004C2B11">
        <w:trPr>
          <w:trHeight w:val="259"/>
        </w:trPr>
        <w:tc>
          <w:tcPr>
            <w:tcW w:w="429" w:type="pct"/>
            <w:noWrap/>
            <w:vAlign w:val="bottom"/>
            <w:hideMark/>
          </w:tcPr>
          <w:p w14:paraId="56923BA0"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43065313"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TVA</w:t>
            </w:r>
          </w:p>
        </w:tc>
        <w:tc>
          <w:tcPr>
            <w:tcW w:w="530" w:type="pct"/>
            <w:noWrap/>
            <w:vAlign w:val="center"/>
            <w:hideMark/>
          </w:tcPr>
          <w:p w14:paraId="64ADD39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10,6%</w:t>
            </w:r>
          </w:p>
        </w:tc>
        <w:tc>
          <w:tcPr>
            <w:tcW w:w="531" w:type="pct"/>
            <w:noWrap/>
            <w:vAlign w:val="center"/>
            <w:hideMark/>
          </w:tcPr>
          <w:p w14:paraId="7B9B6A4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10,1%</w:t>
            </w:r>
          </w:p>
        </w:tc>
        <w:tc>
          <w:tcPr>
            <w:tcW w:w="571" w:type="pct"/>
            <w:noWrap/>
            <w:vAlign w:val="center"/>
            <w:hideMark/>
          </w:tcPr>
          <w:p w14:paraId="1449DE0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10,0%</w:t>
            </w:r>
          </w:p>
        </w:tc>
        <w:tc>
          <w:tcPr>
            <w:tcW w:w="515" w:type="pct"/>
            <w:noWrap/>
            <w:vAlign w:val="center"/>
            <w:hideMark/>
          </w:tcPr>
          <w:p w14:paraId="70D73BC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10,3%</w:t>
            </w:r>
          </w:p>
        </w:tc>
        <w:tc>
          <w:tcPr>
            <w:tcW w:w="515" w:type="pct"/>
            <w:noWrap/>
            <w:vAlign w:val="center"/>
            <w:hideMark/>
          </w:tcPr>
          <w:p w14:paraId="0C1C686E"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10,4%</w:t>
            </w:r>
          </w:p>
        </w:tc>
        <w:tc>
          <w:tcPr>
            <w:tcW w:w="512" w:type="pct"/>
            <w:noWrap/>
            <w:vAlign w:val="center"/>
            <w:hideMark/>
          </w:tcPr>
          <w:p w14:paraId="38DF0D9E"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10,4%</w:t>
            </w:r>
          </w:p>
        </w:tc>
      </w:tr>
      <w:tr w:rsidR="001534CB" w:rsidRPr="003278ED" w14:paraId="22D50198" w14:textId="77777777" w:rsidTr="004C2B11">
        <w:trPr>
          <w:trHeight w:val="245"/>
        </w:trPr>
        <w:tc>
          <w:tcPr>
            <w:tcW w:w="429" w:type="pct"/>
            <w:noWrap/>
            <w:vAlign w:val="bottom"/>
            <w:hideMark/>
          </w:tcPr>
          <w:p w14:paraId="678CF372"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25644CCF"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Accize</w:t>
            </w:r>
          </w:p>
        </w:tc>
        <w:tc>
          <w:tcPr>
            <w:tcW w:w="530" w:type="pct"/>
            <w:noWrap/>
            <w:vAlign w:val="center"/>
            <w:hideMark/>
          </w:tcPr>
          <w:p w14:paraId="13E3665C"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2,9%</w:t>
            </w:r>
          </w:p>
        </w:tc>
        <w:tc>
          <w:tcPr>
            <w:tcW w:w="531" w:type="pct"/>
            <w:noWrap/>
            <w:vAlign w:val="center"/>
            <w:hideMark/>
          </w:tcPr>
          <w:p w14:paraId="15DAA40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3,4%</w:t>
            </w:r>
          </w:p>
        </w:tc>
        <w:tc>
          <w:tcPr>
            <w:tcW w:w="571" w:type="pct"/>
            <w:noWrap/>
            <w:vAlign w:val="center"/>
            <w:hideMark/>
          </w:tcPr>
          <w:p w14:paraId="7FD25FE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3,1%</w:t>
            </w:r>
          </w:p>
        </w:tc>
        <w:tc>
          <w:tcPr>
            <w:tcW w:w="515" w:type="pct"/>
            <w:noWrap/>
            <w:vAlign w:val="center"/>
            <w:hideMark/>
          </w:tcPr>
          <w:p w14:paraId="44B5FAD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3,4%</w:t>
            </w:r>
          </w:p>
        </w:tc>
        <w:tc>
          <w:tcPr>
            <w:tcW w:w="515" w:type="pct"/>
            <w:noWrap/>
            <w:vAlign w:val="center"/>
            <w:hideMark/>
          </w:tcPr>
          <w:p w14:paraId="14649606"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2,7%</w:t>
            </w:r>
          </w:p>
        </w:tc>
        <w:tc>
          <w:tcPr>
            <w:tcW w:w="512" w:type="pct"/>
            <w:noWrap/>
            <w:vAlign w:val="center"/>
            <w:hideMark/>
          </w:tcPr>
          <w:p w14:paraId="71DC1315"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2,8%</w:t>
            </w:r>
          </w:p>
        </w:tc>
      </w:tr>
      <w:tr w:rsidR="001534CB" w:rsidRPr="003278ED" w14:paraId="5F3E2750" w14:textId="77777777" w:rsidTr="004C2B11">
        <w:trPr>
          <w:trHeight w:val="245"/>
        </w:trPr>
        <w:tc>
          <w:tcPr>
            <w:tcW w:w="429" w:type="pct"/>
            <w:noWrap/>
            <w:vAlign w:val="bottom"/>
            <w:hideMark/>
          </w:tcPr>
          <w:p w14:paraId="60AAEC86"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1840B563"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Taxe asupra comerțului exterior</w:t>
            </w:r>
          </w:p>
        </w:tc>
        <w:tc>
          <w:tcPr>
            <w:tcW w:w="530" w:type="pct"/>
            <w:noWrap/>
            <w:vAlign w:val="center"/>
            <w:hideMark/>
          </w:tcPr>
          <w:p w14:paraId="057B4F3D"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1,0%</w:t>
            </w:r>
          </w:p>
        </w:tc>
        <w:tc>
          <w:tcPr>
            <w:tcW w:w="531" w:type="pct"/>
            <w:noWrap/>
            <w:vAlign w:val="center"/>
            <w:hideMark/>
          </w:tcPr>
          <w:p w14:paraId="669B9A7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0,9%</w:t>
            </w:r>
          </w:p>
        </w:tc>
        <w:tc>
          <w:tcPr>
            <w:tcW w:w="571" w:type="pct"/>
            <w:noWrap/>
            <w:vAlign w:val="center"/>
            <w:hideMark/>
          </w:tcPr>
          <w:p w14:paraId="7A80E59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0,7%</w:t>
            </w:r>
          </w:p>
        </w:tc>
        <w:tc>
          <w:tcPr>
            <w:tcW w:w="515" w:type="pct"/>
            <w:noWrap/>
            <w:vAlign w:val="center"/>
            <w:hideMark/>
          </w:tcPr>
          <w:p w14:paraId="3DF504C9"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515" w:type="pct"/>
            <w:noWrap/>
            <w:vAlign w:val="center"/>
            <w:hideMark/>
          </w:tcPr>
          <w:p w14:paraId="7BC5639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512" w:type="pct"/>
            <w:noWrap/>
            <w:vAlign w:val="center"/>
            <w:hideMark/>
          </w:tcPr>
          <w:p w14:paraId="5E8995A1"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r>
      <w:tr w:rsidR="001534CB" w:rsidRPr="003278ED" w14:paraId="1C281B90" w14:textId="77777777" w:rsidTr="004C2B11">
        <w:trPr>
          <w:trHeight w:val="245"/>
        </w:trPr>
        <w:tc>
          <w:tcPr>
            <w:tcW w:w="429" w:type="pct"/>
            <w:noWrap/>
            <w:vAlign w:val="bottom"/>
            <w:hideMark/>
          </w:tcPr>
          <w:p w14:paraId="6E77227E" w14:textId="77777777" w:rsidR="001534CB" w:rsidRPr="003278ED" w:rsidRDefault="001534CB" w:rsidP="007D3A2B">
            <w:pPr>
              <w:spacing w:after="0" w:line="240" w:lineRule="auto"/>
              <w:rPr>
                <w:rFonts w:ascii="Times New Roman" w:hAnsi="Times New Roman" w:cs="Times New Roman"/>
                <w:color w:val="000000"/>
                <w:sz w:val="16"/>
                <w:szCs w:val="16"/>
              </w:rPr>
            </w:pPr>
          </w:p>
        </w:tc>
        <w:tc>
          <w:tcPr>
            <w:tcW w:w="1397" w:type="pct"/>
            <w:noWrap/>
            <w:vAlign w:val="center"/>
            <w:hideMark/>
          </w:tcPr>
          <w:p w14:paraId="6B733455" w14:textId="77777777" w:rsidR="001534CB" w:rsidRPr="003278ED" w:rsidRDefault="001534CB" w:rsidP="007D3A2B">
            <w:pPr>
              <w:spacing w:after="0" w:line="240" w:lineRule="auto"/>
              <w:rPr>
                <w:rFonts w:ascii="Times New Roman" w:eastAsia="Times New Roman" w:hAnsi="Times New Roman" w:cs="Times New Roman"/>
                <w:color w:val="000000"/>
                <w:sz w:val="16"/>
                <w:szCs w:val="16"/>
              </w:rPr>
            </w:pPr>
            <w:r w:rsidRPr="003278ED">
              <w:rPr>
                <w:rFonts w:ascii="Times New Roman" w:hAnsi="Times New Roman" w:cs="Times New Roman"/>
                <w:color w:val="000000"/>
                <w:sz w:val="16"/>
                <w:szCs w:val="16"/>
              </w:rPr>
              <w:t>Impozite pe proprietate</w:t>
            </w:r>
          </w:p>
        </w:tc>
        <w:tc>
          <w:tcPr>
            <w:tcW w:w="530" w:type="pct"/>
            <w:noWrap/>
            <w:vAlign w:val="center"/>
            <w:hideMark/>
          </w:tcPr>
          <w:p w14:paraId="3DAB84C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0,3%</w:t>
            </w:r>
          </w:p>
        </w:tc>
        <w:tc>
          <w:tcPr>
            <w:tcW w:w="531" w:type="pct"/>
            <w:noWrap/>
            <w:vAlign w:val="center"/>
            <w:hideMark/>
          </w:tcPr>
          <w:p w14:paraId="7810E542"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0,3%</w:t>
            </w:r>
          </w:p>
        </w:tc>
        <w:tc>
          <w:tcPr>
            <w:tcW w:w="571" w:type="pct"/>
            <w:noWrap/>
            <w:vAlign w:val="center"/>
            <w:hideMark/>
          </w:tcPr>
          <w:p w14:paraId="3B380C9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515" w:type="pct"/>
            <w:noWrap/>
            <w:vAlign w:val="center"/>
            <w:hideMark/>
          </w:tcPr>
          <w:p w14:paraId="7046C641"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515" w:type="pct"/>
            <w:noWrap/>
            <w:vAlign w:val="center"/>
            <w:hideMark/>
          </w:tcPr>
          <w:p w14:paraId="66309290"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512" w:type="pct"/>
            <w:noWrap/>
            <w:vAlign w:val="center"/>
            <w:hideMark/>
          </w:tcPr>
          <w:p w14:paraId="70738E54"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r>
      <w:tr w:rsidR="001534CB" w:rsidRPr="003278ED" w14:paraId="534D4D3F" w14:textId="77777777" w:rsidTr="004C2B11">
        <w:trPr>
          <w:trHeight w:val="245"/>
        </w:trPr>
        <w:tc>
          <w:tcPr>
            <w:tcW w:w="429" w:type="pct"/>
            <w:noWrap/>
            <w:vAlign w:val="bottom"/>
          </w:tcPr>
          <w:p w14:paraId="49B61E48" w14:textId="77777777" w:rsidR="001534CB" w:rsidRPr="003278ED" w:rsidRDefault="001534CB" w:rsidP="007D3A2B">
            <w:pPr>
              <w:spacing w:after="0" w:line="240" w:lineRule="auto"/>
              <w:jc w:val="right"/>
              <w:rPr>
                <w:rFonts w:ascii="Times New Roman" w:hAnsi="Times New Roman" w:cs="Times New Roman"/>
                <w:color w:val="000000"/>
                <w:sz w:val="16"/>
                <w:szCs w:val="16"/>
              </w:rPr>
            </w:pPr>
          </w:p>
        </w:tc>
        <w:tc>
          <w:tcPr>
            <w:tcW w:w="1397" w:type="pct"/>
            <w:noWrap/>
            <w:vAlign w:val="center"/>
            <w:hideMark/>
          </w:tcPr>
          <w:p w14:paraId="6AB4881F" w14:textId="77777777" w:rsidR="001534CB" w:rsidRPr="003278ED" w:rsidRDefault="001534CB"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Alte impozite și taxe</w:t>
            </w:r>
          </w:p>
        </w:tc>
        <w:tc>
          <w:tcPr>
            <w:tcW w:w="530" w:type="pct"/>
            <w:noWrap/>
            <w:vAlign w:val="center"/>
            <w:hideMark/>
          </w:tcPr>
          <w:p w14:paraId="2AD6F08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531" w:type="pct"/>
            <w:noWrap/>
            <w:vAlign w:val="center"/>
            <w:hideMark/>
          </w:tcPr>
          <w:p w14:paraId="12D6D1D3"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571" w:type="pct"/>
            <w:noWrap/>
            <w:vAlign w:val="center"/>
            <w:hideMark/>
          </w:tcPr>
          <w:p w14:paraId="563C5083"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0,7%</w:t>
            </w:r>
          </w:p>
        </w:tc>
        <w:tc>
          <w:tcPr>
            <w:tcW w:w="515" w:type="pct"/>
            <w:noWrap/>
            <w:vAlign w:val="center"/>
            <w:hideMark/>
          </w:tcPr>
          <w:p w14:paraId="62E988A8"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0,7%</w:t>
            </w:r>
          </w:p>
        </w:tc>
        <w:tc>
          <w:tcPr>
            <w:tcW w:w="515" w:type="pct"/>
            <w:noWrap/>
            <w:vAlign w:val="center"/>
            <w:hideMark/>
          </w:tcPr>
          <w:p w14:paraId="342C716B"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0,6%</w:t>
            </w:r>
          </w:p>
        </w:tc>
        <w:tc>
          <w:tcPr>
            <w:tcW w:w="512" w:type="pct"/>
            <w:noWrap/>
            <w:vAlign w:val="center"/>
            <w:hideMark/>
          </w:tcPr>
          <w:p w14:paraId="2807EE4A" w14:textId="77777777" w:rsidR="001534CB" w:rsidRPr="003278ED" w:rsidRDefault="001534C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0,6%</w:t>
            </w:r>
          </w:p>
        </w:tc>
      </w:tr>
      <w:tr w:rsidR="001534CB" w:rsidRPr="003278ED" w14:paraId="62572361" w14:textId="77777777" w:rsidTr="004C2B11">
        <w:trPr>
          <w:trHeight w:val="245"/>
        </w:trPr>
        <w:tc>
          <w:tcPr>
            <w:tcW w:w="1826" w:type="pct"/>
            <w:gridSpan w:val="2"/>
            <w:noWrap/>
            <w:vAlign w:val="bottom"/>
            <w:hideMark/>
          </w:tcPr>
          <w:p w14:paraId="579944D9" w14:textId="77777777" w:rsidR="001534CB" w:rsidRPr="003278ED" w:rsidRDefault="001534CB" w:rsidP="007D3A2B">
            <w:pPr>
              <w:spacing w:after="0" w:line="240" w:lineRule="auto"/>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Contribuții de asigurări sociale de stat</w:t>
            </w:r>
          </w:p>
        </w:tc>
        <w:tc>
          <w:tcPr>
            <w:tcW w:w="530" w:type="pct"/>
            <w:noWrap/>
            <w:vAlign w:val="center"/>
            <w:hideMark/>
          </w:tcPr>
          <w:p w14:paraId="2DF3264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6,8%</w:t>
            </w:r>
          </w:p>
        </w:tc>
        <w:tc>
          <w:tcPr>
            <w:tcW w:w="531" w:type="pct"/>
            <w:noWrap/>
            <w:vAlign w:val="center"/>
            <w:hideMark/>
          </w:tcPr>
          <w:p w14:paraId="64114045"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7,2%</w:t>
            </w:r>
          </w:p>
        </w:tc>
        <w:tc>
          <w:tcPr>
            <w:tcW w:w="571" w:type="pct"/>
            <w:noWrap/>
            <w:vAlign w:val="center"/>
            <w:hideMark/>
          </w:tcPr>
          <w:p w14:paraId="04DB9147"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6,9%</w:t>
            </w:r>
          </w:p>
        </w:tc>
        <w:tc>
          <w:tcPr>
            <w:tcW w:w="515" w:type="pct"/>
            <w:noWrap/>
            <w:vAlign w:val="center"/>
            <w:hideMark/>
          </w:tcPr>
          <w:p w14:paraId="76610E15"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7,4%</w:t>
            </w:r>
          </w:p>
        </w:tc>
        <w:tc>
          <w:tcPr>
            <w:tcW w:w="515" w:type="pct"/>
            <w:noWrap/>
            <w:vAlign w:val="center"/>
            <w:hideMark/>
          </w:tcPr>
          <w:p w14:paraId="04662BCD"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7,4%</w:t>
            </w:r>
          </w:p>
        </w:tc>
        <w:tc>
          <w:tcPr>
            <w:tcW w:w="512" w:type="pct"/>
            <w:noWrap/>
            <w:vAlign w:val="center"/>
            <w:hideMark/>
          </w:tcPr>
          <w:p w14:paraId="5EAB07CD"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7,4%</w:t>
            </w:r>
          </w:p>
        </w:tc>
      </w:tr>
      <w:tr w:rsidR="001534CB" w:rsidRPr="003278ED" w14:paraId="5DC4696F" w14:textId="77777777" w:rsidTr="004C2B11">
        <w:trPr>
          <w:trHeight w:val="245"/>
        </w:trPr>
        <w:tc>
          <w:tcPr>
            <w:tcW w:w="1826" w:type="pct"/>
            <w:gridSpan w:val="2"/>
            <w:noWrap/>
            <w:vAlign w:val="bottom"/>
            <w:hideMark/>
          </w:tcPr>
          <w:p w14:paraId="43F52D42" w14:textId="77777777" w:rsidR="001534CB" w:rsidRPr="003278ED" w:rsidRDefault="001534CB" w:rsidP="007D3A2B">
            <w:pPr>
              <w:spacing w:after="0" w:line="240" w:lineRule="auto"/>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Prime de asigurări obligatorii de asistență medicală</w:t>
            </w:r>
          </w:p>
        </w:tc>
        <w:tc>
          <w:tcPr>
            <w:tcW w:w="530" w:type="pct"/>
            <w:noWrap/>
            <w:vAlign w:val="center"/>
            <w:hideMark/>
          </w:tcPr>
          <w:p w14:paraId="2FD621D5"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2,3%</w:t>
            </w:r>
          </w:p>
        </w:tc>
        <w:tc>
          <w:tcPr>
            <w:tcW w:w="531" w:type="pct"/>
            <w:noWrap/>
            <w:vAlign w:val="center"/>
            <w:hideMark/>
          </w:tcPr>
          <w:p w14:paraId="44DCAE96"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2,5%</w:t>
            </w:r>
          </w:p>
        </w:tc>
        <w:tc>
          <w:tcPr>
            <w:tcW w:w="571" w:type="pct"/>
            <w:noWrap/>
            <w:vAlign w:val="center"/>
            <w:hideMark/>
          </w:tcPr>
          <w:p w14:paraId="612291E6"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2,4%</w:t>
            </w:r>
          </w:p>
        </w:tc>
        <w:tc>
          <w:tcPr>
            <w:tcW w:w="515" w:type="pct"/>
            <w:noWrap/>
            <w:vAlign w:val="center"/>
            <w:hideMark/>
          </w:tcPr>
          <w:p w14:paraId="0644037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2,6%</w:t>
            </w:r>
          </w:p>
        </w:tc>
        <w:tc>
          <w:tcPr>
            <w:tcW w:w="515" w:type="pct"/>
            <w:noWrap/>
            <w:vAlign w:val="center"/>
            <w:hideMark/>
          </w:tcPr>
          <w:p w14:paraId="7A46B191"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2,6%</w:t>
            </w:r>
          </w:p>
        </w:tc>
        <w:tc>
          <w:tcPr>
            <w:tcW w:w="512" w:type="pct"/>
            <w:noWrap/>
            <w:vAlign w:val="center"/>
            <w:hideMark/>
          </w:tcPr>
          <w:p w14:paraId="0516FBBE" w14:textId="77777777" w:rsidR="001534CB" w:rsidRPr="003278ED" w:rsidRDefault="001534CB" w:rsidP="007D3A2B">
            <w:pPr>
              <w:spacing w:after="0" w:line="240" w:lineRule="auto"/>
              <w:jc w:val="right"/>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2,6%</w:t>
            </w:r>
          </w:p>
        </w:tc>
      </w:tr>
      <w:tr w:rsidR="001534CB" w:rsidRPr="003278ED" w14:paraId="16BB4653" w14:textId="77777777" w:rsidTr="004C2B11">
        <w:trPr>
          <w:trHeight w:val="245"/>
        </w:trPr>
        <w:tc>
          <w:tcPr>
            <w:tcW w:w="1826" w:type="pct"/>
            <w:gridSpan w:val="2"/>
            <w:noWrap/>
            <w:vAlign w:val="center"/>
            <w:hideMark/>
          </w:tcPr>
          <w:p w14:paraId="530DB71E"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Alte venituri </w:t>
            </w:r>
          </w:p>
        </w:tc>
        <w:tc>
          <w:tcPr>
            <w:tcW w:w="530" w:type="pct"/>
            <w:noWrap/>
            <w:vAlign w:val="center"/>
            <w:hideMark/>
          </w:tcPr>
          <w:p w14:paraId="5036D409"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1,6%</w:t>
            </w:r>
          </w:p>
        </w:tc>
        <w:tc>
          <w:tcPr>
            <w:tcW w:w="531" w:type="pct"/>
            <w:noWrap/>
            <w:vAlign w:val="center"/>
            <w:hideMark/>
          </w:tcPr>
          <w:p w14:paraId="62714AD0"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1,6%</w:t>
            </w:r>
          </w:p>
        </w:tc>
        <w:tc>
          <w:tcPr>
            <w:tcW w:w="571" w:type="pct"/>
            <w:noWrap/>
            <w:vAlign w:val="center"/>
            <w:hideMark/>
          </w:tcPr>
          <w:p w14:paraId="2F4FFCD5"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1,4%</w:t>
            </w:r>
          </w:p>
        </w:tc>
        <w:tc>
          <w:tcPr>
            <w:tcW w:w="515" w:type="pct"/>
            <w:noWrap/>
            <w:vAlign w:val="center"/>
            <w:hideMark/>
          </w:tcPr>
          <w:p w14:paraId="2AA3471B"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1,4%</w:t>
            </w:r>
          </w:p>
        </w:tc>
        <w:tc>
          <w:tcPr>
            <w:tcW w:w="515" w:type="pct"/>
            <w:noWrap/>
            <w:vAlign w:val="center"/>
            <w:hideMark/>
          </w:tcPr>
          <w:p w14:paraId="54EB9479"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1,3%</w:t>
            </w:r>
          </w:p>
        </w:tc>
        <w:tc>
          <w:tcPr>
            <w:tcW w:w="512" w:type="pct"/>
            <w:noWrap/>
            <w:vAlign w:val="center"/>
            <w:hideMark/>
          </w:tcPr>
          <w:p w14:paraId="6CABD29A"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1,3%</w:t>
            </w:r>
          </w:p>
        </w:tc>
      </w:tr>
      <w:tr w:rsidR="001534CB" w:rsidRPr="003278ED" w14:paraId="2E31438A" w14:textId="77777777" w:rsidTr="004C2B11">
        <w:trPr>
          <w:trHeight w:val="258"/>
        </w:trPr>
        <w:tc>
          <w:tcPr>
            <w:tcW w:w="1826" w:type="pct"/>
            <w:gridSpan w:val="2"/>
            <w:noWrap/>
            <w:vAlign w:val="center"/>
            <w:hideMark/>
          </w:tcPr>
          <w:p w14:paraId="298592AE" w14:textId="77777777" w:rsidR="001534CB" w:rsidRPr="003278ED" w:rsidRDefault="001534CB" w:rsidP="007D3A2B">
            <w:pPr>
              <w:spacing w:after="0" w:line="240" w:lineRule="auto"/>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Granturi</w:t>
            </w:r>
          </w:p>
        </w:tc>
        <w:tc>
          <w:tcPr>
            <w:tcW w:w="530" w:type="pct"/>
            <w:noWrap/>
            <w:vAlign w:val="center"/>
            <w:hideMark/>
          </w:tcPr>
          <w:p w14:paraId="0458DD5B"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1,7%</w:t>
            </w:r>
          </w:p>
        </w:tc>
        <w:tc>
          <w:tcPr>
            <w:tcW w:w="531" w:type="pct"/>
            <w:noWrap/>
            <w:vAlign w:val="center"/>
            <w:hideMark/>
          </w:tcPr>
          <w:p w14:paraId="60308BC0"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1,8%</w:t>
            </w:r>
          </w:p>
        </w:tc>
        <w:tc>
          <w:tcPr>
            <w:tcW w:w="571" w:type="pct"/>
            <w:noWrap/>
            <w:vAlign w:val="center"/>
            <w:hideMark/>
          </w:tcPr>
          <w:p w14:paraId="416E3E95"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0,7%</w:t>
            </w:r>
          </w:p>
        </w:tc>
        <w:tc>
          <w:tcPr>
            <w:tcW w:w="515" w:type="pct"/>
            <w:noWrap/>
            <w:vAlign w:val="center"/>
            <w:hideMark/>
          </w:tcPr>
          <w:p w14:paraId="3D63C14E"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0,4%</w:t>
            </w:r>
          </w:p>
        </w:tc>
        <w:tc>
          <w:tcPr>
            <w:tcW w:w="515" w:type="pct"/>
            <w:noWrap/>
            <w:vAlign w:val="center"/>
            <w:hideMark/>
          </w:tcPr>
          <w:p w14:paraId="36FBABBF"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0,4%</w:t>
            </w:r>
          </w:p>
        </w:tc>
        <w:tc>
          <w:tcPr>
            <w:tcW w:w="512" w:type="pct"/>
            <w:noWrap/>
            <w:vAlign w:val="center"/>
            <w:hideMark/>
          </w:tcPr>
          <w:p w14:paraId="6FF89321" w14:textId="77777777" w:rsidR="001534CB" w:rsidRPr="003278ED" w:rsidRDefault="001534CB"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0,3%</w:t>
            </w:r>
          </w:p>
        </w:tc>
      </w:tr>
      <w:tr w:rsidR="001534CB" w:rsidRPr="003278ED" w14:paraId="249E2284" w14:textId="77777777" w:rsidTr="004C2B11">
        <w:trPr>
          <w:trHeight w:val="245"/>
        </w:trPr>
        <w:tc>
          <w:tcPr>
            <w:tcW w:w="1826" w:type="pct"/>
            <w:gridSpan w:val="2"/>
            <w:noWrap/>
            <w:vAlign w:val="center"/>
            <w:hideMark/>
          </w:tcPr>
          <w:p w14:paraId="32F8C400" w14:textId="77777777" w:rsidR="001534CB" w:rsidRPr="003278ED" w:rsidRDefault="001534CB" w:rsidP="007D3A2B">
            <w:pPr>
              <w:spacing w:after="0" w:line="240" w:lineRule="auto"/>
              <w:rPr>
                <w:rFonts w:ascii="Times New Roman" w:eastAsia="Times New Roman" w:hAnsi="Times New Roman" w:cs="Times New Roman"/>
                <w:i/>
                <w:iCs/>
                <w:color w:val="000000"/>
                <w:sz w:val="16"/>
                <w:szCs w:val="16"/>
              </w:rPr>
            </w:pPr>
            <w:r w:rsidRPr="003278ED">
              <w:rPr>
                <w:rFonts w:ascii="Times New Roman" w:hAnsi="Times New Roman" w:cs="Times New Roman"/>
                <w:i/>
                <w:iCs/>
                <w:color w:val="000000"/>
                <w:sz w:val="16"/>
                <w:szCs w:val="16"/>
              </w:rPr>
              <w:t>PIB, informativ (mil.lei)</w:t>
            </w:r>
          </w:p>
        </w:tc>
        <w:tc>
          <w:tcPr>
            <w:tcW w:w="530" w:type="pct"/>
            <w:noWrap/>
            <w:vAlign w:val="center"/>
            <w:hideMark/>
          </w:tcPr>
          <w:p w14:paraId="0C83F6B1" w14:textId="77777777" w:rsidR="001534CB" w:rsidRPr="003278ED" w:rsidRDefault="001534CB" w:rsidP="007D3A2B">
            <w:pPr>
              <w:spacing w:after="0" w:line="240" w:lineRule="auto"/>
              <w:ind w:left="-183"/>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274 500,0</w:t>
            </w:r>
          </w:p>
        </w:tc>
        <w:tc>
          <w:tcPr>
            <w:tcW w:w="531" w:type="pct"/>
            <w:noWrap/>
            <w:vAlign w:val="center"/>
            <w:hideMark/>
          </w:tcPr>
          <w:p w14:paraId="3D9B8ABD" w14:textId="77777777" w:rsidR="001534CB" w:rsidRPr="003278ED" w:rsidRDefault="001534CB" w:rsidP="007D3A2B">
            <w:pPr>
              <w:spacing w:after="0" w:line="240" w:lineRule="auto"/>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300 400,0</w:t>
            </w:r>
          </w:p>
        </w:tc>
        <w:tc>
          <w:tcPr>
            <w:tcW w:w="571" w:type="pct"/>
            <w:noWrap/>
            <w:vAlign w:val="center"/>
            <w:hideMark/>
          </w:tcPr>
          <w:p w14:paraId="13265578" w14:textId="77777777" w:rsidR="001534CB" w:rsidRPr="003278ED" w:rsidRDefault="001534CB" w:rsidP="007D3A2B">
            <w:pPr>
              <w:spacing w:after="0" w:line="240" w:lineRule="auto"/>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342 100,0</w:t>
            </w:r>
          </w:p>
        </w:tc>
        <w:tc>
          <w:tcPr>
            <w:tcW w:w="515" w:type="pct"/>
            <w:noWrap/>
            <w:vAlign w:val="center"/>
            <w:hideMark/>
          </w:tcPr>
          <w:p w14:paraId="40A9AA25" w14:textId="77777777" w:rsidR="001534CB" w:rsidRPr="003278ED" w:rsidRDefault="001534CB" w:rsidP="007D3A2B">
            <w:pPr>
              <w:spacing w:after="0" w:line="240" w:lineRule="auto"/>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358 700,0</w:t>
            </w:r>
          </w:p>
        </w:tc>
        <w:tc>
          <w:tcPr>
            <w:tcW w:w="515" w:type="pct"/>
            <w:noWrap/>
            <w:vAlign w:val="center"/>
            <w:hideMark/>
          </w:tcPr>
          <w:p w14:paraId="47F12735" w14:textId="77777777" w:rsidR="001534CB" w:rsidRPr="003278ED" w:rsidRDefault="001534CB" w:rsidP="007D3A2B">
            <w:pPr>
              <w:spacing w:after="0" w:line="240" w:lineRule="auto"/>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392 800,0</w:t>
            </w:r>
          </w:p>
        </w:tc>
        <w:tc>
          <w:tcPr>
            <w:tcW w:w="512" w:type="pct"/>
            <w:noWrap/>
            <w:vAlign w:val="center"/>
            <w:hideMark/>
          </w:tcPr>
          <w:p w14:paraId="0979E6F6" w14:textId="77777777" w:rsidR="001534CB" w:rsidRPr="003278ED" w:rsidRDefault="001534CB" w:rsidP="007D3A2B">
            <w:pPr>
              <w:spacing w:after="0" w:line="240" w:lineRule="auto"/>
              <w:jc w:val="right"/>
              <w:rPr>
                <w:rFonts w:ascii="Times New Roman" w:hAnsi="Times New Roman" w:cs="Times New Roman"/>
                <w:i/>
                <w:color w:val="000000"/>
                <w:sz w:val="16"/>
                <w:szCs w:val="16"/>
              </w:rPr>
            </w:pPr>
            <w:r w:rsidRPr="003278ED">
              <w:rPr>
                <w:rFonts w:ascii="Times New Roman" w:hAnsi="Times New Roman" w:cs="Times New Roman"/>
                <w:i/>
                <w:color w:val="000000"/>
                <w:sz w:val="16"/>
                <w:szCs w:val="16"/>
              </w:rPr>
              <w:t>429 100,0</w:t>
            </w:r>
          </w:p>
        </w:tc>
      </w:tr>
    </w:tbl>
    <w:p w14:paraId="4830EA21" w14:textId="77777777" w:rsidR="00A47DB5" w:rsidRDefault="00A47DB5" w:rsidP="007D3A2B">
      <w:pPr>
        <w:pStyle w:val="Table"/>
        <w:spacing w:before="0" w:line="240" w:lineRule="auto"/>
        <w:rPr>
          <w:rFonts w:ascii="Times New Roman" w:hAnsi="Times New Roman"/>
          <w:bCs/>
          <w:i/>
          <w:iCs/>
          <w:color w:val="000000"/>
          <w:szCs w:val="20"/>
          <w:lang w:val="ro-RO"/>
        </w:rPr>
      </w:pPr>
    </w:p>
    <w:p w14:paraId="47988152" w14:textId="2E492C30" w:rsidR="009C5B95" w:rsidRPr="003278ED" w:rsidRDefault="009C5B95" w:rsidP="007D3A2B">
      <w:pPr>
        <w:pStyle w:val="Table"/>
        <w:spacing w:before="0" w:line="240" w:lineRule="auto"/>
        <w:rPr>
          <w:rFonts w:ascii="Times New Roman" w:hAnsi="Times New Roman"/>
          <w:b w:val="0"/>
          <w:bCs/>
          <w:i/>
          <w:iCs/>
          <w:color w:val="000000"/>
          <w:szCs w:val="20"/>
          <w:lang w:val="ro-RO"/>
        </w:rPr>
      </w:pPr>
      <w:r w:rsidRPr="004C2B11">
        <w:rPr>
          <w:rFonts w:ascii="Times New Roman" w:hAnsi="Times New Roman"/>
          <w:bCs/>
          <w:i/>
          <w:iCs/>
          <w:color w:val="000000"/>
          <w:szCs w:val="20"/>
          <w:lang w:val="ro-RO"/>
        </w:rPr>
        <w:t>Sursa:</w:t>
      </w:r>
      <w:r w:rsidRPr="003278ED">
        <w:rPr>
          <w:rFonts w:ascii="Times New Roman" w:hAnsi="Times New Roman"/>
          <w:b w:val="0"/>
          <w:bCs/>
          <w:i/>
          <w:iCs/>
          <w:color w:val="000000"/>
          <w:szCs w:val="20"/>
          <w:lang w:val="ro-RO"/>
        </w:rPr>
        <w:t xml:space="preserve"> Ministerul Finanțelor</w:t>
      </w:r>
    </w:p>
    <w:p w14:paraId="619EEFCD" w14:textId="77777777" w:rsidR="001534CB" w:rsidRPr="003278ED" w:rsidRDefault="001534CB" w:rsidP="007D3A2B">
      <w:pPr>
        <w:spacing w:after="0" w:line="240" w:lineRule="auto"/>
        <w:ind w:firstLine="720"/>
        <w:jc w:val="both"/>
        <w:rPr>
          <w:rFonts w:ascii="Times New Roman" w:eastAsia="Times New Roman" w:hAnsi="Times New Roman" w:cs="Times New Roman"/>
          <w:b/>
          <w:sz w:val="24"/>
          <w:szCs w:val="28"/>
          <w:highlight w:val="yellow"/>
        </w:rPr>
      </w:pPr>
    </w:p>
    <w:p w14:paraId="2962811D" w14:textId="08ADA4D3" w:rsidR="00B00002" w:rsidRPr="003278ED" w:rsidRDefault="00B00002" w:rsidP="007D3A2B">
      <w:pPr>
        <w:pStyle w:val="Titlu2"/>
        <w:keepNext w:val="0"/>
        <w:tabs>
          <w:tab w:val="left" w:pos="993"/>
        </w:tabs>
        <w:jc w:val="both"/>
        <w:rPr>
          <w:rStyle w:val="Titlu2Caracter"/>
          <w:rFonts w:ascii="Times New Roman" w:hAnsi="Times New Roman"/>
          <w:sz w:val="24"/>
          <w:szCs w:val="28"/>
          <w:lang w:val="ro-RO"/>
        </w:rPr>
      </w:pPr>
      <w:bookmarkStart w:id="11" w:name="_Toc175822061"/>
      <w:bookmarkStart w:id="12" w:name="_Toc175824582"/>
      <w:bookmarkStart w:id="13" w:name="_Toc175824676"/>
      <w:bookmarkStart w:id="14" w:name="_Toc175825155"/>
      <w:bookmarkStart w:id="15" w:name="_Toc175825260"/>
      <w:bookmarkStart w:id="16" w:name="_Toc175825348"/>
      <w:r w:rsidRPr="003278ED">
        <w:rPr>
          <w:rStyle w:val="Titlu2Caracter"/>
          <w:rFonts w:ascii="Times New Roman" w:hAnsi="Times New Roman"/>
          <w:sz w:val="24"/>
          <w:szCs w:val="28"/>
          <w:lang w:val="ro-RO"/>
        </w:rPr>
        <w:t>Impozitele și taxele reprezintă partea majoră din veniturile bugetului public național, constitu</w:t>
      </w:r>
      <w:r w:rsidR="00C076A3" w:rsidRPr="003278ED">
        <w:rPr>
          <w:rStyle w:val="Titlu2Caracter"/>
          <w:rFonts w:ascii="Times New Roman" w:hAnsi="Times New Roman"/>
          <w:sz w:val="24"/>
          <w:szCs w:val="28"/>
          <w:lang w:val="ro-RO"/>
        </w:rPr>
        <w:t>ind în anii 2025-2027 circa 63</w:t>
      </w:r>
      <w:r w:rsidR="00CC1C46" w:rsidRPr="003278ED">
        <w:rPr>
          <w:rStyle w:val="Titlu2Caracter"/>
          <w:rFonts w:ascii="Times New Roman" w:hAnsi="Times New Roman"/>
          <w:sz w:val="24"/>
          <w:szCs w:val="28"/>
          <w:lang w:val="ro-RO"/>
        </w:rPr>
        <w:t xml:space="preserve"> </w:t>
      </w:r>
      <w:r w:rsidRPr="003278ED">
        <w:rPr>
          <w:rStyle w:val="Titlu2Caracter"/>
          <w:rFonts w:ascii="Times New Roman" w:hAnsi="Times New Roman"/>
          <w:sz w:val="24"/>
          <w:szCs w:val="28"/>
          <w:lang w:val="ro-RO"/>
        </w:rPr>
        <w:t>% din totalul veniturilor, preponderent din contul încasărilor din impozite și taxe pe mărfuri și servicii. Pe termen mediu această grupă de venituri va crește cu un ritm mediu anual de 8,3 la sută.</w:t>
      </w:r>
      <w:bookmarkEnd w:id="11"/>
      <w:bookmarkEnd w:id="12"/>
      <w:bookmarkEnd w:id="13"/>
      <w:bookmarkEnd w:id="14"/>
      <w:bookmarkEnd w:id="15"/>
      <w:bookmarkEnd w:id="16"/>
    </w:p>
    <w:p w14:paraId="42FFEFC1" w14:textId="77777777" w:rsidR="00B00002" w:rsidRPr="003278ED" w:rsidRDefault="00B00002" w:rsidP="007D3A2B">
      <w:pPr>
        <w:pStyle w:val="Titlu2"/>
        <w:keepNext w:val="0"/>
        <w:tabs>
          <w:tab w:val="left" w:pos="993"/>
        </w:tabs>
        <w:jc w:val="both"/>
        <w:rPr>
          <w:rStyle w:val="Titlu2Caracter"/>
          <w:rFonts w:ascii="Times New Roman" w:hAnsi="Times New Roman"/>
          <w:sz w:val="24"/>
          <w:szCs w:val="28"/>
          <w:lang w:val="ro-RO"/>
        </w:rPr>
      </w:pPr>
      <w:bookmarkStart w:id="17" w:name="_Toc175822062"/>
      <w:bookmarkStart w:id="18" w:name="_Toc175825156"/>
      <w:bookmarkStart w:id="19" w:name="_Toc175825261"/>
      <w:bookmarkStart w:id="20" w:name="_Toc175825349"/>
      <w:r w:rsidRPr="003278ED">
        <w:rPr>
          <w:rStyle w:val="Titlu2Caracter"/>
          <w:rFonts w:ascii="Times New Roman" w:hAnsi="Times New Roman"/>
          <w:sz w:val="24"/>
          <w:szCs w:val="28"/>
          <w:lang w:val="ro-RO"/>
        </w:rPr>
        <w:t>Contribuțiile de asigurări sociale și medicale pe perioada de prognoză în totalul veniturilor vor crește până la 31,6</w:t>
      </w:r>
      <w:r w:rsidR="00CC1C46" w:rsidRPr="003278ED">
        <w:rPr>
          <w:rStyle w:val="Titlu2Caracter"/>
          <w:rFonts w:ascii="Times New Roman" w:hAnsi="Times New Roman"/>
          <w:sz w:val="24"/>
          <w:szCs w:val="28"/>
          <w:lang w:val="ro-RO"/>
        </w:rPr>
        <w:t xml:space="preserve"> </w:t>
      </w:r>
      <w:r w:rsidRPr="003278ED">
        <w:rPr>
          <w:rStyle w:val="Titlu2Caracter"/>
          <w:rFonts w:ascii="Times New Roman" w:hAnsi="Times New Roman"/>
          <w:sz w:val="24"/>
          <w:szCs w:val="28"/>
          <w:lang w:val="ro-RO"/>
        </w:rPr>
        <w:t>% în 2027 față de 30,9</w:t>
      </w:r>
      <w:r w:rsidR="00CC1C46" w:rsidRPr="003278ED">
        <w:rPr>
          <w:rStyle w:val="Titlu2Caracter"/>
          <w:rFonts w:ascii="Times New Roman" w:hAnsi="Times New Roman"/>
          <w:sz w:val="24"/>
          <w:szCs w:val="28"/>
          <w:lang w:val="ro-RO"/>
        </w:rPr>
        <w:t xml:space="preserve"> </w:t>
      </w:r>
      <w:r w:rsidRPr="003278ED">
        <w:rPr>
          <w:rStyle w:val="Titlu2Caracter"/>
          <w:rFonts w:ascii="Times New Roman" w:hAnsi="Times New Roman"/>
          <w:sz w:val="24"/>
          <w:szCs w:val="28"/>
          <w:lang w:val="ro-RO"/>
        </w:rPr>
        <w:t>% în 2025 ca urmarea a creșterii fondului de remunerare a muncii pe termen mediu cu circa 10 la sută.</w:t>
      </w:r>
      <w:bookmarkEnd w:id="17"/>
      <w:bookmarkEnd w:id="18"/>
      <w:bookmarkEnd w:id="19"/>
      <w:bookmarkEnd w:id="20"/>
    </w:p>
    <w:p w14:paraId="6F9D9E1F" w14:textId="7B71C158" w:rsidR="001534CB" w:rsidRPr="003278ED" w:rsidRDefault="00B00002" w:rsidP="007D3A2B">
      <w:pPr>
        <w:tabs>
          <w:tab w:val="left" w:pos="993"/>
        </w:tabs>
        <w:spacing w:after="0" w:line="240" w:lineRule="auto"/>
        <w:ind w:firstLine="709"/>
        <w:jc w:val="both"/>
        <w:rPr>
          <w:rStyle w:val="Titlu2Caracter"/>
          <w:rFonts w:ascii="Times New Roman" w:eastAsiaTheme="minorHAnsi" w:hAnsi="Times New Roman"/>
          <w:b w:val="0"/>
          <w:sz w:val="24"/>
          <w:szCs w:val="28"/>
          <w:lang w:val="ro-RO"/>
        </w:rPr>
      </w:pPr>
      <w:bookmarkStart w:id="21" w:name="_Toc175822063"/>
      <w:bookmarkStart w:id="22" w:name="_Toc175825157"/>
      <w:bookmarkStart w:id="23" w:name="_Toc175825262"/>
      <w:bookmarkStart w:id="24" w:name="_Toc175825350"/>
      <w:r w:rsidRPr="003278ED">
        <w:rPr>
          <w:rStyle w:val="Titlu2Caracter"/>
          <w:rFonts w:ascii="Times New Roman" w:eastAsiaTheme="minorHAnsi" w:hAnsi="Times New Roman"/>
          <w:b w:val="0"/>
          <w:sz w:val="24"/>
          <w:szCs w:val="28"/>
          <w:lang w:val="ro-RO"/>
        </w:rPr>
        <w:t>Pentru perioada 2025-2027 se estimează o reducere a debursării granturilor externe în totalul veniturilor de la 1,2</w:t>
      </w:r>
      <w:r w:rsidR="00CC1C46" w:rsidRPr="003278ED">
        <w:rPr>
          <w:rStyle w:val="Titlu2Caracter"/>
          <w:rFonts w:ascii="Times New Roman" w:eastAsiaTheme="minorHAnsi" w:hAnsi="Times New Roman"/>
          <w:b w:val="0"/>
          <w:sz w:val="24"/>
          <w:szCs w:val="28"/>
          <w:lang w:val="ro-RO"/>
        </w:rPr>
        <w:t xml:space="preserve"> </w:t>
      </w:r>
      <w:r w:rsidRPr="003278ED">
        <w:rPr>
          <w:rStyle w:val="Titlu2Caracter"/>
          <w:rFonts w:ascii="Times New Roman" w:eastAsiaTheme="minorHAnsi" w:hAnsi="Times New Roman"/>
          <w:b w:val="0"/>
          <w:sz w:val="24"/>
          <w:szCs w:val="28"/>
          <w:lang w:val="ro-RO"/>
        </w:rPr>
        <w:t>% până la 0,8</w:t>
      </w:r>
      <w:r w:rsidR="00CC1C46" w:rsidRPr="003278ED">
        <w:rPr>
          <w:rStyle w:val="Titlu2Caracter"/>
          <w:rFonts w:ascii="Times New Roman" w:eastAsiaTheme="minorHAnsi" w:hAnsi="Times New Roman"/>
          <w:b w:val="0"/>
          <w:sz w:val="24"/>
          <w:szCs w:val="28"/>
          <w:lang w:val="ro-RO"/>
        </w:rPr>
        <w:t xml:space="preserve"> </w:t>
      </w:r>
      <w:r w:rsidRPr="003278ED">
        <w:rPr>
          <w:rStyle w:val="Titlu2Caracter"/>
          <w:rFonts w:ascii="Times New Roman" w:eastAsiaTheme="minorHAnsi" w:hAnsi="Times New Roman"/>
          <w:b w:val="0"/>
          <w:sz w:val="24"/>
          <w:szCs w:val="28"/>
          <w:lang w:val="ro-RO"/>
        </w:rPr>
        <w:t>%.</w:t>
      </w:r>
      <w:bookmarkEnd w:id="21"/>
      <w:bookmarkEnd w:id="22"/>
      <w:bookmarkEnd w:id="23"/>
      <w:bookmarkEnd w:id="24"/>
    </w:p>
    <w:p w14:paraId="561344EE" w14:textId="39FB6F56" w:rsidR="007115D2" w:rsidRPr="003278ED" w:rsidRDefault="007115D2" w:rsidP="007D3A2B">
      <w:pPr>
        <w:tabs>
          <w:tab w:val="left" w:pos="993"/>
        </w:tabs>
        <w:spacing w:after="0" w:line="240" w:lineRule="auto"/>
        <w:ind w:firstLine="709"/>
        <w:jc w:val="both"/>
        <w:rPr>
          <w:rStyle w:val="Titlu2Caracter"/>
          <w:rFonts w:ascii="Times New Roman" w:eastAsiaTheme="minorHAnsi" w:hAnsi="Times New Roman"/>
          <w:b w:val="0"/>
          <w:sz w:val="24"/>
          <w:szCs w:val="28"/>
          <w:lang w:val="ro-RO"/>
        </w:rPr>
      </w:pPr>
      <w:bookmarkStart w:id="25" w:name="_Toc175822064"/>
      <w:bookmarkStart w:id="26" w:name="_Toc175824585"/>
      <w:bookmarkStart w:id="27" w:name="_Toc175825158"/>
      <w:bookmarkStart w:id="28" w:name="_Toc175825263"/>
      <w:bookmarkStart w:id="29" w:name="_Toc175825351"/>
      <w:r w:rsidRPr="003278ED">
        <w:rPr>
          <w:rStyle w:val="Titlu2Caracter"/>
          <w:rFonts w:ascii="Times New Roman" w:eastAsiaTheme="minorHAnsi" w:hAnsi="Times New Roman"/>
          <w:b w:val="0"/>
          <w:sz w:val="24"/>
          <w:szCs w:val="28"/>
          <w:lang w:val="ro-RO"/>
        </w:rPr>
        <w:lastRenderedPageBreak/>
        <w:t xml:space="preserve">Totodată, obținerea de către Republica Moldova a statutului de țară-candidată pentru aderarea la </w:t>
      </w:r>
      <w:r w:rsidR="003F22CE" w:rsidRPr="003278ED">
        <w:rPr>
          <w:rStyle w:val="Titlu2Caracter"/>
          <w:rFonts w:ascii="Times New Roman" w:eastAsiaTheme="minorHAnsi" w:hAnsi="Times New Roman"/>
          <w:b w:val="0"/>
          <w:sz w:val="24"/>
          <w:szCs w:val="28"/>
          <w:lang w:val="ro-RO"/>
        </w:rPr>
        <w:t>UE</w:t>
      </w:r>
      <w:r w:rsidRPr="003278ED">
        <w:rPr>
          <w:rStyle w:val="Titlu2Caracter"/>
          <w:rFonts w:ascii="Times New Roman" w:eastAsiaTheme="minorHAnsi" w:hAnsi="Times New Roman"/>
          <w:b w:val="0"/>
          <w:sz w:val="24"/>
          <w:szCs w:val="28"/>
          <w:lang w:val="ro-RO"/>
        </w:rPr>
        <w:t xml:space="preserve"> va oferi oportunități de accesare a fondurilor de preaderare, astfel </w:t>
      </w:r>
      <w:r w:rsidR="00304F10" w:rsidRPr="003278ED">
        <w:rPr>
          <w:rStyle w:val="Titlu2Caracter"/>
          <w:rFonts w:ascii="Times New Roman" w:eastAsiaTheme="minorHAnsi" w:hAnsi="Times New Roman"/>
          <w:b w:val="0"/>
          <w:sz w:val="24"/>
          <w:szCs w:val="28"/>
          <w:lang w:val="ro-RO"/>
        </w:rPr>
        <w:t xml:space="preserve">încât </w:t>
      </w:r>
      <w:r w:rsidRPr="003278ED">
        <w:rPr>
          <w:rStyle w:val="Titlu2Caracter"/>
          <w:rFonts w:ascii="Times New Roman" w:eastAsiaTheme="minorHAnsi" w:hAnsi="Times New Roman"/>
          <w:b w:val="0"/>
          <w:sz w:val="24"/>
          <w:szCs w:val="28"/>
          <w:lang w:val="ro-RO"/>
        </w:rPr>
        <w:t>aceste prognoze ar putea suferi schimbări, însă</w:t>
      </w:r>
      <w:r w:rsidR="00304F10" w:rsidRPr="003278ED">
        <w:rPr>
          <w:rStyle w:val="Titlu2Caracter"/>
          <w:rFonts w:ascii="Times New Roman" w:eastAsiaTheme="minorHAnsi" w:hAnsi="Times New Roman"/>
          <w:b w:val="0"/>
          <w:sz w:val="24"/>
          <w:szCs w:val="28"/>
          <w:lang w:val="ro-RO"/>
        </w:rPr>
        <w:t>,</w:t>
      </w:r>
      <w:r w:rsidRPr="003278ED">
        <w:rPr>
          <w:rStyle w:val="Titlu2Caracter"/>
          <w:rFonts w:ascii="Times New Roman" w:eastAsiaTheme="minorHAnsi" w:hAnsi="Times New Roman"/>
          <w:b w:val="0"/>
          <w:sz w:val="24"/>
          <w:szCs w:val="28"/>
          <w:lang w:val="ro-RO"/>
        </w:rPr>
        <w:t xml:space="preserve"> </w:t>
      </w:r>
      <w:r w:rsidR="00304F10" w:rsidRPr="003278ED">
        <w:rPr>
          <w:rStyle w:val="Titlu2Caracter"/>
          <w:rFonts w:ascii="Times New Roman" w:eastAsiaTheme="minorHAnsi" w:hAnsi="Times New Roman"/>
          <w:b w:val="0"/>
          <w:sz w:val="24"/>
          <w:szCs w:val="28"/>
          <w:lang w:val="ro-RO"/>
        </w:rPr>
        <w:t>actualmente,</w:t>
      </w:r>
      <w:r w:rsidRPr="003278ED">
        <w:rPr>
          <w:rStyle w:val="Titlu2Caracter"/>
          <w:rFonts w:ascii="Times New Roman" w:eastAsiaTheme="minorHAnsi" w:hAnsi="Times New Roman"/>
          <w:b w:val="0"/>
          <w:sz w:val="24"/>
          <w:szCs w:val="28"/>
          <w:lang w:val="ro-RO"/>
        </w:rPr>
        <w:t xml:space="preserve"> granturile sunt estimate din acordurile existente.</w:t>
      </w:r>
      <w:bookmarkEnd w:id="25"/>
      <w:bookmarkEnd w:id="26"/>
      <w:bookmarkEnd w:id="27"/>
      <w:bookmarkEnd w:id="28"/>
      <w:bookmarkEnd w:id="29"/>
    </w:p>
    <w:p w14:paraId="742830EB" w14:textId="77777777" w:rsidR="00EA546B" w:rsidRDefault="00EA546B" w:rsidP="00EA546B">
      <w:pPr>
        <w:jc w:val="center"/>
        <w:rPr>
          <w:rFonts w:ascii="Times New Roman" w:eastAsia="Times New Roman" w:hAnsi="Times New Roman" w:cs="Times New Roman"/>
          <w:b/>
          <w:sz w:val="24"/>
          <w:szCs w:val="28"/>
        </w:rPr>
      </w:pPr>
      <w:bookmarkStart w:id="30" w:name="_Toc175825352"/>
      <w:bookmarkStart w:id="31" w:name="_GoBack"/>
      <w:bookmarkEnd w:id="31"/>
    </w:p>
    <w:p w14:paraId="0870563B" w14:textId="1C0E859A" w:rsidR="0098731F" w:rsidRPr="00EA546B" w:rsidRDefault="0098731F" w:rsidP="00EA546B">
      <w:pPr>
        <w:jc w:val="center"/>
        <w:rPr>
          <w:rFonts w:ascii="Times New Roman" w:hAnsi="Times New Roman"/>
          <w:b/>
          <w:i/>
          <w:sz w:val="24"/>
        </w:rPr>
      </w:pPr>
      <w:r w:rsidRPr="00EA546B">
        <w:rPr>
          <w:rFonts w:ascii="Times New Roman" w:hAnsi="Times New Roman"/>
          <w:b/>
          <w:sz w:val="24"/>
        </w:rPr>
        <w:t>C. Cheltuieli</w:t>
      </w:r>
      <w:bookmarkEnd w:id="30"/>
    </w:p>
    <w:p w14:paraId="58A8D067" w14:textId="77777777" w:rsidR="00E90C38" w:rsidRPr="003278ED" w:rsidRDefault="00E90C38" w:rsidP="007D3A2B">
      <w:pPr>
        <w:tabs>
          <w:tab w:val="left" w:pos="993"/>
        </w:tabs>
        <w:spacing w:after="0" w:line="240" w:lineRule="auto"/>
        <w:ind w:firstLine="709"/>
        <w:jc w:val="both"/>
        <w:rPr>
          <w:rFonts w:ascii="Times New Roman" w:eastAsia="Times New Roman" w:hAnsi="Times New Roman" w:cs="Times New Roman"/>
          <w:b/>
          <w:i/>
          <w:sz w:val="24"/>
          <w:szCs w:val="28"/>
        </w:rPr>
      </w:pPr>
    </w:p>
    <w:p w14:paraId="5F4FD762" w14:textId="4A78D85B" w:rsidR="0098731F" w:rsidRPr="003278ED" w:rsidRDefault="002300E4" w:rsidP="007D3A2B">
      <w:pPr>
        <w:tabs>
          <w:tab w:val="left" w:pos="993"/>
        </w:tabs>
        <w:spacing w:after="0" w:line="240" w:lineRule="auto"/>
        <w:ind w:firstLine="709"/>
        <w:jc w:val="both"/>
        <w:rPr>
          <w:rFonts w:ascii="Times New Roman" w:eastAsia="Times New Roman" w:hAnsi="Times New Roman" w:cs="Times New Roman"/>
          <w:b/>
          <w:sz w:val="24"/>
          <w:szCs w:val="28"/>
        </w:rPr>
      </w:pPr>
      <w:r w:rsidRPr="003278ED">
        <w:rPr>
          <w:rFonts w:ascii="Times New Roman" w:eastAsia="Times New Roman" w:hAnsi="Times New Roman" w:cs="Times New Roman"/>
          <w:b/>
          <w:sz w:val="24"/>
          <w:szCs w:val="28"/>
        </w:rPr>
        <w:t xml:space="preserve">Prioritățile </w:t>
      </w:r>
      <w:r w:rsidR="00E90C38" w:rsidRPr="003278ED">
        <w:rPr>
          <w:rFonts w:ascii="Times New Roman" w:eastAsia="Times New Roman" w:hAnsi="Times New Roman" w:cs="Times New Roman"/>
          <w:b/>
          <w:sz w:val="24"/>
          <w:szCs w:val="28"/>
        </w:rPr>
        <w:t xml:space="preserve">politicii </w:t>
      </w:r>
      <w:r w:rsidRPr="003278ED">
        <w:rPr>
          <w:rFonts w:ascii="Times New Roman" w:eastAsia="Times New Roman" w:hAnsi="Times New Roman" w:cs="Times New Roman"/>
          <w:b/>
          <w:sz w:val="24"/>
          <w:szCs w:val="28"/>
        </w:rPr>
        <w:t>cheltuielilor pe termen mediu</w:t>
      </w:r>
    </w:p>
    <w:p w14:paraId="79239E94" w14:textId="77777777" w:rsidR="009A76DB" w:rsidRPr="003278ED" w:rsidRDefault="009A76DB" w:rsidP="007D3A2B">
      <w:pPr>
        <w:tabs>
          <w:tab w:val="left" w:pos="993"/>
        </w:tabs>
        <w:spacing w:after="0" w:line="240" w:lineRule="auto"/>
        <w:ind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Pe termen mediu eforturile Guvernului continuă să fie îndreptate spre consolidarea stabilității și a sustenabilității finanțelor publice, asigurarea disciplinei bugetar-fiscale și a transparenței bugetare. Prioritățile în domeniul cheltuielilor publice sunt următoarele:</w:t>
      </w:r>
    </w:p>
    <w:p w14:paraId="2267DD72" w14:textId="5BB97A55"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consolidarea capacităților autorităților publice centrale în scopul asigurării activităților care derivă din Planul național de acțiuni pentru aderarea Republicii Moldova la </w:t>
      </w:r>
      <w:r w:rsidR="000440F8" w:rsidRPr="003278ED">
        <w:rPr>
          <w:rFonts w:ascii="Times New Roman" w:eastAsia="Times New Roman" w:hAnsi="Times New Roman" w:cs="Times New Roman"/>
          <w:sz w:val="24"/>
          <w:szCs w:val="28"/>
        </w:rPr>
        <w:t>UE</w:t>
      </w:r>
      <w:r w:rsidRPr="003278ED">
        <w:rPr>
          <w:rFonts w:ascii="Times New Roman" w:eastAsia="Times New Roman" w:hAnsi="Times New Roman" w:cs="Times New Roman"/>
          <w:sz w:val="24"/>
          <w:szCs w:val="28"/>
        </w:rPr>
        <w:t xml:space="preserve"> pe</w:t>
      </w:r>
      <w:r w:rsidR="000440F8" w:rsidRPr="003278ED">
        <w:rPr>
          <w:rFonts w:ascii="Times New Roman" w:eastAsia="Times New Roman" w:hAnsi="Times New Roman" w:cs="Times New Roman"/>
          <w:sz w:val="24"/>
          <w:szCs w:val="28"/>
        </w:rPr>
        <w:t>ntru</w:t>
      </w:r>
      <w:r w:rsidRPr="003278ED">
        <w:rPr>
          <w:rFonts w:ascii="Times New Roman" w:eastAsia="Times New Roman" w:hAnsi="Times New Roman" w:cs="Times New Roman"/>
          <w:sz w:val="24"/>
          <w:szCs w:val="28"/>
        </w:rPr>
        <w:t xml:space="preserve"> anii 2024 </w:t>
      </w:r>
      <w:r w:rsidR="000440F8"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2027;</w:t>
      </w:r>
    </w:p>
    <w:p w14:paraId="797B2BE4" w14:textId="2D3D4409"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gestionarea prudentă și utilizarea eficientă a resurselor publice în condițiile constrângerilor bugetare;</w:t>
      </w:r>
    </w:p>
    <w:p w14:paraId="054FBE1F" w14:textId="71C32D9F"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susținerea programelor de cheltuieli din domeniile economiei naționale în scopul impulsionării dezvoltării întreprinderilor mici și mijlocii, </w:t>
      </w:r>
      <w:r w:rsidR="000440F8" w:rsidRPr="003278ED">
        <w:rPr>
          <w:rFonts w:ascii="Times New Roman" w:eastAsia="Times New Roman" w:hAnsi="Times New Roman" w:cs="Times New Roman"/>
          <w:sz w:val="24"/>
          <w:szCs w:val="28"/>
        </w:rPr>
        <w:t xml:space="preserve">al </w:t>
      </w:r>
      <w:r w:rsidRPr="003278ED">
        <w:rPr>
          <w:rFonts w:ascii="Times New Roman" w:eastAsia="Times New Roman" w:hAnsi="Times New Roman" w:cs="Times New Roman"/>
          <w:sz w:val="24"/>
          <w:szCs w:val="28"/>
        </w:rPr>
        <w:t>sus</w:t>
      </w:r>
      <w:r w:rsidR="000440F8" w:rsidRPr="003278ED">
        <w:rPr>
          <w:rFonts w:ascii="Times New Roman" w:eastAsia="Times New Roman" w:hAnsi="Times New Roman" w:cs="Times New Roman"/>
          <w:sz w:val="24"/>
          <w:szCs w:val="28"/>
        </w:rPr>
        <w:t>ținerii producătorilor agricoli</w:t>
      </w:r>
      <w:r w:rsidRPr="003278ED">
        <w:rPr>
          <w:rFonts w:ascii="Times New Roman" w:eastAsia="Times New Roman" w:hAnsi="Times New Roman" w:cs="Times New Roman"/>
          <w:sz w:val="24"/>
          <w:szCs w:val="28"/>
        </w:rPr>
        <w:t xml:space="preserve"> etc.;</w:t>
      </w:r>
    </w:p>
    <w:p w14:paraId="5F3D5B24" w14:textId="0E2E51F4"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susținerea programelor </w:t>
      </w:r>
      <w:r w:rsidR="009979FA" w:rsidRPr="003278ED">
        <w:rPr>
          <w:rFonts w:ascii="Times New Roman" w:eastAsia="Times New Roman" w:hAnsi="Times New Roman" w:cs="Times New Roman"/>
          <w:sz w:val="24"/>
          <w:szCs w:val="28"/>
        </w:rPr>
        <w:t xml:space="preserve">din domeniul protecției sociale, </w:t>
      </w:r>
      <w:r w:rsidRPr="003278ED">
        <w:rPr>
          <w:rFonts w:ascii="Times New Roman" w:eastAsia="Times New Roman" w:hAnsi="Times New Roman" w:cs="Times New Roman"/>
          <w:sz w:val="24"/>
          <w:szCs w:val="28"/>
        </w:rPr>
        <w:t xml:space="preserve">eficientizarea și reorganizarea </w:t>
      </w:r>
      <w:r w:rsidR="009979FA" w:rsidRPr="003278ED">
        <w:rPr>
          <w:rFonts w:ascii="Times New Roman" w:eastAsia="Times New Roman" w:hAnsi="Times New Roman" w:cs="Times New Roman"/>
          <w:sz w:val="24"/>
          <w:szCs w:val="28"/>
        </w:rPr>
        <w:t>sistemului de asigurări sociale</w:t>
      </w:r>
      <w:r w:rsidRPr="003278ED">
        <w:rPr>
          <w:rFonts w:ascii="Times New Roman" w:eastAsia="Times New Roman" w:hAnsi="Times New Roman" w:cs="Times New Roman"/>
          <w:sz w:val="24"/>
          <w:szCs w:val="28"/>
        </w:rPr>
        <w:t>;</w:t>
      </w:r>
    </w:p>
    <w:p w14:paraId="4FDE508A" w14:textId="5AB8BCB6"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 xml:space="preserve">susținerea domeniului ocrotirii sănătății prin dezvoltarea bazei </w:t>
      </w:r>
      <w:proofErr w:type="spellStart"/>
      <w:r w:rsidRPr="003278ED">
        <w:rPr>
          <w:rFonts w:ascii="Times New Roman" w:eastAsia="Times New Roman" w:hAnsi="Times New Roman" w:cs="Times New Roman"/>
          <w:sz w:val="24"/>
          <w:szCs w:val="28"/>
        </w:rPr>
        <w:t>tehnico</w:t>
      </w:r>
      <w:proofErr w:type="spellEnd"/>
      <w:r w:rsidRPr="003278ED">
        <w:rPr>
          <w:rFonts w:ascii="Times New Roman" w:eastAsia="Times New Roman" w:hAnsi="Times New Roman" w:cs="Times New Roman"/>
          <w:sz w:val="24"/>
          <w:szCs w:val="28"/>
        </w:rPr>
        <w:t>-materiale a instituțiilor medico-sanitare;</w:t>
      </w:r>
    </w:p>
    <w:p w14:paraId="1910ECBC" w14:textId="67BA2E16" w:rsidR="009A76DB" w:rsidRPr="003278ED" w:rsidRDefault="009A76DB" w:rsidP="007D3A2B">
      <w:pPr>
        <w:pStyle w:val="Listparagraf"/>
        <w:numPr>
          <w:ilvl w:val="0"/>
          <w:numId w:val="36"/>
        </w:numPr>
        <w:tabs>
          <w:tab w:val="left" w:pos="993"/>
        </w:tabs>
        <w:spacing w:after="0" w:line="240" w:lineRule="auto"/>
        <w:ind w:left="0" w:firstLine="709"/>
        <w:jc w:val="both"/>
        <w:rPr>
          <w:rFonts w:ascii="Times New Roman" w:eastAsia="Times New Roman" w:hAnsi="Times New Roman" w:cs="Times New Roman"/>
          <w:sz w:val="24"/>
          <w:szCs w:val="28"/>
        </w:rPr>
      </w:pPr>
      <w:r w:rsidRPr="003278ED">
        <w:rPr>
          <w:rFonts w:ascii="Times New Roman" w:eastAsia="Times New Roman" w:hAnsi="Times New Roman" w:cs="Times New Roman"/>
          <w:sz w:val="24"/>
          <w:szCs w:val="28"/>
        </w:rPr>
        <w:t>implementarea reformelor structurale în conformitate cu măsurile adoptate în Strategia de reformă a administrației publice din Republica Moldova</w:t>
      </w:r>
      <w:r w:rsidR="000440F8" w:rsidRPr="003278ED">
        <w:rPr>
          <w:rFonts w:ascii="Times New Roman" w:eastAsia="Times New Roman" w:hAnsi="Times New Roman" w:cs="Times New Roman"/>
          <w:sz w:val="24"/>
          <w:szCs w:val="28"/>
        </w:rPr>
        <w:t>,</w:t>
      </w:r>
      <w:r w:rsidRPr="003278ED">
        <w:rPr>
          <w:rFonts w:ascii="Times New Roman" w:eastAsia="Times New Roman" w:hAnsi="Times New Roman" w:cs="Times New Roman"/>
          <w:sz w:val="24"/>
          <w:szCs w:val="28"/>
        </w:rPr>
        <w:t xml:space="preserve"> în concordanță cu resursele bugetare disponibile.</w:t>
      </w:r>
    </w:p>
    <w:p w14:paraId="2A8D18CE" w14:textId="39676AB7" w:rsidR="00C47845" w:rsidRPr="003278ED" w:rsidRDefault="00C47845" w:rsidP="007D3A2B">
      <w:pPr>
        <w:tabs>
          <w:tab w:val="left" w:pos="993"/>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Cu referire la cheltuielile de personal în sectorul bugetar</w:t>
      </w:r>
      <w:r w:rsidR="000440F8"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prioritățile sunt direcționate către raționalizarea acestora, în condițiile const</w:t>
      </w:r>
      <w:r w:rsidR="004C2B11">
        <w:rPr>
          <w:rFonts w:ascii="Times New Roman" w:eastAsia="Calibri" w:hAnsi="Times New Roman" w:cs="Times New Roman"/>
          <w:bCs/>
          <w:sz w:val="24"/>
          <w:szCs w:val="28"/>
        </w:rPr>
        <w:t>r</w:t>
      </w:r>
      <w:r w:rsidRPr="003278ED">
        <w:rPr>
          <w:rFonts w:ascii="Times New Roman" w:eastAsia="Calibri" w:hAnsi="Times New Roman" w:cs="Times New Roman"/>
          <w:bCs/>
          <w:sz w:val="24"/>
          <w:szCs w:val="28"/>
        </w:rPr>
        <w:t>ângerilor financiare, care au un caracter persistent.</w:t>
      </w:r>
      <w:r w:rsidR="000440F8" w:rsidRPr="003278ED">
        <w:rPr>
          <w:rFonts w:ascii="Times New Roman" w:eastAsia="Calibri" w:hAnsi="Times New Roman" w:cs="Times New Roman"/>
          <w:bCs/>
          <w:sz w:val="24"/>
          <w:szCs w:val="28"/>
        </w:rPr>
        <w:t xml:space="preserve"> </w:t>
      </w:r>
      <w:r w:rsidRPr="003278ED">
        <w:rPr>
          <w:rFonts w:ascii="Times New Roman" w:eastAsia="Calibri" w:hAnsi="Times New Roman" w:cs="Times New Roman"/>
          <w:bCs/>
          <w:sz w:val="24"/>
          <w:szCs w:val="28"/>
        </w:rPr>
        <w:t>În acest sens</w:t>
      </w:r>
      <w:r w:rsidR="000440F8"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revizuirea sistemului de salarizare reprezintă un obiectiv esențial pe termen mediu, necesar a fi realizat pentru  atingerea obiectivelor strategice setate.</w:t>
      </w:r>
    </w:p>
    <w:p w14:paraId="01FD601F" w14:textId="4F965138" w:rsidR="00C47845" w:rsidRPr="003278ED" w:rsidRDefault="00C47845" w:rsidP="007D3A2B">
      <w:pPr>
        <w:tabs>
          <w:tab w:val="left" w:pos="993"/>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Astfel, în corespundere cu documentele de planificare strategică, pe termen mediu se impun următoarele acțiuni:</w:t>
      </w:r>
    </w:p>
    <w:p w14:paraId="705D2B19" w14:textId="78145EAE"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realizarea evaluări</w:t>
      </w:r>
      <w:r w:rsidR="000440F8" w:rsidRPr="003278ED">
        <w:rPr>
          <w:rFonts w:ascii="Times New Roman" w:eastAsia="Times New Roman" w:hAnsi="Times New Roman" w:cs="Times New Roman"/>
          <w:sz w:val="24"/>
          <w:szCs w:val="24"/>
        </w:rPr>
        <w:t>i</w:t>
      </w:r>
      <w:r w:rsidRPr="003278ED">
        <w:rPr>
          <w:rFonts w:ascii="Times New Roman" w:eastAsia="Times New Roman" w:hAnsi="Times New Roman" w:cs="Times New Roman"/>
          <w:sz w:val="24"/>
          <w:szCs w:val="24"/>
        </w:rPr>
        <w:t xml:space="preserve"> comprehensive a actualului sistem unitar de salarizare în sectorul bugetar, ținând cont de intervențiile și </w:t>
      </w:r>
      <w:r w:rsidR="000440F8" w:rsidRPr="003278ED">
        <w:rPr>
          <w:rFonts w:ascii="Times New Roman" w:eastAsia="Times New Roman" w:hAnsi="Times New Roman" w:cs="Times New Roman"/>
          <w:sz w:val="24"/>
          <w:szCs w:val="24"/>
        </w:rPr>
        <w:t xml:space="preserve">de </w:t>
      </w:r>
      <w:r w:rsidRPr="003278ED">
        <w:rPr>
          <w:rFonts w:ascii="Times New Roman" w:eastAsia="Times New Roman" w:hAnsi="Times New Roman" w:cs="Times New Roman"/>
          <w:sz w:val="24"/>
          <w:szCs w:val="24"/>
        </w:rPr>
        <w:t>măsurile de politică salarială implementate în perioada 2023-2024;</w:t>
      </w:r>
    </w:p>
    <w:p w14:paraId="414B53DF" w14:textId="77777777"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reierarhizarea grilei unice de salarizare aplicabile în cadrul sistemului unitar de salarizare, ca rezultat al procesului de reevaluarea a funcțiilor, în scopul identificării și eliminării discrepanțelor existente;</w:t>
      </w:r>
    </w:p>
    <w:p w14:paraId="01DD7140" w14:textId="77777777"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revizuirea și perfecționarea etapizată a cadrului normativ primar și secundar aferent sistemului unitar de salarizare în sectorul bugetar;</w:t>
      </w:r>
    </w:p>
    <w:p w14:paraId="274E528F" w14:textId="7A50376F"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definitivarea dezvoltării sisteme</w:t>
      </w:r>
      <w:r w:rsidR="000440F8" w:rsidRPr="003278ED">
        <w:rPr>
          <w:rFonts w:ascii="Times New Roman" w:eastAsia="Times New Roman" w:hAnsi="Times New Roman" w:cs="Times New Roman"/>
          <w:sz w:val="24"/>
          <w:szCs w:val="24"/>
        </w:rPr>
        <w:t>lor</w:t>
      </w:r>
      <w:r w:rsidRPr="003278ED">
        <w:rPr>
          <w:rFonts w:ascii="Times New Roman" w:eastAsia="Times New Roman" w:hAnsi="Times New Roman" w:cs="Times New Roman"/>
          <w:sz w:val="24"/>
          <w:szCs w:val="24"/>
        </w:rPr>
        <w:t xml:space="preserve"> </w:t>
      </w:r>
      <w:proofErr w:type="spellStart"/>
      <w:r w:rsidRPr="003278ED">
        <w:rPr>
          <w:rFonts w:ascii="Times New Roman" w:eastAsia="Times New Roman" w:hAnsi="Times New Roman" w:cs="Times New Roman"/>
          <w:sz w:val="24"/>
          <w:szCs w:val="24"/>
        </w:rPr>
        <w:t>informaţionale</w:t>
      </w:r>
      <w:proofErr w:type="spellEnd"/>
      <w:r w:rsidRPr="003278ED">
        <w:rPr>
          <w:rFonts w:ascii="Times New Roman" w:eastAsia="Times New Roman" w:hAnsi="Times New Roman" w:cs="Times New Roman"/>
          <w:sz w:val="24"/>
          <w:szCs w:val="24"/>
        </w:rPr>
        <w:t xml:space="preserve"> de </w:t>
      </w:r>
      <w:proofErr w:type="spellStart"/>
      <w:r w:rsidRPr="003278ED">
        <w:rPr>
          <w:rFonts w:ascii="Times New Roman" w:eastAsia="Times New Roman" w:hAnsi="Times New Roman" w:cs="Times New Roman"/>
          <w:sz w:val="24"/>
          <w:szCs w:val="24"/>
        </w:rPr>
        <w:t>evidenţă</w:t>
      </w:r>
      <w:proofErr w:type="spellEnd"/>
      <w:r w:rsidRPr="003278ED">
        <w:rPr>
          <w:rFonts w:ascii="Times New Roman" w:eastAsia="Times New Roman" w:hAnsi="Times New Roman" w:cs="Times New Roman"/>
          <w:sz w:val="24"/>
          <w:szCs w:val="24"/>
        </w:rPr>
        <w:t xml:space="preserve"> a indicatorilor bugetari la componenta cheltuieli de personal, capabile să asigure realizarea diferitor scenarii </w:t>
      </w:r>
      <w:proofErr w:type="spellStart"/>
      <w:r w:rsidRPr="003278ED">
        <w:rPr>
          <w:rFonts w:ascii="Times New Roman" w:eastAsia="Times New Roman" w:hAnsi="Times New Roman" w:cs="Times New Roman"/>
          <w:sz w:val="24"/>
          <w:szCs w:val="24"/>
        </w:rPr>
        <w:t>şi</w:t>
      </w:r>
      <w:proofErr w:type="spellEnd"/>
      <w:r w:rsidRPr="003278ED">
        <w:rPr>
          <w:rFonts w:ascii="Times New Roman" w:eastAsia="Times New Roman" w:hAnsi="Times New Roman" w:cs="Times New Roman"/>
          <w:sz w:val="24"/>
          <w:szCs w:val="24"/>
        </w:rPr>
        <w:t xml:space="preserve"> modele de </w:t>
      </w:r>
      <w:proofErr w:type="spellStart"/>
      <w:r w:rsidRPr="003278ED">
        <w:rPr>
          <w:rFonts w:ascii="Times New Roman" w:eastAsia="Times New Roman" w:hAnsi="Times New Roman" w:cs="Times New Roman"/>
          <w:sz w:val="24"/>
          <w:szCs w:val="24"/>
        </w:rPr>
        <w:t>intervenţie</w:t>
      </w:r>
      <w:proofErr w:type="spellEnd"/>
      <w:r w:rsidRPr="003278ED">
        <w:rPr>
          <w:rFonts w:ascii="Times New Roman" w:eastAsia="Times New Roman" w:hAnsi="Times New Roman" w:cs="Times New Roman"/>
          <w:sz w:val="24"/>
          <w:szCs w:val="24"/>
        </w:rPr>
        <w:t xml:space="preserve"> pe termen mediu în procesul de prognozare </w:t>
      </w:r>
      <w:proofErr w:type="spellStart"/>
      <w:r w:rsidRPr="003278ED">
        <w:rPr>
          <w:rFonts w:ascii="Times New Roman" w:eastAsia="Times New Roman" w:hAnsi="Times New Roman" w:cs="Times New Roman"/>
          <w:sz w:val="24"/>
          <w:szCs w:val="24"/>
        </w:rPr>
        <w:t>şi</w:t>
      </w:r>
      <w:proofErr w:type="spellEnd"/>
      <w:r w:rsidRPr="003278ED">
        <w:rPr>
          <w:rFonts w:ascii="Times New Roman" w:eastAsia="Times New Roman" w:hAnsi="Times New Roman" w:cs="Times New Roman"/>
          <w:sz w:val="24"/>
          <w:szCs w:val="24"/>
        </w:rPr>
        <w:t xml:space="preserve"> </w:t>
      </w:r>
      <w:r w:rsidR="000440F8" w:rsidRPr="003278ED">
        <w:rPr>
          <w:rFonts w:ascii="Times New Roman" w:eastAsia="Times New Roman" w:hAnsi="Times New Roman" w:cs="Times New Roman"/>
          <w:sz w:val="24"/>
          <w:szCs w:val="24"/>
        </w:rPr>
        <w:t xml:space="preserve">de </w:t>
      </w:r>
      <w:r w:rsidRPr="003278ED">
        <w:rPr>
          <w:rFonts w:ascii="Times New Roman" w:eastAsia="Times New Roman" w:hAnsi="Times New Roman" w:cs="Times New Roman"/>
          <w:sz w:val="24"/>
          <w:szCs w:val="24"/>
        </w:rPr>
        <w:t>planificare a cheltuielilor de personal;</w:t>
      </w:r>
    </w:p>
    <w:p w14:paraId="02C1F52C" w14:textId="77777777"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dezvoltarea unor proceduri de planificare a fondului de remunerare a muncii, bazate pe </w:t>
      </w:r>
      <w:proofErr w:type="spellStart"/>
      <w:r w:rsidRPr="003278ED">
        <w:rPr>
          <w:rFonts w:ascii="Times New Roman" w:eastAsia="Times New Roman" w:hAnsi="Times New Roman" w:cs="Times New Roman"/>
          <w:sz w:val="24"/>
          <w:szCs w:val="24"/>
        </w:rPr>
        <w:t>performanţă</w:t>
      </w:r>
      <w:proofErr w:type="spellEnd"/>
      <w:r w:rsidRPr="003278ED">
        <w:rPr>
          <w:rFonts w:ascii="Times New Roman" w:eastAsia="Times New Roman" w:hAnsi="Times New Roman" w:cs="Times New Roman"/>
          <w:sz w:val="24"/>
          <w:szCs w:val="24"/>
        </w:rPr>
        <w:t xml:space="preserve">, echitate, nediscriminare </w:t>
      </w:r>
      <w:proofErr w:type="spellStart"/>
      <w:r w:rsidRPr="003278ED">
        <w:rPr>
          <w:rFonts w:ascii="Times New Roman" w:eastAsia="Times New Roman" w:hAnsi="Times New Roman" w:cs="Times New Roman"/>
          <w:sz w:val="24"/>
          <w:szCs w:val="24"/>
        </w:rPr>
        <w:t>şi</w:t>
      </w:r>
      <w:proofErr w:type="spellEnd"/>
      <w:r w:rsidRPr="003278ED">
        <w:rPr>
          <w:rFonts w:ascii="Times New Roman" w:eastAsia="Times New Roman" w:hAnsi="Times New Roman" w:cs="Times New Roman"/>
          <w:sz w:val="24"/>
          <w:szCs w:val="24"/>
        </w:rPr>
        <w:t xml:space="preserve"> control al riscurilor, în strânsă corelare cu procesul general de planificare bugetară;</w:t>
      </w:r>
    </w:p>
    <w:p w14:paraId="65E74C75" w14:textId="77777777" w:rsidR="00C47845" w:rsidRPr="003278ED" w:rsidRDefault="00C47845" w:rsidP="007D3A2B">
      <w:pPr>
        <w:numPr>
          <w:ilvl w:val="0"/>
          <w:numId w:val="34"/>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dezvoltarea continuă a mecanismelor de monitorizare a </w:t>
      </w:r>
      <w:proofErr w:type="spellStart"/>
      <w:r w:rsidRPr="003278ED">
        <w:rPr>
          <w:rFonts w:ascii="Times New Roman" w:eastAsia="Times New Roman" w:hAnsi="Times New Roman" w:cs="Times New Roman"/>
          <w:sz w:val="24"/>
          <w:szCs w:val="24"/>
        </w:rPr>
        <w:t>unităţilor</w:t>
      </w:r>
      <w:proofErr w:type="spellEnd"/>
      <w:r w:rsidRPr="003278ED">
        <w:rPr>
          <w:rFonts w:ascii="Times New Roman" w:eastAsia="Times New Roman" w:hAnsi="Times New Roman" w:cs="Times New Roman"/>
          <w:sz w:val="24"/>
          <w:szCs w:val="24"/>
        </w:rPr>
        <w:t xml:space="preserve"> de personal corelate cu procesele de planificare a fondului de salarizare a </w:t>
      </w:r>
      <w:proofErr w:type="spellStart"/>
      <w:r w:rsidRPr="003278ED">
        <w:rPr>
          <w:rFonts w:ascii="Times New Roman" w:eastAsia="Times New Roman" w:hAnsi="Times New Roman" w:cs="Times New Roman"/>
          <w:sz w:val="24"/>
          <w:szCs w:val="24"/>
        </w:rPr>
        <w:t>autorităţilor</w:t>
      </w:r>
      <w:proofErr w:type="spellEnd"/>
      <w:r w:rsidRPr="003278ED">
        <w:rPr>
          <w:rFonts w:ascii="Times New Roman" w:eastAsia="Times New Roman" w:hAnsi="Times New Roman" w:cs="Times New Roman"/>
          <w:sz w:val="24"/>
          <w:szCs w:val="24"/>
        </w:rPr>
        <w:t xml:space="preserve"> publice. </w:t>
      </w:r>
    </w:p>
    <w:p w14:paraId="756D1C8A" w14:textId="436CB193" w:rsidR="00C47845" w:rsidRPr="003278ED" w:rsidRDefault="00C47845" w:rsidP="007D3A2B">
      <w:pPr>
        <w:tabs>
          <w:tab w:val="left" w:pos="993"/>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Adițional </w:t>
      </w:r>
      <w:r w:rsidR="00FB41DF" w:rsidRPr="003278ED">
        <w:rPr>
          <w:rFonts w:ascii="Times New Roman" w:eastAsia="Calibri" w:hAnsi="Times New Roman" w:cs="Times New Roman"/>
          <w:bCs/>
          <w:sz w:val="24"/>
          <w:szCs w:val="28"/>
        </w:rPr>
        <w:t>pe</w:t>
      </w:r>
      <w:r w:rsidRPr="003278ED">
        <w:rPr>
          <w:rFonts w:ascii="Times New Roman" w:eastAsia="Calibri" w:hAnsi="Times New Roman" w:cs="Times New Roman"/>
          <w:bCs/>
          <w:sz w:val="24"/>
          <w:szCs w:val="28"/>
        </w:rPr>
        <w:t xml:space="preserve">ntru asigurarea unei creșteri sustenabile a salariilor angajaților din sectorul bugetar se propune indexarea anuală a valorilor de referință utilizate la calcularea salariilor, în </w:t>
      </w:r>
      <w:r w:rsidRPr="003278ED">
        <w:rPr>
          <w:rFonts w:ascii="Times New Roman" w:eastAsia="Calibri" w:hAnsi="Times New Roman" w:cs="Times New Roman"/>
          <w:bCs/>
          <w:sz w:val="24"/>
          <w:szCs w:val="28"/>
        </w:rPr>
        <w:lastRenderedPageBreak/>
        <w:t>corelare cu nivelul prognozat al inflației, ceea ce în perspectivă va asigura eliminarea treptată a valorilor de referință derogatorii. Totodată</w:t>
      </w:r>
      <w:r w:rsidR="00FB41DF" w:rsidRPr="003278ED">
        <w:rPr>
          <w:rFonts w:ascii="Times New Roman" w:eastAsia="Calibri" w:hAnsi="Times New Roman" w:cs="Times New Roman"/>
          <w:bCs/>
          <w:sz w:val="24"/>
          <w:szCs w:val="28"/>
        </w:rPr>
        <w:t>,</w:t>
      </w:r>
      <w:r w:rsidRPr="003278ED">
        <w:rPr>
          <w:rFonts w:ascii="Times New Roman" w:eastAsia="Calibri" w:hAnsi="Times New Roman" w:cs="Times New Roman"/>
          <w:bCs/>
          <w:sz w:val="24"/>
          <w:szCs w:val="28"/>
        </w:rPr>
        <w:t xml:space="preserve"> un element esențial în procesul dat îl va reprezenta unificarea și consolidarea numărului valorilor de referință care urmează a fi raportat la nivelul de responsabilitate și </w:t>
      </w:r>
      <w:r w:rsidR="00FB41DF" w:rsidRPr="003278ED">
        <w:rPr>
          <w:rFonts w:ascii="Times New Roman" w:eastAsia="Calibri" w:hAnsi="Times New Roman" w:cs="Times New Roman"/>
          <w:bCs/>
          <w:sz w:val="24"/>
          <w:szCs w:val="28"/>
        </w:rPr>
        <w:t xml:space="preserve">la </w:t>
      </w:r>
      <w:r w:rsidRPr="003278ED">
        <w:rPr>
          <w:rFonts w:ascii="Times New Roman" w:eastAsia="Calibri" w:hAnsi="Times New Roman" w:cs="Times New Roman"/>
          <w:bCs/>
          <w:sz w:val="24"/>
          <w:szCs w:val="28"/>
        </w:rPr>
        <w:t>specificul de activitate a</w:t>
      </w:r>
      <w:r w:rsidR="00FB41DF" w:rsidRPr="003278ED">
        <w:rPr>
          <w:rFonts w:ascii="Times New Roman" w:eastAsia="Calibri" w:hAnsi="Times New Roman" w:cs="Times New Roman"/>
          <w:bCs/>
          <w:sz w:val="24"/>
          <w:szCs w:val="28"/>
        </w:rPr>
        <w:t>l</w:t>
      </w:r>
      <w:r w:rsidRPr="003278ED">
        <w:rPr>
          <w:rFonts w:ascii="Times New Roman" w:eastAsia="Calibri" w:hAnsi="Times New Roman" w:cs="Times New Roman"/>
          <w:bCs/>
          <w:sz w:val="24"/>
          <w:szCs w:val="28"/>
        </w:rPr>
        <w:t xml:space="preserve"> unor categorii de instituții bugetare.  </w:t>
      </w:r>
    </w:p>
    <w:p w14:paraId="75ECCA86" w14:textId="4E4A042E" w:rsidR="00C47845" w:rsidRPr="003278ED" w:rsidRDefault="00C47845" w:rsidP="00A47DB5">
      <w:pPr>
        <w:tabs>
          <w:tab w:val="left" w:pos="993"/>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În același timp, în scopul protejării de către stat a salariaților din unitățile bugetare cu venituri mici, în contextul reexaminării cuantumul salariului minim pe țară, în </w:t>
      </w:r>
      <w:r w:rsidR="00066204" w:rsidRPr="003278ED">
        <w:rPr>
          <w:rFonts w:ascii="Times New Roman" w:eastAsia="Calibri" w:hAnsi="Times New Roman" w:cs="Times New Roman"/>
          <w:bCs/>
          <w:sz w:val="24"/>
          <w:szCs w:val="28"/>
        </w:rPr>
        <w:t>funcție</w:t>
      </w:r>
      <w:r w:rsidRPr="003278ED">
        <w:rPr>
          <w:rFonts w:ascii="Times New Roman" w:eastAsia="Calibri" w:hAnsi="Times New Roman" w:cs="Times New Roman"/>
          <w:bCs/>
          <w:sz w:val="24"/>
          <w:szCs w:val="28"/>
        </w:rPr>
        <w:t xml:space="preserve"> de situația economică și</w:t>
      </w:r>
      <w:r w:rsidR="00066204" w:rsidRPr="003278ED">
        <w:rPr>
          <w:rFonts w:ascii="Times New Roman" w:eastAsia="Calibri" w:hAnsi="Times New Roman" w:cs="Times New Roman"/>
          <w:bCs/>
          <w:sz w:val="24"/>
          <w:szCs w:val="28"/>
        </w:rPr>
        <w:t xml:space="preserve"> de</w:t>
      </w:r>
      <w:r w:rsidRPr="003278ED">
        <w:rPr>
          <w:rFonts w:ascii="Times New Roman" w:eastAsia="Calibri" w:hAnsi="Times New Roman" w:cs="Times New Roman"/>
          <w:bCs/>
          <w:sz w:val="24"/>
          <w:szCs w:val="28"/>
        </w:rPr>
        <w:t xml:space="preserve"> posibilitățile financiare se planifică continuarea asigurării plăților compensatorii persoanelor a căror salariu lunar, calculat pentru o funcție cu durata normală a timp</w:t>
      </w:r>
      <w:r w:rsidR="00066204" w:rsidRPr="003278ED">
        <w:rPr>
          <w:rFonts w:ascii="Times New Roman" w:eastAsia="Calibri" w:hAnsi="Times New Roman" w:cs="Times New Roman"/>
          <w:bCs/>
          <w:sz w:val="24"/>
          <w:szCs w:val="28"/>
        </w:rPr>
        <w:t>ului de muncă, va fi mai mic de</w:t>
      </w:r>
      <w:r w:rsidRPr="003278ED">
        <w:rPr>
          <w:rFonts w:ascii="Times New Roman" w:eastAsia="Calibri" w:hAnsi="Times New Roman" w:cs="Times New Roman"/>
          <w:bCs/>
          <w:sz w:val="24"/>
          <w:szCs w:val="28"/>
        </w:rPr>
        <w:t>cât cuantumul salariului minim stabilit.</w:t>
      </w:r>
    </w:p>
    <w:p w14:paraId="4DFB3EE8" w14:textId="03C9A266" w:rsidR="00867684" w:rsidRPr="003278ED" w:rsidRDefault="00867684" w:rsidP="00A47DB5">
      <w:pPr>
        <w:tabs>
          <w:tab w:val="left" w:pos="993"/>
        </w:tabs>
        <w:spacing w:after="0" w:line="240" w:lineRule="auto"/>
        <w:ind w:firstLine="709"/>
        <w:jc w:val="both"/>
        <w:rPr>
          <w:rFonts w:ascii="Times New Roman" w:eastAsia="Calibri" w:hAnsi="Times New Roman" w:cs="Times New Roman"/>
          <w:b/>
          <w:sz w:val="24"/>
          <w:szCs w:val="28"/>
        </w:rPr>
      </w:pPr>
    </w:p>
    <w:p w14:paraId="6B6A34D1" w14:textId="77777777" w:rsidR="00E90C38" w:rsidRPr="003278ED" w:rsidRDefault="00E90C38" w:rsidP="00A47DB5">
      <w:pPr>
        <w:tabs>
          <w:tab w:val="left" w:pos="993"/>
        </w:tabs>
        <w:spacing w:after="0" w:line="240" w:lineRule="auto"/>
        <w:ind w:firstLine="709"/>
        <w:jc w:val="both"/>
        <w:rPr>
          <w:rFonts w:ascii="Times New Roman" w:eastAsia="Calibri" w:hAnsi="Times New Roman" w:cs="Times New Roman"/>
          <w:b/>
          <w:szCs w:val="28"/>
        </w:rPr>
      </w:pPr>
      <w:r w:rsidRPr="003278ED">
        <w:rPr>
          <w:rFonts w:ascii="Times New Roman" w:hAnsi="Times New Roman" w:cs="Times New Roman"/>
          <w:b/>
          <w:bCs/>
          <w:sz w:val="24"/>
          <w:szCs w:val="28"/>
        </w:rPr>
        <w:t>Prognoza cheltuielilor pe termen mediu: 2024-2027</w:t>
      </w:r>
    </w:p>
    <w:p w14:paraId="6479335B" w14:textId="5660C6EC" w:rsidR="00E90C38" w:rsidRPr="003278ED" w:rsidRDefault="00FC4B0E" w:rsidP="00A47DB5">
      <w:pPr>
        <w:tabs>
          <w:tab w:val="left" w:pos="993"/>
        </w:tabs>
        <w:spacing w:after="0" w:line="240" w:lineRule="auto"/>
        <w:ind w:firstLine="709"/>
        <w:jc w:val="both"/>
        <w:rPr>
          <w:rFonts w:ascii="Times New Roman" w:eastAsia="Calibri" w:hAnsi="Times New Roman" w:cs="Times New Roman"/>
          <w:b/>
          <w:i/>
          <w:sz w:val="24"/>
          <w:szCs w:val="28"/>
        </w:rPr>
      </w:pPr>
      <w:r w:rsidRPr="003278ED">
        <w:rPr>
          <w:rFonts w:ascii="Times New Roman" w:eastAsia="Calibri" w:hAnsi="Times New Roman" w:cs="Times New Roman"/>
          <w:b/>
          <w:i/>
          <w:sz w:val="24"/>
          <w:szCs w:val="28"/>
        </w:rPr>
        <w:t>Chelt</w:t>
      </w:r>
      <w:r w:rsidR="00B37822" w:rsidRPr="003278ED">
        <w:rPr>
          <w:rFonts w:ascii="Times New Roman" w:eastAsia="Calibri" w:hAnsi="Times New Roman" w:cs="Times New Roman"/>
          <w:b/>
          <w:i/>
          <w:sz w:val="24"/>
          <w:szCs w:val="28"/>
        </w:rPr>
        <w:t>uielile</w:t>
      </w:r>
      <w:r w:rsidRPr="003278ED">
        <w:rPr>
          <w:rFonts w:ascii="Times New Roman" w:eastAsia="Calibri" w:hAnsi="Times New Roman" w:cs="Times New Roman"/>
          <w:b/>
          <w:i/>
          <w:sz w:val="24"/>
          <w:szCs w:val="28"/>
        </w:rPr>
        <w:t xml:space="preserve"> bugetului public național în anul 2024</w:t>
      </w:r>
    </w:p>
    <w:p w14:paraId="392FD9EB" w14:textId="5647FFDC" w:rsidR="00EE0F0B" w:rsidRPr="003278ED" w:rsidRDefault="00EE0F0B"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În anul 2024 cheltuielile bugetului public național se estimează </w:t>
      </w:r>
      <w:r w:rsidR="00066204" w:rsidRPr="003278ED">
        <w:rPr>
          <w:rFonts w:ascii="Times New Roman" w:eastAsia="Calibri" w:hAnsi="Times New Roman" w:cs="Times New Roman"/>
          <w:sz w:val="24"/>
          <w:szCs w:val="28"/>
        </w:rPr>
        <w:t>la</w:t>
      </w:r>
      <w:r w:rsidRPr="003278ED">
        <w:rPr>
          <w:rFonts w:ascii="Times New Roman" w:eastAsia="Calibri" w:hAnsi="Times New Roman" w:cs="Times New Roman"/>
          <w:sz w:val="24"/>
          <w:szCs w:val="28"/>
        </w:rPr>
        <w:t xml:space="preserve"> sum</w:t>
      </w:r>
      <w:r w:rsidR="00066204" w:rsidRPr="003278ED">
        <w:rPr>
          <w:rFonts w:ascii="Times New Roman" w:eastAsia="Calibri" w:hAnsi="Times New Roman" w:cs="Times New Roman"/>
          <w:sz w:val="24"/>
          <w:szCs w:val="28"/>
        </w:rPr>
        <w:t>a</w:t>
      </w:r>
      <w:r w:rsidRPr="003278ED">
        <w:rPr>
          <w:rFonts w:ascii="Times New Roman" w:eastAsia="Calibri" w:hAnsi="Times New Roman" w:cs="Times New Roman"/>
          <w:sz w:val="24"/>
          <w:szCs w:val="28"/>
        </w:rPr>
        <w:t xml:space="preserve"> de </w:t>
      </w:r>
      <w:r w:rsidR="00066204" w:rsidRPr="003278ED">
        <w:rPr>
          <w:rFonts w:ascii="Times New Roman" w:eastAsia="Calibri" w:hAnsi="Times New Roman" w:cs="Times New Roman"/>
          <w:sz w:val="24"/>
          <w:szCs w:val="28"/>
        </w:rPr>
        <w:br/>
      </w:r>
      <w:r w:rsidRPr="003278ED">
        <w:rPr>
          <w:rFonts w:ascii="Times New Roman" w:eastAsia="Calibri" w:hAnsi="Times New Roman" w:cs="Times New Roman"/>
          <w:sz w:val="24"/>
          <w:szCs w:val="28"/>
        </w:rPr>
        <w:t xml:space="preserve">122 962 mil. lei, cu o majorare în valoare nominală de 5 091 mil. lei sau cu 4,3 % față de anul 2023. De asemenea, se estimează micșorarea ponderii acestora în PIB cu 3,3 </w:t>
      </w:r>
      <w:proofErr w:type="spellStart"/>
      <w:r w:rsidR="00066204" w:rsidRPr="003278ED">
        <w:rPr>
          <w:rFonts w:ascii="Times New Roman" w:eastAsia="Calibri" w:hAnsi="Times New Roman" w:cs="Times New Roman"/>
          <w:sz w:val="24"/>
          <w:szCs w:val="28"/>
        </w:rPr>
        <w:t>p.p.</w:t>
      </w:r>
      <w:proofErr w:type="spellEnd"/>
      <w:r w:rsidRPr="003278ED">
        <w:rPr>
          <w:rFonts w:ascii="Times New Roman" w:eastAsia="Calibri" w:hAnsi="Times New Roman" w:cs="Times New Roman"/>
          <w:sz w:val="24"/>
          <w:szCs w:val="28"/>
        </w:rPr>
        <w:t xml:space="preserve"> și va constitui 35,9 %.</w:t>
      </w:r>
    </w:p>
    <w:p w14:paraId="7BC7CFE1" w14:textId="70830BCA" w:rsidR="00EE0F0B" w:rsidRPr="003278ED" w:rsidRDefault="00EE0F0B" w:rsidP="00A47DB5">
      <w:pPr>
        <w:tabs>
          <w:tab w:val="left" w:pos="993"/>
        </w:tabs>
        <w:spacing w:after="0" w:line="240" w:lineRule="auto"/>
        <w:ind w:firstLine="709"/>
        <w:jc w:val="both"/>
        <w:rPr>
          <w:rFonts w:ascii="Times New Roman" w:hAnsi="Times New Roman" w:cs="Times New Roman"/>
          <w:color w:val="000000" w:themeColor="text1"/>
          <w:sz w:val="24"/>
          <w:szCs w:val="28"/>
          <w:shd w:val="clear" w:color="auto" w:fill="FFFFFF"/>
        </w:rPr>
      </w:pPr>
      <w:r w:rsidRPr="003278ED">
        <w:rPr>
          <w:rFonts w:ascii="Times New Roman" w:eastAsia="Calibri" w:hAnsi="Times New Roman" w:cs="Times New Roman"/>
          <w:sz w:val="24"/>
          <w:szCs w:val="28"/>
        </w:rPr>
        <w:t xml:space="preserve">Sub aspect economic, ponderea cea mai mare în totalul cheltuielilor, la fel ca în anii precedenți, o reprezintă cheltuielile pentru prestații sociale, care vor constitui circa 36,2 %, estimându-se </w:t>
      </w:r>
      <w:r w:rsidR="00066204" w:rsidRPr="003278ED">
        <w:rPr>
          <w:rFonts w:ascii="Times New Roman" w:eastAsia="Calibri" w:hAnsi="Times New Roman" w:cs="Times New Roman"/>
          <w:sz w:val="24"/>
          <w:szCs w:val="28"/>
        </w:rPr>
        <w:t>la</w:t>
      </w:r>
      <w:r w:rsidRPr="003278ED">
        <w:rPr>
          <w:rFonts w:ascii="Times New Roman" w:eastAsia="Calibri" w:hAnsi="Times New Roman" w:cs="Times New Roman"/>
          <w:sz w:val="24"/>
          <w:szCs w:val="28"/>
        </w:rPr>
        <w:t xml:space="preserve"> sum</w:t>
      </w:r>
      <w:r w:rsidR="00066204" w:rsidRPr="003278ED">
        <w:rPr>
          <w:rFonts w:ascii="Times New Roman" w:eastAsia="Calibri" w:hAnsi="Times New Roman" w:cs="Times New Roman"/>
          <w:sz w:val="24"/>
          <w:szCs w:val="28"/>
        </w:rPr>
        <w:t>a</w:t>
      </w:r>
      <w:r w:rsidRPr="003278ED">
        <w:rPr>
          <w:rFonts w:ascii="Times New Roman" w:eastAsia="Calibri" w:hAnsi="Times New Roman" w:cs="Times New Roman"/>
          <w:sz w:val="24"/>
          <w:szCs w:val="28"/>
        </w:rPr>
        <w:t xml:space="preserve"> de 44 496 mil. lei (13,0 % din PIB), cu o majorare de 920 mil. lei față de anul 2023. Creșterea acestor cheltuieli se ates</w:t>
      </w:r>
      <w:r w:rsidR="00066204" w:rsidRPr="003278ED">
        <w:rPr>
          <w:rFonts w:ascii="Times New Roman" w:eastAsia="Calibri" w:hAnsi="Times New Roman" w:cs="Times New Roman"/>
          <w:sz w:val="24"/>
          <w:szCs w:val="28"/>
        </w:rPr>
        <w:t xml:space="preserve">tă în mare parte în rezultatul </w:t>
      </w:r>
      <w:r w:rsidRPr="003278ED">
        <w:rPr>
          <w:rFonts w:ascii="Times New Roman" w:eastAsia="Calibri" w:hAnsi="Times New Roman" w:cs="Times New Roman"/>
          <w:sz w:val="24"/>
          <w:szCs w:val="28"/>
        </w:rPr>
        <w:t xml:space="preserve">majorării cuantumului prestațiilor sociale și </w:t>
      </w:r>
      <w:r w:rsidR="00066204" w:rsidRPr="003278ED">
        <w:rPr>
          <w:rFonts w:ascii="Times New Roman" w:eastAsia="Calibri" w:hAnsi="Times New Roman" w:cs="Times New Roman"/>
          <w:sz w:val="24"/>
          <w:szCs w:val="28"/>
        </w:rPr>
        <w:t xml:space="preserve">a </w:t>
      </w:r>
      <w:r w:rsidRPr="003278ED">
        <w:rPr>
          <w:rFonts w:ascii="Times New Roman" w:eastAsia="Calibri" w:hAnsi="Times New Roman" w:cs="Times New Roman"/>
          <w:sz w:val="24"/>
          <w:szCs w:val="28"/>
        </w:rPr>
        <w:t xml:space="preserve">numărului de beneficiari, în special a prestațiilor aferente dreptului la pensie pentru limită de vârstă. </w:t>
      </w:r>
    </w:p>
    <w:p w14:paraId="3B7EDDD4" w14:textId="2627D168" w:rsidR="00EE0F0B" w:rsidRPr="003278ED" w:rsidRDefault="00EE0F0B"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Pentru anul 2024 se estimează majorarea cheltuielilor de personal atât în valoare nominală, cât și ca pondere în PIB și vor constitui respectiv 27 549 mil. lei și 8,1 % din PIB, cu o majorare de 3 145 mil. lei față de anul 2023. Majorarea respectivă este </w:t>
      </w:r>
      <w:r w:rsidR="00066204" w:rsidRPr="003278ED">
        <w:rPr>
          <w:rFonts w:ascii="Times New Roman" w:eastAsia="Calibri" w:hAnsi="Times New Roman" w:cs="Times New Roman"/>
          <w:sz w:val="24"/>
          <w:szCs w:val="28"/>
        </w:rPr>
        <w:t>determinată</w:t>
      </w:r>
      <w:r w:rsidRPr="003278ED">
        <w:rPr>
          <w:rFonts w:ascii="Times New Roman" w:eastAsia="Calibri" w:hAnsi="Times New Roman" w:cs="Times New Roman"/>
          <w:sz w:val="24"/>
          <w:szCs w:val="28"/>
        </w:rPr>
        <w:t xml:space="preserve"> de implementarea măsurilor noi de politici salariale în sectorul bugetar începând cu 1 ianuarie 2024.</w:t>
      </w:r>
    </w:p>
    <w:p w14:paraId="0D10E7DC" w14:textId="4371623B" w:rsidR="00EE0F0B" w:rsidRPr="003278ED" w:rsidRDefault="00EE0F0B" w:rsidP="00A47DB5">
      <w:pPr>
        <w:tabs>
          <w:tab w:val="left" w:pos="993"/>
        </w:tabs>
        <w:spacing w:after="0" w:line="240" w:lineRule="auto"/>
        <w:ind w:firstLine="709"/>
        <w:jc w:val="both"/>
        <w:rPr>
          <w:rFonts w:ascii="Times New Roman" w:eastAsia="Calibri" w:hAnsi="Times New Roman" w:cs="Times New Roman"/>
          <w:color w:val="FF0000"/>
          <w:sz w:val="24"/>
          <w:szCs w:val="28"/>
        </w:rPr>
      </w:pPr>
      <w:r w:rsidRPr="003278ED">
        <w:rPr>
          <w:rFonts w:ascii="Times New Roman" w:eastAsia="Calibri" w:hAnsi="Times New Roman" w:cs="Times New Roman"/>
          <w:sz w:val="24"/>
          <w:szCs w:val="28"/>
        </w:rPr>
        <w:t xml:space="preserve">Cheltuielile pentru bunuri și servicii se vor majora cu 2 044 mil. lei, sau cu 10,1 %, și se estimează </w:t>
      </w:r>
      <w:r w:rsidR="00066204" w:rsidRPr="003278ED">
        <w:rPr>
          <w:rFonts w:ascii="Times New Roman" w:eastAsia="Calibri" w:hAnsi="Times New Roman" w:cs="Times New Roman"/>
          <w:sz w:val="24"/>
          <w:szCs w:val="28"/>
        </w:rPr>
        <w:t>la</w:t>
      </w:r>
      <w:r w:rsidRPr="003278ED">
        <w:rPr>
          <w:rFonts w:ascii="Times New Roman" w:eastAsia="Calibri" w:hAnsi="Times New Roman" w:cs="Times New Roman"/>
          <w:sz w:val="24"/>
          <w:szCs w:val="28"/>
        </w:rPr>
        <w:t xml:space="preserve"> sum</w:t>
      </w:r>
      <w:r w:rsidR="00066204" w:rsidRPr="003278ED">
        <w:rPr>
          <w:rFonts w:ascii="Times New Roman" w:eastAsia="Calibri" w:hAnsi="Times New Roman" w:cs="Times New Roman"/>
          <w:sz w:val="24"/>
          <w:szCs w:val="28"/>
        </w:rPr>
        <w:t>a</w:t>
      </w:r>
      <w:r w:rsidRPr="003278ED">
        <w:rPr>
          <w:rFonts w:ascii="Times New Roman" w:eastAsia="Calibri" w:hAnsi="Times New Roman" w:cs="Times New Roman"/>
          <w:sz w:val="24"/>
          <w:szCs w:val="28"/>
        </w:rPr>
        <w:t xml:space="preserve"> de 22 339 mil. lei (6,5 % din PIB). </w:t>
      </w:r>
    </w:p>
    <w:p w14:paraId="5C9B8E3B" w14:textId="23C516F0" w:rsidR="00EE0F0B" w:rsidRPr="003278ED" w:rsidRDefault="00EE0F0B"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Cheltuielile aferente dobânzilor vor înregistra o micșorare comparativ cu anul 2023 și se estimează </w:t>
      </w:r>
      <w:r w:rsidR="00066204" w:rsidRPr="003278ED">
        <w:rPr>
          <w:rFonts w:ascii="Times New Roman" w:eastAsia="Calibri" w:hAnsi="Times New Roman" w:cs="Times New Roman"/>
          <w:sz w:val="24"/>
          <w:szCs w:val="28"/>
        </w:rPr>
        <w:t>la</w:t>
      </w:r>
      <w:r w:rsidRPr="003278ED">
        <w:rPr>
          <w:rFonts w:ascii="Times New Roman" w:eastAsia="Calibri" w:hAnsi="Times New Roman" w:cs="Times New Roman"/>
          <w:sz w:val="24"/>
          <w:szCs w:val="28"/>
        </w:rPr>
        <w:t xml:space="preserve"> sum</w:t>
      </w:r>
      <w:r w:rsidR="00066204" w:rsidRPr="003278ED">
        <w:rPr>
          <w:rFonts w:ascii="Times New Roman" w:eastAsia="Calibri" w:hAnsi="Times New Roman" w:cs="Times New Roman"/>
          <w:sz w:val="24"/>
          <w:szCs w:val="28"/>
        </w:rPr>
        <w:t>a</w:t>
      </w:r>
      <w:r w:rsidRPr="003278ED">
        <w:rPr>
          <w:rFonts w:ascii="Times New Roman" w:eastAsia="Calibri" w:hAnsi="Times New Roman" w:cs="Times New Roman"/>
          <w:sz w:val="24"/>
          <w:szCs w:val="28"/>
        </w:rPr>
        <w:t xml:space="preserve"> de 5 280 mil. lei (1,5 % din PIB), cu o micșorare de 156 mil. lei. Din suma totală a dobânzilor, circa 55 % se estimează dobânzile aferente datoriei interne. Micșorarea dobânzilor se datorează micșorării</w:t>
      </w:r>
      <w:r w:rsidR="00066204"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w:t>
      </w:r>
      <w:r w:rsidR="00066204" w:rsidRPr="003278ED">
        <w:rPr>
          <w:rFonts w:ascii="Times New Roman" w:eastAsia="Calibri" w:hAnsi="Times New Roman" w:cs="Times New Roman"/>
          <w:sz w:val="24"/>
          <w:szCs w:val="28"/>
        </w:rPr>
        <w:t>față de</w:t>
      </w:r>
      <w:r w:rsidRPr="003278ED">
        <w:rPr>
          <w:rFonts w:ascii="Times New Roman" w:eastAsia="Calibri" w:hAnsi="Times New Roman" w:cs="Times New Roman"/>
          <w:sz w:val="24"/>
          <w:szCs w:val="28"/>
        </w:rPr>
        <w:t xml:space="preserve"> cu anul 2023</w:t>
      </w:r>
      <w:r w:rsidR="00066204"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a ratelor la VMS emise pe piața primară.</w:t>
      </w:r>
    </w:p>
    <w:p w14:paraId="56AC46D2" w14:textId="258C13C3" w:rsidR="00EE0F0B" w:rsidRPr="003278ED" w:rsidRDefault="00EE0F0B" w:rsidP="00A47DB5">
      <w:pPr>
        <w:tabs>
          <w:tab w:val="left" w:pos="993"/>
        </w:tabs>
        <w:spacing w:after="0" w:line="240" w:lineRule="auto"/>
        <w:ind w:firstLine="709"/>
        <w:jc w:val="both"/>
        <w:rPr>
          <w:rFonts w:ascii="Times New Roman" w:eastAsia="Calibri" w:hAnsi="Times New Roman" w:cs="Times New Roman"/>
          <w:color w:val="FF0000"/>
          <w:sz w:val="24"/>
          <w:szCs w:val="28"/>
        </w:rPr>
      </w:pPr>
      <w:r w:rsidRPr="003278ED">
        <w:rPr>
          <w:rFonts w:ascii="Times New Roman" w:eastAsia="Calibri" w:hAnsi="Times New Roman" w:cs="Times New Roman"/>
          <w:sz w:val="24"/>
          <w:szCs w:val="28"/>
        </w:rPr>
        <w:t xml:space="preserve">Cheltuielile capitale în anul 2024 se estimează </w:t>
      </w:r>
      <w:r w:rsidR="00066204" w:rsidRPr="003278ED">
        <w:rPr>
          <w:rFonts w:ascii="Times New Roman" w:eastAsia="Calibri" w:hAnsi="Times New Roman" w:cs="Times New Roman"/>
          <w:sz w:val="24"/>
          <w:szCs w:val="28"/>
        </w:rPr>
        <w:t>la</w:t>
      </w:r>
      <w:r w:rsidRPr="003278ED">
        <w:rPr>
          <w:rFonts w:ascii="Times New Roman" w:eastAsia="Calibri" w:hAnsi="Times New Roman" w:cs="Times New Roman"/>
          <w:sz w:val="24"/>
          <w:szCs w:val="28"/>
        </w:rPr>
        <w:t xml:space="preserve"> sum</w:t>
      </w:r>
      <w:r w:rsidR="00066204" w:rsidRPr="003278ED">
        <w:rPr>
          <w:rFonts w:ascii="Times New Roman" w:eastAsia="Calibri" w:hAnsi="Times New Roman" w:cs="Times New Roman"/>
          <w:sz w:val="24"/>
          <w:szCs w:val="28"/>
        </w:rPr>
        <w:t>a</w:t>
      </w:r>
      <w:r w:rsidRPr="003278ED">
        <w:rPr>
          <w:rFonts w:ascii="Times New Roman" w:eastAsia="Calibri" w:hAnsi="Times New Roman" w:cs="Times New Roman"/>
          <w:sz w:val="24"/>
          <w:szCs w:val="28"/>
        </w:rPr>
        <w:t xml:space="preserve"> de 10 532 mil. lei, fiind </w:t>
      </w:r>
      <w:r w:rsidR="00066204" w:rsidRPr="003278ED">
        <w:rPr>
          <w:rFonts w:ascii="Times New Roman" w:eastAsia="Calibri" w:hAnsi="Times New Roman" w:cs="Times New Roman"/>
          <w:sz w:val="24"/>
          <w:szCs w:val="28"/>
        </w:rPr>
        <w:t>în</w:t>
      </w:r>
      <w:r w:rsidRPr="003278ED">
        <w:rPr>
          <w:rFonts w:ascii="Times New Roman" w:eastAsia="Calibri" w:hAnsi="Times New Roman" w:cs="Times New Roman"/>
          <w:sz w:val="24"/>
          <w:szCs w:val="28"/>
        </w:rPr>
        <w:t xml:space="preserve"> descreștere față de anul 2023 cu 1 379 mil. lei</w:t>
      </w:r>
      <w:r w:rsidR="00BD4B9F" w:rsidRPr="003278ED">
        <w:rPr>
          <w:rFonts w:ascii="Times New Roman" w:eastAsia="Calibri" w:hAnsi="Times New Roman" w:cs="Times New Roman"/>
          <w:sz w:val="24"/>
          <w:szCs w:val="28"/>
        </w:rPr>
        <w:t>.</w:t>
      </w:r>
    </w:p>
    <w:p w14:paraId="4D6DDB92" w14:textId="6A39F3E0" w:rsidR="00B429E0" w:rsidRPr="003278ED" w:rsidRDefault="00B429E0" w:rsidP="00A47DB5">
      <w:pPr>
        <w:tabs>
          <w:tab w:val="left" w:pos="993"/>
        </w:tabs>
        <w:spacing w:after="0" w:line="240" w:lineRule="auto"/>
        <w:ind w:firstLine="709"/>
        <w:jc w:val="both"/>
        <w:rPr>
          <w:rFonts w:ascii="Times New Roman" w:eastAsia="Calibri" w:hAnsi="Times New Roman" w:cs="Times New Roman"/>
          <w:b/>
          <w:i/>
          <w:sz w:val="24"/>
          <w:szCs w:val="28"/>
        </w:rPr>
      </w:pPr>
    </w:p>
    <w:p w14:paraId="0A8D4E87" w14:textId="62D78DD7" w:rsidR="00FC4B0E" w:rsidRPr="003278ED" w:rsidRDefault="006668BA" w:rsidP="00A47DB5">
      <w:pPr>
        <w:tabs>
          <w:tab w:val="left" w:pos="993"/>
        </w:tabs>
        <w:spacing w:after="0" w:line="240" w:lineRule="auto"/>
        <w:ind w:firstLine="709"/>
        <w:jc w:val="both"/>
        <w:rPr>
          <w:rFonts w:ascii="Times New Roman" w:eastAsia="Calibri" w:hAnsi="Times New Roman" w:cs="Times New Roman"/>
          <w:b/>
          <w:sz w:val="24"/>
          <w:szCs w:val="28"/>
        </w:rPr>
      </w:pPr>
      <w:r w:rsidRPr="003278ED">
        <w:rPr>
          <w:rFonts w:ascii="Times New Roman" w:eastAsia="Calibri" w:hAnsi="Times New Roman" w:cs="Times New Roman"/>
          <w:b/>
          <w:sz w:val="24"/>
          <w:szCs w:val="28"/>
        </w:rPr>
        <w:t>P</w:t>
      </w:r>
      <w:r w:rsidR="00FC4B0E" w:rsidRPr="003278ED">
        <w:rPr>
          <w:rFonts w:ascii="Times New Roman" w:eastAsia="Calibri" w:hAnsi="Times New Roman" w:cs="Times New Roman"/>
          <w:b/>
          <w:sz w:val="24"/>
          <w:szCs w:val="28"/>
        </w:rPr>
        <w:t>rognoza</w:t>
      </w:r>
      <w:r w:rsidRPr="003278ED">
        <w:rPr>
          <w:rFonts w:ascii="Times New Roman" w:eastAsia="Calibri" w:hAnsi="Times New Roman" w:cs="Times New Roman"/>
          <w:b/>
          <w:sz w:val="24"/>
          <w:szCs w:val="28"/>
        </w:rPr>
        <w:t xml:space="preserve"> cheltuielilor pentru perioada 2025-2027</w:t>
      </w:r>
    </w:p>
    <w:p w14:paraId="5DBAC8ED" w14:textId="49DA079B" w:rsidR="00D95673" w:rsidRPr="003278ED" w:rsidRDefault="00D95673"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Pe termen mediu, cheltuielile bugetare </w:t>
      </w:r>
      <w:r w:rsidR="00066204" w:rsidRPr="003278ED">
        <w:rPr>
          <w:rFonts w:ascii="Times New Roman" w:eastAsia="Calibri" w:hAnsi="Times New Roman" w:cs="Times New Roman"/>
          <w:sz w:val="24"/>
          <w:szCs w:val="28"/>
        </w:rPr>
        <w:t>ar putea</w:t>
      </w:r>
      <w:r w:rsidRPr="003278ED">
        <w:rPr>
          <w:rFonts w:ascii="Times New Roman" w:eastAsia="Calibri" w:hAnsi="Times New Roman" w:cs="Times New Roman"/>
          <w:sz w:val="24"/>
          <w:szCs w:val="28"/>
        </w:rPr>
        <w:t xml:space="preserve"> să aibă o creștere mai mică </w:t>
      </w:r>
      <w:r w:rsidR="00066204" w:rsidRPr="003278ED">
        <w:rPr>
          <w:rFonts w:ascii="Times New Roman" w:eastAsia="Calibri" w:hAnsi="Times New Roman" w:cs="Times New Roman"/>
          <w:sz w:val="24"/>
          <w:szCs w:val="28"/>
        </w:rPr>
        <w:t xml:space="preserve">față de </w:t>
      </w:r>
      <w:r w:rsidRPr="003278ED">
        <w:rPr>
          <w:rFonts w:ascii="Times New Roman" w:eastAsia="Calibri" w:hAnsi="Times New Roman" w:cs="Times New Roman"/>
          <w:sz w:val="24"/>
          <w:szCs w:val="28"/>
        </w:rPr>
        <w:t>cea din anii precedenți. Se preconizează că în perioada 2025-2027 cheltuielile vor avea o pondere medie de aproximativ 34,8 % în PIB în anul 2027</w:t>
      </w:r>
      <w:r w:rsidR="00066204"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față de 37,7 % în PIB</w:t>
      </w:r>
      <w:r w:rsidR="00066204"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estimate pentru 2024. </w:t>
      </w:r>
    </w:p>
    <w:p w14:paraId="61BB269B" w14:textId="091C268E" w:rsidR="00D95673" w:rsidRPr="003278ED" w:rsidRDefault="00D95673"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Pentru perioada respectivă</w:t>
      </w:r>
      <w:r w:rsidR="00066204"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cheltuielil</w:t>
      </w:r>
      <w:r w:rsidR="00066204" w:rsidRPr="003278ED">
        <w:rPr>
          <w:rFonts w:ascii="Times New Roman" w:eastAsia="Calibri" w:hAnsi="Times New Roman" w:cs="Times New Roman"/>
          <w:sz w:val="24"/>
          <w:szCs w:val="28"/>
        </w:rPr>
        <w:t>e</w:t>
      </w:r>
      <w:r w:rsidRPr="003278ED">
        <w:rPr>
          <w:rFonts w:ascii="Times New Roman" w:eastAsia="Calibri" w:hAnsi="Times New Roman" w:cs="Times New Roman"/>
          <w:sz w:val="24"/>
          <w:szCs w:val="28"/>
        </w:rPr>
        <w:t xml:space="preserve"> bugetare se prognozează să înregistreze o creștere de la 4,7 % în anul 2025 față de anul 2024 până la 8,2 % în anul 2027 comparativ cu anul 2026.</w:t>
      </w:r>
    </w:p>
    <w:p w14:paraId="63C4E179" w14:textId="53565EF0" w:rsidR="00D95673" w:rsidRPr="003278ED" w:rsidRDefault="00D95673"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Cheltuielile pentru investiții capitale </w:t>
      </w:r>
      <w:r w:rsidR="00066204" w:rsidRPr="003278ED">
        <w:rPr>
          <w:rFonts w:ascii="Times New Roman" w:eastAsia="Calibri" w:hAnsi="Times New Roman" w:cs="Times New Roman"/>
          <w:sz w:val="24"/>
          <w:szCs w:val="28"/>
        </w:rPr>
        <w:t>vor avea</w:t>
      </w:r>
      <w:r w:rsidRPr="003278ED">
        <w:rPr>
          <w:rFonts w:ascii="Times New Roman" w:eastAsia="Calibri" w:hAnsi="Times New Roman" w:cs="Times New Roman"/>
          <w:sz w:val="24"/>
          <w:szCs w:val="28"/>
        </w:rPr>
        <w:t xml:space="preserve"> un ritm de creștere mai mic decât cheltuielile recurente. Totodată, aceste estimări ar putea fi revizuite în contextul oportunităților de aplicare la fondurile partenerilor de dezvoltare, în special </w:t>
      </w:r>
      <w:r w:rsidR="00066204" w:rsidRPr="003278ED">
        <w:rPr>
          <w:rFonts w:ascii="Times New Roman" w:eastAsia="Calibri" w:hAnsi="Times New Roman" w:cs="Times New Roman"/>
          <w:sz w:val="24"/>
          <w:szCs w:val="28"/>
        </w:rPr>
        <w:t xml:space="preserve">la </w:t>
      </w:r>
      <w:r w:rsidRPr="003278ED">
        <w:rPr>
          <w:rFonts w:ascii="Times New Roman" w:eastAsia="Calibri" w:hAnsi="Times New Roman" w:cs="Times New Roman"/>
          <w:sz w:val="24"/>
          <w:szCs w:val="28"/>
        </w:rPr>
        <w:t xml:space="preserve">fondurile europene de preaderare. </w:t>
      </w:r>
    </w:p>
    <w:p w14:paraId="26B41A9C" w14:textId="6453F183" w:rsidR="009C7E4B" w:rsidRPr="003278ED" w:rsidRDefault="009C7E4B" w:rsidP="00A47DB5">
      <w:pPr>
        <w:tabs>
          <w:tab w:val="left" w:pos="993"/>
        </w:tabs>
        <w:spacing w:after="0" w:line="240" w:lineRule="auto"/>
        <w:ind w:firstLine="709"/>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Plățile pentru serviciul aferent datoriei de stat au evoluție oscilantă, în contextul evoluțiilor macroeconomice și a piețelor financiare, ajungând până la 1,4 la sută raportat la PIB pentru perioada 2025-2027. În secțiunea D a acestui capitol </w:t>
      </w:r>
      <w:r w:rsidR="00066204" w:rsidRPr="003278ED">
        <w:rPr>
          <w:rFonts w:ascii="Times New Roman" w:eastAsia="Calibri" w:hAnsi="Times New Roman" w:cs="Times New Roman"/>
          <w:bCs/>
          <w:sz w:val="24"/>
          <w:szCs w:val="28"/>
        </w:rPr>
        <w:t xml:space="preserve">datele </w:t>
      </w:r>
      <w:r w:rsidRPr="003278ED">
        <w:rPr>
          <w:rFonts w:ascii="Times New Roman" w:eastAsia="Calibri" w:hAnsi="Times New Roman" w:cs="Times New Roman"/>
          <w:bCs/>
          <w:sz w:val="24"/>
          <w:szCs w:val="28"/>
        </w:rPr>
        <w:t>sunt relatate detaliat.</w:t>
      </w:r>
    </w:p>
    <w:p w14:paraId="597B2298" w14:textId="77777777" w:rsidR="006C5564" w:rsidRPr="003278ED" w:rsidRDefault="006C5564" w:rsidP="00A47DB5">
      <w:pPr>
        <w:tabs>
          <w:tab w:val="left" w:pos="993"/>
        </w:tabs>
        <w:spacing w:after="0" w:line="240" w:lineRule="auto"/>
        <w:ind w:firstLine="709"/>
        <w:jc w:val="both"/>
        <w:rPr>
          <w:rFonts w:ascii="Times New Roman" w:eastAsia="Calibri" w:hAnsi="Times New Roman" w:cs="Times New Roman"/>
          <w:b/>
          <w:sz w:val="24"/>
          <w:szCs w:val="28"/>
        </w:rPr>
      </w:pPr>
    </w:p>
    <w:p w14:paraId="09489881" w14:textId="77777777" w:rsidR="007B1324" w:rsidRDefault="007B1324" w:rsidP="00A47DB5">
      <w:pPr>
        <w:tabs>
          <w:tab w:val="left" w:pos="993"/>
        </w:tabs>
        <w:spacing w:after="0" w:line="240" w:lineRule="auto"/>
        <w:ind w:firstLine="709"/>
        <w:jc w:val="both"/>
        <w:rPr>
          <w:rFonts w:ascii="Times New Roman" w:eastAsia="Calibri" w:hAnsi="Times New Roman" w:cs="Times New Roman"/>
          <w:b/>
          <w:sz w:val="24"/>
          <w:szCs w:val="28"/>
        </w:rPr>
      </w:pPr>
    </w:p>
    <w:p w14:paraId="42829850" w14:textId="77777777" w:rsidR="007B1324" w:rsidRDefault="007B1324" w:rsidP="00A47DB5">
      <w:pPr>
        <w:tabs>
          <w:tab w:val="left" w:pos="993"/>
        </w:tabs>
        <w:spacing w:after="0" w:line="240" w:lineRule="auto"/>
        <w:ind w:firstLine="709"/>
        <w:jc w:val="both"/>
        <w:rPr>
          <w:rFonts w:ascii="Times New Roman" w:eastAsia="Calibri" w:hAnsi="Times New Roman" w:cs="Times New Roman"/>
          <w:b/>
          <w:sz w:val="24"/>
          <w:szCs w:val="28"/>
        </w:rPr>
      </w:pPr>
    </w:p>
    <w:p w14:paraId="451CCA81" w14:textId="7E2DEA4D" w:rsidR="00616D57" w:rsidRPr="003278ED" w:rsidRDefault="00616D57" w:rsidP="00A47DB5">
      <w:pPr>
        <w:tabs>
          <w:tab w:val="left" w:pos="993"/>
        </w:tabs>
        <w:spacing w:after="0" w:line="240" w:lineRule="auto"/>
        <w:ind w:firstLine="709"/>
        <w:jc w:val="both"/>
        <w:rPr>
          <w:rFonts w:ascii="Times New Roman" w:eastAsia="Calibri" w:hAnsi="Times New Roman" w:cs="Times New Roman"/>
          <w:b/>
          <w:sz w:val="24"/>
          <w:szCs w:val="28"/>
        </w:rPr>
      </w:pPr>
      <w:r w:rsidRPr="003278ED">
        <w:rPr>
          <w:rFonts w:ascii="Times New Roman" w:eastAsia="Calibri" w:hAnsi="Times New Roman" w:cs="Times New Roman"/>
          <w:b/>
          <w:sz w:val="24"/>
          <w:szCs w:val="28"/>
        </w:rPr>
        <w:lastRenderedPageBreak/>
        <w:t>Cheltuieli de personal</w:t>
      </w:r>
    </w:p>
    <w:p w14:paraId="679BAC9D" w14:textId="7A30E96C" w:rsidR="00B43A34" w:rsidRPr="003278ED" w:rsidRDefault="00B43A34" w:rsidP="00A47DB5">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În materie de politici salariale sectorul bugetar continuă să dețină rolul unui mare angajator, cu implicații în toate domeniile de activitate, ocupând o pondere semnificativă din </w:t>
      </w:r>
      <w:r w:rsidR="00066204" w:rsidRPr="003278ED">
        <w:rPr>
          <w:rFonts w:ascii="Times New Roman" w:eastAsia="Calibri" w:hAnsi="Times New Roman" w:cs="Times New Roman"/>
          <w:sz w:val="24"/>
          <w:szCs w:val="28"/>
        </w:rPr>
        <w:t xml:space="preserve">totalul </w:t>
      </w:r>
      <w:r w:rsidRPr="003278ED">
        <w:rPr>
          <w:rFonts w:ascii="Times New Roman" w:eastAsia="Calibri" w:hAnsi="Times New Roman" w:cs="Times New Roman"/>
          <w:sz w:val="24"/>
          <w:szCs w:val="28"/>
        </w:rPr>
        <w:t>personalul</w:t>
      </w:r>
      <w:r w:rsidR="00066204" w:rsidRPr="003278ED">
        <w:rPr>
          <w:rFonts w:ascii="Times New Roman" w:eastAsia="Calibri" w:hAnsi="Times New Roman" w:cs="Times New Roman"/>
          <w:sz w:val="24"/>
          <w:szCs w:val="28"/>
        </w:rPr>
        <w:t>ui</w:t>
      </w:r>
      <w:r w:rsidRPr="003278ED">
        <w:rPr>
          <w:rFonts w:ascii="Times New Roman" w:eastAsia="Calibri" w:hAnsi="Times New Roman" w:cs="Times New Roman"/>
          <w:sz w:val="24"/>
          <w:szCs w:val="28"/>
        </w:rPr>
        <w:t xml:space="preserve"> care furnizează servicii de educație, sănătate, protecție socială, ordine, a</w:t>
      </w:r>
      <w:r w:rsidR="00066204" w:rsidRPr="003278ED">
        <w:rPr>
          <w:rFonts w:ascii="Times New Roman" w:eastAsia="Calibri" w:hAnsi="Times New Roman" w:cs="Times New Roman"/>
          <w:sz w:val="24"/>
          <w:szCs w:val="28"/>
        </w:rPr>
        <w:t>părare și securitate a statului</w:t>
      </w:r>
      <w:r w:rsidRPr="003278ED">
        <w:rPr>
          <w:rFonts w:ascii="Times New Roman" w:eastAsia="Calibri" w:hAnsi="Times New Roman" w:cs="Times New Roman"/>
          <w:sz w:val="24"/>
          <w:szCs w:val="28"/>
        </w:rPr>
        <w:t xml:space="preserve"> etc. Prin urmare, atragerea și menținerea personalului competent în sectorul bugetar este o miză esențială a sistemului de salarizare, iar obiectivele principale a</w:t>
      </w:r>
      <w:r w:rsidR="00E62C62" w:rsidRPr="003278ED">
        <w:rPr>
          <w:rFonts w:ascii="Times New Roman" w:eastAsia="Calibri" w:hAnsi="Times New Roman" w:cs="Times New Roman"/>
          <w:sz w:val="24"/>
          <w:szCs w:val="28"/>
        </w:rPr>
        <w:t>le</w:t>
      </w:r>
      <w:r w:rsidRPr="003278ED">
        <w:rPr>
          <w:rFonts w:ascii="Times New Roman" w:eastAsia="Calibri" w:hAnsi="Times New Roman" w:cs="Times New Roman"/>
          <w:sz w:val="24"/>
          <w:szCs w:val="28"/>
        </w:rPr>
        <w:t xml:space="preserve"> procesului de salarizare din sectorul bugetar vizează asigurarea unor salarii echitabile, competitive și sustenabile fiscal.</w:t>
      </w:r>
    </w:p>
    <w:p w14:paraId="5A39E75D" w14:textId="2E319205" w:rsidR="00B43A34" w:rsidRPr="003278ED" w:rsidRDefault="00E62C62" w:rsidP="00A47DB5">
      <w:pPr>
        <w:pStyle w:val="Corptext"/>
        <w:tabs>
          <w:tab w:val="left" w:pos="993"/>
        </w:tabs>
        <w:spacing w:after="0"/>
        <w:ind w:firstLine="709"/>
        <w:jc w:val="both"/>
        <w:rPr>
          <w:szCs w:val="28"/>
          <w:lang w:val="ro-RO"/>
        </w:rPr>
      </w:pPr>
      <w:r w:rsidRPr="003278ED">
        <w:rPr>
          <w:i/>
          <w:szCs w:val="28"/>
          <w:lang w:val="ro-RO"/>
        </w:rPr>
        <w:t>Tendințe recente</w:t>
      </w:r>
      <w:r w:rsidR="00B43A34" w:rsidRPr="003278ED">
        <w:rPr>
          <w:szCs w:val="28"/>
          <w:lang w:val="ro-RO"/>
        </w:rPr>
        <w:t xml:space="preserve"> </w:t>
      </w:r>
    </w:p>
    <w:p w14:paraId="7A6DBCF0" w14:textId="0F3EE1C4" w:rsidR="00B43A34" w:rsidRPr="003278ED" w:rsidRDefault="00B43A34" w:rsidP="00A47DB5">
      <w:pPr>
        <w:pStyle w:val="Corptext"/>
        <w:tabs>
          <w:tab w:val="left" w:pos="993"/>
        </w:tabs>
        <w:spacing w:after="0"/>
        <w:ind w:firstLine="709"/>
        <w:jc w:val="both"/>
        <w:rPr>
          <w:szCs w:val="28"/>
          <w:lang w:val="ro-RO"/>
        </w:rPr>
      </w:pPr>
      <w:r w:rsidRPr="003278ED">
        <w:rPr>
          <w:szCs w:val="28"/>
          <w:lang w:val="ro-RO"/>
        </w:rPr>
        <w:t>Politica salarială pe termen mediu are ca obiectiv de bază fortificarea cadrului legislativ și normativ în domeniu, în scopul perfecționării și eficientizării sistemului de salarizare, menit să asigure o creștere continuă a salariilor angajaților</w:t>
      </w:r>
      <w:r w:rsidR="00E62C62" w:rsidRPr="003278ED">
        <w:rPr>
          <w:szCs w:val="28"/>
          <w:lang w:val="ro-RO"/>
        </w:rPr>
        <w:t>,</w:t>
      </w:r>
      <w:r w:rsidRPr="003278ED">
        <w:rPr>
          <w:szCs w:val="28"/>
          <w:lang w:val="ro-RO"/>
        </w:rPr>
        <w:t xml:space="preserve"> corelată cu ritmul de creștere a productivității muncii și </w:t>
      </w:r>
      <w:r w:rsidR="00E62C62" w:rsidRPr="003278ED">
        <w:rPr>
          <w:szCs w:val="28"/>
          <w:lang w:val="ro-RO"/>
        </w:rPr>
        <w:t xml:space="preserve">cu </w:t>
      </w:r>
      <w:r w:rsidRPr="003278ED">
        <w:rPr>
          <w:szCs w:val="28"/>
          <w:lang w:val="ro-RO"/>
        </w:rPr>
        <w:t>consolidarea potențialului cadrelor. Adițional</w:t>
      </w:r>
      <w:r w:rsidR="00E62C62" w:rsidRPr="003278ED">
        <w:rPr>
          <w:szCs w:val="28"/>
          <w:lang w:val="ro-RO"/>
        </w:rPr>
        <w:t>,</w:t>
      </w:r>
      <w:r w:rsidRPr="003278ED">
        <w:rPr>
          <w:szCs w:val="28"/>
          <w:lang w:val="ro-RO"/>
        </w:rPr>
        <w:t xml:space="preserve"> menținerea unui nivel competitiv a sistemului salarial din sectorul bugetar cu sectorul privat la fel devine un obiectiv esențial de planificare pe termen mediu, în scopul neadmiterii unor discrepanțe salariale evidente dintre cele două domenii de activitate.</w:t>
      </w:r>
    </w:p>
    <w:p w14:paraId="5EF64171" w14:textId="15FB15CA" w:rsidR="00B43A34" w:rsidRPr="003278ED" w:rsidRDefault="00B43A34" w:rsidP="00A47DB5">
      <w:pPr>
        <w:pStyle w:val="Corptext"/>
        <w:tabs>
          <w:tab w:val="left" w:pos="993"/>
        </w:tabs>
        <w:spacing w:after="0"/>
        <w:ind w:firstLine="709"/>
        <w:jc w:val="both"/>
        <w:rPr>
          <w:szCs w:val="28"/>
          <w:lang w:val="ro-RO"/>
        </w:rPr>
      </w:pPr>
      <w:r w:rsidRPr="003278ED">
        <w:rPr>
          <w:szCs w:val="28"/>
          <w:lang w:val="ro-RO"/>
        </w:rPr>
        <w:t>În perioada 2023-2024 au fost asigurate majorările salariale în conformitate cu obligațiile asumate de Guvern prin implementarea prevederilor Legii nr. 270/2018 privind sistemul unitar de salarizare în sectorul bugetar</w:t>
      </w:r>
      <w:r w:rsidR="00E62C62" w:rsidRPr="003278ED">
        <w:rPr>
          <w:szCs w:val="28"/>
          <w:lang w:val="ro-RO"/>
        </w:rPr>
        <w:t>,</w:t>
      </w:r>
      <w:r w:rsidRPr="003278ED">
        <w:rPr>
          <w:szCs w:val="28"/>
          <w:lang w:val="ro-RO"/>
        </w:rPr>
        <w:t xml:space="preserve"> precum și a cadrului normativ aferent. Nivelul înalt al cheltuielilor de personal și provocările sistemului de salarizare </w:t>
      </w:r>
      <w:r w:rsidR="00E62C62" w:rsidRPr="003278ED">
        <w:rPr>
          <w:szCs w:val="28"/>
          <w:lang w:val="ro-RO"/>
        </w:rPr>
        <w:t>solicită</w:t>
      </w:r>
      <w:r w:rsidRPr="003278ED">
        <w:rPr>
          <w:szCs w:val="28"/>
          <w:lang w:val="ro-RO"/>
        </w:rPr>
        <w:t xml:space="preserve"> monitorizare</w:t>
      </w:r>
      <w:r w:rsidR="00E62C62" w:rsidRPr="003278ED">
        <w:rPr>
          <w:szCs w:val="28"/>
          <w:lang w:val="ro-RO"/>
        </w:rPr>
        <w:t>a</w:t>
      </w:r>
      <w:r w:rsidRPr="003278ED">
        <w:rPr>
          <w:szCs w:val="28"/>
          <w:lang w:val="ro-RO"/>
        </w:rPr>
        <w:t xml:space="preserve"> și control</w:t>
      </w:r>
      <w:r w:rsidR="00E62C62" w:rsidRPr="003278ED">
        <w:rPr>
          <w:szCs w:val="28"/>
          <w:lang w:val="ro-RO"/>
        </w:rPr>
        <w:t>ul</w:t>
      </w:r>
      <w:r w:rsidRPr="003278ED">
        <w:rPr>
          <w:szCs w:val="28"/>
          <w:lang w:val="ro-RO"/>
        </w:rPr>
        <w:t xml:space="preserve"> strict în procesul de planificare, </w:t>
      </w:r>
      <w:r w:rsidR="00E62C62" w:rsidRPr="003278ED">
        <w:rPr>
          <w:szCs w:val="28"/>
          <w:lang w:val="ro-RO"/>
        </w:rPr>
        <w:t>pe</w:t>
      </w:r>
      <w:r w:rsidRPr="003278ED">
        <w:rPr>
          <w:szCs w:val="28"/>
          <w:lang w:val="ro-RO"/>
        </w:rPr>
        <w:t xml:space="preserve">ntru sporirea transparenței acestora. </w:t>
      </w:r>
    </w:p>
    <w:p w14:paraId="3D68691A" w14:textId="417B5BC1" w:rsidR="00B43A34" w:rsidRPr="003278ED" w:rsidRDefault="00C47845" w:rsidP="00A47DB5">
      <w:pPr>
        <w:pStyle w:val="Corptext"/>
        <w:tabs>
          <w:tab w:val="left" w:pos="993"/>
        </w:tabs>
        <w:spacing w:after="0"/>
        <w:ind w:firstLine="709"/>
        <w:jc w:val="both"/>
        <w:rPr>
          <w:szCs w:val="28"/>
          <w:lang w:val="ro-RO"/>
        </w:rPr>
      </w:pPr>
      <w:r w:rsidRPr="003278ED">
        <w:rPr>
          <w:szCs w:val="28"/>
          <w:lang w:val="ro-RO"/>
        </w:rPr>
        <w:t>Revizuirea</w:t>
      </w:r>
      <w:r w:rsidR="00B43A34" w:rsidRPr="003278ED">
        <w:rPr>
          <w:szCs w:val="28"/>
          <w:lang w:val="ro-RO"/>
        </w:rPr>
        <w:t xml:space="preserve"> sistemului de salarizare este dictată și de necesitatea asigurării unui nivel echitabil de remunerare pentru categoriile de personal care îndeplinesc aceleași atribuții</w:t>
      </w:r>
      <w:r w:rsidR="005A2562" w:rsidRPr="003278ED">
        <w:rPr>
          <w:szCs w:val="28"/>
          <w:lang w:val="ro-RO"/>
        </w:rPr>
        <w:t>,</w:t>
      </w:r>
      <w:r w:rsidR="00B43A34" w:rsidRPr="003278ED">
        <w:rPr>
          <w:szCs w:val="28"/>
          <w:lang w:val="ro-RO"/>
        </w:rPr>
        <w:t xml:space="preserve"> care să fie orientat spre rezultate finale ale activității și performanț</w:t>
      </w:r>
      <w:r w:rsidR="005A2562" w:rsidRPr="003278ED">
        <w:rPr>
          <w:szCs w:val="28"/>
          <w:lang w:val="ro-RO"/>
        </w:rPr>
        <w:t>ă</w:t>
      </w:r>
      <w:r w:rsidR="00B43A34" w:rsidRPr="003278ED">
        <w:rPr>
          <w:szCs w:val="28"/>
          <w:lang w:val="ro-RO"/>
        </w:rPr>
        <w:t xml:space="preserve"> angajaților, totodată, diminuând discrepanța majoră existentă în prezent între diverse categorii de angajați.</w:t>
      </w:r>
    </w:p>
    <w:p w14:paraId="6994F12B" w14:textId="222C05ED" w:rsidR="00B43A34" w:rsidRPr="003278ED" w:rsidRDefault="00B43A34" w:rsidP="00A47DB5">
      <w:pPr>
        <w:pStyle w:val="Corptext"/>
        <w:tabs>
          <w:tab w:val="left" w:pos="993"/>
        </w:tabs>
        <w:spacing w:after="0"/>
        <w:ind w:firstLine="709"/>
        <w:jc w:val="both"/>
        <w:rPr>
          <w:szCs w:val="22"/>
          <w:lang w:val="ro-RO"/>
        </w:rPr>
      </w:pPr>
      <w:r w:rsidRPr="003278ED">
        <w:rPr>
          <w:szCs w:val="22"/>
          <w:lang w:val="ro-RO"/>
        </w:rPr>
        <w:t xml:space="preserve">Evoluția cheltuielilor de personal în anii 2023-2027, precum și numărul unităților de personal se prezintă </w:t>
      </w:r>
      <w:r w:rsidR="00C47845" w:rsidRPr="003278ED">
        <w:rPr>
          <w:szCs w:val="22"/>
          <w:lang w:val="ro-RO"/>
        </w:rPr>
        <w:t>în diagramele de mai jos:</w:t>
      </w:r>
    </w:p>
    <w:p w14:paraId="02C60CB3" w14:textId="4B1CBC3D" w:rsidR="00C42F52" w:rsidRPr="003278ED" w:rsidRDefault="00C42F52" w:rsidP="007D3A2B">
      <w:pPr>
        <w:pStyle w:val="Corptext"/>
        <w:tabs>
          <w:tab w:val="left" w:pos="993"/>
        </w:tabs>
        <w:spacing w:after="0"/>
        <w:ind w:firstLine="709"/>
        <w:jc w:val="both"/>
        <w:rPr>
          <w:szCs w:val="22"/>
          <w:lang w:val="ro-RO"/>
        </w:rPr>
      </w:pPr>
    </w:p>
    <w:tbl>
      <w:tblPr>
        <w:tblStyle w:val="Tabelgril"/>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667"/>
      </w:tblGrid>
      <w:tr w:rsidR="00DD2F33" w:rsidRPr="003278ED" w14:paraId="4B00BF52" w14:textId="77777777" w:rsidTr="001274A1">
        <w:tc>
          <w:tcPr>
            <w:tcW w:w="2500" w:type="pct"/>
          </w:tcPr>
          <w:p w14:paraId="2FD73069" w14:textId="57A1E6A5" w:rsidR="00DD2F33" w:rsidRPr="003278ED" w:rsidRDefault="002C4DDA" w:rsidP="007D3A2B">
            <w:pPr>
              <w:pStyle w:val="Corptext"/>
              <w:spacing w:after="0"/>
              <w:jc w:val="center"/>
              <w:rPr>
                <w:b/>
                <w:bCs/>
                <w:lang w:val="ro-RO"/>
              </w:rPr>
            </w:pPr>
            <w:r w:rsidRPr="003278ED">
              <w:rPr>
                <w:b/>
                <w:bCs/>
                <w:lang w:val="ro-RO"/>
              </w:rPr>
              <w:t xml:space="preserve">Figura 4. </w:t>
            </w:r>
            <w:r w:rsidR="00DD2F33" w:rsidRPr="003278ED">
              <w:rPr>
                <w:b/>
                <w:bCs/>
                <w:lang w:val="ro-RO"/>
              </w:rPr>
              <w:t>Evoluția cheltuielilor de personal</w:t>
            </w:r>
          </w:p>
          <w:p w14:paraId="343FB1D8" w14:textId="3564C64E" w:rsidR="00DD2F33" w:rsidRPr="003278ED" w:rsidRDefault="00DD2F33" w:rsidP="007D3A2B">
            <w:pPr>
              <w:pStyle w:val="Corptext"/>
              <w:spacing w:after="0"/>
              <w:jc w:val="center"/>
              <w:rPr>
                <w:szCs w:val="22"/>
                <w:lang w:val="ro-RO"/>
              </w:rPr>
            </w:pPr>
            <w:r w:rsidRPr="003278ED">
              <w:rPr>
                <w:b/>
                <w:bCs/>
                <w:lang w:val="ro-RO"/>
              </w:rPr>
              <w:t>în anii 2025-2027</w:t>
            </w:r>
          </w:p>
        </w:tc>
        <w:tc>
          <w:tcPr>
            <w:tcW w:w="2500" w:type="pct"/>
          </w:tcPr>
          <w:p w14:paraId="0A9681DD" w14:textId="0DEC1816" w:rsidR="00DD2F33" w:rsidRPr="003278ED" w:rsidRDefault="002C4DDA" w:rsidP="007D3A2B">
            <w:pPr>
              <w:pStyle w:val="Corptext"/>
              <w:spacing w:after="0"/>
              <w:jc w:val="center"/>
              <w:rPr>
                <w:szCs w:val="22"/>
                <w:lang w:val="ro-RO"/>
              </w:rPr>
            </w:pPr>
            <w:r w:rsidRPr="003278ED">
              <w:rPr>
                <w:b/>
                <w:bCs/>
                <w:lang w:val="ro-RO"/>
              </w:rPr>
              <w:t xml:space="preserve">Figura 5. </w:t>
            </w:r>
            <w:r w:rsidR="00DD2F33" w:rsidRPr="003278ED">
              <w:rPr>
                <w:b/>
                <w:bCs/>
                <w:lang w:val="ro-RO"/>
              </w:rPr>
              <w:t xml:space="preserve">Evoluția numărului de unități în sectorul bugetar și </w:t>
            </w:r>
            <w:r w:rsidR="00EC2F1D" w:rsidRPr="003278ED">
              <w:rPr>
                <w:b/>
                <w:bCs/>
                <w:lang w:val="ro-RO"/>
              </w:rPr>
              <w:t xml:space="preserve">a </w:t>
            </w:r>
            <w:r w:rsidR="00DD2F33" w:rsidRPr="003278ED">
              <w:rPr>
                <w:b/>
                <w:bCs/>
                <w:lang w:val="ro-RO"/>
              </w:rPr>
              <w:t>cheltuielilor de personal medii lunare per unitate</w:t>
            </w:r>
          </w:p>
        </w:tc>
      </w:tr>
      <w:tr w:rsidR="00DD2F33" w:rsidRPr="003278ED" w14:paraId="5D533A5E" w14:textId="77777777" w:rsidTr="001274A1">
        <w:trPr>
          <w:trHeight w:val="4713"/>
        </w:trPr>
        <w:tc>
          <w:tcPr>
            <w:tcW w:w="2500" w:type="pct"/>
          </w:tcPr>
          <w:p w14:paraId="76B883ED" w14:textId="7A3B8762" w:rsidR="00DD2F33" w:rsidRPr="003278ED" w:rsidRDefault="00DD2F33" w:rsidP="007D3A2B">
            <w:pPr>
              <w:pStyle w:val="Corptext"/>
              <w:spacing w:after="0"/>
              <w:jc w:val="both"/>
              <w:rPr>
                <w:szCs w:val="22"/>
                <w:lang w:val="ro-RO"/>
              </w:rPr>
            </w:pPr>
            <w:r w:rsidRPr="003278ED">
              <w:rPr>
                <w:noProof/>
                <w:sz w:val="18"/>
                <w:lang w:val="ro-RO" w:eastAsia="ro-RO"/>
              </w:rPr>
              <w:drawing>
                <wp:inline distT="0" distB="0" distL="0" distR="0" wp14:anchorId="58C5C4C5" wp14:editId="2E1174AF">
                  <wp:extent cx="2657475" cy="2880995"/>
                  <wp:effectExtent l="0" t="0" r="9525" b="14605"/>
                  <wp:docPr id="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500" w:type="pct"/>
          </w:tcPr>
          <w:p w14:paraId="1FAA24D1" w14:textId="5C9085FA" w:rsidR="00DD2F33" w:rsidRPr="003278ED" w:rsidRDefault="00DD2F33" w:rsidP="007D3A2B">
            <w:pPr>
              <w:pStyle w:val="Corptext"/>
              <w:spacing w:after="0"/>
              <w:jc w:val="both"/>
              <w:rPr>
                <w:szCs w:val="22"/>
                <w:lang w:val="ro-RO"/>
              </w:rPr>
            </w:pPr>
            <w:r w:rsidRPr="003278ED">
              <w:rPr>
                <w:noProof/>
                <w:lang w:val="ro-RO" w:eastAsia="ro-RO"/>
              </w:rPr>
              <w:drawing>
                <wp:inline distT="0" distB="0" distL="0" distR="0" wp14:anchorId="2F70BFC8" wp14:editId="0D4B208E">
                  <wp:extent cx="2550160" cy="2861945"/>
                  <wp:effectExtent l="0" t="0" r="2540" b="14605"/>
                  <wp:docPr id="1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DD2F33" w:rsidRPr="003278ED" w14:paraId="4ABAD7A5" w14:textId="77777777" w:rsidTr="001274A1">
        <w:trPr>
          <w:trHeight w:val="362"/>
        </w:trPr>
        <w:tc>
          <w:tcPr>
            <w:tcW w:w="2500" w:type="pct"/>
          </w:tcPr>
          <w:p w14:paraId="36C8D7BE" w14:textId="7568992A" w:rsidR="00DD2F33" w:rsidRPr="003278ED" w:rsidRDefault="00DD2F33" w:rsidP="007D3A2B">
            <w:pPr>
              <w:pStyle w:val="Corptext"/>
              <w:spacing w:after="0"/>
              <w:jc w:val="center"/>
              <w:rPr>
                <w:sz w:val="20"/>
                <w:szCs w:val="20"/>
                <w:lang w:val="ro-RO" w:eastAsia="en-GB"/>
              </w:rPr>
            </w:pPr>
            <w:r w:rsidRPr="003278ED">
              <w:rPr>
                <w:bCs/>
                <w:i/>
                <w:iCs/>
                <w:color w:val="000000"/>
                <w:sz w:val="20"/>
                <w:szCs w:val="20"/>
                <w:lang w:val="ro-RO"/>
              </w:rPr>
              <w:t>Figura 4</w:t>
            </w:r>
            <w:r w:rsidR="00EC2F1D" w:rsidRPr="003278ED">
              <w:rPr>
                <w:bCs/>
                <w:i/>
                <w:iCs/>
                <w:color w:val="000000"/>
                <w:sz w:val="20"/>
                <w:szCs w:val="20"/>
                <w:lang w:val="ro-RO"/>
              </w:rPr>
              <w:t xml:space="preserve">. </w:t>
            </w:r>
            <w:r w:rsidRPr="003278ED">
              <w:rPr>
                <w:bCs/>
                <w:i/>
                <w:iCs/>
                <w:color w:val="000000"/>
                <w:sz w:val="20"/>
                <w:szCs w:val="20"/>
                <w:lang w:val="ro-RO"/>
              </w:rPr>
              <w:t>Sursa: Ministerul Finanțelor</w:t>
            </w:r>
          </w:p>
        </w:tc>
        <w:tc>
          <w:tcPr>
            <w:tcW w:w="2500" w:type="pct"/>
          </w:tcPr>
          <w:p w14:paraId="520952D0" w14:textId="5E6B61C0" w:rsidR="00DD2F33" w:rsidRPr="003278ED" w:rsidRDefault="00DD2F33" w:rsidP="007D3A2B">
            <w:pPr>
              <w:pStyle w:val="Corptext"/>
              <w:spacing w:after="0"/>
              <w:jc w:val="center"/>
              <w:rPr>
                <w:sz w:val="20"/>
                <w:szCs w:val="20"/>
                <w:lang w:val="ro-RO" w:eastAsia="en-GB"/>
              </w:rPr>
            </w:pPr>
            <w:r w:rsidRPr="003278ED">
              <w:rPr>
                <w:bCs/>
                <w:i/>
                <w:iCs/>
                <w:color w:val="000000"/>
                <w:sz w:val="20"/>
                <w:szCs w:val="20"/>
                <w:lang w:val="ro-RO"/>
              </w:rPr>
              <w:t>Figura 5</w:t>
            </w:r>
            <w:r w:rsidR="00EC2F1D" w:rsidRPr="003278ED">
              <w:rPr>
                <w:bCs/>
                <w:i/>
                <w:iCs/>
                <w:color w:val="000000"/>
                <w:sz w:val="20"/>
                <w:szCs w:val="20"/>
                <w:lang w:val="ro-RO"/>
              </w:rPr>
              <w:t xml:space="preserve">. </w:t>
            </w:r>
            <w:r w:rsidRPr="003278ED">
              <w:rPr>
                <w:bCs/>
                <w:i/>
                <w:iCs/>
                <w:color w:val="000000"/>
                <w:sz w:val="20"/>
                <w:szCs w:val="20"/>
                <w:lang w:val="ro-RO"/>
              </w:rPr>
              <w:t>Sursa: Ministerul Finanțelor</w:t>
            </w:r>
          </w:p>
        </w:tc>
      </w:tr>
    </w:tbl>
    <w:p w14:paraId="346CC0C4" w14:textId="333A143D" w:rsidR="00B43A34" w:rsidRPr="003278ED" w:rsidRDefault="00B43A34" w:rsidP="007D3A2B">
      <w:pPr>
        <w:pStyle w:val="Table"/>
        <w:spacing w:before="0" w:line="240" w:lineRule="auto"/>
        <w:jc w:val="both"/>
        <w:rPr>
          <w:lang w:val="ro-RO"/>
        </w:rPr>
      </w:pPr>
    </w:p>
    <w:p w14:paraId="4B2BDC7E" w14:textId="17C914C3" w:rsidR="00B43A34" w:rsidRPr="003278ED" w:rsidRDefault="00B43A34" w:rsidP="007D3A2B">
      <w:pPr>
        <w:spacing w:after="0" w:line="240" w:lineRule="auto"/>
        <w:ind w:firstLine="72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lastRenderedPageBreak/>
        <w:t>Raportul maximal al cheltuielilor de personal în PIB se în</w:t>
      </w:r>
      <w:r w:rsidR="00865DE6" w:rsidRPr="003278ED">
        <w:rPr>
          <w:rFonts w:ascii="Times New Roman" w:eastAsia="Calibri" w:hAnsi="Times New Roman" w:cs="Times New Roman"/>
          <w:bCs/>
          <w:sz w:val="24"/>
          <w:szCs w:val="28"/>
        </w:rPr>
        <w:t>registrează în anul 2024 cu 8,10</w:t>
      </w:r>
      <w:r w:rsidR="00EC2F1D" w:rsidRPr="003278ED">
        <w:rPr>
          <w:rFonts w:ascii="Times New Roman" w:eastAsia="Calibri" w:hAnsi="Times New Roman" w:cs="Times New Roman"/>
          <w:bCs/>
          <w:sz w:val="24"/>
          <w:szCs w:val="28"/>
        </w:rPr>
        <w:t>%. Pentru anii 2025-2027</w:t>
      </w:r>
      <w:r w:rsidRPr="003278ED">
        <w:rPr>
          <w:rFonts w:ascii="Times New Roman" w:eastAsia="Calibri" w:hAnsi="Times New Roman" w:cs="Times New Roman"/>
          <w:bCs/>
          <w:sz w:val="24"/>
          <w:szCs w:val="28"/>
        </w:rPr>
        <w:t xml:space="preserve"> se prognozează c</w:t>
      </w:r>
      <w:r w:rsidR="00EC2F1D" w:rsidRPr="003278ED">
        <w:rPr>
          <w:rFonts w:ascii="Times New Roman" w:eastAsia="Calibri" w:hAnsi="Times New Roman" w:cs="Times New Roman"/>
          <w:bCs/>
          <w:sz w:val="24"/>
          <w:szCs w:val="28"/>
        </w:rPr>
        <w:t>ă</w:t>
      </w:r>
      <w:r w:rsidRPr="003278ED">
        <w:rPr>
          <w:rFonts w:ascii="Times New Roman" w:eastAsia="Calibri" w:hAnsi="Times New Roman" w:cs="Times New Roman"/>
          <w:bCs/>
          <w:sz w:val="24"/>
          <w:szCs w:val="28"/>
        </w:rPr>
        <w:t xml:space="preserve"> aceste cheltuieli vor atinge nivelul de 8,03% în anul 2025, 7,74% în anul 2026 și 7,70% în anul 2027</w:t>
      </w:r>
      <w:r w:rsidR="005D644E" w:rsidRPr="003278ED">
        <w:rPr>
          <w:rFonts w:ascii="Times New Roman" w:eastAsia="Calibri" w:hAnsi="Times New Roman" w:cs="Times New Roman"/>
          <w:bCs/>
          <w:sz w:val="24"/>
          <w:szCs w:val="28"/>
        </w:rPr>
        <w:t>.</w:t>
      </w:r>
      <w:r w:rsidR="00EC2F1D" w:rsidRPr="003278ED">
        <w:rPr>
          <w:rFonts w:ascii="Times New Roman" w:eastAsia="Calibri" w:hAnsi="Times New Roman" w:cs="Times New Roman"/>
          <w:bCs/>
          <w:sz w:val="24"/>
          <w:szCs w:val="28"/>
        </w:rPr>
        <w:t xml:space="preserve"> </w:t>
      </w:r>
      <w:r w:rsidR="005D644E" w:rsidRPr="003278ED">
        <w:rPr>
          <w:rFonts w:ascii="Times New Roman" w:eastAsia="Calibri" w:hAnsi="Times New Roman" w:cs="Times New Roman"/>
          <w:bCs/>
          <w:sz w:val="24"/>
          <w:szCs w:val="28"/>
        </w:rPr>
        <w:t>Ponderea cheltuielilor de personal în totalul cheltuielilor publice BPN pe termen mediu se estim</w:t>
      </w:r>
      <w:r w:rsidR="004C2B11">
        <w:rPr>
          <w:rFonts w:ascii="Times New Roman" w:eastAsia="Calibri" w:hAnsi="Times New Roman" w:cs="Times New Roman"/>
          <w:bCs/>
          <w:sz w:val="24"/>
          <w:szCs w:val="28"/>
        </w:rPr>
        <w:t>ea</w:t>
      </w:r>
      <w:r w:rsidR="005D644E" w:rsidRPr="003278ED">
        <w:rPr>
          <w:rFonts w:ascii="Times New Roman" w:eastAsia="Calibri" w:hAnsi="Times New Roman" w:cs="Times New Roman"/>
          <w:bCs/>
          <w:sz w:val="24"/>
          <w:szCs w:val="28"/>
        </w:rPr>
        <w:t>ză a se încadra în intervalul de la 22,2% în anul 2025 până la 22,1 % în anul 2027. Se menționează că în anul curent indic</w:t>
      </w:r>
      <w:r w:rsidR="00EC2F1D" w:rsidRPr="003278ED">
        <w:rPr>
          <w:rFonts w:ascii="Times New Roman" w:eastAsia="Calibri" w:hAnsi="Times New Roman" w:cs="Times New Roman"/>
          <w:bCs/>
          <w:sz w:val="24"/>
          <w:szCs w:val="28"/>
        </w:rPr>
        <w:t>e</w:t>
      </w:r>
      <w:r w:rsidR="005D644E" w:rsidRPr="003278ED">
        <w:rPr>
          <w:rFonts w:ascii="Times New Roman" w:eastAsia="Calibri" w:hAnsi="Times New Roman" w:cs="Times New Roman"/>
          <w:bCs/>
          <w:sz w:val="24"/>
          <w:szCs w:val="28"/>
        </w:rPr>
        <w:t>le respectiv este de 22,40% .</w:t>
      </w:r>
    </w:p>
    <w:p w14:paraId="39A19D2B" w14:textId="68011430" w:rsidR="00B43A34" w:rsidRPr="003278ED" w:rsidRDefault="00C47845" w:rsidP="007D3A2B">
      <w:pPr>
        <w:spacing w:after="0" w:line="240" w:lineRule="auto"/>
        <w:ind w:firstLine="72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În valori nominale</w:t>
      </w:r>
      <w:r w:rsidR="00B43A34" w:rsidRPr="003278ED">
        <w:rPr>
          <w:rFonts w:ascii="Times New Roman" w:eastAsia="Calibri" w:hAnsi="Times New Roman" w:cs="Times New Roman"/>
          <w:bCs/>
          <w:sz w:val="24"/>
          <w:szCs w:val="28"/>
        </w:rPr>
        <w:t xml:space="preserve"> volumul total al cheltuielilor de personal se planifică </w:t>
      </w:r>
      <w:r w:rsidRPr="003278ED">
        <w:rPr>
          <w:rFonts w:ascii="Times New Roman" w:eastAsia="Calibri" w:hAnsi="Times New Roman" w:cs="Times New Roman"/>
          <w:bCs/>
          <w:sz w:val="24"/>
          <w:szCs w:val="28"/>
        </w:rPr>
        <w:t>în creștere</w:t>
      </w:r>
      <w:r w:rsidR="00B43A34" w:rsidRPr="003278ED">
        <w:rPr>
          <w:rFonts w:ascii="Times New Roman" w:eastAsia="Calibri" w:hAnsi="Times New Roman" w:cs="Times New Roman"/>
          <w:bCs/>
          <w:sz w:val="24"/>
          <w:szCs w:val="28"/>
        </w:rPr>
        <w:t xml:space="preserve"> de la 27 548,9 mil lei</w:t>
      </w:r>
      <w:r w:rsidR="00EC2F1D" w:rsidRPr="003278ED">
        <w:rPr>
          <w:rFonts w:ascii="Times New Roman" w:eastAsia="Calibri" w:hAnsi="Times New Roman" w:cs="Times New Roman"/>
          <w:bCs/>
          <w:sz w:val="24"/>
          <w:szCs w:val="28"/>
        </w:rPr>
        <w:t>,</w:t>
      </w:r>
      <w:r w:rsidR="00B43A34" w:rsidRPr="003278ED">
        <w:rPr>
          <w:rFonts w:ascii="Times New Roman" w:eastAsia="Calibri" w:hAnsi="Times New Roman" w:cs="Times New Roman"/>
          <w:bCs/>
          <w:sz w:val="24"/>
          <w:szCs w:val="28"/>
        </w:rPr>
        <w:t xml:space="preserve"> aprobat în anul curent</w:t>
      </w:r>
      <w:r w:rsidR="00EC2F1D" w:rsidRPr="003278ED">
        <w:rPr>
          <w:rFonts w:ascii="Times New Roman" w:eastAsia="Calibri" w:hAnsi="Times New Roman" w:cs="Times New Roman"/>
          <w:bCs/>
          <w:sz w:val="24"/>
          <w:szCs w:val="28"/>
        </w:rPr>
        <w:t>,</w:t>
      </w:r>
      <w:r w:rsidR="00B43A34" w:rsidRPr="003278ED">
        <w:rPr>
          <w:rFonts w:ascii="Times New Roman" w:eastAsia="Calibri" w:hAnsi="Times New Roman" w:cs="Times New Roman"/>
          <w:bCs/>
          <w:sz w:val="24"/>
          <w:szCs w:val="28"/>
        </w:rPr>
        <w:t xml:space="preserve"> până la 33 040,6 mil lei în anul 2027.  </w:t>
      </w:r>
    </w:p>
    <w:p w14:paraId="08175391" w14:textId="77777777" w:rsidR="00B43A34" w:rsidRPr="003278ED" w:rsidRDefault="00B43A34" w:rsidP="007D3A2B">
      <w:pPr>
        <w:spacing w:after="0" w:line="240" w:lineRule="auto"/>
        <w:ind w:firstLine="72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 xml:space="preserve">Un alt element esențial al sistemului de salarizare în sectorul bugetar este reprezentat de monitorizarea strictă a numărului de unități de personal, în corelare cu fondul de remunerare prognozat. În contextul nivelului de executare în anul 2024 a numărului unităților de personal, în perioada 2023-2027 se atestă o descreștere a indicelui respectiv. Astfel, pentru anii 2025-2027 se planifică o micșorare cu circa 1,8 mii (posturi) în sectorul bugetar (indice executat la 31.05.24) comparativ cu numărul de posturi aprobate pentru anul 2024. </w:t>
      </w:r>
    </w:p>
    <w:p w14:paraId="01ED8618" w14:textId="0C706BC1" w:rsidR="00B43A34" w:rsidRPr="003278ED" w:rsidRDefault="00B43A34" w:rsidP="007D3A2B">
      <w:pPr>
        <w:spacing w:after="0" w:line="240" w:lineRule="auto"/>
        <w:ind w:firstLine="72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Se menționează că estimarea evoluției numărului unităților de personal pentru anii 2025-2027 a fost realizată ținând cont de nivelul atestat a</w:t>
      </w:r>
      <w:r w:rsidR="00F64A70" w:rsidRPr="003278ED">
        <w:rPr>
          <w:rFonts w:ascii="Times New Roman" w:eastAsia="Calibri" w:hAnsi="Times New Roman" w:cs="Times New Roman"/>
          <w:bCs/>
          <w:sz w:val="24"/>
          <w:szCs w:val="28"/>
        </w:rPr>
        <w:t>l</w:t>
      </w:r>
      <w:r w:rsidRPr="003278ED">
        <w:rPr>
          <w:rFonts w:ascii="Times New Roman" w:eastAsia="Calibri" w:hAnsi="Times New Roman" w:cs="Times New Roman"/>
          <w:bCs/>
          <w:sz w:val="24"/>
          <w:szCs w:val="28"/>
        </w:rPr>
        <w:t xml:space="preserve"> unităților de personal pentru anul în curs.</w:t>
      </w:r>
    </w:p>
    <w:p w14:paraId="103E04D6" w14:textId="75625D02" w:rsidR="00B43A34" w:rsidRPr="003278ED" w:rsidRDefault="00B43A34" w:rsidP="007D3A2B">
      <w:pPr>
        <w:spacing w:after="0" w:line="240" w:lineRule="auto"/>
        <w:ind w:firstLine="720"/>
        <w:jc w:val="both"/>
        <w:rPr>
          <w:rFonts w:ascii="Times New Roman" w:eastAsia="Calibri" w:hAnsi="Times New Roman" w:cs="Times New Roman"/>
          <w:bCs/>
          <w:sz w:val="24"/>
          <w:szCs w:val="28"/>
        </w:rPr>
      </w:pPr>
      <w:r w:rsidRPr="003278ED">
        <w:rPr>
          <w:rFonts w:ascii="Times New Roman" w:eastAsia="Calibri" w:hAnsi="Times New Roman" w:cs="Times New Roman"/>
          <w:bCs/>
          <w:sz w:val="24"/>
          <w:szCs w:val="28"/>
        </w:rPr>
        <w:t>Majorarea cheltuielilor de personal pentru perioada 2025-2027 a determinat concomitent și majorarea cheltuielilor de personal executate în medi</w:t>
      </w:r>
      <w:r w:rsidR="00F64A70" w:rsidRPr="003278ED">
        <w:rPr>
          <w:rFonts w:ascii="Times New Roman" w:eastAsia="Calibri" w:hAnsi="Times New Roman" w:cs="Times New Roman"/>
          <w:bCs/>
          <w:sz w:val="24"/>
          <w:szCs w:val="28"/>
        </w:rPr>
        <w:t>e</w:t>
      </w:r>
      <w:r w:rsidRPr="003278ED">
        <w:rPr>
          <w:rFonts w:ascii="Times New Roman" w:eastAsia="Calibri" w:hAnsi="Times New Roman" w:cs="Times New Roman"/>
          <w:bCs/>
          <w:sz w:val="24"/>
          <w:szCs w:val="28"/>
        </w:rPr>
        <w:t xml:space="preserve"> pe</w:t>
      </w:r>
      <w:r w:rsidR="00F64A70" w:rsidRPr="003278ED">
        <w:rPr>
          <w:rFonts w:ascii="Times New Roman" w:eastAsia="Calibri" w:hAnsi="Times New Roman" w:cs="Times New Roman"/>
          <w:bCs/>
          <w:sz w:val="24"/>
          <w:szCs w:val="28"/>
        </w:rPr>
        <w:t>r</w:t>
      </w:r>
      <w:r w:rsidRPr="003278ED">
        <w:rPr>
          <w:rFonts w:ascii="Times New Roman" w:eastAsia="Calibri" w:hAnsi="Times New Roman" w:cs="Times New Roman"/>
          <w:bCs/>
          <w:sz w:val="24"/>
          <w:szCs w:val="28"/>
        </w:rPr>
        <w:t xml:space="preserve"> unitate</w:t>
      </w:r>
      <w:r w:rsidR="00F64A70" w:rsidRPr="003278ED">
        <w:rPr>
          <w:rFonts w:ascii="Times New Roman" w:eastAsia="Calibri" w:hAnsi="Times New Roman" w:cs="Times New Roman"/>
          <w:bCs/>
          <w:sz w:val="24"/>
          <w:szCs w:val="28"/>
        </w:rPr>
        <w:t>. Astfel, dacă pentru anul 2024</w:t>
      </w:r>
      <w:r w:rsidRPr="003278ED">
        <w:rPr>
          <w:rFonts w:ascii="Times New Roman" w:eastAsia="Calibri" w:hAnsi="Times New Roman" w:cs="Times New Roman"/>
          <w:bCs/>
          <w:sz w:val="24"/>
          <w:szCs w:val="28"/>
        </w:rPr>
        <w:t xml:space="preserve"> cheltuielile medii lunare pe</w:t>
      </w:r>
      <w:r w:rsidR="00F64A70" w:rsidRPr="003278ED">
        <w:rPr>
          <w:rFonts w:ascii="Times New Roman" w:eastAsia="Calibri" w:hAnsi="Times New Roman" w:cs="Times New Roman"/>
          <w:bCs/>
          <w:sz w:val="24"/>
          <w:szCs w:val="28"/>
        </w:rPr>
        <w:t>r</w:t>
      </w:r>
      <w:r w:rsidRPr="003278ED">
        <w:rPr>
          <w:rFonts w:ascii="Times New Roman" w:eastAsia="Calibri" w:hAnsi="Times New Roman" w:cs="Times New Roman"/>
          <w:bCs/>
          <w:sz w:val="24"/>
          <w:szCs w:val="28"/>
        </w:rPr>
        <w:t xml:space="preserve"> unitate se înregistrează la nivel de 13,5 mii lei, pentru anii 2025-2027 cheltuielile medii lunare pe</w:t>
      </w:r>
      <w:r w:rsidR="00F64A70" w:rsidRPr="003278ED">
        <w:rPr>
          <w:rFonts w:ascii="Times New Roman" w:eastAsia="Calibri" w:hAnsi="Times New Roman" w:cs="Times New Roman"/>
          <w:bCs/>
          <w:sz w:val="24"/>
          <w:szCs w:val="28"/>
        </w:rPr>
        <w:t>r</w:t>
      </w:r>
      <w:r w:rsidRPr="003278ED">
        <w:rPr>
          <w:rFonts w:ascii="Times New Roman" w:eastAsia="Calibri" w:hAnsi="Times New Roman" w:cs="Times New Roman"/>
          <w:bCs/>
          <w:sz w:val="24"/>
          <w:szCs w:val="28"/>
        </w:rPr>
        <w:t xml:space="preserve"> unitate vor crește până la nivelul de 14,2 mii lei lunar în 2025, 15,0 mii lei lunar în 2026 și 16,3 mii lei lunar în 2027 pentru o unitate de personal. </w:t>
      </w:r>
    </w:p>
    <w:p w14:paraId="32F7F3AC" w14:textId="0581AF7B" w:rsidR="00D12465" w:rsidRPr="003278ED" w:rsidRDefault="00D12465" w:rsidP="007D3A2B">
      <w:pPr>
        <w:spacing w:after="0" w:line="240" w:lineRule="auto"/>
        <w:ind w:firstLine="720"/>
        <w:jc w:val="both"/>
        <w:rPr>
          <w:rFonts w:ascii="Times New Roman" w:eastAsia="Calibri" w:hAnsi="Times New Roman" w:cs="Times New Roman"/>
          <w:b/>
          <w:bCs/>
          <w:sz w:val="24"/>
          <w:szCs w:val="28"/>
        </w:rPr>
      </w:pPr>
    </w:p>
    <w:p w14:paraId="6D92E90C" w14:textId="2EDB6D2C" w:rsidR="007F4A07" w:rsidRPr="003278ED" w:rsidRDefault="007F4A07" w:rsidP="007D3A2B">
      <w:pPr>
        <w:spacing w:after="0" w:line="240" w:lineRule="auto"/>
        <w:ind w:firstLine="720"/>
        <w:jc w:val="both"/>
        <w:rPr>
          <w:rFonts w:ascii="Times New Roman" w:eastAsia="Calibri" w:hAnsi="Times New Roman" w:cs="Times New Roman"/>
          <w:b/>
          <w:bCs/>
          <w:sz w:val="24"/>
          <w:szCs w:val="28"/>
        </w:rPr>
      </w:pPr>
      <w:r w:rsidRPr="003278ED">
        <w:rPr>
          <w:rFonts w:ascii="Times New Roman" w:eastAsia="Calibri" w:hAnsi="Times New Roman" w:cs="Times New Roman"/>
          <w:b/>
          <w:bCs/>
          <w:sz w:val="24"/>
          <w:szCs w:val="28"/>
        </w:rPr>
        <w:t>Prioritățile politicii cheltuielilor pe sectoare</w:t>
      </w:r>
    </w:p>
    <w:p w14:paraId="38035B02" w14:textId="77777777" w:rsidR="0007345F" w:rsidRPr="003278ED" w:rsidRDefault="00543843" w:rsidP="00072588">
      <w:pPr>
        <w:spacing w:after="0" w:line="240" w:lineRule="auto"/>
        <w:ind w:firstLine="720"/>
        <w:jc w:val="both"/>
        <w:rPr>
          <w:rFonts w:ascii="Times New Roman" w:hAnsi="Times New Roman"/>
          <w:sz w:val="24"/>
          <w:szCs w:val="28"/>
        </w:rPr>
      </w:pPr>
      <w:r w:rsidRPr="003278ED">
        <w:rPr>
          <w:rFonts w:ascii="Times New Roman" w:eastAsia="Times New Roman" w:hAnsi="Times New Roman" w:cs="Times New Roman"/>
          <w:sz w:val="24"/>
        </w:rPr>
        <w:t>Principalele măsuri/acțiuni pe sectoare</w:t>
      </w:r>
      <w:r w:rsidRPr="003278ED">
        <w:rPr>
          <w:rFonts w:ascii="Times New Roman" w:hAnsi="Times New Roman"/>
          <w:sz w:val="24"/>
          <w:szCs w:val="28"/>
        </w:rPr>
        <w:t xml:space="preserve"> </w:t>
      </w:r>
      <w:r w:rsidRPr="003278ED">
        <w:rPr>
          <w:rFonts w:ascii="Times New Roman" w:eastAsia="Times New Roman" w:hAnsi="Times New Roman" w:cs="Times New Roman"/>
          <w:sz w:val="24"/>
        </w:rPr>
        <w:t xml:space="preserve">planificate în perioada anilor 2025-2027 </w:t>
      </w:r>
      <w:r w:rsidRPr="003278ED">
        <w:rPr>
          <w:rFonts w:ascii="Times New Roman" w:hAnsi="Times New Roman"/>
          <w:sz w:val="24"/>
          <w:szCs w:val="28"/>
        </w:rPr>
        <w:t>sunt prezentate în continuare.</w:t>
      </w:r>
    </w:p>
    <w:p w14:paraId="0CE819FB" w14:textId="294E8853" w:rsidR="00D12465" w:rsidRPr="003278ED" w:rsidRDefault="00D12465" w:rsidP="00072588">
      <w:pPr>
        <w:spacing w:after="0" w:line="240" w:lineRule="auto"/>
        <w:ind w:firstLine="720"/>
        <w:jc w:val="both"/>
        <w:rPr>
          <w:rFonts w:ascii="Times New Roman" w:eastAsia="Calibri" w:hAnsi="Times New Roman" w:cs="Times New Roman"/>
          <w:b/>
          <w:bCs/>
          <w:i/>
          <w:sz w:val="24"/>
          <w:szCs w:val="28"/>
        </w:rPr>
      </w:pPr>
    </w:p>
    <w:p w14:paraId="3D0B4597" w14:textId="5892A59B" w:rsidR="00B25A7F" w:rsidRPr="003278ED" w:rsidRDefault="00B25A7F" w:rsidP="00072588">
      <w:pPr>
        <w:spacing w:after="0" w:line="240" w:lineRule="auto"/>
        <w:ind w:firstLine="720"/>
        <w:jc w:val="both"/>
        <w:rPr>
          <w:rFonts w:ascii="Times New Roman" w:eastAsia="Calibri" w:hAnsi="Times New Roman" w:cs="Times New Roman"/>
          <w:b/>
          <w:bCs/>
          <w:i/>
          <w:sz w:val="24"/>
          <w:szCs w:val="28"/>
        </w:rPr>
      </w:pPr>
      <w:r w:rsidRPr="003278ED">
        <w:rPr>
          <w:rFonts w:ascii="Times New Roman" w:eastAsia="Calibri" w:hAnsi="Times New Roman" w:cs="Times New Roman"/>
          <w:b/>
          <w:bCs/>
          <w:i/>
          <w:sz w:val="24"/>
          <w:szCs w:val="28"/>
        </w:rPr>
        <w:t>Servicii generale de stat (01)</w:t>
      </w:r>
    </w:p>
    <w:p w14:paraId="74797A4F" w14:textId="09D8808B" w:rsidR="00957A93" w:rsidRPr="003278ED" w:rsidRDefault="00957A93" w:rsidP="00072588">
      <w:pPr>
        <w:spacing w:after="0" w:line="240" w:lineRule="auto"/>
        <w:ind w:firstLine="720"/>
        <w:jc w:val="both"/>
        <w:rPr>
          <w:rFonts w:ascii="Times New Roman" w:hAnsi="Times New Roman" w:cs="Times New Roman"/>
          <w:sz w:val="24"/>
          <w:szCs w:val="24"/>
        </w:rPr>
      </w:pPr>
      <w:r w:rsidRPr="003278ED">
        <w:rPr>
          <w:rFonts w:ascii="Times New Roman" w:eastAsia="Times New Roman" w:hAnsi="Times New Roman" w:cs="Times New Roman"/>
          <w:sz w:val="24"/>
          <w:szCs w:val="24"/>
        </w:rPr>
        <w:t xml:space="preserve">Principalele obiective în cadrul acestui sector sunt buna guvernare, creșterea eficacității și </w:t>
      </w:r>
      <w:r w:rsidR="00F64A70" w:rsidRPr="003278ED">
        <w:rPr>
          <w:rFonts w:ascii="Times New Roman" w:eastAsia="Times New Roman" w:hAnsi="Times New Roman" w:cs="Times New Roman"/>
          <w:sz w:val="24"/>
          <w:szCs w:val="24"/>
        </w:rPr>
        <w:t xml:space="preserve">a </w:t>
      </w:r>
      <w:r w:rsidRPr="003278ED">
        <w:rPr>
          <w:rFonts w:ascii="Times New Roman" w:eastAsia="Times New Roman" w:hAnsi="Times New Roman" w:cs="Times New Roman"/>
          <w:sz w:val="24"/>
          <w:szCs w:val="24"/>
        </w:rPr>
        <w:t>responsabilității, finanțe publice</w:t>
      </w:r>
      <w:r w:rsidR="00F64A70" w:rsidRPr="003278ED">
        <w:rPr>
          <w:rFonts w:ascii="Times New Roman" w:eastAsia="Times New Roman" w:hAnsi="Times New Roman" w:cs="Times New Roman"/>
          <w:sz w:val="24"/>
          <w:szCs w:val="24"/>
        </w:rPr>
        <w:t xml:space="preserve"> sustenabile, dezvoltarea socio</w:t>
      </w:r>
      <w:r w:rsidRPr="003278ED">
        <w:rPr>
          <w:rFonts w:ascii="Times New Roman" w:eastAsia="Times New Roman" w:hAnsi="Times New Roman" w:cs="Times New Roman"/>
          <w:sz w:val="24"/>
          <w:szCs w:val="24"/>
        </w:rPr>
        <w:t xml:space="preserve">economică, avansarea proceselor de integrare a țării. </w:t>
      </w:r>
      <w:r w:rsidRPr="003278ED">
        <w:rPr>
          <w:rFonts w:ascii="Times New Roman" w:hAnsi="Times New Roman" w:cs="Times New Roman"/>
          <w:sz w:val="24"/>
          <w:szCs w:val="24"/>
        </w:rPr>
        <w:t xml:space="preserve"> </w:t>
      </w:r>
    </w:p>
    <w:p w14:paraId="73561B56" w14:textId="045F10AE" w:rsidR="00957A93" w:rsidRPr="003278ED" w:rsidRDefault="00957A93" w:rsidP="00072588">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 xml:space="preserve">În spiritul acestor obiective, Guvernul țintește implementarea unei strategii ambițioase de reformă a </w:t>
      </w:r>
      <w:proofErr w:type="spellStart"/>
      <w:r w:rsidRPr="003278ED">
        <w:rPr>
          <w:rFonts w:ascii="Times New Roman" w:hAnsi="Times New Roman" w:cs="Times New Roman"/>
          <w:sz w:val="24"/>
          <w:szCs w:val="24"/>
        </w:rPr>
        <w:t>administraţiei</w:t>
      </w:r>
      <w:proofErr w:type="spellEnd"/>
      <w:r w:rsidRPr="003278ED">
        <w:rPr>
          <w:rFonts w:ascii="Times New Roman" w:hAnsi="Times New Roman" w:cs="Times New Roman"/>
          <w:sz w:val="24"/>
          <w:szCs w:val="24"/>
        </w:rPr>
        <w:t xml:space="preserve"> publice pentru anii 2023</w:t>
      </w:r>
      <w:r w:rsidR="00F64A70" w:rsidRPr="003278ED">
        <w:rPr>
          <w:rFonts w:ascii="Times New Roman" w:hAnsi="Times New Roman" w:cs="Times New Roman"/>
          <w:sz w:val="24"/>
          <w:szCs w:val="24"/>
        </w:rPr>
        <w:t>-</w:t>
      </w:r>
      <w:r w:rsidRPr="003278ED">
        <w:rPr>
          <w:rFonts w:ascii="Times New Roman" w:hAnsi="Times New Roman" w:cs="Times New Roman"/>
          <w:sz w:val="24"/>
          <w:szCs w:val="24"/>
        </w:rPr>
        <w:t xml:space="preserve">2030. </w:t>
      </w:r>
    </w:p>
    <w:p w14:paraId="4963AF26" w14:textId="54155003" w:rsidR="00957A93" w:rsidRPr="003278ED" w:rsidRDefault="00957A93" w:rsidP="00072588">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Reforma administrației publice centrale</w:t>
      </w:r>
      <w:r w:rsidR="00F64A70" w:rsidRPr="003278ED">
        <w:rPr>
          <w:rFonts w:ascii="Times New Roman" w:hAnsi="Times New Roman" w:cs="Times New Roman"/>
          <w:sz w:val="24"/>
          <w:szCs w:val="24"/>
        </w:rPr>
        <w:t>,</w:t>
      </w:r>
      <w:r w:rsidRPr="003278ED">
        <w:rPr>
          <w:rFonts w:ascii="Times New Roman" w:hAnsi="Times New Roman" w:cs="Times New Roman"/>
          <w:sz w:val="24"/>
          <w:szCs w:val="24"/>
        </w:rPr>
        <w:t xml:space="preserve"> menită să </w:t>
      </w:r>
      <w:proofErr w:type="spellStart"/>
      <w:r w:rsidRPr="003278ED">
        <w:rPr>
          <w:rFonts w:ascii="Times New Roman" w:hAnsi="Times New Roman" w:cs="Times New Roman"/>
          <w:sz w:val="24"/>
          <w:szCs w:val="24"/>
        </w:rPr>
        <w:t>îmbunătăţească</w:t>
      </w:r>
      <w:proofErr w:type="spellEnd"/>
      <w:r w:rsidRPr="003278ED">
        <w:rPr>
          <w:rFonts w:ascii="Times New Roman" w:hAnsi="Times New Roman" w:cs="Times New Roman"/>
          <w:sz w:val="24"/>
          <w:szCs w:val="24"/>
        </w:rPr>
        <w:t xml:space="preserve"> calitatea </w:t>
      </w:r>
      <w:proofErr w:type="spellStart"/>
      <w:r w:rsidRPr="003278ED">
        <w:rPr>
          <w:rFonts w:ascii="Times New Roman" w:hAnsi="Times New Roman" w:cs="Times New Roman"/>
          <w:sz w:val="24"/>
          <w:szCs w:val="24"/>
        </w:rPr>
        <w:t>administraţiei</w:t>
      </w:r>
      <w:proofErr w:type="spellEnd"/>
      <w:r w:rsidRPr="003278ED">
        <w:rPr>
          <w:rFonts w:ascii="Times New Roman" w:hAnsi="Times New Roman" w:cs="Times New Roman"/>
          <w:sz w:val="24"/>
          <w:szCs w:val="24"/>
        </w:rPr>
        <w:t xml:space="preserve"> publice la toate nivelurile în conformitate cu rigorile </w:t>
      </w:r>
      <w:r w:rsidR="00F64A70" w:rsidRPr="003278ED">
        <w:rPr>
          <w:rFonts w:ascii="Times New Roman" w:hAnsi="Times New Roman" w:cs="Times New Roman"/>
          <w:sz w:val="24"/>
          <w:szCs w:val="24"/>
        </w:rPr>
        <w:t>UE,</w:t>
      </w:r>
      <w:r w:rsidRPr="003278ED">
        <w:rPr>
          <w:rFonts w:ascii="Times New Roman" w:hAnsi="Times New Roman" w:cs="Times New Roman"/>
          <w:sz w:val="24"/>
          <w:szCs w:val="24"/>
        </w:rPr>
        <w:t xml:space="preserve"> este una din</w:t>
      </w:r>
      <w:r w:rsidR="00F64A70" w:rsidRPr="003278ED">
        <w:rPr>
          <w:rFonts w:ascii="Times New Roman" w:hAnsi="Times New Roman" w:cs="Times New Roman"/>
          <w:sz w:val="24"/>
          <w:szCs w:val="24"/>
        </w:rPr>
        <w:t>tre</w:t>
      </w:r>
      <w:r w:rsidRPr="003278ED">
        <w:rPr>
          <w:rFonts w:ascii="Times New Roman" w:hAnsi="Times New Roman" w:cs="Times New Roman"/>
          <w:sz w:val="24"/>
          <w:szCs w:val="24"/>
        </w:rPr>
        <w:t xml:space="preserve"> prioritățile recunoscute și asumate de către Guvernul Republicii Moldova, iar implementarea acesteia este considerată o precondiție pentru realizarea tuturor reformelor cu urmări directe asupra cetățenilor, care vizează interesul public, soluționarea promptă a situațiilor de urgență. </w:t>
      </w:r>
    </w:p>
    <w:p w14:paraId="104316DB" w14:textId="2617BC89" w:rsidR="00957A93" w:rsidRPr="003278ED" w:rsidRDefault="00957A93" w:rsidP="00072588">
      <w:pPr>
        <w:tabs>
          <w:tab w:val="left" w:pos="40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 xml:space="preserve">Principalele măsuri și acțiuni planificate în perioada 2025-2027: </w:t>
      </w:r>
    </w:p>
    <w:p w14:paraId="78D07F0F" w14:textId="54195086"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dezvoltarea serviciilor publice</w:t>
      </w:r>
      <w:r w:rsidRPr="003278ED">
        <w:rPr>
          <w:rFonts w:ascii="Times New Roman" w:eastAsia="Times New Roman" w:hAnsi="Times New Roman" w:cs="Times New Roman"/>
          <w:bCs/>
          <w:sz w:val="24"/>
          <w:szCs w:val="24"/>
        </w:rPr>
        <w:t xml:space="preserve"> prin intermediul reformei administrației publice;</w:t>
      </w:r>
      <w:r w:rsidRPr="003278ED">
        <w:rPr>
          <w:rFonts w:ascii="Times New Roman" w:eastAsia="Times New Roman" w:hAnsi="Times New Roman" w:cs="Times New Roman"/>
          <w:sz w:val="24"/>
          <w:szCs w:val="24"/>
        </w:rPr>
        <w:t xml:space="preserve"> </w:t>
      </w:r>
    </w:p>
    <w:p w14:paraId="71A768CB" w14:textId="44C4BE2F"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coordonarea și monitorizarea activităților de integrare europeană la nivel național;</w:t>
      </w:r>
    </w:p>
    <w:p w14:paraId="3E6C27CF" w14:textId="15C3EA12"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consolidarea instituțională și financiară a autorităților locale</w:t>
      </w:r>
      <w:r w:rsidRPr="003278ED">
        <w:rPr>
          <w:rFonts w:ascii="Times New Roman" w:eastAsia="Times New Roman" w:hAnsi="Times New Roman" w:cs="Times New Roman"/>
          <w:b/>
          <w:i/>
          <w:sz w:val="24"/>
          <w:szCs w:val="24"/>
        </w:rPr>
        <w:t xml:space="preserve"> </w:t>
      </w:r>
      <w:r w:rsidRPr="003278ED">
        <w:rPr>
          <w:rFonts w:ascii="Times New Roman" w:eastAsia="Times New Roman" w:hAnsi="Times New Roman" w:cs="Times New Roman"/>
          <w:sz w:val="24"/>
          <w:szCs w:val="24"/>
        </w:rPr>
        <w:t xml:space="preserve">prin acordarea stimulentelor financiare (dezvoltarea infrastructurii și sporuri salariale) în cadrul procesului de amalgamare voluntară a </w:t>
      </w:r>
      <w:r w:rsidR="00972AC4" w:rsidRPr="003278ED">
        <w:rPr>
          <w:rFonts w:ascii="Times New Roman" w:eastAsia="Times New Roman" w:hAnsi="Times New Roman" w:cs="Times New Roman"/>
          <w:sz w:val="24"/>
          <w:szCs w:val="24"/>
        </w:rPr>
        <w:t>unităților administrativ-teritoriale</w:t>
      </w:r>
      <w:r w:rsidRPr="003278ED">
        <w:rPr>
          <w:rFonts w:ascii="Times New Roman" w:eastAsia="Times New Roman" w:hAnsi="Times New Roman" w:cs="Times New Roman"/>
          <w:sz w:val="24"/>
          <w:szCs w:val="24"/>
        </w:rPr>
        <w:t xml:space="preserve"> de nivelul </w:t>
      </w:r>
      <w:r w:rsidR="00972AC4" w:rsidRPr="003278ED">
        <w:rPr>
          <w:rFonts w:ascii="Times New Roman" w:eastAsia="Times New Roman" w:hAnsi="Times New Roman" w:cs="Times New Roman"/>
          <w:sz w:val="24"/>
          <w:szCs w:val="24"/>
        </w:rPr>
        <w:t>întâi</w:t>
      </w:r>
      <w:r w:rsidRPr="003278ED">
        <w:rPr>
          <w:rFonts w:ascii="Times New Roman" w:eastAsia="Times New Roman" w:hAnsi="Times New Roman" w:cs="Times New Roman"/>
          <w:sz w:val="24"/>
          <w:szCs w:val="24"/>
        </w:rPr>
        <w:t>;</w:t>
      </w:r>
    </w:p>
    <w:p w14:paraId="564017F9" w14:textId="4C3A9D7F"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color w:val="000000"/>
          <w:sz w:val="24"/>
          <w:szCs w:val="24"/>
          <w:shd w:val="clear" w:color="auto" w:fill="FFFFFF"/>
        </w:rPr>
      </w:pPr>
      <w:proofErr w:type="spellStart"/>
      <w:r w:rsidRPr="003278ED">
        <w:rPr>
          <w:rFonts w:ascii="Times New Roman" w:eastAsia="Times New Roman" w:hAnsi="Times New Roman" w:cs="Times New Roman"/>
          <w:color w:val="000000"/>
          <w:sz w:val="24"/>
          <w:szCs w:val="24"/>
          <w:shd w:val="clear" w:color="auto" w:fill="FFFFFF"/>
        </w:rPr>
        <w:t>creşterea</w:t>
      </w:r>
      <w:proofErr w:type="spellEnd"/>
      <w:r w:rsidRPr="003278ED">
        <w:rPr>
          <w:rFonts w:ascii="Times New Roman" w:eastAsia="Times New Roman" w:hAnsi="Times New Roman" w:cs="Times New Roman"/>
          <w:color w:val="000000"/>
          <w:sz w:val="24"/>
          <w:szCs w:val="24"/>
          <w:shd w:val="clear" w:color="auto" w:fill="FFFFFF"/>
        </w:rPr>
        <w:t xml:space="preserve"> </w:t>
      </w:r>
      <w:proofErr w:type="spellStart"/>
      <w:r w:rsidRPr="003278ED">
        <w:rPr>
          <w:rFonts w:ascii="Times New Roman" w:eastAsia="Times New Roman" w:hAnsi="Times New Roman" w:cs="Times New Roman"/>
          <w:color w:val="000000"/>
          <w:sz w:val="24"/>
          <w:szCs w:val="24"/>
          <w:shd w:val="clear" w:color="auto" w:fill="FFFFFF"/>
        </w:rPr>
        <w:t>calităţii</w:t>
      </w:r>
      <w:proofErr w:type="spellEnd"/>
      <w:r w:rsidRPr="003278ED">
        <w:rPr>
          <w:rFonts w:ascii="Times New Roman" w:eastAsia="Times New Roman" w:hAnsi="Times New Roman" w:cs="Times New Roman"/>
          <w:color w:val="000000"/>
          <w:sz w:val="24"/>
          <w:szCs w:val="24"/>
          <w:shd w:val="clear" w:color="auto" w:fill="FFFFFF"/>
        </w:rPr>
        <w:t xml:space="preserve"> </w:t>
      </w:r>
      <w:proofErr w:type="spellStart"/>
      <w:r w:rsidRPr="003278ED">
        <w:rPr>
          <w:rFonts w:ascii="Times New Roman" w:eastAsia="Times New Roman" w:hAnsi="Times New Roman" w:cs="Times New Roman"/>
          <w:color w:val="000000"/>
          <w:sz w:val="24"/>
          <w:szCs w:val="24"/>
          <w:shd w:val="clear" w:color="auto" w:fill="FFFFFF"/>
        </w:rPr>
        <w:t>şi</w:t>
      </w:r>
      <w:proofErr w:type="spellEnd"/>
      <w:r w:rsidRPr="003278ED">
        <w:rPr>
          <w:rFonts w:ascii="Times New Roman" w:eastAsia="Times New Roman" w:hAnsi="Times New Roman" w:cs="Times New Roman"/>
          <w:color w:val="000000"/>
          <w:sz w:val="24"/>
          <w:szCs w:val="24"/>
          <w:shd w:val="clear" w:color="auto" w:fill="FFFFFF"/>
        </w:rPr>
        <w:t xml:space="preserve"> </w:t>
      </w:r>
      <w:proofErr w:type="spellStart"/>
      <w:r w:rsidRPr="003278ED">
        <w:rPr>
          <w:rFonts w:ascii="Times New Roman" w:eastAsia="Times New Roman" w:hAnsi="Times New Roman" w:cs="Times New Roman"/>
          <w:color w:val="000000"/>
          <w:sz w:val="24"/>
          <w:szCs w:val="24"/>
          <w:shd w:val="clear" w:color="auto" w:fill="FFFFFF"/>
        </w:rPr>
        <w:t>accesibilităţii</w:t>
      </w:r>
      <w:proofErr w:type="spellEnd"/>
      <w:r w:rsidRPr="003278ED">
        <w:rPr>
          <w:rFonts w:ascii="Times New Roman" w:eastAsia="Times New Roman" w:hAnsi="Times New Roman" w:cs="Times New Roman"/>
          <w:color w:val="000000"/>
          <w:sz w:val="24"/>
          <w:szCs w:val="24"/>
          <w:shd w:val="clear" w:color="auto" w:fill="FFFFFF"/>
        </w:rPr>
        <w:t xml:space="preserve"> serviciilor publice, digitalizării acestora în direcția adaptării serviciilor publice la nevoile cetățenilor</w:t>
      </w:r>
      <w:r w:rsidRPr="003278ED">
        <w:rPr>
          <w:rFonts w:ascii="Times New Roman" w:eastAsia="Times New Roman" w:hAnsi="Times New Roman" w:cs="Times New Roman"/>
          <w:sz w:val="24"/>
          <w:szCs w:val="24"/>
        </w:rPr>
        <w:t>;</w:t>
      </w:r>
      <w:r w:rsidRPr="003278ED">
        <w:rPr>
          <w:rFonts w:ascii="Times New Roman" w:eastAsia="Times New Roman" w:hAnsi="Times New Roman" w:cs="Times New Roman"/>
          <w:color w:val="000000"/>
          <w:sz w:val="24"/>
          <w:szCs w:val="24"/>
          <w:shd w:val="clear" w:color="auto" w:fill="FFFFFF"/>
        </w:rPr>
        <w:t xml:space="preserve"> </w:t>
      </w:r>
    </w:p>
    <w:p w14:paraId="73E49B3F" w14:textId="216E7558"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b/>
          <w:sz w:val="24"/>
          <w:szCs w:val="24"/>
        </w:rPr>
      </w:pPr>
      <w:r w:rsidRPr="003278ED">
        <w:rPr>
          <w:rFonts w:ascii="Times New Roman" w:eastAsia="Times New Roman" w:hAnsi="Times New Roman" w:cs="Times New Roman"/>
          <w:sz w:val="24"/>
          <w:szCs w:val="24"/>
        </w:rPr>
        <w:t xml:space="preserve">optimizarea procesului de votare prin implementarea noilor tehnologii, inclusiv </w:t>
      </w:r>
      <w:r w:rsidR="00972AC4" w:rsidRPr="003278ED">
        <w:rPr>
          <w:rFonts w:ascii="Times New Roman" w:eastAsia="Times New Roman" w:hAnsi="Times New Roman" w:cs="Times New Roman"/>
          <w:sz w:val="24"/>
          <w:szCs w:val="24"/>
        </w:rPr>
        <w:t xml:space="preserve">a </w:t>
      </w:r>
      <w:r w:rsidRPr="003278ED">
        <w:rPr>
          <w:rFonts w:ascii="Times New Roman" w:eastAsia="Times New Roman" w:hAnsi="Times New Roman" w:cs="Times New Roman"/>
          <w:sz w:val="24"/>
          <w:szCs w:val="24"/>
        </w:rPr>
        <w:t>vot</w:t>
      </w:r>
      <w:r w:rsidR="00972AC4" w:rsidRPr="003278ED">
        <w:rPr>
          <w:rFonts w:ascii="Times New Roman" w:eastAsia="Times New Roman" w:hAnsi="Times New Roman" w:cs="Times New Roman"/>
          <w:sz w:val="24"/>
          <w:szCs w:val="24"/>
        </w:rPr>
        <w:t>u</w:t>
      </w:r>
      <w:r w:rsidRPr="003278ED">
        <w:rPr>
          <w:rFonts w:ascii="Times New Roman" w:eastAsia="Times New Roman" w:hAnsi="Times New Roman" w:cs="Times New Roman"/>
          <w:sz w:val="24"/>
          <w:szCs w:val="24"/>
        </w:rPr>
        <w:t xml:space="preserve">lui prin corespondență; </w:t>
      </w:r>
    </w:p>
    <w:p w14:paraId="2424C064" w14:textId="5723F43B" w:rsidR="00957A93" w:rsidRPr="003278ED" w:rsidRDefault="00957A93" w:rsidP="00072588">
      <w:pPr>
        <w:pStyle w:val="Listparagraf"/>
        <w:numPr>
          <w:ilvl w:val="3"/>
          <w:numId w:val="13"/>
        </w:numPr>
        <w:tabs>
          <w:tab w:val="left" w:pos="709"/>
          <w:tab w:val="left" w:pos="993"/>
        </w:tabs>
        <w:spacing w:after="0" w:line="240" w:lineRule="auto"/>
        <w:ind w:left="0" w:firstLine="720"/>
        <w:contextualSpacing w:val="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prelucrarea, analiza și diseminarea rezultatelor recensământului populației și al locuințelor din 2024;</w:t>
      </w:r>
    </w:p>
    <w:p w14:paraId="30F58396" w14:textId="0B25264B"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lastRenderedPageBreak/>
        <w:t>consolidarea încrederii între ambele maluri ale Nistrului prin dezvoltarea și modernizarea infrastructurii din raioanele de est și din Zona de Securitate;</w:t>
      </w:r>
    </w:p>
    <w:p w14:paraId="55C5E15D" w14:textId="697D8048"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bCs/>
          <w:iCs/>
          <w:color w:val="000000"/>
          <w:sz w:val="24"/>
          <w:szCs w:val="24"/>
          <w:shd w:val="clear" w:color="auto" w:fill="FFFFFF"/>
        </w:rPr>
        <w:t>asigurarea completării rezervelor de stat și de mobilizare;</w:t>
      </w:r>
    </w:p>
    <w:p w14:paraId="23639EC1" w14:textId="20501F80"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bCs/>
          <w:iCs/>
          <w:color w:val="000000"/>
          <w:sz w:val="24"/>
          <w:szCs w:val="24"/>
          <w:shd w:val="clear" w:color="auto" w:fill="FFFFFF"/>
        </w:rPr>
      </w:pPr>
      <w:r w:rsidRPr="003278ED">
        <w:rPr>
          <w:rFonts w:ascii="Times New Roman" w:eastAsia="Times New Roman" w:hAnsi="Times New Roman" w:cs="Times New Roman"/>
          <w:bCs/>
          <w:iCs/>
          <w:color w:val="000000"/>
          <w:sz w:val="24"/>
          <w:szCs w:val="24"/>
          <w:shd w:val="clear" w:color="auto" w:fill="FFFFFF"/>
        </w:rPr>
        <w:t xml:space="preserve">susținerea diasporei prin diferite activități și proiecte; </w:t>
      </w:r>
    </w:p>
    <w:p w14:paraId="3FCE1027" w14:textId="29748778" w:rsidR="00957A93" w:rsidRPr="003278ED" w:rsidRDefault="00957A93" w:rsidP="00072588">
      <w:pPr>
        <w:pStyle w:val="Listparagraf"/>
        <w:numPr>
          <w:ilvl w:val="3"/>
          <w:numId w:val="13"/>
        </w:numPr>
        <w:tabs>
          <w:tab w:val="left" w:pos="1134"/>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bCs/>
          <w:iCs/>
          <w:color w:val="000000"/>
          <w:sz w:val="24"/>
          <w:szCs w:val="24"/>
          <w:shd w:val="clear" w:color="auto" w:fill="FFFFFF"/>
        </w:rPr>
        <w:t>g</w:t>
      </w:r>
      <w:r w:rsidRPr="003278ED">
        <w:rPr>
          <w:rFonts w:ascii="Times New Roman" w:eastAsia="Times New Roman" w:hAnsi="Times New Roman" w:cs="Times New Roman"/>
          <w:sz w:val="24"/>
          <w:szCs w:val="24"/>
        </w:rPr>
        <w:t>estionarea situațiilor imprevizibile/excepționale;</w:t>
      </w:r>
    </w:p>
    <w:p w14:paraId="5F4E914A" w14:textId="57542B52" w:rsidR="00957A93" w:rsidRPr="003278ED" w:rsidRDefault="00957A93" w:rsidP="00072588">
      <w:pPr>
        <w:pStyle w:val="Listparagraf"/>
        <w:numPr>
          <w:ilvl w:val="3"/>
          <w:numId w:val="13"/>
        </w:numPr>
        <w:tabs>
          <w:tab w:val="left" w:pos="993"/>
        </w:tabs>
        <w:spacing w:after="0" w:line="240" w:lineRule="auto"/>
        <w:ind w:left="0" w:firstLine="720"/>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susținerea financiară a unităților administrativ-teritoriale.</w:t>
      </w:r>
    </w:p>
    <w:p w14:paraId="6428BE04" w14:textId="77777777" w:rsidR="0098731F" w:rsidRPr="003278ED" w:rsidRDefault="0098731F" w:rsidP="00072588">
      <w:pPr>
        <w:tabs>
          <w:tab w:val="left" w:pos="993"/>
        </w:tabs>
        <w:autoSpaceDE w:val="0"/>
        <w:autoSpaceDN w:val="0"/>
        <w:adjustRightInd w:val="0"/>
        <w:spacing w:after="0" w:line="240" w:lineRule="auto"/>
        <w:ind w:firstLine="720"/>
        <w:rPr>
          <w:sz w:val="20"/>
        </w:rPr>
      </w:pPr>
    </w:p>
    <w:p w14:paraId="0A0E7C25" w14:textId="1187837F" w:rsidR="0007345F" w:rsidRPr="003278ED" w:rsidRDefault="0007345F" w:rsidP="00072588">
      <w:pPr>
        <w:shd w:val="clear" w:color="auto" w:fill="FFFFFF"/>
        <w:tabs>
          <w:tab w:val="left" w:pos="709"/>
        </w:tabs>
        <w:spacing w:after="0" w:line="240" w:lineRule="auto"/>
        <w:ind w:firstLine="720"/>
        <w:contextualSpacing/>
        <w:jc w:val="both"/>
        <w:rPr>
          <w:rFonts w:ascii="Times New Roman" w:eastAsia="Times New Roman" w:hAnsi="Times New Roman" w:cs="Times New Roman"/>
          <w:b/>
          <w:i/>
          <w:sz w:val="24"/>
          <w:szCs w:val="20"/>
        </w:rPr>
      </w:pPr>
      <w:r w:rsidRPr="003278ED">
        <w:rPr>
          <w:rFonts w:ascii="Times New Roman" w:eastAsia="Times New Roman" w:hAnsi="Times New Roman" w:cs="Times New Roman"/>
          <w:b/>
          <w:i/>
          <w:sz w:val="24"/>
          <w:szCs w:val="20"/>
        </w:rPr>
        <w:t>Afaceri externe (02)</w:t>
      </w:r>
    </w:p>
    <w:p w14:paraId="68BD3F00" w14:textId="4EEBF990" w:rsidR="008C494D" w:rsidRPr="003278ED" w:rsidRDefault="008C494D" w:rsidP="00072588">
      <w:pPr>
        <w:tabs>
          <w:tab w:val="left" w:pos="403"/>
          <w:tab w:val="left" w:pos="99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Republica Moldova, corelat statutului de candidat la aderarea în </w:t>
      </w:r>
      <w:r w:rsidR="00972AC4" w:rsidRPr="003278ED">
        <w:rPr>
          <w:rFonts w:ascii="Times New Roman" w:eastAsia="Calibri" w:hAnsi="Times New Roman" w:cs="Times New Roman"/>
          <w:sz w:val="24"/>
          <w:szCs w:val="24"/>
        </w:rPr>
        <w:t>UE</w:t>
      </w:r>
      <w:r w:rsidRPr="003278ED">
        <w:rPr>
          <w:rFonts w:ascii="Times New Roman" w:eastAsia="Calibri" w:hAnsi="Times New Roman" w:cs="Times New Roman"/>
          <w:sz w:val="24"/>
          <w:szCs w:val="24"/>
        </w:rPr>
        <w:t xml:space="preserve">, parcurge o următoare etapă complexă în cadrul procesului de asociere prin lansarea negocierii și accederea Moldovei la </w:t>
      </w:r>
      <w:r w:rsidR="00972AC4" w:rsidRPr="003278ED">
        <w:rPr>
          <w:rFonts w:ascii="Times New Roman" w:eastAsia="Calibri" w:hAnsi="Times New Roman" w:cs="Times New Roman"/>
          <w:sz w:val="24"/>
          <w:szCs w:val="24"/>
        </w:rPr>
        <w:t>UE</w:t>
      </w:r>
      <w:r w:rsidRPr="003278ED">
        <w:rPr>
          <w:rFonts w:ascii="Times New Roman" w:eastAsia="Calibri" w:hAnsi="Times New Roman" w:cs="Times New Roman"/>
          <w:sz w:val="24"/>
          <w:szCs w:val="24"/>
        </w:rPr>
        <w:t>. În continuare, o atenție sporită urmează a fi acordată procesului de ajustare a legislației naționale la acquis-</w:t>
      </w:r>
      <w:proofErr w:type="spellStart"/>
      <w:r w:rsidRPr="003278ED">
        <w:rPr>
          <w:rFonts w:ascii="Times New Roman" w:eastAsia="Calibri" w:hAnsi="Times New Roman" w:cs="Times New Roman"/>
          <w:sz w:val="24"/>
          <w:szCs w:val="24"/>
        </w:rPr>
        <w:t>ul</w:t>
      </w:r>
      <w:proofErr w:type="spellEnd"/>
      <w:r w:rsidRPr="003278ED">
        <w:rPr>
          <w:rFonts w:ascii="Times New Roman" w:eastAsia="Calibri" w:hAnsi="Times New Roman" w:cs="Times New Roman"/>
          <w:sz w:val="24"/>
          <w:szCs w:val="24"/>
        </w:rPr>
        <w:t xml:space="preserve"> UE.</w:t>
      </w:r>
    </w:p>
    <w:p w14:paraId="3F26DF9B" w14:textId="77777777" w:rsidR="008C494D" w:rsidRPr="003278ED" w:rsidRDefault="008C494D" w:rsidP="00072588">
      <w:pPr>
        <w:tabs>
          <w:tab w:val="left" w:pos="403"/>
          <w:tab w:val="left" w:pos="99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 xml:space="preserve">Principalele măsuri și acțiuni planificate în perioada anilor 2025-2027: </w:t>
      </w:r>
    </w:p>
    <w:p w14:paraId="515D19C5" w14:textId="77777777" w:rsidR="008C494D" w:rsidRPr="003278ED" w:rsidRDefault="008C494D"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consolidarea capacităților administrației publice în ceea ce privește dimensiunea de integrare europeană;</w:t>
      </w:r>
    </w:p>
    <w:p w14:paraId="7BB279F2" w14:textId="77777777" w:rsidR="008C494D" w:rsidRPr="003278ED" w:rsidRDefault="008C494D"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implementarea angajamentelor ce țin de procesul de accedere la UE și procesul de armonizare a legislației naționale la acquis-</w:t>
      </w:r>
      <w:proofErr w:type="spellStart"/>
      <w:r w:rsidRPr="003278ED">
        <w:rPr>
          <w:rFonts w:ascii="Times New Roman" w:eastAsia="Calibri" w:hAnsi="Times New Roman" w:cs="Times New Roman"/>
          <w:sz w:val="24"/>
          <w:szCs w:val="24"/>
        </w:rPr>
        <w:t>ul</w:t>
      </w:r>
      <w:proofErr w:type="spellEnd"/>
      <w:r w:rsidRPr="003278ED">
        <w:rPr>
          <w:rFonts w:ascii="Times New Roman" w:eastAsia="Calibri" w:hAnsi="Times New Roman" w:cs="Times New Roman"/>
          <w:sz w:val="24"/>
          <w:szCs w:val="24"/>
        </w:rPr>
        <w:t xml:space="preserve"> UE în domeniul politic și de securitate;</w:t>
      </w:r>
    </w:p>
    <w:p w14:paraId="08FD41E3" w14:textId="77777777" w:rsidR="008C494D" w:rsidRPr="003278ED" w:rsidRDefault="008C494D"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și consolidarea prezenței diplomatice a Republicii Moldova peste hotare pentru promovarea intereselor statului nostru, inclusiv a celor economice și comerciale;</w:t>
      </w:r>
    </w:p>
    <w:p w14:paraId="76D55670" w14:textId="77777777" w:rsidR="008C494D" w:rsidRPr="003278ED" w:rsidRDefault="008C494D"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satisfacerea necesităților cetățenilor Republicii Moldova aflați peste hotare prin asigurarea bunei funcționări a serviciilor diplomatice și a celor consulare;</w:t>
      </w:r>
    </w:p>
    <w:p w14:paraId="7161F0A2" w14:textId="77777777" w:rsidR="008C494D" w:rsidRPr="003278ED" w:rsidRDefault="008C494D"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reprezentarea Republicii Moldova în organizațiile internaționale, inclusiv prin asigurarea angajamentelor financiare în cadrul acestora.</w:t>
      </w:r>
    </w:p>
    <w:p w14:paraId="6353302D" w14:textId="188C34D9" w:rsidR="00FA2696" w:rsidRPr="003278ED" w:rsidRDefault="00FA2696" w:rsidP="00072588">
      <w:pPr>
        <w:shd w:val="clear" w:color="auto" w:fill="FFFFFF"/>
        <w:tabs>
          <w:tab w:val="left" w:pos="993"/>
        </w:tabs>
        <w:spacing w:after="0" w:line="240" w:lineRule="auto"/>
        <w:ind w:firstLine="720"/>
        <w:contextualSpacing/>
        <w:jc w:val="both"/>
        <w:rPr>
          <w:rFonts w:ascii="Times New Roman" w:eastAsia="Times New Roman" w:hAnsi="Times New Roman" w:cs="Times New Roman"/>
          <w:b/>
          <w:i/>
          <w:sz w:val="24"/>
          <w:szCs w:val="20"/>
        </w:rPr>
      </w:pPr>
    </w:p>
    <w:p w14:paraId="687F4926" w14:textId="77777777" w:rsidR="00B37822" w:rsidRPr="003278ED" w:rsidRDefault="00310FCE" w:rsidP="00072588">
      <w:pPr>
        <w:shd w:val="clear" w:color="auto" w:fill="FFFFFF"/>
        <w:spacing w:after="0" w:line="240" w:lineRule="auto"/>
        <w:ind w:firstLine="720"/>
        <w:contextualSpacing/>
        <w:jc w:val="both"/>
        <w:rPr>
          <w:rFonts w:ascii="Times New Roman" w:hAnsi="Times New Roman" w:cs="Times New Roman"/>
          <w:b/>
          <w:i/>
          <w:sz w:val="24"/>
          <w:szCs w:val="28"/>
        </w:rPr>
      </w:pPr>
      <w:r w:rsidRPr="003278ED">
        <w:rPr>
          <w:rFonts w:ascii="Times New Roman" w:hAnsi="Times New Roman" w:cs="Times New Roman"/>
          <w:b/>
          <w:i/>
          <w:sz w:val="24"/>
          <w:szCs w:val="28"/>
        </w:rPr>
        <w:t>Apărare națională (05)</w:t>
      </w:r>
    </w:p>
    <w:p w14:paraId="14E6D88C" w14:textId="18F362B2" w:rsidR="007547CC" w:rsidRPr="003278ED" w:rsidRDefault="00746466" w:rsidP="00072588">
      <w:pPr>
        <w:shd w:val="clear" w:color="auto" w:fill="FFFFFF"/>
        <w:spacing w:after="0" w:line="240" w:lineRule="auto"/>
        <w:ind w:firstLine="720"/>
        <w:contextualSpacing/>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În contextul provocărilor și amenințărilor mediului actual de securitate regional și internaționa</w:t>
      </w:r>
      <w:r w:rsidR="00972AC4" w:rsidRPr="003278ED">
        <w:rPr>
          <w:rFonts w:ascii="Times New Roman" w:eastAsia="Calibri" w:hAnsi="Times New Roman" w:cs="Times New Roman"/>
          <w:sz w:val="24"/>
          <w:szCs w:val="24"/>
        </w:rPr>
        <w:t>l, Republica Moldova are nevoie</w:t>
      </w:r>
      <w:r w:rsidRPr="003278ED">
        <w:rPr>
          <w:rFonts w:ascii="Times New Roman" w:eastAsia="Calibri" w:hAnsi="Times New Roman" w:cs="Times New Roman"/>
          <w:sz w:val="24"/>
          <w:szCs w:val="24"/>
        </w:rPr>
        <w:t xml:space="preserve"> de o armată mo</w:t>
      </w:r>
      <w:r w:rsidR="007547CC" w:rsidRPr="003278ED">
        <w:rPr>
          <w:rFonts w:ascii="Times New Roman" w:eastAsia="Calibri" w:hAnsi="Times New Roman" w:cs="Times New Roman"/>
          <w:sz w:val="24"/>
          <w:szCs w:val="24"/>
        </w:rPr>
        <w:t>dernă, mobilă și profesionistă.</w:t>
      </w:r>
    </w:p>
    <w:p w14:paraId="770E25CF" w14:textId="3A352E22" w:rsidR="00746466" w:rsidRPr="003278ED" w:rsidRDefault="00972AC4" w:rsidP="00072588">
      <w:pPr>
        <w:tabs>
          <w:tab w:val="left" w:pos="403"/>
          <w:tab w:val="left" w:pos="99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Astfel, Guvernul </w:t>
      </w:r>
      <w:r w:rsidR="00746466" w:rsidRPr="003278ED">
        <w:rPr>
          <w:rFonts w:ascii="Times New Roman" w:eastAsia="Calibri" w:hAnsi="Times New Roman" w:cs="Times New Roman"/>
          <w:sz w:val="24"/>
          <w:szCs w:val="24"/>
        </w:rPr>
        <w:t xml:space="preserve">va continua să desfășoare un proces de transformare graduală, în măsură să poată genera capabilități militare necesare pentru asigurarea apărării naționale, </w:t>
      </w:r>
      <w:r w:rsidR="003D6C0F" w:rsidRPr="003278ED">
        <w:rPr>
          <w:rFonts w:ascii="Times New Roman" w:eastAsia="Calibri" w:hAnsi="Times New Roman" w:cs="Times New Roman"/>
          <w:sz w:val="24"/>
          <w:szCs w:val="24"/>
        </w:rPr>
        <w:t xml:space="preserve">pentru </w:t>
      </w:r>
      <w:r w:rsidR="00746466" w:rsidRPr="003278ED">
        <w:rPr>
          <w:rFonts w:ascii="Times New Roman" w:eastAsia="Calibri" w:hAnsi="Times New Roman" w:cs="Times New Roman"/>
          <w:sz w:val="24"/>
          <w:szCs w:val="24"/>
        </w:rPr>
        <w:t xml:space="preserve">participarea la misiuni și </w:t>
      </w:r>
      <w:r w:rsidR="003D6C0F" w:rsidRPr="003278ED">
        <w:rPr>
          <w:rFonts w:ascii="Times New Roman" w:eastAsia="Calibri" w:hAnsi="Times New Roman" w:cs="Times New Roman"/>
          <w:sz w:val="24"/>
          <w:szCs w:val="24"/>
        </w:rPr>
        <w:t xml:space="preserve">la </w:t>
      </w:r>
      <w:r w:rsidR="00746466" w:rsidRPr="003278ED">
        <w:rPr>
          <w:rFonts w:ascii="Times New Roman" w:eastAsia="Calibri" w:hAnsi="Times New Roman" w:cs="Times New Roman"/>
          <w:sz w:val="24"/>
          <w:szCs w:val="24"/>
        </w:rPr>
        <w:t xml:space="preserve">operații internaționale și </w:t>
      </w:r>
      <w:r w:rsidR="003D6C0F" w:rsidRPr="003278ED">
        <w:rPr>
          <w:rFonts w:ascii="Times New Roman" w:eastAsia="Calibri" w:hAnsi="Times New Roman" w:cs="Times New Roman"/>
          <w:sz w:val="24"/>
          <w:szCs w:val="24"/>
        </w:rPr>
        <w:t xml:space="preserve">pentru </w:t>
      </w:r>
      <w:r w:rsidR="00746466" w:rsidRPr="003278ED">
        <w:rPr>
          <w:rFonts w:ascii="Times New Roman" w:eastAsia="Calibri" w:hAnsi="Times New Roman" w:cs="Times New Roman"/>
          <w:sz w:val="24"/>
          <w:szCs w:val="24"/>
        </w:rPr>
        <w:t>acordarea sprijinului autorităților civile.</w:t>
      </w:r>
    </w:p>
    <w:p w14:paraId="74CD63D1" w14:textId="77777777" w:rsidR="00746466" w:rsidRPr="003278ED" w:rsidRDefault="00746466" w:rsidP="00072588">
      <w:pPr>
        <w:tabs>
          <w:tab w:val="left" w:pos="403"/>
          <w:tab w:val="left" w:pos="99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Principalele măsuri și acțiuni planificate pentru anii 2025-2027:</w:t>
      </w:r>
    </w:p>
    <w:p w14:paraId="067B3F3E" w14:textId="77777777" w:rsidR="007547CC"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̵implementarea și eficientizarea procesului de planificare a apărării la nivel instituțional;</w:t>
      </w:r>
    </w:p>
    <w:p w14:paraId="4135D9CE" w14:textId="77777777" w:rsidR="007547CC"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procesului de modernizare și transformare a capabilităților militare;</w:t>
      </w:r>
    </w:p>
    <w:p w14:paraId="49F19B16" w14:textId="77777777" w:rsidR="007547CC"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creșterea calității vieții și îmbunătățirea condițiil</w:t>
      </w:r>
      <w:r w:rsidR="007547CC" w:rsidRPr="003278ED">
        <w:rPr>
          <w:rFonts w:ascii="Times New Roman" w:eastAsia="Calibri" w:hAnsi="Times New Roman" w:cs="Times New Roman"/>
          <w:sz w:val="24"/>
          <w:szCs w:val="24"/>
        </w:rPr>
        <w:t>or de serviciu ale militarilor;</w:t>
      </w:r>
    </w:p>
    <w:p w14:paraId="54D7805F" w14:textId="77777777" w:rsidR="007547CC"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menținerea și creșterea contribuției în operații și misiuni naționale și internaționale;</w:t>
      </w:r>
    </w:p>
    <w:p w14:paraId="6A648D22" w14:textId="77777777" w:rsidR="007547CC"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consolidarea, valorificarea și identificarea domeniilor noi de cooperare pe linie bilaterală și cu organizațiile internaționale;</w:t>
      </w:r>
    </w:p>
    <w:p w14:paraId="2E873C47" w14:textId="77777777" w:rsidR="00746466" w:rsidRPr="003278ED" w:rsidRDefault="00746466"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achizițiilor multianuale de echipamente militare și modernizarea infrastructurii.</w:t>
      </w:r>
    </w:p>
    <w:p w14:paraId="30F9D1D8" w14:textId="77777777" w:rsidR="00B37822" w:rsidRPr="003278ED" w:rsidRDefault="00B37822" w:rsidP="00072588">
      <w:pPr>
        <w:tabs>
          <w:tab w:val="left" w:pos="993"/>
        </w:tabs>
        <w:spacing w:after="0" w:line="240" w:lineRule="auto"/>
        <w:ind w:firstLine="720"/>
        <w:jc w:val="both"/>
        <w:rPr>
          <w:sz w:val="24"/>
          <w:szCs w:val="24"/>
        </w:rPr>
      </w:pPr>
    </w:p>
    <w:p w14:paraId="0E1DF26C" w14:textId="2537A425" w:rsidR="00D84E28" w:rsidRPr="003278ED" w:rsidRDefault="00D84E28" w:rsidP="00072588">
      <w:pPr>
        <w:tabs>
          <w:tab w:val="left" w:pos="709"/>
        </w:tabs>
        <w:spacing w:after="0" w:line="240" w:lineRule="auto"/>
        <w:ind w:firstLine="720"/>
        <w:jc w:val="both"/>
        <w:rPr>
          <w:rFonts w:ascii="Times New Roman" w:hAnsi="Times New Roman" w:cs="Times New Roman"/>
          <w:b/>
          <w:i/>
          <w:sz w:val="24"/>
        </w:rPr>
      </w:pPr>
      <w:r w:rsidRPr="003278ED">
        <w:rPr>
          <w:rFonts w:ascii="Times New Roman" w:hAnsi="Times New Roman" w:cs="Times New Roman"/>
          <w:b/>
          <w:i/>
          <w:sz w:val="24"/>
          <w:szCs w:val="24"/>
        </w:rPr>
        <w:t>Ordine</w:t>
      </w:r>
      <w:r w:rsidRPr="003278ED">
        <w:rPr>
          <w:rFonts w:ascii="Times New Roman" w:hAnsi="Times New Roman" w:cs="Times New Roman"/>
          <w:b/>
          <w:i/>
          <w:sz w:val="24"/>
        </w:rPr>
        <w:t xml:space="preserve"> public</w:t>
      </w:r>
      <w:r w:rsidR="00B37822" w:rsidRPr="003278ED">
        <w:rPr>
          <w:rFonts w:ascii="Times New Roman" w:hAnsi="Times New Roman" w:cs="Times New Roman"/>
          <w:b/>
          <w:i/>
          <w:sz w:val="24"/>
        </w:rPr>
        <w:t>ă</w:t>
      </w:r>
      <w:r w:rsidRPr="003278ED">
        <w:rPr>
          <w:rFonts w:ascii="Times New Roman" w:hAnsi="Times New Roman" w:cs="Times New Roman"/>
          <w:b/>
          <w:i/>
          <w:sz w:val="24"/>
        </w:rPr>
        <w:t xml:space="preserve"> și securitate națională (06)</w:t>
      </w:r>
    </w:p>
    <w:p w14:paraId="2DE9C9CA" w14:textId="3822E7C7" w:rsidR="005D2160" w:rsidRPr="003278ED" w:rsidRDefault="005D2160" w:rsidP="00072588">
      <w:pPr>
        <w:tabs>
          <w:tab w:val="left" w:pos="403"/>
          <w:tab w:val="left" w:pos="99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În scopul sporirii ordinii și securității publice, eforturile Guvernului vor fi focalizate prin adaptarea politicilor </w:t>
      </w:r>
      <w:r w:rsidR="003D6C0F" w:rsidRPr="003278ED">
        <w:rPr>
          <w:rFonts w:ascii="Times New Roman" w:eastAsia="Calibri" w:hAnsi="Times New Roman" w:cs="Times New Roman"/>
          <w:sz w:val="24"/>
          <w:szCs w:val="24"/>
        </w:rPr>
        <w:t>ș</w:t>
      </w:r>
      <w:r w:rsidRPr="003278ED">
        <w:rPr>
          <w:rFonts w:ascii="Times New Roman" w:eastAsia="Calibri" w:hAnsi="Times New Roman" w:cs="Times New Roman"/>
          <w:sz w:val="24"/>
          <w:szCs w:val="24"/>
        </w:rPr>
        <w:t xml:space="preserve">i </w:t>
      </w:r>
      <w:r w:rsidR="003D6C0F" w:rsidRPr="003278ED">
        <w:rPr>
          <w:rFonts w:ascii="Times New Roman" w:eastAsia="Calibri" w:hAnsi="Times New Roman" w:cs="Times New Roman"/>
          <w:sz w:val="24"/>
          <w:szCs w:val="24"/>
        </w:rPr>
        <w:t xml:space="preserve">prin </w:t>
      </w:r>
      <w:r w:rsidRPr="003278ED">
        <w:rPr>
          <w:rFonts w:ascii="Times New Roman" w:eastAsia="Calibri" w:hAnsi="Times New Roman" w:cs="Times New Roman"/>
          <w:sz w:val="24"/>
          <w:szCs w:val="24"/>
        </w:rPr>
        <w:t>crearea instrumentelor de răspuns la amenințările externe și interne</w:t>
      </w:r>
      <w:r w:rsidR="003D6C0F"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în scopul promovării stabilității și securității naționale și regionale. Asigurarea și fortificarea capacităților instituțiilor din domeniul ordinii publice și securității naționale este o prioritate fundamentală a statului.</w:t>
      </w:r>
    </w:p>
    <w:p w14:paraId="7CEF18D4" w14:textId="77777777" w:rsidR="005D2160" w:rsidRPr="003278ED" w:rsidRDefault="005D2160" w:rsidP="00072588">
      <w:pPr>
        <w:tabs>
          <w:tab w:val="left" w:pos="403"/>
          <w:tab w:val="left" w:pos="99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 xml:space="preserve">Principalele măsuri și acțiuni planificate în perioada anilor 2025-2027: </w:t>
      </w:r>
    </w:p>
    <w:p w14:paraId="7B988408" w14:textId="7DFEBCB0" w:rsidR="005D2160" w:rsidRPr="003278ED" w:rsidRDefault="003D6C0F"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fortificarea </w:t>
      </w:r>
      <w:r w:rsidR="005D2160" w:rsidRPr="003278ED">
        <w:rPr>
          <w:rFonts w:ascii="Times New Roman" w:eastAsia="Calibri" w:hAnsi="Times New Roman" w:cs="Times New Roman"/>
          <w:sz w:val="24"/>
          <w:szCs w:val="24"/>
        </w:rPr>
        <w:t>sistemului de ordine și securitate publică în vederea asigurării unui răspuns profesionist, eficient și rapid la provocările specifice;</w:t>
      </w:r>
    </w:p>
    <w:p w14:paraId="250E3366" w14:textId="77777777"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lastRenderedPageBreak/>
        <w:t>eficientizarea activităților de coordonare și efectuare a supravegherii la frontiera de stat;</w:t>
      </w:r>
    </w:p>
    <w:p w14:paraId="2CD699B6" w14:textId="77777777"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mentenanței și dezvoltarea sistemelor informaționale pentru instituțiile din domeniul afacerilor interne;</w:t>
      </w:r>
    </w:p>
    <w:p w14:paraId="3FD3A3CC" w14:textId="77777777"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integrarea echipelor Republicii Moldova la Mecanismul de Protecție Civilă al Uniunii Europene;</w:t>
      </w:r>
    </w:p>
    <w:p w14:paraId="353FAA4B" w14:textId="77777777"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consolidarea capacităților instituționale de a răspunde prompt și adecvat la situațiile de criză.</w:t>
      </w:r>
    </w:p>
    <w:p w14:paraId="6674C946" w14:textId="77777777" w:rsidR="00D84E28" w:rsidRPr="003278ED" w:rsidRDefault="00D84E28" w:rsidP="00072588">
      <w:pPr>
        <w:tabs>
          <w:tab w:val="left" w:pos="993"/>
        </w:tabs>
        <w:spacing w:after="0" w:line="240" w:lineRule="auto"/>
        <w:ind w:firstLine="720"/>
        <w:jc w:val="both"/>
        <w:rPr>
          <w:rFonts w:ascii="Times New Roman" w:hAnsi="Times New Roman" w:cs="Times New Roman"/>
          <w:b/>
          <w:i/>
          <w:sz w:val="24"/>
        </w:rPr>
      </w:pPr>
    </w:p>
    <w:p w14:paraId="295A6DF4" w14:textId="2066104F" w:rsidR="00D84E28" w:rsidRPr="003278ED" w:rsidRDefault="00B37822" w:rsidP="00072588">
      <w:pPr>
        <w:tabs>
          <w:tab w:val="left" w:pos="709"/>
        </w:tabs>
        <w:spacing w:after="0" w:line="240" w:lineRule="auto"/>
        <w:jc w:val="both"/>
        <w:rPr>
          <w:rFonts w:ascii="Times New Roman" w:hAnsi="Times New Roman" w:cs="Times New Roman"/>
          <w:b/>
          <w:i/>
          <w:sz w:val="24"/>
        </w:rPr>
      </w:pPr>
      <w:r w:rsidRPr="003278ED">
        <w:rPr>
          <w:rFonts w:ascii="Times New Roman" w:hAnsi="Times New Roman" w:cs="Times New Roman"/>
          <w:b/>
          <w:i/>
          <w:sz w:val="24"/>
        </w:rPr>
        <w:tab/>
      </w:r>
      <w:r w:rsidR="00D84E28" w:rsidRPr="003278ED">
        <w:rPr>
          <w:rFonts w:ascii="Times New Roman" w:hAnsi="Times New Roman" w:cs="Times New Roman"/>
          <w:b/>
          <w:i/>
          <w:sz w:val="24"/>
        </w:rPr>
        <w:t>Justiție (07)</w:t>
      </w:r>
    </w:p>
    <w:p w14:paraId="63090DB0" w14:textId="77777777" w:rsidR="006C5564" w:rsidRPr="003278ED" w:rsidRDefault="005D2160" w:rsidP="00072588">
      <w:pPr>
        <w:tabs>
          <w:tab w:val="left" w:pos="0"/>
          <w:tab w:val="left" w:pos="403"/>
        </w:tabs>
        <w:spacing w:after="0" w:line="240" w:lineRule="auto"/>
        <w:ind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unui sistem de justiție  independent și transparent, precum și dezvoltarea instituțiilor care gravitează spre realizarea sarcinilor de asigurare a unei justiții echitabile, eficiente și de calitate constituie un principiu de bază al statului de drept.</w:t>
      </w:r>
    </w:p>
    <w:p w14:paraId="0D38F639" w14:textId="6D5F02F5" w:rsidR="005D2160" w:rsidRPr="003278ED" w:rsidRDefault="005D2160" w:rsidP="00072588">
      <w:pPr>
        <w:tabs>
          <w:tab w:val="left" w:pos="0"/>
          <w:tab w:val="left" w:pos="403"/>
        </w:tabs>
        <w:spacing w:after="0" w:line="240" w:lineRule="auto"/>
        <w:ind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Pentru Guvernul Republicii Moldova</w:t>
      </w:r>
      <w:r w:rsidR="006C5564"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îmbunătățirea sectorului justiției a fost și rămâne o prioritate majoră, care are o importanță fundamentală pentru întreaga societate și constituie o condiție esențială pentru dezvoltarea unei societăți democratice în care supremația legii și respectarea drepturilor și libertăților omului reprezintă valori supreme garantate.</w:t>
      </w:r>
    </w:p>
    <w:p w14:paraId="5D4A8E3F" w14:textId="77777777" w:rsidR="005D2160" w:rsidRPr="003278ED" w:rsidRDefault="005D2160" w:rsidP="00072588">
      <w:pPr>
        <w:tabs>
          <w:tab w:val="left" w:pos="403"/>
          <w:tab w:val="left" w:pos="99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 xml:space="preserve">Principalele măsuri și acțiuni planificate în perioada anilor 2025-2027: </w:t>
      </w:r>
    </w:p>
    <w:p w14:paraId="103FE0CE" w14:textId="65FEE4EB"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funcționalității membrilor organelor colegiale ale profesiilor conexe sistemului justiției;</w:t>
      </w:r>
    </w:p>
    <w:p w14:paraId="7D9FF11C" w14:textId="6BD89C54"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consolidarea mecanismului de acordare a asistenței juridice garantate de stat;</w:t>
      </w:r>
    </w:p>
    <w:p w14:paraId="7BF1BACD" w14:textId="77777777"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asigurarea mentenanței și dezvoltarea sistemelor informaționale pentru instituțiile din domeniul justiției;</w:t>
      </w:r>
    </w:p>
    <w:p w14:paraId="03983F97" w14:textId="30999E94"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continuarea procesului de evaluare externă a judecătorilor și </w:t>
      </w:r>
      <w:r w:rsidR="003D6C0F" w:rsidRPr="003278ED">
        <w:rPr>
          <w:rFonts w:ascii="Times New Roman" w:eastAsia="Calibri" w:hAnsi="Times New Roman" w:cs="Times New Roman"/>
          <w:sz w:val="24"/>
          <w:szCs w:val="24"/>
        </w:rPr>
        <w:t xml:space="preserve">a </w:t>
      </w:r>
      <w:r w:rsidRPr="003278ED">
        <w:rPr>
          <w:rFonts w:ascii="Times New Roman" w:eastAsia="Calibri" w:hAnsi="Times New Roman" w:cs="Times New Roman"/>
          <w:sz w:val="24"/>
          <w:szCs w:val="24"/>
        </w:rPr>
        <w:t>procurorilor;</w:t>
      </w:r>
    </w:p>
    <w:p w14:paraId="02CC33BD" w14:textId="7FAB2196"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constituirea și asigurarea funcționalității colegiilor specializate;  </w:t>
      </w:r>
    </w:p>
    <w:p w14:paraId="6EE98FC1" w14:textId="7EA0F385"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sporirea continuă a calității formării inițiale a candidaților la funcții de judecător și procuror.</w:t>
      </w:r>
    </w:p>
    <w:p w14:paraId="113CE4DE" w14:textId="77777777" w:rsidR="00D84E28" w:rsidRPr="003278ED" w:rsidRDefault="00D84E28" w:rsidP="007D3A2B">
      <w:pPr>
        <w:tabs>
          <w:tab w:val="left" w:pos="993"/>
        </w:tabs>
        <w:spacing w:after="0" w:line="240" w:lineRule="auto"/>
        <w:ind w:firstLine="720"/>
        <w:jc w:val="both"/>
        <w:rPr>
          <w:rFonts w:ascii="Times New Roman" w:hAnsi="Times New Roman" w:cs="Times New Roman"/>
          <w:b/>
          <w:i/>
          <w:sz w:val="24"/>
        </w:rPr>
      </w:pPr>
    </w:p>
    <w:p w14:paraId="6824C587" w14:textId="77777777" w:rsidR="00D84E28" w:rsidRPr="003278ED" w:rsidRDefault="00D84E28" w:rsidP="007D3A2B">
      <w:pPr>
        <w:tabs>
          <w:tab w:val="left" w:pos="0"/>
        </w:tabs>
        <w:spacing w:after="0" w:line="240" w:lineRule="auto"/>
        <w:ind w:left="709"/>
        <w:jc w:val="both"/>
        <w:rPr>
          <w:rFonts w:ascii="Times New Roman" w:hAnsi="Times New Roman" w:cs="Times New Roman"/>
          <w:b/>
          <w:i/>
          <w:sz w:val="24"/>
        </w:rPr>
      </w:pPr>
      <w:r w:rsidRPr="003278ED">
        <w:rPr>
          <w:rFonts w:ascii="Times New Roman" w:hAnsi="Times New Roman" w:cs="Times New Roman"/>
          <w:b/>
          <w:i/>
          <w:sz w:val="24"/>
        </w:rPr>
        <w:t>Penitenciare (08)</w:t>
      </w:r>
    </w:p>
    <w:p w14:paraId="65BAC4AD" w14:textId="1DA66AEF" w:rsidR="005D2160" w:rsidRPr="003278ED" w:rsidRDefault="005D2160" w:rsidP="00072588">
      <w:pPr>
        <w:shd w:val="clear" w:color="auto" w:fill="FFFFFF"/>
        <w:tabs>
          <w:tab w:val="left" w:pos="99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Sistemul penitenciar reprezintă un sistem de reeducare și resocializare, prin care statul asigură respectarea drepturilor și libertăților fundamentale ale persoanelor private de libertate și implementarea legislației execuțional-pen</w:t>
      </w:r>
      <w:r w:rsidR="003D6C0F" w:rsidRPr="003278ED">
        <w:rPr>
          <w:rFonts w:ascii="Times New Roman" w:eastAsia="Calibri" w:hAnsi="Times New Roman" w:cs="Times New Roman"/>
          <w:sz w:val="24"/>
          <w:szCs w:val="24"/>
        </w:rPr>
        <w:t>ale naționale și internaționale</w:t>
      </w:r>
      <w:r w:rsidRPr="003278ED">
        <w:rPr>
          <w:rFonts w:ascii="Times New Roman" w:eastAsia="Calibri" w:hAnsi="Times New Roman" w:cs="Times New Roman"/>
          <w:sz w:val="24"/>
          <w:szCs w:val="24"/>
        </w:rPr>
        <w:t>.</w:t>
      </w:r>
    </w:p>
    <w:p w14:paraId="49180B9F" w14:textId="77777777" w:rsidR="005D2160" w:rsidRPr="003278ED" w:rsidRDefault="005D2160" w:rsidP="00072588">
      <w:pPr>
        <w:shd w:val="clear" w:color="auto" w:fill="FFFFFF"/>
        <w:tabs>
          <w:tab w:val="left" w:pos="99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Rolul specific al instituțiilor penitenciare este de a pune în executare pedepsele și măsurile privative de libertate într-un mod eficient, care ar contribui la sporirea siguranței societății și ar preveni recidiva.</w:t>
      </w:r>
    </w:p>
    <w:p w14:paraId="3A82A662" w14:textId="1461039B" w:rsidR="005D2160" w:rsidRPr="003278ED" w:rsidRDefault="005D2160" w:rsidP="00072588">
      <w:pPr>
        <w:tabs>
          <w:tab w:val="left" w:pos="403"/>
          <w:tab w:val="left" w:pos="993"/>
        </w:tabs>
        <w:spacing w:after="0" w:line="240" w:lineRule="auto"/>
        <w:ind w:firstLine="720"/>
        <w:jc w:val="both"/>
        <w:rPr>
          <w:rFonts w:ascii="Times New Roman" w:eastAsia="Calibri" w:hAnsi="Times New Roman" w:cs="Times New Roman"/>
          <w:i/>
          <w:sz w:val="24"/>
          <w:szCs w:val="24"/>
        </w:rPr>
      </w:pPr>
      <w:r w:rsidRPr="003278ED">
        <w:rPr>
          <w:rFonts w:ascii="Times New Roman" w:eastAsia="Calibri" w:hAnsi="Times New Roman" w:cs="Times New Roman"/>
          <w:i/>
          <w:sz w:val="24"/>
          <w:szCs w:val="24"/>
        </w:rPr>
        <w:t xml:space="preserve">Principalele măsuri și acțiuni planificate în perioada 2025-2027: </w:t>
      </w:r>
    </w:p>
    <w:p w14:paraId="47ED6EDD" w14:textId="6437DE8F"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instituirea unui sistem progresiv și individualizat de executare a pedepselor</w:t>
      </w:r>
      <w:r w:rsidR="00656C02" w:rsidRPr="003278ED">
        <w:rPr>
          <w:rFonts w:ascii="Times New Roman" w:eastAsia="Calibri" w:hAnsi="Times New Roman" w:cs="Times New Roman"/>
          <w:sz w:val="24"/>
          <w:szCs w:val="24"/>
        </w:rPr>
        <w:t xml:space="preserve"> </w:t>
      </w:r>
      <w:r w:rsidRPr="003278ED">
        <w:rPr>
          <w:rFonts w:ascii="Times New Roman" w:eastAsia="Calibri" w:hAnsi="Times New Roman" w:cs="Times New Roman"/>
          <w:sz w:val="24"/>
          <w:szCs w:val="24"/>
        </w:rPr>
        <w:t>penale privative și neprivative de libertate;</w:t>
      </w:r>
    </w:p>
    <w:p w14:paraId="228F5ACD" w14:textId="77C6A798"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garantarea ordinii și siguranței în sistemul penitenciar prin consolidarea</w:t>
      </w:r>
      <w:r w:rsidR="003D6C0F" w:rsidRPr="003278ED">
        <w:rPr>
          <w:rFonts w:ascii="Times New Roman" w:eastAsia="Calibri" w:hAnsi="Times New Roman" w:cs="Times New Roman"/>
          <w:sz w:val="24"/>
          <w:szCs w:val="24"/>
        </w:rPr>
        <w:t xml:space="preserve"> </w:t>
      </w:r>
      <w:r w:rsidRPr="003278ED">
        <w:rPr>
          <w:rFonts w:ascii="Times New Roman" w:eastAsia="Calibri" w:hAnsi="Times New Roman" w:cs="Times New Roman"/>
          <w:sz w:val="24"/>
          <w:szCs w:val="24"/>
        </w:rPr>
        <w:t>capacităților de dotare cu mijloace speciale de apărare și echipament;</w:t>
      </w:r>
    </w:p>
    <w:p w14:paraId="0B1AB678" w14:textId="67D0072E"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îmbunătățirea condițiilor de detenție pentru condamnați conform standardelor internaționale și modernizarea infrastructurii sistemului administrației penitenciare, asigurându-se implementarea Proiectului „Construcția penitenciarului din Chișinău”, care are drept scop înlocuirea Penitenciarului nr.13, care se află într-o stare degradată;</w:t>
      </w:r>
    </w:p>
    <w:p w14:paraId="3D4C7FCC" w14:textId="2900BE0C" w:rsidR="005D2160" w:rsidRPr="003278ED" w:rsidRDefault="005D2160" w:rsidP="00072588">
      <w:pPr>
        <w:pStyle w:val="Listparagraf"/>
        <w:numPr>
          <w:ilvl w:val="0"/>
          <w:numId w:val="33"/>
        </w:numPr>
        <w:tabs>
          <w:tab w:val="left" w:pos="0"/>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acordarea serviciilor medicale de calitate pentru persoanele private de libertate și îmbunătățirea hranei/meniurilor zilnice.</w:t>
      </w:r>
    </w:p>
    <w:p w14:paraId="1C878DA1" w14:textId="77777777" w:rsidR="003D6C0F" w:rsidRPr="003278ED" w:rsidRDefault="003D6C0F" w:rsidP="00072588">
      <w:pPr>
        <w:pStyle w:val="Listparagraf"/>
        <w:tabs>
          <w:tab w:val="left" w:pos="0"/>
          <w:tab w:val="left" w:pos="993"/>
        </w:tabs>
        <w:spacing w:after="0" w:line="240" w:lineRule="auto"/>
        <w:ind w:left="0"/>
        <w:jc w:val="both"/>
        <w:rPr>
          <w:rFonts w:ascii="Times New Roman" w:eastAsia="Calibri" w:hAnsi="Times New Roman" w:cs="Times New Roman"/>
          <w:sz w:val="24"/>
          <w:szCs w:val="24"/>
        </w:rPr>
      </w:pPr>
    </w:p>
    <w:p w14:paraId="487508E5" w14:textId="77777777" w:rsidR="00D84E28" w:rsidRPr="003278ED" w:rsidRDefault="00D84E28" w:rsidP="00072588">
      <w:pPr>
        <w:spacing w:after="0" w:line="240" w:lineRule="auto"/>
        <w:ind w:firstLine="720"/>
        <w:jc w:val="both"/>
        <w:rPr>
          <w:rFonts w:ascii="Times New Roman" w:hAnsi="Times New Roman" w:cs="Times New Roman"/>
          <w:b/>
          <w:i/>
          <w:sz w:val="24"/>
        </w:rPr>
      </w:pPr>
      <w:r w:rsidRPr="003278ED">
        <w:rPr>
          <w:rFonts w:ascii="Times New Roman" w:hAnsi="Times New Roman" w:cs="Times New Roman"/>
          <w:b/>
          <w:i/>
          <w:sz w:val="24"/>
        </w:rPr>
        <w:t>Servicii economice generale (09)</w:t>
      </w:r>
    </w:p>
    <w:p w14:paraId="4CE32503" w14:textId="77777777" w:rsidR="00EF5897" w:rsidRPr="003278ED" w:rsidRDefault="00EF5897" w:rsidP="00072588">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 xml:space="preserve">Prin acest domeniu se urmărește îmbunătățirea mediului de afaceri, îmbunătățirea infrastructurii economice, orientarea spre transformarea digitală, precum și sprijinirea agriculturii și dezvoltării rurale, cu scopul de a stimula dezvoltarea economică și bunăstarea cetățenilor. </w:t>
      </w:r>
    </w:p>
    <w:p w14:paraId="410FCC8A" w14:textId="77777777" w:rsidR="00EF5897" w:rsidRPr="003278ED" w:rsidRDefault="00EF5897" w:rsidP="00072588">
      <w:pPr>
        <w:spacing w:after="0" w:line="240" w:lineRule="auto"/>
        <w:ind w:firstLine="720"/>
        <w:jc w:val="both"/>
        <w:rPr>
          <w:rFonts w:ascii="Times New Roman" w:hAnsi="Times New Roman" w:cs="Times New Roman"/>
          <w:sz w:val="24"/>
          <w:szCs w:val="24"/>
        </w:rPr>
      </w:pPr>
      <w:r w:rsidRPr="003278ED">
        <w:rPr>
          <w:rFonts w:ascii="Times New Roman" w:eastAsia="Calibri" w:hAnsi="Times New Roman" w:cs="Times New Roman"/>
          <w:sz w:val="24"/>
          <w:szCs w:val="24"/>
        </w:rPr>
        <w:lastRenderedPageBreak/>
        <w:t>Susținerea dezvoltării sectorului privat este unul dintre obiectivele fundamentale ale Guvernului, înscrise în principalele documente de dezvoltare strategică a țării.</w:t>
      </w:r>
      <w:r w:rsidRPr="003278ED">
        <w:rPr>
          <w:rFonts w:ascii="Times New Roman" w:hAnsi="Times New Roman" w:cs="Times New Roman"/>
          <w:sz w:val="24"/>
          <w:szCs w:val="24"/>
        </w:rPr>
        <w:t xml:space="preserve"> Respectiv, scopul este de a dezvolta politici care să permită creșterea investițiilor în afaceri, în special în sectorul producției și în serviciile cu valoare adăugată. În vederea susținerii întreprinderilor cu potențial de export, Guvernul își propune să implementeze și să dezvolte noi programe cu sprijinul partenerilor de dezvoltare. De asemenea, pe agenda Guvernului se află și subvenționarea locurilor de muncă, prin care se va contribui la creșterea economică.</w:t>
      </w:r>
    </w:p>
    <w:p w14:paraId="1626ABEB" w14:textId="77777777" w:rsidR="00EF5897" w:rsidRPr="003278ED" w:rsidRDefault="00EF5897" w:rsidP="00072588">
      <w:pPr>
        <w:tabs>
          <w:tab w:val="left" w:pos="403"/>
        </w:tabs>
        <w:spacing w:after="0" w:line="240" w:lineRule="auto"/>
        <w:ind w:firstLine="720"/>
        <w:jc w:val="both"/>
        <w:rPr>
          <w:rFonts w:ascii="Times New Roman" w:eastAsia="Calibri" w:hAnsi="Times New Roman" w:cs="Times New Roman"/>
          <w:bCs/>
          <w:i/>
          <w:sz w:val="24"/>
          <w:szCs w:val="24"/>
        </w:rPr>
      </w:pPr>
      <w:r w:rsidRPr="003278ED">
        <w:rPr>
          <w:rFonts w:ascii="Times New Roman" w:eastAsia="Calibri" w:hAnsi="Times New Roman" w:cs="Times New Roman"/>
          <w:bCs/>
          <w:i/>
          <w:sz w:val="24"/>
          <w:szCs w:val="24"/>
        </w:rPr>
        <w:t xml:space="preserve">Principalele măsuri și acțiuni planificate pentru anii 2025-2027: </w:t>
      </w:r>
    </w:p>
    <w:p w14:paraId="649E0B6B" w14:textId="7FF69933" w:rsidR="00EF5897" w:rsidRPr="003278ED" w:rsidRDefault="00EF5897" w:rsidP="00072588">
      <w:pPr>
        <w:numPr>
          <w:ilvl w:val="0"/>
          <w:numId w:val="30"/>
        </w:numPr>
        <w:tabs>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hAnsi="Times New Roman" w:cs="Times New Roman"/>
          <w:sz w:val="24"/>
          <w:szCs w:val="24"/>
        </w:rPr>
        <w:t>îmbunătățirea cadrului normativ de reglementare a activității întreprinderilor mici și mijlocii (IMM), îmbunătățirea culturii și abilităților antreprenoriale, sporirea accesului întreprinderilor la resurse financiare împrumutate, dezvoltarea regională și specializare</w:t>
      </w:r>
      <w:r w:rsidR="006E3431" w:rsidRPr="003278ED">
        <w:rPr>
          <w:rFonts w:ascii="Times New Roman" w:hAnsi="Times New Roman" w:cs="Times New Roman"/>
          <w:sz w:val="24"/>
          <w:szCs w:val="24"/>
        </w:rPr>
        <w:t>a</w:t>
      </w:r>
      <w:r w:rsidRPr="003278ED">
        <w:rPr>
          <w:rFonts w:ascii="Times New Roman" w:hAnsi="Times New Roman" w:cs="Times New Roman"/>
          <w:sz w:val="24"/>
          <w:szCs w:val="24"/>
        </w:rPr>
        <w:t xml:space="preserve"> inteligentă, crearea locurilor de muncă, stimularea </w:t>
      </w:r>
      <w:r w:rsidR="004E1BE1" w:rsidRPr="003278ED">
        <w:rPr>
          <w:rFonts w:ascii="Times New Roman" w:hAnsi="Times New Roman" w:cs="Times New Roman"/>
          <w:sz w:val="24"/>
          <w:szCs w:val="24"/>
        </w:rPr>
        <w:t>antreprenorialului</w:t>
      </w:r>
      <w:r w:rsidRPr="003278ED">
        <w:rPr>
          <w:rFonts w:ascii="Times New Roman" w:hAnsi="Times New Roman" w:cs="Times New Roman"/>
          <w:sz w:val="24"/>
          <w:szCs w:val="24"/>
        </w:rPr>
        <w:t xml:space="preserve"> feminin și promovarea implicării tinerilor în afaceri, investirea remitențelor și reducerea fenomenului </w:t>
      </w:r>
      <w:proofErr w:type="spellStart"/>
      <w:r w:rsidR="00DD01B9" w:rsidRPr="003278ED">
        <w:rPr>
          <w:rFonts w:ascii="Times New Roman" w:hAnsi="Times New Roman" w:cs="Times New Roman"/>
          <w:sz w:val="24"/>
          <w:szCs w:val="24"/>
        </w:rPr>
        <w:t>migraționist</w:t>
      </w:r>
      <w:proofErr w:type="spellEnd"/>
      <w:r w:rsidRPr="003278ED">
        <w:rPr>
          <w:rFonts w:ascii="Times New Roman" w:hAnsi="Times New Roman" w:cs="Times New Roman"/>
          <w:sz w:val="24"/>
          <w:szCs w:val="24"/>
        </w:rPr>
        <w:t>, dezvoltarea durabilă și economia verde, promovarea și facilitarea activităților de turism,  precum și pro</w:t>
      </w:r>
      <w:r w:rsidR="003A3DAA" w:rsidRPr="003278ED">
        <w:rPr>
          <w:rFonts w:ascii="Times New Roman" w:hAnsi="Times New Roman" w:cs="Times New Roman"/>
          <w:sz w:val="24"/>
          <w:szCs w:val="24"/>
        </w:rPr>
        <w:t>movarea internaționalizării IMM</w:t>
      </w:r>
      <w:r w:rsidRPr="003278ED">
        <w:rPr>
          <w:rFonts w:ascii="Times New Roman" w:hAnsi="Times New Roman" w:cs="Times New Roman"/>
          <w:sz w:val="24"/>
          <w:szCs w:val="24"/>
        </w:rPr>
        <w:t xml:space="preserve">;   </w:t>
      </w:r>
    </w:p>
    <w:p w14:paraId="1E28F8CA" w14:textId="77777777" w:rsidR="00EF5897" w:rsidRPr="003278ED" w:rsidRDefault="00EF5897" w:rsidP="00072588">
      <w:pPr>
        <w:numPr>
          <w:ilvl w:val="0"/>
          <w:numId w:val="30"/>
        </w:numPr>
        <w:tabs>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hAnsi="Times New Roman" w:cs="Times New Roman"/>
          <w:sz w:val="24"/>
          <w:szCs w:val="24"/>
        </w:rPr>
        <w:t>programul de retehnologizare a întreprinderilor mici și mijlocii, precum și  integrarea de soluții tehnologice moderne și implementarea măsurilor de eficiență energetică a IMM;</w:t>
      </w:r>
    </w:p>
    <w:p w14:paraId="24DD2CF5" w14:textId="77777777" w:rsidR="00EF5897" w:rsidRPr="003278ED" w:rsidRDefault="00EF5897" w:rsidP="00072588">
      <w:pPr>
        <w:numPr>
          <w:ilvl w:val="0"/>
          <w:numId w:val="30"/>
        </w:numPr>
        <w:tabs>
          <w:tab w:val="left" w:pos="993"/>
        </w:tabs>
        <w:spacing w:after="0" w:line="240" w:lineRule="auto"/>
        <w:ind w:left="0" w:firstLine="720"/>
        <w:jc w:val="both"/>
        <w:rPr>
          <w:rFonts w:ascii="Times New Roman" w:hAnsi="Times New Roman" w:cs="Times New Roman"/>
          <w:sz w:val="24"/>
          <w:szCs w:val="24"/>
        </w:rPr>
      </w:pPr>
      <w:r w:rsidRPr="003278ED">
        <w:rPr>
          <w:rFonts w:ascii="Times New Roman" w:hAnsi="Times New Roman" w:cs="Times New Roman"/>
          <w:sz w:val="24"/>
          <w:szCs w:val="24"/>
        </w:rPr>
        <w:t>programul de subvenționare a locurilor de muncă, pentru susținerea angajării în câmpul muncii a persoanelor cu dizabilități și a persoanelor aflate în șomaj;</w:t>
      </w:r>
    </w:p>
    <w:p w14:paraId="54128918" w14:textId="77777777" w:rsidR="00EF5897" w:rsidRPr="003278ED" w:rsidRDefault="00EF5897" w:rsidP="00072588">
      <w:pPr>
        <w:numPr>
          <w:ilvl w:val="0"/>
          <w:numId w:val="30"/>
        </w:numPr>
        <w:tabs>
          <w:tab w:val="left" w:pos="993"/>
        </w:tabs>
        <w:spacing w:after="0" w:line="240" w:lineRule="auto"/>
        <w:ind w:left="0" w:firstLine="720"/>
        <w:jc w:val="both"/>
        <w:rPr>
          <w:rFonts w:ascii="Times New Roman" w:hAnsi="Times New Roman" w:cs="Times New Roman"/>
          <w:sz w:val="24"/>
          <w:szCs w:val="24"/>
        </w:rPr>
      </w:pPr>
      <w:r w:rsidRPr="003278ED">
        <w:rPr>
          <w:rFonts w:ascii="Times New Roman" w:hAnsi="Times New Roman" w:cs="Times New Roman"/>
          <w:sz w:val="24"/>
          <w:szCs w:val="24"/>
        </w:rPr>
        <w:t>Proiectul „Înregistrarea și evaluarea funciară” pentru delimitarea terenurilor proprietate publică, definitivarea înregistrării primare masive a bunurilor imobile proprietate privată, evaluarea și reevaluarea bunurilor în scopul impozitării;</w:t>
      </w:r>
    </w:p>
    <w:p w14:paraId="6622529B" w14:textId="77777777" w:rsidR="00BF336B" w:rsidRPr="003278ED" w:rsidRDefault="00EF5897" w:rsidP="00072588">
      <w:pPr>
        <w:pStyle w:val="Listparagraf"/>
        <w:numPr>
          <w:ilvl w:val="0"/>
          <w:numId w:val="30"/>
        </w:numPr>
        <w:tabs>
          <w:tab w:val="left" w:pos="993"/>
        </w:tabs>
        <w:spacing w:after="0" w:line="240" w:lineRule="auto"/>
        <w:ind w:left="0" w:firstLine="720"/>
        <w:jc w:val="both"/>
        <w:rPr>
          <w:rFonts w:ascii="Times New Roman" w:hAnsi="Times New Roman" w:cs="Times New Roman"/>
          <w:sz w:val="24"/>
        </w:rPr>
      </w:pPr>
      <w:r w:rsidRPr="003278ED">
        <w:rPr>
          <w:rFonts w:ascii="Times New Roman" w:hAnsi="Times New Roman" w:cs="Times New Roman"/>
          <w:sz w:val="24"/>
          <w:szCs w:val="24"/>
        </w:rPr>
        <w:t>Proiectul „Competitivitatea întreprinderilor micro, mici și mijlocii (ÎMMM)” – pentru consolidarea capacității Fondului de garantare a creditelor, eficientizarea serviciilor de afaceri prin digitalizare, creșterea competitivității la export a întreprinderilor micro, mici și mijlocii.</w:t>
      </w:r>
    </w:p>
    <w:p w14:paraId="4DC7EBEF" w14:textId="77777777" w:rsidR="00EF5897" w:rsidRPr="003278ED" w:rsidRDefault="00EF5897" w:rsidP="00072588">
      <w:pPr>
        <w:spacing w:after="0" w:line="240" w:lineRule="auto"/>
        <w:ind w:firstLine="720"/>
        <w:jc w:val="both"/>
        <w:rPr>
          <w:rFonts w:ascii="Times New Roman" w:hAnsi="Times New Roman" w:cs="Times New Roman"/>
          <w:sz w:val="24"/>
        </w:rPr>
      </w:pPr>
    </w:p>
    <w:p w14:paraId="09B311AF" w14:textId="77777777" w:rsidR="00D84E28" w:rsidRPr="003278ED" w:rsidRDefault="00D84E28" w:rsidP="00072588">
      <w:pPr>
        <w:spacing w:after="0" w:line="240" w:lineRule="auto"/>
        <w:ind w:firstLine="720"/>
        <w:jc w:val="both"/>
        <w:rPr>
          <w:rFonts w:ascii="Times New Roman" w:hAnsi="Times New Roman" w:cs="Times New Roman"/>
          <w:b/>
          <w:i/>
          <w:sz w:val="24"/>
        </w:rPr>
      </w:pPr>
      <w:r w:rsidRPr="003278ED">
        <w:rPr>
          <w:rFonts w:ascii="Times New Roman" w:hAnsi="Times New Roman" w:cs="Times New Roman"/>
          <w:b/>
          <w:i/>
          <w:sz w:val="24"/>
        </w:rPr>
        <w:t>Agricultura (10)</w:t>
      </w:r>
    </w:p>
    <w:p w14:paraId="35BA2298" w14:textId="77777777" w:rsidR="000A176E" w:rsidRPr="003278ED" w:rsidRDefault="000A176E" w:rsidP="00072588">
      <w:pPr>
        <w:tabs>
          <w:tab w:val="left" w:pos="403"/>
        </w:tabs>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Agricultura în Republica Moldova este o activitate volatilă și foarte expusă riscurilor, fiind susceptibilă la factor</w:t>
      </w:r>
      <w:r w:rsidR="00360787" w:rsidRPr="003278ED">
        <w:rPr>
          <w:rFonts w:ascii="Times New Roman" w:eastAsia="Calibri" w:hAnsi="Times New Roman" w:cs="Times New Roman"/>
          <w:sz w:val="24"/>
          <w:szCs w:val="24"/>
        </w:rPr>
        <w:t>i</w:t>
      </w:r>
      <w:r w:rsidRPr="003278ED">
        <w:rPr>
          <w:rFonts w:ascii="Times New Roman" w:eastAsia="Calibri" w:hAnsi="Times New Roman" w:cs="Times New Roman"/>
          <w:sz w:val="24"/>
          <w:szCs w:val="24"/>
        </w:rPr>
        <w:t>i naturali, cum ar fi înghețurile, inundațiile, secetele, eroziunile și căderile de grindină. Reducerea dependenței de astfel de fenomene este o provocare majoră pe termen mediu și lung în acest sector.</w:t>
      </w:r>
    </w:p>
    <w:p w14:paraId="40CDE7A7" w14:textId="77777777" w:rsidR="000A176E" w:rsidRPr="003278ED" w:rsidRDefault="000A176E" w:rsidP="00072588">
      <w:pPr>
        <w:tabs>
          <w:tab w:val="left" w:pos="403"/>
        </w:tabs>
        <w:spacing w:after="0" w:line="240" w:lineRule="auto"/>
        <w:ind w:firstLine="720"/>
        <w:jc w:val="both"/>
        <w:rPr>
          <w:rFonts w:ascii="Times New Roman" w:eastAsia="Calibri" w:hAnsi="Times New Roman" w:cs="Times New Roman"/>
          <w:bCs/>
          <w:i/>
          <w:sz w:val="24"/>
          <w:szCs w:val="24"/>
        </w:rPr>
      </w:pPr>
      <w:r w:rsidRPr="003278ED">
        <w:rPr>
          <w:rFonts w:ascii="Times New Roman" w:eastAsia="Calibri" w:hAnsi="Times New Roman" w:cs="Times New Roman"/>
          <w:bCs/>
          <w:i/>
          <w:sz w:val="24"/>
          <w:szCs w:val="24"/>
        </w:rPr>
        <w:t xml:space="preserve">Principalele măsuri și acțiuni planificate pentru anii 2025-2027: </w:t>
      </w:r>
    </w:p>
    <w:p w14:paraId="363CC19E" w14:textId="77777777"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hAnsi="Times New Roman" w:cs="Times New Roman"/>
          <w:sz w:val="24"/>
          <w:szCs w:val="24"/>
        </w:rPr>
      </w:pPr>
      <w:r w:rsidRPr="003278ED">
        <w:rPr>
          <w:rFonts w:ascii="Times New Roman" w:eastAsia="Calibri" w:hAnsi="Times New Roman" w:cs="Times New Roman"/>
          <w:sz w:val="24"/>
          <w:szCs w:val="24"/>
        </w:rPr>
        <w:t>acordarea subvențiilor producătorilor agricoli prin intermediul Fondului național de dezvoltare a agriculturii și mediului rural pentru domeniile strategice ale sectorului, inclusiv pentru creșterea competitivității sectorului agroindustrial, asigurarea gestionării durabile a resurselor naturale, îmbunătățirea nivelului de trai și de muncă în mediul rural, acordarea subvențiilor în avans pentru proiectele start-</w:t>
      </w:r>
      <w:proofErr w:type="spellStart"/>
      <w:r w:rsidRPr="003278ED">
        <w:rPr>
          <w:rFonts w:ascii="Times New Roman" w:eastAsia="Calibri" w:hAnsi="Times New Roman" w:cs="Times New Roman"/>
          <w:sz w:val="24"/>
          <w:szCs w:val="24"/>
        </w:rPr>
        <w:t>up</w:t>
      </w:r>
      <w:proofErr w:type="spellEnd"/>
      <w:r w:rsidRPr="003278ED">
        <w:rPr>
          <w:rFonts w:ascii="Times New Roman" w:eastAsia="Calibri" w:hAnsi="Times New Roman" w:cs="Times New Roman"/>
          <w:sz w:val="24"/>
          <w:szCs w:val="24"/>
        </w:rPr>
        <w:t>, acordarea subvențiilor în avans pentru dezvoltarea locală prin intermediul programului LEADER;</w:t>
      </w:r>
    </w:p>
    <w:p w14:paraId="53DC9CF8" w14:textId="77777777"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extinderea suprafețelor cu vegetație forestieră în cadrul Programului național de împădurire;</w:t>
      </w:r>
    </w:p>
    <w:p w14:paraId="517EB660" w14:textId="595DAD3E" w:rsidR="000A176E" w:rsidRPr="003278ED" w:rsidRDefault="000A176E" w:rsidP="00072588">
      <w:pPr>
        <w:numPr>
          <w:ilvl w:val="0"/>
          <w:numId w:val="29"/>
        </w:numPr>
        <w:tabs>
          <w:tab w:val="left" w:pos="993"/>
        </w:tabs>
        <w:spacing w:after="0" w:line="240" w:lineRule="auto"/>
        <w:ind w:left="0" w:firstLine="720"/>
        <w:jc w:val="both"/>
        <w:rPr>
          <w:rFonts w:ascii="Times New Roman" w:eastAsia="Calibri" w:hAnsi="Times New Roman" w:cs="Times New Roman"/>
          <w:b/>
          <w:i/>
          <w:sz w:val="24"/>
          <w:szCs w:val="28"/>
        </w:rPr>
      </w:pPr>
      <w:r w:rsidRPr="003278ED">
        <w:rPr>
          <w:rFonts w:ascii="Times New Roman" w:hAnsi="Times New Roman" w:cs="Times New Roman"/>
          <w:sz w:val="24"/>
          <w:szCs w:val="24"/>
        </w:rPr>
        <w:t xml:space="preserve">implementarea măsurilor aferente Proiectului „Investiții pentru </w:t>
      </w:r>
      <w:r w:rsidR="006E3431" w:rsidRPr="003278ED">
        <w:rPr>
          <w:rFonts w:ascii="Times New Roman" w:hAnsi="Times New Roman" w:cs="Times New Roman"/>
          <w:sz w:val="24"/>
          <w:szCs w:val="24"/>
        </w:rPr>
        <w:t>g</w:t>
      </w:r>
      <w:r w:rsidRPr="003278ED">
        <w:rPr>
          <w:rFonts w:ascii="Times New Roman" w:hAnsi="Times New Roman" w:cs="Times New Roman"/>
          <w:sz w:val="24"/>
          <w:szCs w:val="24"/>
        </w:rPr>
        <w:t xml:space="preserve">uvernanță, </w:t>
      </w:r>
      <w:r w:rsidR="006E3431" w:rsidRPr="003278ED">
        <w:rPr>
          <w:rFonts w:ascii="Times New Roman" w:hAnsi="Times New Roman" w:cs="Times New Roman"/>
          <w:sz w:val="24"/>
          <w:szCs w:val="24"/>
        </w:rPr>
        <w:t>c</w:t>
      </w:r>
      <w:r w:rsidRPr="003278ED">
        <w:rPr>
          <w:rFonts w:ascii="Times New Roman" w:hAnsi="Times New Roman" w:cs="Times New Roman"/>
          <w:sz w:val="24"/>
          <w:szCs w:val="24"/>
        </w:rPr>
        <w:t xml:space="preserve">reștere și </w:t>
      </w:r>
      <w:r w:rsidR="006E3431" w:rsidRPr="003278ED">
        <w:rPr>
          <w:rFonts w:ascii="Times New Roman" w:hAnsi="Times New Roman" w:cs="Times New Roman"/>
          <w:sz w:val="24"/>
          <w:szCs w:val="24"/>
        </w:rPr>
        <w:t>r</w:t>
      </w:r>
      <w:r w:rsidRPr="003278ED">
        <w:rPr>
          <w:rFonts w:ascii="Times New Roman" w:hAnsi="Times New Roman" w:cs="Times New Roman"/>
          <w:sz w:val="24"/>
          <w:szCs w:val="24"/>
        </w:rPr>
        <w:t xml:space="preserve">eziliență în </w:t>
      </w:r>
      <w:r w:rsidR="006E3431" w:rsidRPr="003278ED">
        <w:rPr>
          <w:rFonts w:ascii="Times New Roman" w:hAnsi="Times New Roman" w:cs="Times New Roman"/>
          <w:sz w:val="24"/>
          <w:szCs w:val="24"/>
        </w:rPr>
        <w:t>a</w:t>
      </w:r>
      <w:r w:rsidRPr="003278ED">
        <w:rPr>
          <w:rFonts w:ascii="Times New Roman" w:hAnsi="Times New Roman" w:cs="Times New Roman"/>
          <w:sz w:val="24"/>
          <w:szCs w:val="24"/>
        </w:rPr>
        <w:t xml:space="preserve">gricultură” pentru îmbunătățirea furnizării de servicii agricole publice, stimularea dezvoltării orientate spre piață pentru beneficiari, stimularea dezvoltării </w:t>
      </w:r>
      <w:proofErr w:type="spellStart"/>
      <w:r w:rsidRPr="003278ED">
        <w:rPr>
          <w:rFonts w:ascii="Times New Roman" w:hAnsi="Times New Roman" w:cs="Times New Roman"/>
          <w:sz w:val="24"/>
          <w:szCs w:val="24"/>
        </w:rPr>
        <w:t>subsectoarelor</w:t>
      </w:r>
      <w:proofErr w:type="spellEnd"/>
      <w:r w:rsidRPr="003278ED">
        <w:rPr>
          <w:rFonts w:ascii="Times New Roman" w:hAnsi="Times New Roman" w:cs="Times New Roman"/>
          <w:sz w:val="24"/>
          <w:szCs w:val="24"/>
        </w:rPr>
        <w:t xml:space="preserve"> care înregistrează performanțe insuficiente prin acordarea de granturi investiționale </w:t>
      </w:r>
      <w:proofErr w:type="spellStart"/>
      <w:r w:rsidRPr="003278ED">
        <w:rPr>
          <w:rFonts w:ascii="Times New Roman" w:hAnsi="Times New Roman" w:cs="Times New Roman"/>
          <w:sz w:val="24"/>
          <w:szCs w:val="24"/>
        </w:rPr>
        <w:t>coparticipative</w:t>
      </w:r>
      <w:proofErr w:type="spellEnd"/>
      <w:r w:rsidRPr="003278ED">
        <w:rPr>
          <w:rFonts w:ascii="Times New Roman" w:hAnsi="Times New Roman" w:cs="Times New Roman"/>
          <w:sz w:val="24"/>
          <w:szCs w:val="24"/>
        </w:rPr>
        <w:t xml:space="preserve"> beneficiarilor eligibili (în special producerea produselor lactate), reabilitarea și evaluarea infrastructurii de irigare și sporirea rezilienței beneficiarilor, în caz d</w:t>
      </w:r>
      <w:r w:rsidR="008A653B" w:rsidRPr="003278ED">
        <w:rPr>
          <w:rFonts w:ascii="Times New Roman" w:hAnsi="Times New Roman" w:cs="Times New Roman"/>
          <w:sz w:val="24"/>
          <w:szCs w:val="24"/>
        </w:rPr>
        <w:t>e situație de criză sau urgență;</w:t>
      </w:r>
    </w:p>
    <w:p w14:paraId="05276A61" w14:textId="77777777"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acordarea granturilor producătorilor agricoli și grupurilor de producători cu suportul Proiectului „Agricultura competitivă”, care presupune îmbunătățirea managementului siguranței alimentare, îmbunătățirea potențialului de acces pe piață, precum și crearea condițiilor pentru </w:t>
      </w:r>
      <w:r w:rsidRPr="003278ED">
        <w:rPr>
          <w:rFonts w:ascii="Times New Roman" w:eastAsia="Calibri" w:hAnsi="Times New Roman" w:cs="Times New Roman"/>
          <w:sz w:val="24"/>
          <w:szCs w:val="24"/>
        </w:rPr>
        <w:lastRenderedPageBreak/>
        <w:t>gestionarea subproduselor de origine animală nedestinate consumului uman (înființarea fabricii de procesare a reziduurilor animaliere);</w:t>
      </w:r>
    </w:p>
    <w:p w14:paraId="5428B51F" w14:textId="77777777"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acordarea de granturi pentru proiecte de infrastructură, pentru măsuri de adaptare la schimbările climatice, înființarea și reabilitarea perdelelor de protecție și a învelișurilor de ierburi, credite cu porțiuni de grant pentru întreprinderile micro, mici și mijlocii, tinerilor antreprenori și femeilor din mediul rural prin intermediul Programului de reziliență rurală și a Proiectului „Îmbunătățirea capacităților întru transformarea zonei rurale” (IFAD);</w:t>
      </w:r>
    </w:p>
    <w:p w14:paraId="38B954B5" w14:textId="77777777"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susținerea producătorilor agricoli în domeniul horticulturii, prin acordarea de împrumuturi în condiții mai avantajoase, prin intermediul Proiectului „Livada Moldovei”; </w:t>
      </w:r>
    </w:p>
    <w:p w14:paraId="38F3738E" w14:textId="2275E271" w:rsidR="000A176E" w:rsidRPr="003278ED" w:rsidRDefault="000A176E" w:rsidP="00072588">
      <w:pPr>
        <w:numPr>
          <w:ilvl w:val="0"/>
          <w:numId w:val="29"/>
        </w:numPr>
        <w:tabs>
          <w:tab w:val="left" w:pos="709"/>
          <w:tab w:val="left" w:pos="993"/>
        </w:tabs>
        <w:spacing w:after="0" w:line="240" w:lineRule="auto"/>
        <w:ind w:left="0" w:firstLine="720"/>
        <w:jc w:val="both"/>
        <w:rPr>
          <w:rFonts w:ascii="Times New Roman" w:eastAsia="Calibri" w:hAnsi="Times New Roman" w:cs="Times New Roman"/>
          <w:b/>
          <w:bCs/>
          <w:sz w:val="24"/>
          <w:szCs w:val="24"/>
        </w:rPr>
      </w:pPr>
      <w:r w:rsidRPr="003278ED">
        <w:rPr>
          <w:rFonts w:ascii="Times New Roman" w:eastAsia="Calibri" w:hAnsi="Times New Roman" w:cs="Times New Roman"/>
          <w:sz w:val="24"/>
          <w:szCs w:val="24"/>
        </w:rPr>
        <w:t xml:space="preserve">programe de finanțare, inclusiv prin leasing, prin intermediul Proiectului „Modernizarea tehnicii agricole și echipamentului </w:t>
      </w:r>
      <w:proofErr w:type="spellStart"/>
      <w:r w:rsidRPr="003278ED">
        <w:rPr>
          <w:rFonts w:ascii="Times New Roman" w:eastAsia="Calibri" w:hAnsi="Times New Roman" w:cs="Times New Roman"/>
          <w:sz w:val="24"/>
          <w:szCs w:val="24"/>
        </w:rPr>
        <w:t>postrecoltare</w:t>
      </w:r>
      <w:proofErr w:type="spellEnd"/>
      <w:r w:rsidRPr="003278ED">
        <w:rPr>
          <w:rFonts w:ascii="Times New Roman" w:eastAsia="Calibri" w:hAnsi="Times New Roman" w:cs="Times New Roman"/>
          <w:sz w:val="24"/>
          <w:szCs w:val="24"/>
        </w:rPr>
        <w:t xml:space="preserve">” care </w:t>
      </w:r>
      <w:r w:rsidRPr="003278ED">
        <w:rPr>
          <w:rFonts w:ascii="Times New Roman" w:eastAsia="Calibri" w:hAnsi="Times New Roman" w:cs="Times New Roman"/>
          <w:color w:val="000000"/>
          <w:sz w:val="24"/>
          <w:szCs w:val="24"/>
          <w:shd w:val="clear" w:color="auto" w:fill="FFFFFF"/>
        </w:rPr>
        <w:t xml:space="preserve">este destinat agricultorilor (întreprinderi agricole mici </w:t>
      </w:r>
      <w:proofErr w:type="spellStart"/>
      <w:r w:rsidRPr="003278ED">
        <w:rPr>
          <w:rFonts w:ascii="Times New Roman" w:eastAsia="Calibri" w:hAnsi="Times New Roman" w:cs="Times New Roman"/>
          <w:color w:val="000000"/>
          <w:sz w:val="24"/>
          <w:szCs w:val="24"/>
          <w:shd w:val="clear" w:color="auto" w:fill="FFFFFF"/>
        </w:rPr>
        <w:t>şi</w:t>
      </w:r>
      <w:proofErr w:type="spellEnd"/>
      <w:r w:rsidRPr="003278ED">
        <w:rPr>
          <w:rFonts w:ascii="Times New Roman" w:eastAsia="Calibri" w:hAnsi="Times New Roman" w:cs="Times New Roman"/>
          <w:color w:val="000000"/>
          <w:sz w:val="24"/>
          <w:szCs w:val="24"/>
          <w:shd w:val="clear" w:color="auto" w:fill="FFFFFF"/>
        </w:rPr>
        <w:t xml:space="preserve"> mijlocii) ce doresc să efectueze investiții în vederea îmbunătățirii productivității agricole prin intermediul mașinilor agricole și echipamentelor </w:t>
      </w:r>
      <w:proofErr w:type="spellStart"/>
      <w:r w:rsidRPr="003278ED">
        <w:rPr>
          <w:rFonts w:ascii="Times New Roman" w:eastAsia="Calibri" w:hAnsi="Times New Roman" w:cs="Times New Roman"/>
          <w:color w:val="000000"/>
          <w:sz w:val="24"/>
          <w:szCs w:val="24"/>
          <w:shd w:val="clear" w:color="auto" w:fill="FFFFFF"/>
        </w:rPr>
        <w:t>postrecoltare</w:t>
      </w:r>
      <w:proofErr w:type="spellEnd"/>
      <w:r w:rsidRPr="003278ED">
        <w:rPr>
          <w:rFonts w:ascii="Times New Roman" w:eastAsia="Calibri" w:hAnsi="Times New Roman" w:cs="Times New Roman"/>
          <w:color w:val="000000"/>
          <w:sz w:val="24"/>
          <w:szCs w:val="24"/>
          <w:shd w:val="clear" w:color="auto" w:fill="FFFFFF"/>
        </w:rPr>
        <w:t>.</w:t>
      </w:r>
    </w:p>
    <w:p w14:paraId="6EA4D338" w14:textId="77777777" w:rsidR="00EF5897" w:rsidRPr="003278ED" w:rsidRDefault="00EF5897" w:rsidP="00072588">
      <w:pPr>
        <w:tabs>
          <w:tab w:val="left" w:pos="993"/>
        </w:tabs>
        <w:spacing w:after="0" w:line="240" w:lineRule="auto"/>
        <w:ind w:firstLine="720"/>
        <w:jc w:val="both"/>
        <w:rPr>
          <w:rFonts w:ascii="Times New Roman" w:hAnsi="Times New Roman" w:cs="Times New Roman"/>
          <w:sz w:val="24"/>
        </w:rPr>
      </w:pPr>
    </w:p>
    <w:p w14:paraId="4447F3DE" w14:textId="77777777" w:rsidR="00D84E28" w:rsidRPr="003278ED" w:rsidRDefault="00193EAD" w:rsidP="00072588">
      <w:pPr>
        <w:spacing w:after="0" w:line="240" w:lineRule="auto"/>
        <w:ind w:firstLine="709"/>
        <w:jc w:val="both"/>
        <w:rPr>
          <w:rFonts w:ascii="Times New Roman" w:hAnsi="Times New Roman" w:cs="Times New Roman"/>
          <w:b/>
          <w:i/>
          <w:sz w:val="24"/>
        </w:rPr>
      </w:pPr>
      <w:r w:rsidRPr="003278ED">
        <w:rPr>
          <w:rFonts w:ascii="Times New Roman" w:hAnsi="Times New Roman" w:cs="Times New Roman"/>
          <w:b/>
          <w:i/>
          <w:sz w:val="24"/>
        </w:rPr>
        <w:t>Sectorul e</w:t>
      </w:r>
      <w:r w:rsidR="00D84E28" w:rsidRPr="003278ED">
        <w:rPr>
          <w:rFonts w:ascii="Times New Roman" w:hAnsi="Times New Roman" w:cs="Times New Roman"/>
          <w:b/>
          <w:i/>
          <w:sz w:val="24"/>
        </w:rPr>
        <w:t>nergetic (11)</w:t>
      </w:r>
    </w:p>
    <w:p w14:paraId="1763747A" w14:textId="77777777" w:rsidR="00A2130D" w:rsidRPr="003278ED" w:rsidRDefault="00A2130D" w:rsidP="00072588">
      <w:pPr>
        <w:tabs>
          <w:tab w:val="left" w:pos="403"/>
        </w:tabs>
        <w:spacing w:after="0" w:line="240" w:lineRule="auto"/>
        <w:ind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Sectorul energetic are un rol important din punct de vedere strategic, politicile actuale fiind orientate spre dezvoltarea unui sector sustenabil și durabil, asigurarea securității energetice, prin integrarea pe piața energetică a UE, implementarea proiectelor de infrastructură transfrontalieră, diversificarea surselor de furnizare, creșterea electrificării, valorificarea surselor interne de generare a energiei, stabilirea unor mecanisme de sprijin și promovarea creării și utilizării energiei regenerabile.</w:t>
      </w:r>
    </w:p>
    <w:p w14:paraId="5D782437" w14:textId="77777777" w:rsidR="00A2130D" w:rsidRPr="003278ED" w:rsidRDefault="00A2130D" w:rsidP="00072588">
      <w:pPr>
        <w:tabs>
          <w:tab w:val="left" w:pos="403"/>
        </w:tabs>
        <w:spacing w:after="0" w:line="240" w:lineRule="auto"/>
        <w:ind w:firstLine="709"/>
        <w:jc w:val="both"/>
        <w:rPr>
          <w:rFonts w:ascii="Times New Roman" w:eastAsia="Calibri" w:hAnsi="Times New Roman" w:cs="Times New Roman"/>
          <w:bCs/>
          <w:sz w:val="24"/>
          <w:szCs w:val="24"/>
        </w:rPr>
      </w:pPr>
      <w:r w:rsidRPr="003278ED">
        <w:rPr>
          <w:rFonts w:ascii="Times New Roman" w:eastAsia="Calibri" w:hAnsi="Times New Roman" w:cs="Times New Roman"/>
          <w:bCs/>
          <w:i/>
          <w:sz w:val="24"/>
          <w:szCs w:val="24"/>
        </w:rPr>
        <w:t>Principalele măsuri și acțiuni</w:t>
      </w:r>
      <w:r w:rsidRPr="003278ED">
        <w:rPr>
          <w:rFonts w:ascii="Times New Roman" w:eastAsia="Calibri" w:hAnsi="Times New Roman" w:cs="Times New Roman"/>
          <w:bCs/>
          <w:sz w:val="24"/>
          <w:szCs w:val="24"/>
        </w:rPr>
        <w:t xml:space="preserve"> </w:t>
      </w:r>
      <w:r w:rsidRPr="003278ED">
        <w:rPr>
          <w:rFonts w:ascii="Times New Roman" w:eastAsia="Calibri" w:hAnsi="Times New Roman" w:cs="Times New Roman"/>
          <w:bCs/>
          <w:i/>
          <w:sz w:val="24"/>
          <w:szCs w:val="24"/>
        </w:rPr>
        <w:t>planificate pentru anii 2025-2027</w:t>
      </w:r>
      <w:r w:rsidRPr="003278ED">
        <w:rPr>
          <w:rFonts w:ascii="Times New Roman" w:eastAsia="Calibri" w:hAnsi="Times New Roman" w:cs="Times New Roman"/>
          <w:bCs/>
          <w:sz w:val="24"/>
          <w:szCs w:val="24"/>
        </w:rPr>
        <w:t>:</w:t>
      </w:r>
    </w:p>
    <w:p w14:paraId="65123F26" w14:textId="77777777"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hAnsi="Times New Roman" w:cs="Times New Roman"/>
          <w:sz w:val="24"/>
          <w:szCs w:val="24"/>
        </w:rPr>
      </w:pPr>
      <w:r w:rsidRPr="003278ED">
        <w:rPr>
          <w:rFonts w:ascii="Times New Roman" w:eastAsia="Calibri" w:hAnsi="Times New Roman" w:cs="Times New Roman"/>
          <w:sz w:val="24"/>
          <w:szCs w:val="24"/>
        </w:rPr>
        <w:t>prevenirea și atenuarea potențialelor crize energetice, inclusiv prin asigurarea achiziției și a stocurilor strategice de gaze naturale și diversificarea surselor de aprovizionare cu energie electrică;</w:t>
      </w:r>
    </w:p>
    <w:p w14:paraId="080D8799" w14:textId="77777777"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hAnsi="Times New Roman" w:cs="Times New Roman"/>
          <w:sz w:val="24"/>
          <w:szCs w:val="24"/>
        </w:rPr>
      </w:pPr>
      <w:r w:rsidRPr="003278ED">
        <w:rPr>
          <w:rFonts w:ascii="Times New Roman" w:eastAsia="Calibri" w:hAnsi="Times New Roman" w:cs="Times New Roman"/>
          <w:sz w:val="24"/>
          <w:szCs w:val="24"/>
        </w:rPr>
        <w:t>asigurarea securității energetice prin interconectarea sistemului electroenergetic al Republicii Moldova și României (continuarea construcției</w:t>
      </w:r>
      <w:r w:rsidR="006464B3" w:rsidRPr="003278ED">
        <w:rPr>
          <w:rFonts w:ascii="Times New Roman" w:eastAsia="Calibri" w:hAnsi="Times New Roman" w:cs="Times New Roman"/>
          <w:sz w:val="24"/>
          <w:szCs w:val="24"/>
        </w:rPr>
        <w:t xml:space="preserve"> liniei electrice Vulcănești-</w:t>
      </w:r>
      <w:r w:rsidRPr="003278ED">
        <w:rPr>
          <w:rFonts w:ascii="Times New Roman" w:eastAsia="Calibri" w:hAnsi="Times New Roman" w:cs="Times New Roman"/>
          <w:sz w:val="24"/>
          <w:szCs w:val="24"/>
        </w:rPr>
        <w:t>Chișinău și inițierea noii interconexiuni prin intermediul LEA 400 kV Bălți-Suceava);</w:t>
      </w:r>
    </w:p>
    <w:p w14:paraId="0A17B68D" w14:textId="77777777"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diversificarea surselor și căilor de aprovizionare cu gaze naturale</w:t>
      </w:r>
      <w:r w:rsidRPr="003278ED">
        <w:rPr>
          <w:rFonts w:ascii="Times New Roman" w:hAnsi="Times New Roman" w:cs="Times New Roman"/>
        </w:rPr>
        <w:t xml:space="preserve"> </w:t>
      </w:r>
      <w:r w:rsidRPr="003278ED">
        <w:rPr>
          <w:rFonts w:ascii="Times New Roman" w:eastAsia="Calibri" w:hAnsi="Times New Roman" w:cs="Times New Roman"/>
          <w:sz w:val="24"/>
          <w:szCs w:val="24"/>
        </w:rPr>
        <w:t>și crearea unei previzibilități și stabilități pentru funcționarea economiei naționale;</w:t>
      </w:r>
    </w:p>
    <w:p w14:paraId="4AC2FB04" w14:textId="4FE2BB80"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color w:val="000000"/>
          <w:spacing w:val="8"/>
          <w:sz w:val="24"/>
          <w:szCs w:val="24"/>
          <w:shd w:val="clear" w:color="auto" w:fill="FFFFFF"/>
        </w:rPr>
        <w:t> </w:t>
      </w:r>
      <w:r w:rsidRPr="003278ED">
        <w:rPr>
          <w:rFonts w:ascii="Times New Roman" w:eastAsia="Calibri" w:hAnsi="Times New Roman" w:cs="Times New Roman"/>
          <w:sz w:val="24"/>
          <w:szCs w:val="24"/>
        </w:rPr>
        <w:t xml:space="preserve">îmbunătățirea eficienței energetice și reducerea consumului de energie în clădirile publice, inclusiv pentru 10 instituții spitalicești </w:t>
      </w:r>
      <w:r w:rsidR="006E3431" w:rsidRPr="003278ED">
        <w:rPr>
          <w:rFonts w:ascii="Times New Roman" w:eastAsia="Calibri" w:hAnsi="Times New Roman" w:cs="Times New Roman"/>
          <w:sz w:val="24"/>
          <w:szCs w:val="24"/>
        </w:rPr>
        <w:t>în</w:t>
      </w:r>
      <w:r w:rsidRPr="003278ED">
        <w:rPr>
          <w:rFonts w:ascii="Times New Roman" w:eastAsia="Calibri" w:hAnsi="Times New Roman" w:cs="Times New Roman"/>
          <w:sz w:val="24"/>
          <w:szCs w:val="24"/>
        </w:rPr>
        <w:t xml:space="preserve"> prima etapă;</w:t>
      </w:r>
    </w:p>
    <w:p w14:paraId="3524A058" w14:textId="4840044D" w:rsidR="00A2130D" w:rsidRPr="003278ED" w:rsidRDefault="00A2130D" w:rsidP="00072588">
      <w:pPr>
        <w:numPr>
          <w:ilvl w:val="0"/>
          <w:numId w:val="28"/>
        </w:numPr>
        <w:tabs>
          <w:tab w:val="left" w:pos="360"/>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implementarea mecanismelor și promovarea securității, a durabilității și a eficienței energetice prin continuarea</w:t>
      </w:r>
      <w:r w:rsidRPr="003278ED">
        <w:rPr>
          <w:rFonts w:ascii="Times New Roman" w:hAnsi="Times New Roman" w:cs="Times New Roman"/>
        </w:rPr>
        <w:t xml:space="preserve"> </w:t>
      </w:r>
      <w:r w:rsidR="00E81142" w:rsidRPr="003278ED">
        <w:rPr>
          <w:rFonts w:ascii="Times New Roman" w:hAnsi="Times New Roman" w:cs="Times New Roman"/>
        </w:rPr>
        <w:t>p</w:t>
      </w:r>
      <w:r w:rsidRPr="003278ED">
        <w:rPr>
          <w:rFonts w:ascii="Times New Roman" w:eastAsia="Calibri" w:hAnsi="Times New Roman" w:cs="Times New Roman"/>
          <w:sz w:val="24"/>
          <w:szCs w:val="24"/>
        </w:rPr>
        <w:t xml:space="preserve">rogramului de </w:t>
      </w:r>
      <w:r w:rsidR="00E81142" w:rsidRPr="003278ED">
        <w:rPr>
          <w:rFonts w:ascii="Times New Roman" w:eastAsia="Calibri" w:hAnsi="Times New Roman" w:cs="Times New Roman"/>
          <w:sz w:val="24"/>
          <w:szCs w:val="24"/>
        </w:rPr>
        <w:t>v</w:t>
      </w:r>
      <w:r w:rsidRPr="003278ED">
        <w:rPr>
          <w:rFonts w:ascii="Times New Roman" w:eastAsia="Calibri" w:hAnsi="Times New Roman" w:cs="Times New Roman"/>
          <w:sz w:val="24"/>
          <w:szCs w:val="24"/>
        </w:rPr>
        <w:t xml:space="preserve">ouchere pentru electrocasnice și </w:t>
      </w:r>
      <w:r w:rsidR="006E3431" w:rsidRPr="003278ED">
        <w:rPr>
          <w:rFonts w:ascii="Times New Roman" w:eastAsia="Calibri" w:hAnsi="Times New Roman" w:cs="Times New Roman"/>
          <w:sz w:val="24"/>
          <w:szCs w:val="24"/>
        </w:rPr>
        <w:t xml:space="preserve">a </w:t>
      </w:r>
      <w:r w:rsidRPr="003278ED">
        <w:rPr>
          <w:rFonts w:ascii="Times New Roman" w:eastAsia="Calibri" w:hAnsi="Times New Roman" w:cs="Times New Roman"/>
          <w:sz w:val="24"/>
          <w:szCs w:val="24"/>
        </w:rPr>
        <w:t>programului de modernizare a sistemului intern de distribuție a agentului termic pentru încălzire și alimentare cu apă caldă menajeră;</w:t>
      </w:r>
    </w:p>
    <w:p w14:paraId="59282C47" w14:textId="77777777"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promovarea utilizării surselor regenerabile prin instalarea sistemelor fotovoltaice deținute de către consumatorii casnici;</w:t>
      </w:r>
    </w:p>
    <w:p w14:paraId="7537979A" w14:textId="1222C891"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creșterea eficie</w:t>
      </w:r>
      <w:r w:rsidR="006E3431" w:rsidRPr="003278ED">
        <w:rPr>
          <w:rFonts w:ascii="Times New Roman" w:eastAsia="Calibri" w:hAnsi="Times New Roman" w:cs="Times New Roman"/>
          <w:sz w:val="24"/>
          <w:szCs w:val="24"/>
        </w:rPr>
        <w:t>nței sistemelor termoenergetice,</w:t>
      </w:r>
      <w:r w:rsidRPr="003278ED">
        <w:rPr>
          <w:rFonts w:ascii="Times New Roman" w:eastAsia="Calibri" w:hAnsi="Times New Roman" w:cs="Times New Roman"/>
          <w:sz w:val="24"/>
          <w:szCs w:val="24"/>
        </w:rPr>
        <w:t xml:space="preserve"> prin modernizarea rețelelor termice și </w:t>
      </w:r>
      <w:r w:rsidR="006E3431" w:rsidRPr="003278ED">
        <w:rPr>
          <w:rFonts w:ascii="Times New Roman" w:eastAsia="Calibri" w:hAnsi="Times New Roman" w:cs="Times New Roman"/>
          <w:sz w:val="24"/>
          <w:szCs w:val="24"/>
        </w:rPr>
        <w:t xml:space="preserve">a </w:t>
      </w:r>
      <w:r w:rsidRPr="003278ED">
        <w:rPr>
          <w:rFonts w:ascii="Times New Roman" w:eastAsia="Calibri" w:hAnsi="Times New Roman" w:cs="Times New Roman"/>
          <w:sz w:val="24"/>
          <w:szCs w:val="24"/>
        </w:rPr>
        <w:t>capacităților de cogenerare în municipiul Chișinău;</w:t>
      </w:r>
    </w:p>
    <w:p w14:paraId="70BFD9CA" w14:textId="77777777" w:rsidR="00A2130D" w:rsidRPr="003278ED" w:rsidRDefault="00A2130D" w:rsidP="00072588">
      <w:pPr>
        <w:numPr>
          <w:ilvl w:val="0"/>
          <w:numId w:val="28"/>
        </w:numPr>
        <w:tabs>
          <w:tab w:val="left" w:pos="567"/>
          <w:tab w:val="left" w:pos="993"/>
        </w:tabs>
        <w:spacing w:after="0" w:line="240" w:lineRule="auto"/>
        <w:ind w:left="0"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instalarea punctelor termice individuale și a sistemelor de distribuție a agentului termic în blocurile locative din municipiul Bălți.</w:t>
      </w:r>
    </w:p>
    <w:p w14:paraId="0B131B7D" w14:textId="77777777" w:rsidR="00BF336B" w:rsidRPr="003278ED" w:rsidRDefault="00BF336B" w:rsidP="00072588">
      <w:pPr>
        <w:spacing w:after="0" w:line="240" w:lineRule="auto"/>
        <w:ind w:firstLine="709"/>
        <w:jc w:val="both"/>
        <w:rPr>
          <w:rFonts w:ascii="Times New Roman" w:hAnsi="Times New Roman" w:cs="Times New Roman"/>
          <w:sz w:val="24"/>
        </w:rPr>
      </w:pPr>
    </w:p>
    <w:p w14:paraId="71017207" w14:textId="77777777" w:rsidR="006C5564" w:rsidRPr="003278ED" w:rsidRDefault="006C5564" w:rsidP="00072588">
      <w:pPr>
        <w:spacing w:after="0" w:line="240" w:lineRule="auto"/>
        <w:ind w:firstLine="709"/>
        <w:jc w:val="both"/>
        <w:rPr>
          <w:rFonts w:ascii="Times New Roman" w:hAnsi="Times New Roman" w:cs="Times New Roman"/>
          <w:b/>
          <w:i/>
          <w:sz w:val="24"/>
        </w:rPr>
      </w:pPr>
    </w:p>
    <w:p w14:paraId="77123CAF" w14:textId="77777777" w:rsidR="00D84E28" w:rsidRPr="003278ED" w:rsidRDefault="00D84E28" w:rsidP="00072588">
      <w:pPr>
        <w:spacing w:after="0" w:line="240" w:lineRule="auto"/>
        <w:ind w:firstLine="709"/>
        <w:jc w:val="both"/>
        <w:rPr>
          <w:rFonts w:ascii="Times New Roman" w:hAnsi="Times New Roman" w:cs="Times New Roman"/>
          <w:b/>
          <w:i/>
          <w:sz w:val="24"/>
        </w:rPr>
      </w:pPr>
      <w:r w:rsidRPr="003278ED">
        <w:rPr>
          <w:rFonts w:ascii="Times New Roman" w:hAnsi="Times New Roman" w:cs="Times New Roman"/>
          <w:b/>
          <w:i/>
          <w:sz w:val="24"/>
        </w:rPr>
        <w:t>Transporturi</w:t>
      </w:r>
      <w:r w:rsidR="000E3254" w:rsidRPr="003278ED">
        <w:rPr>
          <w:rFonts w:ascii="Times New Roman" w:hAnsi="Times New Roman" w:cs="Times New Roman"/>
          <w:b/>
          <w:i/>
          <w:sz w:val="24"/>
        </w:rPr>
        <w:t xml:space="preserve"> (13)</w:t>
      </w:r>
    </w:p>
    <w:p w14:paraId="11AF0136" w14:textId="589B2C3D" w:rsidR="00911E48" w:rsidRPr="003278ED" w:rsidRDefault="00911E48" w:rsidP="00072588">
      <w:pPr>
        <w:spacing w:after="0" w:line="240" w:lineRule="auto"/>
        <w:ind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O prioritate majoră de dezvoltare a sectorului real al economiei este dezvoltarea continuă a sistemului de transporturi și infrastructură, cu o creștere treptată a rețelei de drumuri în stare bună. Calitatea infrastructurii de transport este pe larg percepută ca o componentă importantă a competitivității </w:t>
      </w:r>
      <w:proofErr w:type="spellStart"/>
      <w:r w:rsidRPr="003278ED">
        <w:rPr>
          <w:rFonts w:ascii="Times New Roman" w:eastAsia="Calibri" w:hAnsi="Times New Roman" w:cs="Times New Roman"/>
          <w:sz w:val="24"/>
          <w:szCs w:val="24"/>
        </w:rPr>
        <w:t>şi</w:t>
      </w:r>
      <w:proofErr w:type="spellEnd"/>
      <w:r w:rsidRPr="003278ED">
        <w:rPr>
          <w:rFonts w:ascii="Times New Roman" w:eastAsia="Calibri" w:hAnsi="Times New Roman" w:cs="Times New Roman"/>
          <w:sz w:val="24"/>
          <w:szCs w:val="24"/>
        </w:rPr>
        <w:t xml:space="preserve"> a mediului de afaceri în general </w:t>
      </w:r>
      <w:proofErr w:type="spellStart"/>
      <w:r w:rsidRPr="003278ED">
        <w:rPr>
          <w:rFonts w:ascii="Times New Roman" w:eastAsia="Calibri" w:hAnsi="Times New Roman" w:cs="Times New Roman"/>
          <w:sz w:val="24"/>
          <w:szCs w:val="24"/>
        </w:rPr>
        <w:t>şi</w:t>
      </w:r>
      <w:proofErr w:type="spellEnd"/>
      <w:r w:rsidRPr="003278ED">
        <w:rPr>
          <w:rFonts w:ascii="Times New Roman" w:eastAsia="Calibri" w:hAnsi="Times New Roman" w:cs="Times New Roman"/>
          <w:sz w:val="24"/>
          <w:szCs w:val="24"/>
        </w:rPr>
        <w:t xml:space="preserve">, prin urmare, reprezintă un factor important în atragerea investițiilor </w:t>
      </w:r>
      <w:proofErr w:type="spellStart"/>
      <w:r w:rsidRPr="003278ED">
        <w:rPr>
          <w:rFonts w:ascii="Times New Roman" w:eastAsia="Calibri" w:hAnsi="Times New Roman" w:cs="Times New Roman"/>
          <w:sz w:val="24"/>
          <w:szCs w:val="24"/>
        </w:rPr>
        <w:t>şi</w:t>
      </w:r>
      <w:proofErr w:type="spellEnd"/>
      <w:r w:rsidRPr="003278ED">
        <w:rPr>
          <w:rFonts w:ascii="Times New Roman" w:eastAsia="Calibri" w:hAnsi="Times New Roman" w:cs="Times New Roman"/>
          <w:sz w:val="24"/>
          <w:szCs w:val="24"/>
        </w:rPr>
        <w:t xml:space="preserve"> </w:t>
      </w:r>
      <w:r w:rsidR="006E3431" w:rsidRPr="003278ED">
        <w:rPr>
          <w:rFonts w:ascii="Times New Roman" w:eastAsia="Calibri" w:hAnsi="Times New Roman" w:cs="Times New Roman"/>
          <w:sz w:val="24"/>
          <w:szCs w:val="24"/>
        </w:rPr>
        <w:t xml:space="preserve">în </w:t>
      </w:r>
      <w:r w:rsidRPr="003278ED">
        <w:rPr>
          <w:rFonts w:ascii="Times New Roman" w:eastAsia="Calibri" w:hAnsi="Times New Roman" w:cs="Times New Roman"/>
          <w:sz w:val="24"/>
          <w:szCs w:val="24"/>
        </w:rPr>
        <w:t xml:space="preserve">asigurarea competitivității exporturilor. În perspectivă, în urma </w:t>
      </w:r>
      <w:r w:rsidRPr="003278ED">
        <w:rPr>
          <w:rFonts w:ascii="Times New Roman" w:eastAsia="Calibri" w:hAnsi="Times New Roman" w:cs="Times New Roman"/>
          <w:sz w:val="24"/>
          <w:szCs w:val="24"/>
        </w:rPr>
        <w:lastRenderedPageBreak/>
        <w:t xml:space="preserve">instituirii Zonei de Liber Schimb Aprofundat </w:t>
      </w:r>
      <w:proofErr w:type="spellStart"/>
      <w:r w:rsidRPr="003278ED">
        <w:rPr>
          <w:rFonts w:ascii="Times New Roman" w:eastAsia="Calibri" w:hAnsi="Times New Roman" w:cs="Times New Roman"/>
          <w:sz w:val="24"/>
          <w:szCs w:val="24"/>
        </w:rPr>
        <w:t>şi</w:t>
      </w:r>
      <w:proofErr w:type="spellEnd"/>
      <w:r w:rsidRPr="003278ED">
        <w:rPr>
          <w:rFonts w:ascii="Times New Roman" w:eastAsia="Calibri" w:hAnsi="Times New Roman" w:cs="Times New Roman"/>
          <w:sz w:val="24"/>
          <w:szCs w:val="24"/>
        </w:rPr>
        <w:t xml:space="preserve"> Cuprinzător între Republica Moldova </w:t>
      </w:r>
      <w:proofErr w:type="spellStart"/>
      <w:r w:rsidRPr="003278ED">
        <w:rPr>
          <w:rFonts w:ascii="Times New Roman" w:eastAsia="Calibri" w:hAnsi="Times New Roman" w:cs="Times New Roman"/>
          <w:sz w:val="24"/>
          <w:szCs w:val="24"/>
        </w:rPr>
        <w:t>şi</w:t>
      </w:r>
      <w:proofErr w:type="spellEnd"/>
      <w:r w:rsidRPr="003278ED">
        <w:rPr>
          <w:rFonts w:ascii="Times New Roman" w:eastAsia="Calibri" w:hAnsi="Times New Roman" w:cs="Times New Roman"/>
          <w:sz w:val="24"/>
          <w:szCs w:val="24"/>
        </w:rPr>
        <w:t xml:space="preserve"> UE, infrastructura rutieră este indispensabilă pentru valorificarea potențialului de export al producătorilor autohtoni. </w:t>
      </w:r>
    </w:p>
    <w:p w14:paraId="01CE1D02" w14:textId="77777777" w:rsidR="00911E48" w:rsidRPr="003278ED" w:rsidRDefault="00911E48" w:rsidP="00072588">
      <w:pPr>
        <w:spacing w:after="0" w:line="240" w:lineRule="auto"/>
        <w:ind w:firstLine="709"/>
        <w:jc w:val="both"/>
        <w:rPr>
          <w:rFonts w:ascii="Times New Roman" w:eastAsia="Calibri" w:hAnsi="Times New Roman" w:cs="Times New Roman"/>
          <w:bCs/>
          <w:i/>
          <w:sz w:val="24"/>
          <w:szCs w:val="24"/>
        </w:rPr>
      </w:pPr>
      <w:r w:rsidRPr="003278ED">
        <w:rPr>
          <w:rFonts w:ascii="Times New Roman" w:eastAsia="Calibri" w:hAnsi="Times New Roman" w:cs="Times New Roman"/>
          <w:bCs/>
          <w:i/>
          <w:sz w:val="24"/>
          <w:szCs w:val="24"/>
        </w:rPr>
        <w:t>Principalele măsuri și acțiuni în acest sens pentru anii 2025-2027:</w:t>
      </w:r>
    </w:p>
    <w:p w14:paraId="5B3B8588" w14:textId="77777777"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reparația </w:t>
      </w:r>
      <w:proofErr w:type="spellStart"/>
      <w:r w:rsidRPr="003278ED">
        <w:rPr>
          <w:rFonts w:ascii="Times New Roman" w:eastAsia="Times New Roman" w:hAnsi="Times New Roman" w:cs="Times New Roman"/>
          <w:sz w:val="24"/>
          <w:szCs w:val="24"/>
        </w:rPr>
        <w:t>şi</w:t>
      </w:r>
      <w:proofErr w:type="spellEnd"/>
      <w:r w:rsidRPr="003278ED">
        <w:rPr>
          <w:rFonts w:ascii="Times New Roman" w:eastAsia="Times New Roman" w:hAnsi="Times New Roman" w:cs="Times New Roman"/>
          <w:sz w:val="24"/>
          <w:szCs w:val="24"/>
        </w:rPr>
        <w:t xml:space="preserve"> întreținerea corespunzătoare a rețelei de drumuri publice prin intermediul finanțării din fondul rutier și aducerea acestora în stare bună;</w:t>
      </w:r>
    </w:p>
    <w:p w14:paraId="157E87E8" w14:textId="16D8CBD1"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reabilitarea drumurilor naționale și regionale, inclusiv construcția drumului de ocolire a orașului Vulcănești, reabilitarea sectoarelor de drum R33 </w:t>
      </w:r>
      <w:proofErr w:type="spellStart"/>
      <w:r w:rsidRPr="003278ED">
        <w:rPr>
          <w:rFonts w:ascii="Times New Roman" w:eastAsia="Times New Roman" w:hAnsi="Times New Roman" w:cs="Times New Roman"/>
          <w:sz w:val="24"/>
          <w:szCs w:val="24"/>
        </w:rPr>
        <w:t>H</w:t>
      </w:r>
      <w:r w:rsidR="00175FEB" w:rsidRPr="003278ED">
        <w:rPr>
          <w:rFonts w:ascii="Times New Roman" w:eastAsia="Times New Roman" w:hAnsi="Times New Roman" w:cs="Times New Roman"/>
          <w:sz w:val="24"/>
          <w:szCs w:val="24"/>
        </w:rPr>
        <w:t>î</w:t>
      </w:r>
      <w:r w:rsidRPr="003278ED">
        <w:rPr>
          <w:rFonts w:ascii="Times New Roman" w:eastAsia="Times New Roman" w:hAnsi="Times New Roman" w:cs="Times New Roman"/>
          <w:sz w:val="24"/>
          <w:szCs w:val="24"/>
        </w:rPr>
        <w:t>ncești</w:t>
      </w:r>
      <w:proofErr w:type="spellEnd"/>
      <w:r w:rsidRPr="003278ED">
        <w:rPr>
          <w:rFonts w:ascii="Times New Roman" w:eastAsia="Times New Roman" w:hAnsi="Times New Roman" w:cs="Times New Roman"/>
          <w:sz w:val="24"/>
          <w:szCs w:val="24"/>
        </w:rPr>
        <w:t xml:space="preserve"> – Leova – Cahul, drumului M5 frontiera cu Ucraina </w:t>
      </w:r>
      <w:r w:rsidR="006E3431" w:rsidRPr="003278ED">
        <w:rPr>
          <w:rFonts w:ascii="Times New Roman" w:eastAsia="Times New Roman" w:hAnsi="Times New Roman" w:cs="Times New Roman"/>
          <w:sz w:val="24"/>
          <w:szCs w:val="24"/>
        </w:rPr>
        <w:t>–</w:t>
      </w:r>
      <w:r w:rsidRPr="003278ED">
        <w:rPr>
          <w:rFonts w:ascii="Times New Roman" w:eastAsia="Times New Roman" w:hAnsi="Times New Roman" w:cs="Times New Roman"/>
          <w:sz w:val="24"/>
          <w:szCs w:val="24"/>
        </w:rPr>
        <w:t xml:space="preserve"> Criva – Bălți – Chișinău – Tiraspol, drumului M1 frontiera cu România – Leușeni – Chișinău – Dubăsari;  </w:t>
      </w:r>
    </w:p>
    <w:p w14:paraId="32307D10" w14:textId="77777777"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reabilitarea/consolidarea și construcția podurilor rutiere de frontieră peste râul Prut;</w:t>
      </w:r>
    </w:p>
    <w:p w14:paraId="093AA7FB" w14:textId="77777777"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implementarea proiectelor investiționale pentru infrastructura feroviară și materialul rulant prin reabilitarea a 400,0 km de cale ferată;</w:t>
      </w:r>
    </w:p>
    <w:p w14:paraId="2A4B0181" w14:textId="77777777"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reabilitarea tronsonului de cale ferată Bender – Căușeni – Basarabeasca – Etulia – Giurgiulești; </w:t>
      </w:r>
    </w:p>
    <w:p w14:paraId="1A8589FB" w14:textId="77777777" w:rsidR="00911E48" w:rsidRPr="003278ED" w:rsidRDefault="00911E48" w:rsidP="00072588">
      <w:pPr>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 xml:space="preserve">consolidarea și construirea podurilor rutiere de frontieră peste râul Prut în scopul îmbunătățirii conectivității între Republica Moldova și România (Ungheni – Ungheni, Leova –Bumbăta, Leușeni – Albița; Cahul – Oancea; Sculeni – Sculeni); </w:t>
      </w:r>
    </w:p>
    <w:p w14:paraId="100B2D0A" w14:textId="77777777" w:rsidR="00BF336B" w:rsidRPr="003278ED" w:rsidRDefault="00911E48" w:rsidP="00072588">
      <w:pPr>
        <w:pStyle w:val="Listparagraf"/>
        <w:numPr>
          <w:ilvl w:val="0"/>
          <w:numId w:val="27"/>
        </w:numPr>
        <w:tabs>
          <w:tab w:val="left" w:pos="993"/>
        </w:tabs>
        <w:spacing w:after="0" w:line="240" w:lineRule="auto"/>
        <w:ind w:left="0" w:firstLine="709"/>
        <w:jc w:val="both"/>
        <w:rPr>
          <w:rFonts w:ascii="Times New Roman" w:eastAsia="Times New Roman" w:hAnsi="Times New Roman" w:cs="Times New Roman"/>
          <w:sz w:val="24"/>
          <w:szCs w:val="24"/>
        </w:rPr>
      </w:pPr>
      <w:r w:rsidRPr="003278ED">
        <w:rPr>
          <w:rFonts w:ascii="Times New Roman" w:eastAsia="Times New Roman" w:hAnsi="Times New Roman" w:cs="Times New Roman"/>
          <w:sz w:val="24"/>
          <w:szCs w:val="24"/>
        </w:rPr>
        <w:t>reabilitarea și construirea drumurilor publice naționale în scopul creșterii cu 7 %, a drumurilor naționale îmbunătățite și transferate la categoria de drumuri în stare „bună” și „foarte bună”.</w:t>
      </w:r>
    </w:p>
    <w:p w14:paraId="17CB9DB8" w14:textId="77777777" w:rsidR="00911E48" w:rsidRPr="003278ED" w:rsidRDefault="00911E48" w:rsidP="00072588">
      <w:pPr>
        <w:spacing w:after="0" w:line="240" w:lineRule="auto"/>
        <w:ind w:firstLine="709"/>
        <w:jc w:val="both"/>
        <w:rPr>
          <w:rFonts w:ascii="Times New Roman" w:hAnsi="Times New Roman" w:cs="Times New Roman"/>
          <w:b/>
          <w:i/>
          <w:sz w:val="24"/>
        </w:rPr>
      </w:pPr>
    </w:p>
    <w:p w14:paraId="796E6173" w14:textId="77777777" w:rsidR="00D84E28" w:rsidRPr="003278ED" w:rsidRDefault="00D84E28" w:rsidP="00072588">
      <w:pPr>
        <w:spacing w:after="0" w:line="240" w:lineRule="auto"/>
        <w:ind w:firstLine="709"/>
        <w:jc w:val="both"/>
        <w:rPr>
          <w:rFonts w:ascii="Times New Roman" w:hAnsi="Times New Roman" w:cs="Times New Roman"/>
          <w:b/>
          <w:i/>
          <w:sz w:val="24"/>
        </w:rPr>
      </w:pPr>
      <w:r w:rsidRPr="003278ED">
        <w:rPr>
          <w:rFonts w:ascii="Times New Roman" w:hAnsi="Times New Roman" w:cs="Times New Roman"/>
          <w:b/>
          <w:i/>
          <w:sz w:val="24"/>
        </w:rPr>
        <w:t>Comunica</w:t>
      </w:r>
      <w:r w:rsidR="000E3254" w:rsidRPr="003278ED">
        <w:rPr>
          <w:rFonts w:ascii="Times New Roman" w:hAnsi="Times New Roman" w:cs="Times New Roman"/>
          <w:b/>
          <w:i/>
          <w:sz w:val="24"/>
        </w:rPr>
        <w:t>ț</w:t>
      </w:r>
      <w:r w:rsidRPr="003278ED">
        <w:rPr>
          <w:rFonts w:ascii="Times New Roman" w:hAnsi="Times New Roman" w:cs="Times New Roman"/>
          <w:b/>
          <w:i/>
          <w:sz w:val="24"/>
        </w:rPr>
        <w:t>ii</w:t>
      </w:r>
      <w:r w:rsidR="000E3254" w:rsidRPr="003278ED">
        <w:rPr>
          <w:rFonts w:ascii="Times New Roman" w:hAnsi="Times New Roman" w:cs="Times New Roman"/>
          <w:b/>
          <w:i/>
          <w:sz w:val="24"/>
        </w:rPr>
        <w:t xml:space="preserve"> (14)</w:t>
      </w:r>
    </w:p>
    <w:p w14:paraId="1A9D6F2B" w14:textId="77777777" w:rsidR="00100766" w:rsidRPr="003278ED" w:rsidRDefault="00100766" w:rsidP="00072588">
      <w:pPr>
        <w:spacing w:after="0" w:line="240" w:lineRule="auto"/>
        <w:ind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Sectorul comunicațiilor are un rol important din punct de vedere strategic, politicile actuale fiind orientate spre dezvoltarea unui sector sustenabil și durabil, asigurarea prestării unor servicii de calitate și rapide. Dezvoltarea sectorului comunicațiilor exercită o influență pozitivă asupra productivității mun</w:t>
      </w:r>
      <w:r w:rsidR="00EB4614" w:rsidRPr="003278ED">
        <w:rPr>
          <w:rFonts w:ascii="Times New Roman" w:eastAsia="Calibri" w:hAnsi="Times New Roman" w:cs="Times New Roman"/>
          <w:color w:val="000000"/>
          <w:sz w:val="24"/>
          <w:szCs w:val="24"/>
        </w:rPr>
        <w:t>cii în întreaga economie, sporeș</w:t>
      </w:r>
      <w:r w:rsidRPr="003278ED">
        <w:rPr>
          <w:rFonts w:ascii="Times New Roman" w:eastAsia="Calibri" w:hAnsi="Times New Roman" w:cs="Times New Roman"/>
          <w:color w:val="000000"/>
          <w:sz w:val="24"/>
          <w:szCs w:val="24"/>
        </w:rPr>
        <w:t>te eficien</w:t>
      </w:r>
      <w:r w:rsidR="0052703D" w:rsidRPr="003278ED">
        <w:rPr>
          <w:rFonts w:ascii="Times New Roman" w:eastAsia="Calibri" w:hAnsi="Times New Roman" w:cs="Times New Roman"/>
          <w:color w:val="000000"/>
          <w:sz w:val="24"/>
          <w:szCs w:val="24"/>
        </w:rPr>
        <w:t>ț</w:t>
      </w:r>
      <w:r w:rsidRPr="003278ED">
        <w:rPr>
          <w:rFonts w:ascii="Times New Roman" w:eastAsia="Calibri" w:hAnsi="Times New Roman" w:cs="Times New Roman"/>
          <w:color w:val="000000"/>
          <w:sz w:val="24"/>
          <w:szCs w:val="24"/>
        </w:rPr>
        <w:t>a administra</w:t>
      </w:r>
      <w:r w:rsidR="003F403F" w:rsidRPr="003278ED">
        <w:rPr>
          <w:rFonts w:ascii="Times New Roman" w:eastAsia="Calibri" w:hAnsi="Times New Roman" w:cs="Times New Roman"/>
          <w:color w:val="000000"/>
          <w:sz w:val="24"/>
          <w:szCs w:val="24"/>
        </w:rPr>
        <w:t>ț</w:t>
      </w:r>
      <w:r w:rsidRPr="003278ED">
        <w:rPr>
          <w:rFonts w:ascii="Times New Roman" w:eastAsia="Calibri" w:hAnsi="Times New Roman" w:cs="Times New Roman"/>
          <w:color w:val="000000"/>
          <w:sz w:val="24"/>
          <w:szCs w:val="24"/>
        </w:rPr>
        <w:t xml:space="preserve">iei publice </w:t>
      </w:r>
      <w:proofErr w:type="spellStart"/>
      <w:r w:rsidRPr="003278ED">
        <w:rPr>
          <w:rFonts w:ascii="Times New Roman" w:eastAsia="Calibri" w:hAnsi="Times New Roman" w:cs="Times New Roman"/>
          <w:color w:val="000000"/>
          <w:sz w:val="24"/>
          <w:szCs w:val="24"/>
        </w:rPr>
        <w:t>şi</w:t>
      </w:r>
      <w:proofErr w:type="spellEnd"/>
      <w:r w:rsidRPr="003278ED">
        <w:rPr>
          <w:rFonts w:ascii="Times New Roman" w:eastAsia="Calibri" w:hAnsi="Times New Roman" w:cs="Times New Roman"/>
          <w:color w:val="000000"/>
          <w:sz w:val="24"/>
          <w:szCs w:val="24"/>
        </w:rPr>
        <w:t xml:space="preserve"> face serviciile publice mult mai orientate spre cetă</w:t>
      </w:r>
      <w:r w:rsidR="003F403F" w:rsidRPr="003278ED">
        <w:rPr>
          <w:rFonts w:ascii="Times New Roman" w:eastAsia="Calibri" w:hAnsi="Times New Roman" w:cs="Times New Roman"/>
          <w:color w:val="000000"/>
          <w:sz w:val="24"/>
          <w:szCs w:val="24"/>
        </w:rPr>
        <w:t>ț</w:t>
      </w:r>
      <w:r w:rsidRPr="003278ED">
        <w:rPr>
          <w:rFonts w:ascii="Times New Roman" w:eastAsia="Calibri" w:hAnsi="Times New Roman" w:cs="Times New Roman"/>
          <w:color w:val="000000"/>
          <w:sz w:val="24"/>
          <w:szCs w:val="24"/>
        </w:rPr>
        <w:t xml:space="preserve">ean. </w:t>
      </w:r>
    </w:p>
    <w:p w14:paraId="24BE77CD" w14:textId="77777777" w:rsidR="00100766" w:rsidRPr="003278ED" w:rsidRDefault="00100766" w:rsidP="00072588">
      <w:pPr>
        <w:spacing w:after="0" w:line="240" w:lineRule="auto"/>
        <w:ind w:firstLine="709"/>
        <w:jc w:val="both"/>
        <w:rPr>
          <w:rFonts w:ascii="Times New Roman" w:eastAsia="Calibri" w:hAnsi="Times New Roman" w:cs="Times New Roman"/>
          <w:bCs/>
          <w:i/>
          <w:color w:val="000000"/>
          <w:sz w:val="24"/>
          <w:szCs w:val="24"/>
        </w:rPr>
      </w:pPr>
      <w:r w:rsidRPr="003278ED">
        <w:rPr>
          <w:rFonts w:ascii="Times New Roman" w:eastAsia="Calibri" w:hAnsi="Times New Roman" w:cs="Times New Roman"/>
          <w:bCs/>
          <w:i/>
          <w:color w:val="000000"/>
          <w:sz w:val="24"/>
          <w:szCs w:val="24"/>
        </w:rPr>
        <w:t>Principalele măsuri și acțiuni planificate pentru anii 2025-2027:</w:t>
      </w:r>
    </w:p>
    <w:p w14:paraId="3A06A946" w14:textId="77777777" w:rsidR="00100766" w:rsidRPr="003278ED" w:rsidRDefault="00100766" w:rsidP="00072588">
      <w:pPr>
        <w:numPr>
          <w:ilvl w:val="0"/>
          <w:numId w:val="26"/>
        </w:numPr>
        <w:tabs>
          <w:tab w:val="left" w:pos="993"/>
        </w:tabs>
        <w:spacing w:after="0" w:line="240" w:lineRule="auto"/>
        <w:ind w:left="0"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asigurarea funcționalității infrastructurii de televiziune digitală terestră Multiplex A, cu acces gratuit pentru populație;</w:t>
      </w:r>
    </w:p>
    <w:p w14:paraId="2C98A5F1" w14:textId="77777777" w:rsidR="00100766" w:rsidRPr="003278ED" w:rsidRDefault="00100766" w:rsidP="00072588">
      <w:pPr>
        <w:numPr>
          <w:ilvl w:val="0"/>
          <w:numId w:val="26"/>
        </w:numPr>
        <w:tabs>
          <w:tab w:val="left" w:pos="993"/>
        </w:tabs>
        <w:spacing w:after="0" w:line="240" w:lineRule="auto"/>
        <w:ind w:left="0" w:firstLine="709"/>
        <w:jc w:val="both"/>
        <w:rPr>
          <w:rFonts w:ascii="Times New Roman" w:eastAsia="Calibri" w:hAnsi="Times New Roman" w:cs="Times New Roman"/>
          <w:b/>
          <w:sz w:val="28"/>
          <w:szCs w:val="28"/>
        </w:rPr>
      </w:pPr>
      <w:r w:rsidRPr="003278ED">
        <w:rPr>
          <w:rFonts w:ascii="Times New Roman" w:eastAsia="Calibri" w:hAnsi="Times New Roman" w:cs="Times New Roman"/>
          <w:color w:val="000000"/>
          <w:sz w:val="24"/>
          <w:szCs w:val="24"/>
        </w:rPr>
        <w:t>acoperirea cheltuielilor ce țin de oferirea serviciilor poștale gratuite pentru nevăzători și prizonierii de război.</w:t>
      </w:r>
    </w:p>
    <w:p w14:paraId="7722DB46" w14:textId="77777777" w:rsidR="00BF336B" w:rsidRPr="003278ED" w:rsidRDefault="00BF336B" w:rsidP="00072588">
      <w:pPr>
        <w:tabs>
          <w:tab w:val="left" w:pos="993"/>
        </w:tabs>
        <w:spacing w:after="0" w:line="240" w:lineRule="auto"/>
        <w:ind w:firstLine="709"/>
        <w:jc w:val="both"/>
        <w:rPr>
          <w:rFonts w:ascii="Times New Roman" w:hAnsi="Times New Roman" w:cs="Times New Roman"/>
          <w:b/>
          <w:i/>
          <w:sz w:val="24"/>
        </w:rPr>
      </w:pPr>
    </w:p>
    <w:p w14:paraId="0F430CA3" w14:textId="77777777" w:rsidR="00D84E28" w:rsidRPr="003278ED" w:rsidRDefault="00D84E28" w:rsidP="00072588">
      <w:pPr>
        <w:tabs>
          <w:tab w:val="left" w:pos="993"/>
        </w:tabs>
        <w:spacing w:after="0" w:line="240" w:lineRule="auto"/>
        <w:ind w:firstLine="709"/>
        <w:jc w:val="both"/>
        <w:rPr>
          <w:rFonts w:ascii="Times New Roman" w:hAnsi="Times New Roman" w:cs="Times New Roman"/>
          <w:b/>
          <w:i/>
          <w:sz w:val="24"/>
        </w:rPr>
      </w:pPr>
      <w:r w:rsidRPr="003278ED">
        <w:rPr>
          <w:rFonts w:ascii="Times New Roman" w:hAnsi="Times New Roman" w:cs="Times New Roman"/>
          <w:b/>
          <w:i/>
          <w:sz w:val="24"/>
        </w:rPr>
        <w:t>Turism</w:t>
      </w:r>
      <w:r w:rsidR="00BB4277" w:rsidRPr="003278ED">
        <w:rPr>
          <w:rFonts w:ascii="Times New Roman" w:hAnsi="Times New Roman" w:cs="Times New Roman"/>
          <w:b/>
          <w:i/>
          <w:sz w:val="24"/>
        </w:rPr>
        <w:t xml:space="preserve"> (15)</w:t>
      </w:r>
    </w:p>
    <w:p w14:paraId="1A48749A" w14:textId="77777777" w:rsidR="00EB4614" w:rsidRPr="003278ED" w:rsidRDefault="00EB4614" w:rsidP="00072588">
      <w:pPr>
        <w:tabs>
          <w:tab w:val="left" w:pos="993"/>
        </w:tabs>
        <w:spacing w:after="0" w:line="240" w:lineRule="auto"/>
        <w:ind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Sectorul turismului are un rol important din punct de vedere economic, urmând a fi implementate măsuri pentru consolidarea produsului turistic conform ofertei unice de țară bazat pe tipurile de turism ce pot fi dezvoltate în Republica Moldova, cum ar fi turismul de experiență, rural, agroturistic și de aventură ușoară, dezvoltarea turismului în ariile naturale protejate, pentru valorificarea patrimoniului național natural și creșterea veniturilor administrațiilor respective din serviciile de turism.</w:t>
      </w:r>
    </w:p>
    <w:p w14:paraId="68ADF1F0" w14:textId="77777777" w:rsidR="00EB4614" w:rsidRPr="003278ED" w:rsidRDefault="00EB4614" w:rsidP="00072588">
      <w:pPr>
        <w:tabs>
          <w:tab w:val="left" w:pos="993"/>
        </w:tabs>
        <w:spacing w:after="0" w:line="240" w:lineRule="auto"/>
        <w:ind w:firstLine="709"/>
        <w:jc w:val="both"/>
        <w:rPr>
          <w:rFonts w:ascii="Times New Roman" w:eastAsia="Calibri" w:hAnsi="Times New Roman" w:cs="Times New Roman"/>
          <w:bCs/>
          <w:i/>
          <w:color w:val="000000"/>
          <w:sz w:val="24"/>
          <w:szCs w:val="24"/>
        </w:rPr>
      </w:pPr>
      <w:r w:rsidRPr="003278ED">
        <w:rPr>
          <w:rFonts w:ascii="Times New Roman" w:eastAsia="Calibri" w:hAnsi="Times New Roman" w:cs="Times New Roman"/>
          <w:bCs/>
          <w:i/>
          <w:color w:val="000000"/>
          <w:sz w:val="24"/>
          <w:szCs w:val="24"/>
        </w:rPr>
        <w:t>Principalele măsuri și acțiuni planificate pentru anii 2025-2027:</w:t>
      </w:r>
    </w:p>
    <w:p w14:paraId="742774A7" w14:textId="77777777" w:rsidR="00EB4614" w:rsidRPr="003278ED" w:rsidRDefault="00EB4614" w:rsidP="00072588">
      <w:pPr>
        <w:numPr>
          <w:ilvl w:val="0"/>
          <w:numId w:val="25"/>
        </w:numPr>
        <w:tabs>
          <w:tab w:val="left" w:pos="993"/>
        </w:tabs>
        <w:spacing w:after="0" w:line="240" w:lineRule="auto"/>
        <w:ind w:left="0"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asigurarea funcționării I.P. Oficiul Național al Turismului, care va implementa politicile în domeniul turismului;</w:t>
      </w:r>
    </w:p>
    <w:p w14:paraId="28B31D29" w14:textId="77777777" w:rsidR="00EB4614" w:rsidRPr="003278ED" w:rsidRDefault="00EB4614" w:rsidP="00072588">
      <w:pPr>
        <w:numPr>
          <w:ilvl w:val="0"/>
          <w:numId w:val="25"/>
        </w:numPr>
        <w:tabs>
          <w:tab w:val="left" w:pos="993"/>
        </w:tabs>
        <w:spacing w:after="0" w:line="240" w:lineRule="auto"/>
        <w:ind w:left="0"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alocarea mijloacelor în vederea dezvoltării turismului, prin crearea și administrarea zonelor turistice naționale și a produselor turistice;</w:t>
      </w:r>
    </w:p>
    <w:p w14:paraId="75734466" w14:textId="048EEFFB" w:rsidR="00072588" w:rsidRPr="00072588" w:rsidRDefault="00EB4614" w:rsidP="00072588">
      <w:pPr>
        <w:pStyle w:val="Listparagraf"/>
        <w:numPr>
          <w:ilvl w:val="0"/>
          <w:numId w:val="25"/>
        </w:numPr>
        <w:tabs>
          <w:tab w:val="left" w:pos="993"/>
        </w:tabs>
        <w:spacing w:after="0" w:line="240" w:lineRule="auto"/>
        <w:ind w:left="0" w:firstLine="709"/>
        <w:jc w:val="both"/>
        <w:rPr>
          <w:rFonts w:ascii="Times New Roman" w:eastAsia="Calibri" w:hAnsi="Times New Roman" w:cs="Times New Roman"/>
          <w:color w:val="000000"/>
          <w:sz w:val="24"/>
          <w:szCs w:val="24"/>
        </w:rPr>
      </w:pPr>
      <w:r w:rsidRPr="003278ED">
        <w:rPr>
          <w:rFonts w:ascii="Times New Roman" w:eastAsia="Calibri" w:hAnsi="Times New Roman" w:cs="Times New Roman"/>
          <w:color w:val="000000"/>
          <w:sz w:val="24"/>
          <w:szCs w:val="24"/>
        </w:rPr>
        <w:t>modernizarea și dotarea muzeelor de istorie și etnografie din mun</w:t>
      </w:r>
      <w:r w:rsidR="00817E8C" w:rsidRPr="003278ED">
        <w:rPr>
          <w:rFonts w:ascii="Times New Roman" w:eastAsia="Calibri" w:hAnsi="Times New Roman" w:cs="Times New Roman"/>
          <w:color w:val="000000"/>
          <w:sz w:val="24"/>
          <w:szCs w:val="24"/>
        </w:rPr>
        <w:t>icipi</w:t>
      </w:r>
      <w:r w:rsidR="00CC3F70" w:rsidRPr="003278ED">
        <w:rPr>
          <w:rFonts w:ascii="Times New Roman" w:eastAsia="Calibri" w:hAnsi="Times New Roman" w:cs="Times New Roman"/>
          <w:color w:val="000000"/>
          <w:sz w:val="24"/>
          <w:szCs w:val="24"/>
        </w:rPr>
        <w:t>ile</w:t>
      </w:r>
      <w:r w:rsidRPr="003278ED">
        <w:rPr>
          <w:rFonts w:ascii="Times New Roman" w:eastAsia="Calibri" w:hAnsi="Times New Roman" w:cs="Times New Roman"/>
          <w:color w:val="000000"/>
          <w:sz w:val="24"/>
          <w:szCs w:val="24"/>
        </w:rPr>
        <w:t xml:space="preserve"> Bălți și Soroca.</w:t>
      </w:r>
    </w:p>
    <w:p w14:paraId="1EE59238" w14:textId="77777777" w:rsidR="00072588" w:rsidRDefault="00072588">
      <w:pPr>
        <w:rPr>
          <w:rFonts w:ascii="Times New Roman" w:hAnsi="Times New Roman" w:cs="Times New Roman"/>
          <w:b/>
          <w:i/>
          <w:sz w:val="24"/>
        </w:rPr>
      </w:pPr>
      <w:r>
        <w:rPr>
          <w:rFonts w:ascii="Times New Roman" w:hAnsi="Times New Roman" w:cs="Times New Roman"/>
          <w:b/>
          <w:i/>
          <w:sz w:val="24"/>
        </w:rPr>
        <w:br w:type="page"/>
      </w:r>
    </w:p>
    <w:p w14:paraId="63C7CEF6" w14:textId="3266700E" w:rsidR="00D84E28" w:rsidRPr="003278ED" w:rsidRDefault="00D84E28" w:rsidP="007D3A2B">
      <w:pPr>
        <w:spacing w:after="0" w:line="240" w:lineRule="auto"/>
        <w:ind w:firstLine="720"/>
        <w:jc w:val="both"/>
        <w:rPr>
          <w:rFonts w:ascii="Times New Roman" w:hAnsi="Times New Roman" w:cs="Times New Roman"/>
          <w:b/>
          <w:i/>
          <w:sz w:val="24"/>
        </w:rPr>
      </w:pPr>
      <w:r w:rsidRPr="003278ED">
        <w:rPr>
          <w:rFonts w:ascii="Times New Roman" w:hAnsi="Times New Roman" w:cs="Times New Roman"/>
          <w:b/>
          <w:i/>
          <w:sz w:val="24"/>
        </w:rPr>
        <w:lastRenderedPageBreak/>
        <w:t>Educație</w:t>
      </w:r>
      <w:r w:rsidR="00BB4277" w:rsidRPr="003278ED">
        <w:rPr>
          <w:rFonts w:ascii="Times New Roman" w:hAnsi="Times New Roman" w:cs="Times New Roman"/>
          <w:b/>
          <w:i/>
          <w:sz w:val="24"/>
        </w:rPr>
        <w:t xml:space="preserve"> (21)</w:t>
      </w:r>
    </w:p>
    <w:p w14:paraId="035B9F45" w14:textId="77777777" w:rsidR="008C42CF" w:rsidRPr="003278ED" w:rsidRDefault="008C42CF" w:rsidP="007D3A2B">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Educația reprezintă o prioritate națională, factorul de bază în crearea și transmiterea de noi cunoștințe și valori general-umane în dezvoltarea capitalului uman, în formarea conștiinței și identității naționale, în promovarea aspirațiilor de integrare europeană cu rol primordial în crearea premiselor pentru dezvoltarea umană durabilă și edificarea unei societăți bazate pe cunoaștere.</w:t>
      </w:r>
    </w:p>
    <w:p w14:paraId="6CF9BCC1" w14:textId="3D5E281A" w:rsidR="008C42CF" w:rsidRPr="003278ED" w:rsidRDefault="008C42CF" w:rsidP="007D3A2B">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În același timp, tendințele demografice negative generează probleme de supradimensionare a rețelei de instituții de învățământ, ceea ce duce la utilizarea ineficientă a resurselor și nu permite realizarea investiții</w:t>
      </w:r>
      <w:r w:rsidR="00BF7EF1" w:rsidRPr="003278ED">
        <w:rPr>
          <w:rFonts w:ascii="Times New Roman" w:hAnsi="Times New Roman" w:cs="Times New Roman"/>
          <w:color w:val="000000" w:themeColor="text1"/>
          <w:sz w:val="24"/>
          <w:szCs w:val="28"/>
          <w:shd w:val="clear" w:color="auto" w:fill="FFFFFF"/>
        </w:rPr>
        <w:t>lor</w:t>
      </w:r>
      <w:r w:rsidRPr="003278ED">
        <w:rPr>
          <w:rFonts w:ascii="Times New Roman" w:hAnsi="Times New Roman" w:cs="Times New Roman"/>
          <w:color w:val="000000" w:themeColor="text1"/>
          <w:sz w:val="24"/>
          <w:szCs w:val="28"/>
          <w:shd w:val="clear" w:color="auto" w:fill="FFFFFF"/>
        </w:rPr>
        <w:t xml:space="preserve"> în modernizarea și dotarea școlilor. </w:t>
      </w:r>
    </w:p>
    <w:p w14:paraId="43CB3C23" w14:textId="603533BA" w:rsidR="008C42CF" w:rsidRPr="003278ED" w:rsidRDefault="008C42CF" w:rsidP="007D3A2B">
      <w:pPr>
        <w:spacing w:after="0" w:line="240" w:lineRule="auto"/>
        <w:ind w:firstLine="720"/>
        <w:jc w:val="both"/>
        <w:rPr>
          <w:rFonts w:ascii="Times New Roman" w:hAnsi="Times New Roman" w:cs="Times New Roman"/>
          <w:i/>
          <w:color w:val="000000" w:themeColor="text1"/>
          <w:sz w:val="24"/>
          <w:szCs w:val="28"/>
          <w:shd w:val="clear" w:color="auto" w:fill="FFFFFF"/>
        </w:rPr>
      </w:pPr>
      <w:r w:rsidRPr="003278ED">
        <w:rPr>
          <w:rFonts w:ascii="Times New Roman" w:hAnsi="Times New Roman" w:cs="Times New Roman"/>
          <w:i/>
          <w:color w:val="000000" w:themeColor="text1"/>
          <w:sz w:val="24"/>
          <w:szCs w:val="28"/>
          <w:shd w:val="clear" w:color="auto" w:fill="FFFFFF"/>
        </w:rPr>
        <w:t>Principalele măsuri și acțiuni planificate în perioada 2025-2027:</w:t>
      </w:r>
    </w:p>
    <w:p w14:paraId="66CEE6A6" w14:textId="740E4EF1"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 xml:space="preserve">dezvoltarea sistemului de educație timpurie, creșterea calității și </w:t>
      </w:r>
      <w:r w:rsidR="00BF7EF1" w:rsidRPr="003278ED">
        <w:rPr>
          <w:rFonts w:ascii="Times New Roman" w:hAnsi="Times New Roman" w:cs="Times New Roman"/>
          <w:color w:val="000000" w:themeColor="text1"/>
          <w:sz w:val="24"/>
          <w:szCs w:val="28"/>
          <w:shd w:val="clear" w:color="auto" w:fill="FFFFFF"/>
        </w:rPr>
        <w:t xml:space="preserve">a </w:t>
      </w:r>
      <w:r w:rsidRPr="003278ED">
        <w:rPr>
          <w:rFonts w:ascii="Times New Roman" w:hAnsi="Times New Roman" w:cs="Times New Roman"/>
          <w:color w:val="000000" w:themeColor="text1"/>
          <w:sz w:val="24"/>
          <w:szCs w:val="28"/>
          <w:shd w:val="clear" w:color="auto" w:fill="FFFFFF"/>
        </w:rPr>
        <w:t xml:space="preserve">accesului echitabil pentru copii la servicii de educație </w:t>
      </w:r>
      <w:proofErr w:type="spellStart"/>
      <w:r w:rsidRPr="003278ED">
        <w:rPr>
          <w:rFonts w:ascii="Times New Roman" w:hAnsi="Times New Roman" w:cs="Times New Roman"/>
          <w:color w:val="000000" w:themeColor="text1"/>
          <w:sz w:val="24"/>
          <w:szCs w:val="28"/>
          <w:shd w:val="clear" w:color="auto" w:fill="FFFFFF"/>
        </w:rPr>
        <w:t>antepreșcolară</w:t>
      </w:r>
      <w:proofErr w:type="spellEnd"/>
      <w:r w:rsidRPr="003278ED">
        <w:rPr>
          <w:rFonts w:ascii="Times New Roman" w:hAnsi="Times New Roman" w:cs="Times New Roman"/>
          <w:color w:val="000000" w:themeColor="text1"/>
          <w:sz w:val="24"/>
          <w:szCs w:val="28"/>
          <w:shd w:val="clear" w:color="auto" w:fill="FFFFFF"/>
        </w:rPr>
        <w:t xml:space="preserve"> și învățământ preșcolar, inclusiv al persoanelor cu nevoi speciale;</w:t>
      </w:r>
    </w:p>
    <w:p w14:paraId="2A7369A3" w14:textId="2745E31B"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modernizarea proceselor de formare inițială și continuă a cad</w:t>
      </w:r>
      <w:r w:rsidR="00BF7EF1" w:rsidRPr="003278ED">
        <w:rPr>
          <w:rFonts w:ascii="Times New Roman" w:hAnsi="Times New Roman" w:cs="Times New Roman"/>
          <w:color w:val="000000" w:themeColor="text1"/>
          <w:sz w:val="24"/>
          <w:szCs w:val="28"/>
          <w:shd w:val="clear" w:color="auto" w:fill="FFFFFF"/>
        </w:rPr>
        <w:t xml:space="preserve">relor didactice și manageriale </w:t>
      </w:r>
      <w:r w:rsidRPr="003278ED">
        <w:rPr>
          <w:rFonts w:ascii="Times New Roman" w:hAnsi="Times New Roman" w:cs="Times New Roman"/>
          <w:color w:val="000000" w:themeColor="text1"/>
          <w:sz w:val="24"/>
          <w:szCs w:val="28"/>
          <w:shd w:val="clear" w:color="auto" w:fill="FFFFFF"/>
        </w:rPr>
        <w:t>prin consolidarea capacităților Institutului National pentru Educație și Leadership;</w:t>
      </w:r>
    </w:p>
    <w:p w14:paraId="28A86B4E"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dezvoltarea sistemului de învățământ primar și secundar general prin creșterea rețelei școlilor model;</w:t>
      </w:r>
    </w:p>
    <w:p w14:paraId="6029680D"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modernizarea infrastructurii în instituțiile de învățământ general și asigurarea condițiilor necesare de igienă și sanitație;</w:t>
      </w:r>
    </w:p>
    <w:p w14:paraId="2F8996F6"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asigurarea copiilor și elevilor din instituțiile de învățământ cu alimentație;</w:t>
      </w:r>
    </w:p>
    <w:p w14:paraId="4C7125D8"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asigurarea elevilor cu manuale noi care să corespundă curriculumului școlar;</w:t>
      </w:r>
    </w:p>
    <w:p w14:paraId="2BC5BE70"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sprijinirea programelor pentru dezvoltarea competențelor de comunicare în limba română ale copiilor din instituțiile cu instruire în limbile minorităților naționale;</w:t>
      </w:r>
    </w:p>
    <w:p w14:paraId="5C27A8E6"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asigurarea incluziunii persoanelor cu nevoi speciale (dizabilități fizice și senzoriale: auz și văz);</w:t>
      </w:r>
    </w:p>
    <w:p w14:paraId="7F7C9B52" w14:textId="3471FE1F" w:rsidR="008C42CF" w:rsidRPr="003278ED" w:rsidRDefault="008C42CF" w:rsidP="00BF7EF1">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promovarea inițiative</w:t>
      </w:r>
      <w:r w:rsidR="00BF7EF1" w:rsidRPr="003278ED">
        <w:rPr>
          <w:rFonts w:ascii="Times New Roman" w:hAnsi="Times New Roman" w:cs="Times New Roman"/>
          <w:color w:val="000000" w:themeColor="text1"/>
          <w:sz w:val="24"/>
          <w:szCs w:val="28"/>
          <w:shd w:val="clear" w:color="auto" w:fill="FFFFFF"/>
        </w:rPr>
        <w:t>lor</w:t>
      </w:r>
      <w:r w:rsidRPr="003278ED">
        <w:rPr>
          <w:rFonts w:ascii="Times New Roman" w:hAnsi="Times New Roman" w:cs="Times New Roman"/>
          <w:color w:val="000000" w:themeColor="text1"/>
          <w:sz w:val="24"/>
          <w:szCs w:val="28"/>
          <w:shd w:val="clear" w:color="auto" w:fill="FFFFFF"/>
        </w:rPr>
        <w:t xml:space="preserve"> pentru modernizarea și eficientizarea învățământului</w:t>
      </w:r>
      <w:r w:rsidR="00BF7EF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profesional tehnic</w:t>
      </w:r>
      <w:r w:rsidR="00BF7EF1"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cu implicarea angajatorilor și </w:t>
      </w:r>
      <w:r w:rsidR="00BF7EF1" w:rsidRPr="003278ED">
        <w:rPr>
          <w:rFonts w:ascii="Times New Roman" w:hAnsi="Times New Roman" w:cs="Times New Roman"/>
          <w:color w:val="000000" w:themeColor="text1"/>
          <w:sz w:val="24"/>
          <w:szCs w:val="28"/>
          <w:shd w:val="clear" w:color="auto" w:fill="FFFFFF"/>
        </w:rPr>
        <w:t xml:space="preserve">a </w:t>
      </w:r>
      <w:r w:rsidRPr="003278ED">
        <w:rPr>
          <w:rFonts w:ascii="Times New Roman" w:hAnsi="Times New Roman" w:cs="Times New Roman"/>
          <w:color w:val="000000" w:themeColor="text1"/>
          <w:sz w:val="24"/>
          <w:szCs w:val="28"/>
          <w:shd w:val="clear" w:color="auto" w:fill="FFFFFF"/>
        </w:rPr>
        <w:t>mediului de afaceri, în scopul oferirii absolvenților a unei pregătiri mai bune pentru piața muncii și pentru o carieră de succes, inclusiv dezvoltarea învățământului dual;</w:t>
      </w:r>
    </w:p>
    <w:p w14:paraId="6A5F8F66" w14:textId="77777777" w:rsidR="008C42CF" w:rsidRPr="003278ED" w:rsidRDefault="008C42CF" w:rsidP="007D3A2B">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dezvoltarea sistemului de învățământ superior pentru pregătirea specialiștilor în domeniile prioritare dezvoltării societății și racordarea la cerințele pieței muncii, promovarea internaționalizării învățământului superior și renovarea căminelor studențești.</w:t>
      </w:r>
    </w:p>
    <w:p w14:paraId="4DAEBCB5" w14:textId="77777777" w:rsidR="00B37822" w:rsidRPr="003278ED" w:rsidRDefault="00B37822" w:rsidP="007D3A2B">
      <w:pPr>
        <w:spacing w:after="0" w:line="240" w:lineRule="auto"/>
        <w:jc w:val="both"/>
        <w:rPr>
          <w:rFonts w:ascii="Times New Roman" w:hAnsi="Times New Roman" w:cs="Times New Roman"/>
          <w:b/>
          <w:i/>
          <w:sz w:val="24"/>
        </w:rPr>
      </w:pPr>
    </w:p>
    <w:p w14:paraId="6727202B" w14:textId="77777777" w:rsidR="00D84E28" w:rsidRPr="003278ED" w:rsidRDefault="00D84E28" w:rsidP="007D3A2B">
      <w:pPr>
        <w:spacing w:after="0" w:line="240" w:lineRule="auto"/>
        <w:ind w:firstLine="709"/>
        <w:jc w:val="both"/>
        <w:rPr>
          <w:rFonts w:ascii="Times New Roman" w:hAnsi="Times New Roman" w:cs="Times New Roman"/>
          <w:b/>
          <w:i/>
          <w:sz w:val="24"/>
        </w:rPr>
      </w:pPr>
      <w:r w:rsidRPr="003278ED">
        <w:rPr>
          <w:rFonts w:ascii="Times New Roman" w:hAnsi="Times New Roman" w:cs="Times New Roman"/>
          <w:b/>
          <w:i/>
          <w:sz w:val="24"/>
        </w:rPr>
        <w:t>Protecție socială</w:t>
      </w:r>
      <w:r w:rsidR="004B5CC1" w:rsidRPr="003278ED">
        <w:rPr>
          <w:rFonts w:ascii="Times New Roman" w:hAnsi="Times New Roman" w:cs="Times New Roman"/>
          <w:b/>
          <w:i/>
          <w:sz w:val="24"/>
        </w:rPr>
        <w:t xml:space="preserve"> (22)</w:t>
      </w:r>
    </w:p>
    <w:p w14:paraId="6309F8A5" w14:textId="5B9F188F" w:rsidR="00161B43" w:rsidRPr="003278ED" w:rsidRDefault="00161B43" w:rsidP="007D3A2B">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 xml:space="preserve">În vederea creșterii sustenabilității sectorului </w:t>
      </w:r>
      <w:r w:rsidR="00BF7EF1" w:rsidRPr="003278ED">
        <w:rPr>
          <w:rFonts w:ascii="Times New Roman" w:hAnsi="Times New Roman" w:cs="Times New Roman"/>
          <w:color w:val="000000" w:themeColor="text1"/>
          <w:sz w:val="24"/>
          <w:szCs w:val="28"/>
          <w:shd w:val="clear" w:color="auto" w:fill="FFFFFF"/>
        </w:rPr>
        <w:t>p</w:t>
      </w:r>
      <w:r w:rsidRPr="003278ED">
        <w:rPr>
          <w:rFonts w:ascii="Times New Roman" w:hAnsi="Times New Roman" w:cs="Times New Roman"/>
          <w:color w:val="000000" w:themeColor="text1"/>
          <w:sz w:val="24"/>
          <w:szCs w:val="28"/>
          <w:shd w:val="clear" w:color="auto" w:fill="FFFFFF"/>
        </w:rPr>
        <w:t xml:space="preserve">rotecție </w:t>
      </w:r>
      <w:r w:rsidR="00BF7EF1" w:rsidRPr="003278ED">
        <w:rPr>
          <w:rFonts w:ascii="Times New Roman" w:hAnsi="Times New Roman" w:cs="Times New Roman"/>
          <w:color w:val="000000" w:themeColor="text1"/>
          <w:sz w:val="24"/>
          <w:szCs w:val="28"/>
          <w:shd w:val="clear" w:color="auto" w:fill="FFFFFF"/>
        </w:rPr>
        <w:t>socială</w:t>
      </w:r>
      <w:r w:rsidRPr="003278ED">
        <w:rPr>
          <w:rFonts w:ascii="Times New Roman" w:hAnsi="Times New Roman" w:cs="Times New Roman"/>
          <w:color w:val="000000" w:themeColor="text1"/>
          <w:sz w:val="24"/>
          <w:szCs w:val="28"/>
          <w:shd w:val="clear" w:color="auto" w:fill="FFFFFF"/>
        </w:rPr>
        <w:t>, sunt necesare schimbări structurale axate pe reglementarea mecanismului de acordare a prestațiilor sociale asigurate și neasigurate, implementarea politicilor în domeniul asistenței sociale, în contextul reformei ,,</w:t>
      </w:r>
      <w:proofErr w:type="spellStart"/>
      <w:r w:rsidRPr="003278ED">
        <w:rPr>
          <w:rFonts w:ascii="Times New Roman" w:hAnsi="Times New Roman" w:cs="Times New Roman"/>
          <w:color w:val="000000" w:themeColor="text1"/>
          <w:sz w:val="24"/>
          <w:szCs w:val="28"/>
          <w:shd w:val="clear" w:color="auto" w:fill="FFFFFF"/>
        </w:rPr>
        <w:t>Restart</w:t>
      </w:r>
      <w:proofErr w:type="spellEnd"/>
      <w:r w:rsidRPr="003278ED">
        <w:rPr>
          <w:rFonts w:ascii="Times New Roman" w:hAnsi="Times New Roman" w:cs="Times New Roman"/>
          <w:color w:val="000000" w:themeColor="text1"/>
          <w:sz w:val="24"/>
          <w:szCs w:val="28"/>
          <w:shd w:val="clear" w:color="auto" w:fill="FFFFFF"/>
        </w:rPr>
        <w:t>”, pentru sporirea accesului populației la servicii sociale de calitate. R</w:t>
      </w:r>
      <w:r w:rsidR="003A0FB1" w:rsidRPr="003278ED">
        <w:rPr>
          <w:rFonts w:ascii="Times New Roman" w:hAnsi="Times New Roman" w:cs="Times New Roman"/>
          <w:color w:val="000000" w:themeColor="text1"/>
          <w:sz w:val="24"/>
          <w:szCs w:val="28"/>
          <w:shd w:val="clear" w:color="auto" w:fill="FFFFFF"/>
        </w:rPr>
        <w:t>espectiv, pentru anii 2025-2027</w:t>
      </w:r>
      <w:r w:rsidRPr="003278ED">
        <w:rPr>
          <w:rFonts w:ascii="Times New Roman" w:hAnsi="Times New Roman" w:cs="Times New Roman"/>
          <w:color w:val="000000" w:themeColor="text1"/>
          <w:sz w:val="24"/>
          <w:szCs w:val="28"/>
          <w:shd w:val="clear" w:color="auto" w:fill="FFFFFF"/>
        </w:rPr>
        <w:t xml:space="preserve"> se propune implementarea politicilor sociale demarate anterior și implementarea unor politici sociale noi.</w:t>
      </w:r>
    </w:p>
    <w:p w14:paraId="1094C8C8" w14:textId="556CD512" w:rsidR="00161B43" w:rsidRPr="003278ED" w:rsidRDefault="00161B43" w:rsidP="007D3A2B">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 xml:space="preserve">Volumul alocațiilor estimate pentru </w:t>
      </w:r>
      <w:r w:rsidR="003A0FB1" w:rsidRPr="003278ED">
        <w:rPr>
          <w:rFonts w:ascii="Times New Roman" w:hAnsi="Times New Roman" w:cs="Times New Roman"/>
          <w:color w:val="000000" w:themeColor="text1"/>
          <w:sz w:val="24"/>
          <w:szCs w:val="28"/>
          <w:shd w:val="clear" w:color="auto" w:fill="FFFFFF"/>
        </w:rPr>
        <w:t>CBTM</w:t>
      </w:r>
      <w:r w:rsidRPr="003278ED">
        <w:rPr>
          <w:rFonts w:ascii="Times New Roman" w:hAnsi="Times New Roman" w:cs="Times New Roman"/>
          <w:color w:val="000000" w:themeColor="text1"/>
          <w:sz w:val="24"/>
          <w:szCs w:val="28"/>
          <w:shd w:val="clear" w:color="auto" w:fill="FFFFFF"/>
        </w:rPr>
        <w:t xml:space="preserve"> pe</w:t>
      </w:r>
      <w:r w:rsidR="003A0FB1" w:rsidRPr="003278ED">
        <w:rPr>
          <w:rFonts w:ascii="Times New Roman" w:hAnsi="Times New Roman" w:cs="Times New Roman"/>
          <w:color w:val="000000" w:themeColor="text1"/>
          <w:sz w:val="24"/>
          <w:szCs w:val="28"/>
          <w:shd w:val="clear" w:color="auto" w:fill="FFFFFF"/>
        </w:rPr>
        <w:t>ntru</w:t>
      </w:r>
      <w:r w:rsidRPr="003278ED">
        <w:rPr>
          <w:rFonts w:ascii="Times New Roman" w:hAnsi="Times New Roman" w:cs="Times New Roman"/>
          <w:color w:val="000000" w:themeColor="text1"/>
          <w:sz w:val="24"/>
          <w:szCs w:val="28"/>
          <w:shd w:val="clear" w:color="auto" w:fill="FFFFFF"/>
        </w:rPr>
        <w:t xml:space="preserve"> anii 2025-2027 </w:t>
      </w:r>
      <w:r w:rsidR="003A0FB1" w:rsidRPr="003278ED">
        <w:rPr>
          <w:rFonts w:ascii="Times New Roman" w:hAnsi="Times New Roman" w:cs="Times New Roman"/>
          <w:color w:val="000000" w:themeColor="text1"/>
          <w:sz w:val="24"/>
          <w:szCs w:val="28"/>
          <w:shd w:val="clear" w:color="auto" w:fill="FFFFFF"/>
        </w:rPr>
        <w:t>în sectorul</w:t>
      </w:r>
      <w:r w:rsidRPr="003278ED">
        <w:rPr>
          <w:rFonts w:ascii="Times New Roman" w:hAnsi="Times New Roman" w:cs="Times New Roman"/>
          <w:color w:val="000000" w:themeColor="text1"/>
          <w:sz w:val="24"/>
          <w:szCs w:val="28"/>
          <w:shd w:val="clear" w:color="auto" w:fill="FFFFFF"/>
        </w:rPr>
        <w:t xml:space="preserve"> </w:t>
      </w:r>
      <w:r w:rsidR="003A0FB1" w:rsidRPr="003278ED">
        <w:rPr>
          <w:rFonts w:ascii="Times New Roman" w:hAnsi="Times New Roman" w:cs="Times New Roman"/>
          <w:color w:val="000000" w:themeColor="text1"/>
          <w:sz w:val="24"/>
          <w:szCs w:val="28"/>
          <w:shd w:val="clear" w:color="auto" w:fill="FFFFFF"/>
        </w:rPr>
        <w:t>p</w:t>
      </w:r>
      <w:r w:rsidRPr="003278ED">
        <w:rPr>
          <w:rFonts w:ascii="Times New Roman" w:hAnsi="Times New Roman" w:cs="Times New Roman"/>
          <w:color w:val="000000" w:themeColor="text1"/>
          <w:sz w:val="24"/>
          <w:szCs w:val="28"/>
          <w:shd w:val="clear" w:color="auto" w:fill="FFFFFF"/>
        </w:rPr>
        <w:t>rotecție socială constituie 50</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109,</w:t>
      </w:r>
      <w:r w:rsidR="003A0FB1" w:rsidRPr="003278ED">
        <w:rPr>
          <w:rFonts w:ascii="Times New Roman" w:hAnsi="Times New Roman" w:cs="Times New Roman"/>
          <w:color w:val="000000" w:themeColor="text1"/>
          <w:sz w:val="24"/>
          <w:szCs w:val="28"/>
          <w:shd w:val="clear" w:color="auto" w:fill="FFFFFF"/>
        </w:rPr>
        <w:t xml:space="preserve">7 mil. lei, 52 </w:t>
      </w:r>
      <w:r w:rsidR="003C57E1" w:rsidRPr="003278ED">
        <w:rPr>
          <w:rFonts w:ascii="Times New Roman" w:hAnsi="Times New Roman" w:cs="Times New Roman"/>
          <w:color w:val="000000" w:themeColor="text1"/>
          <w:sz w:val="24"/>
          <w:szCs w:val="28"/>
          <w:shd w:val="clear" w:color="auto" w:fill="FFFFFF"/>
        </w:rPr>
        <w:t>961,0</w:t>
      </w:r>
      <w:r w:rsidRPr="003278ED">
        <w:rPr>
          <w:rFonts w:ascii="Times New Roman" w:hAnsi="Times New Roman" w:cs="Times New Roman"/>
          <w:color w:val="000000" w:themeColor="text1"/>
          <w:sz w:val="24"/>
          <w:szCs w:val="28"/>
          <w:shd w:val="clear" w:color="auto" w:fill="FFFFFF"/>
        </w:rPr>
        <w:t xml:space="preserve"> mil.</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lei și</w:t>
      </w:r>
      <w:r w:rsidR="003A0FB1"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respectiv</w:t>
      </w:r>
      <w:r w:rsidR="003A0FB1"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56</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 xml:space="preserve">153,6 mil. lei, </w:t>
      </w:r>
      <w:r w:rsidR="003A0FB1" w:rsidRPr="003278ED">
        <w:rPr>
          <w:rFonts w:ascii="Times New Roman" w:hAnsi="Times New Roman" w:cs="Times New Roman"/>
          <w:color w:val="000000" w:themeColor="text1"/>
          <w:sz w:val="24"/>
          <w:szCs w:val="28"/>
          <w:shd w:val="clear" w:color="auto" w:fill="FFFFFF"/>
        </w:rPr>
        <w:br/>
      </w:r>
      <w:r w:rsidRPr="003278ED">
        <w:rPr>
          <w:rFonts w:ascii="Times New Roman" w:hAnsi="Times New Roman" w:cs="Times New Roman"/>
          <w:color w:val="000000" w:themeColor="text1"/>
          <w:sz w:val="24"/>
          <w:szCs w:val="28"/>
          <w:shd w:val="clear" w:color="auto" w:fill="FFFFFF"/>
        </w:rPr>
        <w:t>cu 3831,7 mil.</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lei (108,2%), 3675,0 mil.</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lei (107,5%) și</w:t>
      </w:r>
      <w:r w:rsidR="003A0FB1"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respectiv</w:t>
      </w:r>
      <w:r w:rsidR="003A0FB1"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3748,6 mil.</w:t>
      </w:r>
      <w:r w:rsidR="003A0FB1" w:rsidRPr="003278ED">
        <w:rPr>
          <w:rFonts w:ascii="Times New Roman" w:hAnsi="Times New Roman" w:cs="Times New Roman"/>
          <w:color w:val="000000" w:themeColor="text1"/>
          <w:sz w:val="24"/>
          <w:szCs w:val="28"/>
          <w:shd w:val="clear" w:color="auto" w:fill="FFFFFF"/>
        </w:rPr>
        <w:t xml:space="preserve"> </w:t>
      </w:r>
      <w:r w:rsidRPr="003278ED">
        <w:rPr>
          <w:rFonts w:ascii="Times New Roman" w:hAnsi="Times New Roman" w:cs="Times New Roman"/>
          <w:color w:val="000000" w:themeColor="text1"/>
          <w:sz w:val="24"/>
          <w:szCs w:val="28"/>
          <w:shd w:val="clear" w:color="auto" w:fill="FFFFFF"/>
        </w:rPr>
        <w:t>lei (107,2%) mai mult față de volumul cheltuielilor estimat pentru anii 2024-2026, aprobat prin Hotărârea Guvernului nr. 408/2023.</w:t>
      </w:r>
    </w:p>
    <w:p w14:paraId="36E75748" w14:textId="22C03311" w:rsidR="00BF336B" w:rsidRPr="003278ED" w:rsidRDefault="00161B43" w:rsidP="007D3A2B">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Principalii factori care au influențat majorarea cheltuielilor sunt implementarea reformei sistemului d</w:t>
      </w:r>
      <w:r w:rsidR="004F2C9C" w:rsidRPr="003278ED">
        <w:rPr>
          <w:rFonts w:ascii="Times New Roman" w:hAnsi="Times New Roman" w:cs="Times New Roman"/>
          <w:color w:val="000000" w:themeColor="text1"/>
          <w:sz w:val="24"/>
          <w:szCs w:val="28"/>
          <w:shd w:val="clear" w:color="auto" w:fill="FFFFFF"/>
        </w:rPr>
        <w:t>e protecție socială ,,</w:t>
      </w:r>
      <w:proofErr w:type="spellStart"/>
      <w:r w:rsidR="004F2C9C" w:rsidRPr="003278ED">
        <w:rPr>
          <w:rFonts w:ascii="Times New Roman" w:hAnsi="Times New Roman" w:cs="Times New Roman"/>
          <w:color w:val="000000" w:themeColor="text1"/>
          <w:sz w:val="24"/>
          <w:szCs w:val="28"/>
          <w:shd w:val="clear" w:color="auto" w:fill="FFFFFF"/>
        </w:rPr>
        <w:t>Restart</w:t>
      </w:r>
      <w:proofErr w:type="spellEnd"/>
      <w:r w:rsidR="004F2C9C" w:rsidRPr="003278ED">
        <w:rPr>
          <w:rFonts w:ascii="Times New Roman" w:hAnsi="Times New Roman" w:cs="Times New Roman"/>
          <w:color w:val="000000" w:themeColor="text1"/>
          <w:sz w:val="24"/>
          <w:szCs w:val="28"/>
          <w:shd w:val="clear" w:color="auto" w:fill="FFFFFF"/>
        </w:rPr>
        <w:t xml:space="preserve">”, </w:t>
      </w:r>
      <w:r w:rsidR="003A0FB1" w:rsidRPr="003278ED">
        <w:rPr>
          <w:rFonts w:ascii="Times New Roman" w:hAnsi="Times New Roman" w:cs="Times New Roman"/>
          <w:color w:val="000000" w:themeColor="text1"/>
          <w:sz w:val="24"/>
          <w:szCs w:val="28"/>
          <w:shd w:val="clear" w:color="auto" w:fill="FFFFFF"/>
        </w:rPr>
        <w:t>precum</w:t>
      </w:r>
      <w:r w:rsidRPr="003278ED">
        <w:rPr>
          <w:rFonts w:ascii="Times New Roman" w:hAnsi="Times New Roman" w:cs="Times New Roman"/>
          <w:color w:val="000000" w:themeColor="text1"/>
          <w:sz w:val="24"/>
          <w:szCs w:val="28"/>
          <w:shd w:val="clear" w:color="auto" w:fill="FFFFFF"/>
        </w:rPr>
        <w:t xml:space="preserve"> și politicile care au </w:t>
      </w:r>
      <w:r w:rsidR="003A0FB1" w:rsidRPr="003278ED">
        <w:rPr>
          <w:rFonts w:ascii="Times New Roman" w:hAnsi="Times New Roman" w:cs="Times New Roman"/>
          <w:color w:val="000000" w:themeColor="text1"/>
          <w:sz w:val="24"/>
          <w:szCs w:val="28"/>
          <w:shd w:val="clear" w:color="auto" w:fill="FFFFFF"/>
        </w:rPr>
        <w:t>determinat</w:t>
      </w:r>
      <w:r w:rsidRPr="003278ED">
        <w:rPr>
          <w:rFonts w:ascii="Times New Roman" w:hAnsi="Times New Roman" w:cs="Times New Roman"/>
          <w:color w:val="000000" w:themeColor="text1"/>
          <w:sz w:val="24"/>
          <w:szCs w:val="28"/>
          <w:shd w:val="clear" w:color="auto" w:fill="FFFFFF"/>
        </w:rPr>
        <w:t xml:space="preserve"> majorarea alocațiilor/prestațiilor sociale.</w:t>
      </w:r>
    </w:p>
    <w:p w14:paraId="7A4B4F03" w14:textId="4273D44A" w:rsidR="00626E03" w:rsidRPr="003278ED" w:rsidRDefault="00626E03" w:rsidP="007D3A2B">
      <w:pPr>
        <w:spacing w:after="0" w:line="240" w:lineRule="auto"/>
        <w:ind w:firstLine="720"/>
        <w:jc w:val="both"/>
        <w:rPr>
          <w:rFonts w:ascii="Times New Roman" w:hAnsi="Times New Roman" w:cs="Times New Roman"/>
          <w:i/>
          <w:color w:val="000000" w:themeColor="text1"/>
          <w:sz w:val="24"/>
          <w:szCs w:val="28"/>
          <w:shd w:val="clear" w:color="auto" w:fill="FFFFFF"/>
        </w:rPr>
      </w:pPr>
      <w:r w:rsidRPr="003278ED">
        <w:rPr>
          <w:rFonts w:ascii="Times New Roman" w:hAnsi="Times New Roman" w:cs="Times New Roman"/>
          <w:i/>
          <w:color w:val="000000" w:themeColor="text1"/>
          <w:sz w:val="24"/>
          <w:szCs w:val="28"/>
          <w:shd w:val="clear" w:color="auto" w:fill="FFFFFF"/>
        </w:rPr>
        <w:t>Principalele măsuri și acțiuni planificate în perioada 2025-2027:</w:t>
      </w:r>
    </w:p>
    <w:p w14:paraId="62E4E259" w14:textId="55E0F065" w:rsidR="00626E03" w:rsidRPr="003278ED" w:rsidRDefault="002C1920"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î</w:t>
      </w:r>
      <w:r w:rsidR="00626E03" w:rsidRPr="003278ED">
        <w:rPr>
          <w:rFonts w:ascii="Times New Roman" w:hAnsi="Times New Roman" w:cs="Times New Roman"/>
          <w:color w:val="000000" w:themeColor="text1"/>
          <w:sz w:val="24"/>
          <w:szCs w:val="28"/>
          <w:shd w:val="clear" w:color="auto" w:fill="FFFFFF"/>
        </w:rPr>
        <w:t>mbunătățirea sistemului de asistență socială, inclusiv a prestațiilor sociale pentru a răspunde nevoilor/necesităților categorii</w:t>
      </w:r>
      <w:r w:rsidRPr="003278ED">
        <w:rPr>
          <w:rFonts w:ascii="Times New Roman" w:hAnsi="Times New Roman" w:cs="Times New Roman"/>
          <w:color w:val="000000" w:themeColor="text1"/>
          <w:sz w:val="24"/>
          <w:szCs w:val="28"/>
          <w:shd w:val="clear" w:color="auto" w:fill="FFFFFF"/>
        </w:rPr>
        <w:t>lor defavorizate ale populației;</w:t>
      </w:r>
      <w:r w:rsidR="00626E03" w:rsidRPr="003278ED">
        <w:rPr>
          <w:rFonts w:ascii="Times New Roman" w:hAnsi="Times New Roman" w:cs="Times New Roman"/>
          <w:color w:val="000000" w:themeColor="text1"/>
          <w:sz w:val="24"/>
          <w:szCs w:val="28"/>
          <w:shd w:val="clear" w:color="auto" w:fill="FFFFFF"/>
        </w:rPr>
        <w:t xml:space="preserve"> </w:t>
      </w:r>
    </w:p>
    <w:p w14:paraId="01CC5BC9" w14:textId="43954E9F" w:rsidR="00626E03" w:rsidRPr="003278ED" w:rsidRDefault="002C1920"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lastRenderedPageBreak/>
        <w:t>a</w:t>
      </w:r>
      <w:r w:rsidR="00626E03" w:rsidRPr="003278ED">
        <w:rPr>
          <w:rFonts w:ascii="Times New Roman" w:hAnsi="Times New Roman" w:cs="Times New Roman"/>
          <w:color w:val="000000" w:themeColor="text1"/>
          <w:sz w:val="24"/>
          <w:szCs w:val="28"/>
          <w:shd w:val="clear" w:color="auto" w:fill="FFFFFF"/>
        </w:rPr>
        <w:t xml:space="preserve">sigurarea prestării uniforme și echitabile a serviciilor sociale prin intermediul </w:t>
      </w:r>
      <w:r w:rsidRPr="003278ED">
        <w:rPr>
          <w:rFonts w:ascii="Times New Roman" w:hAnsi="Times New Roman" w:cs="Times New Roman"/>
          <w:color w:val="000000" w:themeColor="text1"/>
          <w:sz w:val="24"/>
          <w:szCs w:val="28"/>
          <w:shd w:val="clear" w:color="auto" w:fill="FFFFFF"/>
        </w:rPr>
        <w:t>a</w:t>
      </w:r>
      <w:r w:rsidR="00626E03" w:rsidRPr="003278ED">
        <w:rPr>
          <w:rFonts w:ascii="Times New Roman" w:hAnsi="Times New Roman" w:cs="Times New Roman"/>
          <w:color w:val="000000" w:themeColor="text1"/>
          <w:sz w:val="24"/>
          <w:szCs w:val="28"/>
          <w:shd w:val="clear" w:color="auto" w:fill="FFFFFF"/>
        </w:rPr>
        <w:t xml:space="preserve">gențiilor </w:t>
      </w:r>
      <w:r w:rsidRPr="003278ED">
        <w:rPr>
          <w:rFonts w:ascii="Times New Roman" w:hAnsi="Times New Roman" w:cs="Times New Roman"/>
          <w:color w:val="000000" w:themeColor="text1"/>
          <w:sz w:val="24"/>
          <w:szCs w:val="28"/>
          <w:shd w:val="clear" w:color="auto" w:fill="FFFFFF"/>
        </w:rPr>
        <w:t>t</w:t>
      </w:r>
      <w:r w:rsidR="00626E03" w:rsidRPr="003278ED">
        <w:rPr>
          <w:rFonts w:ascii="Times New Roman" w:hAnsi="Times New Roman" w:cs="Times New Roman"/>
          <w:color w:val="000000" w:themeColor="text1"/>
          <w:sz w:val="24"/>
          <w:szCs w:val="28"/>
          <w:shd w:val="clear" w:color="auto" w:fill="FFFFFF"/>
        </w:rPr>
        <w:t xml:space="preserve">eritoriale de </w:t>
      </w:r>
      <w:r w:rsidRPr="003278ED">
        <w:rPr>
          <w:rFonts w:ascii="Times New Roman" w:hAnsi="Times New Roman" w:cs="Times New Roman"/>
          <w:color w:val="000000" w:themeColor="text1"/>
          <w:sz w:val="24"/>
          <w:szCs w:val="28"/>
          <w:shd w:val="clear" w:color="auto" w:fill="FFFFFF"/>
        </w:rPr>
        <w:t>a</w:t>
      </w:r>
      <w:r w:rsidR="00626E03" w:rsidRPr="003278ED">
        <w:rPr>
          <w:rFonts w:ascii="Times New Roman" w:hAnsi="Times New Roman" w:cs="Times New Roman"/>
          <w:color w:val="000000" w:themeColor="text1"/>
          <w:sz w:val="24"/>
          <w:szCs w:val="28"/>
          <w:shd w:val="clear" w:color="auto" w:fill="FFFFFF"/>
        </w:rPr>
        <w:t xml:space="preserve">sistență </w:t>
      </w:r>
      <w:r w:rsidRPr="003278ED">
        <w:rPr>
          <w:rFonts w:ascii="Times New Roman" w:hAnsi="Times New Roman" w:cs="Times New Roman"/>
          <w:color w:val="000000" w:themeColor="text1"/>
          <w:sz w:val="24"/>
          <w:szCs w:val="28"/>
          <w:shd w:val="clear" w:color="auto" w:fill="FFFFFF"/>
        </w:rPr>
        <w:t>s</w:t>
      </w:r>
      <w:r w:rsidR="00626E03" w:rsidRPr="003278ED">
        <w:rPr>
          <w:rFonts w:ascii="Times New Roman" w:hAnsi="Times New Roman" w:cs="Times New Roman"/>
          <w:color w:val="000000" w:themeColor="text1"/>
          <w:sz w:val="24"/>
          <w:szCs w:val="28"/>
          <w:shd w:val="clear" w:color="auto" w:fill="FFFFFF"/>
        </w:rPr>
        <w:t>ocială, inclusiv prin racordarea la standardele minime de calitate și</w:t>
      </w:r>
      <w:r w:rsidRPr="003278ED">
        <w:rPr>
          <w:rFonts w:ascii="Times New Roman" w:hAnsi="Times New Roman" w:cs="Times New Roman"/>
          <w:color w:val="000000" w:themeColor="text1"/>
          <w:sz w:val="24"/>
          <w:szCs w:val="28"/>
          <w:shd w:val="clear" w:color="auto" w:fill="FFFFFF"/>
        </w:rPr>
        <w:t xml:space="preserve"> la </w:t>
      </w:r>
      <w:r w:rsidR="00626E03" w:rsidRPr="003278ED">
        <w:rPr>
          <w:rFonts w:ascii="Times New Roman" w:hAnsi="Times New Roman" w:cs="Times New Roman"/>
          <w:color w:val="000000" w:themeColor="text1"/>
          <w:sz w:val="24"/>
          <w:szCs w:val="28"/>
          <w:shd w:val="clear" w:color="auto" w:fill="FFFFFF"/>
        </w:rPr>
        <w:t xml:space="preserve"> necesitățile categor</w:t>
      </w:r>
      <w:r w:rsidRPr="003278ED">
        <w:rPr>
          <w:rFonts w:ascii="Times New Roman" w:hAnsi="Times New Roman" w:cs="Times New Roman"/>
          <w:color w:val="000000" w:themeColor="text1"/>
          <w:sz w:val="24"/>
          <w:szCs w:val="28"/>
          <w:shd w:val="clear" w:color="auto" w:fill="FFFFFF"/>
        </w:rPr>
        <w:t>iilor defavorizate de populație;</w:t>
      </w:r>
    </w:p>
    <w:p w14:paraId="0393205F" w14:textId="77777777" w:rsidR="002C1920" w:rsidRPr="003278ED" w:rsidRDefault="002C1920"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p</w:t>
      </w:r>
      <w:r w:rsidR="00626E03" w:rsidRPr="003278ED">
        <w:rPr>
          <w:rFonts w:ascii="Times New Roman" w:hAnsi="Times New Roman" w:cs="Times New Roman"/>
          <w:color w:val="000000" w:themeColor="text1"/>
          <w:sz w:val="24"/>
          <w:szCs w:val="28"/>
          <w:shd w:val="clear" w:color="auto" w:fill="FFFFFF"/>
        </w:rPr>
        <w:t>revenirea și combaterea violenței față de femei și a violenței în familie</w:t>
      </w:r>
      <w:r w:rsidRPr="003278ED">
        <w:rPr>
          <w:rFonts w:ascii="Times New Roman" w:hAnsi="Times New Roman" w:cs="Times New Roman"/>
          <w:color w:val="000000" w:themeColor="text1"/>
          <w:sz w:val="24"/>
          <w:szCs w:val="28"/>
          <w:shd w:val="clear" w:color="auto" w:fill="FFFFFF"/>
        </w:rPr>
        <w:t>;</w:t>
      </w:r>
    </w:p>
    <w:p w14:paraId="312C8AC8" w14:textId="4BF8DCE3" w:rsidR="006E691E" w:rsidRPr="003278ED" w:rsidRDefault="002C1920"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p</w:t>
      </w:r>
      <w:r w:rsidR="00626E03" w:rsidRPr="003278ED">
        <w:rPr>
          <w:rFonts w:ascii="Times New Roman" w:hAnsi="Times New Roman" w:cs="Times New Roman"/>
          <w:color w:val="000000" w:themeColor="text1"/>
          <w:sz w:val="24"/>
          <w:szCs w:val="28"/>
          <w:shd w:val="clear" w:color="auto" w:fill="FFFFFF"/>
        </w:rPr>
        <w:t>romovarea și asigurarea egalității între femei și bărbați</w:t>
      </w:r>
      <w:r w:rsidRPr="003278ED">
        <w:rPr>
          <w:rFonts w:ascii="Times New Roman" w:hAnsi="Times New Roman" w:cs="Times New Roman"/>
          <w:color w:val="000000" w:themeColor="text1"/>
          <w:sz w:val="24"/>
          <w:szCs w:val="28"/>
          <w:shd w:val="clear" w:color="auto" w:fill="FFFFFF"/>
        </w:rPr>
        <w:t>;</w:t>
      </w:r>
    </w:p>
    <w:p w14:paraId="640C2897" w14:textId="41CA454E" w:rsidR="00161B43" w:rsidRPr="003278ED" w:rsidRDefault="002C1920"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d</w:t>
      </w:r>
      <w:r w:rsidR="00626E03" w:rsidRPr="003278ED">
        <w:rPr>
          <w:rFonts w:ascii="Times New Roman" w:hAnsi="Times New Roman" w:cs="Times New Roman"/>
          <w:color w:val="000000" w:themeColor="text1"/>
          <w:sz w:val="24"/>
          <w:szCs w:val="28"/>
          <w:shd w:val="clear" w:color="auto" w:fill="FFFFFF"/>
        </w:rPr>
        <w:t>igitalizarea serviciilor de asistență socială</w:t>
      </w:r>
      <w:r w:rsidRPr="003278ED">
        <w:rPr>
          <w:rFonts w:ascii="Times New Roman" w:hAnsi="Times New Roman" w:cs="Times New Roman"/>
          <w:color w:val="000000" w:themeColor="text1"/>
          <w:sz w:val="24"/>
          <w:szCs w:val="28"/>
          <w:shd w:val="clear" w:color="auto" w:fill="FFFFFF"/>
        </w:rPr>
        <w:t xml:space="preserve"> prestate</w:t>
      </w:r>
      <w:r w:rsidR="00626E03" w:rsidRPr="003278ED">
        <w:rPr>
          <w:rFonts w:ascii="Times New Roman" w:hAnsi="Times New Roman" w:cs="Times New Roman"/>
          <w:color w:val="000000" w:themeColor="text1"/>
          <w:sz w:val="24"/>
          <w:szCs w:val="28"/>
          <w:shd w:val="clear" w:color="auto" w:fill="FFFFFF"/>
        </w:rPr>
        <w:t>.</w:t>
      </w:r>
    </w:p>
    <w:p w14:paraId="2967E773" w14:textId="77777777" w:rsidR="006E691E" w:rsidRPr="003278ED" w:rsidRDefault="006E691E" w:rsidP="00072588">
      <w:pPr>
        <w:widowControl w:val="0"/>
        <w:tabs>
          <w:tab w:val="left" w:pos="360"/>
          <w:tab w:val="left" w:pos="709"/>
          <w:tab w:val="left" w:pos="993"/>
        </w:tabs>
        <w:spacing w:after="0" w:line="240" w:lineRule="auto"/>
        <w:ind w:firstLine="720"/>
        <w:jc w:val="both"/>
        <w:rPr>
          <w:rFonts w:ascii="Times New Roman" w:hAnsi="Times New Roman" w:cs="Times New Roman"/>
          <w:color w:val="000000" w:themeColor="text1"/>
          <w:sz w:val="24"/>
          <w:szCs w:val="28"/>
          <w:shd w:val="clear" w:color="auto" w:fill="FFFFFF"/>
        </w:rPr>
      </w:pPr>
    </w:p>
    <w:p w14:paraId="417E14FA" w14:textId="77777777" w:rsidR="00D84E28" w:rsidRPr="003278ED" w:rsidRDefault="00D84E28" w:rsidP="00072588">
      <w:pPr>
        <w:spacing w:after="0" w:line="240" w:lineRule="auto"/>
        <w:ind w:firstLine="720"/>
        <w:jc w:val="both"/>
        <w:rPr>
          <w:rFonts w:ascii="Times New Roman" w:hAnsi="Times New Roman" w:cs="Times New Roman"/>
          <w:b/>
          <w:i/>
          <w:sz w:val="24"/>
        </w:rPr>
      </w:pPr>
      <w:r w:rsidRPr="003278ED">
        <w:rPr>
          <w:rFonts w:ascii="Times New Roman" w:hAnsi="Times New Roman" w:cs="Times New Roman"/>
          <w:b/>
          <w:i/>
          <w:sz w:val="24"/>
        </w:rPr>
        <w:t>Știință și inovare</w:t>
      </w:r>
      <w:r w:rsidR="004B5CC1" w:rsidRPr="003278ED">
        <w:rPr>
          <w:rFonts w:ascii="Times New Roman" w:hAnsi="Times New Roman" w:cs="Times New Roman"/>
          <w:b/>
          <w:i/>
          <w:sz w:val="24"/>
        </w:rPr>
        <w:t xml:space="preserve"> (23)</w:t>
      </w:r>
    </w:p>
    <w:p w14:paraId="1CF798C8" w14:textId="07D18CCB" w:rsidR="00BC4C71" w:rsidRPr="003278ED" w:rsidRDefault="00BC4C71" w:rsidP="00072588">
      <w:pPr>
        <w:spacing w:after="0" w:line="240" w:lineRule="auto"/>
        <w:ind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 xml:space="preserve">Cercetarea </w:t>
      </w:r>
      <w:proofErr w:type="spellStart"/>
      <w:r w:rsidRPr="003278ED">
        <w:rPr>
          <w:rFonts w:ascii="Times New Roman" w:hAnsi="Times New Roman" w:cs="Times New Roman"/>
          <w:color w:val="000000" w:themeColor="text1"/>
          <w:sz w:val="24"/>
          <w:szCs w:val="28"/>
          <w:shd w:val="clear" w:color="auto" w:fill="FFFFFF"/>
        </w:rPr>
        <w:t>şi</w:t>
      </w:r>
      <w:proofErr w:type="spellEnd"/>
      <w:r w:rsidRPr="003278ED">
        <w:rPr>
          <w:rFonts w:ascii="Times New Roman" w:hAnsi="Times New Roman" w:cs="Times New Roman"/>
          <w:color w:val="000000" w:themeColor="text1"/>
          <w:sz w:val="24"/>
          <w:szCs w:val="28"/>
          <w:shd w:val="clear" w:color="auto" w:fill="FFFFFF"/>
        </w:rPr>
        <w:t xml:space="preserve"> inovarea reprezintă motorul creșterii economice </w:t>
      </w:r>
      <w:proofErr w:type="spellStart"/>
      <w:r w:rsidRPr="003278ED">
        <w:rPr>
          <w:rFonts w:ascii="Times New Roman" w:hAnsi="Times New Roman" w:cs="Times New Roman"/>
          <w:color w:val="000000" w:themeColor="text1"/>
          <w:sz w:val="24"/>
          <w:szCs w:val="28"/>
          <w:shd w:val="clear" w:color="auto" w:fill="FFFFFF"/>
        </w:rPr>
        <w:t>şi</w:t>
      </w:r>
      <w:proofErr w:type="spellEnd"/>
      <w:r w:rsidRPr="003278ED">
        <w:rPr>
          <w:rFonts w:ascii="Times New Roman" w:hAnsi="Times New Roman" w:cs="Times New Roman"/>
          <w:color w:val="000000" w:themeColor="text1"/>
          <w:sz w:val="24"/>
          <w:szCs w:val="28"/>
          <w:shd w:val="clear" w:color="auto" w:fill="FFFFFF"/>
        </w:rPr>
        <w:t xml:space="preserve"> generatorul de soluții pentru depășirea provocărilor cu care se confruntă societatea. Gradul de dezvoltare a acestor domenii influențează direct atât competitivitatea economică a unei țări, cât </w:t>
      </w:r>
      <w:proofErr w:type="spellStart"/>
      <w:r w:rsidRPr="003278ED">
        <w:rPr>
          <w:rFonts w:ascii="Times New Roman" w:hAnsi="Times New Roman" w:cs="Times New Roman"/>
          <w:color w:val="000000" w:themeColor="text1"/>
          <w:sz w:val="24"/>
          <w:szCs w:val="28"/>
          <w:shd w:val="clear" w:color="auto" w:fill="FFFFFF"/>
        </w:rPr>
        <w:t>şi</w:t>
      </w:r>
      <w:proofErr w:type="spellEnd"/>
      <w:r w:rsidRPr="003278ED">
        <w:rPr>
          <w:rFonts w:ascii="Times New Roman" w:hAnsi="Times New Roman" w:cs="Times New Roman"/>
          <w:color w:val="000000" w:themeColor="text1"/>
          <w:sz w:val="24"/>
          <w:szCs w:val="28"/>
          <w:shd w:val="clear" w:color="auto" w:fill="FFFFFF"/>
        </w:rPr>
        <w:t xml:space="preserve"> nivelul de rezistență al populației față de consecințele schimbărilor prin care trece umanitatea. Respectiv, dezvoltarea sectorului cercetării și inovării este un obiectiv prioritar al Guvernului</w:t>
      </w:r>
      <w:r w:rsidR="002C1920"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 xml:space="preserve"> ceea ce impune imperativul de dezvoltare a științei, cercetării și inovării.</w:t>
      </w:r>
    </w:p>
    <w:p w14:paraId="61AD01F4" w14:textId="0D12F7DA" w:rsidR="00BC4C71" w:rsidRPr="003278ED" w:rsidRDefault="00BC4C71" w:rsidP="00072588">
      <w:pPr>
        <w:spacing w:after="0" w:line="240" w:lineRule="auto"/>
        <w:ind w:firstLine="720"/>
        <w:jc w:val="both"/>
        <w:rPr>
          <w:rFonts w:ascii="Times New Roman" w:hAnsi="Times New Roman" w:cs="Times New Roman"/>
          <w:i/>
          <w:color w:val="000000" w:themeColor="text1"/>
          <w:sz w:val="24"/>
          <w:szCs w:val="28"/>
          <w:shd w:val="clear" w:color="auto" w:fill="FFFFFF"/>
        </w:rPr>
      </w:pPr>
      <w:r w:rsidRPr="003278ED">
        <w:rPr>
          <w:rFonts w:ascii="Times New Roman" w:hAnsi="Times New Roman" w:cs="Times New Roman"/>
          <w:i/>
          <w:color w:val="000000" w:themeColor="text1"/>
          <w:sz w:val="24"/>
          <w:szCs w:val="28"/>
          <w:shd w:val="clear" w:color="auto" w:fill="FFFFFF"/>
        </w:rPr>
        <w:t xml:space="preserve">Principalele măsuri și acțiuni planificate în perioada 2025-2027: </w:t>
      </w:r>
    </w:p>
    <w:p w14:paraId="4530CA8D" w14:textId="77777777" w:rsidR="0078782F" w:rsidRPr="003278ED" w:rsidRDefault="00BC4C71"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realizarea proiectelor de cercetare în scop</w:t>
      </w:r>
      <w:r w:rsidR="0078782F" w:rsidRPr="003278ED">
        <w:rPr>
          <w:rFonts w:ascii="Times New Roman" w:hAnsi="Times New Roman" w:cs="Times New Roman"/>
          <w:color w:val="000000" w:themeColor="text1"/>
          <w:sz w:val="24"/>
          <w:szCs w:val="28"/>
          <w:shd w:val="clear" w:color="auto" w:fill="FFFFFF"/>
        </w:rPr>
        <w:t xml:space="preserve">ul </w:t>
      </w:r>
      <w:r w:rsidRPr="003278ED">
        <w:rPr>
          <w:rFonts w:ascii="Times New Roman" w:hAnsi="Times New Roman" w:cs="Times New Roman"/>
          <w:color w:val="000000" w:themeColor="text1"/>
          <w:sz w:val="24"/>
          <w:szCs w:val="28"/>
          <w:shd w:val="clear" w:color="auto" w:fill="FFFFFF"/>
        </w:rPr>
        <w:t xml:space="preserve">acumulării </w:t>
      </w:r>
      <w:proofErr w:type="spellStart"/>
      <w:r w:rsidRPr="003278ED">
        <w:rPr>
          <w:rFonts w:ascii="Times New Roman" w:hAnsi="Times New Roman" w:cs="Times New Roman"/>
          <w:color w:val="000000" w:themeColor="text1"/>
          <w:sz w:val="24"/>
          <w:szCs w:val="28"/>
          <w:shd w:val="clear" w:color="auto" w:fill="FFFFFF"/>
        </w:rPr>
        <w:t>şi</w:t>
      </w:r>
      <w:proofErr w:type="spellEnd"/>
      <w:r w:rsidRPr="003278ED">
        <w:rPr>
          <w:rFonts w:ascii="Times New Roman" w:hAnsi="Times New Roman" w:cs="Times New Roman"/>
          <w:color w:val="000000" w:themeColor="text1"/>
          <w:sz w:val="24"/>
          <w:szCs w:val="28"/>
          <w:shd w:val="clear" w:color="auto" w:fill="FFFFFF"/>
        </w:rPr>
        <w:t xml:space="preserve"> utilizării cunoștințelor noi pentru soluționarea probleme</w:t>
      </w:r>
      <w:r w:rsidR="0078782F" w:rsidRPr="003278ED">
        <w:rPr>
          <w:rFonts w:ascii="Times New Roman" w:hAnsi="Times New Roman" w:cs="Times New Roman"/>
          <w:color w:val="000000" w:themeColor="text1"/>
          <w:sz w:val="24"/>
          <w:szCs w:val="28"/>
          <w:shd w:val="clear" w:color="auto" w:fill="FFFFFF"/>
        </w:rPr>
        <w:t>lor practice și crearea</w:t>
      </w:r>
      <w:r w:rsidRPr="003278ED">
        <w:rPr>
          <w:rFonts w:ascii="Times New Roman" w:hAnsi="Times New Roman" w:cs="Times New Roman"/>
          <w:color w:val="000000" w:themeColor="text1"/>
          <w:sz w:val="24"/>
          <w:szCs w:val="28"/>
          <w:shd w:val="clear" w:color="auto" w:fill="FFFFFF"/>
        </w:rPr>
        <w:t xml:space="preserve"> de noi produse, tehnologii </w:t>
      </w:r>
      <w:proofErr w:type="spellStart"/>
      <w:r w:rsidRPr="003278ED">
        <w:rPr>
          <w:rFonts w:ascii="Times New Roman" w:hAnsi="Times New Roman" w:cs="Times New Roman"/>
          <w:color w:val="000000" w:themeColor="text1"/>
          <w:sz w:val="24"/>
          <w:szCs w:val="28"/>
          <w:shd w:val="clear" w:color="auto" w:fill="FFFFFF"/>
        </w:rPr>
        <w:t>şi</w:t>
      </w:r>
      <w:proofErr w:type="spellEnd"/>
      <w:r w:rsidRPr="003278ED">
        <w:rPr>
          <w:rFonts w:ascii="Times New Roman" w:hAnsi="Times New Roman" w:cs="Times New Roman"/>
          <w:color w:val="000000" w:themeColor="text1"/>
          <w:sz w:val="24"/>
          <w:szCs w:val="28"/>
          <w:shd w:val="clear" w:color="auto" w:fill="FFFFFF"/>
        </w:rPr>
        <w:t xml:space="preserve"> servicii</w:t>
      </w:r>
      <w:r w:rsidR="0078782F" w:rsidRPr="003278ED">
        <w:rPr>
          <w:rFonts w:ascii="Times New Roman" w:hAnsi="Times New Roman" w:cs="Times New Roman"/>
          <w:color w:val="000000" w:themeColor="text1"/>
          <w:sz w:val="24"/>
          <w:szCs w:val="28"/>
          <w:shd w:val="clear" w:color="auto" w:fill="FFFFFF"/>
        </w:rPr>
        <w:t>;</w:t>
      </w:r>
    </w:p>
    <w:p w14:paraId="7BD7660D" w14:textId="77777777" w:rsidR="0078782F" w:rsidRPr="003278ED" w:rsidRDefault="00BC4C71"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asigurarea participării la parteneriatele organizate în cadrul Programului-cadru „Orizont Europa”;</w:t>
      </w:r>
    </w:p>
    <w:p w14:paraId="1172F0F8" w14:textId="475B448C" w:rsidR="0078782F" w:rsidRPr="003278ED" w:rsidRDefault="00BC4C71"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 xml:space="preserve">crearea și asigurarea funcționalității platformei </w:t>
      </w:r>
      <w:r w:rsidR="002C1920"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E-cercetare</w:t>
      </w:r>
      <w:r w:rsidR="002C1920" w:rsidRPr="003278ED">
        <w:rPr>
          <w:rFonts w:ascii="Times New Roman" w:hAnsi="Times New Roman" w:cs="Times New Roman"/>
          <w:color w:val="000000" w:themeColor="text1"/>
          <w:sz w:val="24"/>
          <w:szCs w:val="28"/>
          <w:shd w:val="clear" w:color="auto" w:fill="FFFFFF"/>
        </w:rPr>
        <w:t>”</w:t>
      </w:r>
      <w:r w:rsidRPr="003278ED">
        <w:rPr>
          <w:rFonts w:ascii="Times New Roman" w:hAnsi="Times New Roman" w:cs="Times New Roman"/>
          <w:color w:val="000000" w:themeColor="text1"/>
          <w:sz w:val="24"/>
          <w:szCs w:val="28"/>
          <w:shd w:val="clear" w:color="auto" w:fill="FFFFFF"/>
        </w:rPr>
        <w:t>;</w:t>
      </w:r>
    </w:p>
    <w:p w14:paraId="737CE57E" w14:textId="56B57BF1" w:rsidR="0098731F" w:rsidRPr="003278ED" w:rsidRDefault="00BC4C71" w:rsidP="00072588">
      <w:pPr>
        <w:widowControl w:val="0"/>
        <w:numPr>
          <w:ilvl w:val="0"/>
          <w:numId w:val="23"/>
        </w:numPr>
        <w:tabs>
          <w:tab w:val="left" w:pos="360"/>
          <w:tab w:val="left" w:pos="709"/>
          <w:tab w:val="left" w:pos="993"/>
        </w:tabs>
        <w:spacing w:after="0" w:line="240" w:lineRule="auto"/>
        <w:ind w:left="0" w:firstLine="720"/>
        <w:jc w:val="both"/>
        <w:rPr>
          <w:rFonts w:ascii="Times New Roman" w:hAnsi="Times New Roman" w:cs="Times New Roman"/>
          <w:color w:val="000000" w:themeColor="text1"/>
          <w:sz w:val="24"/>
          <w:szCs w:val="28"/>
          <w:shd w:val="clear" w:color="auto" w:fill="FFFFFF"/>
        </w:rPr>
      </w:pPr>
      <w:r w:rsidRPr="003278ED">
        <w:rPr>
          <w:rFonts w:ascii="Times New Roman" w:hAnsi="Times New Roman" w:cs="Times New Roman"/>
          <w:color w:val="000000" w:themeColor="text1"/>
          <w:sz w:val="24"/>
          <w:szCs w:val="28"/>
          <w:shd w:val="clear" w:color="auto" w:fill="FFFFFF"/>
        </w:rPr>
        <w:t>aprobarea și implementarea documentului de politici privind dezvoltarea infrastructurii de cercetare.</w:t>
      </w:r>
    </w:p>
    <w:p w14:paraId="197D053D" w14:textId="77777777" w:rsidR="0098731F" w:rsidRPr="003278ED" w:rsidRDefault="0098731F" w:rsidP="007D3A2B">
      <w:pPr>
        <w:autoSpaceDE w:val="0"/>
        <w:autoSpaceDN w:val="0"/>
        <w:adjustRightInd w:val="0"/>
        <w:spacing w:after="0" w:line="240" w:lineRule="auto"/>
        <w:ind w:firstLine="720"/>
        <w:rPr>
          <w:rFonts w:ascii="Times New Roman" w:hAnsi="Times New Roman" w:cs="Times New Roman"/>
          <w:sz w:val="24"/>
          <w:szCs w:val="24"/>
        </w:rPr>
      </w:pPr>
    </w:p>
    <w:p w14:paraId="6C3EB645" w14:textId="438A5C99" w:rsidR="0098731F" w:rsidRPr="009562A5" w:rsidRDefault="0098731F" w:rsidP="00914ECD">
      <w:pPr>
        <w:pStyle w:val="Title2"/>
        <w:jc w:val="center"/>
        <w:outlineLvl w:val="1"/>
        <w:rPr>
          <w:rFonts w:ascii="Times New Roman" w:hAnsi="Times New Roman"/>
          <w:i w:val="0"/>
          <w:color w:val="auto"/>
          <w:sz w:val="24"/>
        </w:rPr>
      </w:pPr>
      <w:bookmarkStart w:id="32" w:name="_Toc175825353"/>
      <w:r w:rsidRPr="009562A5">
        <w:rPr>
          <w:rFonts w:ascii="Times New Roman" w:hAnsi="Times New Roman"/>
          <w:i w:val="0"/>
          <w:color w:val="auto"/>
          <w:sz w:val="24"/>
        </w:rPr>
        <w:t>D. Finanțarea și datoria de stat</w:t>
      </w:r>
      <w:bookmarkEnd w:id="32"/>
    </w:p>
    <w:p w14:paraId="2E0F2230" w14:textId="77777777" w:rsidR="00B37822" w:rsidRPr="003278ED" w:rsidRDefault="00B37822" w:rsidP="007D3A2B">
      <w:pPr>
        <w:spacing w:after="0" w:line="240" w:lineRule="auto"/>
        <w:jc w:val="center"/>
        <w:rPr>
          <w:rFonts w:ascii="Times New Roman" w:hAnsi="Times New Roman" w:cs="Times New Roman"/>
          <w:b/>
          <w:sz w:val="24"/>
          <w:szCs w:val="28"/>
        </w:rPr>
      </w:pPr>
    </w:p>
    <w:p w14:paraId="3CE36F5A" w14:textId="77777777" w:rsidR="0098731F" w:rsidRPr="003278ED" w:rsidRDefault="0098731F" w:rsidP="00072588">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Obiectivele de gestionare a datoriei de stat</w:t>
      </w:r>
    </w:p>
    <w:p w14:paraId="7C3393F4" w14:textId="77777777" w:rsidR="0098731F" w:rsidRPr="003278ED" w:rsidRDefault="0098731F" w:rsidP="00072588">
      <w:pPr>
        <w:pStyle w:val="Title1"/>
        <w:spacing w:before="0" w:after="0" w:line="240" w:lineRule="auto"/>
        <w:ind w:firstLine="720"/>
        <w:rPr>
          <w:rFonts w:ascii="Times New Roman" w:hAnsi="Times New Roman"/>
          <w:b w:val="0"/>
          <w:color w:val="auto"/>
          <w:sz w:val="24"/>
          <w:szCs w:val="28"/>
          <w:lang w:val="ro-RO"/>
        </w:rPr>
      </w:pPr>
      <w:r w:rsidRPr="003278ED">
        <w:rPr>
          <w:rFonts w:ascii="Times New Roman" w:hAnsi="Times New Roman"/>
          <w:b w:val="0"/>
          <w:color w:val="auto"/>
          <w:sz w:val="24"/>
          <w:szCs w:val="28"/>
          <w:lang w:val="ro-RO"/>
        </w:rPr>
        <w:t>Obiectivul principal al managementului datoriei de stat este de a asigura necesitățile de finanțare ale soldului (deficitului) bugetului de stat la nivel acceptabil de cheltuieli pe termen mediu și lung, în condițiile limitării riscurilor implicate. În concordanță cu acest obiectiv de politică, acțiunile în perioada 2025-2027 se vor concentra pe:</w:t>
      </w:r>
    </w:p>
    <w:p w14:paraId="61BFE3AF" w14:textId="77777777" w:rsidR="0098731F" w:rsidRPr="003278ED" w:rsidRDefault="0098731F" w:rsidP="00072588">
      <w:pPr>
        <w:spacing w:after="0" w:line="240" w:lineRule="auto"/>
        <w:ind w:firstLine="720"/>
        <w:rPr>
          <w:rFonts w:ascii="Times New Roman" w:eastAsia="Calibri" w:hAnsi="Times New Roman" w:cs="Times New Roman"/>
          <w:sz w:val="24"/>
          <w:szCs w:val="28"/>
        </w:rPr>
      </w:pPr>
      <w:r w:rsidRPr="003278ED">
        <w:rPr>
          <w:rFonts w:ascii="Times New Roman" w:eastAsia="Calibri" w:hAnsi="Times New Roman" w:cs="Times New Roman"/>
          <w:sz w:val="24"/>
          <w:szCs w:val="28"/>
        </w:rPr>
        <w:t>1) menținerea și dezvoltarea pieței interne a VMS;</w:t>
      </w:r>
    </w:p>
    <w:p w14:paraId="198EAE15" w14:textId="73334E31" w:rsidR="0098731F" w:rsidRPr="003278ED" w:rsidRDefault="0098731F" w:rsidP="00072588">
      <w:pPr>
        <w:spacing w:after="0" w:line="240" w:lineRule="auto"/>
        <w:ind w:firstLine="720"/>
        <w:rPr>
          <w:rFonts w:ascii="Times New Roman" w:eastAsia="Calibri" w:hAnsi="Times New Roman" w:cs="Times New Roman"/>
          <w:sz w:val="24"/>
          <w:szCs w:val="28"/>
        </w:rPr>
      </w:pPr>
      <w:r w:rsidRPr="003278ED">
        <w:rPr>
          <w:rFonts w:ascii="Times New Roman" w:eastAsia="Calibri" w:hAnsi="Times New Roman" w:cs="Times New Roman"/>
          <w:sz w:val="24"/>
          <w:szCs w:val="28"/>
        </w:rPr>
        <w:t>2) contractarea împrumuturilor de stat externe, ținând cont de raportul cost</w:t>
      </w:r>
      <w:r w:rsidR="00E52EF0"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risc;</w:t>
      </w:r>
    </w:p>
    <w:p w14:paraId="11B918A0" w14:textId="77777777" w:rsidR="0098731F" w:rsidRPr="003278ED" w:rsidRDefault="0098731F" w:rsidP="00072588">
      <w:pPr>
        <w:spacing w:after="0" w:line="240" w:lineRule="auto"/>
        <w:ind w:firstLine="720"/>
        <w:rPr>
          <w:rFonts w:ascii="Times New Roman" w:eastAsia="Calibri" w:hAnsi="Times New Roman" w:cs="Times New Roman"/>
          <w:sz w:val="24"/>
          <w:szCs w:val="28"/>
        </w:rPr>
      </w:pPr>
      <w:r w:rsidRPr="003278ED">
        <w:rPr>
          <w:rFonts w:ascii="Times New Roman" w:eastAsia="Calibri" w:hAnsi="Times New Roman" w:cs="Times New Roman"/>
          <w:sz w:val="24"/>
          <w:szCs w:val="28"/>
        </w:rPr>
        <w:t>3) gestionarea riscurilor asociate datoriei de stat.</w:t>
      </w:r>
    </w:p>
    <w:p w14:paraId="04F2600F" w14:textId="0C7330BC" w:rsidR="0098731F" w:rsidRDefault="0098731F" w:rsidP="007D3A2B">
      <w:pPr>
        <w:spacing w:after="0" w:line="240" w:lineRule="auto"/>
        <w:ind w:firstLine="720"/>
        <w:rPr>
          <w:sz w:val="24"/>
          <w:szCs w:val="28"/>
        </w:rPr>
      </w:pPr>
    </w:p>
    <w:p w14:paraId="3A216162" w14:textId="77777777" w:rsidR="00072588" w:rsidRPr="003278ED" w:rsidRDefault="00072588" w:rsidP="007D3A2B">
      <w:pPr>
        <w:spacing w:after="0" w:line="240" w:lineRule="auto"/>
        <w:ind w:firstLine="720"/>
        <w:rPr>
          <w:sz w:val="24"/>
          <w:szCs w:val="28"/>
        </w:rPr>
      </w:pPr>
    </w:p>
    <w:p w14:paraId="615BE030" w14:textId="77777777" w:rsidR="0098731F" w:rsidRPr="003278ED" w:rsidRDefault="0098731F" w:rsidP="007D3A2B">
      <w:pPr>
        <w:pStyle w:val="Table"/>
        <w:spacing w:before="0" w:line="240" w:lineRule="auto"/>
        <w:ind w:firstLine="720"/>
        <w:jc w:val="right"/>
        <w:rPr>
          <w:rFonts w:ascii="Times New Roman" w:hAnsi="Times New Roman"/>
          <w:b w:val="0"/>
          <w:color w:val="auto"/>
          <w:sz w:val="24"/>
          <w:szCs w:val="28"/>
          <w:lang w:val="ro-RO"/>
        </w:rPr>
      </w:pPr>
      <w:bookmarkStart w:id="33" w:name="_Toc488614173"/>
      <w:r w:rsidRPr="003278ED">
        <w:rPr>
          <w:rFonts w:ascii="Times New Roman" w:hAnsi="Times New Roman"/>
          <w:sz w:val="28"/>
          <w:szCs w:val="28"/>
          <w:lang w:val="ro-RO"/>
        </w:rPr>
        <w:tab/>
      </w:r>
      <w:r w:rsidRPr="003278ED">
        <w:rPr>
          <w:rFonts w:ascii="Times New Roman" w:hAnsi="Times New Roman"/>
          <w:b w:val="0"/>
          <w:color w:val="auto"/>
          <w:sz w:val="24"/>
          <w:szCs w:val="28"/>
          <w:lang w:val="ro-RO"/>
        </w:rPr>
        <w:t>Tabelul 3.</w:t>
      </w:r>
      <w:r w:rsidR="00A41A1B" w:rsidRPr="003278ED">
        <w:rPr>
          <w:rFonts w:ascii="Times New Roman" w:hAnsi="Times New Roman"/>
          <w:b w:val="0"/>
          <w:color w:val="auto"/>
          <w:sz w:val="24"/>
          <w:szCs w:val="28"/>
          <w:lang w:val="ro-RO"/>
        </w:rPr>
        <w:t>6</w:t>
      </w:r>
    </w:p>
    <w:p w14:paraId="1CB468E2" w14:textId="77777777" w:rsidR="0098731F" w:rsidRPr="003278ED" w:rsidRDefault="0098731F" w:rsidP="00072588">
      <w:pPr>
        <w:pStyle w:val="Table"/>
        <w:spacing w:before="0" w:line="240" w:lineRule="auto"/>
        <w:ind w:hanging="142"/>
        <w:rPr>
          <w:rFonts w:ascii="Times New Roman" w:hAnsi="Times New Roman"/>
          <w:color w:val="auto"/>
          <w:sz w:val="18"/>
          <w:szCs w:val="20"/>
          <w:lang w:val="ro-RO"/>
        </w:rPr>
      </w:pPr>
    </w:p>
    <w:p w14:paraId="5028589A" w14:textId="124BA47E" w:rsidR="0098731F" w:rsidRPr="003278ED" w:rsidRDefault="0098731F" w:rsidP="00072588">
      <w:pPr>
        <w:pStyle w:val="Table"/>
        <w:spacing w:before="0" w:line="240" w:lineRule="auto"/>
        <w:ind w:hanging="142"/>
        <w:rPr>
          <w:rFonts w:ascii="Times New Roman" w:hAnsi="Times New Roman"/>
          <w:color w:val="auto"/>
          <w:sz w:val="24"/>
          <w:szCs w:val="28"/>
          <w:lang w:val="ro-RO"/>
        </w:rPr>
      </w:pPr>
      <w:r w:rsidRPr="003278ED">
        <w:rPr>
          <w:rFonts w:ascii="Times New Roman" w:hAnsi="Times New Roman"/>
          <w:color w:val="auto"/>
          <w:sz w:val="24"/>
          <w:szCs w:val="28"/>
          <w:lang w:val="ro-RO"/>
        </w:rPr>
        <w:t>Soldul bugetar și sursele de finanțare pentru anii 2022-</w:t>
      </w:r>
      <w:bookmarkEnd w:id="33"/>
      <w:r w:rsidRPr="003278ED">
        <w:rPr>
          <w:rFonts w:ascii="Times New Roman" w:hAnsi="Times New Roman"/>
          <w:color w:val="auto"/>
          <w:sz w:val="24"/>
          <w:szCs w:val="28"/>
          <w:lang w:val="ro-RO"/>
        </w:rPr>
        <w:t>2027</w:t>
      </w:r>
    </w:p>
    <w:p w14:paraId="36DBF61F" w14:textId="77777777" w:rsidR="0098731F" w:rsidRPr="003278ED" w:rsidRDefault="0098731F" w:rsidP="007D3A2B">
      <w:pPr>
        <w:pStyle w:val="Table"/>
        <w:spacing w:before="0" w:line="240" w:lineRule="auto"/>
        <w:ind w:firstLine="720"/>
        <w:jc w:val="right"/>
        <w:rPr>
          <w:rFonts w:ascii="Times New Roman" w:hAnsi="Times New Roman"/>
          <w:b w:val="0"/>
          <w:szCs w:val="20"/>
          <w:lang w:val="ro-RO"/>
        </w:rPr>
      </w:pPr>
      <w:r w:rsidRPr="003278ED" w:rsidDel="00A11C03">
        <w:rPr>
          <w:rFonts w:ascii="Times New Roman" w:hAnsi="Times New Roman"/>
          <w:b w:val="0"/>
          <w:color w:val="000000"/>
          <w:sz w:val="28"/>
          <w:szCs w:val="28"/>
          <w:lang w:val="ro-RO" w:eastAsia="ro-RO"/>
        </w:rPr>
        <w:t xml:space="preserve"> </w:t>
      </w:r>
      <w:r w:rsidRPr="003278ED">
        <w:rPr>
          <w:rFonts w:ascii="Times New Roman" w:hAnsi="Times New Roman"/>
          <w:b w:val="0"/>
          <w:color w:val="000000"/>
          <w:szCs w:val="20"/>
          <w:lang w:val="ro-RO" w:eastAsia="ro-RO"/>
        </w:rPr>
        <w:t>(% din PIB)</w:t>
      </w:r>
    </w:p>
    <w:tbl>
      <w:tblPr>
        <w:tblW w:w="5000" w:type="pct"/>
        <w:tblLook w:val="04A0" w:firstRow="1" w:lastRow="0" w:firstColumn="1" w:lastColumn="0" w:noHBand="0" w:noVBand="1"/>
      </w:tblPr>
      <w:tblGrid>
        <w:gridCol w:w="466"/>
        <w:gridCol w:w="1432"/>
        <w:gridCol w:w="2033"/>
        <w:gridCol w:w="756"/>
        <w:gridCol w:w="756"/>
        <w:gridCol w:w="868"/>
        <w:gridCol w:w="1008"/>
        <w:gridCol w:w="1008"/>
        <w:gridCol w:w="1006"/>
      </w:tblGrid>
      <w:tr w:rsidR="00EB12B5" w:rsidRPr="003278ED" w14:paraId="7134A6C3" w14:textId="77777777" w:rsidTr="00BF3B68">
        <w:trPr>
          <w:trHeight w:val="345"/>
          <w:tblHeader/>
        </w:trPr>
        <w:tc>
          <w:tcPr>
            <w:tcW w:w="2106" w:type="pct"/>
            <w:gridSpan w:val="3"/>
            <w:vMerge w:val="restart"/>
            <w:shd w:val="clear" w:color="auto" w:fill="auto"/>
            <w:noWrap/>
            <w:vAlign w:val="bottom"/>
            <w:hideMark/>
          </w:tcPr>
          <w:p w14:paraId="2F7DC580" w14:textId="77777777" w:rsidR="00EB12B5" w:rsidRPr="003278ED" w:rsidRDefault="00EB12B5" w:rsidP="007D3A2B">
            <w:pPr>
              <w:spacing w:after="0" w:line="240" w:lineRule="auto"/>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b/>
                <w:bCs/>
                <w:color w:val="000000"/>
                <w:sz w:val="28"/>
                <w:szCs w:val="28"/>
                <w:lang w:eastAsia="ro-RO"/>
              </w:rPr>
              <w:t> </w:t>
            </w:r>
            <w:r w:rsidRPr="003278ED">
              <w:rPr>
                <w:rFonts w:ascii="Times New Roman" w:eastAsia="Times New Roman" w:hAnsi="Times New Roman" w:cs="Times New Roman"/>
                <w:b/>
                <w:bCs/>
                <w:color w:val="000000"/>
                <w:sz w:val="20"/>
                <w:szCs w:val="20"/>
                <w:lang w:eastAsia="ro-RO"/>
              </w:rPr>
              <w:t> </w:t>
            </w:r>
          </w:p>
        </w:tc>
        <w:tc>
          <w:tcPr>
            <w:tcW w:w="405" w:type="pct"/>
            <w:shd w:val="clear" w:color="auto" w:fill="auto"/>
            <w:noWrap/>
            <w:vAlign w:val="bottom"/>
            <w:hideMark/>
          </w:tcPr>
          <w:p w14:paraId="070E88DC"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2022</w:t>
            </w:r>
          </w:p>
        </w:tc>
        <w:tc>
          <w:tcPr>
            <w:tcW w:w="405" w:type="pct"/>
            <w:shd w:val="clear" w:color="auto" w:fill="auto"/>
            <w:noWrap/>
            <w:vAlign w:val="bottom"/>
            <w:hideMark/>
          </w:tcPr>
          <w:p w14:paraId="53A50CBA"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2023</w:t>
            </w:r>
          </w:p>
        </w:tc>
        <w:tc>
          <w:tcPr>
            <w:tcW w:w="465" w:type="pct"/>
            <w:shd w:val="clear" w:color="auto" w:fill="auto"/>
            <w:noWrap/>
            <w:vAlign w:val="bottom"/>
            <w:hideMark/>
          </w:tcPr>
          <w:p w14:paraId="7DE62D3C"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2024</w:t>
            </w:r>
          </w:p>
        </w:tc>
        <w:tc>
          <w:tcPr>
            <w:tcW w:w="540" w:type="pct"/>
            <w:shd w:val="clear" w:color="auto" w:fill="auto"/>
            <w:noWrap/>
            <w:vAlign w:val="bottom"/>
            <w:hideMark/>
          </w:tcPr>
          <w:p w14:paraId="026245B2"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2025</w:t>
            </w:r>
          </w:p>
        </w:tc>
        <w:tc>
          <w:tcPr>
            <w:tcW w:w="540" w:type="pct"/>
            <w:shd w:val="clear" w:color="auto" w:fill="auto"/>
            <w:noWrap/>
            <w:vAlign w:val="bottom"/>
            <w:hideMark/>
          </w:tcPr>
          <w:p w14:paraId="0F186A8D"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2026</w:t>
            </w:r>
          </w:p>
        </w:tc>
        <w:tc>
          <w:tcPr>
            <w:tcW w:w="540" w:type="pct"/>
            <w:shd w:val="clear" w:color="auto" w:fill="auto"/>
            <w:noWrap/>
            <w:vAlign w:val="bottom"/>
            <w:hideMark/>
          </w:tcPr>
          <w:p w14:paraId="36BC4F22" w14:textId="77777777" w:rsidR="00EB12B5" w:rsidRPr="003278ED" w:rsidRDefault="00EB12B5" w:rsidP="007D3A2B">
            <w:pPr>
              <w:spacing w:after="0" w:line="240" w:lineRule="auto"/>
              <w:jc w:val="center"/>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2027</w:t>
            </w:r>
          </w:p>
        </w:tc>
      </w:tr>
      <w:tr w:rsidR="00EB12B5" w:rsidRPr="003278ED" w14:paraId="6344A889" w14:textId="77777777" w:rsidTr="00BF3B68">
        <w:trPr>
          <w:trHeight w:val="315"/>
          <w:tblHeader/>
        </w:trPr>
        <w:tc>
          <w:tcPr>
            <w:tcW w:w="2106" w:type="pct"/>
            <w:gridSpan w:val="3"/>
            <w:vMerge/>
            <w:shd w:val="clear" w:color="auto" w:fill="auto"/>
            <w:noWrap/>
            <w:vAlign w:val="center"/>
            <w:hideMark/>
          </w:tcPr>
          <w:p w14:paraId="0BEE77C3" w14:textId="77777777" w:rsidR="00EB12B5" w:rsidRPr="003278ED" w:rsidRDefault="00EB12B5" w:rsidP="007D3A2B">
            <w:pPr>
              <w:spacing w:after="0" w:line="240" w:lineRule="auto"/>
              <w:rPr>
                <w:rFonts w:ascii="Times New Roman" w:eastAsia="Times New Roman" w:hAnsi="Times New Roman" w:cs="Times New Roman"/>
                <w:b/>
                <w:bCs/>
                <w:color w:val="000000"/>
                <w:sz w:val="20"/>
                <w:szCs w:val="20"/>
                <w:lang w:eastAsia="ro-RO"/>
              </w:rPr>
            </w:pPr>
          </w:p>
        </w:tc>
        <w:tc>
          <w:tcPr>
            <w:tcW w:w="405" w:type="pct"/>
            <w:shd w:val="clear" w:color="auto" w:fill="auto"/>
            <w:noWrap/>
            <w:vAlign w:val="center"/>
            <w:hideMark/>
          </w:tcPr>
          <w:p w14:paraId="56751D20"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e</w:t>
            </w:r>
            <w:r w:rsidR="00EB12B5" w:rsidRPr="003278ED">
              <w:rPr>
                <w:rFonts w:ascii="Times New Roman" w:eastAsia="Times New Roman" w:hAnsi="Times New Roman" w:cs="Times New Roman"/>
                <w:b/>
                <w:color w:val="000000"/>
                <w:sz w:val="18"/>
                <w:szCs w:val="18"/>
                <w:lang w:eastAsia="ro-RO"/>
              </w:rPr>
              <w:t>fectiv</w:t>
            </w:r>
          </w:p>
        </w:tc>
        <w:tc>
          <w:tcPr>
            <w:tcW w:w="405" w:type="pct"/>
            <w:shd w:val="clear" w:color="auto" w:fill="auto"/>
            <w:noWrap/>
            <w:vAlign w:val="center"/>
            <w:hideMark/>
          </w:tcPr>
          <w:p w14:paraId="65EB31AF"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e</w:t>
            </w:r>
            <w:r w:rsidR="00EB12B5" w:rsidRPr="003278ED">
              <w:rPr>
                <w:rFonts w:ascii="Times New Roman" w:eastAsia="Times New Roman" w:hAnsi="Times New Roman" w:cs="Times New Roman"/>
                <w:b/>
                <w:color w:val="000000"/>
                <w:sz w:val="18"/>
                <w:szCs w:val="18"/>
                <w:lang w:eastAsia="ro-RO"/>
              </w:rPr>
              <w:t>fectiv</w:t>
            </w:r>
          </w:p>
        </w:tc>
        <w:tc>
          <w:tcPr>
            <w:tcW w:w="465" w:type="pct"/>
            <w:shd w:val="clear" w:color="auto" w:fill="auto"/>
            <w:noWrap/>
            <w:vAlign w:val="center"/>
            <w:hideMark/>
          </w:tcPr>
          <w:p w14:paraId="0ADDF758"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a</w:t>
            </w:r>
            <w:r w:rsidR="00EB12B5" w:rsidRPr="003278ED">
              <w:rPr>
                <w:rFonts w:ascii="Times New Roman" w:eastAsia="Times New Roman" w:hAnsi="Times New Roman" w:cs="Times New Roman"/>
                <w:b/>
                <w:color w:val="000000"/>
                <w:sz w:val="18"/>
                <w:szCs w:val="18"/>
                <w:lang w:eastAsia="ro-RO"/>
              </w:rPr>
              <w:t>probat</w:t>
            </w:r>
          </w:p>
        </w:tc>
        <w:tc>
          <w:tcPr>
            <w:tcW w:w="540" w:type="pct"/>
            <w:shd w:val="clear" w:color="auto" w:fill="auto"/>
            <w:noWrap/>
            <w:vAlign w:val="center"/>
            <w:hideMark/>
          </w:tcPr>
          <w:p w14:paraId="0066AC9C"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p</w:t>
            </w:r>
            <w:r w:rsidR="00EB12B5" w:rsidRPr="003278ED">
              <w:rPr>
                <w:rFonts w:ascii="Times New Roman" w:eastAsia="Times New Roman" w:hAnsi="Times New Roman" w:cs="Times New Roman"/>
                <w:b/>
                <w:color w:val="000000"/>
                <w:sz w:val="18"/>
                <w:szCs w:val="18"/>
                <w:lang w:eastAsia="ro-RO"/>
              </w:rPr>
              <w:t>rognozat</w:t>
            </w:r>
          </w:p>
        </w:tc>
        <w:tc>
          <w:tcPr>
            <w:tcW w:w="540" w:type="pct"/>
            <w:shd w:val="clear" w:color="auto" w:fill="auto"/>
            <w:noWrap/>
            <w:vAlign w:val="center"/>
            <w:hideMark/>
          </w:tcPr>
          <w:p w14:paraId="7DF894A4"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p</w:t>
            </w:r>
            <w:r w:rsidR="00EB12B5" w:rsidRPr="003278ED">
              <w:rPr>
                <w:rFonts w:ascii="Times New Roman" w:eastAsia="Times New Roman" w:hAnsi="Times New Roman" w:cs="Times New Roman"/>
                <w:b/>
                <w:color w:val="000000"/>
                <w:sz w:val="18"/>
                <w:szCs w:val="18"/>
                <w:lang w:eastAsia="ro-RO"/>
              </w:rPr>
              <w:t>rognozat</w:t>
            </w:r>
          </w:p>
        </w:tc>
        <w:tc>
          <w:tcPr>
            <w:tcW w:w="540" w:type="pct"/>
            <w:shd w:val="clear" w:color="auto" w:fill="auto"/>
            <w:noWrap/>
            <w:vAlign w:val="center"/>
            <w:hideMark/>
          </w:tcPr>
          <w:p w14:paraId="446B4BB8" w14:textId="77777777" w:rsidR="00EB12B5" w:rsidRPr="003278ED" w:rsidRDefault="002C6A69" w:rsidP="007D3A2B">
            <w:pPr>
              <w:spacing w:after="0" w:line="240" w:lineRule="auto"/>
              <w:jc w:val="center"/>
              <w:rPr>
                <w:rFonts w:ascii="Times New Roman" w:eastAsia="Times New Roman" w:hAnsi="Times New Roman" w:cs="Times New Roman"/>
                <w:b/>
                <w:color w:val="000000"/>
                <w:sz w:val="18"/>
                <w:szCs w:val="18"/>
                <w:lang w:eastAsia="ro-RO"/>
              </w:rPr>
            </w:pPr>
            <w:r w:rsidRPr="003278ED">
              <w:rPr>
                <w:rFonts w:ascii="Times New Roman" w:eastAsia="Times New Roman" w:hAnsi="Times New Roman" w:cs="Times New Roman"/>
                <w:b/>
                <w:color w:val="000000"/>
                <w:sz w:val="18"/>
                <w:szCs w:val="18"/>
                <w:lang w:eastAsia="ro-RO"/>
              </w:rPr>
              <w:t>p</w:t>
            </w:r>
            <w:r w:rsidR="00EB12B5" w:rsidRPr="003278ED">
              <w:rPr>
                <w:rFonts w:ascii="Times New Roman" w:eastAsia="Times New Roman" w:hAnsi="Times New Roman" w:cs="Times New Roman"/>
                <w:b/>
                <w:color w:val="000000"/>
                <w:sz w:val="18"/>
                <w:szCs w:val="18"/>
                <w:lang w:eastAsia="ro-RO"/>
              </w:rPr>
              <w:t>rognozat</w:t>
            </w:r>
          </w:p>
        </w:tc>
      </w:tr>
      <w:tr w:rsidR="00EB12B5" w:rsidRPr="003278ED" w14:paraId="2EB291D9" w14:textId="77777777" w:rsidTr="00BF3B68">
        <w:trPr>
          <w:trHeight w:val="389"/>
        </w:trPr>
        <w:tc>
          <w:tcPr>
            <w:tcW w:w="2106" w:type="pct"/>
            <w:gridSpan w:val="3"/>
            <w:shd w:val="clear" w:color="auto" w:fill="auto"/>
            <w:noWrap/>
            <w:vAlign w:val="bottom"/>
            <w:hideMark/>
          </w:tcPr>
          <w:p w14:paraId="5C026FAD" w14:textId="77777777" w:rsidR="00EB12B5" w:rsidRPr="003278ED" w:rsidRDefault="00EB12B5" w:rsidP="007D3A2B">
            <w:pPr>
              <w:spacing w:after="0" w:line="240" w:lineRule="auto"/>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Soldul bugetului de stat </w:t>
            </w:r>
          </w:p>
        </w:tc>
        <w:tc>
          <w:tcPr>
            <w:tcW w:w="405" w:type="pct"/>
            <w:shd w:val="clear" w:color="auto" w:fill="auto"/>
            <w:noWrap/>
            <w:vAlign w:val="center"/>
          </w:tcPr>
          <w:p w14:paraId="64832CDE" w14:textId="5CA1DB4E"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-3,4</w:t>
            </w:r>
          </w:p>
        </w:tc>
        <w:tc>
          <w:tcPr>
            <w:tcW w:w="405" w:type="pct"/>
            <w:shd w:val="clear" w:color="auto" w:fill="auto"/>
            <w:noWrap/>
            <w:vAlign w:val="center"/>
          </w:tcPr>
          <w:p w14:paraId="175D2581" w14:textId="0A8D9CB6"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-5,4</w:t>
            </w:r>
          </w:p>
        </w:tc>
        <w:tc>
          <w:tcPr>
            <w:tcW w:w="465" w:type="pct"/>
            <w:shd w:val="clear" w:color="auto" w:fill="auto"/>
            <w:noWrap/>
            <w:vAlign w:val="center"/>
          </w:tcPr>
          <w:p w14:paraId="6B748C12" w14:textId="468A88A7"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-4,6</w:t>
            </w:r>
          </w:p>
        </w:tc>
        <w:tc>
          <w:tcPr>
            <w:tcW w:w="540" w:type="pct"/>
            <w:shd w:val="clear" w:color="auto" w:fill="auto"/>
            <w:noWrap/>
            <w:vAlign w:val="center"/>
          </w:tcPr>
          <w:p w14:paraId="712E6FF1" w14:textId="69B6F819"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-3,8</w:t>
            </w:r>
          </w:p>
        </w:tc>
        <w:tc>
          <w:tcPr>
            <w:tcW w:w="540" w:type="pct"/>
            <w:shd w:val="clear" w:color="auto" w:fill="auto"/>
            <w:noWrap/>
            <w:vAlign w:val="center"/>
          </w:tcPr>
          <w:p w14:paraId="1D8975DA" w14:textId="5F4BBEDF"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-3,4</w:t>
            </w:r>
          </w:p>
        </w:tc>
        <w:tc>
          <w:tcPr>
            <w:tcW w:w="540" w:type="pct"/>
            <w:shd w:val="clear" w:color="auto" w:fill="auto"/>
            <w:noWrap/>
            <w:vAlign w:val="center"/>
          </w:tcPr>
          <w:p w14:paraId="3D7AE511" w14:textId="31DDEF62" w:rsidR="00EB12B5" w:rsidRPr="003278ED" w:rsidRDefault="006C46A1" w:rsidP="007D3A2B">
            <w:pPr>
              <w:spacing w:after="0" w:line="240" w:lineRule="auto"/>
              <w:jc w:val="center"/>
              <w:rPr>
                <w:rFonts w:ascii="Times New Roman" w:eastAsia="Times New Roman" w:hAnsi="Times New Roman" w:cs="Times New Roman"/>
                <w:b/>
                <w:bCs/>
                <w:color w:val="000000"/>
                <w:sz w:val="24"/>
                <w:szCs w:val="24"/>
                <w:lang w:eastAsia="ro-RO"/>
              </w:rPr>
            </w:pPr>
            <w:r w:rsidRPr="003278ED">
              <w:rPr>
                <w:rFonts w:ascii="Times New Roman" w:eastAsia="Times New Roman" w:hAnsi="Times New Roman" w:cs="Times New Roman"/>
                <w:b/>
                <w:bCs/>
                <w:color w:val="000000"/>
                <w:sz w:val="24"/>
                <w:szCs w:val="24"/>
                <w:lang w:eastAsia="ro-RO"/>
              </w:rPr>
              <w:t>-3,1</w:t>
            </w:r>
          </w:p>
        </w:tc>
      </w:tr>
      <w:tr w:rsidR="00AA5546" w:rsidRPr="003278ED" w14:paraId="67212DE3" w14:textId="77777777" w:rsidTr="00BF3B68">
        <w:trPr>
          <w:trHeight w:val="300"/>
        </w:trPr>
        <w:tc>
          <w:tcPr>
            <w:tcW w:w="2106" w:type="pct"/>
            <w:gridSpan w:val="3"/>
            <w:shd w:val="clear" w:color="auto" w:fill="auto"/>
            <w:noWrap/>
            <w:vAlign w:val="center"/>
            <w:hideMark/>
          </w:tcPr>
          <w:p w14:paraId="1391EF0D" w14:textId="77777777" w:rsidR="00AA5546" w:rsidRPr="003278ED" w:rsidRDefault="00AA5546" w:rsidP="007D3A2B">
            <w:pPr>
              <w:spacing w:after="0" w:line="240" w:lineRule="auto"/>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Surse de finanțare:</w:t>
            </w:r>
          </w:p>
        </w:tc>
        <w:tc>
          <w:tcPr>
            <w:tcW w:w="405" w:type="pct"/>
            <w:shd w:val="clear" w:color="auto" w:fill="auto"/>
            <w:noWrap/>
            <w:vAlign w:val="center"/>
            <w:hideMark/>
          </w:tcPr>
          <w:p w14:paraId="608C888F"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c>
          <w:tcPr>
            <w:tcW w:w="405" w:type="pct"/>
            <w:shd w:val="clear" w:color="auto" w:fill="auto"/>
            <w:noWrap/>
            <w:vAlign w:val="center"/>
            <w:hideMark/>
          </w:tcPr>
          <w:p w14:paraId="0A5FB0B1"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c>
          <w:tcPr>
            <w:tcW w:w="465" w:type="pct"/>
            <w:shd w:val="clear" w:color="auto" w:fill="auto"/>
            <w:noWrap/>
            <w:vAlign w:val="center"/>
            <w:hideMark/>
          </w:tcPr>
          <w:p w14:paraId="140A2881"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c>
          <w:tcPr>
            <w:tcW w:w="540" w:type="pct"/>
            <w:shd w:val="clear" w:color="auto" w:fill="auto"/>
            <w:noWrap/>
            <w:vAlign w:val="center"/>
            <w:hideMark/>
          </w:tcPr>
          <w:p w14:paraId="64C0AB29"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c>
          <w:tcPr>
            <w:tcW w:w="540" w:type="pct"/>
            <w:shd w:val="clear" w:color="auto" w:fill="auto"/>
            <w:noWrap/>
            <w:vAlign w:val="center"/>
            <w:hideMark/>
          </w:tcPr>
          <w:p w14:paraId="4E733CFA"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c>
          <w:tcPr>
            <w:tcW w:w="540" w:type="pct"/>
            <w:shd w:val="clear" w:color="auto" w:fill="auto"/>
            <w:noWrap/>
            <w:vAlign w:val="center"/>
            <w:hideMark/>
          </w:tcPr>
          <w:p w14:paraId="35F7310A" w14:textId="77777777" w:rsidR="00AA5546" w:rsidRPr="003278ED" w:rsidRDefault="00AA5546" w:rsidP="007D3A2B">
            <w:pPr>
              <w:spacing w:after="0" w:line="240" w:lineRule="auto"/>
              <w:jc w:val="right"/>
              <w:rPr>
                <w:rFonts w:ascii="Times New Roman" w:eastAsia="Times New Roman" w:hAnsi="Times New Roman" w:cs="Times New Roman"/>
                <w:color w:val="000000"/>
                <w:sz w:val="20"/>
                <w:szCs w:val="20"/>
                <w:lang w:eastAsia="ro-RO"/>
              </w:rPr>
            </w:pPr>
          </w:p>
        </w:tc>
      </w:tr>
      <w:tr w:rsidR="00AA5546" w:rsidRPr="003278ED" w14:paraId="517F4BBB" w14:textId="77777777" w:rsidTr="00BF3B68">
        <w:trPr>
          <w:trHeight w:val="305"/>
        </w:trPr>
        <w:tc>
          <w:tcPr>
            <w:tcW w:w="250" w:type="pct"/>
            <w:shd w:val="clear" w:color="auto" w:fill="auto"/>
            <w:noWrap/>
            <w:vAlign w:val="center"/>
            <w:hideMark/>
          </w:tcPr>
          <w:p w14:paraId="7EEA54D2" w14:textId="77777777" w:rsidR="00AA5546" w:rsidRPr="003278ED" w:rsidRDefault="00AA5546" w:rsidP="007D3A2B">
            <w:pPr>
              <w:spacing w:after="0" w:line="240" w:lineRule="auto"/>
              <w:rPr>
                <w:rFonts w:ascii="Times New Roman" w:eastAsia="Times New Roman" w:hAnsi="Times New Roman" w:cs="Times New Roman"/>
                <w:color w:val="000000"/>
                <w:sz w:val="28"/>
                <w:szCs w:val="28"/>
                <w:lang w:eastAsia="ro-RO"/>
              </w:rPr>
            </w:pPr>
          </w:p>
        </w:tc>
        <w:tc>
          <w:tcPr>
            <w:tcW w:w="1856" w:type="pct"/>
            <w:gridSpan w:val="2"/>
            <w:shd w:val="clear" w:color="auto" w:fill="auto"/>
            <w:noWrap/>
            <w:vAlign w:val="center"/>
            <w:hideMark/>
          </w:tcPr>
          <w:p w14:paraId="7EC50A0D" w14:textId="77777777" w:rsidR="00AA5546" w:rsidRPr="003278ED" w:rsidRDefault="00AA5546" w:rsidP="007D3A2B">
            <w:pPr>
              <w:spacing w:after="0" w:line="240" w:lineRule="auto"/>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Finanțarea externă netă</w:t>
            </w:r>
          </w:p>
        </w:tc>
        <w:tc>
          <w:tcPr>
            <w:tcW w:w="405" w:type="pct"/>
            <w:shd w:val="clear" w:color="auto" w:fill="auto"/>
            <w:noWrap/>
            <w:vAlign w:val="center"/>
          </w:tcPr>
          <w:p w14:paraId="681F8809" w14:textId="393353A9"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4,7</w:t>
            </w:r>
          </w:p>
        </w:tc>
        <w:tc>
          <w:tcPr>
            <w:tcW w:w="405" w:type="pct"/>
            <w:shd w:val="clear" w:color="auto" w:fill="auto"/>
            <w:noWrap/>
            <w:vAlign w:val="center"/>
          </w:tcPr>
          <w:p w14:paraId="1CB2B017"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 xml:space="preserve">2,8 </w:t>
            </w:r>
          </w:p>
        </w:tc>
        <w:tc>
          <w:tcPr>
            <w:tcW w:w="465" w:type="pct"/>
            <w:shd w:val="clear" w:color="auto" w:fill="auto"/>
            <w:noWrap/>
            <w:vAlign w:val="center"/>
          </w:tcPr>
          <w:p w14:paraId="0E1A2EA3" w14:textId="03BCFEFA"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1,2</w:t>
            </w:r>
          </w:p>
        </w:tc>
        <w:tc>
          <w:tcPr>
            <w:tcW w:w="540" w:type="pct"/>
            <w:shd w:val="clear" w:color="auto" w:fill="auto"/>
            <w:noWrap/>
            <w:vAlign w:val="center"/>
          </w:tcPr>
          <w:p w14:paraId="1D7BD33F"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1,8</w:t>
            </w:r>
          </w:p>
        </w:tc>
        <w:tc>
          <w:tcPr>
            <w:tcW w:w="540" w:type="pct"/>
            <w:shd w:val="clear" w:color="auto" w:fill="auto"/>
            <w:noWrap/>
            <w:vAlign w:val="center"/>
          </w:tcPr>
          <w:p w14:paraId="3263DBEC" w14:textId="72B6F46B"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1,1</w:t>
            </w:r>
          </w:p>
        </w:tc>
        <w:tc>
          <w:tcPr>
            <w:tcW w:w="540" w:type="pct"/>
            <w:shd w:val="clear" w:color="auto" w:fill="auto"/>
            <w:noWrap/>
            <w:vAlign w:val="center"/>
          </w:tcPr>
          <w:p w14:paraId="3BF8C3E0" w14:textId="1DC56156"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0,7</w:t>
            </w:r>
          </w:p>
        </w:tc>
      </w:tr>
      <w:tr w:rsidR="00AA5546" w:rsidRPr="003278ED" w14:paraId="24E87034" w14:textId="77777777" w:rsidTr="00BF3B68">
        <w:trPr>
          <w:trHeight w:val="300"/>
        </w:trPr>
        <w:tc>
          <w:tcPr>
            <w:tcW w:w="250" w:type="pct"/>
            <w:shd w:val="clear" w:color="auto" w:fill="auto"/>
            <w:noWrap/>
            <w:vAlign w:val="center"/>
            <w:hideMark/>
          </w:tcPr>
          <w:p w14:paraId="1B89193B"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p>
        </w:tc>
        <w:tc>
          <w:tcPr>
            <w:tcW w:w="767" w:type="pct"/>
            <w:shd w:val="clear" w:color="auto" w:fill="auto"/>
            <w:noWrap/>
            <w:vAlign w:val="center"/>
            <w:hideMark/>
          </w:tcPr>
          <w:p w14:paraId="7599AD2B"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din care:</w:t>
            </w:r>
          </w:p>
        </w:tc>
        <w:tc>
          <w:tcPr>
            <w:tcW w:w="1089" w:type="pct"/>
            <w:shd w:val="clear" w:color="auto" w:fill="auto"/>
            <w:noWrap/>
            <w:vAlign w:val="center"/>
            <w:hideMark/>
          </w:tcPr>
          <w:p w14:paraId="2395486E"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 xml:space="preserve">Susținerea bugetară </w:t>
            </w:r>
          </w:p>
        </w:tc>
        <w:tc>
          <w:tcPr>
            <w:tcW w:w="405" w:type="pct"/>
            <w:shd w:val="clear" w:color="auto" w:fill="auto"/>
            <w:noWrap/>
            <w:vAlign w:val="center"/>
          </w:tcPr>
          <w:p w14:paraId="3108568A" w14:textId="770B85CA"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3,3</w:t>
            </w:r>
            <w:r w:rsidR="00AA5546" w:rsidRPr="003278ED">
              <w:rPr>
                <w:rFonts w:ascii="Times New Roman" w:eastAsia="Times New Roman" w:hAnsi="Times New Roman" w:cs="Times New Roman"/>
                <w:color w:val="000000"/>
                <w:sz w:val="20"/>
                <w:szCs w:val="20"/>
                <w:lang w:eastAsia="ro-RO"/>
              </w:rPr>
              <w:t xml:space="preserve"> </w:t>
            </w:r>
          </w:p>
        </w:tc>
        <w:tc>
          <w:tcPr>
            <w:tcW w:w="405" w:type="pct"/>
            <w:shd w:val="clear" w:color="auto" w:fill="auto"/>
            <w:noWrap/>
            <w:vAlign w:val="center"/>
          </w:tcPr>
          <w:p w14:paraId="27ECB6EA"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3,3</w:t>
            </w:r>
          </w:p>
        </w:tc>
        <w:tc>
          <w:tcPr>
            <w:tcW w:w="465" w:type="pct"/>
            <w:shd w:val="clear" w:color="auto" w:fill="auto"/>
            <w:noWrap/>
            <w:vAlign w:val="center"/>
          </w:tcPr>
          <w:p w14:paraId="3F31ED20" w14:textId="5C894EAC"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2,6</w:t>
            </w:r>
          </w:p>
        </w:tc>
        <w:tc>
          <w:tcPr>
            <w:tcW w:w="540" w:type="pct"/>
            <w:shd w:val="clear" w:color="auto" w:fill="auto"/>
            <w:noWrap/>
            <w:vAlign w:val="center"/>
          </w:tcPr>
          <w:p w14:paraId="7962AE5A"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1,4</w:t>
            </w:r>
          </w:p>
        </w:tc>
        <w:tc>
          <w:tcPr>
            <w:tcW w:w="540" w:type="pct"/>
            <w:shd w:val="clear" w:color="auto" w:fill="auto"/>
            <w:noWrap/>
            <w:vAlign w:val="center"/>
          </w:tcPr>
          <w:p w14:paraId="59C7A8B5" w14:textId="302FFF4C"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0,6</w:t>
            </w:r>
          </w:p>
        </w:tc>
        <w:tc>
          <w:tcPr>
            <w:tcW w:w="540" w:type="pct"/>
            <w:shd w:val="clear" w:color="auto" w:fill="auto"/>
            <w:noWrap/>
            <w:vAlign w:val="center"/>
          </w:tcPr>
          <w:p w14:paraId="5BA004E3" w14:textId="5144B95D"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0,7</w:t>
            </w:r>
          </w:p>
        </w:tc>
      </w:tr>
      <w:tr w:rsidR="00AA5546" w:rsidRPr="003278ED" w14:paraId="29DA8674" w14:textId="77777777" w:rsidTr="00BF3B68">
        <w:trPr>
          <w:trHeight w:val="300"/>
        </w:trPr>
        <w:tc>
          <w:tcPr>
            <w:tcW w:w="250" w:type="pct"/>
            <w:shd w:val="clear" w:color="auto" w:fill="auto"/>
            <w:noWrap/>
            <w:vAlign w:val="center"/>
            <w:hideMark/>
          </w:tcPr>
          <w:p w14:paraId="04253869" w14:textId="77777777" w:rsidR="00AA5546" w:rsidRPr="003278ED" w:rsidRDefault="00AA5546" w:rsidP="007D3A2B">
            <w:pPr>
              <w:spacing w:after="0" w:line="240" w:lineRule="auto"/>
              <w:rPr>
                <w:rFonts w:ascii="Times New Roman" w:eastAsia="Times New Roman" w:hAnsi="Times New Roman" w:cs="Times New Roman"/>
                <w:i/>
                <w:iCs/>
                <w:color w:val="000000"/>
                <w:sz w:val="28"/>
                <w:szCs w:val="28"/>
                <w:lang w:eastAsia="ro-RO"/>
              </w:rPr>
            </w:pPr>
          </w:p>
        </w:tc>
        <w:tc>
          <w:tcPr>
            <w:tcW w:w="1856" w:type="pct"/>
            <w:gridSpan w:val="2"/>
            <w:shd w:val="clear" w:color="auto" w:fill="auto"/>
            <w:noWrap/>
            <w:vAlign w:val="center"/>
            <w:hideMark/>
          </w:tcPr>
          <w:p w14:paraId="22F1CC7E"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Proiecte finanțate din surse externe</w:t>
            </w:r>
          </w:p>
        </w:tc>
        <w:tc>
          <w:tcPr>
            <w:tcW w:w="405" w:type="pct"/>
            <w:shd w:val="clear" w:color="auto" w:fill="auto"/>
            <w:noWrap/>
            <w:vAlign w:val="center"/>
          </w:tcPr>
          <w:p w14:paraId="313EC807"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2,2</w:t>
            </w:r>
          </w:p>
        </w:tc>
        <w:tc>
          <w:tcPr>
            <w:tcW w:w="405" w:type="pct"/>
            <w:shd w:val="clear" w:color="auto" w:fill="auto"/>
            <w:noWrap/>
            <w:vAlign w:val="center"/>
          </w:tcPr>
          <w:p w14:paraId="508C8E9B"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2,4</w:t>
            </w:r>
          </w:p>
        </w:tc>
        <w:tc>
          <w:tcPr>
            <w:tcW w:w="465" w:type="pct"/>
            <w:shd w:val="clear" w:color="auto" w:fill="auto"/>
            <w:noWrap/>
            <w:vAlign w:val="center"/>
          </w:tcPr>
          <w:p w14:paraId="3B47B6E3"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1,7</w:t>
            </w:r>
          </w:p>
        </w:tc>
        <w:tc>
          <w:tcPr>
            <w:tcW w:w="540" w:type="pct"/>
            <w:shd w:val="clear" w:color="auto" w:fill="auto"/>
            <w:noWrap/>
            <w:vAlign w:val="center"/>
          </w:tcPr>
          <w:p w14:paraId="493FEF7E"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1,5</w:t>
            </w:r>
          </w:p>
        </w:tc>
        <w:tc>
          <w:tcPr>
            <w:tcW w:w="540" w:type="pct"/>
            <w:shd w:val="clear" w:color="auto" w:fill="auto"/>
            <w:noWrap/>
            <w:vAlign w:val="center"/>
          </w:tcPr>
          <w:p w14:paraId="34D38420"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1,5</w:t>
            </w:r>
          </w:p>
        </w:tc>
        <w:tc>
          <w:tcPr>
            <w:tcW w:w="540" w:type="pct"/>
            <w:shd w:val="clear" w:color="auto" w:fill="auto"/>
            <w:noWrap/>
            <w:vAlign w:val="center"/>
          </w:tcPr>
          <w:p w14:paraId="318080D0"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1,1</w:t>
            </w:r>
          </w:p>
        </w:tc>
      </w:tr>
      <w:tr w:rsidR="00AA5546" w:rsidRPr="003278ED" w14:paraId="0ABE8E5F" w14:textId="77777777" w:rsidTr="00BF3B68">
        <w:trPr>
          <w:trHeight w:val="300"/>
        </w:trPr>
        <w:tc>
          <w:tcPr>
            <w:tcW w:w="250" w:type="pct"/>
            <w:shd w:val="clear" w:color="auto" w:fill="auto"/>
            <w:noWrap/>
            <w:vAlign w:val="center"/>
            <w:hideMark/>
          </w:tcPr>
          <w:p w14:paraId="3F64D048" w14:textId="77777777" w:rsidR="00AA5546" w:rsidRPr="003278ED" w:rsidRDefault="00AA5546" w:rsidP="007D3A2B">
            <w:pPr>
              <w:spacing w:after="0" w:line="240" w:lineRule="auto"/>
              <w:rPr>
                <w:rFonts w:ascii="Times New Roman" w:eastAsia="Times New Roman" w:hAnsi="Times New Roman" w:cs="Times New Roman"/>
                <w:i/>
                <w:iCs/>
                <w:color w:val="000000"/>
                <w:sz w:val="28"/>
                <w:szCs w:val="28"/>
                <w:lang w:eastAsia="ro-RO"/>
              </w:rPr>
            </w:pPr>
          </w:p>
        </w:tc>
        <w:tc>
          <w:tcPr>
            <w:tcW w:w="1856" w:type="pct"/>
            <w:gridSpan w:val="2"/>
            <w:shd w:val="clear" w:color="auto" w:fill="auto"/>
            <w:noWrap/>
            <w:vAlign w:val="center"/>
            <w:hideMark/>
          </w:tcPr>
          <w:p w14:paraId="19972038"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Rambursarea creditelor externe</w:t>
            </w:r>
          </w:p>
        </w:tc>
        <w:tc>
          <w:tcPr>
            <w:tcW w:w="405" w:type="pct"/>
            <w:shd w:val="clear" w:color="auto" w:fill="auto"/>
            <w:noWrap/>
            <w:vAlign w:val="center"/>
          </w:tcPr>
          <w:p w14:paraId="55BBB173"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-0,8</w:t>
            </w:r>
          </w:p>
        </w:tc>
        <w:tc>
          <w:tcPr>
            <w:tcW w:w="405" w:type="pct"/>
            <w:shd w:val="clear" w:color="auto" w:fill="auto"/>
            <w:noWrap/>
            <w:vAlign w:val="center"/>
          </w:tcPr>
          <w:p w14:paraId="1C936FF5"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-2,9</w:t>
            </w:r>
          </w:p>
        </w:tc>
        <w:tc>
          <w:tcPr>
            <w:tcW w:w="465" w:type="pct"/>
            <w:shd w:val="clear" w:color="auto" w:fill="auto"/>
            <w:noWrap/>
            <w:vAlign w:val="center"/>
          </w:tcPr>
          <w:p w14:paraId="5F3AC20C"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-3,1</w:t>
            </w:r>
          </w:p>
        </w:tc>
        <w:tc>
          <w:tcPr>
            <w:tcW w:w="540" w:type="pct"/>
            <w:shd w:val="clear" w:color="auto" w:fill="auto"/>
            <w:noWrap/>
            <w:vAlign w:val="center"/>
          </w:tcPr>
          <w:p w14:paraId="6C334177"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-1,1</w:t>
            </w:r>
          </w:p>
        </w:tc>
        <w:tc>
          <w:tcPr>
            <w:tcW w:w="540" w:type="pct"/>
            <w:shd w:val="clear" w:color="auto" w:fill="auto"/>
            <w:noWrap/>
            <w:vAlign w:val="center"/>
          </w:tcPr>
          <w:p w14:paraId="05635CC8"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-1,0</w:t>
            </w:r>
          </w:p>
        </w:tc>
        <w:tc>
          <w:tcPr>
            <w:tcW w:w="540" w:type="pct"/>
            <w:shd w:val="clear" w:color="auto" w:fill="auto"/>
            <w:noWrap/>
            <w:vAlign w:val="center"/>
          </w:tcPr>
          <w:p w14:paraId="4FEB2385"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-1,1</w:t>
            </w:r>
          </w:p>
        </w:tc>
      </w:tr>
      <w:tr w:rsidR="00AA5546" w:rsidRPr="003278ED" w14:paraId="27879600" w14:textId="77777777" w:rsidTr="00BF3B68">
        <w:trPr>
          <w:trHeight w:val="300"/>
        </w:trPr>
        <w:tc>
          <w:tcPr>
            <w:tcW w:w="250" w:type="pct"/>
            <w:shd w:val="clear" w:color="auto" w:fill="auto"/>
            <w:noWrap/>
            <w:vAlign w:val="center"/>
            <w:hideMark/>
          </w:tcPr>
          <w:p w14:paraId="4B6878F3" w14:textId="77777777" w:rsidR="00AA5546" w:rsidRPr="003278ED" w:rsidRDefault="00AA5546" w:rsidP="007D3A2B">
            <w:pPr>
              <w:spacing w:after="0" w:line="240" w:lineRule="auto"/>
              <w:rPr>
                <w:rFonts w:ascii="Times New Roman" w:eastAsia="Times New Roman" w:hAnsi="Times New Roman" w:cs="Times New Roman"/>
                <w:color w:val="000000"/>
                <w:sz w:val="28"/>
                <w:szCs w:val="28"/>
                <w:lang w:eastAsia="ro-RO"/>
              </w:rPr>
            </w:pPr>
          </w:p>
        </w:tc>
        <w:tc>
          <w:tcPr>
            <w:tcW w:w="1856" w:type="pct"/>
            <w:gridSpan w:val="2"/>
            <w:shd w:val="clear" w:color="auto" w:fill="auto"/>
            <w:noWrap/>
            <w:vAlign w:val="center"/>
            <w:hideMark/>
          </w:tcPr>
          <w:p w14:paraId="01F4E317" w14:textId="77777777" w:rsidR="00AA5546" w:rsidRPr="003278ED" w:rsidRDefault="00AA5546" w:rsidP="007D3A2B">
            <w:pPr>
              <w:spacing w:after="0" w:line="240" w:lineRule="auto"/>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Fi</w:t>
            </w:r>
            <w:r w:rsidR="007263F6" w:rsidRPr="003278ED">
              <w:rPr>
                <w:rFonts w:ascii="Times New Roman" w:eastAsia="Times New Roman" w:hAnsi="Times New Roman" w:cs="Times New Roman"/>
                <w:color w:val="000000"/>
                <w:sz w:val="20"/>
                <w:szCs w:val="20"/>
                <w:lang w:eastAsia="ro-RO"/>
              </w:rPr>
              <w:t>n</w:t>
            </w:r>
            <w:r w:rsidRPr="003278ED">
              <w:rPr>
                <w:rFonts w:ascii="Times New Roman" w:eastAsia="Times New Roman" w:hAnsi="Times New Roman" w:cs="Times New Roman"/>
                <w:color w:val="000000"/>
                <w:sz w:val="20"/>
                <w:szCs w:val="20"/>
                <w:lang w:eastAsia="ro-RO"/>
              </w:rPr>
              <w:t>an</w:t>
            </w:r>
            <w:r w:rsidR="007263F6" w:rsidRPr="003278ED">
              <w:rPr>
                <w:rFonts w:ascii="Times New Roman" w:eastAsia="Times New Roman" w:hAnsi="Times New Roman" w:cs="Times New Roman"/>
                <w:color w:val="000000"/>
                <w:sz w:val="20"/>
                <w:szCs w:val="20"/>
                <w:lang w:eastAsia="ro-RO"/>
              </w:rPr>
              <w:t>ț</w:t>
            </w:r>
            <w:r w:rsidRPr="003278ED">
              <w:rPr>
                <w:rFonts w:ascii="Times New Roman" w:eastAsia="Times New Roman" w:hAnsi="Times New Roman" w:cs="Times New Roman"/>
                <w:color w:val="000000"/>
                <w:sz w:val="20"/>
                <w:szCs w:val="20"/>
                <w:lang w:eastAsia="ro-RO"/>
              </w:rPr>
              <w:t>area internă netă</w:t>
            </w:r>
          </w:p>
        </w:tc>
        <w:tc>
          <w:tcPr>
            <w:tcW w:w="405" w:type="pct"/>
            <w:shd w:val="clear" w:color="auto" w:fill="auto"/>
            <w:noWrap/>
            <w:vAlign w:val="center"/>
            <w:hideMark/>
          </w:tcPr>
          <w:p w14:paraId="2AB8908B" w14:textId="12C7CABA"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-0,1</w:t>
            </w:r>
          </w:p>
        </w:tc>
        <w:tc>
          <w:tcPr>
            <w:tcW w:w="405" w:type="pct"/>
            <w:shd w:val="clear" w:color="auto" w:fill="auto"/>
            <w:noWrap/>
            <w:vAlign w:val="center"/>
            <w:hideMark/>
          </w:tcPr>
          <w:p w14:paraId="058DFE44"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2,1</w:t>
            </w:r>
          </w:p>
        </w:tc>
        <w:tc>
          <w:tcPr>
            <w:tcW w:w="465" w:type="pct"/>
            <w:shd w:val="clear" w:color="auto" w:fill="auto"/>
            <w:noWrap/>
            <w:vAlign w:val="center"/>
            <w:hideMark/>
          </w:tcPr>
          <w:p w14:paraId="3360320C" w14:textId="0AAAC583"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1,3</w:t>
            </w:r>
          </w:p>
        </w:tc>
        <w:tc>
          <w:tcPr>
            <w:tcW w:w="540" w:type="pct"/>
            <w:shd w:val="clear" w:color="auto" w:fill="auto"/>
            <w:noWrap/>
            <w:vAlign w:val="center"/>
            <w:hideMark/>
          </w:tcPr>
          <w:p w14:paraId="0C6CCACF" w14:textId="45812FEB"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2,6</w:t>
            </w:r>
          </w:p>
        </w:tc>
        <w:tc>
          <w:tcPr>
            <w:tcW w:w="540" w:type="pct"/>
            <w:shd w:val="clear" w:color="auto" w:fill="auto"/>
            <w:noWrap/>
            <w:vAlign w:val="center"/>
            <w:hideMark/>
          </w:tcPr>
          <w:p w14:paraId="44AD0F83"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2,4</w:t>
            </w:r>
          </w:p>
        </w:tc>
        <w:tc>
          <w:tcPr>
            <w:tcW w:w="540" w:type="pct"/>
            <w:shd w:val="clear" w:color="auto" w:fill="auto"/>
            <w:noWrap/>
            <w:vAlign w:val="center"/>
            <w:hideMark/>
          </w:tcPr>
          <w:p w14:paraId="3E38E3CA" w14:textId="77777777" w:rsidR="00AA5546" w:rsidRPr="003278ED" w:rsidRDefault="00AA5546"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2,2</w:t>
            </w:r>
          </w:p>
        </w:tc>
      </w:tr>
      <w:tr w:rsidR="00AA5546" w:rsidRPr="003278ED" w14:paraId="61242114" w14:textId="77777777" w:rsidTr="00BF3B68">
        <w:trPr>
          <w:trHeight w:val="300"/>
        </w:trPr>
        <w:tc>
          <w:tcPr>
            <w:tcW w:w="250" w:type="pct"/>
            <w:shd w:val="clear" w:color="auto" w:fill="auto"/>
            <w:noWrap/>
            <w:vAlign w:val="center"/>
            <w:hideMark/>
          </w:tcPr>
          <w:p w14:paraId="17923AC5" w14:textId="77777777" w:rsidR="00AA5546" w:rsidRPr="003278ED" w:rsidRDefault="00AA5546" w:rsidP="007D3A2B">
            <w:pPr>
              <w:spacing w:after="0" w:line="240" w:lineRule="auto"/>
              <w:rPr>
                <w:rFonts w:ascii="Times New Roman" w:eastAsia="Times New Roman" w:hAnsi="Times New Roman" w:cs="Times New Roman"/>
                <w:color w:val="000000"/>
                <w:sz w:val="28"/>
                <w:szCs w:val="28"/>
                <w:lang w:eastAsia="ro-RO"/>
              </w:rPr>
            </w:pPr>
          </w:p>
        </w:tc>
        <w:tc>
          <w:tcPr>
            <w:tcW w:w="1856" w:type="pct"/>
            <w:gridSpan w:val="2"/>
            <w:shd w:val="clear" w:color="auto" w:fill="auto"/>
            <w:noWrap/>
            <w:vAlign w:val="center"/>
            <w:hideMark/>
          </w:tcPr>
          <w:p w14:paraId="5FE556F4" w14:textId="77777777" w:rsidR="00AA5546" w:rsidRPr="003278ED" w:rsidRDefault="00AA5546" w:rsidP="007D3A2B">
            <w:pPr>
              <w:spacing w:after="0" w:line="240" w:lineRule="auto"/>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Alte surse de finanțare</w:t>
            </w:r>
          </w:p>
        </w:tc>
        <w:tc>
          <w:tcPr>
            <w:tcW w:w="405" w:type="pct"/>
            <w:shd w:val="clear" w:color="auto" w:fill="auto"/>
            <w:noWrap/>
            <w:vAlign w:val="center"/>
          </w:tcPr>
          <w:p w14:paraId="7C45C21A" w14:textId="7393C184"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-1,2</w:t>
            </w:r>
          </w:p>
        </w:tc>
        <w:tc>
          <w:tcPr>
            <w:tcW w:w="405" w:type="pct"/>
            <w:shd w:val="clear" w:color="auto" w:fill="auto"/>
            <w:noWrap/>
            <w:vAlign w:val="center"/>
          </w:tcPr>
          <w:p w14:paraId="1B345C21" w14:textId="7C1EDFF7"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0,5</w:t>
            </w:r>
          </w:p>
        </w:tc>
        <w:tc>
          <w:tcPr>
            <w:tcW w:w="465" w:type="pct"/>
            <w:shd w:val="clear" w:color="auto" w:fill="auto"/>
            <w:noWrap/>
            <w:vAlign w:val="center"/>
          </w:tcPr>
          <w:p w14:paraId="42BF1B0E" w14:textId="2EF67417"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2,1</w:t>
            </w:r>
          </w:p>
        </w:tc>
        <w:tc>
          <w:tcPr>
            <w:tcW w:w="540" w:type="pct"/>
            <w:shd w:val="clear" w:color="auto" w:fill="auto"/>
            <w:noWrap/>
            <w:vAlign w:val="center"/>
          </w:tcPr>
          <w:p w14:paraId="387DC359" w14:textId="26BAD7B3"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-0,6</w:t>
            </w:r>
          </w:p>
        </w:tc>
        <w:tc>
          <w:tcPr>
            <w:tcW w:w="540" w:type="pct"/>
            <w:shd w:val="clear" w:color="auto" w:fill="auto"/>
            <w:noWrap/>
            <w:vAlign w:val="center"/>
          </w:tcPr>
          <w:p w14:paraId="4BBC1050" w14:textId="2F2D789E"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-0,1</w:t>
            </w:r>
          </w:p>
        </w:tc>
        <w:tc>
          <w:tcPr>
            <w:tcW w:w="540" w:type="pct"/>
            <w:shd w:val="clear" w:color="auto" w:fill="auto"/>
            <w:noWrap/>
            <w:vAlign w:val="center"/>
          </w:tcPr>
          <w:p w14:paraId="08CAA4E2" w14:textId="159C450C"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0,2</w:t>
            </w:r>
          </w:p>
        </w:tc>
      </w:tr>
      <w:tr w:rsidR="00AA5546" w:rsidRPr="003278ED" w14:paraId="7345A45F" w14:textId="77777777" w:rsidTr="00BF3B68">
        <w:trPr>
          <w:trHeight w:val="341"/>
        </w:trPr>
        <w:tc>
          <w:tcPr>
            <w:tcW w:w="250" w:type="pct"/>
            <w:shd w:val="clear" w:color="auto" w:fill="auto"/>
            <w:noWrap/>
            <w:vAlign w:val="center"/>
            <w:hideMark/>
          </w:tcPr>
          <w:p w14:paraId="4215F832" w14:textId="77777777" w:rsidR="00AA5546" w:rsidRPr="003278ED" w:rsidRDefault="00AA5546" w:rsidP="007D3A2B">
            <w:pPr>
              <w:spacing w:after="0" w:line="240" w:lineRule="auto"/>
              <w:rPr>
                <w:rFonts w:ascii="Times New Roman" w:eastAsia="Times New Roman" w:hAnsi="Times New Roman" w:cs="Times New Roman"/>
                <w:color w:val="000000"/>
                <w:sz w:val="20"/>
                <w:szCs w:val="20"/>
                <w:lang w:eastAsia="ro-RO"/>
              </w:rPr>
            </w:pPr>
          </w:p>
        </w:tc>
        <w:tc>
          <w:tcPr>
            <w:tcW w:w="767" w:type="pct"/>
            <w:shd w:val="clear" w:color="auto" w:fill="auto"/>
            <w:noWrap/>
            <w:vAlign w:val="center"/>
            <w:hideMark/>
          </w:tcPr>
          <w:p w14:paraId="5FDF80A3"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din care:</w:t>
            </w:r>
          </w:p>
        </w:tc>
        <w:tc>
          <w:tcPr>
            <w:tcW w:w="1089" w:type="pct"/>
            <w:shd w:val="clear" w:color="auto" w:fill="auto"/>
            <w:noWrap/>
            <w:vAlign w:val="center"/>
            <w:hideMark/>
          </w:tcPr>
          <w:p w14:paraId="1C56CB54" w14:textId="77777777" w:rsidR="00AA5546" w:rsidRPr="003278ED" w:rsidRDefault="00AA5546" w:rsidP="007D3A2B">
            <w:pPr>
              <w:spacing w:after="0" w:line="240" w:lineRule="auto"/>
              <w:rPr>
                <w:rFonts w:ascii="Times New Roman" w:eastAsia="Times New Roman" w:hAnsi="Times New Roman" w:cs="Times New Roman"/>
                <w:i/>
                <w:iCs/>
                <w:color w:val="000000"/>
                <w:sz w:val="20"/>
                <w:szCs w:val="20"/>
                <w:lang w:eastAsia="ro-RO"/>
              </w:rPr>
            </w:pPr>
            <w:r w:rsidRPr="003278ED">
              <w:rPr>
                <w:rFonts w:ascii="Times New Roman" w:eastAsia="Times New Roman" w:hAnsi="Times New Roman" w:cs="Times New Roman"/>
                <w:i/>
                <w:iCs/>
                <w:color w:val="000000"/>
                <w:sz w:val="20"/>
                <w:szCs w:val="20"/>
                <w:lang w:eastAsia="ro-RO"/>
              </w:rPr>
              <w:t>participarea în capital</w:t>
            </w:r>
          </w:p>
        </w:tc>
        <w:tc>
          <w:tcPr>
            <w:tcW w:w="405" w:type="pct"/>
            <w:shd w:val="clear" w:color="auto" w:fill="auto"/>
            <w:noWrap/>
            <w:vAlign w:val="center"/>
          </w:tcPr>
          <w:p w14:paraId="48C30E63" w14:textId="2D2DDF15"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-2,3</w:t>
            </w:r>
          </w:p>
        </w:tc>
        <w:tc>
          <w:tcPr>
            <w:tcW w:w="405" w:type="pct"/>
            <w:shd w:val="clear" w:color="auto" w:fill="auto"/>
            <w:noWrap/>
            <w:vAlign w:val="center"/>
          </w:tcPr>
          <w:p w14:paraId="7E0BC0A1" w14:textId="57BE4457"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0,3</w:t>
            </w:r>
          </w:p>
        </w:tc>
        <w:tc>
          <w:tcPr>
            <w:tcW w:w="465" w:type="pct"/>
            <w:shd w:val="clear" w:color="auto" w:fill="auto"/>
            <w:noWrap/>
            <w:vAlign w:val="center"/>
          </w:tcPr>
          <w:p w14:paraId="23E9EA6F" w14:textId="0EA8F289"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0,4</w:t>
            </w:r>
          </w:p>
        </w:tc>
        <w:tc>
          <w:tcPr>
            <w:tcW w:w="540" w:type="pct"/>
            <w:shd w:val="clear" w:color="auto" w:fill="auto"/>
            <w:noWrap/>
            <w:vAlign w:val="center"/>
          </w:tcPr>
          <w:p w14:paraId="5FD3673C" w14:textId="79260B7F"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-0,2</w:t>
            </w:r>
          </w:p>
        </w:tc>
        <w:tc>
          <w:tcPr>
            <w:tcW w:w="540" w:type="pct"/>
            <w:shd w:val="clear" w:color="auto" w:fill="auto"/>
            <w:noWrap/>
            <w:vAlign w:val="center"/>
          </w:tcPr>
          <w:p w14:paraId="4C2C4A81" w14:textId="179C4ED5"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0,0</w:t>
            </w:r>
          </w:p>
        </w:tc>
        <w:tc>
          <w:tcPr>
            <w:tcW w:w="540" w:type="pct"/>
            <w:shd w:val="clear" w:color="auto" w:fill="auto"/>
            <w:noWrap/>
            <w:vAlign w:val="center"/>
          </w:tcPr>
          <w:p w14:paraId="5A330B4E" w14:textId="44668D56" w:rsidR="00AA5546" w:rsidRPr="003278ED" w:rsidRDefault="006C46A1" w:rsidP="007D3A2B">
            <w:pPr>
              <w:spacing w:after="0" w:line="240" w:lineRule="auto"/>
              <w:jc w:val="center"/>
              <w:rPr>
                <w:rFonts w:ascii="Times New Roman" w:eastAsia="Times New Roman" w:hAnsi="Times New Roman" w:cs="Times New Roman"/>
                <w:color w:val="000000"/>
                <w:sz w:val="20"/>
                <w:szCs w:val="20"/>
                <w:lang w:eastAsia="ro-RO"/>
              </w:rPr>
            </w:pPr>
            <w:r w:rsidRPr="003278ED">
              <w:rPr>
                <w:rFonts w:ascii="Times New Roman" w:eastAsia="Times New Roman" w:hAnsi="Times New Roman" w:cs="Times New Roman"/>
                <w:color w:val="000000"/>
                <w:sz w:val="20"/>
                <w:szCs w:val="20"/>
                <w:lang w:eastAsia="ro-RO"/>
              </w:rPr>
              <w:t>0,03</w:t>
            </w:r>
          </w:p>
        </w:tc>
      </w:tr>
      <w:tr w:rsidR="00AA5546" w:rsidRPr="003278ED" w14:paraId="1F874E25" w14:textId="77777777" w:rsidTr="00BF3B68">
        <w:trPr>
          <w:trHeight w:val="360"/>
        </w:trPr>
        <w:tc>
          <w:tcPr>
            <w:tcW w:w="2106" w:type="pct"/>
            <w:gridSpan w:val="3"/>
            <w:shd w:val="clear" w:color="auto" w:fill="auto"/>
            <w:noWrap/>
            <w:vAlign w:val="center"/>
            <w:hideMark/>
          </w:tcPr>
          <w:p w14:paraId="51BFC613" w14:textId="77777777" w:rsidR="00AA5546" w:rsidRPr="003278ED" w:rsidRDefault="00AA5546" w:rsidP="007D3A2B">
            <w:pPr>
              <w:spacing w:after="0" w:line="240" w:lineRule="auto"/>
              <w:rPr>
                <w:rFonts w:ascii="Times New Roman" w:eastAsia="Times New Roman" w:hAnsi="Times New Roman" w:cs="Times New Roman"/>
                <w:b/>
                <w:bCs/>
                <w:color w:val="000000"/>
                <w:sz w:val="20"/>
                <w:szCs w:val="20"/>
                <w:lang w:eastAsia="ro-RO"/>
              </w:rPr>
            </w:pPr>
            <w:r w:rsidRPr="003278ED">
              <w:rPr>
                <w:rFonts w:ascii="Times New Roman" w:eastAsia="Times New Roman" w:hAnsi="Times New Roman" w:cs="Times New Roman"/>
                <w:b/>
                <w:bCs/>
                <w:color w:val="000000"/>
                <w:sz w:val="20"/>
                <w:szCs w:val="20"/>
                <w:lang w:eastAsia="ro-RO"/>
              </w:rPr>
              <w:t>Total surse de finanțare</w:t>
            </w:r>
          </w:p>
        </w:tc>
        <w:tc>
          <w:tcPr>
            <w:tcW w:w="405" w:type="pct"/>
            <w:shd w:val="clear" w:color="auto" w:fill="auto"/>
            <w:noWrap/>
            <w:vAlign w:val="center"/>
          </w:tcPr>
          <w:p w14:paraId="451EA097" w14:textId="77B8459D"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3,4</w:t>
            </w:r>
          </w:p>
        </w:tc>
        <w:tc>
          <w:tcPr>
            <w:tcW w:w="405" w:type="pct"/>
            <w:shd w:val="clear" w:color="auto" w:fill="auto"/>
            <w:noWrap/>
            <w:vAlign w:val="center"/>
          </w:tcPr>
          <w:p w14:paraId="4303AAF4" w14:textId="7CEE3520"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5,4</w:t>
            </w:r>
          </w:p>
        </w:tc>
        <w:tc>
          <w:tcPr>
            <w:tcW w:w="465" w:type="pct"/>
            <w:shd w:val="clear" w:color="auto" w:fill="auto"/>
            <w:noWrap/>
            <w:vAlign w:val="center"/>
          </w:tcPr>
          <w:p w14:paraId="7EC23445" w14:textId="5F1AFA02"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4,6</w:t>
            </w:r>
          </w:p>
        </w:tc>
        <w:tc>
          <w:tcPr>
            <w:tcW w:w="540" w:type="pct"/>
            <w:shd w:val="clear" w:color="auto" w:fill="auto"/>
            <w:noWrap/>
            <w:vAlign w:val="center"/>
          </w:tcPr>
          <w:p w14:paraId="7B5C2EE7" w14:textId="3F4F358D"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3,8</w:t>
            </w:r>
          </w:p>
        </w:tc>
        <w:tc>
          <w:tcPr>
            <w:tcW w:w="540" w:type="pct"/>
            <w:shd w:val="clear" w:color="auto" w:fill="auto"/>
            <w:noWrap/>
            <w:vAlign w:val="center"/>
          </w:tcPr>
          <w:p w14:paraId="1A804D3B" w14:textId="1DB259E7"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3,4</w:t>
            </w:r>
          </w:p>
        </w:tc>
        <w:tc>
          <w:tcPr>
            <w:tcW w:w="540" w:type="pct"/>
            <w:shd w:val="clear" w:color="auto" w:fill="auto"/>
            <w:noWrap/>
            <w:vAlign w:val="center"/>
          </w:tcPr>
          <w:p w14:paraId="471F86E8" w14:textId="4A58E2A8" w:rsidR="00AA5546" w:rsidRPr="003278ED" w:rsidRDefault="006C46A1" w:rsidP="007D3A2B">
            <w:pPr>
              <w:spacing w:after="0" w:line="240" w:lineRule="auto"/>
              <w:jc w:val="center"/>
              <w:rPr>
                <w:rFonts w:ascii="Times New Roman" w:eastAsia="Times New Roman" w:hAnsi="Times New Roman" w:cs="Times New Roman"/>
                <w:b/>
                <w:color w:val="000000"/>
                <w:sz w:val="20"/>
                <w:szCs w:val="20"/>
                <w:lang w:eastAsia="ro-RO"/>
              </w:rPr>
            </w:pPr>
            <w:r w:rsidRPr="003278ED">
              <w:rPr>
                <w:rFonts w:ascii="Times New Roman" w:eastAsia="Times New Roman" w:hAnsi="Times New Roman" w:cs="Times New Roman"/>
                <w:b/>
                <w:color w:val="000000"/>
                <w:sz w:val="20"/>
                <w:szCs w:val="20"/>
                <w:lang w:eastAsia="ro-RO"/>
              </w:rPr>
              <w:t>3,1</w:t>
            </w:r>
          </w:p>
        </w:tc>
      </w:tr>
    </w:tbl>
    <w:p w14:paraId="77457862" w14:textId="77777777" w:rsidR="00072588" w:rsidRDefault="00072588" w:rsidP="007D3A2B">
      <w:pPr>
        <w:pStyle w:val="Title2"/>
        <w:spacing w:before="0" w:after="0" w:line="240" w:lineRule="auto"/>
        <w:ind w:left="0"/>
        <w:jc w:val="center"/>
        <w:rPr>
          <w:rFonts w:ascii="Times New Roman" w:hAnsi="Times New Roman"/>
          <w:color w:val="000000"/>
          <w:sz w:val="20"/>
          <w:szCs w:val="20"/>
          <w:lang w:val="ro-RO" w:eastAsia="ro-RO"/>
        </w:rPr>
      </w:pPr>
    </w:p>
    <w:p w14:paraId="24CDAF72" w14:textId="6D79DA2C" w:rsidR="0098731F" w:rsidRPr="003278ED" w:rsidRDefault="002C1920" w:rsidP="007D3A2B">
      <w:pPr>
        <w:pStyle w:val="Title2"/>
        <w:spacing w:before="0" w:after="0" w:line="240" w:lineRule="auto"/>
        <w:ind w:left="0"/>
        <w:jc w:val="center"/>
        <w:rPr>
          <w:rFonts w:ascii="Times New Roman" w:hAnsi="Times New Roman"/>
          <w:b w:val="0"/>
          <w:color w:val="auto"/>
          <w:sz w:val="20"/>
          <w:szCs w:val="20"/>
          <w:lang w:val="ro-RO"/>
        </w:rPr>
      </w:pPr>
      <w:r w:rsidRPr="00BF3B68">
        <w:rPr>
          <w:rFonts w:ascii="Times New Roman" w:hAnsi="Times New Roman"/>
          <w:color w:val="000000"/>
          <w:sz w:val="20"/>
          <w:szCs w:val="20"/>
          <w:lang w:val="ro-RO" w:eastAsia="ro-RO"/>
        </w:rPr>
        <w:t>Sursa:</w:t>
      </w:r>
      <w:r w:rsidR="00072588">
        <w:rPr>
          <w:rFonts w:ascii="Times New Roman" w:hAnsi="Times New Roman"/>
          <w:color w:val="000000"/>
          <w:sz w:val="20"/>
          <w:szCs w:val="20"/>
          <w:lang w:val="ro-RO" w:eastAsia="ro-RO"/>
        </w:rPr>
        <w:t xml:space="preserve"> </w:t>
      </w:r>
      <w:r w:rsidR="008266FC" w:rsidRPr="003278ED">
        <w:rPr>
          <w:rFonts w:ascii="Times New Roman" w:hAnsi="Times New Roman"/>
          <w:b w:val="0"/>
          <w:color w:val="000000"/>
          <w:sz w:val="20"/>
          <w:szCs w:val="20"/>
          <w:lang w:val="ro-RO" w:eastAsia="ro-RO"/>
        </w:rPr>
        <w:t>Ministerul Finanțelor</w:t>
      </w:r>
    </w:p>
    <w:p w14:paraId="0779FA09" w14:textId="77777777" w:rsidR="00072588" w:rsidRDefault="00072588" w:rsidP="007D3A2B">
      <w:pPr>
        <w:pStyle w:val="Title2"/>
        <w:spacing w:before="0" w:after="0" w:line="240" w:lineRule="auto"/>
        <w:ind w:left="0" w:firstLine="720"/>
        <w:rPr>
          <w:rFonts w:ascii="Times New Roman" w:hAnsi="Times New Roman"/>
          <w:i w:val="0"/>
          <w:color w:val="auto"/>
          <w:sz w:val="24"/>
          <w:szCs w:val="28"/>
          <w:lang w:val="ro-RO"/>
        </w:rPr>
      </w:pPr>
    </w:p>
    <w:p w14:paraId="01D05F44" w14:textId="3F2848B4" w:rsidR="0098731F" w:rsidRPr="003278ED" w:rsidRDefault="0098731F" w:rsidP="007D3A2B">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Finanțarea externă</w:t>
      </w:r>
    </w:p>
    <w:p w14:paraId="31E365AE" w14:textId="1BE65629" w:rsidR="0098731F" w:rsidRPr="003278ED" w:rsidRDefault="0098731F"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 xml:space="preserve">Prognozele indică pe termen mediu un declin al finanțării soldului bugetului de stat din surse externe preponderent din cauza reducerii fluxurilor destinate susținerii bugetului. </w:t>
      </w:r>
      <w:r w:rsidR="00A86F5A" w:rsidRPr="003278ED">
        <w:rPr>
          <w:rFonts w:ascii="Times New Roman" w:hAnsi="Times New Roman"/>
          <w:sz w:val="24"/>
          <w:szCs w:val="28"/>
          <w:lang w:val="ro-RO"/>
        </w:rPr>
        <w:t xml:space="preserve">Alocarea surselor externe pentru implementarea proiectelor finanțate din surse externe este estimată </w:t>
      </w:r>
      <w:r w:rsidR="007B6BB8" w:rsidRPr="003278ED">
        <w:rPr>
          <w:rFonts w:ascii="Times New Roman" w:hAnsi="Times New Roman"/>
          <w:sz w:val="24"/>
          <w:szCs w:val="28"/>
          <w:lang w:val="ro-RO"/>
        </w:rPr>
        <w:t>în baza</w:t>
      </w:r>
      <w:r w:rsidR="00A86F5A" w:rsidRPr="003278ED">
        <w:rPr>
          <w:rFonts w:ascii="Times New Roman" w:hAnsi="Times New Roman"/>
          <w:sz w:val="24"/>
          <w:szCs w:val="28"/>
          <w:lang w:val="ro-RO"/>
        </w:rPr>
        <w:t xml:space="preserve"> proiectel</w:t>
      </w:r>
      <w:r w:rsidR="007B6BB8" w:rsidRPr="003278ED">
        <w:rPr>
          <w:rFonts w:ascii="Times New Roman" w:hAnsi="Times New Roman"/>
          <w:sz w:val="24"/>
          <w:szCs w:val="28"/>
          <w:lang w:val="ro-RO"/>
        </w:rPr>
        <w:t xml:space="preserve">or </w:t>
      </w:r>
      <w:r w:rsidR="00A86F5A" w:rsidRPr="003278ED">
        <w:rPr>
          <w:rFonts w:ascii="Times New Roman" w:hAnsi="Times New Roman"/>
          <w:sz w:val="24"/>
          <w:szCs w:val="28"/>
          <w:lang w:val="ro-RO"/>
        </w:rPr>
        <w:t>în proces de implementare conform acordurilor în vigoare și</w:t>
      </w:r>
      <w:r w:rsidR="007B6BB8" w:rsidRPr="003278ED">
        <w:rPr>
          <w:rFonts w:ascii="Times New Roman" w:hAnsi="Times New Roman"/>
          <w:sz w:val="24"/>
          <w:szCs w:val="28"/>
          <w:lang w:val="ro-RO"/>
        </w:rPr>
        <w:t>,</w:t>
      </w:r>
      <w:r w:rsidR="00A86F5A" w:rsidRPr="003278ED">
        <w:rPr>
          <w:rFonts w:ascii="Times New Roman" w:hAnsi="Times New Roman"/>
          <w:sz w:val="24"/>
          <w:szCs w:val="28"/>
          <w:lang w:val="ro-RO"/>
        </w:rPr>
        <w:t xml:space="preserve"> </w:t>
      </w:r>
      <w:r w:rsidR="007B6BB8" w:rsidRPr="003278ED">
        <w:rPr>
          <w:rFonts w:ascii="Times New Roman" w:hAnsi="Times New Roman"/>
          <w:sz w:val="24"/>
          <w:szCs w:val="28"/>
          <w:lang w:val="ro-RO"/>
        </w:rPr>
        <w:t>respective,</w:t>
      </w:r>
      <w:r w:rsidR="00A86F5A" w:rsidRPr="003278ED">
        <w:rPr>
          <w:rFonts w:ascii="Times New Roman" w:hAnsi="Times New Roman"/>
          <w:sz w:val="24"/>
          <w:szCs w:val="28"/>
          <w:lang w:val="ro-RO"/>
        </w:rPr>
        <w:t xml:space="preserve"> se prognozează micșorarea acestora în comparație cu anul 2024 de la 1,7% până la 1,1% din PIB. </w:t>
      </w:r>
      <w:r w:rsidRPr="003278ED">
        <w:rPr>
          <w:rFonts w:ascii="Times New Roman" w:hAnsi="Times New Roman"/>
          <w:sz w:val="24"/>
          <w:szCs w:val="28"/>
          <w:lang w:val="ro-RO"/>
        </w:rPr>
        <w:t xml:space="preserve"> Se estimează că cei mai mari creditori externi ai Guvernului, pe termen mediu, vor rămâne Banca Mondială, Banca Europeană de Investiții, Banca Europeană pen</w:t>
      </w:r>
      <w:r w:rsidR="007B6BB8" w:rsidRPr="003278ED">
        <w:rPr>
          <w:rFonts w:ascii="Times New Roman" w:hAnsi="Times New Roman"/>
          <w:sz w:val="24"/>
          <w:szCs w:val="28"/>
          <w:lang w:val="ro-RO"/>
        </w:rPr>
        <w:t>tru Reconstrucție și Dezvoltare și</w:t>
      </w:r>
      <w:r w:rsidRPr="003278ED">
        <w:rPr>
          <w:rFonts w:ascii="Times New Roman" w:hAnsi="Times New Roman"/>
          <w:sz w:val="24"/>
          <w:szCs w:val="28"/>
          <w:lang w:val="ro-RO"/>
        </w:rPr>
        <w:t xml:space="preserve"> Fondul Monetar Internațional etc.</w:t>
      </w:r>
    </w:p>
    <w:p w14:paraId="0BE76524" w14:textId="57472F21" w:rsidR="009345DF" w:rsidRPr="003278ED" w:rsidRDefault="009345DF"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Totodată, există o cerere mare din partea APC în ceea ce privește atragerea împrumuturilor externe</w:t>
      </w:r>
      <w:r w:rsidR="007B6BB8" w:rsidRPr="003278ED">
        <w:rPr>
          <w:rFonts w:ascii="Times New Roman" w:hAnsi="Times New Roman"/>
          <w:sz w:val="24"/>
          <w:szCs w:val="28"/>
          <w:lang w:val="ro-RO"/>
        </w:rPr>
        <w:t>,</w:t>
      </w:r>
      <w:r w:rsidRPr="003278ED">
        <w:rPr>
          <w:rFonts w:ascii="Times New Roman" w:hAnsi="Times New Roman"/>
          <w:sz w:val="24"/>
          <w:szCs w:val="28"/>
          <w:lang w:val="ro-RO"/>
        </w:rPr>
        <w:t xml:space="preserve"> </w:t>
      </w:r>
      <w:r w:rsidR="007B6BB8" w:rsidRPr="003278ED">
        <w:rPr>
          <w:rFonts w:ascii="Times New Roman" w:hAnsi="Times New Roman"/>
          <w:sz w:val="24"/>
          <w:szCs w:val="28"/>
          <w:lang w:val="ro-RO"/>
        </w:rPr>
        <w:t>însă</w:t>
      </w:r>
      <w:r w:rsidRPr="003278ED">
        <w:rPr>
          <w:rFonts w:ascii="Times New Roman" w:hAnsi="Times New Roman"/>
          <w:sz w:val="24"/>
          <w:szCs w:val="28"/>
          <w:lang w:val="ro-RO"/>
        </w:rPr>
        <w:t xml:space="preserve"> care vor fi incluse în buget odată ce acestea vor fi pregătite pentru a fi implementate și în funcție de spațiul fiscal disponibil, precum și </w:t>
      </w:r>
      <w:r w:rsidR="007B6BB8" w:rsidRPr="003278ED">
        <w:rPr>
          <w:rFonts w:ascii="Times New Roman" w:hAnsi="Times New Roman"/>
          <w:sz w:val="24"/>
          <w:szCs w:val="28"/>
          <w:lang w:val="ro-RO"/>
        </w:rPr>
        <w:t xml:space="preserve">de </w:t>
      </w:r>
      <w:r w:rsidRPr="003278ED">
        <w:rPr>
          <w:rFonts w:ascii="Times New Roman" w:hAnsi="Times New Roman"/>
          <w:sz w:val="24"/>
          <w:szCs w:val="28"/>
          <w:lang w:val="ro-RO"/>
        </w:rPr>
        <w:t>capacitățile de implementare a proiectelor care deja sunt în derulare.</w:t>
      </w:r>
    </w:p>
    <w:p w14:paraId="7BC0A3F8" w14:textId="77777777" w:rsidR="0098731F" w:rsidRPr="003278ED" w:rsidRDefault="0098731F" w:rsidP="007D3A2B">
      <w:pPr>
        <w:pStyle w:val="Title2"/>
        <w:spacing w:before="0" w:after="0" w:line="240" w:lineRule="auto"/>
        <w:ind w:left="0" w:firstLine="720"/>
        <w:rPr>
          <w:rFonts w:ascii="Times New Roman" w:hAnsi="Times New Roman"/>
          <w:sz w:val="24"/>
          <w:szCs w:val="28"/>
          <w:lang w:val="ro-RO"/>
        </w:rPr>
      </w:pPr>
    </w:p>
    <w:p w14:paraId="285F572F" w14:textId="77777777" w:rsidR="0098731F" w:rsidRPr="003278ED" w:rsidRDefault="0098731F" w:rsidP="007D3A2B">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Finanțarea internă</w:t>
      </w:r>
    </w:p>
    <w:p w14:paraId="6CA063BD" w14:textId="359FD3B1" w:rsidR="0098731F" w:rsidRPr="003278ED" w:rsidRDefault="0098731F"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Se estimează că finanțarea internă netă a bugetului de stat pentru perioada 2025-2027 se va majora de la 1,4% din PIB în 2024 până la 2,2% în 2027. Acest fapt reflectă creșt</w:t>
      </w:r>
      <w:r w:rsidR="007B6BB8" w:rsidRPr="003278ED">
        <w:rPr>
          <w:rFonts w:ascii="Times New Roman" w:hAnsi="Times New Roman"/>
          <w:sz w:val="24"/>
          <w:szCs w:val="28"/>
          <w:lang w:val="ro-RO"/>
        </w:rPr>
        <w:t>erea necesităților de finanțare,</w:t>
      </w:r>
      <w:r w:rsidRPr="003278ED">
        <w:rPr>
          <w:rFonts w:ascii="Times New Roman" w:hAnsi="Times New Roman"/>
          <w:sz w:val="24"/>
          <w:szCs w:val="28"/>
          <w:lang w:val="ro-RO"/>
        </w:rPr>
        <w:t xml:space="preserve"> ca urmare a reducerii finanțării externe și restabilirea acoperirii necesităților de finanțare a deficitului bugetar din surse interne și urmărește</w:t>
      </w:r>
      <w:r w:rsidR="007B6BB8" w:rsidRPr="003278ED">
        <w:rPr>
          <w:rFonts w:ascii="Times New Roman" w:hAnsi="Times New Roman"/>
          <w:sz w:val="24"/>
          <w:szCs w:val="28"/>
          <w:lang w:val="ro-RO"/>
        </w:rPr>
        <w:t>,</w:t>
      </w:r>
      <w:r w:rsidRPr="003278ED">
        <w:rPr>
          <w:rFonts w:ascii="Times New Roman" w:hAnsi="Times New Roman"/>
          <w:sz w:val="24"/>
          <w:szCs w:val="28"/>
          <w:lang w:val="ro-RO"/>
        </w:rPr>
        <w:t xml:space="preserve"> totodată</w:t>
      </w:r>
      <w:r w:rsidR="007B6BB8" w:rsidRPr="003278ED">
        <w:rPr>
          <w:rFonts w:ascii="Times New Roman" w:hAnsi="Times New Roman"/>
          <w:sz w:val="24"/>
          <w:szCs w:val="28"/>
          <w:lang w:val="ro-RO"/>
        </w:rPr>
        <w:t>,</w:t>
      </w:r>
      <w:r w:rsidRPr="003278ED">
        <w:rPr>
          <w:rFonts w:ascii="Times New Roman" w:hAnsi="Times New Roman"/>
          <w:sz w:val="24"/>
          <w:szCs w:val="28"/>
          <w:lang w:val="ro-RO"/>
        </w:rPr>
        <w:t xml:space="preserve"> diversificarea bazei investiționale pe piața primară a VMS.</w:t>
      </w:r>
    </w:p>
    <w:p w14:paraId="601F364E" w14:textId="4F88F15F" w:rsidR="0098731F" w:rsidRPr="003278ED" w:rsidRDefault="0098731F"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 xml:space="preserve">În prezent predomină finanțarea internă prin emisiunea de valori mobiliare de stat cu scadența preponderent pe termen scurt. Însă, politica Ministerului Finanțelor este direcționată în continuare spre extinderea maturității valorilor mobiliare de stat și </w:t>
      </w:r>
      <w:r w:rsidR="007B6BB8" w:rsidRPr="003278ED">
        <w:rPr>
          <w:rFonts w:ascii="Times New Roman" w:hAnsi="Times New Roman"/>
          <w:sz w:val="24"/>
          <w:szCs w:val="28"/>
          <w:lang w:val="ro-RO"/>
        </w:rPr>
        <w:t xml:space="preserve">spre </w:t>
      </w:r>
      <w:r w:rsidRPr="003278ED">
        <w:rPr>
          <w:rFonts w:ascii="Times New Roman" w:hAnsi="Times New Roman"/>
          <w:sz w:val="24"/>
          <w:szCs w:val="28"/>
          <w:lang w:val="ro-RO"/>
        </w:rPr>
        <w:t xml:space="preserve">dezvoltarea pieței valorilor mobiliare de stat. </w:t>
      </w:r>
    </w:p>
    <w:p w14:paraId="287336DD" w14:textId="77777777" w:rsidR="0098731F" w:rsidRPr="003278ED" w:rsidRDefault="0098731F" w:rsidP="007D3A2B">
      <w:pPr>
        <w:pStyle w:val="Title1"/>
        <w:spacing w:before="0" w:after="0" w:line="240" w:lineRule="auto"/>
        <w:rPr>
          <w:rFonts w:ascii="Times New Roman" w:hAnsi="Times New Roman"/>
          <w:color w:val="auto"/>
          <w:sz w:val="24"/>
          <w:szCs w:val="28"/>
          <w:lang w:val="ro-RO"/>
        </w:rPr>
      </w:pPr>
    </w:p>
    <w:p w14:paraId="670C7EAB" w14:textId="77777777" w:rsidR="0098731F" w:rsidRPr="003278ED" w:rsidRDefault="0098731F" w:rsidP="007D3A2B">
      <w:pPr>
        <w:pStyle w:val="Title1"/>
        <w:spacing w:before="0" w:after="0" w:line="240" w:lineRule="auto"/>
        <w:ind w:firstLine="720"/>
        <w:rPr>
          <w:rFonts w:ascii="Times New Roman" w:hAnsi="Times New Roman"/>
          <w:color w:val="auto"/>
          <w:sz w:val="24"/>
          <w:szCs w:val="28"/>
          <w:lang w:val="ro-RO"/>
        </w:rPr>
      </w:pPr>
      <w:r w:rsidRPr="003278ED">
        <w:rPr>
          <w:rFonts w:ascii="Times New Roman" w:hAnsi="Times New Roman"/>
          <w:color w:val="auto"/>
          <w:sz w:val="24"/>
          <w:szCs w:val="28"/>
          <w:lang w:val="ro-RO"/>
        </w:rPr>
        <w:t xml:space="preserve">Soldul și deservirea datoriei de stat </w:t>
      </w:r>
    </w:p>
    <w:p w14:paraId="656463C6" w14:textId="77777777" w:rsidR="0098731F" w:rsidRPr="003278ED" w:rsidRDefault="0098731F"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Pe termen mediu, ponderea datoriei de stat în PIB se va diminua de la 39,0</w:t>
      </w:r>
      <w:r w:rsidR="00262742" w:rsidRPr="003278ED">
        <w:rPr>
          <w:rFonts w:ascii="Times New Roman" w:hAnsi="Times New Roman"/>
          <w:sz w:val="24"/>
          <w:szCs w:val="28"/>
          <w:lang w:val="ro-RO"/>
        </w:rPr>
        <w:t xml:space="preserve"> </w:t>
      </w:r>
      <w:r w:rsidRPr="003278ED">
        <w:rPr>
          <w:rFonts w:ascii="Times New Roman" w:hAnsi="Times New Roman"/>
          <w:sz w:val="24"/>
          <w:szCs w:val="28"/>
          <w:lang w:val="ro-RO"/>
        </w:rPr>
        <w:t>% la sfârșitul anului 2025 până la 38,3</w:t>
      </w:r>
      <w:r w:rsidR="00262742" w:rsidRPr="003278ED">
        <w:rPr>
          <w:rFonts w:ascii="Times New Roman" w:hAnsi="Times New Roman"/>
          <w:sz w:val="24"/>
          <w:szCs w:val="28"/>
          <w:lang w:val="ro-RO"/>
        </w:rPr>
        <w:t xml:space="preserve"> </w:t>
      </w:r>
      <w:r w:rsidRPr="003278ED">
        <w:rPr>
          <w:rFonts w:ascii="Times New Roman" w:hAnsi="Times New Roman"/>
          <w:sz w:val="24"/>
          <w:szCs w:val="28"/>
          <w:lang w:val="ro-RO"/>
        </w:rPr>
        <w:t>% la sfârșitul anului 2027. În valori nominale soldul datoriei de stat va înregistra o majorare de la 139 813,6 mil. lei la sfârșitul anului 2025 până la 164 207,</w:t>
      </w:r>
      <w:r w:rsidR="00A31218" w:rsidRPr="003278ED">
        <w:rPr>
          <w:rFonts w:ascii="Times New Roman" w:hAnsi="Times New Roman"/>
          <w:sz w:val="24"/>
          <w:szCs w:val="28"/>
          <w:lang w:val="ro-RO"/>
        </w:rPr>
        <w:t>8</w:t>
      </w:r>
      <w:r w:rsidRPr="003278ED">
        <w:rPr>
          <w:rFonts w:ascii="Times New Roman" w:hAnsi="Times New Roman"/>
          <w:sz w:val="24"/>
          <w:szCs w:val="28"/>
          <w:lang w:val="ro-RO"/>
        </w:rPr>
        <w:t xml:space="preserve"> mil. lei la sfârșitul anului 202</w:t>
      </w:r>
      <w:r w:rsidR="00A31218" w:rsidRPr="003278ED">
        <w:rPr>
          <w:rFonts w:ascii="Times New Roman" w:hAnsi="Times New Roman"/>
          <w:sz w:val="24"/>
          <w:szCs w:val="28"/>
          <w:lang w:val="ro-RO"/>
        </w:rPr>
        <w:t>7</w:t>
      </w:r>
      <w:r w:rsidRPr="003278ED">
        <w:rPr>
          <w:rFonts w:ascii="Times New Roman" w:hAnsi="Times New Roman"/>
          <w:sz w:val="24"/>
          <w:szCs w:val="28"/>
          <w:lang w:val="ro-RO"/>
        </w:rPr>
        <w:t xml:space="preserve"> (tabelul 3.</w:t>
      </w:r>
      <w:r w:rsidR="00A41A1B" w:rsidRPr="003278ED">
        <w:rPr>
          <w:rFonts w:ascii="Times New Roman" w:hAnsi="Times New Roman"/>
          <w:sz w:val="24"/>
          <w:szCs w:val="28"/>
          <w:lang w:val="ro-RO"/>
        </w:rPr>
        <w:t>7</w:t>
      </w:r>
      <w:r w:rsidRPr="003278ED">
        <w:rPr>
          <w:rFonts w:ascii="Times New Roman" w:hAnsi="Times New Roman"/>
          <w:sz w:val="24"/>
          <w:szCs w:val="28"/>
          <w:lang w:val="ro-RO"/>
        </w:rPr>
        <w:t>). Deși în valori nominale datoria de stat va crește, ponderea acesteia în PIB va scădea ușor, indicând o posibilă creștere economică ce permite menținerea sustenabilității datoriei.</w:t>
      </w:r>
    </w:p>
    <w:p w14:paraId="5D1C1D5C" w14:textId="77777777" w:rsidR="006C5564" w:rsidRPr="003278ED" w:rsidRDefault="006C5564" w:rsidP="007D3A2B">
      <w:pPr>
        <w:pStyle w:val="Table"/>
        <w:spacing w:before="0" w:line="240" w:lineRule="auto"/>
        <w:ind w:firstLine="720"/>
        <w:jc w:val="right"/>
        <w:rPr>
          <w:rFonts w:ascii="Times New Roman" w:hAnsi="Times New Roman"/>
          <w:color w:val="auto"/>
          <w:sz w:val="24"/>
          <w:szCs w:val="28"/>
          <w:lang w:val="ro-RO"/>
        </w:rPr>
      </w:pPr>
    </w:p>
    <w:p w14:paraId="62C71AC2" w14:textId="77777777" w:rsidR="0098731F" w:rsidRPr="003278ED" w:rsidRDefault="0098731F" w:rsidP="007D3A2B">
      <w:pPr>
        <w:pStyle w:val="Table"/>
        <w:spacing w:before="0" w:line="240" w:lineRule="auto"/>
        <w:ind w:firstLine="720"/>
        <w:jc w:val="right"/>
        <w:rPr>
          <w:rFonts w:ascii="Times New Roman" w:hAnsi="Times New Roman"/>
          <w:b w:val="0"/>
          <w:color w:val="auto"/>
          <w:sz w:val="24"/>
          <w:szCs w:val="24"/>
          <w:lang w:val="ro-RO"/>
        </w:rPr>
      </w:pPr>
      <w:r w:rsidRPr="003278ED">
        <w:rPr>
          <w:rFonts w:ascii="Times New Roman" w:hAnsi="Times New Roman"/>
          <w:b w:val="0"/>
          <w:color w:val="auto"/>
          <w:sz w:val="24"/>
          <w:szCs w:val="28"/>
          <w:lang w:val="ro-RO"/>
        </w:rPr>
        <w:t>Tabelul 3.</w:t>
      </w:r>
      <w:r w:rsidR="00A41A1B" w:rsidRPr="003278ED">
        <w:rPr>
          <w:rFonts w:ascii="Times New Roman" w:hAnsi="Times New Roman"/>
          <w:b w:val="0"/>
          <w:color w:val="auto"/>
          <w:sz w:val="24"/>
          <w:szCs w:val="28"/>
          <w:lang w:val="ro-RO"/>
        </w:rPr>
        <w:t>7</w:t>
      </w:r>
    </w:p>
    <w:p w14:paraId="0B5A6C55" w14:textId="5D5C5E2A" w:rsidR="0098731F" w:rsidRDefault="0098731F" w:rsidP="007D3A2B">
      <w:pPr>
        <w:pStyle w:val="Table"/>
        <w:spacing w:before="0" w:line="240" w:lineRule="auto"/>
        <w:rPr>
          <w:rFonts w:ascii="Times New Roman" w:hAnsi="Times New Roman"/>
          <w:color w:val="auto"/>
          <w:sz w:val="24"/>
          <w:szCs w:val="28"/>
          <w:lang w:val="ro-RO"/>
        </w:rPr>
      </w:pPr>
      <w:r w:rsidRPr="003278ED">
        <w:rPr>
          <w:rFonts w:ascii="Times New Roman" w:hAnsi="Times New Roman"/>
          <w:color w:val="auto"/>
          <w:sz w:val="24"/>
          <w:szCs w:val="28"/>
          <w:lang w:val="ro-RO"/>
        </w:rPr>
        <w:t>Soldul datoriei de stat pentru anii 2022-2027</w:t>
      </w:r>
    </w:p>
    <w:p w14:paraId="3B9556C9" w14:textId="77777777" w:rsidR="00072588" w:rsidRPr="003278ED" w:rsidRDefault="00072588" w:rsidP="007D3A2B">
      <w:pPr>
        <w:pStyle w:val="Table"/>
        <w:spacing w:before="0" w:line="240" w:lineRule="auto"/>
        <w:rPr>
          <w:rFonts w:ascii="Times New Roman" w:hAnsi="Times New Roman"/>
          <w:color w:val="auto"/>
          <w:sz w:val="24"/>
          <w:szCs w:val="28"/>
          <w:lang w:val="ro-RO"/>
        </w:rPr>
      </w:pPr>
    </w:p>
    <w:p w14:paraId="26FAA2EA" w14:textId="77777777" w:rsidR="0098731F" w:rsidRPr="003278ED" w:rsidRDefault="0098731F" w:rsidP="007D3A2B">
      <w:pPr>
        <w:pStyle w:val="Table"/>
        <w:spacing w:before="0" w:line="240" w:lineRule="auto"/>
        <w:ind w:firstLine="720"/>
        <w:jc w:val="right"/>
        <w:rPr>
          <w:rFonts w:ascii="Times New Roman" w:hAnsi="Times New Roman"/>
          <w:b w:val="0"/>
          <w:szCs w:val="20"/>
          <w:lang w:val="ro-RO"/>
        </w:rPr>
      </w:pPr>
      <w:r w:rsidRPr="003278ED">
        <w:rPr>
          <w:rFonts w:ascii="Times New Roman" w:hAnsi="Times New Roman"/>
          <w:b w:val="0"/>
          <w:szCs w:val="20"/>
          <w:lang w:val="ro-RO"/>
        </w:rPr>
        <w:t>(</w:t>
      </w:r>
      <w:r w:rsidRPr="003278ED">
        <w:rPr>
          <w:rFonts w:ascii="Times New Roman" w:hAnsi="Times New Roman"/>
          <w:b w:val="0"/>
          <w:color w:val="000000"/>
          <w:szCs w:val="20"/>
          <w:lang w:val="ro-RO" w:eastAsia="ro-RO"/>
        </w:rPr>
        <w:t>% din PIB)</w:t>
      </w:r>
    </w:p>
    <w:tbl>
      <w:tblPr>
        <w:tblW w:w="5000" w:type="pct"/>
        <w:tblLayout w:type="fixed"/>
        <w:tblLook w:val="04A0" w:firstRow="1" w:lastRow="0" w:firstColumn="1" w:lastColumn="0" w:noHBand="0" w:noVBand="1"/>
      </w:tblPr>
      <w:tblGrid>
        <w:gridCol w:w="815"/>
        <w:gridCol w:w="953"/>
        <w:gridCol w:w="1523"/>
        <w:gridCol w:w="831"/>
        <w:gridCol w:w="833"/>
        <w:gridCol w:w="969"/>
        <w:gridCol w:w="1111"/>
        <w:gridCol w:w="1109"/>
        <w:gridCol w:w="1189"/>
      </w:tblGrid>
      <w:tr w:rsidR="00911963" w:rsidRPr="003278ED" w14:paraId="0BF94E9C" w14:textId="77777777" w:rsidTr="007B6BB8">
        <w:trPr>
          <w:trHeight w:val="580"/>
          <w:tblHeader/>
        </w:trPr>
        <w:tc>
          <w:tcPr>
            <w:tcW w:w="1764" w:type="pct"/>
            <w:gridSpan w:val="3"/>
            <w:shd w:val="clear" w:color="auto" w:fill="auto"/>
            <w:noWrap/>
            <w:hideMark/>
          </w:tcPr>
          <w:p w14:paraId="7848C106" w14:textId="77777777" w:rsidR="00B81132" w:rsidRPr="003278ED" w:rsidRDefault="00B81132"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445" w:type="pct"/>
            <w:shd w:val="clear" w:color="auto" w:fill="auto"/>
            <w:noWrap/>
            <w:hideMark/>
          </w:tcPr>
          <w:p w14:paraId="1A21F11A"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2022</w:t>
            </w:r>
          </w:p>
          <w:p w14:paraId="232B37E8"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e</w:t>
            </w:r>
            <w:r w:rsidR="00B81132" w:rsidRPr="003278ED">
              <w:rPr>
                <w:rFonts w:ascii="Times New Roman" w:hAnsi="Times New Roman" w:cs="Times New Roman"/>
                <w:b/>
                <w:color w:val="000000"/>
                <w:sz w:val="20"/>
                <w:szCs w:val="20"/>
                <w:lang w:eastAsia="ro-RO"/>
              </w:rPr>
              <w:t>fectiv</w:t>
            </w:r>
          </w:p>
        </w:tc>
        <w:tc>
          <w:tcPr>
            <w:tcW w:w="446" w:type="pct"/>
            <w:shd w:val="clear" w:color="auto" w:fill="auto"/>
            <w:noWrap/>
            <w:hideMark/>
          </w:tcPr>
          <w:p w14:paraId="4C0C815E"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2023</w:t>
            </w:r>
          </w:p>
          <w:p w14:paraId="16CBD4EF"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e</w:t>
            </w:r>
            <w:r w:rsidR="00B81132" w:rsidRPr="003278ED">
              <w:rPr>
                <w:rFonts w:ascii="Times New Roman" w:hAnsi="Times New Roman" w:cs="Times New Roman"/>
                <w:b/>
                <w:color w:val="000000"/>
                <w:sz w:val="20"/>
                <w:szCs w:val="20"/>
                <w:lang w:eastAsia="ro-RO"/>
              </w:rPr>
              <w:t>fectiv</w:t>
            </w:r>
          </w:p>
        </w:tc>
        <w:tc>
          <w:tcPr>
            <w:tcW w:w="519" w:type="pct"/>
            <w:shd w:val="clear" w:color="auto" w:fill="auto"/>
            <w:noWrap/>
            <w:hideMark/>
          </w:tcPr>
          <w:p w14:paraId="24B489E0"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2024</w:t>
            </w:r>
          </w:p>
          <w:p w14:paraId="3D1A20EE"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a</w:t>
            </w:r>
            <w:r w:rsidR="00B81132" w:rsidRPr="003278ED">
              <w:rPr>
                <w:rFonts w:ascii="Times New Roman" w:hAnsi="Times New Roman" w:cs="Times New Roman"/>
                <w:b/>
                <w:color w:val="000000"/>
                <w:sz w:val="20"/>
                <w:szCs w:val="20"/>
                <w:lang w:eastAsia="ro-RO"/>
              </w:rPr>
              <w:t>probat</w:t>
            </w:r>
          </w:p>
        </w:tc>
        <w:tc>
          <w:tcPr>
            <w:tcW w:w="595" w:type="pct"/>
            <w:shd w:val="clear" w:color="auto" w:fill="auto"/>
            <w:noWrap/>
            <w:hideMark/>
          </w:tcPr>
          <w:p w14:paraId="2E6E1A09"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2025</w:t>
            </w:r>
          </w:p>
          <w:p w14:paraId="50E9A15D"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p</w:t>
            </w:r>
            <w:r w:rsidR="00B81132" w:rsidRPr="003278ED">
              <w:rPr>
                <w:rFonts w:ascii="Times New Roman" w:hAnsi="Times New Roman" w:cs="Times New Roman"/>
                <w:b/>
                <w:color w:val="000000"/>
                <w:sz w:val="20"/>
                <w:szCs w:val="20"/>
                <w:lang w:eastAsia="ro-RO"/>
              </w:rPr>
              <w:t>rognozat</w:t>
            </w:r>
          </w:p>
        </w:tc>
        <w:tc>
          <w:tcPr>
            <w:tcW w:w="594" w:type="pct"/>
            <w:shd w:val="clear" w:color="auto" w:fill="auto"/>
            <w:noWrap/>
            <w:hideMark/>
          </w:tcPr>
          <w:p w14:paraId="2DE03B50"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2026</w:t>
            </w:r>
          </w:p>
          <w:p w14:paraId="0E502D54"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p</w:t>
            </w:r>
            <w:r w:rsidR="00B81132" w:rsidRPr="003278ED">
              <w:rPr>
                <w:rFonts w:ascii="Times New Roman" w:hAnsi="Times New Roman" w:cs="Times New Roman"/>
                <w:b/>
                <w:color w:val="000000"/>
                <w:sz w:val="20"/>
                <w:szCs w:val="20"/>
                <w:lang w:eastAsia="ro-RO"/>
              </w:rPr>
              <w:t>rognozat</w:t>
            </w:r>
          </w:p>
        </w:tc>
        <w:tc>
          <w:tcPr>
            <w:tcW w:w="637" w:type="pct"/>
            <w:shd w:val="clear" w:color="auto" w:fill="auto"/>
            <w:noWrap/>
            <w:hideMark/>
          </w:tcPr>
          <w:p w14:paraId="34E7AB02" w14:textId="77777777" w:rsidR="00B81132" w:rsidRPr="003278ED" w:rsidRDefault="00B81132"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2027</w:t>
            </w:r>
          </w:p>
          <w:p w14:paraId="36984E1C" w14:textId="77777777" w:rsidR="00B81132" w:rsidRPr="003278ED" w:rsidRDefault="00AD7E28" w:rsidP="007B6BB8">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color w:val="000000"/>
                <w:sz w:val="20"/>
                <w:szCs w:val="20"/>
                <w:lang w:eastAsia="ro-RO"/>
              </w:rPr>
              <w:t>p</w:t>
            </w:r>
            <w:r w:rsidR="00B81132" w:rsidRPr="003278ED">
              <w:rPr>
                <w:rFonts w:ascii="Times New Roman" w:hAnsi="Times New Roman" w:cs="Times New Roman"/>
                <w:b/>
                <w:color w:val="000000"/>
                <w:sz w:val="20"/>
                <w:szCs w:val="20"/>
                <w:lang w:eastAsia="ro-RO"/>
              </w:rPr>
              <w:t>rognozat</w:t>
            </w:r>
          </w:p>
        </w:tc>
      </w:tr>
      <w:tr w:rsidR="00911963" w:rsidRPr="003278ED" w14:paraId="455C200F" w14:textId="77777777" w:rsidTr="007B6BB8">
        <w:trPr>
          <w:trHeight w:val="420"/>
        </w:trPr>
        <w:tc>
          <w:tcPr>
            <w:tcW w:w="1764" w:type="pct"/>
            <w:gridSpan w:val="3"/>
            <w:shd w:val="clear" w:color="auto" w:fill="auto"/>
            <w:noWrap/>
            <w:hideMark/>
          </w:tcPr>
          <w:p w14:paraId="76496041"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en-GB"/>
              </w:rPr>
              <w:t>Total Soldul datoriei (la sfârșitul anului de gestiune)</w:t>
            </w:r>
          </w:p>
        </w:tc>
        <w:tc>
          <w:tcPr>
            <w:tcW w:w="445" w:type="pct"/>
            <w:shd w:val="clear" w:color="auto" w:fill="auto"/>
            <w:noWrap/>
            <w:hideMark/>
          </w:tcPr>
          <w:p w14:paraId="77FE968B"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34,5</w:t>
            </w:r>
          </w:p>
        </w:tc>
        <w:tc>
          <w:tcPr>
            <w:tcW w:w="446" w:type="pct"/>
            <w:shd w:val="clear" w:color="auto" w:fill="auto"/>
            <w:noWrap/>
            <w:hideMark/>
          </w:tcPr>
          <w:p w14:paraId="7CE2594A"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34,6</w:t>
            </w:r>
          </w:p>
        </w:tc>
        <w:tc>
          <w:tcPr>
            <w:tcW w:w="519" w:type="pct"/>
            <w:shd w:val="clear" w:color="auto" w:fill="auto"/>
            <w:noWrap/>
            <w:hideMark/>
          </w:tcPr>
          <w:p w14:paraId="12886366"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36,7</w:t>
            </w:r>
          </w:p>
        </w:tc>
        <w:tc>
          <w:tcPr>
            <w:tcW w:w="595" w:type="pct"/>
            <w:shd w:val="clear" w:color="auto" w:fill="auto"/>
            <w:noWrap/>
          </w:tcPr>
          <w:p w14:paraId="1559E8BE"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39,0</w:t>
            </w:r>
          </w:p>
        </w:tc>
        <w:tc>
          <w:tcPr>
            <w:tcW w:w="594" w:type="pct"/>
            <w:shd w:val="clear" w:color="auto" w:fill="auto"/>
            <w:noWrap/>
          </w:tcPr>
          <w:p w14:paraId="35428CB4"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38,9</w:t>
            </w:r>
          </w:p>
        </w:tc>
        <w:tc>
          <w:tcPr>
            <w:tcW w:w="637" w:type="pct"/>
            <w:shd w:val="clear" w:color="auto" w:fill="auto"/>
            <w:noWrap/>
          </w:tcPr>
          <w:p w14:paraId="551C9A66"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38,3</w:t>
            </w:r>
          </w:p>
        </w:tc>
      </w:tr>
      <w:tr w:rsidR="00911963" w:rsidRPr="003278ED" w14:paraId="566E8AB2" w14:textId="77777777" w:rsidTr="007B6BB8">
        <w:trPr>
          <w:trHeight w:val="360"/>
        </w:trPr>
        <w:tc>
          <w:tcPr>
            <w:tcW w:w="948" w:type="pct"/>
            <w:gridSpan w:val="2"/>
            <w:shd w:val="clear" w:color="auto" w:fill="auto"/>
            <w:noWrap/>
            <w:hideMark/>
          </w:tcPr>
          <w:p w14:paraId="7A46B397"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p>
        </w:tc>
        <w:tc>
          <w:tcPr>
            <w:tcW w:w="816" w:type="pct"/>
            <w:shd w:val="clear" w:color="auto" w:fill="auto"/>
            <w:noWrap/>
            <w:hideMark/>
          </w:tcPr>
          <w:p w14:paraId="0564A763" w14:textId="44E3CECE" w:rsidR="0098731F" w:rsidRPr="003278ED" w:rsidRDefault="007B6BB8"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xml:space="preserve">Datoria </w:t>
            </w:r>
            <w:r w:rsidR="0098731F" w:rsidRPr="003278ED">
              <w:rPr>
                <w:rFonts w:ascii="Times New Roman" w:hAnsi="Times New Roman" w:cs="Times New Roman"/>
                <w:color w:val="000000"/>
                <w:sz w:val="20"/>
                <w:szCs w:val="20"/>
                <w:lang w:eastAsia="ro-RO"/>
              </w:rPr>
              <w:t>externă</w:t>
            </w:r>
          </w:p>
        </w:tc>
        <w:tc>
          <w:tcPr>
            <w:tcW w:w="445" w:type="pct"/>
            <w:shd w:val="clear" w:color="auto" w:fill="auto"/>
            <w:hideMark/>
          </w:tcPr>
          <w:p w14:paraId="01763A70"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21,9</w:t>
            </w:r>
          </w:p>
        </w:tc>
        <w:tc>
          <w:tcPr>
            <w:tcW w:w="446" w:type="pct"/>
            <w:shd w:val="clear" w:color="auto" w:fill="auto"/>
            <w:hideMark/>
          </w:tcPr>
          <w:p w14:paraId="2FAC9A61"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21,4</w:t>
            </w:r>
          </w:p>
        </w:tc>
        <w:tc>
          <w:tcPr>
            <w:tcW w:w="519" w:type="pct"/>
            <w:shd w:val="clear" w:color="auto" w:fill="auto"/>
            <w:hideMark/>
          </w:tcPr>
          <w:p w14:paraId="0BAB3DDB"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23,7</w:t>
            </w:r>
          </w:p>
        </w:tc>
        <w:tc>
          <w:tcPr>
            <w:tcW w:w="595" w:type="pct"/>
            <w:shd w:val="clear" w:color="auto" w:fill="auto"/>
            <w:hideMark/>
          </w:tcPr>
          <w:p w14:paraId="4370A588"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23,5</w:t>
            </w:r>
          </w:p>
        </w:tc>
        <w:tc>
          <w:tcPr>
            <w:tcW w:w="594" w:type="pct"/>
            <w:shd w:val="clear" w:color="auto" w:fill="auto"/>
            <w:hideMark/>
          </w:tcPr>
          <w:p w14:paraId="538B1F9E"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22,2</w:t>
            </w:r>
          </w:p>
        </w:tc>
        <w:tc>
          <w:tcPr>
            <w:tcW w:w="637" w:type="pct"/>
            <w:shd w:val="clear" w:color="auto" w:fill="auto"/>
          </w:tcPr>
          <w:p w14:paraId="1B48E464"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20,7</w:t>
            </w:r>
          </w:p>
        </w:tc>
      </w:tr>
      <w:tr w:rsidR="00911963" w:rsidRPr="003278ED" w14:paraId="55243118" w14:textId="77777777" w:rsidTr="007B6BB8">
        <w:trPr>
          <w:trHeight w:val="360"/>
        </w:trPr>
        <w:tc>
          <w:tcPr>
            <w:tcW w:w="437" w:type="pct"/>
            <w:shd w:val="clear" w:color="auto" w:fill="auto"/>
            <w:noWrap/>
            <w:hideMark/>
          </w:tcPr>
          <w:p w14:paraId="69CBBB9C"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511" w:type="pct"/>
            <w:shd w:val="clear" w:color="auto" w:fill="auto"/>
            <w:noWrap/>
            <w:hideMark/>
          </w:tcPr>
          <w:p w14:paraId="47E92D8F"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816" w:type="pct"/>
            <w:shd w:val="clear" w:color="auto" w:fill="auto"/>
            <w:noWrap/>
            <w:hideMark/>
          </w:tcPr>
          <w:p w14:paraId="57859147"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Datoria internă</w:t>
            </w:r>
          </w:p>
        </w:tc>
        <w:tc>
          <w:tcPr>
            <w:tcW w:w="445" w:type="pct"/>
            <w:shd w:val="clear" w:color="auto" w:fill="auto"/>
            <w:hideMark/>
          </w:tcPr>
          <w:p w14:paraId="3A2331D3"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12,6</w:t>
            </w:r>
          </w:p>
        </w:tc>
        <w:tc>
          <w:tcPr>
            <w:tcW w:w="446" w:type="pct"/>
            <w:shd w:val="clear" w:color="auto" w:fill="auto"/>
            <w:hideMark/>
          </w:tcPr>
          <w:p w14:paraId="733B4E1B"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13,2</w:t>
            </w:r>
          </w:p>
        </w:tc>
        <w:tc>
          <w:tcPr>
            <w:tcW w:w="519" w:type="pct"/>
            <w:shd w:val="clear" w:color="auto" w:fill="auto"/>
            <w:hideMark/>
          </w:tcPr>
          <w:p w14:paraId="45305593"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13,0</w:t>
            </w:r>
          </w:p>
        </w:tc>
        <w:tc>
          <w:tcPr>
            <w:tcW w:w="595" w:type="pct"/>
            <w:shd w:val="clear" w:color="auto" w:fill="auto"/>
            <w:hideMark/>
          </w:tcPr>
          <w:p w14:paraId="6A4FB44D"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15,5</w:t>
            </w:r>
          </w:p>
        </w:tc>
        <w:tc>
          <w:tcPr>
            <w:tcW w:w="594" w:type="pct"/>
            <w:shd w:val="clear" w:color="auto" w:fill="auto"/>
            <w:hideMark/>
          </w:tcPr>
          <w:p w14:paraId="0EC4EE41"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16,7</w:t>
            </w:r>
          </w:p>
        </w:tc>
        <w:tc>
          <w:tcPr>
            <w:tcW w:w="637" w:type="pct"/>
            <w:shd w:val="clear" w:color="auto" w:fill="auto"/>
          </w:tcPr>
          <w:p w14:paraId="33F4E5E4"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17,6</w:t>
            </w:r>
          </w:p>
        </w:tc>
      </w:tr>
      <w:tr w:rsidR="0098731F" w:rsidRPr="003278ED" w14:paraId="33089ACC" w14:textId="77777777" w:rsidTr="007B6BB8">
        <w:trPr>
          <w:trHeight w:val="198"/>
        </w:trPr>
        <w:tc>
          <w:tcPr>
            <w:tcW w:w="1764" w:type="pct"/>
            <w:gridSpan w:val="3"/>
            <w:shd w:val="clear" w:color="auto" w:fill="auto"/>
            <w:noWrap/>
            <w:hideMark/>
          </w:tcPr>
          <w:p w14:paraId="687C5AAE" w14:textId="77777777" w:rsidR="0098731F" w:rsidRPr="003278ED" w:rsidRDefault="0098731F" w:rsidP="007D3A2B">
            <w:pPr>
              <w:spacing w:after="0" w:line="240" w:lineRule="auto"/>
              <w:rPr>
                <w:rFonts w:ascii="Times New Roman" w:hAnsi="Times New Roman" w:cs="Times New Roman"/>
                <w:b/>
                <w:bCs/>
                <w:color w:val="000000"/>
                <w:sz w:val="20"/>
                <w:szCs w:val="20"/>
                <w:lang w:eastAsia="ro-RO"/>
              </w:rPr>
            </w:pPr>
          </w:p>
        </w:tc>
        <w:tc>
          <w:tcPr>
            <w:tcW w:w="445" w:type="pct"/>
            <w:shd w:val="clear" w:color="auto" w:fill="auto"/>
            <w:noWrap/>
            <w:hideMark/>
          </w:tcPr>
          <w:p w14:paraId="05AFB3CF" w14:textId="77777777" w:rsidR="0098731F" w:rsidRPr="003278ED" w:rsidRDefault="0098731F" w:rsidP="007D3A2B">
            <w:pPr>
              <w:spacing w:after="0" w:line="240" w:lineRule="auto"/>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 </w:t>
            </w:r>
          </w:p>
        </w:tc>
        <w:tc>
          <w:tcPr>
            <w:tcW w:w="2791" w:type="pct"/>
            <w:gridSpan w:val="5"/>
            <w:shd w:val="clear" w:color="auto" w:fill="auto"/>
            <w:noWrap/>
            <w:hideMark/>
          </w:tcPr>
          <w:p w14:paraId="4091C392" w14:textId="77777777" w:rsidR="0098731F" w:rsidRPr="003278ED" w:rsidRDefault="0098731F" w:rsidP="007D3A2B">
            <w:pPr>
              <w:pStyle w:val="Table"/>
              <w:spacing w:before="0" w:line="240" w:lineRule="auto"/>
              <w:jc w:val="left"/>
              <w:rPr>
                <w:rFonts w:ascii="Times New Roman" w:hAnsi="Times New Roman"/>
                <w:b w:val="0"/>
                <w:bCs/>
                <w:color w:val="000000"/>
                <w:szCs w:val="20"/>
                <w:lang w:val="ro-RO" w:eastAsia="ro-RO"/>
              </w:rPr>
            </w:pPr>
            <w:r w:rsidRPr="003278ED">
              <w:rPr>
                <w:rFonts w:ascii="Times New Roman" w:hAnsi="Times New Roman"/>
                <w:b w:val="0"/>
                <w:szCs w:val="20"/>
                <w:lang w:val="ro-RO"/>
              </w:rPr>
              <w:t xml:space="preserve">       (</w:t>
            </w:r>
            <w:r w:rsidRPr="003278ED">
              <w:rPr>
                <w:rFonts w:ascii="Times New Roman" w:hAnsi="Times New Roman"/>
                <w:b w:val="0"/>
                <w:color w:val="000000"/>
                <w:szCs w:val="20"/>
                <w:lang w:val="ro-RO" w:eastAsia="ro-RO"/>
              </w:rPr>
              <w:t>mil. lei)</w:t>
            </w:r>
            <w:r w:rsidRPr="003278ED">
              <w:rPr>
                <w:rFonts w:ascii="Times New Roman" w:hAnsi="Times New Roman"/>
                <w:bCs/>
                <w:color w:val="000000"/>
                <w:szCs w:val="20"/>
                <w:lang w:val="ro-RO" w:eastAsia="ro-RO"/>
              </w:rPr>
              <w:t> </w:t>
            </w:r>
            <w:r w:rsidRPr="003278ED">
              <w:rPr>
                <w:rFonts w:ascii="Times New Roman" w:hAnsi="Times New Roman"/>
                <w:b w:val="0"/>
                <w:bCs/>
                <w:color w:val="000000"/>
                <w:szCs w:val="20"/>
                <w:lang w:val="ro-RO" w:eastAsia="ro-RO"/>
              </w:rPr>
              <w:t> </w:t>
            </w:r>
          </w:p>
        </w:tc>
      </w:tr>
      <w:tr w:rsidR="00911963" w:rsidRPr="003278ED" w14:paraId="0AEC2CE0" w14:textId="77777777" w:rsidTr="007B6BB8">
        <w:tblPrEx>
          <w:tblCellMar>
            <w:top w:w="15" w:type="dxa"/>
            <w:bottom w:w="15" w:type="dxa"/>
          </w:tblCellMar>
        </w:tblPrEx>
        <w:trPr>
          <w:trHeight w:val="268"/>
        </w:trPr>
        <w:tc>
          <w:tcPr>
            <w:tcW w:w="1764" w:type="pct"/>
            <w:gridSpan w:val="3"/>
            <w:noWrap/>
            <w:hideMark/>
          </w:tcPr>
          <w:p w14:paraId="6C274705"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Total Soldul datoriei (la sfârșitul anului de gestiune)</w:t>
            </w:r>
          </w:p>
        </w:tc>
        <w:tc>
          <w:tcPr>
            <w:tcW w:w="445" w:type="pct"/>
            <w:noWrap/>
            <w:hideMark/>
          </w:tcPr>
          <w:p w14:paraId="39DC6C86" w14:textId="77777777" w:rsidR="0098731F" w:rsidRPr="003278ED" w:rsidRDefault="0098731F" w:rsidP="007D3A2B">
            <w:pPr>
              <w:spacing w:after="0" w:line="240" w:lineRule="auto"/>
              <w:ind w:left="-183" w:right="-163"/>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94 660,1</w:t>
            </w:r>
          </w:p>
        </w:tc>
        <w:tc>
          <w:tcPr>
            <w:tcW w:w="446" w:type="pct"/>
            <w:noWrap/>
            <w:hideMark/>
          </w:tcPr>
          <w:p w14:paraId="583C251F" w14:textId="77777777" w:rsidR="0098731F" w:rsidRPr="003278ED" w:rsidRDefault="0098731F" w:rsidP="007D3A2B">
            <w:pPr>
              <w:spacing w:after="0" w:line="240" w:lineRule="auto"/>
              <w:ind w:left="-202" w:right="-140"/>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104 003,1</w:t>
            </w:r>
          </w:p>
        </w:tc>
        <w:tc>
          <w:tcPr>
            <w:tcW w:w="519" w:type="pct"/>
            <w:noWrap/>
            <w:hideMark/>
          </w:tcPr>
          <w:p w14:paraId="16690B4D" w14:textId="77777777" w:rsidR="0098731F" w:rsidRPr="003278ED" w:rsidRDefault="0098731F" w:rsidP="007D3A2B">
            <w:pPr>
              <w:spacing w:after="0" w:line="240" w:lineRule="auto"/>
              <w:ind w:right="-90"/>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125 525,7</w:t>
            </w:r>
          </w:p>
        </w:tc>
        <w:tc>
          <w:tcPr>
            <w:tcW w:w="595" w:type="pct"/>
            <w:noWrap/>
            <w:hideMark/>
          </w:tcPr>
          <w:p w14:paraId="56E3582C"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139 813,6</w:t>
            </w:r>
          </w:p>
        </w:tc>
        <w:tc>
          <w:tcPr>
            <w:tcW w:w="594" w:type="pct"/>
          </w:tcPr>
          <w:p w14:paraId="6ABA6999"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152 846,8</w:t>
            </w:r>
          </w:p>
        </w:tc>
        <w:tc>
          <w:tcPr>
            <w:tcW w:w="637" w:type="pct"/>
            <w:noWrap/>
          </w:tcPr>
          <w:p w14:paraId="0C71F5B7"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en-GB"/>
              </w:rPr>
            </w:pPr>
            <w:r w:rsidRPr="003278ED">
              <w:rPr>
                <w:rFonts w:ascii="Times New Roman" w:hAnsi="Times New Roman" w:cs="Times New Roman"/>
                <w:b/>
                <w:bCs/>
                <w:color w:val="000000"/>
                <w:sz w:val="20"/>
                <w:szCs w:val="20"/>
                <w:lang w:eastAsia="en-GB"/>
              </w:rPr>
              <w:t>164 207,8</w:t>
            </w:r>
          </w:p>
        </w:tc>
      </w:tr>
      <w:tr w:rsidR="00911963" w:rsidRPr="003278ED" w14:paraId="0827660C" w14:textId="77777777" w:rsidTr="007B6BB8">
        <w:tblPrEx>
          <w:tblCellMar>
            <w:top w:w="15" w:type="dxa"/>
            <w:bottom w:w="15" w:type="dxa"/>
          </w:tblCellMar>
        </w:tblPrEx>
        <w:trPr>
          <w:trHeight w:val="360"/>
        </w:trPr>
        <w:tc>
          <w:tcPr>
            <w:tcW w:w="437" w:type="pct"/>
            <w:noWrap/>
            <w:hideMark/>
          </w:tcPr>
          <w:p w14:paraId="2182341D" w14:textId="77777777" w:rsidR="0098731F" w:rsidRPr="003278ED" w:rsidRDefault="0098731F" w:rsidP="007D3A2B">
            <w:pPr>
              <w:spacing w:after="0" w:line="240" w:lineRule="auto"/>
              <w:rPr>
                <w:rFonts w:ascii="Times New Roman" w:hAnsi="Times New Roman" w:cs="Times New Roman"/>
                <w:b/>
                <w:bCs/>
                <w:color w:val="000000"/>
                <w:sz w:val="20"/>
                <w:szCs w:val="20"/>
                <w:lang w:eastAsia="en-GB"/>
              </w:rPr>
            </w:pPr>
          </w:p>
        </w:tc>
        <w:tc>
          <w:tcPr>
            <w:tcW w:w="511" w:type="pct"/>
            <w:noWrap/>
            <w:hideMark/>
          </w:tcPr>
          <w:p w14:paraId="1B1612DB"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p>
        </w:tc>
        <w:tc>
          <w:tcPr>
            <w:tcW w:w="816" w:type="pct"/>
            <w:noWrap/>
            <w:hideMark/>
          </w:tcPr>
          <w:p w14:paraId="38DE18A0"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Datoria externă</w:t>
            </w:r>
          </w:p>
        </w:tc>
        <w:tc>
          <w:tcPr>
            <w:tcW w:w="445" w:type="pct"/>
            <w:noWrap/>
            <w:hideMark/>
          </w:tcPr>
          <w:p w14:paraId="3B638D63" w14:textId="77777777" w:rsidR="0098731F" w:rsidRPr="003278ED" w:rsidRDefault="0098731F" w:rsidP="007D3A2B">
            <w:pPr>
              <w:spacing w:after="0" w:line="240" w:lineRule="auto"/>
              <w:ind w:left="-183" w:right="-163"/>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60 167,7</w:t>
            </w:r>
          </w:p>
        </w:tc>
        <w:tc>
          <w:tcPr>
            <w:tcW w:w="446" w:type="pct"/>
            <w:noWrap/>
            <w:hideMark/>
          </w:tcPr>
          <w:p w14:paraId="7533F1F1" w14:textId="77777777" w:rsidR="0098731F" w:rsidRPr="003278ED" w:rsidRDefault="0098731F" w:rsidP="007D3A2B">
            <w:pPr>
              <w:spacing w:after="0" w:line="240" w:lineRule="auto"/>
              <w:ind w:right="-137"/>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64 337,0</w:t>
            </w:r>
          </w:p>
        </w:tc>
        <w:tc>
          <w:tcPr>
            <w:tcW w:w="519" w:type="pct"/>
            <w:noWrap/>
            <w:hideMark/>
          </w:tcPr>
          <w:p w14:paraId="64D5A8BA"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80 958,9</w:t>
            </w:r>
          </w:p>
        </w:tc>
        <w:tc>
          <w:tcPr>
            <w:tcW w:w="595" w:type="pct"/>
            <w:noWrap/>
            <w:hideMark/>
          </w:tcPr>
          <w:p w14:paraId="73B6E346"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84 301,9</w:t>
            </w:r>
          </w:p>
        </w:tc>
        <w:tc>
          <w:tcPr>
            <w:tcW w:w="594" w:type="pct"/>
          </w:tcPr>
          <w:p w14:paraId="4A39F05C"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87 141,1</w:t>
            </w:r>
          </w:p>
        </w:tc>
        <w:tc>
          <w:tcPr>
            <w:tcW w:w="637" w:type="pct"/>
          </w:tcPr>
          <w:p w14:paraId="2BC6E40C"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88 581,5</w:t>
            </w:r>
          </w:p>
        </w:tc>
      </w:tr>
      <w:tr w:rsidR="00911963" w:rsidRPr="003278ED" w14:paraId="10F2D1FE" w14:textId="77777777" w:rsidTr="007B6BB8">
        <w:tblPrEx>
          <w:tblCellMar>
            <w:top w:w="15" w:type="dxa"/>
            <w:bottom w:w="15" w:type="dxa"/>
          </w:tblCellMar>
        </w:tblPrEx>
        <w:trPr>
          <w:trHeight w:val="294"/>
        </w:trPr>
        <w:tc>
          <w:tcPr>
            <w:tcW w:w="437" w:type="pct"/>
            <w:noWrap/>
            <w:hideMark/>
          </w:tcPr>
          <w:p w14:paraId="6A828AFC" w14:textId="77777777" w:rsidR="0098731F" w:rsidRPr="003278ED" w:rsidRDefault="0098731F" w:rsidP="007D3A2B">
            <w:pPr>
              <w:spacing w:after="0" w:line="240" w:lineRule="auto"/>
              <w:rPr>
                <w:rFonts w:ascii="Times New Roman" w:hAnsi="Times New Roman" w:cs="Times New Roman"/>
                <w:sz w:val="20"/>
                <w:szCs w:val="20"/>
                <w:lang w:eastAsia="en-GB"/>
              </w:rPr>
            </w:pPr>
          </w:p>
        </w:tc>
        <w:tc>
          <w:tcPr>
            <w:tcW w:w="511" w:type="pct"/>
            <w:noWrap/>
            <w:hideMark/>
          </w:tcPr>
          <w:p w14:paraId="2D1AE154" w14:textId="77777777" w:rsidR="0098731F" w:rsidRPr="003278ED" w:rsidRDefault="0098731F" w:rsidP="007D3A2B">
            <w:pPr>
              <w:spacing w:after="0" w:line="240" w:lineRule="auto"/>
              <w:rPr>
                <w:rFonts w:ascii="Times New Roman" w:hAnsi="Times New Roman" w:cs="Times New Roman"/>
                <w:sz w:val="20"/>
                <w:szCs w:val="20"/>
                <w:lang w:eastAsia="en-GB"/>
              </w:rPr>
            </w:pPr>
          </w:p>
        </w:tc>
        <w:tc>
          <w:tcPr>
            <w:tcW w:w="816" w:type="pct"/>
            <w:noWrap/>
            <w:hideMark/>
          </w:tcPr>
          <w:p w14:paraId="7B43300C" w14:textId="77777777" w:rsidR="0098731F" w:rsidRPr="003278ED" w:rsidRDefault="0098731F" w:rsidP="007D3A2B">
            <w:pPr>
              <w:spacing w:after="0" w:line="240" w:lineRule="auto"/>
              <w:rPr>
                <w:rFonts w:ascii="Times New Roman" w:hAnsi="Times New Roman" w:cs="Times New Roman"/>
                <w:color w:val="000000"/>
                <w:sz w:val="20"/>
                <w:szCs w:val="20"/>
                <w:lang w:eastAsia="en-GB"/>
              </w:rPr>
            </w:pPr>
            <w:r w:rsidRPr="003278ED">
              <w:rPr>
                <w:rFonts w:ascii="Times New Roman" w:hAnsi="Times New Roman" w:cs="Times New Roman"/>
                <w:color w:val="000000"/>
                <w:sz w:val="20"/>
                <w:szCs w:val="20"/>
                <w:lang w:eastAsia="en-GB"/>
              </w:rPr>
              <w:t>Datoria internă</w:t>
            </w:r>
          </w:p>
        </w:tc>
        <w:tc>
          <w:tcPr>
            <w:tcW w:w="445" w:type="pct"/>
            <w:noWrap/>
            <w:hideMark/>
          </w:tcPr>
          <w:p w14:paraId="5B974913" w14:textId="77777777" w:rsidR="0098731F" w:rsidRPr="003278ED" w:rsidRDefault="0098731F" w:rsidP="007D3A2B">
            <w:pPr>
              <w:spacing w:after="0" w:line="240" w:lineRule="auto"/>
              <w:ind w:right="-163"/>
              <w:rPr>
                <w:rFonts w:ascii="Times New Roman" w:hAnsi="Times New Roman" w:cs="Times New Roman"/>
                <w:sz w:val="20"/>
                <w:szCs w:val="20"/>
                <w:lang w:eastAsia="en-GB"/>
              </w:rPr>
            </w:pPr>
            <w:r w:rsidRPr="003278ED">
              <w:rPr>
                <w:rFonts w:ascii="Times New Roman" w:hAnsi="Times New Roman" w:cs="Times New Roman"/>
                <w:sz w:val="20"/>
                <w:szCs w:val="20"/>
                <w:lang w:eastAsia="en-GB"/>
              </w:rPr>
              <w:t>34 492,4</w:t>
            </w:r>
          </w:p>
        </w:tc>
        <w:tc>
          <w:tcPr>
            <w:tcW w:w="446" w:type="pct"/>
            <w:noWrap/>
            <w:hideMark/>
          </w:tcPr>
          <w:p w14:paraId="55DB3C89" w14:textId="77777777" w:rsidR="0098731F" w:rsidRPr="003278ED" w:rsidRDefault="0098731F" w:rsidP="007D3A2B">
            <w:pPr>
              <w:spacing w:after="0" w:line="240" w:lineRule="auto"/>
              <w:ind w:right="-140"/>
              <w:rPr>
                <w:rFonts w:ascii="Times New Roman" w:hAnsi="Times New Roman" w:cs="Times New Roman"/>
                <w:sz w:val="20"/>
                <w:szCs w:val="20"/>
                <w:lang w:eastAsia="en-GB"/>
              </w:rPr>
            </w:pPr>
            <w:r w:rsidRPr="003278ED">
              <w:rPr>
                <w:rFonts w:ascii="Times New Roman" w:hAnsi="Times New Roman" w:cs="Times New Roman"/>
                <w:sz w:val="20"/>
                <w:szCs w:val="20"/>
                <w:lang w:eastAsia="en-GB"/>
              </w:rPr>
              <w:t xml:space="preserve"> 39 666,1</w:t>
            </w:r>
          </w:p>
        </w:tc>
        <w:tc>
          <w:tcPr>
            <w:tcW w:w="519" w:type="pct"/>
            <w:noWrap/>
            <w:hideMark/>
          </w:tcPr>
          <w:p w14:paraId="56AE3D6B" w14:textId="77777777" w:rsidR="0098731F" w:rsidRPr="003278ED" w:rsidRDefault="0098731F" w:rsidP="007D3A2B">
            <w:pPr>
              <w:spacing w:after="0" w:line="240" w:lineRule="auto"/>
              <w:rPr>
                <w:rFonts w:ascii="Times New Roman" w:hAnsi="Times New Roman" w:cs="Times New Roman"/>
                <w:sz w:val="20"/>
                <w:szCs w:val="20"/>
                <w:lang w:eastAsia="en-GB"/>
              </w:rPr>
            </w:pPr>
            <w:r w:rsidRPr="003278ED">
              <w:rPr>
                <w:rFonts w:ascii="Times New Roman" w:hAnsi="Times New Roman" w:cs="Times New Roman"/>
                <w:sz w:val="20"/>
                <w:szCs w:val="20"/>
                <w:lang w:eastAsia="en-GB"/>
              </w:rPr>
              <w:t xml:space="preserve">44 566,8 </w:t>
            </w:r>
          </w:p>
        </w:tc>
        <w:tc>
          <w:tcPr>
            <w:tcW w:w="595" w:type="pct"/>
            <w:noWrap/>
            <w:hideMark/>
          </w:tcPr>
          <w:p w14:paraId="7577100E" w14:textId="77777777" w:rsidR="0098731F" w:rsidRPr="003278ED" w:rsidRDefault="0098731F" w:rsidP="007D3A2B">
            <w:pPr>
              <w:spacing w:after="0" w:line="240" w:lineRule="auto"/>
              <w:rPr>
                <w:rFonts w:ascii="Times New Roman" w:hAnsi="Times New Roman" w:cs="Times New Roman"/>
                <w:sz w:val="20"/>
                <w:szCs w:val="20"/>
                <w:lang w:eastAsia="en-GB"/>
              </w:rPr>
            </w:pPr>
            <w:r w:rsidRPr="003278ED">
              <w:rPr>
                <w:rFonts w:ascii="Times New Roman" w:hAnsi="Times New Roman" w:cs="Times New Roman"/>
                <w:sz w:val="20"/>
                <w:szCs w:val="20"/>
                <w:lang w:eastAsia="en-GB"/>
              </w:rPr>
              <w:t>55 511,7</w:t>
            </w:r>
          </w:p>
        </w:tc>
        <w:tc>
          <w:tcPr>
            <w:tcW w:w="594" w:type="pct"/>
          </w:tcPr>
          <w:p w14:paraId="73AFCF49" w14:textId="77777777" w:rsidR="0098731F" w:rsidRPr="003278ED" w:rsidRDefault="0098731F" w:rsidP="007D3A2B">
            <w:pPr>
              <w:spacing w:after="0" w:line="240" w:lineRule="auto"/>
              <w:rPr>
                <w:rFonts w:ascii="Times New Roman" w:hAnsi="Times New Roman" w:cs="Times New Roman"/>
                <w:sz w:val="20"/>
                <w:szCs w:val="20"/>
                <w:lang w:eastAsia="en-GB"/>
              </w:rPr>
            </w:pPr>
            <w:r w:rsidRPr="003278ED">
              <w:rPr>
                <w:rFonts w:ascii="Times New Roman" w:hAnsi="Times New Roman" w:cs="Times New Roman"/>
                <w:sz w:val="20"/>
                <w:szCs w:val="20"/>
                <w:lang w:eastAsia="en-GB"/>
              </w:rPr>
              <w:t xml:space="preserve"> 65 705,7</w:t>
            </w:r>
          </w:p>
        </w:tc>
        <w:tc>
          <w:tcPr>
            <w:tcW w:w="637" w:type="pct"/>
            <w:noWrap/>
          </w:tcPr>
          <w:p w14:paraId="3AB01A6E" w14:textId="77777777" w:rsidR="0098731F" w:rsidRPr="003278ED" w:rsidRDefault="0098731F" w:rsidP="007D3A2B">
            <w:pPr>
              <w:spacing w:after="0" w:line="240" w:lineRule="auto"/>
              <w:rPr>
                <w:rFonts w:ascii="Times New Roman" w:hAnsi="Times New Roman" w:cs="Times New Roman"/>
                <w:sz w:val="20"/>
                <w:szCs w:val="20"/>
                <w:lang w:eastAsia="en-GB"/>
              </w:rPr>
            </w:pPr>
            <w:r w:rsidRPr="003278ED">
              <w:rPr>
                <w:rFonts w:ascii="Times New Roman" w:hAnsi="Times New Roman" w:cs="Times New Roman"/>
                <w:sz w:val="20"/>
                <w:szCs w:val="20"/>
                <w:lang w:eastAsia="en-GB"/>
              </w:rPr>
              <w:t>75 626,3</w:t>
            </w:r>
          </w:p>
        </w:tc>
      </w:tr>
    </w:tbl>
    <w:p w14:paraId="3E5A15FC" w14:textId="77777777" w:rsidR="00072588" w:rsidRDefault="00072588" w:rsidP="007D3A2B">
      <w:pPr>
        <w:spacing w:after="0" w:line="240" w:lineRule="auto"/>
        <w:jc w:val="center"/>
        <w:rPr>
          <w:rFonts w:ascii="Times New Roman" w:hAnsi="Times New Roman" w:cs="Times New Roman"/>
          <w:b/>
          <w:i/>
          <w:color w:val="000000"/>
          <w:sz w:val="20"/>
          <w:szCs w:val="20"/>
          <w:lang w:eastAsia="ro-RO"/>
        </w:rPr>
      </w:pPr>
    </w:p>
    <w:p w14:paraId="4E6EC38E" w14:textId="1A4E0672" w:rsidR="0098731F" w:rsidRPr="003278ED" w:rsidRDefault="0098731F" w:rsidP="007D3A2B">
      <w:pPr>
        <w:spacing w:after="0" w:line="240" w:lineRule="auto"/>
        <w:jc w:val="center"/>
        <w:rPr>
          <w:rFonts w:ascii="Times New Roman" w:hAnsi="Times New Roman" w:cs="Times New Roman"/>
          <w:i/>
          <w:color w:val="000000"/>
          <w:sz w:val="20"/>
          <w:szCs w:val="20"/>
          <w:lang w:eastAsia="ro-RO"/>
        </w:rPr>
      </w:pPr>
      <w:r w:rsidRPr="00BF3B68">
        <w:rPr>
          <w:rFonts w:ascii="Times New Roman" w:hAnsi="Times New Roman" w:cs="Times New Roman"/>
          <w:b/>
          <w:i/>
          <w:color w:val="000000"/>
          <w:sz w:val="20"/>
          <w:szCs w:val="20"/>
          <w:lang w:eastAsia="ro-RO"/>
        </w:rPr>
        <w:t>Sursa:</w:t>
      </w:r>
      <w:r w:rsidRPr="003278ED">
        <w:rPr>
          <w:rFonts w:ascii="Times New Roman" w:hAnsi="Times New Roman" w:cs="Times New Roman"/>
          <w:i/>
          <w:color w:val="000000"/>
          <w:sz w:val="20"/>
          <w:szCs w:val="20"/>
          <w:lang w:eastAsia="ro-RO"/>
        </w:rPr>
        <w:t xml:space="preserve">  Ministerul Finanțelor</w:t>
      </w:r>
    </w:p>
    <w:p w14:paraId="0A5106F7" w14:textId="566A533E" w:rsidR="0098731F" w:rsidRPr="003278ED" w:rsidRDefault="0098731F" w:rsidP="007D3A2B">
      <w:pPr>
        <w:pStyle w:val="Numberedtex"/>
        <w:numPr>
          <w:ilvl w:val="0"/>
          <w:numId w:val="0"/>
        </w:numPr>
        <w:spacing w:before="0" w:after="0" w:line="240" w:lineRule="auto"/>
        <w:ind w:firstLine="720"/>
        <w:rPr>
          <w:rFonts w:ascii="Times New Roman" w:hAnsi="Times New Roman"/>
          <w:sz w:val="24"/>
          <w:szCs w:val="28"/>
          <w:lang w:val="ro-RO"/>
        </w:rPr>
      </w:pPr>
    </w:p>
    <w:p w14:paraId="6184E62E" w14:textId="15028739" w:rsidR="0098731F" w:rsidRPr="003278ED" w:rsidRDefault="0098731F" w:rsidP="007D3A2B">
      <w:pPr>
        <w:pStyle w:val="Numberedtex"/>
        <w:numPr>
          <w:ilvl w:val="0"/>
          <w:numId w:val="0"/>
        </w:numPr>
        <w:spacing w:before="0" w:after="0" w:line="240" w:lineRule="auto"/>
        <w:ind w:firstLine="720"/>
        <w:rPr>
          <w:b/>
          <w:sz w:val="24"/>
          <w:szCs w:val="28"/>
          <w:lang w:val="ro-RO"/>
        </w:rPr>
      </w:pPr>
      <w:r w:rsidRPr="003278ED">
        <w:rPr>
          <w:rFonts w:ascii="Times New Roman" w:hAnsi="Times New Roman"/>
          <w:sz w:val="24"/>
          <w:szCs w:val="28"/>
          <w:lang w:val="ro-RO"/>
        </w:rPr>
        <w:t xml:space="preserve">Din calculele prezentate se evidențiază că datoria de stat este prognozată la un nivel sustenabil pentru economia națională. În vederea monitorizării sustenabilității datoriei </w:t>
      </w:r>
      <w:proofErr w:type="spellStart"/>
      <w:r w:rsidRPr="003278ED">
        <w:rPr>
          <w:rFonts w:ascii="Times New Roman" w:hAnsi="Times New Roman"/>
          <w:sz w:val="24"/>
          <w:szCs w:val="28"/>
          <w:lang w:val="ro-RO"/>
        </w:rPr>
        <w:t>şi</w:t>
      </w:r>
      <w:proofErr w:type="spellEnd"/>
      <w:r w:rsidRPr="003278ED">
        <w:rPr>
          <w:rFonts w:ascii="Times New Roman" w:hAnsi="Times New Roman"/>
          <w:sz w:val="24"/>
          <w:szCs w:val="28"/>
          <w:lang w:val="ro-RO"/>
        </w:rPr>
        <w:t xml:space="preserve"> reduce</w:t>
      </w:r>
      <w:r w:rsidR="007B6BB8" w:rsidRPr="003278ED">
        <w:rPr>
          <w:rFonts w:ascii="Times New Roman" w:hAnsi="Times New Roman"/>
          <w:sz w:val="24"/>
          <w:szCs w:val="28"/>
          <w:lang w:val="ro-RO"/>
        </w:rPr>
        <w:t>rii</w:t>
      </w:r>
      <w:r w:rsidRPr="003278ED">
        <w:rPr>
          <w:rFonts w:ascii="Times New Roman" w:hAnsi="Times New Roman"/>
          <w:sz w:val="24"/>
          <w:szCs w:val="28"/>
          <w:lang w:val="ro-RO"/>
        </w:rPr>
        <w:t xml:space="preserve"> riscuril</w:t>
      </w:r>
      <w:r w:rsidR="007B6BB8" w:rsidRPr="003278ED">
        <w:rPr>
          <w:rFonts w:ascii="Times New Roman" w:hAnsi="Times New Roman"/>
          <w:sz w:val="24"/>
          <w:szCs w:val="28"/>
          <w:lang w:val="ro-RO"/>
        </w:rPr>
        <w:t>or</w:t>
      </w:r>
      <w:r w:rsidRPr="003278ED">
        <w:rPr>
          <w:rFonts w:ascii="Times New Roman" w:hAnsi="Times New Roman"/>
          <w:sz w:val="24"/>
          <w:szCs w:val="28"/>
          <w:lang w:val="ro-RO"/>
        </w:rPr>
        <w:t xml:space="preserve"> asociate, Ministerul Finanțelor elaborează anual Programul „Managementul datoriei de stat pe termen mediu”. Acest program definește strategia de finanțare a soldului (deficitului) bugetului de stat și identifică factorii de cost și risc aferenți posibilelor schimbări ale condițiilor de piață și necesităților de finanțare. Printre măsurile incluse se numără menținerea sub control a riscului de refinanțare prin extinderea scadențelor VMS, reducerea riscului valutar prin creșterea ponderii datoriei interne în totalul datoriei de stat și creșterea ponderii datoriei de stat cu dobândă fixă.</w:t>
      </w:r>
    </w:p>
    <w:p w14:paraId="427F523F" w14:textId="56A29847" w:rsidR="0098731F" w:rsidRPr="003278ED" w:rsidRDefault="0098731F" w:rsidP="007D3A2B">
      <w:pPr>
        <w:pStyle w:val="Numberedtex"/>
        <w:numPr>
          <w:ilvl w:val="0"/>
          <w:numId w:val="0"/>
        </w:numPr>
        <w:spacing w:before="0" w:after="0" w:line="240" w:lineRule="auto"/>
        <w:ind w:firstLine="709"/>
        <w:rPr>
          <w:rFonts w:ascii="Times New Roman" w:hAnsi="Times New Roman"/>
          <w:sz w:val="24"/>
          <w:szCs w:val="28"/>
          <w:lang w:val="ro-RO"/>
        </w:rPr>
      </w:pPr>
      <w:r w:rsidRPr="003278ED">
        <w:rPr>
          <w:rFonts w:ascii="Times New Roman" w:hAnsi="Times New Roman"/>
          <w:b/>
          <w:sz w:val="24"/>
          <w:szCs w:val="28"/>
          <w:lang w:val="ro-RO"/>
        </w:rPr>
        <w:tab/>
      </w:r>
      <w:r w:rsidRPr="003278ED">
        <w:rPr>
          <w:rFonts w:ascii="Times New Roman" w:hAnsi="Times New Roman"/>
          <w:sz w:val="24"/>
          <w:szCs w:val="28"/>
          <w:lang w:val="ro-RO"/>
        </w:rPr>
        <w:t>Se estimează că serviciul aferent datoriei de stat va crește în comparație cu ultimii ani și va ajunge de până la 1,4</w:t>
      </w:r>
      <w:r w:rsidR="00112727" w:rsidRPr="003278ED">
        <w:rPr>
          <w:rFonts w:ascii="Times New Roman" w:hAnsi="Times New Roman"/>
          <w:sz w:val="24"/>
          <w:szCs w:val="28"/>
          <w:lang w:val="ro-RO"/>
        </w:rPr>
        <w:t xml:space="preserve"> </w:t>
      </w:r>
      <w:r w:rsidRPr="003278ED">
        <w:rPr>
          <w:rFonts w:ascii="Times New Roman" w:hAnsi="Times New Roman"/>
          <w:sz w:val="24"/>
          <w:szCs w:val="28"/>
          <w:lang w:val="ro-RO"/>
        </w:rPr>
        <w:t>% din PIB pe parcursul anilor 2025-2027. În această perioadă, pentru serviciul datoriei de stat externe se preconizează a se utiliza mijloace în sumă de 6 957,7 mil. lei, iar pentru serviciul datoriei de stat interne – 8 747,5 mil. lei. Pentru perioada 2025-2027, cheltuielile pentru serviciul datoriei de stat interne se prognozează a fi majorate în comparație cu anul 2024</w:t>
      </w:r>
      <w:r w:rsidRPr="003278ED">
        <w:rPr>
          <w:rFonts w:ascii="Times New Roman" w:hAnsi="Times New Roman"/>
          <w:sz w:val="24"/>
          <w:szCs w:val="24"/>
          <w:lang w:val="ro-RO"/>
        </w:rPr>
        <w:t>,</w:t>
      </w:r>
      <w:r w:rsidRPr="003278ED">
        <w:rPr>
          <w:sz w:val="20"/>
          <w:lang w:val="ro-RO"/>
        </w:rPr>
        <w:t xml:space="preserve"> </w:t>
      </w:r>
      <w:r w:rsidRPr="003278ED">
        <w:rPr>
          <w:rFonts w:ascii="Times New Roman" w:hAnsi="Times New Roman"/>
          <w:sz w:val="24"/>
          <w:szCs w:val="28"/>
          <w:lang w:val="ro-RO"/>
        </w:rPr>
        <w:t>datorită majorării soldului datoriei de stat interne în această perioadă. La calcularea serviciului datoriei de stat interne a fost estimată majorarea ratei medi</w:t>
      </w:r>
      <w:r w:rsidR="00502573" w:rsidRPr="003278ED">
        <w:rPr>
          <w:rFonts w:ascii="Times New Roman" w:hAnsi="Times New Roman"/>
          <w:sz w:val="24"/>
          <w:szCs w:val="28"/>
          <w:lang w:val="ro-RO"/>
        </w:rPr>
        <w:t>i</w:t>
      </w:r>
      <w:r w:rsidRPr="003278ED">
        <w:rPr>
          <w:rFonts w:ascii="Times New Roman" w:hAnsi="Times New Roman"/>
          <w:sz w:val="24"/>
          <w:szCs w:val="28"/>
          <w:lang w:val="ro-RO"/>
        </w:rPr>
        <w:t xml:space="preserve"> ponderate a dobânzii până la 5,0</w:t>
      </w:r>
      <w:r w:rsidR="008A7BCD" w:rsidRPr="003278ED">
        <w:rPr>
          <w:rFonts w:ascii="Times New Roman" w:hAnsi="Times New Roman"/>
          <w:sz w:val="24"/>
          <w:szCs w:val="28"/>
          <w:lang w:val="ro-RO"/>
        </w:rPr>
        <w:t xml:space="preserve"> </w:t>
      </w:r>
      <w:r w:rsidRPr="003278ED">
        <w:rPr>
          <w:rFonts w:ascii="Times New Roman" w:hAnsi="Times New Roman"/>
          <w:sz w:val="24"/>
          <w:szCs w:val="28"/>
          <w:lang w:val="ro-RO"/>
        </w:rPr>
        <w:t>% în anul 2027. Cheltuielile pentru serviciul datoriei de stat externe pe parcursul anilor 2025-2027 au o evoluție ascendentă</w:t>
      </w:r>
      <w:r w:rsidR="007B6BB8" w:rsidRPr="003278ED">
        <w:rPr>
          <w:rFonts w:ascii="Times New Roman" w:hAnsi="Times New Roman"/>
          <w:sz w:val="24"/>
          <w:szCs w:val="28"/>
          <w:lang w:val="ro-RO"/>
        </w:rPr>
        <w:t>,</w:t>
      </w:r>
      <w:r w:rsidRPr="003278ED">
        <w:rPr>
          <w:rFonts w:ascii="Times New Roman" w:hAnsi="Times New Roman"/>
          <w:sz w:val="24"/>
          <w:szCs w:val="28"/>
          <w:lang w:val="ro-RO"/>
        </w:rPr>
        <w:t xml:space="preserve"> fiind condiționată de prognoza ratelor </w:t>
      </w:r>
      <w:proofErr w:type="spellStart"/>
      <w:r w:rsidRPr="003278ED">
        <w:rPr>
          <w:rFonts w:ascii="Times New Roman" w:hAnsi="Times New Roman"/>
          <w:sz w:val="24"/>
          <w:szCs w:val="28"/>
          <w:lang w:val="ro-RO"/>
        </w:rPr>
        <w:t>Euribor</w:t>
      </w:r>
      <w:proofErr w:type="spellEnd"/>
      <w:r w:rsidRPr="003278ED">
        <w:rPr>
          <w:rFonts w:ascii="Times New Roman" w:hAnsi="Times New Roman"/>
          <w:sz w:val="24"/>
          <w:szCs w:val="28"/>
          <w:lang w:val="ro-RO"/>
        </w:rPr>
        <w:t xml:space="preserve"> 6m și </w:t>
      </w:r>
      <w:r w:rsidR="00BF3B68">
        <w:rPr>
          <w:rFonts w:ascii="Times New Roman" w:hAnsi="Times New Roman"/>
          <w:sz w:val="24"/>
          <w:szCs w:val="28"/>
          <w:lang w:val="ro-RO"/>
        </w:rPr>
        <w:t xml:space="preserve">a </w:t>
      </w:r>
      <w:r w:rsidRPr="003278ED">
        <w:rPr>
          <w:rFonts w:ascii="Times New Roman" w:hAnsi="Times New Roman"/>
          <w:sz w:val="24"/>
          <w:szCs w:val="28"/>
          <w:lang w:val="ro-RO"/>
        </w:rPr>
        <w:t xml:space="preserve">ratei </w:t>
      </w:r>
      <w:r w:rsidR="00727764" w:rsidRPr="003278ED">
        <w:rPr>
          <w:rFonts w:ascii="Times New Roman" w:hAnsi="Times New Roman"/>
          <w:sz w:val="24"/>
          <w:szCs w:val="28"/>
          <w:lang w:val="ro-RO"/>
        </w:rPr>
        <w:t xml:space="preserve">drepturilor speciale de tragere </w:t>
      </w:r>
      <w:r w:rsidR="00601E70" w:rsidRPr="003278ED">
        <w:rPr>
          <w:rFonts w:ascii="Times New Roman" w:hAnsi="Times New Roman"/>
          <w:sz w:val="24"/>
          <w:szCs w:val="28"/>
          <w:lang w:val="ro-RO"/>
        </w:rPr>
        <w:t>(DST</w:t>
      </w:r>
      <w:r w:rsidR="004600FE" w:rsidRPr="003278ED">
        <w:rPr>
          <w:rFonts w:ascii="Times New Roman" w:hAnsi="Times New Roman"/>
          <w:sz w:val="24"/>
          <w:szCs w:val="28"/>
          <w:lang w:val="ro-RO"/>
        </w:rPr>
        <w:t xml:space="preserve">) </w:t>
      </w:r>
      <w:r w:rsidRPr="003278ED">
        <w:rPr>
          <w:rFonts w:ascii="Times New Roman" w:hAnsi="Times New Roman"/>
          <w:sz w:val="24"/>
          <w:szCs w:val="28"/>
          <w:lang w:val="ro-RO"/>
        </w:rPr>
        <w:t>pe piața internațională, precum și</w:t>
      </w:r>
      <w:r w:rsidR="00BF3B68">
        <w:rPr>
          <w:rFonts w:ascii="Times New Roman" w:hAnsi="Times New Roman"/>
          <w:sz w:val="24"/>
          <w:szCs w:val="28"/>
          <w:lang w:val="ro-RO"/>
        </w:rPr>
        <w:t xml:space="preserve"> de</w:t>
      </w:r>
      <w:r w:rsidRPr="003278ED">
        <w:rPr>
          <w:rFonts w:ascii="Times New Roman" w:hAnsi="Times New Roman"/>
          <w:sz w:val="24"/>
          <w:szCs w:val="28"/>
          <w:lang w:val="ro-RO"/>
        </w:rPr>
        <w:t xml:space="preserve"> majorarea soldului datoriei de stat externe. Totoda</w:t>
      </w:r>
      <w:r w:rsidR="007B6BB8" w:rsidRPr="003278ED">
        <w:rPr>
          <w:rFonts w:ascii="Times New Roman" w:hAnsi="Times New Roman"/>
          <w:sz w:val="24"/>
          <w:szCs w:val="28"/>
          <w:lang w:val="ro-RO"/>
        </w:rPr>
        <w:t>tă, este de menționat faptul că</w:t>
      </w:r>
      <w:r w:rsidRPr="003278ED">
        <w:rPr>
          <w:rFonts w:ascii="Times New Roman" w:hAnsi="Times New Roman"/>
          <w:sz w:val="24"/>
          <w:szCs w:val="28"/>
          <w:lang w:val="ro-RO"/>
        </w:rPr>
        <w:t xml:space="preserve"> rata medie a dobânzii pentru împrumuturile de stat externe s-a majorat de la 0,7</w:t>
      </w:r>
      <w:r w:rsidR="00502573" w:rsidRPr="003278ED">
        <w:rPr>
          <w:rFonts w:ascii="Times New Roman" w:hAnsi="Times New Roman"/>
          <w:sz w:val="24"/>
          <w:szCs w:val="28"/>
          <w:lang w:val="ro-RO"/>
        </w:rPr>
        <w:t xml:space="preserve"> </w:t>
      </w:r>
      <w:r w:rsidRPr="003278ED">
        <w:rPr>
          <w:rFonts w:ascii="Times New Roman" w:hAnsi="Times New Roman"/>
          <w:sz w:val="24"/>
          <w:szCs w:val="28"/>
          <w:lang w:val="ro-RO"/>
        </w:rPr>
        <w:t>% în anul 2022 la 2,0</w:t>
      </w:r>
      <w:r w:rsidR="00502573" w:rsidRPr="003278ED">
        <w:rPr>
          <w:rFonts w:ascii="Times New Roman" w:hAnsi="Times New Roman"/>
          <w:sz w:val="24"/>
          <w:szCs w:val="28"/>
          <w:lang w:val="ro-RO"/>
        </w:rPr>
        <w:t xml:space="preserve"> </w:t>
      </w:r>
      <w:r w:rsidRPr="003278ED">
        <w:rPr>
          <w:rFonts w:ascii="Times New Roman" w:hAnsi="Times New Roman"/>
          <w:sz w:val="24"/>
          <w:szCs w:val="28"/>
          <w:lang w:val="ro-RO"/>
        </w:rPr>
        <w:t>% în anul 2023.</w:t>
      </w:r>
    </w:p>
    <w:p w14:paraId="29830511" w14:textId="77777777" w:rsidR="0098731F" w:rsidRPr="003278ED" w:rsidRDefault="0098731F" w:rsidP="007D3A2B">
      <w:pPr>
        <w:autoSpaceDE w:val="0"/>
        <w:autoSpaceDN w:val="0"/>
        <w:adjustRightInd w:val="0"/>
        <w:spacing w:after="0" w:line="240" w:lineRule="auto"/>
        <w:ind w:firstLine="709"/>
        <w:rPr>
          <w:sz w:val="20"/>
        </w:rPr>
      </w:pPr>
    </w:p>
    <w:p w14:paraId="22663046" w14:textId="77777777" w:rsidR="0098731F" w:rsidRPr="003278ED" w:rsidRDefault="0098731F" w:rsidP="007D3A2B">
      <w:pPr>
        <w:pStyle w:val="Table"/>
        <w:spacing w:before="0" w:line="240" w:lineRule="auto"/>
        <w:ind w:firstLine="720"/>
        <w:jc w:val="right"/>
        <w:rPr>
          <w:rFonts w:ascii="Times New Roman" w:hAnsi="Times New Roman"/>
          <w:b w:val="0"/>
          <w:color w:val="auto"/>
          <w:sz w:val="24"/>
          <w:szCs w:val="28"/>
          <w:lang w:val="ro-RO"/>
        </w:rPr>
      </w:pPr>
      <w:r w:rsidRPr="003278ED">
        <w:rPr>
          <w:rFonts w:ascii="Times New Roman" w:hAnsi="Times New Roman"/>
          <w:b w:val="0"/>
          <w:color w:val="auto"/>
          <w:sz w:val="24"/>
          <w:szCs w:val="28"/>
          <w:lang w:val="ro-RO"/>
        </w:rPr>
        <w:t>Tabelul 3.</w:t>
      </w:r>
      <w:r w:rsidR="00A41A1B" w:rsidRPr="003278ED">
        <w:rPr>
          <w:rFonts w:ascii="Times New Roman" w:hAnsi="Times New Roman"/>
          <w:b w:val="0"/>
          <w:color w:val="auto"/>
          <w:sz w:val="24"/>
          <w:szCs w:val="28"/>
          <w:lang w:val="ro-RO"/>
        </w:rPr>
        <w:t>8</w:t>
      </w:r>
    </w:p>
    <w:p w14:paraId="4556B1C4" w14:textId="77777777" w:rsidR="0098731F" w:rsidRPr="003278ED" w:rsidRDefault="0098731F" w:rsidP="007D3A2B">
      <w:pPr>
        <w:pStyle w:val="Table"/>
        <w:spacing w:before="0" w:line="240" w:lineRule="auto"/>
        <w:ind w:firstLine="720"/>
        <w:rPr>
          <w:rFonts w:ascii="Times New Roman" w:hAnsi="Times New Roman"/>
          <w:color w:val="auto"/>
          <w:sz w:val="24"/>
          <w:szCs w:val="28"/>
          <w:lang w:val="ro-RO"/>
        </w:rPr>
      </w:pPr>
    </w:p>
    <w:p w14:paraId="29EE78DB" w14:textId="2CEB7C58" w:rsidR="0098731F" w:rsidRPr="003278ED" w:rsidRDefault="0098731F" w:rsidP="007D3A2B">
      <w:pPr>
        <w:pStyle w:val="Table"/>
        <w:spacing w:before="0" w:line="240" w:lineRule="auto"/>
        <w:rPr>
          <w:rFonts w:ascii="Times New Roman" w:hAnsi="Times New Roman"/>
          <w:color w:val="auto"/>
          <w:sz w:val="24"/>
          <w:szCs w:val="28"/>
          <w:lang w:val="ro-RO"/>
        </w:rPr>
      </w:pPr>
      <w:r w:rsidRPr="003278ED">
        <w:rPr>
          <w:rFonts w:ascii="Times New Roman" w:hAnsi="Times New Roman"/>
          <w:color w:val="auto"/>
          <w:sz w:val="24"/>
          <w:szCs w:val="28"/>
          <w:lang w:val="ro-RO"/>
        </w:rPr>
        <w:t>Serviciul datoriei de stat în anii 2022-2027</w:t>
      </w:r>
    </w:p>
    <w:p w14:paraId="3C9F3C6E" w14:textId="77777777" w:rsidR="0098731F" w:rsidRPr="003278ED" w:rsidRDefault="0098731F" w:rsidP="007D3A2B">
      <w:pPr>
        <w:pStyle w:val="Table"/>
        <w:spacing w:before="0" w:line="240" w:lineRule="auto"/>
        <w:ind w:firstLine="720"/>
        <w:jc w:val="right"/>
        <w:rPr>
          <w:rFonts w:ascii="Times New Roman" w:hAnsi="Times New Roman"/>
          <w:b w:val="0"/>
          <w:szCs w:val="20"/>
          <w:lang w:val="ro-RO"/>
        </w:rPr>
      </w:pPr>
      <w:r w:rsidRPr="003278ED">
        <w:rPr>
          <w:rFonts w:ascii="Times New Roman" w:hAnsi="Times New Roman"/>
          <w:b w:val="0"/>
          <w:szCs w:val="20"/>
          <w:lang w:val="ro-RO"/>
        </w:rPr>
        <w:t>(</w:t>
      </w:r>
      <w:r w:rsidRPr="003278ED">
        <w:rPr>
          <w:rFonts w:ascii="Times New Roman" w:hAnsi="Times New Roman"/>
          <w:b w:val="0"/>
          <w:color w:val="000000"/>
          <w:szCs w:val="20"/>
          <w:lang w:val="ro-RO" w:eastAsia="ro-RO"/>
        </w:rPr>
        <w:t>% din PIB)</w:t>
      </w:r>
    </w:p>
    <w:tbl>
      <w:tblPr>
        <w:tblW w:w="5000" w:type="pct"/>
        <w:tblLook w:val="04A0" w:firstRow="1" w:lastRow="0" w:firstColumn="1" w:lastColumn="0" w:noHBand="0" w:noVBand="1"/>
      </w:tblPr>
      <w:tblGrid>
        <w:gridCol w:w="845"/>
        <w:gridCol w:w="1538"/>
        <w:gridCol w:w="1058"/>
        <w:gridCol w:w="1058"/>
        <w:gridCol w:w="1208"/>
        <w:gridCol w:w="1208"/>
        <w:gridCol w:w="1208"/>
        <w:gridCol w:w="1210"/>
      </w:tblGrid>
      <w:tr w:rsidR="00993CF0" w:rsidRPr="003278ED" w14:paraId="4C0F2644" w14:textId="77777777" w:rsidTr="00072588">
        <w:trPr>
          <w:trHeight w:val="275"/>
        </w:trPr>
        <w:tc>
          <w:tcPr>
            <w:tcW w:w="1277" w:type="pct"/>
            <w:gridSpan w:val="2"/>
            <w:vMerge w:val="restart"/>
            <w:shd w:val="clear" w:color="000000" w:fill="FFFFFF"/>
            <w:vAlign w:val="bottom"/>
            <w:hideMark/>
          </w:tcPr>
          <w:p w14:paraId="43DE1DC1" w14:textId="77777777" w:rsidR="00993CF0" w:rsidRPr="003278ED" w:rsidRDefault="00993CF0"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567" w:type="pct"/>
            <w:shd w:val="clear" w:color="000000" w:fill="FFFFFF"/>
            <w:vAlign w:val="bottom"/>
            <w:hideMark/>
          </w:tcPr>
          <w:p w14:paraId="3B284E21"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2022</w:t>
            </w:r>
          </w:p>
        </w:tc>
        <w:tc>
          <w:tcPr>
            <w:tcW w:w="567" w:type="pct"/>
            <w:shd w:val="clear" w:color="000000" w:fill="FFFFFF"/>
            <w:vAlign w:val="bottom"/>
            <w:hideMark/>
          </w:tcPr>
          <w:p w14:paraId="144A19BD"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2023</w:t>
            </w:r>
          </w:p>
        </w:tc>
        <w:tc>
          <w:tcPr>
            <w:tcW w:w="647" w:type="pct"/>
            <w:shd w:val="clear" w:color="000000" w:fill="FFFFFF"/>
            <w:vAlign w:val="bottom"/>
            <w:hideMark/>
          </w:tcPr>
          <w:p w14:paraId="79CA21A7"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2024</w:t>
            </w:r>
          </w:p>
        </w:tc>
        <w:tc>
          <w:tcPr>
            <w:tcW w:w="647" w:type="pct"/>
            <w:shd w:val="clear" w:color="000000" w:fill="FFFFFF"/>
            <w:vAlign w:val="bottom"/>
            <w:hideMark/>
          </w:tcPr>
          <w:p w14:paraId="5A79F422"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2025</w:t>
            </w:r>
          </w:p>
        </w:tc>
        <w:tc>
          <w:tcPr>
            <w:tcW w:w="647" w:type="pct"/>
            <w:shd w:val="clear" w:color="000000" w:fill="FFFFFF"/>
            <w:vAlign w:val="bottom"/>
            <w:hideMark/>
          </w:tcPr>
          <w:p w14:paraId="1397AEEC"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2026</w:t>
            </w:r>
          </w:p>
        </w:tc>
        <w:tc>
          <w:tcPr>
            <w:tcW w:w="647" w:type="pct"/>
            <w:shd w:val="clear" w:color="000000" w:fill="FFFFFF"/>
            <w:vAlign w:val="bottom"/>
            <w:hideMark/>
          </w:tcPr>
          <w:p w14:paraId="3D1E3CCC" w14:textId="77777777" w:rsidR="00993CF0" w:rsidRPr="003278ED" w:rsidRDefault="00993CF0"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2027</w:t>
            </w:r>
          </w:p>
        </w:tc>
      </w:tr>
      <w:tr w:rsidR="00993CF0" w:rsidRPr="003278ED" w14:paraId="3C55D0C2" w14:textId="77777777" w:rsidTr="00072588">
        <w:trPr>
          <w:trHeight w:val="205"/>
        </w:trPr>
        <w:tc>
          <w:tcPr>
            <w:tcW w:w="1277" w:type="pct"/>
            <w:gridSpan w:val="2"/>
            <w:vMerge/>
            <w:shd w:val="clear" w:color="000000" w:fill="FFFFFF"/>
            <w:vAlign w:val="bottom"/>
            <w:hideMark/>
          </w:tcPr>
          <w:p w14:paraId="7C3BD577" w14:textId="77777777" w:rsidR="00993CF0" w:rsidRPr="003278ED" w:rsidRDefault="00993CF0" w:rsidP="007D3A2B">
            <w:pPr>
              <w:spacing w:after="0" w:line="240" w:lineRule="auto"/>
              <w:rPr>
                <w:rFonts w:ascii="Times New Roman" w:hAnsi="Times New Roman" w:cs="Times New Roman"/>
                <w:color w:val="000000"/>
                <w:sz w:val="20"/>
                <w:szCs w:val="20"/>
                <w:lang w:eastAsia="ro-RO"/>
              </w:rPr>
            </w:pPr>
          </w:p>
        </w:tc>
        <w:tc>
          <w:tcPr>
            <w:tcW w:w="567" w:type="pct"/>
            <w:shd w:val="clear" w:color="000000" w:fill="FFFFFF"/>
            <w:vAlign w:val="bottom"/>
            <w:hideMark/>
          </w:tcPr>
          <w:p w14:paraId="1E794379"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e</w:t>
            </w:r>
            <w:r w:rsidR="00993CF0" w:rsidRPr="003278ED">
              <w:rPr>
                <w:rFonts w:ascii="Times New Roman" w:hAnsi="Times New Roman" w:cs="Times New Roman"/>
                <w:b/>
                <w:bCs/>
                <w:color w:val="000000"/>
                <w:sz w:val="20"/>
                <w:szCs w:val="20"/>
                <w:lang w:eastAsia="ro-RO"/>
              </w:rPr>
              <w:t>fectiv</w:t>
            </w:r>
          </w:p>
        </w:tc>
        <w:tc>
          <w:tcPr>
            <w:tcW w:w="567" w:type="pct"/>
            <w:shd w:val="clear" w:color="000000" w:fill="FFFFFF"/>
            <w:vAlign w:val="bottom"/>
            <w:hideMark/>
          </w:tcPr>
          <w:p w14:paraId="2D1E3B92"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e</w:t>
            </w:r>
            <w:r w:rsidR="00993CF0" w:rsidRPr="003278ED">
              <w:rPr>
                <w:rFonts w:ascii="Times New Roman" w:hAnsi="Times New Roman" w:cs="Times New Roman"/>
                <w:b/>
                <w:bCs/>
                <w:color w:val="000000"/>
                <w:sz w:val="20"/>
                <w:szCs w:val="20"/>
                <w:lang w:eastAsia="ro-RO"/>
              </w:rPr>
              <w:t>fectiv</w:t>
            </w:r>
          </w:p>
        </w:tc>
        <w:tc>
          <w:tcPr>
            <w:tcW w:w="647" w:type="pct"/>
            <w:shd w:val="clear" w:color="000000" w:fill="FFFFFF"/>
            <w:vAlign w:val="bottom"/>
            <w:hideMark/>
          </w:tcPr>
          <w:p w14:paraId="7BE015DE"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a</w:t>
            </w:r>
            <w:r w:rsidR="00993CF0" w:rsidRPr="003278ED">
              <w:rPr>
                <w:rFonts w:ascii="Times New Roman" w:hAnsi="Times New Roman" w:cs="Times New Roman"/>
                <w:b/>
                <w:bCs/>
                <w:color w:val="000000"/>
                <w:sz w:val="20"/>
                <w:szCs w:val="20"/>
                <w:lang w:eastAsia="ro-RO"/>
              </w:rPr>
              <w:t>probat</w:t>
            </w:r>
          </w:p>
        </w:tc>
        <w:tc>
          <w:tcPr>
            <w:tcW w:w="647" w:type="pct"/>
            <w:shd w:val="clear" w:color="000000" w:fill="FFFFFF"/>
            <w:vAlign w:val="bottom"/>
            <w:hideMark/>
          </w:tcPr>
          <w:p w14:paraId="5EB3F0F0"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p</w:t>
            </w:r>
            <w:r w:rsidR="00993CF0" w:rsidRPr="003278ED">
              <w:rPr>
                <w:rFonts w:ascii="Times New Roman" w:hAnsi="Times New Roman" w:cs="Times New Roman"/>
                <w:b/>
                <w:bCs/>
                <w:color w:val="000000"/>
                <w:sz w:val="20"/>
                <w:szCs w:val="20"/>
                <w:lang w:eastAsia="ro-RO"/>
              </w:rPr>
              <w:t>rognozat</w:t>
            </w:r>
          </w:p>
        </w:tc>
        <w:tc>
          <w:tcPr>
            <w:tcW w:w="647" w:type="pct"/>
            <w:shd w:val="clear" w:color="000000" w:fill="FFFFFF"/>
            <w:vAlign w:val="bottom"/>
            <w:hideMark/>
          </w:tcPr>
          <w:p w14:paraId="382F1ACD"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p</w:t>
            </w:r>
            <w:r w:rsidR="00993CF0" w:rsidRPr="003278ED">
              <w:rPr>
                <w:rFonts w:ascii="Times New Roman" w:hAnsi="Times New Roman" w:cs="Times New Roman"/>
                <w:b/>
                <w:bCs/>
                <w:color w:val="000000"/>
                <w:sz w:val="20"/>
                <w:szCs w:val="20"/>
                <w:lang w:eastAsia="ro-RO"/>
              </w:rPr>
              <w:t>rognozat</w:t>
            </w:r>
          </w:p>
        </w:tc>
        <w:tc>
          <w:tcPr>
            <w:tcW w:w="647" w:type="pct"/>
            <w:shd w:val="clear" w:color="000000" w:fill="FFFFFF"/>
            <w:vAlign w:val="bottom"/>
            <w:hideMark/>
          </w:tcPr>
          <w:p w14:paraId="02240EBB" w14:textId="77777777" w:rsidR="00993CF0" w:rsidRPr="003278ED" w:rsidRDefault="00827295"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p</w:t>
            </w:r>
            <w:r w:rsidR="00993CF0" w:rsidRPr="003278ED">
              <w:rPr>
                <w:rFonts w:ascii="Times New Roman" w:hAnsi="Times New Roman" w:cs="Times New Roman"/>
                <w:b/>
                <w:bCs/>
                <w:color w:val="000000"/>
                <w:sz w:val="20"/>
                <w:szCs w:val="20"/>
                <w:lang w:eastAsia="ro-RO"/>
              </w:rPr>
              <w:t>rognozat</w:t>
            </w:r>
          </w:p>
        </w:tc>
      </w:tr>
      <w:tr w:rsidR="0098731F" w:rsidRPr="003278ED" w14:paraId="69F424FA" w14:textId="77777777" w:rsidTr="00072588">
        <w:trPr>
          <w:trHeight w:val="342"/>
        </w:trPr>
        <w:tc>
          <w:tcPr>
            <w:tcW w:w="1277" w:type="pct"/>
            <w:gridSpan w:val="2"/>
            <w:shd w:val="clear" w:color="000000" w:fill="FFFFFF"/>
            <w:vAlign w:val="bottom"/>
            <w:hideMark/>
          </w:tcPr>
          <w:p w14:paraId="43367E7E" w14:textId="77777777" w:rsidR="0098731F" w:rsidRPr="003278ED" w:rsidRDefault="0098731F" w:rsidP="007D3A2B">
            <w:pPr>
              <w:spacing w:after="0" w:line="240" w:lineRule="auto"/>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Total serviciul datoriei de stat</w:t>
            </w:r>
          </w:p>
        </w:tc>
        <w:tc>
          <w:tcPr>
            <w:tcW w:w="567" w:type="pct"/>
            <w:shd w:val="clear" w:color="000000" w:fill="FFFFFF"/>
            <w:vAlign w:val="center"/>
            <w:hideMark/>
          </w:tcPr>
          <w:p w14:paraId="1C9F745A"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1,0</w:t>
            </w:r>
          </w:p>
        </w:tc>
        <w:tc>
          <w:tcPr>
            <w:tcW w:w="567" w:type="pct"/>
            <w:shd w:val="clear" w:color="000000" w:fill="FFFFFF"/>
            <w:vAlign w:val="center"/>
            <w:hideMark/>
          </w:tcPr>
          <w:p w14:paraId="2C3F6C99"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1,8</w:t>
            </w:r>
          </w:p>
        </w:tc>
        <w:tc>
          <w:tcPr>
            <w:tcW w:w="647" w:type="pct"/>
            <w:shd w:val="clear" w:color="000000" w:fill="FFFFFF"/>
            <w:vAlign w:val="center"/>
            <w:hideMark/>
          </w:tcPr>
          <w:p w14:paraId="18360380"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1,5</w:t>
            </w:r>
          </w:p>
        </w:tc>
        <w:tc>
          <w:tcPr>
            <w:tcW w:w="647" w:type="pct"/>
            <w:shd w:val="clear" w:color="000000" w:fill="FFFFFF"/>
            <w:vAlign w:val="center"/>
            <w:hideMark/>
          </w:tcPr>
          <w:p w14:paraId="6B30F7C6"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1,3</w:t>
            </w:r>
          </w:p>
        </w:tc>
        <w:tc>
          <w:tcPr>
            <w:tcW w:w="647" w:type="pct"/>
            <w:shd w:val="clear" w:color="000000" w:fill="FFFFFF"/>
            <w:vAlign w:val="center"/>
            <w:hideMark/>
          </w:tcPr>
          <w:p w14:paraId="509E6290"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1,4</w:t>
            </w:r>
          </w:p>
        </w:tc>
        <w:tc>
          <w:tcPr>
            <w:tcW w:w="647" w:type="pct"/>
            <w:shd w:val="clear" w:color="000000" w:fill="FFFFFF"/>
            <w:vAlign w:val="center"/>
            <w:hideMark/>
          </w:tcPr>
          <w:p w14:paraId="6737FD0F" w14:textId="77777777" w:rsidR="0098731F" w:rsidRPr="003278ED" w:rsidRDefault="0098731F" w:rsidP="007D3A2B">
            <w:pPr>
              <w:spacing w:after="0" w:line="240" w:lineRule="auto"/>
              <w:jc w:val="center"/>
              <w:rPr>
                <w:rFonts w:ascii="Times New Roman" w:hAnsi="Times New Roman" w:cs="Times New Roman"/>
                <w:b/>
                <w:bCs/>
                <w:color w:val="000000"/>
                <w:sz w:val="20"/>
                <w:szCs w:val="20"/>
                <w:lang w:eastAsia="ro-RO"/>
              </w:rPr>
            </w:pPr>
            <w:r w:rsidRPr="003278ED">
              <w:rPr>
                <w:rFonts w:ascii="Times New Roman" w:hAnsi="Times New Roman" w:cs="Times New Roman"/>
                <w:b/>
                <w:bCs/>
                <w:color w:val="000000"/>
                <w:sz w:val="20"/>
                <w:szCs w:val="20"/>
                <w:lang w:eastAsia="ro-RO"/>
              </w:rPr>
              <w:t>1,4</w:t>
            </w:r>
          </w:p>
        </w:tc>
      </w:tr>
      <w:tr w:rsidR="0098731F" w:rsidRPr="003278ED" w14:paraId="70D432EC" w14:textId="77777777" w:rsidTr="00072588">
        <w:trPr>
          <w:trHeight w:val="342"/>
        </w:trPr>
        <w:tc>
          <w:tcPr>
            <w:tcW w:w="453" w:type="pct"/>
            <w:shd w:val="clear" w:color="000000" w:fill="FFFFFF"/>
            <w:vAlign w:val="bottom"/>
            <w:hideMark/>
          </w:tcPr>
          <w:p w14:paraId="563B86AD"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824" w:type="pct"/>
            <w:shd w:val="clear" w:color="000000" w:fill="FFFFFF"/>
            <w:vAlign w:val="bottom"/>
            <w:hideMark/>
          </w:tcPr>
          <w:p w14:paraId="44AA7E5A"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Datoria externă</w:t>
            </w:r>
          </w:p>
        </w:tc>
        <w:tc>
          <w:tcPr>
            <w:tcW w:w="567" w:type="pct"/>
            <w:shd w:val="clear" w:color="000000" w:fill="FFFFFF"/>
            <w:vAlign w:val="bottom"/>
            <w:hideMark/>
          </w:tcPr>
          <w:p w14:paraId="5BBE24ED"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0,2</w:t>
            </w:r>
          </w:p>
        </w:tc>
        <w:tc>
          <w:tcPr>
            <w:tcW w:w="567" w:type="pct"/>
            <w:shd w:val="clear" w:color="000000" w:fill="FFFFFF"/>
            <w:vAlign w:val="bottom"/>
            <w:hideMark/>
          </w:tcPr>
          <w:p w14:paraId="289B76F5"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0,5</w:t>
            </w:r>
          </w:p>
        </w:tc>
        <w:tc>
          <w:tcPr>
            <w:tcW w:w="647" w:type="pct"/>
            <w:shd w:val="clear" w:color="000000" w:fill="FFFFFF"/>
            <w:vAlign w:val="bottom"/>
            <w:hideMark/>
          </w:tcPr>
          <w:p w14:paraId="6F2F6D31"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0,7</w:t>
            </w:r>
          </w:p>
        </w:tc>
        <w:tc>
          <w:tcPr>
            <w:tcW w:w="647" w:type="pct"/>
            <w:shd w:val="clear" w:color="000000" w:fill="FFFFFF"/>
            <w:vAlign w:val="bottom"/>
            <w:hideMark/>
          </w:tcPr>
          <w:p w14:paraId="097CE8FD"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0,6</w:t>
            </w:r>
          </w:p>
        </w:tc>
        <w:tc>
          <w:tcPr>
            <w:tcW w:w="647" w:type="pct"/>
            <w:shd w:val="clear" w:color="000000" w:fill="FFFFFF"/>
            <w:vAlign w:val="bottom"/>
            <w:hideMark/>
          </w:tcPr>
          <w:p w14:paraId="1802F2E0"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0,6</w:t>
            </w:r>
          </w:p>
        </w:tc>
        <w:tc>
          <w:tcPr>
            <w:tcW w:w="647" w:type="pct"/>
            <w:shd w:val="clear" w:color="000000" w:fill="FFFFFF"/>
            <w:vAlign w:val="bottom"/>
            <w:hideMark/>
          </w:tcPr>
          <w:p w14:paraId="442C415C"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0,6</w:t>
            </w:r>
          </w:p>
        </w:tc>
      </w:tr>
      <w:tr w:rsidR="0098731F" w:rsidRPr="003278ED" w14:paraId="3D3650C5" w14:textId="77777777" w:rsidTr="00072588">
        <w:trPr>
          <w:trHeight w:val="361"/>
        </w:trPr>
        <w:tc>
          <w:tcPr>
            <w:tcW w:w="453" w:type="pct"/>
            <w:shd w:val="clear" w:color="000000" w:fill="FFFFFF"/>
            <w:vAlign w:val="bottom"/>
            <w:hideMark/>
          </w:tcPr>
          <w:p w14:paraId="17B27309"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c>
          <w:tcPr>
            <w:tcW w:w="824" w:type="pct"/>
            <w:shd w:val="clear" w:color="000000" w:fill="FFFFFF"/>
            <w:vAlign w:val="bottom"/>
            <w:hideMark/>
          </w:tcPr>
          <w:p w14:paraId="33F3D7F1" w14:textId="77777777" w:rsidR="0098731F" w:rsidRPr="003278ED" w:rsidRDefault="0098731F"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Datoria internă</w:t>
            </w:r>
          </w:p>
        </w:tc>
        <w:tc>
          <w:tcPr>
            <w:tcW w:w="567" w:type="pct"/>
            <w:shd w:val="clear" w:color="000000" w:fill="FFFFFF"/>
            <w:vAlign w:val="bottom"/>
            <w:hideMark/>
          </w:tcPr>
          <w:p w14:paraId="2CB010D1"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0,8</w:t>
            </w:r>
          </w:p>
        </w:tc>
        <w:tc>
          <w:tcPr>
            <w:tcW w:w="567" w:type="pct"/>
            <w:shd w:val="clear" w:color="000000" w:fill="FFFFFF"/>
            <w:vAlign w:val="bottom"/>
            <w:hideMark/>
          </w:tcPr>
          <w:p w14:paraId="7981FAB6"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1,3</w:t>
            </w:r>
          </w:p>
        </w:tc>
        <w:tc>
          <w:tcPr>
            <w:tcW w:w="647" w:type="pct"/>
            <w:shd w:val="clear" w:color="000000" w:fill="FFFFFF"/>
            <w:vAlign w:val="bottom"/>
            <w:hideMark/>
          </w:tcPr>
          <w:p w14:paraId="0A7C21B0"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0,8</w:t>
            </w:r>
          </w:p>
        </w:tc>
        <w:tc>
          <w:tcPr>
            <w:tcW w:w="647" w:type="pct"/>
            <w:shd w:val="clear" w:color="000000" w:fill="FFFFFF"/>
            <w:vAlign w:val="bottom"/>
            <w:hideMark/>
          </w:tcPr>
          <w:p w14:paraId="5725234B"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0,7</w:t>
            </w:r>
          </w:p>
        </w:tc>
        <w:tc>
          <w:tcPr>
            <w:tcW w:w="647" w:type="pct"/>
            <w:shd w:val="clear" w:color="000000" w:fill="FFFFFF"/>
            <w:vAlign w:val="bottom"/>
            <w:hideMark/>
          </w:tcPr>
          <w:p w14:paraId="46C7E397"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0,8</w:t>
            </w:r>
          </w:p>
        </w:tc>
        <w:tc>
          <w:tcPr>
            <w:tcW w:w="647" w:type="pct"/>
            <w:shd w:val="clear" w:color="000000" w:fill="FFFFFF"/>
            <w:vAlign w:val="bottom"/>
            <w:hideMark/>
          </w:tcPr>
          <w:p w14:paraId="7D72EE8B" w14:textId="77777777" w:rsidR="0098731F" w:rsidRPr="003278ED" w:rsidRDefault="0098731F" w:rsidP="007D3A2B">
            <w:pPr>
              <w:spacing w:after="0" w:line="240" w:lineRule="auto"/>
              <w:jc w:val="center"/>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0,8</w:t>
            </w:r>
          </w:p>
        </w:tc>
      </w:tr>
      <w:tr w:rsidR="00072588" w:rsidRPr="003278ED" w14:paraId="64E758DA" w14:textId="77777777" w:rsidTr="00072588">
        <w:trPr>
          <w:trHeight w:val="300"/>
        </w:trPr>
        <w:tc>
          <w:tcPr>
            <w:tcW w:w="5000" w:type="pct"/>
            <w:gridSpan w:val="8"/>
            <w:shd w:val="clear" w:color="000000" w:fill="FFFFFF"/>
            <w:vAlign w:val="bottom"/>
            <w:hideMark/>
          </w:tcPr>
          <w:p w14:paraId="123BFBD1" w14:textId="77777777" w:rsidR="00072588" w:rsidRDefault="00072588" w:rsidP="00072588">
            <w:pPr>
              <w:spacing w:after="0" w:line="240" w:lineRule="auto"/>
              <w:ind w:left="720"/>
              <w:jc w:val="center"/>
              <w:rPr>
                <w:rFonts w:ascii="Times New Roman" w:hAnsi="Times New Roman" w:cs="Times New Roman"/>
                <w:b/>
                <w:i/>
                <w:color w:val="000000"/>
                <w:sz w:val="20"/>
                <w:szCs w:val="20"/>
                <w:lang w:eastAsia="ro-RO"/>
              </w:rPr>
            </w:pPr>
          </w:p>
          <w:p w14:paraId="6E434F07" w14:textId="7603FE34" w:rsidR="00072588" w:rsidRPr="00072588" w:rsidRDefault="00072588" w:rsidP="00072588">
            <w:pPr>
              <w:spacing w:after="0" w:line="240" w:lineRule="auto"/>
              <w:ind w:left="720"/>
              <w:jc w:val="center"/>
              <w:rPr>
                <w:rFonts w:ascii="Times New Roman" w:hAnsi="Times New Roman" w:cs="Times New Roman"/>
                <w:i/>
                <w:color w:val="000000"/>
                <w:sz w:val="20"/>
                <w:szCs w:val="20"/>
                <w:lang w:eastAsia="ro-RO"/>
              </w:rPr>
            </w:pPr>
            <w:r w:rsidRPr="00072588">
              <w:rPr>
                <w:rFonts w:ascii="Times New Roman" w:hAnsi="Times New Roman" w:cs="Times New Roman"/>
                <w:b/>
                <w:i/>
                <w:color w:val="000000"/>
                <w:sz w:val="20"/>
                <w:szCs w:val="20"/>
                <w:lang w:eastAsia="ro-RO"/>
              </w:rPr>
              <w:t>Sursa:</w:t>
            </w:r>
            <w:r w:rsidRPr="00072588">
              <w:rPr>
                <w:rFonts w:ascii="Times New Roman" w:hAnsi="Times New Roman" w:cs="Times New Roman"/>
                <w:i/>
                <w:color w:val="000000"/>
                <w:sz w:val="20"/>
                <w:szCs w:val="20"/>
                <w:lang w:eastAsia="ro-RO"/>
              </w:rPr>
              <w:t xml:space="preserve">  Ministerul Finanțelor</w:t>
            </w:r>
          </w:p>
          <w:p w14:paraId="796865ED" w14:textId="351B2ABC" w:rsidR="00072588" w:rsidRPr="003278ED" w:rsidRDefault="00072588"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p w14:paraId="5FD83C15" w14:textId="0585CF25" w:rsidR="00072588" w:rsidRPr="003278ED" w:rsidRDefault="00072588"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p w14:paraId="3DF8F5DD" w14:textId="1B19C160" w:rsidR="00072588" w:rsidRPr="003278ED" w:rsidRDefault="00072588" w:rsidP="007D3A2B">
            <w:pPr>
              <w:spacing w:after="0" w:line="240" w:lineRule="auto"/>
              <w:rPr>
                <w:rFonts w:ascii="Times New Roman" w:hAnsi="Times New Roman" w:cs="Times New Roman"/>
                <w:color w:val="000000"/>
                <w:sz w:val="20"/>
                <w:szCs w:val="20"/>
                <w:lang w:eastAsia="ro-RO"/>
              </w:rPr>
            </w:pPr>
          </w:p>
          <w:p w14:paraId="2761903E" w14:textId="12861C50" w:rsidR="00072588" w:rsidRPr="003278ED" w:rsidRDefault="00072588" w:rsidP="007D3A2B">
            <w:pPr>
              <w:spacing w:after="0" w:line="240" w:lineRule="auto"/>
              <w:rPr>
                <w:rFonts w:ascii="Times New Roman" w:hAnsi="Times New Roman" w:cs="Times New Roman"/>
                <w:color w:val="000000"/>
                <w:sz w:val="20"/>
                <w:szCs w:val="20"/>
                <w:lang w:eastAsia="ro-RO"/>
              </w:rPr>
            </w:pPr>
            <w:r w:rsidRPr="003278ED">
              <w:rPr>
                <w:rFonts w:ascii="Times New Roman" w:hAnsi="Times New Roman" w:cs="Times New Roman"/>
                <w:color w:val="000000"/>
                <w:sz w:val="20"/>
                <w:szCs w:val="20"/>
                <w:lang w:eastAsia="ro-RO"/>
              </w:rPr>
              <w:t> </w:t>
            </w:r>
          </w:p>
        </w:tc>
      </w:tr>
    </w:tbl>
    <w:p w14:paraId="1A4898F3" w14:textId="77777777" w:rsidR="0098731F" w:rsidRPr="003278ED" w:rsidRDefault="0098731F" w:rsidP="007D3A2B">
      <w:pPr>
        <w:autoSpaceDE w:val="0"/>
        <w:autoSpaceDN w:val="0"/>
        <w:adjustRightInd w:val="0"/>
        <w:spacing w:after="0" w:line="240" w:lineRule="auto"/>
      </w:pPr>
    </w:p>
    <w:p w14:paraId="6E2053BA" w14:textId="77777777" w:rsidR="007F6636" w:rsidRPr="003278ED" w:rsidRDefault="007F6636" w:rsidP="007D3A2B">
      <w:pPr>
        <w:pStyle w:val="Title1"/>
        <w:spacing w:before="0" w:after="0" w:line="240" w:lineRule="auto"/>
        <w:ind w:firstLine="720"/>
        <w:rPr>
          <w:rFonts w:ascii="Times New Roman" w:hAnsi="Times New Roman"/>
          <w:color w:val="auto"/>
          <w:sz w:val="24"/>
          <w:szCs w:val="28"/>
          <w:lang w:val="ro-RO"/>
        </w:rPr>
      </w:pPr>
      <w:r w:rsidRPr="003278ED">
        <w:rPr>
          <w:rFonts w:ascii="Times New Roman" w:hAnsi="Times New Roman"/>
          <w:color w:val="auto"/>
          <w:sz w:val="24"/>
          <w:szCs w:val="28"/>
          <w:lang w:val="ro-RO"/>
        </w:rPr>
        <w:lastRenderedPageBreak/>
        <w:t>Garanțiile de stat</w:t>
      </w:r>
    </w:p>
    <w:p w14:paraId="69390246" w14:textId="6E8ED7D5" w:rsidR="007F6636" w:rsidRPr="003278ED" w:rsidRDefault="007F6636"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 xml:space="preserve">Pe termen mediu se estimează că soldul garanțiilor de stat interne va fi egal cu soldul garanțiilor emise pentru creditele ipotecare în cadrul Programului „Prima casă”, </w:t>
      </w:r>
      <w:r w:rsidR="004520A9" w:rsidRPr="003278ED">
        <w:rPr>
          <w:rFonts w:ascii="Times New Roman" w:hAnsi="Times New Roman"/>
          <w:sz w:val="24"/>
          <w:szCs w:val="28"/>
          <w:lang w:val="ro-RO"/>
        </w:rPr>
        <w:t xml:space="preserve">a căror </w:t>
      </w:r>
      <w:r w:rsidRPr="003278ED">
        <w:rPr>
          <w:rFonts w:ascii="Times New Roman" w:hAnsi="Times New Roman"/>
          <w:sz w:val="24"/>
          <w:szCs w:val="28"/>
          <w:lang w:val="ro-RO"/>
        </w:rPr>
        <w:t>sold nu va depăși 2 500,0 mil. lei. Emiterea garanțiilor de stat externe pentru perioada 2025-2027 nu se preconizează.</w:t>
      </w:r>
    </w:p>
    <w:p w14:paraId="52FC27A9" w14:textId="77777777" w:rsidR="009D2948" w:rsidRPr="003278ED" w:rsidRDefault="009D2948" w:rsidP="007D3A2B">
      <w:pPr>
        <w:pStyle w:val="Title1"/>
        <w:spacing w:before="0" w:after="0" w:line="240" w:lineRule="auto"/>
        <w:ind w:firstLine="567"/>
        <w:rPr>
          <w:rFonts w:asciiTheme="majorBidi" w:hAnsiTheme="majorBidi" w:cstheme="majorBidi"/>
          <w:color w:val="auto"/>
          <w:sz w:val="24"/>
          <w:szCs w:val="28"/>
          <w:lang w:val="ro-RO"/>
        </w:rPr>
      </w:pPr>
    </w:p>
    <w:p w14:paraId="20D71AC5" w14:textId="23CEE38C" w:rsidR="007F6636" w:rsidRPr="003278ED" w:rsidRDefault="007F6636" w:rsidP="007D3A2B">
      <w:pPr>
        <w:pStyle w:val="Title1"/>
        <w:spacing w:before="0" w:after="0" w:line="240" w:lineRule="auto"/>
        <w:ind w:firstLine="567"/>
        <w:rPr>
          <w:rFonts w:asciiTheme="majorBidi" w:hAnsiTheme="majorBidi" w:cstheme="majorBidi"/>
          <w:color w:val="auto"/>
          <w:sz w:val="24"/>
          <w:szCs w:val="28"/>
          <w:lang w:val="ro-RO"/>
        </w:rPr>
      </w:pPr>
      <w:r w:rsidRPr="003278ED">
        <w:rPr>
          <w:rFonts w:asciiTheme="majorBidi" w:hAnsiTheme="majorBidi" w:cstheme="majorBidi"/>
          <w:color w:val="auto"/>
          <w:sz w:val="24"/>
          <w:szCs w:val="28"/>
          <w:lang w:val="ro-RO"/>
        </w:rPr>
        <w:t>Recreditarea de stat</w:t>
      </w:r>
    </w:p>
    <w:p w14:paraId="3AF65669" w14:textId="3BEAECDE" w:rsidR="007F6636" w:rsidRPr="003278ED" w:rsidRDefault="007F6636" w:rsidP="007D3A2B">
      <w:pPr>
        <w:pStyle w:val="Numberedtex"/>
        <w:numPr>
          <w:ilvl w:val="0"/>
          <w:numId w:val="0"/>
        </w:numPr>
        <w:spacing w:before="0" w:after="0" w:line="240" w:lineRule="auto"/>
        <w:ind w:firstLine="567"/>
        <w:rPr>
          <w:rFonts w:asciiTheme="majorBidi" w:hAnsiTheme="majorBidi" w:cstheme="majorBidi"/>
          <w:sz w:val="24"/>
          <w:szCs w:val="28"/>
          <w:lang w:val="ro-RO"/>
        </w:rPr>
      </w:pPr>
      <w:r w:rsidRPr="003278ED">
        <w:rPr>
          <w:rFonts w:asciiTheme="majorBidi" w:hAnsiTheme="majorBidi" w:cstheme="majorBidi"/>
          <w:sz w:val="24"/>
          <w:szCs w:val="28"/>
          <w:lang w:val="ro-RO"/>
        </w:rPr>
        <w:t>Recreditarea de stat în anul 2027 se preconizează că va ajunge la 616,5 mil. lei (0,1 % din PIB) micșorându-se cu 2 773,8 mil.</w:t>
      </w:r>
      <w:r w:rsidR="002F4172" w:rsidRPr="003278ED">
        <w:rPr>
          <w:rFonts w:asciiTheme="majorBidi" w:hAnsiTheme="majorBidi" w:cstheme="majorBidi"/>
          <w:sz w:val="24"/>
          <w:szCs w:val="28"/>
          <w:lang w:val="ro-RO"/>
        </w:rPr>
        <w:t xml:space="preserve"> lei</w:t>
      </w:r>
      <w:r w:rsidR="00090B0C" w:rsidRPr="003278ED">
        <w:rPr>
          <w:rFonts w:asciiTheme="majorBidi" w:hAnsiTheme="majorBidi" w:cstheme="majorBidi"/>
          <w:sz w:val="24"/>
          <w:szCs w:val="28"/>
          <w:lang w:val="ro-RO"/>
        </w:rPr>
        <w:t xml:space="preserve"> față de anul 2024 sau cu 0,7 puncte </w:t>
      </w:r>
      <w:r w:rsidRPr="003278ED">
        <w:rPr>
          <w:rFonts w:asciiTheme="majorBidi" w:hAnsiTheme="majorBidi" w:cstheme="majorBidi"/>
          <w:sz w:val="24"/>
          <w:szCs w:val="28"/>
          <w:lang w:val="ro-RO"/>
        </w:rPr>
        <w:t>p</w:t>
      </w:r>
      <w:r w:rsidR="00090B0C" w:rsidRPr="003278ED">
        <w:rPr>
          <w:rFonts w:asciiTheme="majorBidi" w:hAnsiTheme="majorBidi" w:cstheme="majorBidi"/>
          <w:sz w:val="24"/>
          <w:szCs w:val="28"/>
          <w:lang w:val="ro-RO"/>
        </w:rPr>
        <w:t>rocentuale</w:t>
      </w:r>
      <w:r w:rsidRPr="003278ED">
        <w:rPr>
          <w:rFonts w:asciiTheme="majorBidi" w:hAnsiTheme="majorBidi" w:cstheme="majorBidi"/>
          <w:sz w:val="24"/>
          <w:szCs w:val="28"/>
          <w:lang w:val="ro-RO"/>
        </w:rPr>
        <w:t xml:space="preserve"> ca pondere în PIB. În structura mijloacelor financiare destinate recreditării în perioada 2025-2027 sub aspectul ramurilor economiei naționale, ponderea majoră revine sectorului energetic și transportului.</w:t>
      </w:r>
    </w:p>
    <w:p w14:paraId="1F6B799E" w14:textId="281C5B53" w:rsidR="0062289A" w:rsidRPr="003278ED" w:rsidRDefault="0062289A" w:rsidP="007D3A2B">
      <w:pPr>
        <w:pStyle w:val="Numberedtex"/>
        <w:numPr>
          <w:ilvl w:val="0"/>
          <w:numId w:val="0"/>
        </w:numPr>
        <w:spacing w:before="0" w:after="0" w:line="240" w:lineRule="auto"/>
        <w:ind w:firstLine="567"/>
        <w:rPr>
          <w:rFonts w:asciiTheme="majorBidi" w:hAnsiTheme="majorBidi" w:cstheme="majorBidi"/>
          <w:sz w:val="24"/>
          <w:szCs w:val="28"/>
          <w:lang w:val="ro-RO"/>
        </w:rPr>
      </w:pPr>
    </w:p>
    <w:p w14:paraId="175DCB4B" w14:textId="77777777" w:rsidR="007F6636" w:rsidRPr="003278ED" w:rsidRDefault="007F6636" w:rsidP="007D3A2B">
      <w:pPr>
        <w:pStyle w:val="Table"/>
        <w:spacing w:before="0" w:line="240" w:lineRule="auto"/>
        <w:ind w:firstLine="720"/>
        <w:jc w:val="right"/>
        <w:rPr>
          <w:rFonts w:asciiTheme="majorBidi" w:hAnsiTheme="majorBidi" w:cstheme="majorBidi"/>
          <w:b w:val="0"/>
          <w:bCs/>
          <w:color w:val="auto"/>
          <w:sz w:val="24"/>
          <w:szCs w:val="28"/>
          <w:lang w:val="ro-RO"/>
        </w:rPr>
      </w:pPr>
      <w:r w:rsidRPr="003278ED">
        <w:rPr>
          <w:rFonts w:asciiTheme="majorBidi" w:hAnsiTheme="majorBidi" w:cstheme="majorBidi"/>
          <w:b w:val="0"/>
          <w:bCs/>
          <w:color w:val="auto"/>
          <w:sz w:val="24"/>
          <w:szCs w:val="28"/>
          <w:lang w:val="ro-RO"/>
        </w:rPr>
        <w:t>Tabelul 3.</w:t>
      </w:r>
      <w:r w:rsidR="00A41A1B" w:rsidRPr="003278ED">
        <w:rPr>
          <w:rFonts w:asciiTheme="majorBidi" w:hAnsiTheme="majorBidi" w:cstheme="majorBidi"/>
          <w:b w:val="0"/>
          <w:bCs/>
          <w:color w:val="auto"/>
          <w:sz w:val="24"/>
          <w:szCs w:val="28"/>
          <w:lang w:val="ro-RO"/>
        </w:rPr>
        <w:t>9</w:t>
      </w:r>
    </w:p>
    <w:p w14:paraId="044CCB39" w14:textId="1BDDF422" w:rsidR="007F6636" w:rsidRPr="003278ED" w:rsidRDefault="007F6636" w:rsidP="007D3A2B">
      <w:pPr>
        <w:pStyle w:val="Table"/>
        <w:spacing w:before="0" w:line="240" w:lineRule="auto"/>
        <w:rPr>
          <w:rFonts w:ascii="Times New Roman" w:hAnsi="Times New Roman"/>
          <w:color w:val="auto"/>
          <w:sz w:val="24"/>
          <w:szCs w:val="28"/>
          <w:lang w:val="ro-RO"/>
        </w:rPr>
      </w:pPr>
      <w:r w:rsidRPr="003278ED">
        <w:rPr>
          <w:rFonts w:ascii="Times New Roman" w:hAnsi="Times New Roman"/>
          <w:color w:val="auto"/>
          <w:sz w:val="24"/>
          <w:szCs w:val="28"/>
          <w:lang w:val="ro-RO"/>
        </w:rPr>
        <w:t>Recreditarea</w:t>
      </w:r>
    </w:p>
    <w:p w14:paraId="111D0E6B" w14:textId="77777777" w:rsidR="007F6636" w:rsidRPr="003278ED" w:rsidRDefault="007F6636" w:rsidP="007D3A2B">
      <w:pPr>
        <w:pStyle w:val="Table"/>
        <w:spacing w:before="0" w:line="240" w:lineRule="auto"/>
        <w:ind w:firstLine="720"/>
        <w:jc w:val="right"/>
        <w:rPr>
          <w:rFonts w:ascii="Times New Roman" w:hAnsi="Times New Roman"/>
          <w:b w:val="0"/>
          <w:szCs w:val="20"/>
          <w:lang w:val="ro-RO"/>
        </w:rPr>
      </w:pPr>
      <w:r w:rsidRPr="003278ED">
        <w:rPr>
          <w:rFonts w:ascii="Times New Roman" w:hAnsi="Times New Roman"/>
          <w:b w:val="0"/>
          <w:szCs w:val="20"/>
          <w:lang w:val="ro-RO"/>
        </w:rPr>
        <w:t>(</w:t>
      </w:r>
      <w:r w:rsidRPr="003278ED">
        <w:rPr>
          <w:rFonts w:ascii="Times New Roman" w:hAnsi="Times New Roman"/>
          <w:b w:val="0"/>
          <w:color w:val="000000"/>
          <w:szCs w:val="20"/>
          <w:lang w:val="ro-RO" w:eastAsia="ro-RO"/>
        </w:rPr>
        <w:t>% din PIB)</w:t>
      </w:r>
    </w:p>
    <w:tbl>
      <w:tblPr>
        <w:tblW w:w="5000" w:type="pct"/>
        <w:tblLayout w:type="fixed"/>
        <w:tblLook w:val="04A0" w:firstRow="1" w:lastRow="0" w:firstColumn="1" w:lastColumn="0" w:noHBand="0" w:noVBand="1"/>
      </w:tblPr>
      <w:tblGrid>
        <w:gridCol w:w="380"/>
        <w:gridCol w:w="1774"/>
        <w:gridCol w:w="933"/>
        <w:gridCol w:w="989"/>
        <w:gridCol w:w="847"/>
        <w:gridCol w:w="991"/>
        <w:gridCol w:w="1133"/>
        <w:gridCol w:w="1140"/>
        <w:gridCol w:w="1146"/>
      </w:tblGrid>
      <w:tr w:rsidR="007F6636" w:rsidRPr="003278ED" w14:paraId="67718B4E" w14:textId="77777777" w:rsidTr="00072588">
        <w:trPr>
          <w:trHeight w:val="300"/>
        </w:trPr>
        <w:tc>
          <w:tcPr>
            <w:tcW w:w="203" w:type="pct"/>
            <w:tcBorders>
              <w:top w:val="single" w:sz="4" w:space="0" w:color="auto"/>
              <w:left w:val="nil"/>
              <w:bottom w:val="nil"/>
              <w:right w:val="nil"/>
            </w:tcBorders>
            <w:shd w:val="clear" w:color="auto" w:fill="auto"/>
            <w:noWrap/>
            <w:vAlign w:val="bottom"/>
            <w:hideMark/>
          </w:tcPr>
          <w:p w14:paraId="22BEE801" w14:textId="77777777" w:rsidR="007F6636" w:rsidRPr="003278ED" w:rsidRDefault="007F6636" w:rsidP="007D3A2B">
            <w:pPr>
              <w:spacing w:after="0" w:line="240" w:lineRule="auto"/>
              <w:rPr>
                <w:rFonts w:ascii="Times New Roman" w:hAnsi="Times New Roman" w:cs="Times New Roman"/>
                <w:color w:val="000000"/>
                <w:sz w:val="20"/>
                <w:lang w:eastAsia="ro-RO"/>
              </w:rPr>
            </w:pPr>
          </w:p>
        </w:tc>
        <w:tc>
          <w:tcPr>
            <w:tcW w:w="950" w:type="pct"/>
            <w:tcBorders>
              <w:top w:val="single" w:sz="4" w:space="0" w:color="auto"/>
              <w:left w:val="nil"/>
              <w:bottom w:val="nil"/>
              <w:right w:val="nil"/>
            </w:tcBorders>
            <w:shd w:val="clear" w:color="auto" w:fill="auto"/>
            <w:noWrap/>
            <w:vAlign w:val="bottom"/>
            <w:hideMark/>
          </w:tcPr>
          <w:p w14:paraId="10D72CA2" w14:textId="77777777" w:rsidR="007F6636" w:rsidRPr="003278ED" w:rsidRDefault="007F6636" w:rsidP="007D3A2B">
            <w:pPr>
              <w:spacing w:after="0" w:line="240" w:lineRule="auto"/>
              <w:rPr>
                <w:rFonts w:ascii="Times New Roman" w:hAnsi="Times New Roman" w:cs="Times New Roman"/>
                <w:color w:val="000000"/>
                <w:sz w:val="20"/>
                <w:lang w:eastAsia="ro-RO"/>
              </w:rPr>
            </w:pPr>
          </w:p>
        </w:tc>
        <w:tc>
          <w:tcPr>
            <w:tcW w:w="500" w:type="pct"/>
            <w:tcBorders>
              <w:top w:val="single" w:sz="4" w:space="0" w:color="auto"/>
              <w:left w:val="nil"/>
              <w:bottom w:val="nil"/>
              <w:right w:val="nil"/>
            </w:tcBorders>
            <w:shd w:val="clear" w:color="auto" w:fill="auto"/>
            <w:noWrap/>
            <w:vAlign w:val="bottom"/>
            <w:hideMark/>
          </w:tcPr>
          <w:p w14:paraId="29D7F428" w14:textId="77777777" w:rsidR="007F6636" w:rsidRPr="003278ED" w:rsidRDefault="007F6636" w:rsidP="007D3A2B">
            <w:pPr>
              <w:spacing w:after="0" w:line="240" w:lineRule="auto"/>
              <w:rPr>
                <w:rFonts w:ascii="Times New Roman" w:hAnsi="Times New Roman" w:cs="Times New Roman"/>
                <w:color w:val="000000"/>
                <w:sz w:val="20"/>
                <w:lang w:eastAsia="ro-RO"/>
              </w:rPr>
            </w:pPr>
          </w:p>
        </w:tc>
        <w:tc>
          <w:tcPr>
            <w:tcW w:w="530" w:type="pct"/>
            <w:tcBorders>
              <w:top w:val="single" w:sz="4" w:space="0" w:color="auto"/>
              <w:left w:val="nil"/>
              <w:bottom w:val="nil"/>
              <w:right w:val="nil"/>
            </w:tcBorders>
            <w:shd w:val="clear" w:color="auto" w:fill="auto"/>
            <w:noWrap/>
            <w:vAlign w:val="bottom"/>
            <w:hideMark/>
          </w:tcPr>
          <w:p w14:paraId="5CBE69F0"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2022</w:t>
            </w:r>
          </w:p>
        </w:tc>
        <w:tc>
          <w:tcPr>
            <w:tcW w:w="454" w:type="pct"/>
            <w:tcBorders>
              <w:top w:val="single" w:sz="4" w:space="0" w:color="auto"/>
              <w:left w:val="nil"/>
              <w:bottom w:val="nil"/>
              <w:right w:val="nil"/>
            </w:tcBorders>
            <w:shd w:val="clear" w:color="auto" w:fill="auto"/>
            <w:noWrap/>
            <w:vAlign w:val="bottom"/>
            <w:hideMark/>
          </w:tcPr>
          <w:p w14:paraId="0FF2FA00"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2023</w:t>
            </w:r>
          </w:p>
        </w:tc>
        <w:tc>
          <w:tcPr>
            <w:tcW w:w="531" w:type="pct"/>
            <w:tcBorders>
              <w:top w:val="single" w:sz="4" w:space="0" w:color="auto"/>
              <w:left w:val="nil"/>
              <w:bottom w:val="nil"/>
              <w:right w:val="nil"/>
            </w:tcBorders>
            <w:shd w:val="clear" w:color="auto" w:fill="auto"/>
            <w:noWrap/>
            <w:vAlign w:val="bottom"/>
            <w:hideMark/>
          </w:tcPr>
          <w:p w14:paraId="776D955C"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2024</w:t>
            </w:r>
          </w:p>
        </w:tc>
        <w:tc>
          <w:tcPr>
            <w:tcW w:w="607" w:type="pct"/>
            <w:tcBorders>
              <w:top w:val="single" w:sz="4" w:space="0" w:color="auto"/>
              <w:left w:val="nil"/>
              <w:bottom w:val="nil"/>
              <w:right w:val="nil"/>
            </w:tcBorders>
            <w:shd w:val="clear" w:color="auto" w:fill="auto"/>
            <w:noWrap/>
            <w:vAlign w:val="bottom"/>
            <w:hideMark/>
          </w:tcPr>
          <w:p w14:paraId="4207CF93"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2025</w:t>
            </w:r>
          </w:p>
        </w:tc>
        <w:tc>
          <w:tcPr>
            <w:tcW w:w="611" w:type="pct"/>
            <w:tcBorders>
              <w:top w:val="single" w:sz="4" w:space="0" w:color="auto"/>
              <w:left w:val="nil"/>
              <w:bottom w:val="nil"/>
              <w:right w:val="nil"/>
            </w:tcBorders>
            <w:shd w:val="clear" w:color="auto" w:fill="auto"/>
            <w:noWrap/>
            <w:vAlign w:val="bottom"/>
            <w:hideMark/>
          </w:tcPr>
          <w:p w14:paraId="40B31CA2"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2026</w:t>
            </w:r>
          </w:p>
        </w:tc>
        <w:tc>
          <w:tcPr>
            <w:tcW w:w="614" w:type="pct"/>
            <w:tcBorders>
              <w:top w:val="single" w:sz="4" w:space="0" w:color="auto"/>
              <w:left w:val="nil"/>
              <w:bottom w:val="nil"/>
              <w:right w:val="nil"/>
            </w:tcBorders>
            <w:shd w:val="clear" w:color="auto" w:fill="auto"/>
            <w:noWrap/>
            <w:vAlign w:val="bottom"/>
            <w:hideMark/>
          </w:tcPr>
          <w:p w14:paraId="325E51B6"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2027</w:t>
            </w:r>
          </w:p>
        </w:tc>
      </w:tr>
      <w:tr w:rsidR="007F6636" w:rsidRPr="003278ED" w14:paraId="3FBDB0FD" w14:textId="77777777" w:rsidTr="00072588">
        <w:trPr>
          <w:trHeight w:val="270"/>
        </w:trPr>
        <w:tc>
          <w:tcPr>
            <w:tcW w:w="203" w:type="pct"/>
            <w:tcBorders>
              <w:top w:val="nil"/>
              <w:left w:val="nil"/>
              <w:bottom w:val="single" w:sz="8" w:space="0" w:color="auto"/>
              <w:right w:val="nil"/>
            </w:tcBorders>
            <w:shd w:val="clear" w:color="auto" w:fill="auto"/>
            <w:noWrap/>
            <w:vAlign w:val="bottom"/>
            <w:hideMark/>
          </w:tcPr>
          <w:p w14:paraId="09FA2786"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 </w:t>
            </w:r>
          </w:p>
        </w:tc>
        <w:tc>
          <w:tcPr>
            <w:tcW w:w="950" w:type="pct"/>
            <w:tcBorders>
              <w:top w:val="nil"/>
              <w:left w:val="nil"/>
              <w:bottom w:val="single" w:sz="8" w:space="0" w:color="auto"/>
              <w:right w:val="nil"/>
            </w:tcBorders>
            <w:shd w:val="clear" w:color="auto" w:fill="auto"/>
            <w:noWrap/>
            <w:vAlign w:val="bottom"/>
            <w:hideMark/>
          </w:tcPr>
          <w:p w14:paraId="5CCB00A4"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 </w:t>
            </w:r>
          </w:p>
        </w:tc>
        <w:tc>
          <w:tcPr>
            <w:tcW w:w="500" w:type="pct"/>
            <w:tcBorders>
              <w:top w:val="nil"/>
              <w:left w:val="nil"/>
              <w:bottom w:val="single" w:sz="8" w:space="0" w:color="auto"/>
              <w:right w:val="nil"/>
            </w:tcBorders>
            <w:shd w:val="clear" w:color="auto" w:fill="auto"/>
            <w:noWrap/>
            <w:vAlign w:val="bottom"/>
            <w:hideMark/>
          </w:tcPr>
          <w:p w14:paraId="72E47FEC"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 </w:t>
            </w:r>
          </w:p>
        </w:tc>
        <w:tc>
          <w:tcPr>
            <w:tcW w:w="530" w:type="pct"/>
            <w:tcBorders>
              <w:top w:val="nil"/>
              <w:left w:val="nil"/>
              <w:bottom w:val="single" w:sz="8" w:space="0" w:color="auto"/>
              <w:right w:val="nil"/>
            </w:tcBorders>
            <w:shd w:val="clear" w:color="auto" w:fill="auto"/>
            <w:noWrap/>
            <w:vAlign w:val="bottom"/>
            <w:hideMark/>
          </w:tcPr>
          <w:p w14:paraId="430C7399" w14:textId="77777777" w:rsidR="007F6636" w:rsidRPr="003278ED" w:rsidRDefault="00336CEE"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e</w:t>
            </w:r>
            <w:r w:rsidR="007F6636" w:rsidRPr="003278ED">
              <w:rPr>
                <w:rFonts w:ascii="Times New Roman" w:hAnsi="Times New Roman" w:cs="Times New Roman"/>
                <w:b/>
                <w:bCs/>
                <w:color w:val="000000"/>
                <w:sz w:val="20"/>
                <w:lang w:eastAsia="ro-RO"/>
              </w:rPr>
              <w:t>fectiv</w:t>
            </w:r>
          </w:p>
        </w:tc>
        <w:tc>
          <w:tcPr>
            <w:tcW w:w="454" w:type="pct"/>
            <w:tcBorders>
              <w:top w:val="nil"/>
              <w:left w:val="nil"/>
              <w:bottom w:val="single" w:sz="8" w:space="0" w:color="auto"/>
              <w:right w:val="nil"/>
            </w:tcBorders>
            <w:shd w:val="clear" w:color="auto" w:fill="auto"/>
            <w:noWrap/>
            <w:vAlign w:val="bottom"/>
            <w:hideMark/>
          </w:tcPr>
          <w:p w14:paraId="4FBB9FF4" w14:textId="77777777" w:rsidR="007F6636" w:rsidRPr="003278ED" w:rsidRDefault="00336CEE" w:rsidP="007D3A2B">
            <w:pPr>
              <w:spacing w:after="0" w:line="240" w:lineRule="auto"/>
              <w:ind w:right="-141"/>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e</w:t>
            </w:r>
            <w:r w:rsidR="007F6636" w:rsidRPr="003278ED">
              <w:rPr>
                <w:rFonts w:ascii="Times New Roman" w:hAnsi="Times New Roman" w:cs="Times New Roman"/>
                <w:b/>
                <w:bCs/>
                <w:color w:val="000000"/>
                <w:sz w:val="20"/>
                <w:lang w:eastAsia="ro-RO"/>
              </w:rPr>
              <w:t>fectiv</w:t>
            </w:r>
          </w:p>
        </w:tc>
        <w:tc>
          <w:tcPr>
            <w:tcW w:w="531" w:type="pct"/>
            <w:tcBorders>
              <w:top w:val="nil"/>
              <w:left w:val="nil"/>
              <w:bottom w:val="single" w:sz="8" w:space="0" w:color="auto"/>
              <w:right w:val="nil"/>
            </w:tcBorders>
            <w:shd w:val="clear" w:color="auto" w:fill="auto"/>
            <w:noWrap/>
            <w:vAlign w:val="bottom"/>
            <w:hideMark/>
          </w:tcPr>
          <w:p w14:paraId="6BF438A4" w14:textId="77777777" w:rsidR="007F6636" w:rsidRPr="003278ED" w:rsidRDefault="00336CEE" w:rsidP="007D3A2B">
            <w:pPr>
              <w:spacing w:after="0" w:line="240" w:lineRule="auto"/>
              <w:ind w:right="-144"/>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a</w:t>
            </w:r>
            <w:r w:rsidR="007F6636" w:rsidRPr="003278ED">
              <w:rPr>
                <w:rFonts w:ascii="Times New Roman" w:hAnsi="Times New Roman" w:cs="Times New Roman"/>
                <w:b/>
                <w:bCs/>
                <w:color w:val="000000"/>
                <w:sz w:val="20"/>
                <w:lang w:eastAsia="ro-RO"/>
              </w:rPr>
              <w:t>probat</w:t>
            </w:r>
          </w:p>
        </w:tc>
        <w:tc>
          <w:tcPr>
            <w:tcW w:w="607" w:type="pct"/>
            <w:tcBorders>
              <w:top w:val="nil"/>
              <w:left w:val="nil"/>
              <w:bottom w:val="single" w:sz="8" w:space="0" w:color="auto"/>
              <w:right w:val="nil"/>
            </w:tcBorders>
            <w:shd w:val="clear" w:color="auto" w:fill="auto"/>
            <w:noWrap/>
            <w:vAlign w:val="bottom"/>
            <w:hideMark/>
          </w:tcPr>
          <w:p w14:paraId="132DE617" w14:textId="77777777" w:rsidR="007F6636" w:rsidRPr="003278ED" w:rsidRDefault="00336CEE" w:rsidP="007D3A2B">
            <w:pPr>
              <w:spacing w:after="0" w:line="240" w:lineRule="auto"/>
              <w:ind w:right="-151"/>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p</w:t>
            </w:r>
            <w:r w:rsidR="007F6636" w:rsidRPr="003278ED">
              <w:rPr>
                <w:rFonts w:ascii="Times New Roman" w:hAnsi="Times New Roman" w:cs="Times New Roman"/>
                <w:b/>
                <w:bCs/>
                <w:color w:val="000000"/>
                <w:sz w:val="20"/>
                <w:lang w:eastAsia="ro-RO"/>
              </w:rPr>
              <w:t>rognozat</w:t>
            </w:r>
          </w:p>
        </w:tc>
        <w:tc>
          <w:tcPr>
            <w:tcW w:w="611" w:type="pct"/>
            <w:tcBorders>
              <w:top w:val="nil"/>
              <w:left w:val="nil"/>
              <w:bottom w:val="single" w:sz="8" w:space="0" w:color="auto"/>
              <w:right w:val="nil"/>
            </w:tcBorders>
            <w:shd w:val="clear" w:color="auto" w:fill="auto"/>
            <w:noWrap/>
            <w:vAlign w:val="bottom"/>
            <w:hideMark/>
          </w:tcPr>
          <w:p w14:paraId="62E0B33B" w14:textId="77777777" w:rsidR="007F6636" w:rsidRPr="003278ED" w:rsidRDefault="00336CEE" w:rsidP="007D3A2B">
            <w:pPr>
              <w:spacing w:after="0" w:line="240" w:lineRule="auto"/>
              <w:ind w:right="-146"/>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p</w:t>
            </w:r>
            <w:r w:rsidR="007F6636" w:rsidRPr="003278ED">
              <w:rPr>
                <w:rFonts w:ascii="Times New Roman" w:hAnsi="Times New Roman" w:cs="Times New Roman"/>
                <w:b/>
                <w:bCs/>
                <w:color w:val="000000"/>
                <w:sz w:val="20"/>
                <w:lang w:eastAsia="ro-RO"/>
              </w:rPr>
              <w:t>rognozat</w:t>
            </w:r>
          </w:p>
        </w:tc>
        <w:tc>
          <w:tcPr>
            <w:tcW w:w="614" w:type="pct"/>
            <w:tcBorders>
              <w:top w:val="nil"/>
              <w:left w:val="nil"/>
              <w:bottom w:val="single" w:sz="8" w:space="0" w:color="auto"/>
              <w:right w:val="nil"/>
            </w:tcBorders>
            <w:shd w:val="clear" w:color="auto" w:fill="auto"/>
            <w:noWrap/>
            <w:vAlign w:val="bottom"/>
            <w:hideMark/>
          </w:tcPr>
          <w:p w14:paraId="6148C515" w14:textId="77777777" w:rsidR="007F6636" w:rsidRPr="003278ED" w:rsidRDefault="00336CEE" w:rsidP="007D3A2B">
            <w:pPr>
              <w:spacing w:after="0" w:line="240" w:lineRule="auto"/>
              <w:ind w:right="-127"/>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p</w:t>
            </w:r>
            <w:r w:rsidR="007F6636" w:rsidRPr="003278ED">
              <w:rPr>
                <w:rFonts w:ascii="Times New Roman" w:hAnsi="Times New Roman" w:cs="Times New Roman"/>
                <w:b/>
                <w:bCs/>
                <w:color w:val="000000"/>
                <w:sz w:val="20"/>
                <w:lang w:eastAsia="ro-RO"/>
              </w:rPr>
              <w:t>rognozat</w:t>
            </w:r>
          </w:p>
        </w:tc>
      </w:tr>
      <w:tr w:rsidR="007F6636" w:rsidRPr="003278ED" w14:paraId="54621734" w14:textId="77777777" w:rsidTr="00072588">
        <w:trPr>
          <w:trHeight w:val="420"/>
        </w:trPr>
        <w:tc>
          <w:tcPr>
            <w:tcW w:w="1653" w:type="pct"/>
            <w:gridSpan w:val="3"/>
            <w:tcBorders>
              <w:top w:val="single" w:sz="8" w:space="0" w:color="auto"/>
              <w:left w:val="nil"/>
              <w:bottom w:val="nil"/>
              <w:right w:val="nil"/>
            </w:tcBorders>
            <w:shd w:val="clear" w:color="auto" w:fill="auto"/>
            <w:noWrap/>
            <w:vAlign w:val="center"/>
            <w:hideMark/>
          </w:tcPr>
          <w:p w14:paraId="6B3BA523" w14:textId="77777777" w:rsidR="007F6636" w:rsidRPr="003278ED" w:rsidRDefault="007F6636" w:rsidP="007D3A2B">
            <w:pPr>
              <w:spacing w:after="0" w:line="240" w:lineRule="auto"/>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Recreditarea bugetului local</w:t>
            </w:r>
          </w:p>
        </w:tc>
        <w:tc>
          <w:tcPr>
            <w:tcW w:w="530" w:type="pct"/>
            <w:tcBorders>
              <w:top w:val="single" w:sz="4" w:space="0" w:color="auto"/>
              <w:left w:val="nil"/>
              <w:bottom w:val="nil"/>
              <w:right w:val="nil"/>
            </w:tcBorders>
            <w:shd w:val="clear" w:color="auto" w:fill="auto"/>
            <w:noWrap/>
            <w:vAlign w:val="center"/>
            <w:hideMark/>
          </w:tcPr>
          <w:p w14:paraId="6A3B17A3" w14:textId="77777777" w:rsidR="007F6636" w:rsidRPr="003278ED" w:rsidRDefault="004F2BA2"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c>
          <w:tcPr>
            <w:tcW w:w="454" w:type="pct"/>
            <w:tcBorders>
              <w:top w:val="single" w:sz="4" w:space="0" w:color="auto"/>
              <w:left w:val="nil"/>
              <w:bottom w:val="single" w:sz="4" w:space="0" w:color="auto"/>
              <w:right w:val="nil"/>
            </w:tcBorders>
            <w:shd w:val="clear" w:color="auto" w:fill="auto"/>
            <w:noWrap/>
            <w:vAlign w:val="center"/>
            <w:hideMark/>
          </w:tcPr>
          <w:p w14:paraId="7806C604"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c>
          <w:tcPr>
            <w:tcW w:w="531" w:type="pct"/>
            <w:tcBorders>
              <w:top w:val="single" w:sz="4" w:space="0" w:color="auto"/>
              <w:left w:val="nil"/>
              <w:bottom w:val="single" w:sz="4" w:space="0" w:color="auto"/>
              <w:right w:val="nil"/>
            </w:tcBorders>
            <w:shd w:val="clear" w:color="auto" w:fill="auto"/>
            <w:noWrap/>
            <w:vAlign w:val="center"/>
            <w:hideMark/>
          </w:tcPr>
          <w:p w14:paraId="36E786AF"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c>
          <w:tcPr>
            <w:tcW w:w="607" w:type="pct"/>
            <w:tcBorders>
              <w:top w:val="single" w:sz="4" w:space="0" w:color="auto"/>
              <w:left w:val="nil"/>
              <w:bottom w:val="single" w:sz="4" w:space="0" w:color="auto"/>
              <w:right w:val="nil"/>
            </w:tcBorders>
            <w:shd w:val="clear" w:color="auto" w:fill="auto"/>
            <w:noWrap/>
            <w:vAlign w:val="center"/>
            <w:hideMark/>
          </w:tcPr>
          <w:p w14:paraId="6B26AB88"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c>
          <w:tcPr>
            <w:tcW w:w="611" w:type="pct"/>
            <w:tcBorders>
              <w:top w:val="single" w:sz="4" w:space="0" w:color="auto"/>
              <w:left w:val="nil"/>
              <w:bottom w:val="single" w:sz="4" w:space="0" w:color="auto"/>
              <w:right w:val="nil"/>
            </w:tcBorders>
            <w:shd w:val="clear" w:color="auto" w:fill="auto"/>
            <w:noWrap/>
            <w:vAlign w:val="center"/>
            <w:hideMark/>
          </w:tcPr>
          <w:p w14:paraId="458F76F1"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0,02</w:t>
            </w:r>
          </w:p>
        </w:tc>
        <w:tc>
          <w:tcPr>
            <w:tcW w:w="614" w:type="pct"/>
            <w:tcBorders>
              <w:top w:val="single" w:sz="4" w:space="0" w:color="auto"/>
              <w:left w:val="nil"/>
              <w:bottom w:val="single" w:sz="4" w:space="0" w:color="auto"/>
              <w:right w:val="nil"/>
            </w:tcBorders>
            <w:shd w:val="clear" w:color="auto" w:fill="auto"/>
            <w:noWrap/>
            <w:vAlign w:val="center"/>
            <w:hideMark/>
          </w:tcPr>
          <w:p w14:paraId="2BD2E32E"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r>
      <w:tr w:rsidR="007F6636" w:rsidRPr="003278ED" w14:paraId="030ADDFC" w14:textId="77777777" w:rsidTr="00072588">
        <w:trPr>
          <w:trHeight w:val="395"/>
        </w:trPr>
        <w:tc>
          <w:tcPr>
            <w:tcW w:w="1653" w:type="pct"/>
            <w:gridSpan w:val="3"/>
            <w:tcBorders>
              <w:top w:val="single" w:sz="4" w:space="0" w:color="auto"/>
              <w:left w:val="nil"/>
              <w:bottom w:val="single" w:sz="4" w:space="0" w:color="auto"/>
              <w:right w:val="nil"/>
            </w:tcBorders>
            <w:shd w:val="clear" w:color="auto" w:fill="auto"/>
            <w:noWrap/>
            <w:vAlign w:val="center"/>
            <w:hideMark/>
          </w:tcPr>
          <w:p w14:paraId="52210845" w14:textId="77777777" w:rsidR="007F6636" w:rsidRPr="003278ED" w:rsidRDefault="007F6636" w:rsidP="007D3A2B">
            <w:pPr>
              <w:spacing w:after="0" w:line="240" w:lineRule="auto"/>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Recreditarea întreprinderilor de stat (pentru proiecte de investiții)</w:t>
            </w:r>
          </w:p>
        </w:tc>
        <w:tc>
          <w:tcPr>
            <w:tcW w:w="530" w:type="pct"/>
            <w:tcBorders>
              <w:top w:val="single" w:sz="4" w:space="0" w:color="auto"/>
              <w:left w:val="nil"/>
              <w:bottom w:val="single" w:sz="4" w:space="0" w:color="auto"/>
              <w:right w:val="nil"/>
            </w:tcBorders>
            <w:shd w:val="clear" w:color="auto" w:fill="auto"/>
            <w:noWrap/>
            <w:vAlign w:val="center"/>
            <w:hideMark/>
          </w:tcPr>
          <w:p w14:paraId="58472BDC"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1,3</w:t>
            </w:r>
          </w:p>
        </w:tc>
        <w:tc>
          <w:tcPr>
            <w:tcW w:w="454" w:type="pct"/>
            <w:tcBorders>
              <w:top w:val="nil"/>
              <w:left w:val="nil"/>
              <w:bottom w:val="single" w:sz="4" w:space="0" w:color="auto"/>
              <w:right w:val="nil"/>
            </w:tcBorders>
            <w:shd w:val="clear" w:color="auto" w:fill="auto"/>
            <w:noWrap/>
            <w:vAlign w:val="center"/>
            <w:hideMark/>
          </w:tcPr>
          <w:p w14:paraId="3D6A8D3C"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1,7</w:t>
            </w:r>
          </w:p>
        </w:tc>
        <w:tc>
          <w:tcPr>
            <w:tcW w:w="531" w:type="pct"/>
            <w:tcBorders>
              <w:top w:val="nil"/>
              <w:left w:val="nil"/>
              <w:bottom w:val="single" w:sz="4" w:space="0" w:color="auto"/>
              <w:right w:val="nil"/>
            </w:tcBorders>
            <w:shd w:val="clear" w:color="auto" w:fill="auto"/>
            <w:noWrap/>
            <w:vAlign w:val="center"/>
            <w:hideMark/>
          </w:tcPr>
          <w:p w14:paraId="3BB9095E"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0,65</w:t>
            </w:r>
          </w:p>
        </w:tc>
        <w:tc>
          <w:tcPr>
            <w:tcW w:w="607" w:type="pct"/>
            <w:tcBorders>
              <w:top w:val="nil"/>
              <w:left w:val="nil"/>
              <w:bottom w:val="single" w:sz="4" w:space="0" w:color="auto"/>
              <w:right w:val="nil"/>
            </w:tcBorders>
            <w:shd w:val="clear" w:color="auto" w:fill="auto"/>
            <w:noWrap/>
            <w:vAlign w:val="center"/>
            <w:hideMark/>
          </w:tcPr>
          <w:p w14:paraId="44A93B6E"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0,5</w:t>
            </w:r>
          </w:p>
        </w:tc>
        <w:tc>
          <w:tcPr>
            <w:tcW w:w="611" w:type="pct"/>
            <w:tcBorders>
              <w:top w:val="nil"/>
              <w:left w:val="nil"/>
              <w:bottom w:val="single" w:sz="4" w:space="0" w:color="auto"/>
              <w:right w:val="nil"/>
            </w:tcBorders>
            <w:shd w:val="clear" w:color="auto" w:fill="auto"/>
            <w:noWrap/>
            <w:vAlign w:val="center"/>
            <w:hideMark/>
          </w:tcPr>
          <w:p w14:paraId="2B59D476"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0,33</w:t>
            </w:r>
          </w:p>
        </w:tc>
        <w:tc>
          <w:tcPr>
            <w:tcW w:w="614" w:type="pct"/>
            <w:tcBorders>
              <w:top w:val="nil"/>
              <w:left w:val="nil"/>
              <w:bottom w:val="single" w:sz="4" w:space="0" w:color="auto"/>
              <w:right w:val="nil"/>
            </w:tcBorders>
            <w:shd w:val="clear" w:color="auto" w:fill="auto"/>
            <w:noWrap/>
            <w:vAlign w:val="center"/>
            <w:hideMark/>
          </w:tcPr>
          <w:p w14:paraId="3038831E"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0,1</w:t>
            </w:r>
          </w:p>
        </w:tc>
      </w:tr>
      <w:tr w:rsidR="007F6636" w:rsidRPr="003278ED" w14:paraId="1289807C" w14:textId="77777777" w:rsidTr="00072588">
        <w:trPr>
          <w:trHeight w:val="420"/>
        </w:trPr>
        <w:tc>
          <w:tcPr>
            <w:tcW w:w="1653" w:type="pct"/>
            <w:gridSpan w:val="3"/>
            <w:tcBorders>
              <w:top w:val="single" w:sz="4" w:space="0" w:color="auto"/>
              <w:left w:val="nil"/>
              <w:bottom w:val="single" w:sz="4" w:space="0" w:color="auto"/>
              <w:right w:val="nil"/>
            </w:tcBorders>
            <w:shd w:val="clear" w:color="auto" w:fill="auto"/>
            <w:noWrap/>
            <w:vAlign w:val="center"/>
            <w:hideMark/>
          </w:tcPr>
          <w:p w14:paraId="52F2B5FB" w14:textId="77777777" w:rsidR="007F6636" w:rsidRPr="003278ED" w:rsidRDefault="007F6636" w:rsidP="007D3A2B">
            <w:pPr>
              <w:spacing w:after="0" w:line="240" w:lineRule="auto"/>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Recreditarea sectorului privat</w:t>
            </w:r>
          </w:p>
        </w:tc>
        <w:tc>
          <w:tcPr>
            <w:tcW w:w="530" w:type="pct"/>
            <w:tcBorders>
              <w:top w:val="nil"/>
              <w:left w:val="nil"/>
              <w:bottom w:val="single" w:sz="4" w:space="0" w:color="auto"/>
              <w:right w:val="nil"/>
            </w:tcBorders>
            <w:shd w:val="clear" w:color="auto" w:fill="auto"/>
            <w:noWrap/>
            <w:vAlign w:val="center"/>
            <w:hideMark/>
          </w:tcPr>
          <w:p w14:paraId="443C492F"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0,1</w:t>
            </w:r>
          </w:p>
        </w:tc>
        <w:tc>
          <w:tcPr>
            <w:tcW w:w="454" w:type="pct"/>
            <w:tcBorders>
              <w:top w:val="nil"/>
              <w:left w:val="nil"/>
              <w:bottom w:val="single" w:sz="4" w:space="0" w:color="auto"/>
              <w:right w:val="nil"/>
            </w:tcBorders>
            <w:shd w:val="clear" w:color="auto" w:fill="auto"/>
            <w:noWrap/>
            <w:vAlign w:val="center"/>
            <w:hideMark/>
          </w:tcPr>
          <w:p w14:paraId="57D0693D"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0,1</w:t>
            </w:r>
          </w:p>
        </w:tc>
        <w:tc>
          <w:tcPr>
            <w:tcW w:w="531" w:type="pct"/>
            <w:tcBorders>
              <w:top w:val="nil"/>
              <w:left w:val="nil"/>
              <w:bottom w:val="single" w:sz="4" w:space="0" w:color="auto"/>
              <w:right w:val="nil"/>
            </w:tcBorders>
            <w:shd w:val="clear" w:color="auto" w:fill="auto"/>
            <w:noWrap/>
            <w:vAlign w:val="center"/>
            <w:hideMark/>
          </w:tcPr>
          <w:p w14:paraId="716228D7"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0,16</w:t>
            </w:r>
          </w:p>
        </w:tc>
        <w:tc>
          <w:tcPr>
            <w:tcW w:w="607" w:type="pct"/>
            <w:tcBorders>
              <w:top w:val="nil"/>
              <w:left w:val="nil"/>
              <w:bottom w:val="single" w:sz="4" w:space="0" w:color="auto"/>
              <w:right w:val="nil"/>
            </w:tcBorders>
            <w:shd w:val="clear" w:color="auto" w:fill="auto"/>
            <w:noWrap/>
            <w:vAlign w:val="center"/>
            <w:hideMark/>
          </w:tcPr>
          <w:p w14:paraId="5DC5BE95"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0,1</w:t>
            </w:r>
          </w:p>
        </w:tc>
        <w:tc>
          <w:tcPr>
            <w:tcW w:w="611" w:type="pct"/>
            <w:tcBorders>
              <w:top w:val="nil"/>
              <w:left w:val="nil"/>
              <w:bottom w:val="single" w:sz="4" w:space="0" w:color="auto"/>
              <w:right w:val="nil"/>
            </w:tcBorders>
            <w:shd w:val="clear" w:color="auto" w:fill="auto"/>
            <w:noWrap/>
            <w:vAlign w:val="center"/>
            <w:hideMark/>
          </w:tcPr>
          <w:p w14:paraId="062D4B59"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0,01</w:t>
            </w:r>
          </w:p>
        </w:tc>
        <w:tc>
          <w:tcPr>
            <w:tcW w:w="614" w:type="pct"/>
            <w:tcBorders>
              <w:top w:val="nil"/>
              <w:left w:val="nil"/>
              <w:bottom w:val="single" w:sz="4" w:space="0" w:color="auto"/>
              <w:right w:val="nil"/>
            </w:tcBorders>
            <w:shd w:val="clear" w:color="auto" w:fill="auto"/>
            <w:noWrap/>
            <w:vAlign w:val="center"/>
            <w:hideMark/>
          </w:tcPr>
          <w:p w14:paraId="12B05A6B" w14:textId="77777777" w:rsidR="007F6636" w:rsidRPr="003278ED" w:rsidRDefault="007F6636" w:rsidP="007D3A2B">
            <w:pPr>
              <w:spacing w:after="0" w:line="240" w:lineRule="auto"/>
              <w:jc w:val="center"/>
              <w:rPr>
                <w:rFonts w:ascii="Times New Roman" w:hAnsi="Times New Roman" w:cs="Times New Roman"/>
                <w:color w:val="000000"/>
                <w:sz w:val="20"/>
                <w:lang w:eastAsia="ro-RO"/>
              </w:rPr>
            </w:pPr>
            <w:r w:rsidRPr="003278ED">
              <w:rPr>
                <w:rFonts w:ascii="Times New Roman" w:hAnsi="Times New Roman" w:cs="Times New Roman"/>
                <w:color w:val="000000"/>
                <w:sz w:val="20"/>
                <w:lang w:eastAsia="ro-RO"/>
              </w:rPr>
              <w:t>0,0</w:t>
            </w:r>
          </w:p>
        </w:tc>
      </w:tr>
      <w:tr w:rsidR="007F6636" w:rsidRPr="003278ED" w14:paraId="37595D58" w14:textId="77777777" w:rsidTr="00072588">
        <w:trPr>
          <w:trHeight w:val="367"/>
        </w:trPr>
        <w:tc>
          <w:tcPr>
            <w:tcW w:w="1653" w:type="pct"/>
            <w:gridSpan w:val="3"/>
            <w:tcBorders>
              <w:top w:val="single" w:sz="4" w:space="0" w:color="auto"/>
              <w:left w:val="nil"/>
              <w:bottom w:val="single" w:sz="4" w:space="0" w:color="auto"/>
              <w:right w:val="nil"/>
            </w:tcBorders>
            <w:shd w:val="clear" w:color="auto" w:fill="auto"/>
            <w:noWrap/>
            <w:vAlign w:val="center"/>
            <w:hideMark/>
          </w:tcPr>
          <w:p w14:paraId="4012BEB5" w14:textId="77777777" w:rsidR="007F6636" w:rsidRPr="003278ED" w:rsidRDefault="007F6636" w:rsidP="007D3A2B">
            <w:pPr>
              <w:spacing w:after="0" w:line="240" w:lineRule="auto"/>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 xml:space="preserve">Total resurse </w:t>
            </w:r>
            <w:proofErr w:type="spellStart"/>
            <w:r w:rsidRPr="003278ED">
              <w:rPr>
                <w:rFonts w:ascii="Times New Roman" w:hAnsi="Times New Roman" w:cs="Times New Roman"/>
                <w:b/>
                <w:bCs/>
                <w:color w:val="000000"/>
                <w:sz w:val="20"/>
                <w:lang w:eastAsia="ro-RO"/>
              </w:rPr>
              <w:t>recreditate</w:t>
            </w:r>
            <w:proofErr w:type="spellEnd"/>
          </w:p>
        </w:tc>
        <w:tc>
          <w:tcPr>
            <w:tcW w:w="530" w:type="pct"/>
            <w:tcBorders>
              <w:top w:val="nil"/>
              <w:left w:val="nil"/>
              <w:bottom w:val="single" w:sz="4" w:space="0" w:color="auto"/>
              <w:right w:val="nil"/>
            </w:tcBorders>
            <w:shd w:val="clear" w:color="auto" w:fill="auto"/>
            <w:noWrap/>
            <w:vAlign w:val="center"/>
            <w:hideMark/>
          </w:tcPr>
          <w:p w14:paraId="2A2AFF4B"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1,5</w:t>
            </w:r>
          </w:p>
        </w:tc>
        <w:tc>
          <w:tcPr>
            <w:tcW w:w="454" w:type="pct"/>
            <w:tcBorders>
              <w:top w:val="nil"/>
              <w:left w:val="nil"/>
              <w:bottom w:val="single" w:sz="4" w:space="0" w:color="auto"/>
              <w:right w:val="nil"/>
            </w:tcBorders>
            <w:shd w:val="clear" w:color="auto" w:fill="auto"/>
            <w:noWrap/>
            <w:vAlign w:val="center"/>
            <w:hideMark/>
          </w:tcPr>
          <w:p w14:paraId="4E90BC68"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1,8</w:t>
            </w:r>
          </w:p>
        </w:tc>
        <w:tc>
          <w:tcPr>
            <w:tcW w:w="531" w:type="pct"/>
            <w:tcBorders>
              <w:top w:val="nil"/>
              <w:left w:val="nil"/>
              <w:bottom w:val="single" w:sz="4" w:space="0" w:color="auto"/>
              <w:right w:val="nil"/>
            </w:tcBorders>
            <w:shd w:val="clear" w:color="auto" w:fill="auto"/>
            <w:noWrap/>
            <w:vAlign w:val="center"/>
            <w:hideMark/>
          </w:tcPr>
          <w:p w14:paraId="2198CBA8"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0,8</w:t>
            </w:r>
          </w:p>
        </w:tc>
        <w:tc>
          <w:tcPr>
            <w:tcW w:w="607" w:type="pct"/>
            <w:tcBorders>
              <w:top w:val="nil"/>
              <w:left w:val="nil"/>
              <w:bottom w:val="single" w:sz="4" w:space="0" w:color="auto"/>
              <w:right w:val="nil"/>
            </w:tcBorders>
            <w:shd w:val="clear" w:color="auto" w:fill="auto"/>
            <w:noWrap/>
            <w:vAlign w:val="center"/>
            <w:hideMark/>
          </w:tcPr>
          <w:p w14:paraId="7DC9B8C1"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0,6</w:t>
            </w:r>
          </w:p>
        </w:tc>
        <w:tc>
          <w:tcPr>
            <w:tcW w:w="611" w:type="pct"/>
            <w:tcBorders>
              <w:top w:val="nil"/>
              <w:left w:val="nil"/>
              <w:bottom w:val="single" w:sz="4" w:space="0" w:color="auto"/>
              <w:right w:val="nil"/>
            </w:tcBorders>
            <w:shd w:val="clear" w:color="auto" w:fill="auto"/>
            <w:noWrap/>
            <w:vAlign w:val="center"/>
            <w:hideMark/>
          </w:tcPr>
          <w:p w14:paraId="3EC1C451"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0,4</w:t>
            </w:r>
          </w:p>
        </w:tc>
        <w:tc>
          <w:tcPr>
            <w:tcW w:w="614" w:type="pct"/>
            <w:tcBorders>
              <w:top w:val="nil"/>
              <w:left w:val="nil"/>
              <w:bottom w:val="single" w:sz="4" w:space="0" w:color="auto"/>
              <w:right w:val="nil"/>
            </w:tcBorders>
            <w:shd w:val="clear" w:color="auto" w:fill="auto"/>
            <w:noWrap/>
            <w:vAlign w:val="center"/>
            <w:hideMark/>
          </w:tcPr>
          <w:p w14:paraId="2A95292D" w14:textId="77777777" w:rsidR="007F6636" w:rsidRPr="003278ED" w:rsidRDefault="007F6636" w:rsidP="007D3A2B">
            <w:pPr>
              <w:spacing w:after="0" w:line="240" w:lineRule="auto"/>
              <w:jc w:val="center"/>
              <w:rPr>
                <w:rFonts w:ascii="Times New Roman" w:hAnsi="Times New Roman" w:cs="Times New Roman"/>
                <w:b/>
                <w:bCs/>
                <w:color w:val="000000"/>
                <w:sz w:val="20"/>
                <w:lang w:eastAsia="ro-RO"/>
              </w:rPr>
            </w:pPr>
            <w:r w:rsidRPr="003278ED">
              <w:rPr>
                <w:rFonts w:ascii="Times New Roman" w:hAnsi="Times New Roman" w:cs="Times New Roman"/>
                <w:b/>
                <w:bCs/>
                <w:color w:val="000000"/>
                <w:sz w:val="20"/>
                <w:lang w:eastAsia="ro-RO"/>
              </w:rPr>
              <w:t>0,1</w:t>
            </w:r>
          </w:p>
        </w:tc>
      </w:tr>
      <w:tr w:rsidR="00072588" w:rsidRPr="003278ED" w14:paraId="22697F89" w14:textId="77777777" w:rsidTr="00072588">
        <w:trPr>
          <w:trHeight w:val="58"/>
        </w:trPr>
        <w:tc>
          <w:tcPr>
            <w:tcW w:w="5000" w:type="pct"/>
            <w:gridSpan w:val="9"/>
            <w:tcBorders>
              <w:top w:val="nil"/>
              <w:left w:val="nil"/>
              <w:bottom w:val="nil"/>
              <w:right w:val="nil"/>
            </w:tcBorders>
            <w:shd w:val="clear" w:color="auto" w:fill="auto"/>
            <w:noWrap/>
            <w:vAlign w:val="bottom"/>
            <w:hideMark/>
          </w:tcPr>
          <w:p w14:paraId="26260FAD" w14:textId="77777777" w:rsidR="00072588" w:rsidRDefault="00072588" w:rsidP="00072588">
            <w:pPr>
              <w:spacing w:after="0" w:line="240" w:lineRule="auto"/>
              <w:jc w:val="center"/>
              <w:rPr>
                <w:rFonts w:ascii="Times New Roman" w:hAnsi="Times New Roman" w:cs="Times New Roman"/>
                <w:b/>
                <w:i/>
                <w:color w:val="000000"/>
                <w:sz w:val="20"/>
                <w:szCs w:val="20"/>
                <w:lang w:eastAsia="ro-RO"/>
              </w:rPr>
            </w:pPr>
          </w:p>
          <w:p w14:paraId="2CE32E07" w14:textId="0AA990D6" w:rsidR="00072588" w:rsidRPr="00072588" w:rsidRDefault="00072588" w:rsidP="00072588">
            <w:pPr>
              <w:spacing w:after="0" w:line="240" w:lineRule="auto"/>
              <w:jc w:val="center"/>
              <w:rPr>
                <w:rFonts w:ascii="Times New Roman" w:hAnsi="Times New Roman" w:cs="Times New Roman"/>
                <w:color w:val="000000"/>
                <w:sz w:val="20"/>
                <w:szCs w:val="20"/>
                <w:lang w:eastAsia="ro-RO"/>
              </w:rPr>
            </w:pPr>
            <w:r w:rsidRPr="00072588">
              <w:rPr>
                <w:rFonts w:ascii="Times New Roman" w:hAnsi="Times New Roman" w:cs="Times New Roman"/>
                <w:b/>
                <w:i/>
                <w:color w:val="000000"/>
                <w:sz w:val="20"/>
                <w:szCs w:val="20"/>
                <w:lang w:eastAsia="ro-RO"/>
              </w:rPr>
              <w:t>Sursa:</w:t>
            </w:r>
            <w:r w:rsidRPr="00072588">
              <w:rPr>
                <w:rFonts w:ascii="Times New Roman" w:hAnsi="Times New Roman" w:cs="Times New Roman"/>
                <w:i/>
                <w:color w:val="000000"/>
                <w:sz w:val="20"/>
                <w:szCs w:val="20"/>
                <w:lang w:eastAsia="ro-RO"/>
              </w:rPr>
              <w:t xml:space="preserve">  Ministerul Finanțelor</w:t>
            </w:r>
          </w:p>
        </w:tc>
      </w:tr>
    </w:tbl>
    <w:p w14:paraId="33E936CE" w14:textId="77777777" w:rsidR="006C5564" w:rsidRPr="003278ED" w:rsidRDefault="006C5564" w:rsidP="007D3A2B">
      <w:pPr>
        <w:pStyle w:val="Title2"/>
        <w:spacing w:before="0" w:after="0" w:line="240" w:lineRule="auto"/>
        <w:ind w:left="0"/>
        <w:rPr>
          <w:rFonts w:ascii="Times New Roman" w:hAnsi="Times New Roman"/>
          <w:i w:val="0"/>
          <w:color w:val="auto"/>
          <w:sz w:val="28"/>
          <w:szCs w:val="28"/>
          <w:lang w:val="ro-RO"/>
        </w:rPr>
      </w:pPr>
    </w:p>
    <w:p w14:paraId="126D6FEB" w14:textId="77777777" w:rsidR="007F6636" w:rsidRPr="003278ED" w:rsidRDefault="007F6636" w:rsidP="007D3A2B">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Recreditarea directă a întreprinderilor de stat și a sectorului privat</w:t>
      </w:r>
    </w:p>
    <w:p w14:paraId="0B6B3B74" w14:textId="0D4EE1C1" w:rsidR="007F6636" w:rsidRPr="003278ED" w:rsidRDefault="007F6636"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 xml:space="preserve">În vederea implementării de către </w:t>
      </w:r>
      <w:r w:rsidR="00927A72" w:rsidRPr="003278ED">
        <w:rPr>
          <w:rFonts w:ascii="Times New Roman" w:hAnsi="Times New Roman"/>
          <w:sz w:val="24"/>
          <w:szCs w:val="28"/>
          <w:lang w:val="ro-RO"/>
        </w:rPr>
        <w:t>întreprinderile de stat</w:t>
      </w:r>
      <w:r w:rsidRPr="003278ED">
        <w:rPr>
          <w:rFonts w:ascii="Times New Roman" w:hAnsi="Times New Roman"/>
          <w:sz w:val="24"/>
          <w:szCs w:val="28"/>
          <w:lang w:val="ro-RO"/>
        </w:rPr>
        <w:t xml:space="preserve"> a proiectelor de importanț</w:t>
      </w:r>
      <w:r w:rsidR="004520A9" w:rsidRPr="003278ED">
        <w:rPr>
          <w:rFonts w:ascii="Times New Roman" w:hAnsi="Times New Roman"/>
          <w:sz w:val="24"/>
          <w:szCs w:val="28"/>
          <w:lang w:val="ro-RO"/>
        </w:rPr>
        <w:t>ă</w:t>
      </w:r>
      <w:r w:rsidRPr="003278ED">
        <w:rPr>
          <w:rFonts w:ascii="Times New Roman" w:hAnsi="Times New Roman"/>
          <w:sz w:val="24"/>
          <w:szCs w:val="28"/>
          <w:lang w:val="ro-RO"/>
        </w:rPr>
        <w:t xml:space="preserve"> majoră națională</w:t>
      </w:r>
      <w:r w:rsidR="004520A9" w:rsidRPr="003278ED">
        <w:rPr>
          <w:rFonts w:ascii="Times New Roman" w:hAnsi="Times New Roman"/>
          <w:sz w:val="24"/>
          <w:szCs w:val="28"/>
          <w:lang w:val="ro-RO"/>
        </w:rPr>
        <w:t>,</w:t>
      </w:r>
      <w:r w:rsidRPr="003278ED">
        <w:rPr>
          <w:rFonts w:ascii="Times New Roman" w:hAnsi="Times New Roman"/>
          <w:sz w:val="24"/>
          <w:szCs w:val="28"/>
          <w:lang w:val="ro-RO"/>
        </w:rPr>
        <w:t xml:space="preserve"> pe parcursul anilor 2025-2027</w:t>
      </w:r>
      <w:r w:rsidRPr="003278ED">
        <w:rPr>
          <w:sz w:val="20"/>
          <w:lang w:val="ro-RO"/>
        </w:rPr>
        <w:t xml:space="preserve"> </w:t>
      </w:r>
      <w:r w:rsidRPr="003278ED">
        <w:rPr>
          <w:rFonts w:ascii="Times New Roman" w:hAnsi="Times New Roman"/>
          <w:sz w:val="24"/>
          <w:szCs w:val="28"/>
          <w:lang w:val="ro-RO"/>
        </w:rPr>
        <w:t xml:space="preserve">se preconizează recreditarea întreprinderilor de stat în sumă de 3 561,1 mil. lei. </w:t>
      </w:r>
    </w:p>
    <w:p w14:paraId="2BD483A5" w14:textId="77777777" w:rsidR="007F6636" w:rsidRPr="003278ED" w:rsidRDefault="007F6636" w:rsidP="007D3A2B">
      <w:pPr>
        <w:autoSpaceDE w:val="0"/>
        <w:autoSpaceDN w:val="0"/>
        <w:adjustRightInd w:val="0"/>
        <w:spacing w:after="0" w:line="240" w:lineRule="auto"/>
        <w:rPr>
          <w:sz w:val="20"/>
        </w:rPr>
      </w:pPr>
    </w:p>
    <w:p w14:paraId="12CB14C1" w14:textId="77777777" w:rsidR="00C16216" w:rsidRPr="003278ED" w:rsidRDefault="00C16216" w:rsidP="007D3A2B">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Împrumuturile acordate prin intermediul băncilor, organizațiilor de creditare nebancare și asociațiilor de economii și împrumut participante la recreditarea de stat</w:t>
      </w:r>
    </w:p>
    <w:p w14:paraId="13E7F25A" w14:textId="26376C67" w:rsidR="00C16216" w:rsidRPr="003278ED" w:rsidRDefault="00C16216"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Împrumuturile externe sunt canalizate sectorului privat prin intermediul băncilor, organizațiilor de creditare nebancare și asociațiilor de economii și împrumut participante la recreditarea de stat. În acest caz</w:t>
      </w:r>
      <w:r w:rsidR="00E56BAF" w:rsidRPr="003278ED">
        <w:rPr>
          <w:rFonts w:ascii="Times New Roman" w:hAnsi="Times New Roman"/>
          <w:sz w:val="24"/>
          <w:szCs w:val="28"/>
          <w:lang w:val="ro-RO"/>
        </w:rPr>
        <w:t>,</w:t>
      </w:r>
      <w:r w:rsidRPr="003278ED">
        <w:rPr>
          <w:rFonts w:ascii="Times New Roman" w:hAnsi="Times New Roman"/>
          <w:sz w:val="24"/>
          <w:szCs w:val="28"/>
          <w:lang w:val="ro-RO"/>
        </w:rPr>
        <w:t xml:space="preserve"> băncile, organizațiile de creditare nebancare</w:t>
      </w:r>
      <w:r w:rsidRPr="003278ED">
        <w:rPr>
          <w:sz w:val="20"/>
          <w:lang w:val="ro-RO"/>
        </w:rPr>
        <w:t xml:space="preserve"> </w:t>
      </w:r>
      <w:r w:rsidRPr="003278ED">
        <w:rPr>
          <w:rFonts w:ascii="Times New Roman" w:hAnsi="Times New Roman"/>
          <w:sz w:val="24"/>
          <w:szCs w:val="28"/>
          <w:lang w:val="ro-RO"/>
        </w:rPr>
        <w:t xml:space="preserve">și asociațiile de economii și împrumut sunt responsabile de evaluarea cererilor de împrumut și </w:t>
      </w:r>
      <w:r w:rsidR="004520A9" w:rsidRPr="003278ED">
        <w:rPr>
          <w:rFonts w:ascii="Times New Roman" w:hAnsi="Times New Roman"/>
          <w:sz w:val="24"/>
          <w:szCs w:val="28"/>
          <w:lang w:val="ro-RO"/>
        </w:rPr>
        <w:t xml:space="preserve">de </w:t>
      </w:r>
      <w:r w:rsidRPr="003278ED">
        <w:rPr>
          <w:rFonts w:ascii="Times New Roman" w:hAnsi="Times New Roman"/>
          <w:sz w:val="24"/>
          <w:szCs w:val="28"/>
          <w:lang w:val="ro-RO"/>
        </w:rPr>
        <w:t>aprobarea împrumuturilor, precum și își asumă riscul de credit. Pe termen mediu și lung, această modalitate rămâne prioritară. Pe parcursul anilor 2025-2027 se preconizează recreditarea sectorului privat în sumă de 490,4 mil. lei.</w:t>
      </w:r>
    </w:p>
    <w:p w14:paraId="4449300D" w14:textId="77777777" w:rsidR="00C16216" w:rsidRPr="003278ED" w:rsidRDefault="00C16216" w:rsidP="007D3A2B">
      <w:pPr>
        <w:pStyle w:val="Title2"/>
        <w:spacing w:before="0" w:after="0" w:line="240" w:lineRule="auto"/>
        <w:ind w:left="0" w:firstLine="720"/>
        <w:rPr>
          <w:rFonts w:ascii="Times New Roman" w:hAnsi="Times New Roman"/>
          <w:i w:val="0"/>
          <w:color w:val="auto"/>
          <w:sz w:val="24"/>
          <w:szCs w:val="28"/>
          <w:lang w:val="ro-RO"/>
        </w:rPr>
      </w:pPr>
    </w:p>
    <w:p w14:paraId="46C535E5" w14:textId="77777777" w:rsidR="00C16216" w:rsidRPr="003278ED" w:rsidRDefault="00C16216" w:rsidP="007D3A2B">
      <w:pPr>
        <w:pStyle w:val="Title2"/>
        <w:spacing w:before="0" w:after="0" w:line="240" w:lineRule="auto"/>
        <w:ind w:left="0" w:firstLine="720"/>
        <w:rPr>
          <w:rFonts w:ascii="Times New Roman" w:hAnsi="Times New Roman"/>
          <w:i w:val="0"/>
          <w:color w:val="auto"/>
          <w:sz w:val="24"/>
          <w:szCs w:val="28"/>
          <w:lang w:val="ro-RO"/>
        </w:rPr>
      </w:pPr>
      <w:r w:rsidRPr="003278ED">
        <w:rPr>
          <w:rFonts w:ascii="Times New Roman" w:hAnsi="Times New Roman"/>
          <w:i w:val="0"/>
          <w:color w:val="auto"/>
          <w:sz w:val="24"/>
          <w:szCs w:val="28"/>
          <w:lang w:val="ro-RO"/>
        </w:rPr>
        <w:t>Recreditarea unităților administrativ-teritoriale</w:t>
      </w:r>
    </w:p>
    <w:p w14:paraId="16B15D7F" w14:textId="7045C326" w:rsidR="00C16216" w:rsidRPr="003278ED" w:rsidRDefault="00C16216" w:rsidP="007D3A2B">
      <w:pPr>
        <w:pStyle w:val="Numberedtex"/>
        <w:numPr>
          <w:ilvl w:val="0"/>
          <w:numId w:val="0"/>
        </w:numPr>
        <w:spacing w:before="0" w:after="0" w:line="240" w:lineRule="auto"/>
        <w:ind w:firstLine="720"/>
        <w:rPr>
          <w:rFonts w:ascii="Times New Roman" w:hAnsi="Times New Roman"/>
          <w:sz w:val="24"/>
          <w:szCs w:val="28"/>
          <w:lang w:val="ro-RO"/>
        </w:rPr>
      </w:pPr>
      <w:r w:rsidRPr="003278ED">
        <w:rPr>
          <w:rFonts w:ascii="Times New Roman" w:hAnsi="Times New Roman"/>
          <w:sz w:val="24"/>
          <w:szCs w:val="28"/>
          <w:lang w:val="ro-RO"/>
        </w:rPr>
        <w:t xml:space="preserve">În vederea implementării proiectelor finanțate din surse externe în teritoriu de către autoritățile publice locale, Ministerul Finanțelor </w:t>
      </w:r>
      <w:proofErr w:type="spellStart"/>
      <w:r w:rsidRPr="003278ED">
        <w:rPr>
          <w:rFonts w:ascii="Times New Roman" w:hAnsi="Times New Roman"/>
          <w:sz w:val="24"/>
          <w:szCs w:val="28"/>
          <w:lang w:val="ro-RO"/>
        </w:rPr>
        <w:t>recreditează</w:t>
      </w:r>
      <w:proofErr w:type="spellEnd"/>
      <w:r w:rsidRPr="003278ED">
        <w:rPr>
          <w:rFonts w:ascii="Times New Roman" w:hAnsi="Times New Roman"/>
          <w:sz w:val="24"/>
          <w:szCs w:val="28"/>
          <w:lang w:val="ro-RO"/>
        </w:rPr>
        <w:t xml:space="preserve"> împrumuturi de stat externe. Astfel, pe parcursul anilor 2025-2027 se preconizează recreditarea unităților administrative-teritoriale în sumă de 88,8 mil. lei.</w:t>
      </w:r>
    </w:p>
    <w:p w14:paraId="2D5C99AB" w14:textId="77777777" w:rsidR="007B208A" w:rsidRPr="003278ED" w:rsidRDefault="007B208A" w:rsidP="007D3A2B">
      <w:pPr>
        <w:pStyle w:val="Title2"/>
        <w:spacing w:before="0" w:after="0" w:line="240" w:lineRule="auto"/>
        <w:ind w:left="0" w:firstLine="720"/>
        <w:rPr>
          <w:rFonts w:ascii="Times New Roman" w:hAnsi="Times New Roman"/>
          <w:i w:val="0"/>
          <w:color w:val="auto"/>
          <w:sz w:val="24"/>
          <w:szCs w:val="28"/>
          <w:lang w:val="ro-RO"/>
        </w:rPr>
      </w:pPr>
    </w:p>
    <w:p w14:paraId="1A9F2BBD" w14:textId="1D342097" w:rsidR="006C5564" w:rsidRDefault="006C5564" w:rsidP="007D3A2B">
      <w:pPr>
        <w:shd w:val="clear" w:color="auto" w:fill="FFFFFF" w:themeFill="background1"/>
        <w:spacing w:after="0" w:line="240" w:lineRule="auto"/>
        <w:jc w:val="center"/>
        <w:rPr>
          <w:rFonts w:ascii="Times New Roman" w:hAnsi="Times New Roman" w:cs="Times New Roman"/>
          <w:b/>
          <w:sz w:val="24"/>
          <w:szCs w:val="28"/>
        </w:rPr>
      </w:pPr>
    </w:p>
    <w:p w14:paraId="3076E843" w14:textId="5CB92296" w:rsidR="00072588" w:rsidRPr="003278ED" w:rsidRDefault="00072588" w:rsidP="00072588">
      <w:pPr>
        <w:rPr>
          <w:rFonts w:ascii="Times New Roman" w:hAnsi="Times New Roman" w:cs="Times New Roman"/>
          <w:b/>
          <w:sz w:val="24"/>
          <w:szCs w:val="28"/>
        </w:rPr>
      </w:pPr>
      <w:r>
        <w:rPr>
          <w:rFonts w:ascii="Times New Roman" w:hAnsi="Times New Roman" w:cs="Times New Roman"/>
          <w:b/>
          <w:sz w:val="24"/>
          <w:szCs w:val="28"/>
        </w:rPr>
        <w:br w:type="page"/>
      </w:r>
    </w:p>
    <w:p w14:paraId="490B68F5" w14:textId="77777777" w:rsidR="00627621" w:rsidRPr="009562A5" w:rsidRDefault="00627621" w:rsidP="00914ECD">
      <w:pPr>
        <w:pStyle w:val="Title1"/>
        <w:jc w:val="center"/>
        <w:outlineLvl w:val="0"/>
        <w:rPr>
          <w:rFonts w:ascii="Times New Roman" w:hAnsi="Times New Roman"/>
          <w:color w:val="auto"/>
          <w:sz w:val="24"/>
        </w:rPr>
      </w:pPr>
      <w:bookmarkStart w:id="34" w:name="_Toc175825354"/>
      <w:r w:rsidRPr="009562A5">
        <w:rPr>
          <w:rFonts w:ascii="Times New Roman" w:hAnsi="Times New Roman"/>
          <w:color w:val="auto"/>
          <w:sz w:val="24"/>
        </w:rPr>
        <w:lastRenderedPageBreak/>
        <w:t>IV. CADRUL DE CHELTUIELI PENTRU 2025-2027</w:t>
      </w:r>
      <w:bookmarkEnd w:id="34"/>
    </w:p>
    <w:p w14:paraId="5DBB2E12" w14:textId="77777777" w:rsidR="00143AAE" w:rsidRPr="003278ED" w:rsidRDefault="00143AAE" w:rsidP="007D3A2B">
      <w:pPr>
        <w:spacing w:after="0" w:line="240" w:lineRule="auto"/>
        <w:ind w:left="567"/>
        <w:rPr>
          <w:rFonts w:ascii="Times New Roman" w:hAnsi="Times New Roman" w:cs="Times New Roman"/>
          <w:b/>
          <w:sz w:val="24"/>
          <w:szCs w:val="24"/>
        </w:rPr>
      </w:pPr>
      <w:bookmarkStart w:id="35" w:name="_Toc488656774"/>
    </w:p>
    <w:p w14:paraId="55C65732" w14:textId="705D36D8" w:rsidR="00627621" w:rsidRPr="009562A5" w:rsidRDefault="00FF2A90" w:rsidP="00914ECD">
      <w:pPr>
        <w:pStyle w:val="Title2"/>
        <w:jc w:val="center"/>
        <w:outlineLvl w:val="1"/>
        <w:rPr>
          <w:rFonts w:ascii="Times New Roman" w:hAnsi="Times New Roman"/>
          <w:i w:val="0"/>
          <w:color w:val="auto"/>
          <w:sz w:val="24"/>
        </w:rPr>
      </w:pPr>
      <w:bookmarkStart w:id="36" w:name="_Toc175825355"/>
      <w:r w:rsidRPr="009562A5">
        <w:rPr>
          <w:rFonts w:ascii="Times New Roman" w:hAnsi="Times New Roman"/>
          <w:i w:val="0"/>
          <w:color w:val="auto"/>
          <w:sz w:val="24"/>
        </w:rPr>
        <w:t xml:space="preserve">A. </w:t>
      </w:r>
      <w:r w:rsidR="00627621" w:rsidRPr="009562A5">
        <w:rPr>
          <w:rFonts w:ascii="Times New Roman" w:hAnsi="Times New Roman"/>
          <w:i w:val="0"/>
          <w:color w:val="auto"/>
          <w:sz w:val="24"/>
        </w:rPr>
        <w:t>Linia de bază și spațiul fiscal</w:t>
      </w:r>
      <w:bookmarkEnd w:id="35"/>
      <w:bookmarkEnd w:id="36"/>
    </w:p>
    <w:p w14:paraId="76B9C170" w14:textId="77777777" w:rsidR="00FF2A90" w:rsidRPr="003278ED" w:rsidRDefault="00FF2A90" w:rsidP="007D3A2B">
      <w:pPr>
        <w:pStyle w:val="Listparagraf"/>
        <w:spacing w:after="0" w:line="240" w:lineRule="auto"/>
        <w:ind w:left="3475"/>
        <w:rPr>
          <w:rFonts w:ascii="Times New Roman" w:hAnsi="Times New Roman" w:cs="Times New Roman"/>
          <w:b/>
          <w:sz w:val="24"/>
          <w:szCs w:val="24"/>
        </w:rPr>
      </w:pPr>
    </w:p>
    <w:p w14:paraId="0647ACC9" w14:textId="3746633E" w:rsidR="00AB0A71" w:rsidRPr="003278ED" w:rsidRDefault="00AB0A71" w:rsidP="007D3A2B">
      <w:pPr>
        <w:spacing w:after="0" w:line="240" w:lineRule="auto"/>
        <w:ind w:firstLine="567"/>
        <w:jc w:val="both"/>
        <w:rPr>
          <w:rFonts w:ascii="Times New Roman" w:eastAsia="Calibri" w:hAnsi="Times New Roman" w:cs="Times New Roman"/>
          <w:sz w:val="24"/>
          <w:szCs w:val="28"/>
        </w:rPr>
      </w:pPr>
      <w:bookmarkStart w:id="37" w:name="_Toc488656775"/>
      <w:r w:rsidRPr="003278ED">
        <w:rPr>
          <w:rFonts w:ascii="Times New Roman" w:eastAsia="Calibri" w:hAnsi="Times New Roman" w:cs="Times New Roman"/>
          <w:sz w:val="24"/>
          <w:szCs w:val="28"/>
        </w:rPr>
        <w:t xml:space="preserve">Linia de bază bugetară care reprezintă cheltuielile pe termen mediu pentru asigurarea financiară a volumului actual de servicii publice în baza politicilor existente și </w:t>
      </w:r>
      <w:r w:rsidR="004520A9" w:rsidRPr="003278ED">
        <w:rPr>
          <w:rFonts w:ascii="Times New Roman" w:eastAsia="Calibri" w:hAnsi="Times New Roman" w:cs="Times New Roman"/>
          <w:sz w:val="24"/>
          <w:szCs w:val="28"/>
        </w:rPr>
        <w:t xml:space="preserve">a </w:t>
      </w:r>
      <w:r w:rsidRPr="003278ED">
        <w:rPr>
          <w:rFonts w:ascii="Times New Roman" w:eastAsia="Calibri" w:hAnsi="Times New Roman" w:cs="Times New Roman"/>
          <w:sz w:val="24"/>
          <w:szCs w:val="28"/>
        </w:rPr>
        <w:t>actelor normative în vigoare și spațiul fiscal rezervat pentru noile inițiative de politică pentru perioada 2025-2027 se prezintă în tabelul 4.1.</w:t>
      </w:r>
    </w:p>
    <w:p w14:paraId="5A69BD76" w14:textId="77777777" w:rsidR="0050175F" w:rsidRPr="003278ED" w:rsidRDefault="0050175F" w:rsidP="007D3A2B">
      <w:pPr>
        <w:spacing w:after="0" w:line="240" w:lineRule="auto"/>
        <w:ind w:firstLine="567"/>
        <w:jc w:val="both"/>
        <w:rPr>
          <w:rFonts w:ascii="Times New Roman" w:eastAsia="Calibri" w:hAnsi="Times New Roman" w:cs="Times New Roman"/>
          <w:b/>
          <w:bCs/>
          <w:i/>
          <w:sz w:val="24"/>
          <w:szCs w:val="28"/>
        </w:rPr>
      </w:pPr>
    </w:p>
    <w:p w14:paraId="7D2D0D9A" w14:textId="73FAF0BD" w:rsidR="0094149C" w:rsidRPr="003278ED" w:rsidRDefault="0094149C" w:rsidP="007D3A2B">
      <w:pPr>
        <w:pStyle w:val="Table"/>
        <w:spacing w:before="0" w:line="240" w:lineRule="auto"/>
        <w:ind w:firstLine="720"/>
        <w:jc w:val="right"/>
        <w:rPr>
          <w:rFonts w:asciiTheme="majorBidi" w:hAnsiTheme="majorBidi" w:cstheme="majorBidi"/>
          <w:b w:val="0"/>
          <w:bCs/>
          <w:color w:val="auto"/>
          <w:sz w:val="24"/>
          <w:szCs w:val="28"/>
          <w:lang w:val="ro-RO"/>
        </w:rPr>
      </w:pPr>
      <w:r w:rsidRPr="003278ED">
        <w:rPr>
          <w:rFonts w:asciiTheme="majorBidi" w:hAnsiTheme="majorBidi" w:cstheme="majorBidi"/>
          <w:b w:val="0"/>
          <w:bCs/>
          <w:color w:val="auto"/>
          <w:sz w:val="24"/>
          <w:szCs w:val="28"/>
          <w:lang w:val="ro-RO"/>
        </w:rPr>
        <w:t>Tabelul 4.1</w:t>
      </w:r>
    </w:p>
    <w:p w14:paraId="350BEAFD" w14:textId="77777777" w:rsidR="004A3491" w:rsidRPr="003278ED" w:rsidRDefault="004A3491" w:rsidP="007D3A2B">
      <w:pPr>
        <w:pStyle w:val="Titlu2"/>
        <w:tabs>
          <w:tab w:val="left" w:pos="397"/>
        </w:tabs>
        <w:ind w:firstLine="567"/>
        <w:jc w:val="left"/>
        <w:rPr>
          <w:rFonts w:ascii="Times New Roman" w:hAnsi="Times New Roman"/>
          <w:b w:val="0"/>
          <w:sz w:val="24"/>
          <w:szCs w:val="24"/>
          <w:lang w:val="ro-RO"/>
        </w:rPr>
      </w:pPr>
    </w:p>
    <w:bookmarkEnd w:id="37"/>
    <w:p w14:paraId="4D3288E1" w14:textId="3154DC6D" w:rsidR="00AB0A71" w:rsidRPr="003278ED" w:rsidRDefault="00AB0A71" w:rsidP="007D3A2B">
      <w:pPr>
        <w:spacing w:after="0" w:line="240" w:lineRule="auto"/>
        <w:jc w:val="center"/>
        <w:rPr>
          <w:rFonts w:ascii="Times New Roman" w:eastAsia="Calibri" w:hAnsi="Times New Roman" w:cs="Times New Roman"/>
          <w:b/>
          <w:sz w:val="24"/>
          <w:szCs w:val="28"/>
          <w:lang w:eastAsia="en-GB" w:bidi="ne-NP"/>
        </w:rPr>
      </w:pPr>
      <w:r w:rsidRPr="003278ED">
        <w:rPr>
          <w:rFonts w:ascii="Times New Roman" w:eastAsia="Calibri" w:hAnsi="Times New Roman" w:cs="Times New Roman"/>
          <w:b/>
          <w:sz w:val="24"/>
          <w:szCs w:val="28"/>
          <w:lang w:eastAsia="en-GB" w:bidi="ne-NP"/>
        </w:rPr>
        <w:t>Linia de bază bugetară și spațiul fiscal</w:t>
      </w:r>
    </w:p>
    <w:p w14:paraId="26BA0259" w14:textId="77777777" w:rsidR="00AB0A71" w:rsidRPr="003278ED" w:rsidRDefault="00AB0A71" w:rsidP="007D3A2B">
      <w:pPr>
        <w:spacing w:after="0" w:line="240" w:lineRule="auto"/>
        <w:jc w:val="center"/>
        <w:rPr>
          <w:rFonts w:ascii="Times New Roman" w:eastAsia="Calibri" w:hAnsi="Times New Roman" w:cs="Times New Roman"/>
          <w:b/>
          <w:sz w:val="24"/>
          <w:szCs w:val="28"/>
          <w:lang w:eastAsia="en-GB" w:bidi="ne-NP"/>
        </w:rPr>
      </w:pPr>
    </w:p>
    <w:tbl>
      <w:tblPr>
        <w:tblW w:w="5000" w:type="pct"/>
        <w:tblBorders>
          <w:top w:val="single" w:sz="8" w:space="0" w:color="auto"/>
          <w:bottom w:val="single" w:sz="8" w:space="0" w:color="auto"/>
        </w:tblBorders>
        <w:tblLook w:val="04A0" w:firstRow="1" w:lastRow="0" w:firstColumn="1" w:lastColumn="0" w:noHBand="0" w:noVBand="1"/>
      </w:tblPr>
      <w:tblGrid>
        <w:gridCol w:w="2881"/>
        <w:gridCol w:w="1101"/>
        <w:gridCol w:w="1101"/>
        <w:gridCol w:w="1105"/>
        <w:gridCol w:w="1021"/>
        <w:gridCol w:w="1101"/>
        <w:gridCol w:w="1023"/>
      </w:tblGrid>
      <w:tr w:rsidR="00AB0A71" w:rsidRPr="003278ED" w14:paraId="75960AB2" w14:textId="77777777" w:rsidTr="00FF2A90">
        <w:trPr>
          <w:trHeight w:val="257"/>
        </w:trPr>
        <w:tc>
          <w:tcPr>
            <w:tcW w:w="1543" w:type="pct"/>
            <w:vMerge w:val="restart"/>
            <w:tcBorders>
              <w:top w:val="single" w:sz="8" w:space="0" w:color="auto"/>
              <w:bottom w:val="nil"/>
            </w:tcBorders>
            <w:shd w:val="clear" w:color="auto" w:fill="auto"/>
            <w:noWrap/>
            <w:hideMark/>
          </w:tcPr>
          <w:p w14:paraId="48F8C54E"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 </w:t>
            </w:r>
          </w:p>
        </w:tc>
        <w:tc>
          <w:tcPr>
            <w:tcW w:w="1772" w:type="pct"/>
            <w:gridSpan w:val="3"/>
            <w:tcBorders>
              <w:top w:val="single" w:sz="8" w:space="0" w:color="auto"/>
              <w:bottom w:val="single" w:sz="4" w:space="0" w:color="auto"/>
              <w:right w:val="single" w:sz="4" w:space="0" w:color="auto"/>
            </w:tcBorders>
            <w:shd w:val="clear" w:color="auto" w:fill="auto"/>
            <w:noWrap/>
            <w:vAlign w:val="bottom"/>
            <w:hideMark/>
          </w:tcPr>
          <w:p w14:paraId="0AB62B4A"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(mil. lei)</w:t>
            </w:r>
          </w:p>
        </w:tc>
        <w:tc>
          <w:tcPr>
            <w:tcW w:w="1686" w:type="pct"/>
            <w:gridSpan w:val="3"/>
            <w:tcBorders>
              <w:top w:val="single" w:sz="8" w:space="0" w:color="auto"/>
              <w:left w:val="single" w:sz="4" w:space="0" w:color="auto"/>
              <w:bottom w:val="single" w:sz="4" w:space="0" w:color="auto"/>
            </w:tcBorders>
            <w:shd w:val="clear" w:color="auto" w:fill="auto"/>
            <w:noWrap/>
            <w:vAlign w:val="bottom"/>
            <w:hideMark/>
          </w:tcPr>
          <w:p w14:paraId="09A76338"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 din PIB)</w:t>
            </w:r>
          </w:p>
        </w:tc>
      </w:tr>
      <w:tr w:rsidR="00AB0A71" w:rsidRPr="003278ED" w14:paraId="520CA7C5" w14:textId="77777777" w:rsidTr="00FF2A90">
        <w:trPr>
          <w:trHeight w:val="257"/>
        </w:trPr>
        <w:tc>
          <w:tcPr>
            <w:tcW w:w="1543" w:type="pct"/>
            <w:vMerge/>
            <w:tcBorders>
              <w:top w:val="nil"/>
              <w:bottom w:val="nil"/>
            </w:tcBorders>
            <w:vAlign w:val="center"/>
            <w:hideMark/>
          </w:tcPr>
          <w:p w14:paraId="18254714" w14:textId="77777777" w:rsidR="00AB0A71" w:rsidRPr="003278ED" w:rsidRDefault="00AB0A71" w:rsidP="007D3A2B">
            <w:pPr>
              <w:spacing w:after="0" w:line="240" w:lineRule="auto"/>
              <w:rPr>
                <w:rFonts w:ascii="Times New Roman" w:hAnsi="Times New Roman" w:cs="Times New Roman"/>
                <w:sz w:val="18"/>
                <w:szCs w:val="18"/>
              </w:rPr>
            </w:pPr>
          </w:p>
        </w:tc>
        <w:tc>
          <w:tcPr>
            <w:tcW w:w="590" w:type="pct"/>
            <w:tcBorders>
              <w:top w:val="single" w:sz="4" w:space="0" w:color="auto"/>
              <w:bottom w:val="nil"/>
            </w:tcBorders>
            <w:shd w:val="clear" w:color="auto" w:fill="auto"/>
            <w:noWrap/>
            <w:vAlign w:val="center"/>
            <w:hideMark/>
          </w:tcPr>
          <w:p w14:paraId="692479D8"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2025</w:t>
            </w:r>
          </w:p>
        </w:tc>
        <w:tc>
          <w:tcPr>
            <w:tcW w:w="590" w:type="pct"/>
            <w:tcBorders>
              <w:top w:val="single" w:sz="4" w:space="0" w:color="auto"/>
              <w:bottom w:val="nil"/>
            </w:tcBorders>
            <w:shd w:val="clear" w:color="auto" w:fill="auto"/>
            <w:noWrap/>
            <w:vAlign w:val="center"/>
            <w:hideMark/>
          </w:tcPr>
          <w:p w14:paraId="37633A6C"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2026</w:t>
            </w:r>
          </w:p>
        </w:tc>
        <w:tc>
          <w:tcPr>
            <w:tcW w:w="592" w:type="pct"/>
            <w:tcBorders>
              <w:top w:val="single" w:sz="4" w:space="0" w:color="auto"/>
              <w:bottom w:val="nil"/>
              <w:right w:val="single" w:sz="4" w:space="0" w:color="auto"/>
            </w:tcBorders>
            <w:shd w:val="clear" w:color="auto" w:fill="auto"/>
            <w:noWrap/>
            <w:vAlign w:val="center"/>
            <w:hideMark/>
          </w:tcPr>
          <w:p w14:paraId="74C50ABC"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2027</w:t>
            </w:r>
          </w:p>
        </w:tc>
        <w:tc>
          <w:tcPr>
            <w:tcW w:w="547" w:type="pct"/>
            <w:tcBorders>
              <w:top w:val="single" w:sz="4" w:space="0" w:color="auto"/>
              <w:left w:val="single" w:sz="4" w:space="0" w:color="auto"/>
              <w:bottom w:val="nil"/>
            </w:tcBorders>
            <w:shd w:val="clear" w:color="auto" w:fill="auto"/>
            <w:noWrap/>
            <w:vAlign w:val="center"/>
            <w:hideMark/>
          </w:tcPr>
          <w:p w14:paraId="4639D5C4"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2025</w:t>
            </w:r>
          </w:p>
        </w:tc>
        <w:tc>
          <w:tcPr>
            <w:tcW w:w="590" w:type="pct"/>
            <w:tcBorders>
              <w:top w:val="single" w:sz="4" w:space="0" w:color="auto"/>
              <w:bottom w:val="nil"/>
            </w:tcBorders>
            <w:shd w:val="clear" w:color="auto" w:fill="auto"/>
            <w:noWrap/>
            <w:vAlign w:val="center"/>
            <w:hideMark/>
          </w:tcPr>
          <w:p w14:paraId="33CAA9A1"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2026</w:t>
            </w:r>
          </w:p>
        </w:tc>
        <w:tc>
          <w:tcPr>
            <w:tcW w:w="548" w:type="pct"/>
            <w:tcBorders>
              <w:top w:val="single" w:sz="4" w:space="0" w:color="auto"/>
              <w:bottom w:val="nil"/>
            </w:tcBorders>
            <w:shd w:val="clear" w:color="auto" w:fill="auto"/>
            <w:noWrap/>
            <w:vAlign w:val="center"/>
            <w:hideMark/>
          </w:tcPr>
          <w:p w14:paraId="00DA4EC6"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2027</w:t>
            </w:r>
          </w:p>
        </w:tc>
      </w:tr>
      <w:tr w:rsidR="00AB0A71" w:rsidRPr="003278ED" w14:paraId="2E34B3AA" w14:textId="77777777" w:rsidTr="00FF2A90">
        <w:trPr>
          <w:trHeight w:val="270"/>
        </w:trPr>
        <w:tc>
          <w:tcPr>
            <w:tcW w:w="1543" w:type="pct"/>
            <w:vMerge/>
            <w:tcBorders>
              <w:top w:val="nil"/>
              <w:bottom w:val="single" w:sz="8" w:space="0" w:color="auto"/>
            </w:tcBorders>
            <w:vAlign w:val="center"/>
            <w:hideMark/>
          </w:tcPr>
          <w:p w14:paraId="4A8CFFFE" w14:textId="77777777" w:rsidR="00AB0A71" w:rsidRPr="003278ED" w:rsidRDefault="00AB0A71" w:rsidP="007D3A2B">
            <w:pPr>
              <w:spacing w:after="0" w:line="240" w:lineRule="auto"/>
              <w:rPr>
                <w:rFonts w:ascii="Times New Roman" w:hAnsi="Times New Roman" w:cs="Times New Roman"/>
                <w:sz w:val="18"/>
                <w:szCs w:val="18"/>
              </w:rPr>
            </w:pPr>
          </w:p>
        </w:tc>
        <w:tc>
          <w:tcPr>
            <w:tcW w:w="590" w:type="pct"/>
            <w:tcBorders>
              <w:top w:val="nil"/>
              <w:bottom w:val="single" w:sz="8" w:space="0" w:color="auto"/>
            </w:tcBorders>
            <w:shd w:val="clear" w:color="auto" w:fill="auto"/>
            <w:noWrap/>
            <w:vAlign w:val="center"/>
            <w:hideMark/>
          </w:tcPr>
          <w:p w14:paraId="1E4586E5"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c>
          <w:tcPr>
            <w:tcW w:w="590" w:type="pct"/>
            <w:tcBorders>
              <w:top w:val="nil"/>
              <w:bottom w:val="single" w:sz="8" w:space="0" w:color="auto"/>
            </w:tcBorders>
            <w:shd w:val="clear" w:color="auto" w:fill="auto"/>
            <w:noWrap/>
            <w:vAlign w:val="center"/>
            <w:hideMark/>
          </w:tcPr>
          <w:p w14:paraId="6C54CDF0"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c>
          <w:tcPr>
            <w:tcW w:w="592" w:type="pct"/>
            <w:tcBorders>
              <w:top w:val="nil"/>
              <w:bottom w:val="single" w:sz="8" w:space="0" w:color="auto"/>
              <w:right w:val="single" w:sz="4" w:space="0" w:color="auto"/>
            </w:tcBorders>
            <w:shd w:val="clear" w:color="auto" w:fill="auto"/>
            <w:noWrap/>
            <w:vAlign w:val="center"/>
            <w:hideMark/>
          </w:tcPr>
          <w:p w14:paraId="0C6D6CB9"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c>
          <w:tcPr>
            <w:tcW w:w="547" w:type="pct"/>
            <w:tcBorders>
              <w:top w:val="nil"/>
              <w:left w:val="single" w:sz="4" w:space="0" w:color="auto"/>
              <w:bottom w:val="single" w:sz="8" w:space="0" w:color="auto"/>
            </w:tcBorders>
            <w:shd w:val="clear" w:color="auto" w:fill="auto"/>
            <w:noWrap/>
            <w:vAlign w:val="center"/>
            <w:hideMark/>
          </w:tcPr>
          <w:p w14:paraId="5CF0A47C"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c>
          <w:tcPr>
            <w:tcW w:w="590" w:type="pct"/>
            <w:tcBorders>
              <w:top w:val="nil"/>
              <w:bottom w:val="single" w:sz="8" w:space="0" w:color="auto"/>
            </w:tcBorders>
            <w:shd w:val="clear" w:color="auto" w:fill="auto"/>
            <w:noWrap/>
            <w:vAlign w:val="center"/>
            <w:hideMark/>
          </w:tcPr>
          <w:p w14:paraId="16E31A7E"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c>
          <w:tcPr>
            <w:tcW w:w="548" w:type="pct"/>
            <w:tcBorders>
              <w:top w:val="nil"/>
              <w:bottom w:val="single" w:sz="8" w:space="0" w:color="auto"/>
            </w:tcBorders>
            <w:shd w:val="clear" w:color="auto" w:fill="auto"/>
            <w:noWrap/>
            <w:vAlign w:val="center"/>
            <w:hideMark/>
          </w:tcPr>
          <w:p w14:paraId="217C0767" w14:textId="77777777" w:rsidR="00AB0A71" w:rsidRPr="003278ED" w:rsidRDefault="00AB0A71" w:rsidP="007D3A2B">
            <w:pPr>
              <w:spacing w:after="0" w:line="240" w:lineRule="auto"/>
              <w:jc w:val="center"/>
              <w:rPr>
                <w:rFonts w:ascii="Times New Roman" w:hAnsi="Times New Roman" w:cs="Times New Roman"/>
                <w:b/>
                <w:bCs/>
                <w:sz w:val="18"/>
                <w:szCs w:val="18"/>
              </w:rPr>
            </w:pPr>
            <w:r w:rsidRPr="003278ED">
              <w:rPr>
                <w:rFonts w:ascii="Times New Roman" w:hAnsi="Times New Roman" w:cs="Times New Roman"/>
                <w:b/>
                <w:bCs/>
                <w:sz w:val="18"/>
                <w:szCs w:val="18"/>
              </w:rPr>
              <w:t>Prognozat</w:t>
            </w:r>
          </w:p>
        </w:tc>
      </w:tr>
      <w:tr w:rsidR="00AB0A71" w:rsidRPr="003278ED" w14:paraId="7379379D" w14:textId="77777777" w:rsidTr="00FF2A90">
        <w:trPr>
          <w:trHeight w:val="257"/>
        </w:trPr>
        <w:tc>
          <w:tcPr>
            <w:tcW w:w="1543" w:type="pct"/>
            <w:tcBorders>
              <w:top w:val="single" w:sz="8" w:space="0" w:color="auto"/>
            </w:tcBorders>
            <w:shd w:val="clear" w:color="auto" w:fill="auto"/>
            <w:noWrap/>
            <w:vAlign w:val="bottom"/>
            <w:hideMark/>
          </w:tcPr>
          <w:p w14:paraId="36DD51E8" w14:textId="77777777" w:rsidR="00AB0A71" w:rsidRPr="003278ED" w:rsidRDefault="00AB0A71" w:rsidP="007D3A2B">
            <w:pPr>
              <w:spacing w:after="0" w:line="240" w:lineRule="auto"/>
              <w:rPr>
                <w:rFonts w:ascii="Times New Roman" w:hAnsi="Times New Roman" w:cs="Times New Roman"/>
                <w:sz w:val="18"/>
                <w:szCs w:val="18"/>
              </w:rPr>
            </w:pPr>
            <w:r w:rsidRPr="003278ED">
              <w:rPr>
                <w:rFonts w:ascii="Times New Roman" w:hAnsi="Times New Roman" w:cs="Times New Roman"/>
                <w:sz w:val="18"/>
                <w:szCs w:val="18"/>
              </w:rPr>
              <w:t>Total cheltuieli (exclusiv dobânzile)</w:t>
            </w:r>
          </w:p>
        </w:tc>
        <w:tc>
          <w:tcPr>
            <w:tcW w:w="590" w:type="pct"/>
            <w:tcBorders>
              <w:top w:val="single" w:sz="8" w:space="0" w:color="auto"/>
            </w:tcBorders>
            <w:shd w:val="clear" w:color="auto" w:fill="auto"/>
            <w:noWrap/>
            <w:vAlign w:val="bottom"/>
            <w:hideMark/>
          </w:tcPr>
          <w:p w14:paraId="639C0041"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124618</w:t>
            </w:r>
          </w:p>
        </w:tc>
        <w:tc>
          <w:tcPr>
            <w:tcW w:w="590" w:type="pct"/>
            <w:tcBorders>
              <w:top w:val="single" w:sz="8" w:space="0" w:color="auto"/>
            </w:tcBorders>
            <w:shd w:val="clear" w:color="auto" w:fill="auto"/>
            <w:noWrap/>
            <w:vAlign w:val="bottom"/>
            <w:hideMark/>
          </w:tcPr>
          <w:p w14:paraId="72C2A8AF"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132509</w:t>
            </w:r>
          </w:p>
        </w:tc>
        <w:tc>
          <w:tcPr>
            <w:tcW w:w="592" w:type="pct"/>
            <w:tcBorders>
              <w:top w:val="single" w:sz="8" w:space="0" w:color="auto"/>
              <w:right w:val="single" w:sz="4" w:space="0" w:color="auto"/>
            </w:tcBorders>
            <w:shd w:val="clear" w:color="auto" w:fill="auto"/>
            <w:noWrap/>
            <w:vAlign w:val="bottom"/>
            <w:hideMark/>
          </w:tcPr>
          <w:p w14:paraId="30CE3112"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143301</w:t>
            </w:r>
          </w:p>
        </w:tc>
        <w:tc>
          <w:tcPr>
            <w:tcW w:w="547" w:type="pct"/>
            <w:tcBorders>
              <w:top w:val="single" w:sz="8" w:space="0" w:color="auto"/>
              <w:left w:val="single" w:sz="4" w:space="0" w:color="auto"/>
            </w:tcBorders>
            <w:shd w:val="clear" w:color="auto" w:fill="auto"/>
            <w:noWrap/>
            <w:vAlign w:val="bottom"/>
            <w:hideMark/>
          </w:tcPr>
          <w:p w14:paraId="713D3DCD"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34,7</w:t>
            </w:r>
          </w:p>
        </w:tc>
        <w:tc>
          <w:tcPr>
            <w:tcW w:w="590" w:type="pct"/>
            <w:tcBorders>
              <w:top w:val="single" w:sz="8" w:space="0" w:color="auto"/>
            </w:tcBorders>
            <w:shd w:val="clear" w:color="auto" w:fill="auto"/>
            <w:noWrap/>
            <w:vAlign w:val="bottom"/>
            <w:hideMark/>
          </w:tcPr>
          <w:p w14:paraId="5578DF80"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33,7</w:t>
            </w:r>
          </w:p>
        </w:tc>
        <w:tc>
          <w:tcPr>
            <w:tcW w:w="548" w:type="pct"/>
            <w:tcBorders>
              <w:top w:val="single" w:sz="8" w:space="0" w:color="auto"/>
            </w:tcBorders>
            <w:shd w:val="clear" w:color="auto" w:fill="auto"/>
            <w:noWrap/>
            <w:vAlign w:val="bottom"/>
            <w:hideMark/>
          </w:tcPr>
          <w:p w14:paraId="19231F6C"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33,4</w:t>
            </w:r>
          </w:p>
        </w:tc>
      </w:tr>
      <w:tr w:rsidR="00AB0A71" w:rsidRPr="003278ED" w14:paraId="286EA600" w14:textId="77777777" w:rsidTr="00FF2A90">
        <w:trPr>
          <w:trHeight w:val="257"/>
        </w:trPr>
        <w:tc>
          <w:tcPr>
            <w:tcW w:w="1543" w:type="pct"/>
            <w:shd w:val="clear" w:color="auto" w:fill="auto"/>
            <w:noWrap/>
            <w:vAlign w:val="bottom"/>
            <w:hideMark/>
          </w:tcPr>
          <w:p w14:paraId="0C5789E2" w14:textId="77777777" w:rsidR="00AB0A71" w:rsidRPr="003278ED" w:rsidRDefault="00AB0A71" w:rsidP="007D3A2B">
            <w:pPr>
              <w:spacing w:after="0" w:line="240" w:lineRule="auto"/>
              <w:rPr>
                <w:rFonts w:ascii="Times New Roman" w:hAnsi="Times New Roman" w:cs="Times New Roman"/>
                <w:sz w:val="18"/>
                <w:szCs w:val="18"/>
              </w:rPr>
            </w:pPr>
            <w:r w:rsidRPr="003278ED">
              <w:rPr>
                <w:rFonts w:ascii="Times New Roman" w:hAnsi="Times New Roman" w:cs="Times New Roman"/>
                <w:sz w:val="18"/>
                <w:szCs w:val="18"/>
              </w:rPr>
              <w:t>Total cheltuieli pentru linia de bază</w:t>
            </w:r>
          </w:p>
        </w:tc>
        <w:tc>
          <w:tcPr>
            <w:tcW w:w="590" w:type="pct"/>
            <w:shd w:val="clear" w:color="auto" w:fill="FFFFFF"/>
            <w:noWrap/>
            <w:vAlign w:val="bottom"/>
            <w:hideMark/>
          </w:tcPr>
          <w:p w14:paraId="155162B8"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123264</w:t>
            </w:r>
          </w:p>
        </w:tc>
        <w:tc>
          <w:tcPr>
            <w:tcW w:w="590" w:type="pct"/>
            <w:shd w:val="clear" w:color="auto" w:fill="FFFFFF"/>
            <w:noWrap/>
            <w:vAlign w:val="bottom"/>
            <w:hideMark/>
          </w:tcPr>
          <w:p w14:paraId="6E44E87C"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129573</w:t>
            </w:r>
          </w:p>
        </w:tc>
        <w:tc>
          <w:tcPr>
            <w:tcW w:w="592" w:type="pct"/>
            <w:tcBorders>
              <w:right w:val="single" w:sz="4" w:space="0" w:color="auto"/>
            </w:tcBorders>
            <w:shd w:val="clear" w:color="auto" w:fill="FFFFFF"/>
            <w:noWrap/>
            <w:vAlign w:val="bottom"/>
            <w:hideMark/>
          </w:tcPr>
          <w:p w14:paraId="6497CD5D"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134450</w:t>
            </w:r>
          </w:p>
        </w:tc>
        <w:tc>
          <w:tcPr>
            <w:tcW w:w="547" w:type="pct"/>
            <w:tcBorders>
              <w:left w:val="single" w:sz="4" w:space="0" w:color="auto"/>
            </w:tcBorders>
            <w:shd w:val="clear" w:color="auto" w:fill="FFFFFF"/>
            <w:noWrap/>
            <w:vAlign w:val="bottom"/>
            <w:hideMark/>
          </w:tcPr>
          <w:p w14:paraId="2EAE4D6A"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34,4</w:t>
            </w:r>
          </w:p>
        </w:tc>
        <w:tc>
          <w:tcPr>
            <w:tcW w:w="590" w:type="pct"/>
            <w:shd w:val="clear" w:color="auto" w:fill="auto"/>
            <w:noWrap/>
            <w:vAlign w:val="bottom"/>
            <w:hideMark/>
          </w:tcPr>
          <w:p w14:paraId="6FDCB32C"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33,0</w:t>
            </w:r>
          </w:p>
        </w:tc>
        <w:tc>
          <w:tcPr>
            <w:tcW w:w="548" w:type="pct"/>
            <w:shd w:val="clear" w:color="auto" w:fill="auto"/>
            <w:noWrap/>
            <w:vAlign w:val="bottom"/>
            <w:hideMark/>
          </w:tcPr>
          <w:p w14:paraId="00D28CC2"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31,3</w:t>
            </w:r>
          </w:p>
        </w:tc>
      </w:tr>
      <w:tr w:rsidR="00AB0A71" w:rsidRPr="003278ED" w14:paraId="22D55120" w14:textId="77777777" w:rsidTr="00FF2A90">
        <w:trPr>
          <w:trHeight w:val="257"/>
        </w:trPr>
        <w:tc>
          <w:tcPr>
            <w:tcW w:w="1543" w:type="pct"/>
            <w:shd w:val="clear" w:color="auto" w:fill="auto"/>
            <w:noWrap/>
            <w:vAlign w:val="bottom"/>
            <w:hideMark/>
          </w:tcPr>
          <w:p w14:paraId="37E31855" w14:textId="77777777" w:rsidR="00AB0A71" w:rsidRPr="003278ED" w:rsidRDefault="00AB0A71" w:rsidP="007D3A2B">
            <w:pPr>
              <w:spacing w:after="0" w:line="240" w:lineRule="auto"/>
              <w:rPr>
                <w:rFonts w:ascii="Times New Roman" w:hAnsi="Times New Roman" w:cs="Times New Roman"/>
                <w:sz w:val="18"/>
                <w:szCs w:val="18"/>
              </w:rPr>
            </w:pPr>
            <w:r w:rsidRPr="003278ED">
              <w:rPr>
                <w:rFonts w:ascii="Times New Roman" w:hAnsi="Times New Roman" w:cs="Times New Roman"/>
                <w:sz w:val="18"/>
                <w:szCs w:val="18"/>
              </w:rPr>
              <w:t>Total spațiu fiscal disponibil</w:t>
            </w:r>
          </w:p>
        </w:tc>
        <w:tc>
          <w:tcPr>
            <w:tcW w:w="590" w:type="pct"/>
            <w:shd w:val="clear" w:color="auto" w:fill="FFFFFF"/>
            <w:noWrap/>
            <w:vAlign w:val="bottom"/>
            <w:hideMark/>
          </w:tcPr>
          <w:p w14:paraId="1E293B0D"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1354</w:t>
            </w:r>
          </w:p>
        </w:tc>
        <w:tc>
          <w:tcPr>
            <w:tcW w:w="590" w:type="pct"/>
            <w:shd w:val="clear" w:color="auto" w:fill="FFFFFF"/>
            <w:noWrap/>
            <w:vAlign w:val="bottom"/>
            <w:hideMark/>
          </w:tcPr>
          <w:p w14:paraId="2ECB2C81"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2936</w:t>
            </w:r>
          </w:p>
        </w:tc>
        <w:tc>
          <w:tcPr>
            <w:tcW w:w="592" w:type="pct"/>
            <w:tcBorders>
              <w:right w:val="single" w:sz="4" w:space="0" w:color="auto"/>
            </w:tcBorders>
            <w:shd w:val="clear" w:color="auto" w:fill="FFFFFF"/>
            <w:noWrap/>
            <w:vAlign w:val="bottom"/>
            <w:hideMark/>
          </w:tcPr>
          <w:p w14:paraId="43770EFB" w14:textId="77777777" w:rsidR="00AB0A71" w:rsidRPr="003278ED" w:rsidRDefault="00AB0A71" w:rsidP="007D3A2B">
            <w:pPr>
              <w:spacing w:after="0" w:line="240" w:lineRule="auto"/>
              <w:jc w:val="right"/>
              <w:rPr>
                <w:rFonts w:ascii="Times New Roman" w:hAnsi="Times New Roman" w:cs="Times New Roman"/>
                <w:sz w:val="18"/>
                <w:szCs w:val="18"/>
              </w:rPr>
            </w:pPr>
            <w:r w:rsidRPr="003278ED">
              <w:rPr>
                <w:rFonts w:ascii="Times New Roman" w:hAnsi="Times New Roman" w:cs="Times New Roman"/>
                <w:sz w:val="18"/>
                <w:szCs w:val="18"/>
              </w:rPr>
              <w:t>8851</w:t>
            </w:r>
          </w:p>
        </w:tc>
        <w:tc>
          <w:tcPr>
            <w:tcW w:w="547" w:type="pct"/>
            <w:tcBorders>
              <w:left w:val="single" w:sz="4" w:space="0" w:color="auto"/>
              <w:bottom w:val="single" w:sz="8" w:space="0" w:color="auto"/>
            </w:tcBorders>
            <w:shd w:val="clear" w:color="auto" w:fill="FFFFFF"/>
            <w:noWrap/>
            <w:vAlign w:val="bottom"/>
            <w:hideMark/>
          </w:tcPr>
          <w:p w14:paraId="49867CEA"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0,4</w:t>
            </w:r>
          </w:p>
        </w:tc>
        <w:tc>
          <w:tcPr>
            <w:tcW w:w="590" w:type="pct"/>
            <w:shd w:val="clear" w:color="auto" w:fill="auto"/>
            <w:noWrap/>
            <w:vAlign w:val="bottom"/>
            <w:hideMark/>
          </w:tcPr>
          <w:p w14:paraId="4772ECA8"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0,7</w:t>
            </w:r>
          </w:p>
        </w:tc>
        <w:tc>
          <w:tcPr>
            <w:tcW w:w="548" w:type="pct"/>
            <w:shd w:val="clear" w:color="auto" w:fill="auto"/>
            <w:noWrap/>
            <w:vAlign w:val="bottom"/>
            <w:hideMark/>
          </w:tcPr>
          <w:p w14:paraId="1EEDC618" w14:textId="77777777" w:rsidR="00AB0A71" w:rsidRPr="003278ED" w:rsidRDefault="00AB0A71" w:rsidP="007D3A2B">
            <w:pPr>
              <w:spacing w:after="0" w:line="240" w:lineRule="auto"/>
              <w:jc w:val="center"/>
              <w:rPr>
                <w:rFonts w:ascii="Times New Roman" w:hAnsi="Times New Roman" w:cs="Times New Roman"/>
                <w:sz w:val="18"/>
                <w:szCs w:val="18"/>
              </w:rPr>
            </w:pPr>
            <w:r w:rsidRPr="003278ED">
              <w:rPr>
                <w:rFonts w:ascii="Times New Roman" w:hAnsi="Times New Roman" w:cs="Times New Roman"/>
                <w:sz w:val="18"/>
                <w:szCs w:val="18"/>
              </w:rPr>
              <w:t>2,1</w:t>
            </w:r>
          </w:p>
        </w:tc>
      </w:tr>
    </w:tbl>
    <w:p w14:paraId="136E9701" w14:textId="77777777" w:rsidR="00072588" w:rsidRDefault="00072588" w:rsidP="007D3A2B">
      <w:pPr>
        <w:spacing w:after="0" w:line="240" w:lineRule="auto"/>
        <w:jc w:val="center"/>
        <w:rPr>
          <w:rFonts w:ascii="Times New Roman" w:hAnsi="Times New Roman" w:cs="Times New Roman"/>
          <w:b/>
          <w:i/>
          <w:color w:val="000000"/>
          <w:sz w:val="20"/>
          <w:szCs w:val="20"/>
          <w:lang w:eastAsia="ro-RO"/>
        </w:rPr>
      </w:pPr>
    </w:p>
    <w:p w14:paraId="6C95FA43" w14:textId="5B2E1F2B" w:rsidR="00AB0A71" w:rsidRPr="00072588" w:rsidRDefault="00C155F8" w:rsidP="007D3A2B">
      <w:pPr>
        <w:spacing w:after="0" w:line="240" w:lineRule="auto"/>
        <w:jc w:val="center"/>
        <w:rPr>
          <w:sz w:val="20"/>
          <w:szCs w:val="20"/>
        </w:rPr>
      </w:pPr>
      <w:r w:rsidRPr="00072588">
        <w:rPr>
          <w:rFonts w:ascii="Times New Roman" w:hAnsi="Times New Roman" w:cs="Times New Roman"/>
          <w:b/>
          <w:i/>
          <w:color w:val="000000"/>
          <w:sz w:val="20"/>
          <w:szCs w:val="20"/>
          <w:lang w:eastAsia="ro-RO"/>
        </w:rPr>
        <w:t>Sursa:</w:t>
      </w:r>
      <w:r w:rsidRPr="00072588">
        <w:rPr>
          <w:rFonts w:ascii="Times New Roman" w:hAnsi="Times New Roman" w:cs="Times New Roman"/>
          <w:i/>
          <w:color w:val="000000"/>
          <w:sz w:val="20"/>
          <w:szCs w:val="20"/>
          <w:lang w:eastAsia="ro-RO"/>
        </w:rPr>
        <w:t xml:space="preserve">  Ministerul Finanțelor</w:t>
      </w:r>
    </w:p>
    <w:p w14:paraId="25963514" w14:textId="77777777" w:rsidR="0050175F" w:rsidRPr="003278ED" w:rsidRDefault="0050175F" w:rsidP="007D3A2B">
      <w:pPr>
        <w:spacing w:after="0" w:line="240" w:lineRule="auto"/>
        <w:ind w:firstLine="720"/>
        <w:jc w:val="both"/>
        <w:rPr>
          <w:rFonts w:ascii="Times New Roman" w:hAnsi="Times New Roman" w:cs="Times New Roman"/>
          <w:sz w:val="24"/>
          <w:szCs w:val="24"/>
        </w:rPr>
      </w:pPr>
    </w:p>
    <w:p w14:paraId="50AEBAAD" w14:textId="77777777" w:rsidR="00AB0A71" w:rsidRPr="003278ED" w:rsidRDefault="00AB0A71" w:rsidP="007D3A2B">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Linia de bază a fost stabilită în conformitate cu cadrul bugetar restrâns și în raport cu cheltuielile totale (excluzând dobânzile) variază între 98,9 % în anul 2025 și 93,8 % în anul 2027. Astfel, se păstrează ponderea majoră a cheltuielilor de bază, determinată de cadrul de resurse restrâns, fiind în continuare necesară identificarea economiilor și a măsurilor de eficientizare a programelor existente pentru eliberarea resurselor în vederea menținerii și a consolidării serviciilor publice.</w:t>
      </w:r>
    </w:p>
    <w:p w14:paraId="5A3C4CB2" w14:textId="225A015D" w:rsidR="00AB0A71" w:rsidRPr="003278ED" w:rsidRDefault="00AB0A71" w:rsidP="007D3A2B">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Cheltuielile de bază în contextul CBTM (2025-2027) au fost determinate pe baza analizei executării cheltuielilor bugetului public național în anul 2023, a alocațiilor aprobate pe</w:t>
      </w:r>
      <w:r w:rsidR="004520A9" w:rsidRPr="003278ED">
        <w:rPr>
          <w:rFonts w:ascii="Times New Roman" w:hAnsi="Times New Roman" w:cs="Times New Roman"/>
          <w:sz w:val="24"/>
          <w:szCs w:val="24"/>
        </w:rPr>
        <w:t>ntru</w:t>
      </w:r>
      <w:r w:rsidRPr="003278ED">
        <w:rPr>
          <w:rFonts w:ascii="Times New Roman" w:hAnsi="Times New Roman" w:cs="Times New Roman"/>
          <w:sz w:val="24"/>
          <w:szCs w:val="24"/>
        </w:rPr>
        <w:t xml:space="preserve"> anul 2024 și a unui exercițiu de actualizare, ținând cont de factorii tehnici. Ulterior, pornind de la cadrul estimat de resurse a fost </w:t>
      </w:r>
      <w:r w:rsidR="00D629A4" w:rsidRPr="003278ED">
        <w:rPr>
          <w:rFonts w:ascii="Times New Roman" w:hAnsi="Times New Roman" w:cs="Times New Roman"/>
          <w:sz w:val="24"/>
          <w:szCs w:val="24"/>
        </w:rPr>
        <w:t>determinat</w:t>
      </w:r>
      <w:r w:rsidRPr="003278ED">
        <w:rPr>
          <w:rFonts w:ascii="Times New Roman" w:hAnsi="Times New Roman" w:cs="Times New Roman"/>
          <w:sz w:val="24"/>
          <w:szCs w:val="24"/>
        </w:rPr>
        <w:t xml:space="preserve"> spațiul fiscal total.</w:t>
      </w:r>
    </w:p>
    <w:p w14:paraId="56573E4D" w14:textId="5A9F7CAC" w:rsidR="00AB0A71" w:rsidRPr="003278ED" w:rsidRDefault="00AB0A71" w:rsidP="007D3A2B">
      <w:pPr>
        <w:spacing w:after="0" w:line="240" w:lineRule="auto"/>
        <w:ind w:firstLine="720"/>
        <w:jc w:val="both"/>
        <w:rPr>
          <w:rFonts w:ascii="Times New Roman" w:hAnsi="Times New Roman" w:cs="Times New Roman"/>
          <w:sz w:val="24"/>
          <w:szCs w:val="24"/>
        </w:rPr>
      </w:pPr>
      <w:r w:rsidRPr="003278ED">
        <w:rPr>
          <w:rFonts w:ascii="Times New Roman" w:hAnsi="Times New Roman" w:cs="Times New Roman"/>
          <w:sz w:val="24"/>
          <w:szCs w:val="24"/>
        </w:rPr>
        <w:t xml:space="preserve">Pentru anul 2025, </w:t>
      </w:r>
      <w:proofErr w:type="spellStart"/>
      <w:r w:rsidRPr="003278ED">
        <w:rPr>
          <w:rFonts w:ascii="Times New Roman" w:hAnsi="Times New Roman" w:cs="Times New Roman"/>
          <w:sz w:val="24"/>
          <w:szCs w:val="24"/>
        </w:rPr>
        <w:t>autorităţile</w:t>
      </w:r>
      <w:proofErr w:type="spellEnd"/>
      <w:r w:rsidRPr="003278ED">
        <w:rPr>
          <w:rFonts w:ascii="Times New Roman" w:hAnsi="Times New Roman" w:cs="Times New Roman"/>
          <w:sz w:val="24"/>
          <w:szCs w:val="24"/>
        </w:rPr>
        <w:t xml:space="preserve"> publice centrale, suplimentar la linia de bază estimată de Ministerul </w:t>
      </w:r>
      <w:proofErr w:type="spellStart"/>
      <w:r w:rsidRPr="003278ED">
        <w:rPr>
          <w:rFonts w:ascii="Times New Roman" w:hAnsi="Times New Roman" w:cs="Times New Roman"/>
          <w:sz w:val="24"/>
          <w:szCs w:val="24"/>
        </w:rPr>
        <w:t>Finanţelor</w:t>
      </w:r>
      <w:proofErr w:type="spellEnd"/>
      <w:r w:rsidRPr="003278ED">
        <w:rPr>
          <w:rFonts w:ascii="Times New Roman" w:hAnsi="Times New Roman" w:cs="Times New Roman"/>
          <w:sz w:val="24"/>
          <w:szCs w:val="24"/>
        </w:rPr>
        <w:t xml:space="preserve">, au prezentat solicitări de cheltuieli în sumă de circa 23 miliarde de lei, ce </w:t>
      </w:r>
      <w:proofErr w:type="spellStart"/>
      <w:r w:rsidRPr="003278ED">
        <w:rPr>
          <w:rFonts w:ascii="Times New Roman" w:hAnsi="Times New Roman" w:cs="Times New Roman"/>
          <w:sz w:val="24"/>
          <w:szCs w:val="24"/>
        </w:rPr>
        <w:t>depăşeşte</w:t>
      </w:r>
      <w:proofErr w:type="spellEnd"/>
      <w:r w:rsidRPr="003278ED">
        <w:rPr>
          <w:rFonts w:ascii="Times New Roman" w:hAnsi="Times New Roman" w:cs="Times New Roman"/>
          <w:sz w:val="24"/>
          <w:szCs w:val="24"/>
        </w:rPr>
        <w:t xml:space="preserve"> cu circa 20,4 % totalul resurselor estimate pentru acest an. Dat fiind cadrul de resurse restrâns, nu a fost posibil de a încadra solicitările suplimentare în limita </w:t>
      </w:r>
      <w:r w:rsidR="00677076" w:rsidRPr="003278ED">
        <w:rPr>
          <w:rFonts w:ascii="Times New Roman" w:hAnsi="Times New Roman" w:cs="Times New Roman"/>
          <w:sz w:val="24"/>
          <w:szCs w:val="24"/>
        </w:rPr>
        <w:t>spațiului</w:t>
      </w:r>
      <w:r w:rsidRPr="003278ED">
        <w:rPr>
          <w:rFonts w:ascii="Times New Roman" w:hAnsi="Times New Roman" w:cs="Times New Roman"/>
          <w:sz w:val="24"/>
          <w:szCs w:val="24"/>
        </w:rPr>
        <w:t xml:space="preserve"> fiscal disponibil. </w:t>
      </w:r>
    </w:p>
    <w:p w14:paraId="6BFDF08E" w14:textId="77777777" w:rsidR="00AB0A71" w:rsidRPr="003278ED" w:rsidRDefault="00AB0A71" w:rsidP="007D3A2B">
      <w:pPr>
        <w:spacing w:after="0" w:line="240" w:lineRule="auto"/>
        <w:ind w:firstLine="567"/>
        <w:jc w:val="both"/>
        <w:rPr>
          <w:rFonts w:ascii="Times New Roman" w:hAnsi="Times New Roman" w:cs="Times New Roman"/>
          <w:sz w:val="24"/>
          <w:szCs w:val="24"/>
        </w:rPr>
      </w:pPr>
      <w:r w:rsidRPr="003278ED">
        <w:rPr>
          <w:rFonts w:ascii="Times New Roman" w:hAnsi="Times New Roman" w:cs="Times New Roman"/>
          <w:sz w:val="24"/>
          <w:szCs w:val="24"/>
        </w:rPr>
        <w:t xml:space="preserve">Spațiul fiscal indicat, rezultat în urma exercițiului de actualizare a limitelor de cheltuieli, va fi repartizat pentru acoperirea costurilor de politici în domeniul salarizării în procesul de elaborare a bugetului pentru anul 2025. </w:t>
      </w:r>
    </w:p>
    <w:p w14:paraId="08025699" w14:textId="77777777" w:rsidR="00AB0A71" w:rsidRPr="003278ED" w:rsidRDefault="00AB0A71" w:rsidP="007D3A2B">
      <w:pPr>
        <w:pStyle w:val="Titlu2"/>
        <w:tabs>
          <w:tab w:val="left" w:pos="397"/>
        </w:tabs>
        <w:ind w:firstLine="567"/>
        <w:jc w:val="left"/>
        <w:rPr>
          <w:rFonts w:ascii="Times New Roman" w:hAnsi="Times New Roman"/>
          <w:sz w:val="24"/>
          <w:szCs w:val="24"/>
          <w:lang w:val="ro-RO"/>
        </w:rPr>
      </w:pPr>
    </w:p>
    <w:p w14:paraId="5CC0EB58" w14:textId="77777777" w:rsidR="00AB0A71" w:rsidRPr="009562A5" w:rsidRDefault="00AB0A71" w:rsidP="00914ECD">
      <w:pPr>
        <w:pStyle w:val="Title2"/>
        <w:jc w:val="center"/>
        <w:outlineLvl w:val="1"/>
        <w:rPr>
          <w:rFonts w:ascii="Times New Roman" w:hAnsi="Times New Roman"/>
          <w:i w:val="0"/>
          <w:color w:val="auto"/>
          <w:sz w:val="24"/>
        </w:rPr>
      </w:pPr>
      <w:bookmarkStart w:id="38" w:name="_Toc175825356"/>
      <w:r w:rsidRPr="009562A5">
        <w:rPr>
          <w:rFonts w:ascii="Times New Roman" w:hAnsi="Times New Roman"/>
          <w:i w:val="0"/>
          <w:color w:val="auto"/>
          <w:sz w:val="24"/>
        </w:rPr>
        <w:t>B. Modificările față de CBTM 2024-2026</w:t>
      </w:r>
      <w:bookmarkEnd w:id="38"/>
    </w:p>
    <w:p w14:paraId="4E2BA619" w14:textId="77777777" w:rsidR="00FF2A90" w:rsidRPr="003278ED" w:rsidRDefault="00FF2A90" w:rsidP="007D3A2B">
      <w:pPr>
        <w:spacing w:after="0" w:line="240" w:lineRule="auto"/>
      </w:pPr>
    </w:p>
    <w:p w14:paraId="3222D84F" w14:textId="2745C7A0" w:rsidR="0062289A" w:rsidRPr="003278ED" w:rsidRDefault="00AB0A71" w:rsidP="007D3A2B">
      <w:pPr>
        <w:spacing w:after="0" w:line="240" w:lineRule="auto"/>
        <w:ind w:firstLine="567"/>
        <w:jc w:val="both"/>
        <w:rPr>
          <w:rFonts w:ascii="Times New Roman" w:hAnsi="Times New Roman" w:cs="Times New Roman"/>
          <w:sz w:val="24"/>
          <w:szCs w:val="24"/>
        </w:rPr>
      </w:pPr>
      <w:r w:rsidRPr="003278ED">
        <w:rPr>
          <w:rFonts w:ascii="Times New Roman" w:hAnsi="Times New Roman" w:cs="Times New Roman"/>
          <w:sz w:val="24"/>
          <w:szCs w:val="24"/>
        </w:rPr>
        <w:t>Cheltuielile bugetare estimate pentru 2025-2026 în cadrul exercițiului curent comparativ cu estimările în cadrul exercițiului CBTM 2024-2026, sub aspect funcțional</w:t>
      </w:r>
      <w:r w:rsidR="009F3E6D" w:rsidRPr="003278ED">
        <w:rPr>
          <w:rFonts w:ascii="Times New Roman" w:hAnsi="Times New Roman" w:cs="Times New Roman"/>
          <w:sz w:val="24"/>
          <w:szCs w:val="24"/>
        </w:rPr>
        <w:t>,</w:t>
      </w:r>
      <w:r w:rsidRPr="003278ED">
        <w:rPr>
          <w:rFonts w:ascii="Times New Roman" w:hAnsi="Times New Roman" w:cs="Times New Roman"/>
          <w:sz w:val="24"/>
          <w:szCs w:val="24"/>
        </w:rPr>
        <w:t xml:space="preserve"> se prezintă în tabelul ce urmează:</w:t>
      </w:r>
    </w:p>
    <w:p w14:paraId="6A34AD0E" w14:textId="77777777" w:rsidR="00072588" w:rsidRDefault="00072588" w:rsidP="007D3A2B">
      <w:pPr>
        <w:pStyle w:val="Table"/>
        <w:spacing w:before="0" w:line="240" w:lineRule="auto"/>
        <w:ind w:firstLine="720"/>
        <w:jc w:val="right"/>
        <w:rPr>
          <w:rFonts w:asciiTheme="majorBidi" w:hAnsiTheme="majorBidi" w:cstheme="majorBidi"/>
          <w:b w:val="0"/>
          <w:bCs/>
          <w:color w:val="auto"/>
          <w:sz w:val="24"/>
          <w:szCs w:val="28"/>
          <w:lang w:val="ro-RO"/>
        </w:rPr>
      </w:pPr>
    </w:p>
    <w:p w14:paraId="50A5C783" w14:textId="37050404" w:rsidR="00CE11D1" w:rsidRPr="00BF3B68" w:rsidRDefault="00CE11D1" w:rsidP="007D3A2B">
      <w:pPr>
        <w:pStyle w:val="Table"/>
        <w:spacing w:before="0" w:line="240" w:lineRule="auto"/>
        <w:ind w:firstLine="720"/>
        <w:jc w:val="right"/>
        <w:rPr>
          <w:rFonts w:asciiTheme="majorBidi" w:hAnsiTheme="majorBidi" w:cstheme="majorBidi"/>
          <w:b w:val="0"/>
          <w:bCs/>
          <w:color w:val="auto"/>
          <w:sz w:val="24"/>
          <w:szCs w:val="28"/>
          <w:lang w:val="ro-RO"/>
        </w:rPr>
      </w:pPr>
      <w:r w:rsidRPr="00BF3B68">
        <w:rPr>
          <w:rFonts w:asciiTheme="majorBidi" w:hAnsiTheme="majorBidi" w:cstheme="majorBidi"/>
          <w:b w:val="0"/>
          <w:bCs/>
          <w:color w:val="auto"/>
          <w:sz w:val="24"/>
          <w:szCs w:val="28"/>
          <w:lang w:val="ro-RO"/>
        </w:rPr>
        <w:lastRenderedPageBreak/>
        <w:t>Tabelul 4.2</w:t>
      </w:r>
    </w:p>
    <w:p w14:paraId="75A8DEE1" w14:textId="5D1A4A53" w:rsidR="00A315DE" w:rsidRPr="003278ED" w:rsidRDefault="00A315DE" w:rsidP="007D3A2B">
      <w:pPr>
        <w:pStyle w:val="Table"/>
        <w:spacing w:before="0" w:line="240" w:lineRule="auto"/>
        <w:ind w:firstLine="720"/>
        <w:jc w:val="right"/>
        <w:rPr>
          <w:rFonts w:asciiTheme="majorBidi" w:hAnsiTheme="majorBidi" w:cstheme="majorBidi"/>
          <w:bCs/>
          <w:color w:val="auto"/>
          <w:sz w:val="24"/>
          <w:szCs w:val="28"/>
          <w:lang w:val="ro-RO"/>
        </w:rPr>
      </w:pPr>
    </w:p>
    <w:tbl>
      <w:tblPr>
        <w:tblW w:w="5000" w:type="pct"/>
        <w:tblLayout w:type="fixed"/>
        <w:tblLook w:val="04A0" w:firstRow="1" w:lastRow="0" w:firstColumn="1" w:lastColumn="0" w:noHBand="0" w:noVBand="1"/>
      </w:tblPr>
      <w:tblGrid>
        <w:gridCol w:w="3296"/>
        <w:gridCol w:w="971"/>
        <w:gridCol w:w="218"/>
        <w:gridCol w:w="610"/>
        <w:gridCol w:w="101"/>
        <w:gridCol w:w="711"/>
        <w:gridCol w:w="715"/>
        <w:gridCol w:w="133"/>
        <w:gridCol w:w="590"/>
        <w:gridCol w:w="635"/>
        <w:gridCol w:w="17"/>
        <w:gridCol w:w="780"/>
        <w:gridCol w:w="556"/>
      </w:tblGrid>
      <w:tr w:rsidR="00A315DE" w:rsidRPr="003278ED" w14:paraId="459CBA1E" w14:textId="77777777" w:rsidTr="009F3E6D">
        <w:trPr>
          <w:trHeight w:val="300"/>
        </w:trPr>
        <w:tc>
          <w:tcPr>
            <w:tcW w:w="1766" w:type="pct"/>
            <w:vMerge w:val="restart"/>
            <w:tcBorders>
              <w:top w:val="single" w:sz="4" w:space="0" w:color="auto"/>
              <w:left w:val="nil"/>
              <w:bottom w:val="single" w:sz="4" w:space="0" w:color="000000"/>
              <w:right w:val="nil"/>
            </w:tcBorders>
            <w:shd w:val="clear" w:color="auto" w:fill="auto"/>
            <w:hideMark/>
          </w:tcPr>
          <w:p w14:paraId="164AA361"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 </w:t>
            </w:r>
          </w:p>
        </w:tc>
        <w:tc>
          <w:tcPr>
            <w:tcW w:w="1018" w:type="pct"/>
            <w:gridSpan w:val="4"/>
            <w:tcBorders>
              <w:top w:val="single" w:sz="4" w:space="0" w:color="auto"/>
              <w:left w:val="nil"/>
              <w:bottom w:val="nil"/>
              <w:right w:val="nil"/>
            </w:tcBorders>
            <w:shd w:val="clear" w:color="auto" w:fill="auto"/>
            <w:noWrap/>
            <w:vAlign w:val="bottom"/>
            <w:hideMark/>
          </w:tcPr>
          <w:p w14:paraId="486A74EA"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CBTM 2024-</w:t>
            </w:r>
          </w:p>
          <w:p w14:paraId="37140E96"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2026</w:t>
            </w:r>
          </w:p>
        </w:tc>
        <w:tc>
          <w:tcPr>
            <w:tcW w:w="764" w:type="pct"/>
            <w:gridSpan w:val="2"/>
            <w:tcBorders>
              <w:top w:val="single" w:sz="4" w:space="0" w:color="auto"/>
              <w:left w:val="nil"/>
              <w:bottom w:val="nil"/>
              <w:right w:val="nil"/>
            </w:tcBorders>
            <w:shd w:val="clear" w:color="auto" w:fill="auto"/>
            <w:noWrap/>
            <w:vAlign w:val="bottom"/>
            <w:hideMark/>
          </w:tcPr>
          <w:p w14:paraId="17805CEC"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CBTM 2025-</w:t>
            </w:r>
          </w:p>
          <w:p w14:paraId="327987B4"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2027</w:t>
            </w:r>
          </w:p>
        </w:tc>
        <w:tc>
          <w:tcPr>
            <w:tcW w:w="727" w:type="pct"/>
            <w:gridSpan w:val="3"/>
            <w:tcBorders>
              <w:top w:val="single" w:sz="4" w:space="0" w:color="auto"/>
              <w:left w:val="single" w:sz="4" w:space="0" w:color="auto"/>
              <w:bottom w:val="nil"/>
              <w:right w:val="nil"/>
            </w:tcBorders>
            <w:shd w:val="clear" w:color="auto" w:fill="auto"/>
            <w:noWrap/>
            <w:vAlign w:val="bottom"/>
            <w:hideMark/>
          </w:tcPr>
          <w:p w14:paraId="7B57C02E"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CBTM 2024-2026</w:t>
            </w:r>
          </w:p>
        </w:tc>
        <w:tc>
          <w:tcPr>
            <w:tcW w:w="726" w:type="pct"/>
            <w:gridSpan w:val="3"/>
            <w:tcBorders>
              <w:top w:val="single" w:sz="4" w:space="0" w:color="auto"/>
              <w:left w:val="nil"/>
              <w:bottom w:val="nil"/>
              <w:right w:val="nil"/>
            </w:tcBorders>
            <w:shd w:val="clear" w:color="auto" w:fill="auto"/>
            <w:noWrap/>
            <w:vAlign w:val="bottom"/>
            <w:hideMark/>
          </w:tcPr>
          <w:p w14:paraId="7074A2F6" w14:textId="77777777" w:rsidR="00A315DE" w:rsidRPr="003278ED" w:rsidRDefault="00A315D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CBTM 2025-2027</w:t>
            </w:r>
          </w:p>
        </w:tc>
      </w:tr>
      <w:tr w:rsidR="00A315DE" w:rsidRPr="003278ED" w14:paraId="6187CA7A" w14:textId="77777777" w:rsidTr="009F3E6D">
        <w:trPr>
          <w:trHeight w:val="300"/>
        </w:trPr>
        <w:tc>
          <w:tcPr>
            <w:tcW w:w="1766" w:type="pct"/>
            <w:vMerge/>
            <w:tcBorders>
              <w:top w:val="single" w:sz="4" w:space="0" w:color="auto"/>
              <w:left w:val="nil"/>
              <w:bottom w:val="single" w:sz="4" w:space="0" w:color="000000"/>
              <w:right w:val="nil"/>
            </w:tcBorders>
            <w:vAlign w:val="center"/>
            <w:hideMark/>
          </w:tcPr>
          <w:p w14:paraId="289CE964" w14:textId="77777777" w:rsidR="00A315DE" w:rsidRPr="003278ED" w:rsidRDefault="00A315DE" w:rsidP="007D3A2B">
            <w:pPr>
              <w:spacing w:after="0" w:line="240" w:lineRule="auto"/>
              <w:rPr>
                <w:rFonts w:ascii="Times New Roman" w:eastAsia="Times New Roman" w:hAnsi="Times New Roman" w:cs="Times New Roman"/>
                <w:sz w:val="16"/>
                <w:szCs w:val="16"/>
              </w:rPr>
            </w:pPr>
          </w:p>
        </w:tc>
        <w:tc>
          <w:tcPr>
            <w:tcW w:w="637" w:type="pct"/>
            <w:gridSpan w:val="2"/>
            <w:tcBorders>
              <w:top w:val="nil"/>
              <w:left w:val="nil"/>
              <w:bottom w:val="nil"/>
              <w:right w:val="nil"/>
            </w:tcBorders>
            <w:shd w:val="clear" w:color="auto" w:fill="auto"/>
            <w:noWrap/>
            <w:vAlign w:val="center"/>
            <w:hideMark/>
          </w:tcPr>
          <w:p w14:paraId="26B268A9"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2025</w:t>
            </w:r>
          </w:p>
        </w:tc>
        <w:tc>
          <w:tcPr>
            <w:tcW w:w="381" w:type="pct"/>
            <w:gridSpan w:val="2"/>
            <w:tcBorders>
              <w:top w:val="nil"/>
              <w:left w:val="nil"/>
              <w:bottom w:val="nil"/>
              <w:right w:val="nil"/>
            </w:tcBorders>
            <w:shd w:val="clear" w:color="auto" w:fill="auto"/>
            <w:noWrap/>
            <w:vAlign w:val="center"/>
            <w:hideMark/>
          </w:tcPr>
          <w:p w14:paraId="2565F23D"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2026</w:t>
            </w:r>
          </w:p>
        </w:tc>
        <w:tc>
          <w:tcPr>
            <w:tcW w:w="381" w:type="pct"/>
            <w:tcBorders>
              <w:top w:val="nil"/>
              <w:left w:val="nil"/>
              <w:bottom w:val="nil"/>
              <w:right w:val="nil"/>
            </w:tcBorders>
            <w:shd w:val="clear" w:color="auto" w:fill="auto"/>
            <w:noWrap/>
            <w:vAlign w:val="center"/>
            <w:hideMark/>
          </w:tcPr>
          <w:p w14:paraId="530AD5A4"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2025</w:t>
            </w:r>
          </w:p>
        </w:tc>
        <w:tc>
          <w:tcPr>
            <w:tcW w:w="383" w:type="pct"/>
            <w:tcBorders>
              <w:top w:val="nil"/>
              <w:left w:val="nil"/>
              <w:bottom w:val="nil"/>
              <w:right w:val="nil"/>
            </w:tcBorders>
            <w:shd w:val="clear" w:color="auto" w:fill="auto"/>
            <w:noWrap/>
            <w:vAlign w:val="center"/>
            <w:hideMark/>
          </w:tcPr>
          <w:p w14:paraId="61B2D95B"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2026</w:t>
            </w:r>
          </w:p>
        </w:tc>
        <w:tc>
          <w:tcPr>
            <w:tcW w:w="387" w:type="pct"/>
            <w:gridSpan w:val="2"/>
            <w:tcBorders>
              <w:top w:val="nil"/>
              <w:left w:val="single" w:sz="4" w:space="0" w:color="auto"/>
              <w:bottom w:val="nil"/>
              <w:right w:val="nil"/>
            </w:tcBorders>
            <w:shd w:val="clear" w:color="auto" w:fill="auto"/>
            <w:noWrap/>
            <w:vAlign w:val="center"/>
            <w:hideMark/>
          </w:tcPr>
          <w:p w14:paraId="25495DAA"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2025</w:t>
            </w:r>
          </w:p>
        </w:tc>
        <w:tc>
          <w:tcPr>
            <w:tcW w:w="349" w:type="pct"/>
            <w:gridSpan w:val="2"/>
            <w:tcBorders>
              <w:top w:val="nil"/>
              <w:left w:val="nil"/>
              <w:bottom w:val="nil"/>
              <w:right w:val="nil"/>
            </w:tcBorders>
            <w:shd w:val="clear" w:color="auto" w:fill="auto"/>
            <w:noWrap/>
            <w:vAlign w:val="center"/>
            <w:hideMark/>
          </w:tcPr>
          <w:p w14:paraId="0A9B01ED"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2026</w:t>
            </w:r>
          </w:p>
        </w:tc>
        <w:tc>
          <w:tcPr>
            <w:tcW w:w="418" w:type="pct"/>
            <w:tcBorders>
              <w:top w:val="nil"/>
              <w:left w:val="nil"/>
              <w:bottom w:val="nil"/>
              <w:right w:val="nil"/>
            </w:tcBorders>
            <w:shd w:val="clear" w:color="auto" w:fill="auto"/>
            <w:noWrap/>
            <w:vAlign w:val="center"/>
            <w:hideMark/>
          </w:tcPr>
          <w:p w14:paraId="77A5994A"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2025</w:t>
            </w:r>
          </w:p>
        </w:tc>
        <w:tc>
          <w:tcPr>
            <w:tcW w:w="299" w:type="pct"/>
            <w:tcBorders>
              <w:top w:val="nil"/>
              <w:left w:val="nil"/>
              <w:bottom w:val="nil"/>
              <w:right w:val="nil"/>
            </w:tcBorders>
            <w:shd w:val="clear" w:color="auto" w:fill="auto"/>
            <w:noWrap/>
            <w:vAlign w:val="center"/>
            <w:hideMark/>
          </w:tcPr>
          <w:p w14:paraId="26F6B4EE"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2026</w:t>
            </w:r>
          </w:p>
        </w:tc>
      </w:tr>
      <w:tr w:rsidR="00A315DE" w:rsidRPr="003278ED" w14:paraId="08D11BB4" w14:textId="77777777" w:rsidTr="009F3E6D">
        <w:trPr>
          <w:trHeight w:val="300"/>
        </w:trPr>
        <w:tc>
          <w:tcPr>
            <w:tcW w:w="1766" w:type="pct"/>
            <w:vMerge/>
            <w:tcBorders>
              <w:top w:val="single" w:sz="4" w:space="0" w:color="auto"/>
              <w:left w:val="nil"/>
              <w:bottom w:val="single" w:sz="4" w:space="0" w:color="000000"/>
              <w:right w:val="nil"/>
            </w:tcBorders>
            <w:vAlign w:val="center"/>
            <w:hideMark/>
          </w:tcPr>
          <w:p w14:paraId="316F971E" w14:textId="77777777" w:rsidR="00A315DE" w:rsidRPr="003278ED" w:rsidRDefault="00A315DE" w:rsidP="007D3A2B">
            <w:pPr>
              <w:spacing w:after="0" w:line="240" w:lineRule="auto"/>
              <w:rPr>
                <w:rFonts w:ascii="Times New Roman" w:eastAsia="Times New Roman" w:hAnsi="Times New Roman" w:cs="Times New Roman"/>
                <w:sz w:val="16"/>
                <w:szCs w:val="16"/>
              </w:rPr>
            </w:pPr>
          </w:p>
        </w:tc>
        <w:tc>
          <w:tcPr>
            <w:tcW w:w="1782" w:type="pct"/>
            <w:gridSpan w:val="6"/>
            <w:tcBorders>
              <w:top w:val="nil"/>
              <w:left w:val="nil"/>
              <w:bottom w:val="single" w:sz="4" w:space="0" w:color="auto"/>
              <w:right w:val="nil"/>
            </w:tcBorders>
            <w:shd w:val="clear" w:color="auto" w:fill="auto"/>
            <w:noWrap/>
            <w:vAlign w:val="bottom"/>
            <w:hideMark/>
          </w:tcPr>
          <w:p w14:paraId="210529D9"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mil. lei</w:t>
            </w:r>
          </w:p>
        </w:tc>
        <w:tc>
          <w:tcPr>
            <w:tcW w:w="1453" w:type="pct"/>
            <w:gridSpan w:val="6"/>
            <w:tcBorders>
              <w:top w:val="nil"/>
              <w:left w:val="single" w:sz="4" w:space="0" w:color="auto"/>
              <w:bottom w:val="single" w:sz="4" w:space="0" w:color="auto"/>
              <w:right w:val="nil"/>
            </w:tcBorders>
            <w:shd w:val="clear" w:color="auto" w:fill="auto"/>
            <w:noWrap/>
            <w:vAlign w:val="bottom"/>
            <w:hideMark/>
          </w:tcPr>
          <w:p w14:paraId="5E233C67" w14:textId="77777777" w:rsidR="00A315DE" w:rsidRPr="003278ED" w:rsidRDefault="00A315D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 în PIB</w:t>
            </w:r>
          </w:p>
        </w:tc>
      </w:tr>
      <w:tr w:rsidR="00A315DE" w:rsidRPr="003278ED" w14:paraId="6A02A683" w14:textId="77777777" w:rsidTr="009F3E6D">
        <w:trPr>
          <w:trHeight w:val="450"/>
        </w:trPr>
        <w:tc>
          <w:tcPr>
            <w:tcW w:w="1766" w:type="pct"/>
            <w:tcBorders>
              <w:top w:val="nil"/>
              <w:left w:val="nil"/>
              <w:bottom w:val="nil"/>
              <w:right w:val="nil"/>
            </w:tcBorders>
            <w:shd w:val="clear" w:color="000000" w:fill="F2F2F2"/>
            <w:noWrap/>
            <w:vAlign w:val="bottom"/>
            <w:hideMark/>
          </w:tcPr>
          <w:p w14:paraId="59208B86" w14:textId="77777777" w:rsidR="00A315DE" w:rsidRPr="003278ED" w:rsidRDefault="00A315DE" w:rsidP="007D3A2B">
            <w:pPr>
              <w:spacing w:after="0" w:line="240" w:lineRule="auto"/>
              <w:jc w:val="both"/>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Total cheltuieli (excluzând plățile aferente dobânzilor)</w:t>
            </w:r>
          </w:p>
        </w:tc>
        <w:tc>
          <w:tcPr>
            <w:tcW w:w="520" w:type="pct"/>
            <w:tcBorders>
              <w:top w:val="nil"/>
              <w:left w:val="nil"/>
              <w:bottom w:val="nil"/>
              <w:right w:val="nil"/>
            </w:tcBorders>
            <w:shd w:val="clear" w:color="000000" w:fill="F2F2F2"/>
            <w:noWrap/>
            <w:vAlign w:val="bottom"/>
            <w:hideMark/>
          </w:tcPr>
          <w:p w14:paraId="50958A4A"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123 189</w:t>
            </w:r>
          </w:p>
        </w:tc>
        <w:tc>
          <w:tcPr>
            <w:tcW w:w="444" w:type="pct"/>
            <w:gridSpan w:val="2"/>
            <w:tcBorders>
              <w:top w:val="nil"/>
              <w:left w:val="nil"/>
              <w:bottom w:val="nil"/>
              <w:right w:val="nil"/>
            </w:tcBorders>
            <w:shd w:val="clear" w:color="000000" w:fill="F2F2F2"/>
            <w:noWrap/>
            <w:vAlign w:val="bottom"/>
            <w:hideMark/>
          </w:tcPr>
          <w:p w14:paraId="13E72755"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131 899</w:t>
            </w:r>
          </w:p>
        </w:tc>
        <w:tc>
          <w:tcPr>
            <w:tcW w:w="435" w:type="pct"/>
            <w:gridSpan w:val="2"/>
            <w:tcBorders>
              <w:top w:val="nil"/>
              <w:left w:val="nil"/>
              <w:bottom w:val="nil"/>
              <w:right w:val="nil"/>
            </w:tcBorders>
            <w:shd w:val="clear" w:color="000000" w:fill="F2F2F2"/>
            <w:noWrap/>
            <w:vAlign w:val="bottom"/>
            <w:hideMark/>
          </w:tcPr>
          <w:p w14:paraId="25DC9151"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124 618</w:t>
            </w:r>
          </w:p>
        </w:tc>
        <w:tc>
          <w:tcPr>
            <w:tcW w:w="454" w:type="pct"/>
            <w:gridSpan w:val="2"/>
            <w:tcBorders>
              <w:top w:val="nil"/>
              <w:left w:val="nil"/>
              <w:bottom w:val="nil"/>
              <w:right w:val="nil"/>
            </w:tcBorders>
            <w:shd w:val="clear" w:color="000000" w:fill="F2F2F2"/>
            <w:noWrap/>
            <w:vAlign w:val="bottom"/>
            <w:hideMark/>
          </w:tcPr>
          <w:p w14:paraId="19BF9510"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132 509</w:t>
            </w:r>
          </w:p>
        </w:tc>
        <w:tc>
          <w:tcPr>
            <w:tcW w:w="315" w:type="pct"/>
            <w:tcBorders>
              <w:top w:val="nil"/>
              <w:left w:val="single" w:sz="4" w:space="0" w:color="auto"/>
              <w:bottom w:val="nil"/>
              <w:right w:val="nil"/>
            </w:tcBorders>
            <w:shd w:val="clear" w:color="000000" w:fill="F2F2F2"/>
            <w:noWrap/>
            <w:vAlign w:val="bottom"/>
            <w:hideMark/>
          </w:tcPr>
          <w:p w14:paraId="65C648F9"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32,8</w:t>
            </w:r>
          </w:p>
        </w:tc>
        <w:tc>
          <w:tcPr>
            <w:tcW w:w="349" w:type="pct"/>
            <w:gridSpan w:val="2"/>
            <w:tcBorders>
              <w:top w:val="nil"/>
              <w:left w:val="nil"/>
              <w:bottom w:val="nil"/>
              <w:right w:val="nil"/>
            </w:tcBorders>
            <w:shd w:val="clear" w:color="000000" w:fill="F2F2F2"/>
            <w:noWrap/>
            <w:vAlign w:val="bottom"/>
            <w:hideMark/>
          </w:tcPr>
          <w:p w14:paraId="02EA6136"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31,6</w:t>
            </w:r>
          </w:p>
        </w:tc>
        <w:tc>
          <w:tcPr>
            <w:tcW w:w="418" w:type="pct"/>
            <w:tcBorders>
              <w:top w:val="nil"/>
              <w:left w:val="nil"/>
              <w:bottom w:val="nil"/>
              <w:right w:val="nil"/>
            </w:tcBorders>
            <w:shd w:val="clear" w:color="000000" w:fill="F2F2F2"/>
            <w:noWrap/>
            <w:vAlign w:val="bottom"/>
            <w:hideMark/>
          </w:tcPr>
          <w:p w14:paraId="74A0058B"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34,7</w:t>
            </w:r>
          </w:p>
        </w:tc>
        <w:tc>
          <w:tcPr>
            <w:tcW w:w="299" w:type="pct"/>
            <w:tcBorders>
              <w:top w:val="nil"/>
              <w:left w:val="nil"/>
              <w:bottom w:val="nil"/>
              <w:right w:val="nil"/>
            </w:tcBorders>
            <w:shd w:val="clear" w:color="000000" w:fill="F2F2F2"/>
            <w:noWrap/>
            <w:vAlign w:val="bottom"/>
            <w:hideMark/>
          </w:tcPr>
          <w:p w14:paraId="3A0196CA" w14:textId="77777777" w:rsidR="00A315DE" w:rsidRPr="003278ED" w:rsidRDefault="00A315DE" w:rsidP="009F3E6D">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33,0</w:t>
            </w:r>
          </w:p>
        </w:tc>
      </w:tr>
      <w:tr w:rsidR="00A315DE" w:rsidRPr="003278ED" w14:paraId="028C6E66" w14:textId="77777777" w:rsidTr="009F3E6D">
        <w:trPr>
          <w:trHeight w:val="465"/>
        </w:trPr>
        <w:tc>
          <w:tcPr>
            <w:tcW w:w="1766" w:type="pct"/>
            <w:tcBorders>
              <w:top w:val="nil"/>
              <w:left w:val="nil"/>
              <w:bottom w:val="nil"/>
              <w:right w:val="nil"/>
            </w:tcBorders>
            <w:shd w:val="clear" w:color="auto" w:fill="auto"/>
            <w:vAlign w:val="bottom"/>
            <w:hideMark/>
          </w:tcPr>
          <w:p w14:paraId="02BAD559"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de stat cu destinație generală (excluzând plățile aferente dobânzilor)</w:t>
            </w:r>
          </w:p>
        </w:tc>
        <w:tc>
          <w:tcPr>
            <w:tcW w:w="520" w:type="pct"/>
            <w:tcBorders>
              <w:top w:val="nil"/>
              <w:left w:val="nil"/>
              <w:bottom w:val="nil"/>
              <w:right w:val="nil"/>
            </w:tcBorders>
            <w:shd w:val="clear" w:color="auto" w:fill="auto"/>
            <w:noWrap/>
            <w:vAlign w:val="bottom"/>
            <w:hideMark/>
          </w:tcPr>
          <w:p w14:paraId="54975E1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6 419</w:t>
            </w:r>
          </w:p>
        </w:tc>
        <w:tc>
          <w:tcPr>
            <w:tcW w:w="444" w:type="pct"/>
            <w:gridSpan w:val="2"/>
            <w:tcBorders>
              <w:top w:val="nil"/>
              <w:left w:val="nil"/>
              <w:bottom w:val="nil"/>
              <w:right w:val="nil"/>
            </w:tcBorders>
            <w:shd w:val="clear" w:color="auto" w:fill="auto"/>
            <w:noWrap/>
            <w:vAlign w:val="bottom"/>
            <w:hideMark/>
          </w:tcPr>
          <w:p w14:paraId="4E00AEDC"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6 606</w:t>
            </w:r>
          </w:p>
        </w:tc>
        <w:tc>
          <w:tcPr>
            <w:tcW w:w="435" w:type="pct"/>
            <w:gridSpan w:val="2"/>
            <w:tcBorders>
              <w:top w:val="nil"/>
              <w:left w:val="nil"/>
              <w:bottom w:val="nil"/>
              <w:right w:val="nil"/>
            </w:tcBorders>
            <w:shd w:val="clear" w:color="auto" w:fill="auto"/>
            <w:noWrap/>
            <w:vAlign w:val="bottom"/>
            <w:hideMark/>
          </w:tcPr>
          <w:p w14:paraId="0B4101F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6 411</w:t>
            </w:r>
          </w:p>
        </w:tc>
        <w:tc>
          <w:tcPr>
            <w:tcW w:w="454" w:type="pct"/>
            <w:gridSpan w:val="2"/>
            <w:tcBorders>
              <w:top w:val="nil"/>
              <w:left w:val="nil"/>
              <w:bottom w:val="nil"/>
              <w:right w:val="nil"/>
            </w:tcBorders>
            <w:shd w:val="clear" w:color="auto" w:fill="auto"/>
            <w:noWrap/>
            <w:vAlign w:val="bottom"/>
            <w:hideMark/>
          </w:tcPr>
          <w:p w14:paraId="57F63F78"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6 594</w:t>
            </w:r>
          </w:p>
        </w:tc>
        <w:tc>
          <w:tcPr>
            <w:tcW w:w="315" w:type="pct"/>
            <w:tcBorders>
              <w:top w:val="nil"/>
              <w:left w:val="single" w:sz="4" w:space="0" w:color="auto"/>
              <w:bottom w:val="nil"/>
              <w:right w:val="nil"/>
            </w:tcBorders>
            <w:shd w:val="clear" w:color="auto" w:fill="auto"/>
            <w:noWrap/>
            <w:vAlign w:val="bottom"/>
            <w:hideMark/>
          </w:tcPr>
          <w:p w14:paraId="1CEDC26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w:t>
            </w:r>
          </w:p>
        </w:tc>
        <w:tc>
          <w:tcPr>
            <w:tcW w:w="349" w:type="pct"/>
            <w:gridSpan w:val="2"/>
            <w:tcBorders>
              <w:top w:val="nil"/>
              <w:left w:val="nil"/>
              <w:bottom w:val="nil"/>
              <w:right w:val="nil"/>
            </w:tcBorders>
            <w:shd w:val="clear" w:color="auto" w:fill="auto"/>
            <w:noWrap/>
            <w:vAlign w:val="bottom"/>
            <w:hideMark/>
          </w:tcPr>
          <w:p w14:paraId="68479ACB"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1,6</w:t>
            </w:r>
          </w:p>
        </w:tc>
        <w:tc>
          <w:tcPr>
            <w:tcW w:w="418" w:type="pct"/>
            <w:tcBorders>
              <w:top w:val="nil"/>
              <w:left w:val="nil"/>
              <w:bottom w:val="nil"/>
              <w:right w:val="nil"/>
            </w:tcBorders>
            <w:shd w:val="clear" w:color="auto" w:fill="auto"/>
            <w:noWrap/>
            <w:vAlign w:val="bottom"/>
            <w:hideMark/>
          </w:tcPr>
          <w:p w14:paraId="1E0A527D"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w:t>
            </w:r>
          </w:p>
        </w:tc>
        <w:tc>
          <w:tcPr>
            <w:tcW w:w="299" w:type="pct"/>
            <w:tcBorders>
              <w:top w:val="nil"/>
              <w:left w:val="nil"/>
              <w:bottom w:val="nil"/>
              <w:right w:val="nil"/>
            </w:tcBorders>
            <w:shd w:val="clear" w:color="auto" w:fill="auto"/>
            <w:noWrap/>
            <w:vAlign w:val="bottom"/>
            <w:hideMark/>
          </w:tcPr>
          <w:p w14:paraId="0D0B38BD"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w:t>
            </w:r>
          </w:p>
        </w:tc>
      </w:tr>
      <w:tr w:rsidR="00A315DE" w:rsidRPr="003278ED" w14:paraId="5AEDA0A7" w14:textId="77777777" w:rsidTr="009F3E6D">
        <w:trPr>
          <w:trHeight w:val="300"/>
        </w:trPr>
        <w:tc>
          <w:tcPr>
            <w:tcW w:w="1766" w:type="pct"/>
            <w:tcBorders>
              <w:top w:val="nil"/>
              <w:left w:val="nil"/>
              <w:bottom w:val="nil"/>
              <w:right w:val="nil"/>
            </w:tcBorders>
            <w:shd w:val="clear" w:color="auto" w:fill="auto"/>
            <w:vAlign w:val="bottom"/>
            <w:hideMark/>
          </w:tcPr>
          <w:p w14:paraId="6073FA52"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Apărare națională</w:t>
            </w:r>
          </w:p>
        </w:tc>
        <w:tc>
          <w:tcPr>
            <w:tcW w:w="520" w:type="pct"/>
            <w:tcBorders>
              <w:top w:val="nil"/>
              <w:left w:val="nil"/>
              <w:bottom w:val="nil"/>
              <w:right w:val="nil"/>
            </w:tcBorders>
            <w:shd w:val="clear" w:color="auto" w:fill="auto"/>
            <w:noWrap/>
            <w:vAlign w:val="bottom"/>
            <w:hideMark/>
          </w:tcPr>
          <w:p w14:paraId="5C570FA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1 638</w:t>
            </w:r>
          </w:p>
        </w:tc>
        <w:tc>
          <w:tcPr>
            <w:tcW w:w="444" w:type="pct"/>
            <w:gridSpan w:val="2"/>
            <w:tcBorders>
              <w:top w:val="nil"/>
              <w:left w:val="nil"/>
              <w:bottom w:val="nil"/>
              <w:right w:val="nil"/>
            </w:tcBorders>
            <w:shd w:val="clear" w:color="auto" w:fill="auto"/>
            <w:noWrap/>
            <w:vAlign w:val="bottom"/>
            <w:hideMark/>
          </w:tcPr>
          <w:p w14:paraId="12FF7D4A"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1 688</w:t>
            </w:r>
          </w:p>
        </w:tc>
        <w:tc>
          <w:tcPr>
            <w:tcW w:w="435" w:type="pct"/>
            <w:gridSpan w:val="2"/>
            <w:tcBorders>
              <w:top w:val="nil"/>
              <w:left w:val="nil"/>
              <w:bottom w:val="nil"/>
              <w:right w:val="nil"/>
            </w:tcBorders>
            <w:shd w:val="clear" w:color="auto" w:fill="auto"/>
            <w:noWrap/>
            <w:vAlign w:val="bottom"/>
            <w:hideMark/>
          </w:tcPr>
          <w:p w14:paraId="6E7645A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1 740</w:t>
            </w:r>
          </w:p>
        </w:tc>
        <w:tc>
          <w:tcPr>
            <w:tcW w:w="454" w:type="pct"/>
            <w:gridSpan w:val="2"/>
            <w:tcBorders>
              <w:top w:val="nil"/>
              <w:left w:val="nil"/>
              <w:bottom w:val="nil"/>
              <w:right w:val="nil"/>
            </w:tcBorders>
            <w:shd w:val="clear" w:color="auto" w:fill="auto"/>
            <w:noWrap/>
            <w:vAlign w:val="bottom"/>
            <w:hideMark/>
          </w:tcPr>
          <w:p w14:paraId="4A5A828A"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1 741</w:t>
            </w:r>
          </w:p>
        </w:tc>
        <w:tc>
          <w:tcPr>
            <w:tcW w:w="315" w:type="pct"/>
            <w:tcBorders>
              <w:top w:val="nil"/>
              <w:left w:val="single" w:sz="4" w:space="0" w:color="auto"/>
              <w:bottom w:val="nil"/>
              <w:right w:val="nil"/>
            </w:tcBorders>
            <w:shd w:val="clear" w:color="auto" w:fill="auto"/>
            <w:noWrap/>
            <w:vAlign w:val="bottom"/>
            <w:hideMark/>
          </w:tcPr>
          <w:p w14:paraId="0D4EB995"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0,4</w:t>
            </w:r>
          </w:p>
        </w:tc>
        <w:tc>
          <w:tcPr>
            <w:tcW w:w="349" w:type="pct"/>
            <w:gridSpan w:val="2"/>
            <w:tcBorders>
              <w:top w:val="nil"/>
              <w:left w:val="nil"/>
              <w:bottom w:val="nil"/>
              <w:right w:val="nil"/>
            </w:tcBorders>
            <w:shd w:val="clear" w:color="auto" w:fill="auto"/>
            <w:noWrap/>
            <w:vAlign w:val="bottom"/>
            <w:hideMark/>
          </w:tcPr>
          <w:p w14:paraId="20324D9E"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0,4</w:t>
            </w:r>
          </w:p>
        </w:tc>
        <w:tc>
          <w:tcPr>
            <w:tcW w:w="418" w:type="pct"/>
            <w:tcBorders>
              <w:top w:val="nil"/>
              <w:left w:val="nil"/>
              <w:bottom w:val="nil"/>
              <w:right w:val="nil"/>
            </w:tcBorders>
            <w:shd w:val="clear" w:color="auto" w:fill="auto"/>
            <w:noWrap/>
            <w:vAlign w:val="bottom"/>
            <w:hideMark/>
          </w:tcPr>
          <w:p w14:paraId="44D85AA0"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0,5</w:t>
            </w:r>
          </w:p>
        </w:tc>
        <w:tc>
          <w:tcPr>
            <w:tcW w:w="299" w:type="pct"/>
            <w:tcBorders>
              <w:top w:val="nil"/>
              <w:left w:val="nil"/>
              <w:bottom w:val="nil"/>
              <w:right w:val="nil"/>
            </w:tcBorders>
            <w:shd w:val="clear" w:color="auto" w:fill="auto"/>
            <w:noWrap/>
            <w:vAlign w:val="bottom"/>
            <w:hideMark/>
          </w:tcPr>
          <w:p w14:paraId="3B1976C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0,4</w:t>
            </w:r>
          </w:p>
        </w:tc>
      </w:tr>
      <w:tr w:rsidR="00A315DE" w:rsidRPr="003278ED" w14:paraId="0139D628" w14:textId="77777777" w:rsidTr="009F3E6D">
        <w:trPr>
          <w:trHeight w:val="300"/>
        </w:trPr>
        <w:tc>
          <w:tcPr>
            <w:tcW w:w="1766" w:type="pct"/>
            <w:tcBorders>
              <w:top w:val="nil"/>
              <w:left w:val="nil"/>
              <w:bottom w:val="nil"/>
              <w:right w:val="nil"/>
            </w:tcBorders>
            <w:shd w:val="clear" w:color="auto" w:fill="auto"/>
            <w:vAlign w:val="bottom"/>
            <w:hideMark/>
          </w:tcPr>
          <w:p w14:paraId="69391F00"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Ordine publică și securitate națională</w:t>
            </w:r>
          </w:p>
        </w:tc>
        <w:tc>
          <w:tcPr>
            <w:tcW w:w="520" w:type="pct"/>
            <w:tcBorders>
              <w:top w:val="nil"/>
              <w:left w:val="nil"/>
              <w:bottom w:val="nil"/>
              <w:right w:val="nil"/>
            </w:tcBorders>
            <w:shd w:val="clear" w:color="auto" w:fill="auto"/>
            <w:noWrap/>
            <w:vAlign w:val="bottom"/>
            <w:hideMark/>
          </w:tcPr>
          <w:p w14:paraId="4F67384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6 569</w:t>
            </w:r>
          </w:p>
        </w:tc>
        <w:tc>
          <w:tcPr>
            <w:tcW w:w="444" w:type="pct"/>
            <w:gridSpan w:val="2"/>
            <w:tcBorders>
              <w:top w:val="nil"/>
              <w:left w:val="nil"/>
              <w:bottom w:val="nil"/>
              <w:right w:val="nil"/>
            </w:tcBorders>
            <w:shd w:val="clear" w:color="auto" w:fill="auto"/>
            <w:noWrap/>
            <w:vAlign w:val="bottom"/>
            <w:hideMark/>
          </w:tcPr>
          <w:p w14:paraId="45E6467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6 567</w:t>
            </w:r>
          </w:p>
        </w:tc>
        <w:tc>
          <w:tcPr>
            <w:tcW w:w="435" w:type="pct"/>
            <w:gridSpan w:val="2"/>
            <w:tcBorders>
              <w:top w:val="nil"/>
              <w:left w:val="nil"/>
              <w:bottom w:val="nil"/>
              <w:right w:val="nil"/>
            </w:tcBorders>
            <w:shd w:val="clear" w:color="auto" w:fill="auto"/>
            <w:noWrap/>
            <w:vAlign w:val="bottom"/>
            <w:hideMark/>
          </w:tcPr>
          <w:p w14:paraId="2E2950AB"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7 383</w:t>
            </w:r>
          </w:p>
        </w:tc>
        <w:tc>
          <w:tcPr>
            <w:tcW w:w="454" w:type="pct"/>
            <w:gridSpan w:val="2"/>
            <w:tcBorders>
              <w:top w:val="nil"/>
              <w:left w:val="nil"/>
              <w:bottom w:val="nil"/>
              <w:right w:val="nil"/>
            </w:tcBorders>
            <w:shd w:val="clear" w:color="auto" w:fill="auto"/>
            <w:noWrap/>
            <w:vAlign w:val="bottom"/>
            <w:hideMark/>
          </w:tcPr>
          <w:p w14:paraId="02086E04"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7 634</w:t>
            </w:r>
          </w:p>
        </w:tc>
        <w:tc>
          <w:tcPr>
            <w:tcW w:w="315" w:type="pct"/>
            <w:tcBorders>
              <w:top w:val="nil"/>
              <w:left w:val="single" w:sz="4" w:space="0" w:color="auto"/>
              <w:bottom w:val="nil"/>
              <w:right w:val="nil"/>
            </w:tcBorders>
            <w:shd w:val="clear" w:color="auto" w:fill="auto"/>
            <w:noWrap/>
            <w:vAlign w:val="bottom"/>
            <w:hideMark/>
          </w:tcPr>
          <w:p w14:paraId="18714448"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w:t>
            </w:r>
          </w:p>
        </w:tc>
        <w:tc>
          <w:tcPr>
            <w:tcW w:w="349" w:type="pct"/>
            <w:gridSpan w:val="2"/>
            <w:tcBorders>
              <w:top w:val="nil"/>
              <w:left w:val="nil"/>
              <w:bottom w:val="nil"/>
              <w:right w:val="nil"/>
            </w:tcBorders>
            <w:shd w:val="clear" w:color="auto" w:fill="auto"/>
            <w:noWrap/>
            <w:vAlign w:val="bottom"/>
            <w:hideMark/>
          </w:tcPr>
          <w:p w14:paraId="4C5533C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1,6</w:t>
            </w:r>
          </w:p>
        </w:tc>
        <w:tc>
          <w:tcPr>
            <w:tcW w:w="418" w:type="pct"/>
            <w:tcBorders>
              <w:top w:val="nil"/>
              <w:left w:val="nil"/>
              <w:bottom w:val="nil"/>
              <w:right w:val="nil"/>
            </w:tcBorders>
            <w:shd w:val="clear" w:color="auto" w:fill="auto"/>
            <w:noWrap/>
            <w:vAlign w:val="bottom"/>
            <w:hideMark/>
          </w:tcPr>
          <w:p w14:paraId="7BB158C6"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2,1</w:t>
            </w:r>
          </w:p>
        </w:tc>
        <w:tc>
          <w:tcPr>
            <w:tcW w:w="299" w:type="pct"/>
            <w:tcBorders>
              <w:top w:val="nil"/>
              <w:left w:val="nil"/>
              <w:bottom w:val="nil"/>
              <w:right w:val="nil"/>
            </w:tcBorders>
            <w:shd w:val="clear" w:color="auto" w:fill="auto"/>
            <w:noWrap/>
            <w:vAlign w:val="bottom"/>
            <w:hideMark/>
          </w:tcPr>
          <w:p w14:paraId="5DA7963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w:t>
            </w:r>
          </w:p>
        </w:tc>
      </w:tr>
      <w:tr w:rsidR="00A315DE" w:rsidRPr="003278ED" w14:paraId="031B72FE" w14:textId="77777777" w:rsidTr="009F3E6D">
        <w:trPr>
          <w:trHeight w:val="300"/>
        </w:trPr>
        <w:tc>
          <w:tcPr>
            <w:tcW w:w="1766" w:type="pct"/>
            <w:tcBorders>
              <w:top w:val="nil"/>
              <w:left w:val="nil"/>
              <w:bottom w:val="nil"/>
              <w:right w:val="nil"/>
            </w:tcBorders>
            <w:shd w:val="clear" w:color="auto" w:fill="auto"/>
            <w:vAlign w:val="bottom"/>
            <w:hideMark/>
          </w:tcPr>
          <w:p w14:paraId="22D975C7"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în domeniul economiei</w:t>
            </w:r>
          </w:p>
        </w:tc>
        <w:tc>
          <w:tcPr>
            <w:tcW w:w="520" w:type="pct"/>
            <w:tcBorders>
              <w:top w:val="nil"/>
              <w:left w:val="nil"/>
              <w:bottom w:val="nil"/>
              <w:right w:val="nil"/>
            </w:tcBorders>
            <w:shd w:val="clear" w:color="auto" w:fill="auto"/>
            <w:noWrap/>
            <w:vAlign w:val="bottom"/>
            <w:hideMark/>
          </w:tcPr>
          <w:p w14:paraId="0B88247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13 582</w:t>
            </w:r>
          </w:p>
        </w:tc>
        <w:tc>
          <w:tcPr>
            <w:tcW w:w="444" w:type="pct"/>
            <w:gridSpan w:val="2"/>
            <w:tcBorders>
              <w:top w:val="nil"/>
              <w:left w:val="nil"/>
              <w:bottom w:val="nil"/>
              <w:right w:val="nil"/>
            </w:tcBorders>
            <w:shd w:val="clear" w:color="auto" w:fill="auto"/>
            <w:noWrap/>
            <w:vAlign w:val="bottom"/>
            <w:hideMark/>
          </w:tcPr>
          <w:p w14:paraId="00EADD88"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13 259</w:t>
            </w:r>
          </w:p>
        </w:tc>
        <w:tc>
          <w:tcPr>
            <w:tcW w:w="435" w:type="pct"/>
            <w:gridSpan w:val="2"/>
            <w:tcBorders>
              <w:top w:val="nil"/>
              <w:left w:val="nil"/>
              <w:bottom w:val="nil"/>
              <w:right w:val="nil"/>
            </w:tcBorders>
            <w:shd w:val="clear" w:color="auto" w:fill="auto"/>
            <w:noWrap/>
            <w:vAlign w:val="bottom"/>
            <w:hideMark/>
          </w:tcPr>
          <w:p w14:paraId="4D415766"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11 787</w:t>
            </w:r>
          </w:p>
        </w:tc>
        <w:tc>
          <w:tcPr>
            <w:tcW w:w="454" w:type="pct"/>
            <w:gridSpan w:val="2"/>
            <w:tcBorders>
              <w:top w:val="nil"/>
              <w:left w:val="nil"/>
              <w:bottom w:val="nil"/>
              <w:right w:val="nil"/>
            </w:tcBorders>
            <w:shd w:val="clear" w:color="auto" w:fill="auto"/>
            <w:noWrap/>
            <w:vAlign w:val="bottom"/>
            <w:hideMark/>
          </w:tcPr>
          <w:p w14:paraId="5EC2D3F6"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13 067</w:t>
            </w:r>
          </w:p>
        </w:tc>
        <w:tc>
          <w:tcPr>
            <w:tcW w:w="315" w:type="pct"/>
            <w:tcBorders>
              <w:top w:val="nil"/>
              <w:left w:val="single" w:sz="4" w:space="0" w:color="auto"/>
              <w:bottom w:val="nil"/>
              <w:right w:val="nil"/>
            </w:tcBorders>
            <w:shd w:val="clear" w:color="auto" w:fill="auto"/>
            <w:noWrap/>
            <w:vAlign w:val="bottom"/>
            <w:hideMark/>
          </w:tcPr>
          <w:p w14:paraId="734A614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3,6</w:t>
            </w:r>
          </w:p>
        </w:tc>
        <w:tc>
          <w:tcPr>
            <w:tcW w:w="349" w:type="pct"/>
            <w:gridSpan w:val="2"/>
            <w:tcBorders>
              <w:top w:val="nil"/>
              <w:left w:val="nil"/>
              <w:bottom w:val="nil"/>
              <w:right w:val="nil"/>
            </w:tcBorders>
            <w:shd w:val="clear" w:color="auto" w:fill="auto"/>
            <w:noWrap/>
            <w:vAlign w:val="bottom"/>
            <w:hideMark/>
          </w:tcPr>
          <w:p w14:paraId="0782C3A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3,2</w:t>
            </w:r>
          </w:p>
        </w:tc>
        <w:tc>
          <w:tcPr>
            <w:tcW w:w="418" w:type="pct"/>
            <w:tcBorders>
              <w:top w:val="nil"/>
              <w:left w:val="nil"/>
              <w:bottom w:val="nil"/>
              <w:right w:val="nil"/>
            </w:tcBorders>
            <w:shd w:val="clear" w:color="auto" w:fill="auto"/>
            <w:noWrap/>
            <w:vAlign w:val="bottom"/>
            <w:hideMark/>
          </w:tcPr>
          <w:p w14:paraId="3E979B14"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3,3</w:t>
            </w:r>
          </w:p>
        </w:tc>
        <w:tc>
          <w:tcPr>
            <w:tcW w:w="299" w:type="pct"/>
            <w:tcBorders>
              <w:top w:val="nil"/>
              <w:left w:val="nil"/>
              <w:bottom w:val="nil"/>
              <w:right w:val="nil"/>
            </w:tcBorders>
            <w:shd w:val="clear" w:color="auto" w:fill="auto"/>
            <w:noWrap/>
            <w:vAlign w:val="bottom"/>
            <w:hideMark/>
          </w:tcPr>
          <w:p w14:paraId="592532D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3,3</w:t>
            </w:r>
          </w:p>
        </w:tc>
      </w:tr>
      <w:tr w:rsidR="00A315DE" w:rsidRPr="003278ED" w14:paraId="59A87C17" w14:textId="77777777" w:rsidTr="009F3E6D">
        <w:trPr>
          <w:trHeight w:val="300"/>
        </w:trPr>
        <w:tc>
          <w:tcPr>
            <w:tcW w:w="1766" w:type="pct"/>
            <w:tcBorders>
              <w:top w:val="nil"/>
              <w:left w:val="nil"/>
              <w:bottom w:val="nil"/>
              <w:right w:val="nil"/>
            </w:tcBorders>
            <w:shd w:val="clear" w:color="auto" w:fill="auto"/>
            <w:vAlign w:val="center"/>
            <w:hideMark/>
          </w:tcPr>
          <w:p w14:paraId="4F171F70"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Protecția mediului</w:t>
            </w:r>
          </w:p>
        </w:tc>
        <w:tc>
          <w:tcPr>
            <w:tcW w:w="520" w:type="pct"/>
            <w:tcBorders>
              <w:top w:val="nil"/>
              <w:left w:val="nil"/>
              <w:bottom w:val="nil"/>
              <w:right w:val="nil"/>
            </w:tcBorders>
            <w:shd w:val="clear" w:color="auto" w:fill="auto"/>
            <w:noWrap/>
            <w:vAlign w:val="center"/>
            <w:hideMark/>
          </w:tcPr>
          <w:p w14:paraId="451DE920"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837</w:t>
            </w:r>
          </w:p>
        </w:tc>
        <w:tc>
          <w:tcPr>
            <w:tcW w:w="444" w:type="pct"/>
            <w:gridSpan w:val="2"/>
            <w:tcBorders>
              <w:top w:val="nil"/>
              <w:left w:val="nil"/>
              <w:bottom w:val="nil"/>
              <w:right w:val="nil"/>
            </w:tcBorders>
            <w:shd w:val="clear" w:color="auto" w:fill="auto"/>
            <w:noWrap/>
            <w:vAlign w:val="center"/>
            <w:hideMark/>
          </w:tcPr>
          <w:p w14:paraId="27854E8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837</w:t>
            </w:r>
          </w:p>
        </w:tc>
        <w:tc>
          <w:tcPr>
            <w:tcW w:w="435" w:type="pct"/>
            <w:gridSpan w:val="2"/>
            <w:tcBorders>
              <w:top w:val="nil"/>
              <w:left w:val="nil"/>
              <w:bottom w:val="nil"/>
              <w:right w:val="nil"/>
            </w:tcBorders>
            <w:shd w:val="clear" w:color="auto" w:fill="auto"/>
            <w:noWrap/>
            <w:vAlign w:val="center"/>
            <w:hideMark/>
          </w:tcPr>
          <w:p w14:paraId="4021C1EB"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836</w:t>
            </w:r>
          </w:p>
        </w:tc>
        <w:tc>
          <w:tcPr>
            <w:tcW w:w="454" w:type="pct"/>
            <w:gridSpan w:val="2"/>
            <w:tcBorders>
              <w:top w:val="nil"/>
              <w:left w:val="nil"/>
              <w:bottom w:val="nil"/>
              <w:right w:val="nil"/>
            </w:tcBorders>
            <w:shd w:val="clear" w:color="auto" w:fill="auto"/>
            <w:noWrap/>
            <w:vAlign w:val="center"/>
            <w:hideMark/>
          </w:tcPr>
          <w:p w14:paraId="6A19356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937</w:t>
            </w:r>
          </w:p>
        </w:tc>
        <w:tc>
          <w:tcPr>
            <w:tcW w:w="315" w:type="pct"/>
            <w:tcBorders>
              <w:top w:val="nil"/>
              <w:left w:val="single" w:sz="4" w:space="0" w:color="auto"/>
              <w:bottom w:val="nil"/>
              <w:right w:val="nil"/>
            </w:tcBorders>
            <w:shd w:val="clear" w:color="auto" w:fill="auto"/>
            <w:noWrap/>
            <w:vAlign w:val="bottom"/>
            <w:hideMark/>
          </w:tcPr>
          <w:p w14:paraId="642292D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349" w:type="pct"/>
            <w:gridSpan w:val="2"/>
            <w:tcBorders>
              <w:top w:val="nil"/>
              <w:left w:val="nil"/>
              <w:bottom w:val="nil"/>
              <w:right w:val="nil"/>
            </w:tcBorders>
            <w:shd w:val="clear" w:color="auto" w:fill="auto"/>
            <w:noWrap/>
            <w:vAlign w:val="bottom"/>
            <w:hideMark/>
          </w:tcPr>
          <w:p w14:paraId="1D6968C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418" w:type="pct"/>
            <w:tcBorders>
              <w:top w:val="nil"/>
              <w:left w:val="nil"/>
              <w:bottom w:val="nil"/>
              <w:right w:val="nil"/>
            </w:tcBorders>
            <w:shd w:val="clear" w:color="auto" w:fill="auto"/>
            <w:noWrap/>
            <w:vAlign w:val="bottom"/>
            <w:hideMark/>
          </w:tcPr>
          <w:p w14:paraId="6FE5661E"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299" w:type="pct"/>
            <w:tcBorders>
              <w:top w:val="nil"/>
              <w:left w:val="nil"/>
              <w:bottom w:val="nil"/>
              <w:right w:val="nil"/>
            </w:tcBorders>
            <w:shd w:val="clear" w:color="auto" w:fill="auto"/>
            <w:noWrap/>
            <w:vAlign w:val="bottom"/>
            <w:hideMark/>
          </w:tcPr>
          <w:p w14:paraId="4E8B8635"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r>
      <w:tr w:rsidR="00A315DE" w:rsidRPr="003278ED" w14:paraId="3BF4A5ED" w14:textId="77777777" w:rsidTr="009F3E6D">
        <w:trPr>
          <w:trHeight w:val="510"/>
        </w:trPr>
        <w:tc>
          <w:tcPr>
            <w:tcW w:w="1766" w:type="pct"/>
            <w:tcBorders>
              <w:top w:val="nil"/>
              <w:left w:val="nil"/>
              <w:bottom w:val="nil"/>
              <w:right w:val="nil"/>
            </w:tcBorders>
            <w:shd w:val="clear" w:color="auto" w:fill="auto"/>
            <w:vAlign w:val="bottom"/>
            <w:hideMark/>
          </w:tcPr>
          <w:p w14:paraId="2FAD5A38"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Gospodăria de locuințe și gospodăria serviciilor comunale</w:t>
            </w:r>
          </w:p>
        </w:tc>
        <w:tc>
          <w:tcPr>
            <w:tcW w:w="520" w:type="pct"/>
            <w:tcBorders>
              <w:top w:val="nil"/>
              <w:left w:val="nil"/>
              <w:bottom w:val="nil"/>
              <w:right w:val="nil"/>
            </w:tcBorders>
            <w:shd w:val="clear" w:color="auto" w:fill="auto"/>
            <w:noWrap/>
            <w:vAlign w:val="bottom"/>
            <w:hideMark/>
          </w:tcPr>
          <w:p w14:paraId="286AE459"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3 356</w:t>
            </w:r>
          </w:p>
        </w:tc>
        <w:tc>
          <w:tcPr>
            <w:tcW w:w="444" w:type="pct"/>
            <w:gridSpan w:val="2"/>
            <w:tcBorders>
              <w:top w:val="nil"/>
              <w:left w:val="nil"/>
              <w:bottom w:val="nil"/>
              <w:right w:val="nil"/>
            </w:tcBorders>
            <w:shd w:val="clear" w:color="auto" w:fill="auto"/>
            <w:noWrap/>
            <w:vAlign w:val="bottom"/>
            <w:hideMark/>
          </w:tcPr>
          <w:p w14:paraId="27C6E12E"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3 268</w:t>
            </w:r>
          </w:p>
        </w:tc>
        <w:tc>
          <w:tcPr>
            <w:tcW w:w="435" w:type="pct"/>
            <w:gridSpan w:val="2"/>
            <w:tcBorders>
              <w:top w:val="nil"/>
              <w:left w:val="nil"/>
              <w:bottom w:val="nil"/>
              <w:right w:val="nil"/>
            </w:tcBorders>
            <w:shd w:val="clear" w:color="auto" w:fill="auto"/>
            <w:noWrap/>
            <w:vAlign w:val="bottom"/>
            <w:hideMark/>
          </w:tcPr>
          <w:p w14:paraId="13B97A0E"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3 657</w:t>
            </w:r>
          </w:p>
        </w:tc>
        <w:tc>
          <w:tcPr>
            <w:tcW w:w="454" w:type="pct"/>
            <w:gridSpan w:val="2"/>
            <w:tcBorders>
              <w:top w:val="nil"/>
              <w:left w:val="nil"/>
              <w:bottom w:val="nil"/>
              <w:right w:val="nil"/>
            </w:tcBorders>
            <w:shd w:val="clear" w:color="auto" w:fill="auto"/>
            <w:noWrap/>
            <w:vAlign w:val="bottom"/>
            <w:hideMark/>
          </w:tcPr>
          <w:p w14:paraId="4D8C247B"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3 854</w:t>
            </w:r>
          </w:p>
        </w:tc>
        <w:tc>
          <w:tcPr>
            <w:tcW w:w="315" w:type="pct"/>
            <w:tcBorders>
              <w:top w:val="nil"/>
              <w:left w:val="single" w:sz="4" w:space="0" w:color="auto"/>
              <w:bottom w:val="nil"/>
              <w:right w:val="nil"/>
            </w:tcBorders>
            <w:shd w:val="clear" w:color="auto" w:fill="auto"/>
            <w:noWrap/>
            <w:vAlign w:val="bottom"/>
            <w:hideMark/>
          </w:tcPr>
          <w:p w14:paraId="146061C5"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0,9</w:t>
            </w:r>
          </w:p>
        </w:tc>
        <w:tc>
          <w:tcPr>
            <w:tcW w:w="349" w:type="pct"/>
            <w:gridSpan w:val="2"/>
            <w:tcBorders>
              <w:top w:val="nil"/>
              <w:left w:val="nil"/>
              <w:bottom w:val="nil"/>
              <w:right w:val="nil"/>
            </w:tcBorders>
            <w:shd w:val="clear" w:color="auto" w:fill="auto"/>
            <w:noWrap/>
            <w:vAlign w:val="bottom"/>
            <w:hideMark/>
          </w:tcPr>
          <w:p w14:paraId="5093894C"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0,8</w:t>
            </w:r>
          </w:p>
        </w:tc>
        <w:tc>
          <w:tcPr>
            <w:tcW w:w="418" w:type="pct"/>
            <w:tcBorders>
              <w:top w:val="nil"/>
              <w:left w:val="nil"/>
              <w:bottom w:val="nil"/>
              <w:right w:val="nil"/>
            </w:tcBorders>
            <w:shd w:val="clear" w:color="auto" w:fill="auto"/>
            <w:noWrap/>
            <w:vAlign w:val="bottom"/>
            <w:hideMark/>
          </w:tcPr>
          <w:p w14:paraId="4707146E"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w:t>
            </w:r>
          </w:p>
        </w:tc>
        <w:tc>
          <w:tcPr>
            <w:tcW w:w="299" w:type="pct"/>
            <w:tcBorders>
              <w:top w:val="nil"/>
              <w:left w:val="nil"/>
              <w:bottom w:val="nil"/>
              <w:right w:val="nil"/>
            </w:tcBorders>
            <w:shd w:val="clear" w:color="auto" w:fill="auto"/>
            <w:noWrap/>
            <w:vAlign w:val="bottom"/>
            <w:hideMark/>
          </w:tcPr>
          <w:p w14:paraId="75A7A868"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w:t>
            </w:r>
          </w:p>
        </w:tc>
      </w:tr>
      <w:tr w:rsidR="00A315DE" w:rsidRPr="003278ED" w14:paraId="3A27F562" w14:textId="77777777" w:rsidTr="009F3E6D">
        <w:trPr>
          <w:trHeight w:val="300"/>
        </w:trPr>
        <w:tc>
          <w:tcPr>
            <w:tcW w:w="1766" w:type="pct"/>
            <w:tcBorders>
              <w:top w:val="nil"/>
              <w:left w:val="nil"/>
              <w:bottom w:val="nil"/>
              <w:right w:val="nil"/>
            </w:tcBorders>
            <w:shd w:val="clear" w:color="auto" w:fill="auto"/>
            <w:vAlign w:val="bottom"/>
            <w:hideMark/>
          </w:tcPr>
          <w:p w14:paraId="338E5096"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Ocrotirea sănătății</w:t>
            </w:r>
          </w:p>
        </w:tc>
        <w:tc>
          <w:tcPr>
            <w:tcW w:w="520" w:type="pct"/>
            <w:tcBorders>
              <w:top w:val="nil"/>
              <w:left w:val="nil"/>
              <w:bottom w:val="nil"/>
              <w:right w:val="nil"/>
            </w:tcBorders>
            <w:shd w:val="clear" w:color="auto" w:fill="auto"/>
            <w:noWrap/>
            <w:vAlign w:val="bottom"/>
            <w:hideMark/>
          </w:tcPr>
          <w:p w14:paraId="75B65C0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18 947</w:t>
            </w:r>
          </w:p>
        </w:tc>
        <w:tc>
          <w:tcPr>
            <w:tcW w:w="444" w:type="pct"/>
            <w:gridSpan w:val="2"/>
            <w:tcBorders>
              <w:top w:val="nil"/>
              <w:left w:val="nil"/>
              <w:bottom w:val="nil"/>
              <w:right w:val="nil"/>
            </w:tcBorders>
            <w:shd w:val="clear" w:color="auto" w:fill="auto"/>
            <w:noWrap/>
            <w:vAlign w:val="bottom"/>
            <w:hideMark/>
          </w:tcPr>
          <w:p w14:paraId="6FF4D0E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20 116</w:t>
            </w:r>
          </w:p>
        </w:tc>
        <w:tc>
          <w:tcPr>
            <w:tcW w:w="435" w:type="pct"/>
            <w:gridSpan w:val="2"/>
            <w:tcBorders>
              <w:top w:val="nil"/>
              <w:left w:val="nil"/>
              <w:bottom w:val="nil"/>
              <w:right w:val="nil"/>
            </w:tcBorders>
            <w:shd w:val="clear" w:color="auto" w:fill="auto"/>
            <w:noWrap/>
            <w:vAlign w:val="bottom"/>
            <w:hideMark/>
          </w:tcPr>
          <w:p w14:paraId="1DFF2AD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18 899</w:t>
            </w:r>
          </w:p>
        </w:tc>
        <w:tc>
          <w:tcPr>
            <w:tcW w:w="454" w:type="pct"/>
            <w:gridSpan w:val="2"/>
            <w:tcBorders>
              <w:top w:val="nil"/>
              <w:left w:val="nil"/>
              <w:bottom w:val="nil"/>
              <w:right w:val="nil"/>
            </w:tcBorders>
            <w:shd w:val="clear" w:color="auto" w:fill="auto"/>
            <w:noWrap/>
            <w:vAlign w:val="bottom"/>
            <w:hideMark/>
          </w:tcPr>
          <w:p w14:paraId="611AB2B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20 372</w:t>
            </w:r>
          </w:p>
        </w:tc>
        <w:tc>
          <w:tcPr>
            <w:tcW w:w="315" w:type="pct"/>
            <w:tcBorders>
              <w:top w:val="nil"/>
              <w:left w:val="single" w:sz="4" w:space="0" w:color="auto"/>
              <w:bottom w:val="nil"/>
              <w:right w:val="nil"/>
            </w:tcBorders>
            <w:shd w:val="clear" w:color="auto" w:fill="auto"/>
            <w:noWrap/>
            <w:vAlign w:val="bottom"/>
            <w:hideMark/>
          </w:tcPr>
          <w:p w14:paraId="584652E5"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w:t>
            </w:r>
          </w:p>
        </w:tc>
        <w:tc>
          <w:tcPr>
            <w:tcW w:w="349" w:type="pct"/>
            <w:gridSpan w:val="2"/>
            <w:tcBorders>
              <w:top w:val="nil"/>
              <w:left w:val="nil"/>
              <w:bottom w:val="nil"/>
              <w:right w:val="nil"/>
            </w:tcBorders>
            <w:shd w:val="clear" w:color="auto" w:fill="auto"/>
            <w:noWrap/>
            <w:vAlign w:val="bottom"/>
            <w:hideMark/>
          </w:tcPr>
          <w:p w14:paraId="1CE6FB2D"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4,8</w:t>
            </w:r>
          </w:p>
        </w:tc>
        <w:tc>
          <w:tcPr>
            <w:tcW w:w="418" w:type="pct"/>
            <w:tcBorders>
              <w:top w:val="nil"/>
              <w:left w:val="nil"/>
              <w:bottom w:val="nil"/>
              <w:right w:val="nil"/>
            </w:tcBorders>
            <w:shd w:val="clear" w:color="auto" w:fill="auto"/>
            <w:noWrap/>
            <w:vAlign w:val="bottom"/>
            <w:hideMark/>
          </w:tcPr>
          <w:p w14:paraId="643EBAF9"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5,3</w:t>
            </w:r>
          </w:p>
        </w:tc>
        <w:tc>
          <w:tcPr>
            <w:tcW w:w="299" w:type="pct"/>
            <w:tcBorders>
              <w:top w:val="nil"/>
              <w:left w:val="nil"/>
              <w:bottom w:val="nil"/>
              <w:right w:val="nil"/>
            </w:tcBorders>
            <w:shd w:val="clear" w:color="auto" w:fill="auto"/>
            <w:noWrap/>
            <w:vAlign w:val="bottom"/>
            <w:hideMark/>
          </w:tcPr>
          <w:p w14:paraId="5597C330"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w:t>
            </w:r>
          </w:p>
        </w:tc>
      </w:tr>
      <w:tr w:rsidR="00A315DE" w:rsidRPr="003278ED" w14:paraId="26BDA1C6" w14:textId="77777777" w:rsidTr="009F3E6D">
        <w:trPr>
          <w:trHeight w:val="300"/>
        </w:trPr>
        <w:tc>
          <w:tcPr>
            <w:tcW w:w="1766" w:type="pct"/>
            <w:tcBorders>
              <w:top w:val="nil"/>
              <w:left w:val="nil"/>
              <w:bottom w:val="nil"/>
              <w:right w:val="nil"/>
            </w:tcBorders>
            <w:shd w:val="clear" w:color="auto" w:fill="auto"/>
            <w:vAlign w:val="bottom"/>
            <w:hideMark/>
          </w:tcPr>
          <w:p w14:paraId="29FD8E7D"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Cultură, sport, tineret, culte și odihnă</w:t>
            </w:r>
          </w:p>
        </w:tc>
        <w:tc>
          <w:tcPr>
            <w:tcW w:w="520" w:type="pct"/>
            <w:tcBorders>
              <w:top w:val="nil"/>
              <w:left w:val="nil"/>
              <w:bottom w:val="nil"/>
              <w:right w:val="nil"/>
            </w:tcBorders>
            <w:shd w:val="clear" w:color="auto" w:fill="auto"/>
            <w:noWrap/>
            <w:vAlign w:val="bottom"/>
            <w:hideMark/>
          </w:tcPr>
          <w:p w14:paraId="7F501BBC"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2 856</w:t>
            </w:r>
          </w:p>
        </w:tc>
        <w:tc>
          <w:tcPr>
            <w:tcW w:w="444" w:type="pct"/>
            <w:gridSpan w:val="2"/>
            <w:tcBorders>
              <w:top w:val="nil"/>
              <w:left w:val="nil"/>
              <w:bottom w:val="nil"/>
              <w:right w:val="nil"/>
            </w:tcBorders>
            <w:shd w:val="clear" w:color="auto" w:fill="auto"/>
            <w:noWrap/>
            <w:vAlign w:val="bottom"/>
            <w:hideMark/>
          </w:tcPr>
          <w:p w14:paraId="3F4502B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2 876</w:t>
            </w:r>
          </w:p>
        </w:tc>
        <w:tc>
          <w:tcPr>
            <w:tcW w:w="435" w:type="pct"/>
            <w:gridSpan w:val="2"/>
            <w:tcBorders>
              <w:top w:val="nil"/>
              <w:left w:val="nil"/>
              <w:bottom w:val="nil"/>
              <w:right w:val="nil"/>
            </w:tcBorders>
            <w:shd w:val="clear" w:color="auto" w:fill="auto"/>
            <w:noWrap/>
            <w:vAlign w:val="bottom"/>
            <w:hideMark/>
          </w:tcPr>
          <w:p w14:paraId="558522D5"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2 762</w:t>
            </w:r>
          </w:p>
        </w:tc>
        <w:tc>
          <w:tcPr>
            <w:tcW w:w="454" w:type="pct"/>
            <w:gridSpan w:val="2"/>
            <w:tcBorders>
              <w:top w:val="nil"/>
              <w:left w:val="nil"/>
              <w:bottom w:val="nil"/>
              <w:right w:val="nil"/>
            </w:tcBorders>
            <w:shd w:val="clear" w:color="auto" w:fill="auto"/>
            <w:noWrap/>
            <w:vAlign w:val="bottom"/>
            <w:hideMark/>
          </w:tcPr>
          <w:p w14:paraId="6F9619B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2 772</w:t>
            </w:r>
          </w:p>
        </w:tc>
        <w:tc>
          <w:tcPr>
            <w:tcW w:w="315" w:type="pct"/>
            <w:tcBorders>
              <w:top w:val="nil"/>
              <w:left w:val="single" w:sz="4" w:space="0" w:color="auto"/>
              <w:bottom w:val="nil"/>
              <w:right w:val="nil"/>
            </w:tcBorders>
            <w:shd w:val="clear" w:color="auto" w:fill="auto"/>
            <w:noWrap/>
            <w:vAlign w:val="bottom"/>
            <w:hideMark/>
          </w:tcPr>
          <w:p w14:paraId="6C66A274"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0,8</w:t>
            </w:r>
          </w:p>
        </w:tc>
        <w:tc>
          <w:tcPr>
            <w:tcW w:w="349" w:type="pct"/>
            <w:gridSpan w:val="2"/>
            <w:tcBorders>
              <w:top w:val="nil"/>
              <w:left w:val="nil"/>
              <w:bottom w:val="nil"/>
              <w:right w:val="nil"/>
            </w:tcBorders>
            <w:shd w:val="clear" w:color="auto" w:fill="auto"/>
            <w:noWrap/>
            <w:vAlign w:val="bottom"/>
            <w:hideMark/>
          </w:tcPr>
          <w:p w14:paraId="387335E6"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0,7</w:t>
            </w:r>
          </w:p>
        </w:tc>
        <w:tc>
          <w:tcPr>
            <w:tcW w:w="418" w:type="pct"/>
            <w:tcBorders>
              <w:top w:val="nil"/>
              <w:left w:val="nil"/>
              <w:bottom w:val="nil"/>
              <w:right w:val="nil"/>
            </w:tcBorders>
            <w:shd w:val="clear" w:color="auto" w:fill="auto"/>
            <w:noWrap/>
            <w:vAlign w:val="bottom"/>
            <w:hideMark/>
          </w:tcPr>
          <w:p w14:paraId="36E798D7"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0,8</w:t>
            </w:r>
          </w:p>
        </w:tc>
        <w:tc>
          <w:tcPr>
            <w:tcW w:w="299" w:type="pct"/>
            <w:tcBorders>
              <w:top w:val="nil"/>
              <w:left w:val="nil"/>
              <w:bottom w:val="nil"/>
              <w:right w:val="nil"/>
            </w:tcBorders>
            <w:shd w:val="clear" w:color="auto" w:fill="auto"/>
            <w:noWrap/>
            <w:vAlign w:val="bottom"/>
            <w:hideMark/>
          </w:tcPr>
          <w:p w14:paraId="6DDF333D"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0,7</w:t>
            </w:r>
          </w:p>
        </w:tc>
      </w:tr>
      <w:tr w:rsidR="00A315DE" w:rsidRPr="003278ED" w14:paraId="035E30F8" w14:textId="77777777" w:rsidTr="009F3E6D">
        <w:trPr>
          <w:trHeight w:val="300"/>
        </w:trPr>
        <w:tc>
          <w:tcPr>
            <w:tcW w:w="1766" w:type="pct"/>
            <w:tcBorders>
              <w:top w:val="nil"/>
              <w:left w:val="nil"/>
              <w:bottom w:val="nil"/>
              <w:right w:val="nil"/>
            </w:tcBorders>
            <w:shd w:val="clear" w:color="auto" w:fill="auto"/>
            <w:vAlign w:val="bottom"/>
            <w:hideMark/>
          </w:tcPr>
          <w:p w14:paraId="53F3F116"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Învățământ</w:t>
            </w:r>
          </w:p>
        </w:tc>
        <w:tc>
          <w:tcPr>
            <w:tcW w:w="520" w:type="pct"/>
            <w:tcBorders>
              <w:top w:val="nil"/>
              <w:left w:val="nil"/>
              <w:bottom w:val="nil"/>
              <w:right w:val="nil"/>
            </w:tcBorders>
            <w:shd w:val="clear" w:color="auto" w:fill="auto"/>
            <w:noWrap/>
            <w:vAlign w:val="bottom"/>
            <w:hideMark/>
          </w:tcPr>
          <w:p w14:paraId="5074AFC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17 751</w:t>
            </w:r>
          </w:p>
        </w:tc>
        <w:tc>
          <w:tcPr>
            <w:tcW w:w="444" w:type="pct"/>
            <w:gridSpan w:val="2"/>
            <w:tcBorders>
              <w:top w:val="nil"/>
              <w:left w:val="nil"/>
              <w:bottom w:val="nil"/>
              <w:right w:val="nil"/>
            </w:tcBorders>
            <w:shd w:val="clear" w:color="auto" w:fill="auto"/>
            <w:noWrap/>
            <w:vAlign w:val="bottom"/>
            <w:hideMark/>
          </w:tcPr>
          <w:p w14:paraId="27878C5B"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17 642</w:t>
            </w:r>
          </w:p>
        </w:tc>
        <w:tc>
          <w:tcPr>
            <w:tcW w:w="435" w:type="pct"/>
            <w:gridSpan w:val="2"/>
            <w:tcBorders>
              <w:top w:val="nil"/>
              <w:left w:val="nil"/>
              <w:bottom w:val="nil"/>
              <w:right w:val="nil"/>
            </w:tcBorders>
            <w:shd w:val="clear" w:color="auto" w:fill="auto"/>
            <w:noWrap/>
            <w:vAlign w:val="bottom"/>
            <w:hideMark/>
          </w:tcPr>
          <w:p w14:paraId="16204199"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19 679</w:t>
            </w:r>
          </w:p>
        </w:tc>
        <w:tc>
          <w:tcPr>
            <w:tcW w:w="454" w:type="pct"/>
            <w:gridSpan w:val="2"/>
            <w:tcBorders>
              <w:top w:val="nil"/>
              <w:left w:val="nil"/>
              <w:bottom w:val="nil"/>
              <w:right w:val="nil"/>
            </w:tcBorders>
            <w:shd w:val="clear" w:color="auto" w:fill="auto"/>
            <w:noWrap/>
            <w:vAlign w:val="bottom"/>
            <w:hideMark/>
          </w:tcPr>
          <w:p w14:paraId="6E814972"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19 644</w:t>
            </w:r>
          </w:p>
        </w:tc>
        <w:tc>
          <w:tcPr>
            <w:tcW w:w="315" w:type="pct"/>
            <w:tcBorders>
              <w:top w:val="nil"/>
              <w:left w:val="single" w:sz="4" w:space="0" w:color="auto"/>
              <w:bottom w:val="nil"/>
              <w:right w:val="nil"/>
            </w:tcBorders>
            <w:shd w:val="clear" w:color="auto" w:fill="auto"/>
            <w:noWrap/>
            <w:vAlign w:val="bottom"/>
            <w:hideMark/>
          </w:tcPr>
          <w:p w14:paraId="70EB8376"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4,7</w:t>
            </w:r>
          </w:p>
        </w:tc>
        <w:tc>
          <w:tcPr>
            <w:tcW w:w="349" w:type="pct"/>
            <w:gridSpan w:val="2"/>
            <w:tcBorders>
              <w:top w:val="nil"/>
              <w:left w:val="nil"/>
              <w:bottom w:val="nil"/>
              <w:right w:val="nil"/>
            </w:tcBorders>
            <w:shd w:val="clear" w:color="auto" w:fill="auto"/>
            <w:noWrap/>
            <w:vAlign w:val="bottom"/>
            <w:hideMark/>
          </w:tcPr>
          <w:p w14:paraId="161F392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4,2</w:t>
            </w:r>
          </w:p>
        </w:tc>
        <w:tc>
          <w:tcPr>
            <w:tcW w:w="418" w:type="pct"/>
            <w:tcBorders>
              <w:top w:val="nil"/>
              <w:left w:val="nil"/>
              <w:bottom w:val="nil"/>
              <w:right w:val="nil"/>
            </w:tcBorders>
            <w:shd w:val="clear" w:color="auto" w:fill="auto"/>
            <w:noWrap/>
            <w:vAlign w:val="bottom"/>
            <w:hideMark/>
          </w:tcPr>
          <w:p w14:paraId="46E18888"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5,5</w:t>
            </w:r>
          </w:p>
        </w:tc>
        <w:tc>
          <w:tcPr>
            <w:tcW w:w="299" w:type="pct"/>
            <w:tcBorders>
              <w:top w:val="nil"/>
              <w:left w:val="nil"/>
              <w:bottom w:val="nil"/>
              <w:right w:val="nil"/>
            </w:tcBorders>
            <w:shd w:val="clear" w:color="auto" w:fill="auto"/>
            <w:noWrap/>
            <w:vAlign w:val="bottom"/>
            <w:hideMark/>
          </w:tcPr>
          <w:p w14:paraId="553F95A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w:t>
            </w:r>
          </w:p>
        </w:tc>
      </w:tr>
      <w:tr w:rsidR="00A315DE" w:rsidRPr="003278ED" w14:paraId="03BD6A09" w14:textId="77777777" w:rsidTr="009F3E6D">
        <w:trPr>
          <w:trHeight w:val="300"/>
        </w:trPr>
        <w:tc>
          <w:tcPr>
            <w:tcW w:w="1766" w:type="pct"/>
            <w:tcBorders>
              <w:top w:val="nil"/>
              <w:left w:val="nil"/>
              <w:bottom w:val="single" w:sz="4" w:space="0" w:color="auto"/>
              <w:right w:val="nil"/>
            </w:tcBorders>
            <w:shd w:val="clear" w:color="auto" w:fill="auto"/>
            <w:vAlign w:val="bottom"/>
            <w:hideMark/>
          </w:tcPr>
          <w:p w14:paraId="4F895E21" w14:textId="77777777" w:rsidR="00A315DE" w:rsidRPr="003278ED" w:rsidRDefault="00A315D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Protecție socială</w:t>
            </w:r>
          </w:p>
        </w:tc>
        <w:tc>
          <w:tcPr>
            <w:tcW w:w="520" w:type="pct"/>
            <w:tcBorders>
              <w:top w:val="nil"/>
              <w:left w:val="nil"/>
              <w:bottom w:val="single" w:sz="4" w:space="0" w:color="auto"/>
              <w:right w:val="nil"/>
            </w:tcBorders>
            <w:shd w:val="clear" w:color="auto" w:fill="auto"/>
            <w:noWrap/>
            <w:vAlign w:val="bottom"/>
            <w:hideMark/>
          </w:tcPr>
          <w:p w14:paraId="63ECEF2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49 286</w:t>
            </w:r>
          </w:p>
        </w:tc>
        <w:tc>
          <w:tcPr>
            <w:tcW w:w="444" w:type="pct"/>
            <w:gridSpan w:val="2"/>
            <w:tcBorders>
              <w:top w:val="nil"/>
              <w:left w:val="nil"/>
              <w:bottom w:val="single" w:sz="4" w:space="0" w:color="auto"/>
              <w:right w:val="nil"/>
            </w:tcBorders>
            <w:shd w:val="clear" w:color="auto" w:fill="auto"/>
            <w:noWrap/>
            <w:vAlign w:val="bottom"/>
            <w:hideMark/>
          </w:tcPr>
          <w:p w14:paraId="139EA859"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52 405</w:t>
            </w:r>
          </w:p>
        </w:tc>
        <w:tc>
          <w:tcPr>
            <w:tcW w:w="435" w:type="pct"/>
            <w:gridSpan w:val="2"/>
            <w:tcBorders>
              <w:top w:val="nil"/>
              <w:left w:val="nil"/>
              <w:bottom w:val="single" w:sz="4" w:space="0" w:color="auto"/>
              <w:right w:val="nil"/>
            </w:tcBorders>
            <w:shd w:val="clear" w:color="auto" w:fill="auto"/>
            <w:noWrap/>
            <w:vAlign w:val="bottom"/>
            <w:hideMark/>
          </w:tcPr>
          <w:p w14:paraId="48AD0C4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50 110</w:t>
            </w:r>
          </w:p>
        </w:tc>
        <w:tc>
          <w:tcPr>
            <w:tcW w:w="454" w:type="pct"/>
            <w:gridSpan w:val="2"/>
            <w:tcBorders>
              <w:top w:val="nil"/>
              <w:left w:val="nil"/>
              <w:bottom w:val="single" w:sz="4" w:space="0" w:color="auto"/>
              <w:right w:val="nil"/>
            </w:tcBorders>
            <w:shd w:val="clear" w:color="auto" w:fill="auto"/>
            <w:noWrap/>
            <w:vAlign w:val="bottom"/>
            <w:hideMark/>
          </w:tcPr>
          <w:p w14:paraId="31BC4D71"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52 961</w:t>
            </w:r>
          </w:p>
        </w:tc>
        <w:tc>
          <w:tcPr>
            <w:tcW w:w="315" w:type="pct"/>
            <w:tcBorders>
              <w:top w:val="nil"/>
              <w:left w:val="single" w:sz="4" w:space="0" w:color="auto"/>
              <w:bottom w:val="single" w:sz="4" w:space="0" w:color="auto"/>
              <w:right w:val="nil"/>
            </w:tcBorders>
            <w:shd w:val="clear" w:color="auto" w:fill="auto"/>
            <w:noWrap/>
            <w:vAlign w:val="bottom"/>
            <w:hideMark/>
          </w:tcPr>
          <w:p w14:paraId="1FF3BF7F"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13,1</w:t>
            </w:r>
          </w:p>
        </w:tc>
        <w:tc>
          <w:tcPr>
            <w:tcW w:w="349" w:type="pct"/>
            <w:gridSpan w:val="2"/>
            <w:tcBorders>
              <w:top w:val="nil"/>
              <w:left w:val="nil"/>
              <w:bottom w:val="single" w:sz="4" w:space="0" w:color="auto"/>
              <w:right w:val="nil"/>
            </w:tcBorders>
            <w:shd w:val="clear" w:color="auto" w:fill="auto"/>
            <w:noWrap/>
            <w:vAlign w:val="bottom"/>
            <w:hideMark/>
          </w:tcPr>
          <w:p w14:paraId="65061DA3"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12,6</w:t>
            </w:r>
          </w:p>
        </w:tc>
        <w:tc>
          <w:tcPr>
            <w:tcW w:w="418" w:type="pct"/>
            <w:tcBorders>
              <w:top w:val="nil"/>
              <w:left w:val="nil"/>
              <w:bottom w:val="single" w:sz="4" w:space="0" w:color="auto"/>
              <w:right w:val="nil"/>
            </w:tcBorders>
            <w:shd w:val="clear" w:color="auto" w:fill="auto"/>
            <w:noWrap/>
            <w:vAlign w:val="bottom"/>
            <w:hideMark/>
          </w:tcPr>
          <w:p w14:paraId="36ABE064"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14,0</w:t>
            </w:r>
          </w:p>
        </w:tc>
        <w:tc>
          <w:tcPr>
            <w:tcW w:w="299" w:type="pct"/>
            <w:tcBorders>
              <w:top w:val="nil"/>
              <w:left w:val="nil"/>
              <w:bottom w:val="single" w:sz="4" w:space="0" w:color="auto"/>
              <w:right w:val="nil"/>
            </w:tcBorders>
            <w:shd w:val="clear" w:color="auto" w:fill="auto"/>
            <w:noWrap/>
            <w:vAlign w:val="bottom"/>
            <w:hideMark/>
          </w:tcPr>
          <w:p w14:paraId="7ACC1E90" w14:textId="77777777" w:rsidR="00A315DE" w:rsidRPr="003278ED" w:rsidRDefault="00A315DE" w:rsidP="009F3E6D">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13,5</w:t>
            </w:r>
          </w:p>
        </w:tc>
      </w:tr>
    </w:tbl>
    <w:p w14:paraId="10A90F93" w14:textId="77777777" w:rsidR="00072588" w:rsidRDefault="00072588" w:rsidP="007D3A2B">
      <w:pPr>
        <w:keepNext/>
        <w:tabs>
          <w:tab w:val="left" w:pos="397"/>
        </w:tabs>
        <w:spacing w:after="0" w:line="240" w:lineRule="auto"/>
        <w:jc w:val="center"/>
        <w:outlineLvl w:val="1"/>
        <w:rPr>
          <w:rFonts w:ascii="Times New Roman" w:hAnsi="Times New Roman" w:cs="Times New Roman"/>
          <w:b/>
          <w:i/>
          <w:color w:val="000000"/>
          <w:sz w:val="16"/>
          <w:szCs w:val="16"/>
          <w:lang w:eastAsia="ro-RO"/>
        </w:rPr>
      </w:pPr>
    </w:p>
    <w:p w14:paraId="678D5A45" w14:textId="78633304" w:rsidR="00AB0A71" w:rsidRPr="00072588" w:rsidRDefault="00C155F8" w:rsidP="007D3A2B">
      <w:pPr>
        <w:keepNext/>
        <w:tabs>
          <w:tab w:val="left" w:pos="397"/>
        </w:tabs>
        <w:spacing w:after="0" w:line="240" w:lineRule="auto"/>
        <w:jc w:val="center"/>
        <w:outlineLvl w:val="1"/>
        <w:rPr>
          <w:rFonts w:ascii="Times New Roman" w:eastAsia="Calibri" w:hAnsi="Times New Roman" w:cs="Times New Roman"/>
          <w:b/>
          <w:sz w:val="20"/>
          <w:szCs w:val="20"/>
        </w:rPr>
      </w:pPr>
      <w:bookmarkStart w:id="39" w:name="_Toc175822065"/>
      <w:bookmarkStart w:id="40" w:name="_Toc175824586"/>
      <w:bookmarkStart w:id="41" w:name="_Toc175825269"/>
      <w:bookmarkStart w:id="42" w:name="_Toc175825357"/>
      <w:r w:rsidRPr="00072588">
        <w:rPr>
          <w:rFonts w:ascii="Times New Roman" w:hAnsi="Times New Roman" w:cs="Times New Roman"/>
          <w:b/>
          <w:i/>
          <w:color w:val="000000"/>
          <w:sz w:val="20"/>
          <w:szCs w:val="20"/>
          <w:lang w:eastAsia="ro-RO"/>
        </w:rPr>
        <w:t>Sursa:</w:t>
      </w:r>
      <w:r w:rsidRPr="00072588">
        <w:rPr>
          <w:rFonts w:ascii="Times New Roman" w:hAnsi="Times New Roman" w:cs="Times New Roman"/>
          <w:i/>
          <w:color w:val="000000"/>
          <w:sz w:val="20"/>
          <w:szCs w:val="20"/>
          <w:lang w:eastAsia="ro-RO"/>
        </w:rPr>
        <w:t xml:space="preserve">  Ministerul Finanțelor</w:t>
      </w:r>
      <w:bookmarkEnd w:id="39"/>
      <w:bookmarkEnd w:id="40"/>
      <w:bookmarkEnd w:id="41"/>
      <w:bookmarkEnd w:id="42"/>
    </w:p>
    <w:p w14:paraId="3CDFD211" w14:textId="77777777" w:rsidR="0050175F" w:rsidRPr="003278ED" w:rsidRDefault="00AB0A71" w:rsidP="007D3A2B">
      <w:pPr>
        <w:spacing w:after="0" w:line="240" w:lineRule="auto"/>
        <w:ind w:firstLine="567"/>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ab/>
      </w:r>
    </w:p>
    <w:p w14:paraId="03BEA400" w14:textId="5622E078" w:rsidR="00F75F09" w:rsidRPr="003278ED" w:rsidRDefault="00F75F09" w:rsidP="007D3A2B">
      <w:pPr>
        <w:spacing w:after="0" w:line="240" w:lineRule="auto"/>
        <w:ind w:firstLine="709"/>
        <w:jc w:val="both"/>
        <w:rPr>
          <w:rFonts w:ascii="Times New Roman" w:hAnsi="Times New Roman" w:cs="Times New Roman"/>
          <w:sz w:val="24"/>
          <w:szCs w:val="24"/>
        </w:rPr>
      </w:pPr>
      <w:r w:rsidRPr="003278ED">
        <w:rPr>
          <w:rFonts w:ascii="Times New Roman" w:hAnsi="Times New Roman" w:cs="Times New Roman"/>
          <w:sz w:val="24"/>
          <w:szCs w:val="24"/>
        </w:rPr>
        <w:t xml:space="preserve">Estimările actualizate pentru perioada 2025-2026 indică o creștere a cheltuielilor bugetare raportate la PIB cu 1,9 </w:t>
      </w:r>
      <w:proofErr w:type="spellStart"/>
      <w:r w:rsidR="009F3E6D" w:rsidRPr="003278ED">
        <w:rPr>
          <w:rFonts w:ascii="Times New Roman" w:hAnsi="Times New Roman" w:cs="Times New Roman"/>
          <w:sz w:val="24"/>
          <w:szCs w:val="24"/>
        </w:rPr>
        <w:t>p.p.</w:t>
      </w:r>
      <w:proofErr w:type="spellEnd"/>
      <w:r w:rsidRPr="003278ED">
        <w:rPr>
          <w:rFonts w:ascii="Times New Roman" w:hAnsi="Times New Roman" w:cs="Times New Roman"/>
          <w:sz w:val="24"/>
          <w:szCs w:val="24"/>
        </w:rPr>
        <w:t xml:space="preserve"> în anul 2025 și cu 1,4 </w:t>
      </w:r>
      <w:proofErr w:type="spellStart"/>
      <w:r w:rsidR="009F3E6D" w:rsidRPr="003278ED">
        <w:rPr>
          <w:rFonts w:ascii="Times New Roman" w:hAnsi="Times New Roman" w:cs="Times New Roman"/>
          <w:sz w:val="24"/>
          <w:szCs w:val="24"/>
        </w:rPr>
        <w:t>p.p.</w:t>
      </w:r>
      <w:proofErr w:type="spellEnd"/>
      <w:r w:rsidRPr="003278ED">
        <w:rPr>
          <w:rFonts w:ascii="Times New Roman" w:hAnsi="Times New Roman" w:cs="Times New Roman"/>
          <w:sz w:val="24"/>
          <w:szCs w:val="24"/>
        </w:rPr>
        <w:t xml:space="preserve"> în anul 2026</w:t>
      </w:r>
      <w:r w:rsidR="00072588">
        <w:rPr>
          <w:rFonts w:ascii="Times New Roman" w:hAnsi="Times New Roman" w:cs="Times New Roman"/>
          <w:sz w:val="24"/>
          <w:szCs w:val="24"/>
        </w:rPr>
        <w:t>.</w:t>
      </w:r>
      <w:r w:rsidRPr="003278ED">
        <w:rPr>
          <w:rFonts w:ascii="Times New Roman" w:hAnsi="Times New Roman" w:cs="Times New Roman"/>
          <w:sz w:val="24"/>
          <w:szCs w:val="24"/>
        </w:rPr>
        <w:t xml:space="preserve"> </w:t>
      </w:r>
    </w:p>
    <w:p w14:paraId="43A65291" w14:textId="63605AAF" w:rsidR="00F75F09" w:rsidRPr="003278ED" w:rsidRDefault="00F75F09" w:rsidP="007D3A2B">
      <w:pPr>
        <w:spacing w:after="0" w:line="240" w:lineRule="auto"/>
        <w:ind w:firstLine="709"/>
        <w:jc w:val="both"/>
        <w:rPr>
          <w:rFonts w:ascii="Times New Roman" w:hAnsi="Times New Roman" w:cs="Times New Roman"/>
          <w:sz w:val="24"/>
          <w:szCs w:val="24"/>
        </w:rPr>
      </w:pPr>
      <w:r w:rsidRPr="003278ED">
        <w:rPr>
          <w:rFonts w:ascii="Times New Roman" w:hAnsi="Times New Roman" w:cs="Times New Roman"/>
          <w:sz w:val="24"/>
          <w:szCs w:val="24"/>
        </w:rPr>
        <w:t xml:space="preserve">Creșterea respectivă se estimează în concordanță cu cadrul de resurse revizuit și </w:t>
      </w:r>
      <w:r w:rsidR="009F3E6D" w:rsidRPr="003278ED">
        <w:rPr>
          <w:rFonts w:ascii="Times New Roman" w:hAnsi="Times New Roman" w:cs="Times New Roman"/>
          <w:sz w:val="24"/>
          <w:szCs w:val="24"/>
        </w:rPr>
        <w:t xml:space="preserve">cu </w:t>
      </w:r>
      <w:r w:rsidRPr="003278ED">
        <w:rPr>
          <w:rFonts w:ascii="Times New Roman" w:hAnsi="Times New Roman" w:cs="Times New Roman"/>
          <w:sz w:val="24"/>
          <w:szCs w:val="24"/>
        </w:rPr>
        <w:t>prioritățile de politici actualizate.</w:t>
      </w:r>
    </w:p>
    <w:p w14:paraId="36B19BC7" w14:textId="19524A78" w:rsidR="004D5CB6" w:rsidRPr="003278ED" w:rsidRDefault="00F75F09" w:rsidP="007D3A2B">
      <w:pPr>
        <w:spacing w:after="0" w:line="240" w:lineRule="auto"/>
        <w:ind w:firstLine="709"/>
        <w:jc w:val="both"/>
        <w:rPr>
          <w:rFonts w:ascii="Times New Roman" w:hAnsi="Times New Roman" w:cs="Times New Roman"/>
          <w:sz w:val="24"/>
          <w:szCs w:val="24"/>
        </w:rPr>
      </w:pPr>
      <w:r w:rsidRPr="003278ED">
        <w:rPr>
          <w:rFonts w:ascii="Times New Roman" w:hAnsi="Times New Roman" w:cs="Times New Roman"/>
          <w:sz w:val="24"/>
          <w:szCs w:val="24"/>
        </w:rPr>
        <w:tab/>
        <w:t xml:space="preserve">Astfel, atât în valori nominale, cât și ca pondere în PIB au fost estimate majorări la domeniile protecție socială, învățământ, ordine publică și securitate națională, cheltuielile fiind revizuite </w:t>
      </w:r>
      <w:r w:rsidR="009F3E6D" w:rsidRPr="003278ED">
        <w:rPr>
          <w:rFonts w:ascii="Times New Roman" w:hAnsi="Times New Roman" w:cs="Times New Roman"/>
          <w:sz w:val="24"/>
          <w:szCs w:val="24"/>
        </w:rPr>
        <w:t xml:space="preserve">ca </w:t>
      </w:r>
      <w:r w:rsidRPr="003278ED">
        <w:rPr>
          <w:rFonts w:ascii="Times New Roman" w:hAnsi="Times New Roman" w:cs="Times New Roman"/>
          <w:sz w:val="24"/>
          <w:szCs w:val="24"/>
        </w:rPr>
        <w:t xml:space="preserve">urmare a implementării măsurilor de politică salarială. Totodată, în domeniile  învățământ, ordine publică și securitate națională au fost revizuite și majorate cheltuielile în cadrul proiectelor finanțate din surse externe </w:t>
      </w:r>
      <w:r w:rsidR="009F3E6D" w:rsidRPr="003278ED">
        <w:rPr>
          <w:rFonts w:ascii="Times New Roman" w:hAnsi="Times New Roman" w:cs="Times New Roman"/>
          <w:sz w:val="24"/>
          <w:szCs w:val="24"/>
        </w:rPr>
        <w:t xml:space="preserve">ca </w:t>
      </w:r>
      <w:r w:rsidRPr="003278ED">
        <w:rPr>
          <w:rFonts w:ascii="Times New Roman" w:hAnsi="Times New Roman" w:cs="Times New Roman"/>
          <w:sz w:val="24"/>
          <w:szCs w:val="24"/>
        </w:rPr>
        <w:t>urmare a atragerii resurselor suplimentare pentru implementarea acestora.</w:t>
      </w:r>
    </w:p>
    <w:p w14:paraId="7CF5BEA2" w14:textId="77777777" w:rsidR="00F75F09" w:rsidRPr="003278ED" w:rsidRDefault="00F75F09" w:rsidP="007D3A2B">
      <w:pPr>
        <w:keepNext/>
        <w:tabs>
          <w:tab w:val="left" w:pos="397"/>
          <w:tab w:val="left" w:pos="567"/>
        </w:tabs>
        <w:spacing w:after="0" w:line="240" w:lineRule="auto"/>
        <w:ind w:firstLine="709"/>
        <w:jc w:val="both"/>
        <w:outlineLvl w:val="1"/>
        <w:rPr>
          <w:rFonts w:ascii="Times New Roman" w:hAnsi="Times New Roman" w:cs="Times New Roman"/>
          <w:color w:val="FF0000"/>
        </w:rPr>
      </w:pPr>
    </w:p>
    <w:p w14:paraId="4EFE7AF1" w14:textId="77777777" w:rsidR="00AB0A71" w:rsidRPr="003278ED" w:rsidRDefault="00AB0A71" w:rsidP="00914ECD">
      <w:pPr>
        <w:pStyle w:val="Titlu2"/>
        <w:rPr>
          <w:rFonts w:ascii="Times New Roman" w:hAnsi="Times New Roman"/>
          <w:sz w:val="24"/>
          <w:szCs w:val="24"/>
          <w:lang w:val="ro-RO"/>
        </w:rPr>
      </w:pPr>
      <w:bookmarkStart w:id="43" w:name="_Toc175822066"/>
      <w:bookmarkStart w:id="44" w:name="_Toc175824587"/>
      <w:bookmarkStart w:id="45" w:name="_Toc175825358"/>
      <w:r w:rsidRPr="003278ED">
        <w:rPr>
          <w:rFonts w:ascii="Times New Roman" w:hAnsi="Times New Roman"/>
          <w:sz w:val="24"/>
          <w:szCs w:val="24"/>
          <w:lang w:val="ro-RO"/>
        </w:rPr>
        <w:t>C. Implicații și priorități ale cadrului de cheltuieli sectoriale</w:t>
      </w:r>
      <w:bookmarkEnd w:id="43"/>
      <w:bookmarkEnd w:id="44"/>
      <w:bookmarkEnd w:id="45"/>
    </w:p>
    <w:p w14:paraId="7B8FF48E" w14:textId="77777777" w:rsidR="00FF2A90" w:rsidRPr="003278ED" w:rsidRDefault="00FF2A90" w:rsidP="007D3A2B">
      <w:pPr>
        <w:spacing w:after="0" w:line="240" w:lineRule="auto"/>
      </w:pPr>
    </w:p>
    <w:p w14:paraId="4DA9CADC" w14:textId="6DE8A85C" w:rsidR="00AB0A71" w:rsidRPr="003278ED" w:rsidRDefault="00AB0A71" w:rsidP="007D3A2B">
      <w:pPr>
        <w:spacing w:after="0" w:line="240" w:lineRule="auto"/>
        <w:ind w:firstLine="709"/>
        <w:rPr>
          <w:rFonts w:ascii="Times New Roman" w:eastAsia="Calibri" w:hAnsi="Times New Roman" w:cs="Times New Roman"/>
          <w:b/>
          <w:i/>
          <w:sz w:val="24"/>
          <w:szCs w:val="24"/>
        </w:rPr>
      </w:pPr>
      <w:r w:rsidRPr="003278ED">
        <w:rPr>
          <w:rFonts w:ascii="Times New Roman" w:eastAsia="Calibri" w:hAnsi="Times New Roman" w:cs="Times New Roman"/>
          <w:b/>
          <w:i/>
          <w:sz w:val="24"/>
          <w:szCs w:val="24"/>
        </w:rPr>
        <w:t>Evoluția și prognoza cheltuielilor pe grupuri sectoriale pentru anii 2022-2027</w:t>
      </w:r>
    </w:p>
    <w:p w14:paraId="05D82D65" w14:textId="04FF9978" w:rsidR="00AB0A71" w:rsidRPr="003278ED" w:rsidRDefault="00CE11D1" w:rsidP="007D3A2B">
      <w:pPr>
        <w:tabs>
          <w:tab w:val="left" w:pos="403"/>
        </w:tabs>
        <w:spacing w:after="0" w:line="240" w:lineRule="auto"/>
        <w:ind w:firstLine="709"/>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Tabelul 4.3</w:t>
      </w:r>
      <w:r w:rsidR="00AB0A71" w:rsidRPr="003278ED">
        <w:rPr>
          <w:rFonts w:ascii="Times New Roman" w:eastAsia="Calibri" w:hAnsi="Times New Roman" w:cs="Times New Roman"/>
          <w:sz w:val="24"/>
          <w:szCs w:val="24"/>
        </w:rPr>
        <w:t xml:space="preserve"> rezumă evoluția cheltuielilor în anii 2022-2027 și alocările prognozate pentru CBTM (2025-2027) pe categoriile principale conform clasificării internaționale a funcțiilor guvernamentale (</w:t>
      </w:r>
      <w:proofErr w:type="spellStart"/>
      <w:r w:rsidR="00AB0A71" w:rsidRPr="003278ED">
        <w:rPr>
          <w:rFonts w:ascii="Times New Roman" w:eastAsia="Calibri" w:hAnsi="Times New Roman" w:cs="Times New Roman"/>
          <w:sz w:val="24"/>
          <w:szCs w:val="24"/>
        </w:rPr>
        <w:t>CoFoG</w:t>
      </w:r>
      <w:proofErr w:type="spellEnd"/>
      <w:r w:rsidR="00AB0A71" w:rsidRPr="003278ED">
        <w:rPr>
          <w:rFonts w:ascii="Times New Roman" w:eastAsia="Calibri" w:hAnsi="Times New Roman" w:cs="Times New Roman"/>
          <w:sz w:val="24"/>
          <w:szCs w:val="24"/>
        </w:rPr>
        <w:t>).</w:t>
      </w:r>
    </w:p>
    <w:p w14:paraId="118FB9F3" w14:textId="77777777" w:rsidR="0050175F" w:rsidRPr="003278ED" w:rsidRDefault="0050175F" w:rsidP="007D3A2B">
      <w:pPr>
        <w:spacing w:after="0" w:line="240" w:lineRule="auto"/>
        <w:ind w:firstLine="720"/>
        <w:jc w:val="right"/>
        <w:rPr>
          <w:rFonts w:ascii="Times New Roman" w:eastAsia="Calibri" w:hAnsi="Times New Roman" w:cs="Times New Roman"/>
          <w:b/>
          <w:bCs/>
          <w:sz w:val="24"/>
          <w:szCs w:val="24"/>
        </w:rPr>
      </w:pPr>
    </w:p>
    <w:p w14:paraId="51523C81" w14:textId="2D757908" w:rsidR="00AB0A71" w:rsidRPr="003278ED" w:rsidRDefault="00CE11D1" w:rsidP="007D3A2B">
      <w:pPr>
        <w:spacing w:after="0" w:line="240" w:lineRule="auto"/>
        <w:ind w:firstLine="720"/>
        <w:jc w:val="right"/>
        <w:rPr>
          <w:rFonts w:ascii="Times New Roman" w:eastAsia="Calibri" w:hAnsi="Times New Roman" w:cs="Times New Roman"/>
          <w:bCs/>
          <w:sz w:val="24"/>
          <w:szCs w:val="24"/>
        </w:rPr>
      </w:pPr>
      <w:r w:rsidRPr="003278ED">
        <w:rPr>
          <w:rFonts w:ascii="Times New Roman" w:eastAsia="Calibri" w:hAnsi="Times New Roman" w:cs="Times New Roman"/>
          <w:bCs/>
          <w:sz w:val="24"/>
          <w:szCs w:val="24"/>
        </w:rPr>
        <w:t>Tabelul 4.3</w:t>
      </w:r>
    </w:p>
    <w:p w14:paraId="5AE7FF46" w14:textId="2420FCA8" w:rsidR="00AB0A71" w:rsidRPr="003278ED" w:rsidRDefault="00AB0A71" w:rsidP="007D3A2B">
      <w:pPr>
        <w:spacing w:after="0" w:line="240" w:lineRule="auto"/>
        <w:jc w:val="center"/>
        <w:rPr>
          <w:rFonts w:ascii="Times New Roman" w:eastAsia="Calibri" w:hAnsi="Times New Roman" w:cs="Times New Roman"/>
          <w:b/>
          <w:sz w:val="24"/>
          <w:szCs w:val="24"/>
        </w:rPr>
      </w:pPr>
      <w:r w:rsidRPr="003278ED">
        <w:rPr>
          <w:rFonts w:ascii="Times New Roman" w:eastAsia="Calibri" w:hAnsi="Times New Roman" w:cs="Times New Roman"/>
          <w:b/>
          <w:sz w:val="24"/>
          <w:szCs w:val="24"/>
        </w:rPr>
        <w:t>Cheltuieli pe funcții pe anii 2022-2027</w:t>
      </w:r>
    </w:p>
    <w:p w14:paraId="51DD61BD" w14:textId="77777777" w:rsidR="0050175F" w:rsidRPr="003278ED" w:rsidRDefault="0050175F" w:rsidP="007D3A2B">
      <w:pPr>
        <w:spacing w:after="0" w:line="240" w:lineRule="auto"/>
        <w:jc w:val="center"/>
        <w:rPr>
          <w:rFonts w:ascii="Times New Roman" w:eastAsia="Calibri" w:hAnsi="Times New Roman" w:cs="Times New Roman"/>
          <w:b/>
          <w:sz w:val="24"/>
          <w:szCs w:val="24"/>
        </w:rPr>
      </w:pPr>
    </w:p>
    <w:tbl>
      <w:tblPr>
        <w:tblW w:w="5000" w:type="pct"/>
        <w:tblLook w:val="04A0" w:firstRow="1" w:lastRow="0" w:firstColumn="1" w:lastColumn="0" w:noHBand="0" w:noVBand="1"/>
      </w:tblPr>
      <w:tblGrid>
        <w:gridCol w:w="3151"/>
        <w:gridCol w:w="768"/>
        <w:gridCol w:w="281"/>
        <w:gridCol w:w="698"/>
        <w:gridCol w:w="318"/>
        <w:gridCol w:w="531"/>
        <w:gridCol w:w="485"/>
        <w:gridCol w:w="471"/>
        <w:gridCol w:w="545"/>
        <w:gridCol w:w="388"/>
        <w:gridCol w:w="628"/>
        <w:gridCol w:w="223"/>
        <w:gridCol w:w="797"/>
        <w:gridCol w:w="49"/>
      </w:tblGrid>
      <w:tr w:rsidR="006977EE" w:rsidRPr="003278ED" w14:paraId="6AEF133D" w14:textId="77777777" w:rsidTr="009562A5">
        <w:trPr>
          <w:trHeight w:val="300"/>
          <w:tblHeader/>
        </w:trPr>
        <w:tc>
          <w:tcPr>
            <w:tcW w:w="2052" w:type="pct"/>
            <w:gridSpan w:val="2"/>
            <w:vMerge w:val="restart"/>
            <w:tcBorders>
              <w:top w:val="single" w:sz="4" w:space="0" w:color="auto"/>
              <w:left w:val="nil"/>
              <w:bottom w:val="nil"/>
              <w:right w:val="nil"/>
            </w:tcBorders>
            <w:shd w:val="clear" w:color="auto" w:fill="auto"/>
            <w:vAlign w:val="center"/>
            <w:hideMark/>
          </w:tcPr>
          <w:p w14:paraId="46E0677B" w14:textId="77777777" w:rsidR="006977EE" w:rsidRPr="003278ED" w:rsidRDefault="006977E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 </w:t>
            </w:r>
          </w:p>
        </w:tc>
        <w:tc>
          <w:tcPr>
            <w:tcW w:w="519" w:type="pct"/>
            <w:gridSpan w:val="2"/>
            <w:tcBorders>
              <w:top w:val="single" w:sz="4" w:space="0" w:color="auto"/>
              <w:left w:val="nil"/>
              <w:bottom w:val="nil"/>
              <w:right w:val="nil"/>
            </w:tcBorders>
            <w:shd w:val="clear" w:color="auto" w:fill="auto"/>
            <w:noWrap/>
            <w:vAlign w:val="center"/>
            <w:hideMark/>
          </w:tcPr>
          <w:p w14:paraId="29EEC475"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2022</w:t>
            </w:r>
          </w:p>
        </w:tc>
        <w:tc>
          <w:tcPr>
            <w:tcW w:w="445" w:type="pct"/>
            <w:gridSpan w:val="2"/>
            <w:tcBorders>
              <w:top w:val="single" w:sz="4" w:space="0" w:color="auto"/>
              <w:left w:val="nil"/>
              <w:bottom w:val="nil"/>
              <w:right w:val="nil"/>
            </w:tcBorders>
            <w:shd w:val="clear" w:color="auto" w:fill="auto"/>
            <w:noWrap/>
            <w:vAlign w:val="center"/>
            <w:hideMark/>
          </w:tcPr>
          <w:p w14:paraId="47F39020"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2023</w:t>
            </w:r>
          </w:p>
        </w:tc>
        <w:tc>
          <w:tcPr>
            <w:tcW w:w="514" w:type="pct"/>
            <w:gridSpan w:val="2"/>
            <w:tcBorders>
              <w:top w:val="single" w:sz="4" w:space="0" w:color="auto"/>
              <w:left w:val="nil"/>
              <w:bottom w:val="nil"/>
              <w:right w:val="nil"/>
            </w:tcBorders>
            <w:shd w:val="clear" w:color="auto" w:fill="auto"/>
            <w:noWrap/>
            <w:vAlign w:val="center"/>
            <w:hideMark/>
          </w:tcPr>
          <w:p w14:paraId="65ECEA5F"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2024</w:t>
            </w:r>
          </w:p>
        </w:tc>
        <w:tc>
          <w:tcPr>
            <w:tcW w:w="520" w:type="pct"/>
            <w:gridSpan w:val="2"/>
            <w:tcBorders>
              <w:top w:val="single" w:sz="4" w:space="0" w:color="auto"/>
              <w:left w:val="nil"/>
              <w:bottom w:val="nil"/>
              <w:right w:val="nil"/>
            </w:tcBorders>
            <w:shd w:val="clear" w:color="auto" w:fill="auto"/>
            <w:noWrap/>
            <w:vAlign w:val="center"/>
            <w:hideMark/>
          </w:tcPr>
          <w:p w14:paraId="4CE83B0B"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2025</w:t>
            </w:r>
          </w:p>
        </w:tc>
        <w:tc>
          <w:tcPr>
            <w:tcW w:w="478" w:type="pct"/>
            <w:gridSpan w:val="2"/>
            <w:tcBorders>
              <w:top w:val="single" w:sz="4" w:space="0" w:color="auto"/>
              <w:left w:val="nil"/>
              <w:bottom w:val="nil"/>
              <w:right w:val="nil"/>
            </w:tcBorders>
            <w:shd w:val="clear" w:color="auto" w:fill="auto"/>
            <w:noWrap/>
            <w:vAlign w:val="center"/>
            <w:hideMark/>
          </w:tcPr>
          <w:p w14:paraId="042DEA7E"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2026</w:t>
            </w:r>
          </w:p>
        </w:tc>
        <w:tc>
          <w:tcPr>
            <w:tcW w:w="472" w:type="pct"/>
            <w:gridSpan w:val="2"/>
            <w:tcBorders>
              <w:top w:val="single" w:sz="4" w:space="0" w:color="auto"/>
              <w:left w:val="nil"/>
              <w:bottom w:val="nil"/>
              <w:right w:val="nil"/>
            </w:tcBorders>
            <w:shd w:val="clear" w:color="auto" w:fill="auto"/>
            <w:noWrap/>
            <w:vAlign w:val="center"/>
            <w:hideMark/>
          </w:tcPr>
          <w:p w14:paraId="7089A0EA"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2027</w:t>
            </w:r>
          </w:p>
        </w:tc>
      </w:tr>
      <w:tr w:rsidR="006977EE" w:rsidRPr="003278ED" w14:paraId="2327E83D" w14:textId="77777777" w:rsidTr="009562A5">
        <w:trPr>
          <w:trHeight w:val="300"/>
          <w:tblHeader/>
        </w:trPr>
        <w:tc>
          <w:tcPr>
            <w:tcW w:w="2052" w:type="pct"/>
            <w:gridSpan w:val="2"/>
            <w:vMerge/>
            <w:tcBorders>
              <w:top w:val="single" w:sz="4" w:space="0" w:color="auto"/>
              <w:left w:val="nil"/>
              <w:bottom w:val="single" w:sz="4" w:space="0" w:color="auto"/>
              <w:right w:val="nil"/>
            </w:tcBorders>
            <w:vAlign w:val="center"/>
            <w:hideMark/>
          </w:tcPr>
          <w:p w14:paraId="70C1EA17" w14:textId="77777777" w:rsidR="006977EE" w:rsidRPr="003278ED" w:rsidRDefault="006977EE" w:rsidP="007D3A2B">
            <w:pPr>
              <w:spacing w:after="0" w:line="240" w:lineRule="auto"/>
              <w:rPr>
                <w:rFonts w:ascii="Times New Roman" w:eastAsia="Times New Roman" w:hAnsi="Times New Roman" w:cs="Times New Roman"/>
                <w:sz w:val="16"/>
                <w:szCs w:val="16"/>
              </w:rPr>
            </w:pPr>
          </w:p>
        </w:tc>
        <w:tc>
          <w:tcPr>
            <w:tcW w:w="519" w:type="pct"/>
            <w:gridSpan w:val="2"/>
            <w:tcBorders>
              <w:top w:val="nil"/>
              <w:left w:val="nil"/>
              <w:bottom w:val="single" w:sz="4" w:space="0" w:color="auto"/>
              <w:right w:val="nil"/>
            </w:tcBorders>
            <w:shd w:val="clear" w:color="auto" w:fill="auto"/>
            <w:noWrap/>
            <w:vAlign w:val="center"/>
            <w:hideMark/>
          </w:tcPr>
          <w:p w14:paraId="5A3E79F4" w14:textId="77777777" w:rsidR="006977EE" w:rsidRPr="003278ED" w:rsidRDefault="006977EE" w:rsidP="007D3A2B">
            <w:pPr>
              <w:spacing w:after="0" w:line="240" w:lineRule="auto"/>
              <w:jc w:val="center"/>
              <w:rPr>
                <w:rFonts w:ascii="Times New Roman" w:eastAsia="Times New Roman" w:hAnsi="Times New Roman" w:cs="Times New Roman"/>
                <w:sz w:val="14"/>
                <w:szCs w:val="14"/>
              </w:rPr>
            </w:pPr>
            <w:r w:rsidRPr="003278ED">
              <w:rPr>
                <w:rFonts w:ascii="Times New Roman" w:eastAsia="Times New Roman" w:hAnsi="Times New Roman" w:cs="Times New Roman"/>
                <w:b/>
                <w:bCs/>
                <w:sz w:val="14"/>
                <w:szCs w:val="14"/>
              </w:rPr>
              <w:t>Efectiv</w:t>
            </w:r>
          </w:p>
        </w:tc>
        <w:tc>
          <w:tcPr>
            <w:tcW w:w="445" w:type="pct"/>
            <w:gridSpan w:val="2"/>
            <w:tcBorders>
              <w:top w:val="nil"/>
              <w:left w:val="nil"/>
              <w:bottom w:val="single" w:sz="4" w:space="0" w:color="auto"/>
              <w:right w:val="nil"/>
            </w:tcBorders>
            <w:shd w:val="clear" w:color="auto" w:fill="auto"/>
            <w:noWrap/>
            <w:vAlign w:val="center"/>
            <w:hideMark/>
          </w:tcPr>
          <w:p w14:paraId="29D95A63" w14:textId="77777777" w:rsidR="006977EE" w:rsidRPr="003278ED" w:rsidRDefault="006977EE" w:rsidP="007D3A2B">
            <w:pPr>
              <w:spacing w:after="0" w:line="240" w:lineRule="auto"/>
              <w:jc w:val="center"/>
              <w:rPr>
                <w:rFonts w:ascii="Times New Roman" w:eastAsia="Times New Roman" w:hAnsi="Times New Roman" w:cs="Times New Roman"/>
                <w:sz w:val="14"/>
                <w:szCs w:val="14"/>
              </w:rPr>
            </w:pPr>
            <w:r w:rsidRPr="003278ED">
              <w:rPr>
                <w:rFonts w:ascii="Times New Roman" w:eastAsia="Times New Roman" w:hAnsi="Times New Roman" w:cs="Times New Roman"/>
                <w:b/>
                <w:bCs/>
                <w:sz w:val="14"/>
                <w:szCs w:val="14"/>
              </w:rPr>
              <w:t>Efectiv</w:t>
            </w:r>
          </w:p>
        </w:tc>
        <w:tc>
          <w:tcPr>
            <w:tcW w:w="514" w:type="pct"/>
            <w:gridSpan w:val="2"/>
            <w:tcBorders>
              <w:top w:val="nil"/>
              <w:left w:val="nil"/>
              <w:bottom w:val="single" w:sz="4" w:space="0" w:color="auto"/>
              <w:right w:val="nil"/>
            </w:tcBorders>
            <w:shd w:val="clear" w:color="auto" w:fill="auto"/>
            <w:noWrap/>
            <w:vAlign w:val="center"/>
            <w:hideMark/>
          </w:tcPr>
          <w:p w14:paraId="126D4C27" w14:textId="77777777" w:rsidR="006977EE" w:rsidRPr="003278ED" w:rsidRDefault="006977EE" w:rsidP="007D3A2B">
            <w:pPr>
              <w:spacing w:after="0" w:line="240" w:lineRule="auto"/>
              <w:jc w:val="center"/>
              <w:rPr>
                <w:rFonts w:ascii="Times New Roman" w:eastAsia="Times New Roman" w:hAnsi="Times New Roman" w:cs="Times New Roman"/>
                <w:b/>
                <w:bCs/>
                <w:sz w:val="14"/>
                <w:szCs w:val="14"/>
              </w:rPr>
            </w:pPr>
            <w:r w:rsidRPr="003278ED">
              <w:rPr>
                <w:rFonts w:ascii="Times New Roman" w:eastAsia="Times New Roman" w:hAnsi="Times New Roman" w:cs="Times New Roman"/>
                <w:b/>
                <w:bCs/>
                <w:sz w:val="14"/>
                <w:szCs w:val="14"/>
              </w:rPr>
              <w:t xml:space="preserve">Aprobat </w:t>
            </w:r>
          </w:p>
        </w:tc>
        <w:tc>
          <w:tcPr>
            <w:tcW w:w="520" w:type="pct"/>
            <w:gridSpan w:val="2"/>
            <w:tcBorders>
              <w:top w:val="nil"/>
              <w:left w:val="nil"/>
              <w:bottom w:val="single" w:sz="4" w:space="0" w:color="auto"/>
              <w:right w:val="nil"/>
            </w:tcBorders>
            <w:shd w:val="clear" w:color="auto" w:fill="auto"/>
            <w:noWrap/>
            <w:vAlign w:val="center"/>
            <w:hideMark/>
          </w:tcPr>
          <w:p w14:paraId="060F32E3" w14:textId="77777777" w:rsidR="006977EE" w:rsidRPr="003278ED" w:rsidRDefault="006977EE" w:rsidP="007D3A2B">
            <w:pPr>
              <w:spacing w:after="0" w:line="240" w:lineRule="auto"/>
              <w:jc w:val="center"/>
              <w:rPr>
                <w:rFonts w:ascii="Times New Roman" w:eastAsia="Times New Roman" w:hAnsi="Times New Roman" w:cs="Times New Roman"/>
                <w:b/>
                <w:bCs/>
                <w:sz w:val="14"/>
                <w:szCs w:val="14"/>
              </w:rPr>
            </w:pPr>
            <w:r w:rsidRPr="003278ED">
              <w:rPr>
                <w:rFonts w:ascii="Times New Roman" w:eastAsia="Times New Roman" w:hAnsi="Times New Roman" w:cs="Times New Roman"/>
                <w:b/>
                <w:bCs/>
                <w:sz w:val="14"/>
                <w:szCs w:val="14"/>
              </w:rPr>
              <w:t>Prognozat</w:t>
            </w:r>
          </w:p>
        </w:tc>
        <w:tc>
          <w:tcPr>
            <w:tcW w:w="478" w:type="pct"/>
            <w:gridSpan w:val="2"/>
            <w:tcBorders>
              <w:top w:val="nil"/>
              <w:left w:val="nil"/>
              <w:bottom w:val="single" w:sz="4" w:space="0" w:color="auto"/>
              <w:right w:val="nil"/>
            </w:tcBorders>
            <w:shd w:val="clear" w:color="auto" w:fill="auto"/>
            <w:noWrap/>
            <w:vAlign w:val="center"/>
            <w:hideMark/>
          </w:tcPr>
          <w:p w14:paraId="101FE338" w14:textId="77777777" w:rsidR="006977EE" w:rsidRPr="003278ED" w:rsidRDefault="006977EE" w:rsidP="007D3A2B">
            <w:pPr>
              <w:spacing w:after="0" w:line="240" w:lineRule="auto"/>
              <w:jc w:val="center"/>
              <w:rPr>
                <w:rFonts w:ascii="Times New Roman" w:eastAsia="Times New Roman" w:hAnsi="Times New Roman" w:cs="Times New Roman"/>
                <w:b/>
                <w:bCs/>
                <w:sz w:val="14"/>
                <w:szCs w:val="14"/>
              </w:rPr>
            </w:pPr>
            <w:r w:rsidRPr="003278ED">
              <w:rPr>
                <w:rFonts w:ascii="Times New Roman" w:eastAsia="Times New Roman" w:hAnsi="Times New Roman" w:cs="Times New Roman"/>
                <w:b/>
                <w:bCs/>
                <w:sz w:val="14"/>
                <w:szCs w:val="14"/>
              </w:rPr>
              <w:t>Prognozat</w:t>
            </w:r>
          </w:p>
        </w:tc>
        <w:tc>
          <w:tcPr>
            <w:tcW w:w="472" w:type="pct"/>
            <w:gridSpan w:val="2"/>
            <w:tcBorders>
              <w:top w:val="nil"/>
              <w:left w:val="nil"/>
              <w:bottom w:val="single" w:sz="4" w:space="0" w:color="auto"/>
              <w:right w:val="nil"/>
            </w:tcBorders>
            <w:shd w:val="clear" w:color="auto" w:fill="auto"/>
            <w:noWrap/>
            <w:vAlign w:val="center"/>
            <w:hideMark/>
          </w:tcPr>
          <w:p w14:paraId="325C8A06" w14:textId="77777777" w:rsidR="006977EE" w:rsidRPr="003278ED" w:rsidRDefault="006977EE" w:rsidP="007D3A2B">
            <w:pPr>
              <w:spacing w:after="0" w:line="240" w:lineRule="auto"/>
              <w:jc w:val="center"/>
              <w:rPr>
                <w:rFonts w:ascii="Times New Roman" w:eastAsia="Times New Roman" w:hAnsi="Times New Roman" w:cs="Times New Roman"/>
                <w:b/>
                <w:bCs/>
                <w:sz w:val="14"/>
                <w:szCs w:val="14"/>
              </w:rPr>
            </w:pPr>
            <w:r w:rsidRPr="003278ED">
              <w:rPr>
                <w:rFonts w:ascii="Times New Roman" w:eastAsia="Times New Roman" w:hAnsi="Times New Roman" w:cs="Times New Roman"/>
                <w:b/>
                <w:bCs/>
                <w:sz w:val="14"/>
                <w:szCs w:val="14"/>
              </w:rPr>
              <w:t>Prognozat</w:t>
            </w:r>
          </w:p>
        </w:tc>
      </w:tr>
      <w:tr w:rsidR="006977EE" w:rsidRPr="003278ED" w14:paraId="5D9208B9" w14:textId="77777777" w:rsidTr="009562A5">
        <w:trPr>
          <w:trHeight w:val="300"/>
        </w:trPr>
        <w:tc>
          <w:tcPr>
            <w:tcW w:w="5000" w:type="pct"/>
            <w:gridSpan w:val="14"/>
            <w:tcBorders>
              <w:top w:val="single" w:sz="4" w:space="0" w:color="auto"/>
              <w:left w:val="nil"/>
              <w:bottom w:val="single" w:sz="4" w:space="0" w:color="auto"/>
              <w:right w:val="nil"/>
            </w:tcBorders>
            <w:shd w:val="clear" w:color="auto" w:fill="auto"/>
            <w:vAlign w:val="center"/>
            <w:hideMark/>
          </w:tcPr>
          <w:p w14:paraId="4D0540C1" w14:textId="77777777" w:rsidR="006977EE" w:rsidRPr="003278ED" w:rsidRDefault="006977E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mil. lei</w:t>
            </w:r>
          </w:p>
        </w:tc>
      </w:tr>
      <w:tr w:rsidR="006977EE" w:rsidRPr="003278ED" w14:paraId="1F279966" w14:textId="77777777" w:rsidTr="00FF2A90">
        <w:trPr>
          <w:trHeight w:val="450"/>
        </w:trPr>
        <w:tc>
          <w:tcPr>
            <w:tcW w:w="2052" w:type="pct"/>
            <w:gridSpan w:val="2"/>
            <w:tcBorders>
              <w:top w:val="nil"/>
              <w:left w:val="nil"/>
              <w:bottom w:val="nil"/>
              <w:right w:val="nil"/>
            </w:tcBorders>
            <w:shd w:val="clear" w:color="auto" w:fill="auto"/>
            <w:noWrap/>
            <w:vAlign w:val="bottom"/>
            <w:hideMark/>
          </w:tcPr>
          <w:p w14:paraId="46658E87" w14:textId="77777777" w:rsidR="006977EE" w:rsidRPr="003278ED" w:rsidRDefault="006977EE" w:rsidP="007D3A2B">
            <w:pPr>
              <w:spacing w:after="0" w:line="240" w:lineRule="auto"/>
              <w:jc w:val="both"/>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Total cheltuieli (excluzând plățile aferente dobânzilor)</w:t>
            </w:r>
          </w:p>
        </w:tc>
        <w:tc>
          <w:tcPr>
            <w:tcW w:w="519" w:type="pct"/>
            <w:gridSpan w:val="2"/>
            <w:tcBorders>
              <w:top w:val="nil"/>
              <w:left w:val="nil"/>
              <w:bottom w:val="nil"/>
              <w:right w:val="nil"/>
            </w:tcBorders>
            <w:shd w:val="clear" w:color="auto" w:fill="auto"/>
            <w:noWrap/>
            <w:vAlign w:val="bottom"/>
            <w:hideMark/>
          </w:tcPr>
          <w:p w14:paraId="4119AB68"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97 638</w:t>
            </w:r>
          </w:p>
        </w:tc>
        <w:tc>
          <w:tcPr>
            <w:tcW w:w="445" w:type="pct"/>
            <w:gridSpan w:val="2"/>
            <w:tcBorders>
              <w:top w:val="nil"/>
              <w:left w:val="nil"/>
              <w:bottom w:val="nil"/>
              <w:right w:val="nil"/>
            </w:tcBorders>
            <w:shd w:val="clear" w:color="auto" w:fill="auto"/>
            <w:noWrap/>
            <w:vAlign w:val="bottom"/>
            <w:hideMark/>
          </w:tcPr>
          <w:p w14:paraId="10D190DF"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112 435</w:t>
            </w:r>
          </w:p>
        </w:tc>
        <w:tc>
          <w:tcPr>
            <w:tcW w:w="514" w:type="pct"/>
            <w:gridSpan w:val="2"/>
            <w:tcBorders>
              <w:top w:val="nil"/>
              <w:left w:val="nil"/>
              <w:bottom w:val="nil"/>
              <w:right w:val="nil"/>
            </w:tcBorders>
            <w:shd w:val="clear" w:color="auto" w:fill="auto"/>
            <w:noWrap/>
            <w:vAlign w:val="bottom"/>
            <w:hideMark/>
          </w:tcPr>
          <w:p w14:paraId="52AF778E"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117 682</w:t>
            </w:r>
          </w:p>
        </w:tc>
        <w:tc>
          <w:tcPr>
            <w:tcW w:w="520" w:type="pct"/>
            <w:gridSpan w:val="2"/>
            <w:tcBorders>
              <w:top w:val="nil"/>
              <w:left w:val="nil"/>
              <w:bottom w:val="nil"/>
              <w:right w:val="nil"/>
            </w:tcBorders>
            <w:shd w:val="clear" w:color="auto" w:fill="auto"/>
            <w:noWrap/>
            <w:vAlign w:val="bottom"/>
            <w:hideMark/>
          </w:tcPr>
          <w:p w14:paraId="308A536F"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124 618</w:t>
            </w:r>
          </w:p>
        </w:tc>
        <w:tc>
          <w:tcPr>
            <w:tcW w:w="478" w:type="pct"/>
            <w:gridSpan w:val="2"/>
            <w:tcBorders>
              <w:top w:val="nil"/>
              <w:left w:val="nil"/>
              <w:bottom w:val="nil"/>
              <w:right w:val="nil"/>
            </w:tcBorders>
            <w:shd w:val="clear" w:color="auto" w:fill="auto"/>
            <w:noWrap/>
            <w:vAlign w:val="bottom"/>
            <w:hideMark/>
          </w:tcPr>
          <w:p w14:paraId="45AFA2CA"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132 509</w:t>
            </w:r>
          </w:p>
        </w:tc>
        <w:tc>
          <w:tcPr>
            <w:tcW w:w="472" w:type="pct"/>
            <w:gridSpan w:val="2"/>
            <w:tcBorders>
              <w:top w:val="nil"/>
              <w:left w:val="nil"/>
              <w:bottom w:val="nil"/>
              <w:right w:val="nil"/>
            </w:tcBorders>
            <w:shd w:val="clear" w:color="auto" w:fill="auto"/>
            <w:noWrap/>
            <w:vAlign w:val="bottom"/>
            <w:hideMark/>
          </w:tcPr>
          <w:p w14:paraId="7E04F493"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143 301</w:t>
            </w:r>
          </w:p>
        </w:tc>
      </w:tr>
      <w:tr w:rsidR="006977EE" w:rsidRPr="003278ED" w14:paraId="531E2F67" w14:textId="77777777" w:rsidTr="00FF2A90">
        <w:trPr>
          <w:trHeight w:val="465"/>
        </w:trPr>
        <w:tc>
          <w:tcPr>
            <w:tcW w:w="2052" w:type="pct"/>
            <w:gridSpan w:val="2"/>
            <w:tcBorders>
              <w:top w:val="nil"/>
              <w:left w:val="nil"/>
              <w:bottom w:val="nil"/>
              <w:right w:val="nil"/>
            </w:tcBorders>
            <w:shd w:val="clear" w:color="auto" w:fill="auto"/>
            <w:vAlign w:val="bottom"/>
            <w:hideMark/>
          </w:tcPr>
          <w:p w14:paraId="4D34AA68"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de stat cu destinație generală (excluzând plățile aferente dobânzilor)</w:t>
            </w:r>
          </w:p>
        </w:tc>
        <w:tc>
          <w:tcPr>
            <w:tcW w:w="519" w:type="pct"/>
            <w:gridSpan w:val="2"/>
            <w:tcBorders>
              <w:top w:val="nil"/>
              <w:left w:val="nil"/>
              <w:bottom w:val="nil"/>
              <w:right w:val="nil"/>
            </w:tcBorders>
            <w:shd w:val="clear" w:color="auto" w:fill="auto"/>
            <w:noWrap/>
            <w:vAlign w:val="bottom"/>
            <w:hideMark/>
          </w:tcPr>
          <w:p w14:paraId="787A352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5 497</w:t>
            </w:r>
          </w:p>
        </w:tc>
        <w:tc>
          <w:tcPr>
            <w:tcW w:w="445" w:type="pct"/>
            <w:gridSpan w:val="2"/>
            <w:tcBorders>
              <w:top w:val="nil"/>
              <w:left w:val="nil"/>
              <w:bottom w:val="nil"/>
              <w:right w:val="nil"/>
            </w:tcBorders>
            <w:shd w:val="clear" w:color="auto" w:fill="auto"/>
            <w:noWrap/>
            <w:vAlign w:val="bottom"/>
            <w:hideMark/>
          </w:tcPr>
          <w:p w14:paraId="03558C5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6 065</w:t>
            </w:r>
          </w:p>
        </w:tc>
        <w:tc>
          <w:tcPr>
            <w:tcW w:w="514" w:type="pct"/>
            <w:gridSpan w:val="2"/>
            <w:tcBorders>
              <w:top w:val="nil"/>
              <w:left w:val="nil"/>
              <w:bottom w:val="nil"/>
              <w:right w:val="nil"/>
            </w:tcBorders>
            <w:shd w:val="clear" w:color="auto" w:fill="auto"/>
            <w:noWrap/>
            <w:vAlign w:val="bottom"/>
            <w:hideMark/>
          </w:tcPr>
          <w:p w14:paraId="03F656A7"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6 655</w:t>
            </w:r>
          </w:p>
        </w:tc>
        <w:tc>
          <w:tcPr>
            <w:tcW w:w="520" w:type="pct"/>
            <w:gridSpan w:val="2"/>
            <w:tcBorders>
              <w:top w:val="nil"/>
              <w:left w:val="nil"/>
              <w:bottom w:val="nil"/>
              <w:right w:val="nil"/>
            </w:tcBorders>
            <w:shd w:val="clear" w:color="auto" w:fill="auto"/>
            <w:noWrap/>
            <w:vAlign w:val="bottom"/>
            <w:hideMark/>
          </w:tcPr>
          <w:p w14:paraId="1C67051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6 411</w:t>
            </w:r>
          </w:p>
        </w:tc>
        <w:tc>
          <w:tcPr>
            <w:tcW w:w="478" w:type="pct"/>
            <w:gridSpan w:val="2"/>
            <w:tcBorders>
              <w:top w:val="nil"/>
              <w:left w:val="nil"/>
              <w:bottom w:val="nil"/>
              <w:right w:val="nil"/>
            </w:tcBorders>
            <w:shd w:val="clear" w:color="auto" w:fill="auto"/>
            <w:noWrap/>
            <w:vAlign w:val="bottom"/>
            <w:hideMark/>
          </w:tcPr>
          <w:p w14:paraId="373BBEB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6 594</w:t>
            </w:r>
          </w:p>
        </w:tc>
        <w:tc>
          <w:tcPr>
            <w:tcW w:w="472" w:type="pct"/>
            <w:gridSpan w:val="2"/>
            <w:tcBorders>
              <w:top w:val="nil"/>
              <w:left w:val="nil"/>
              <w:bottom w:val="nil"/>
              <w:right w:val="nil"/>
            </w:tcBorders>
            <w:shd w:val="clear" w:color="auto" w:fill="auto"/>
            <w:noWrap/>
            <w:vAlign w:val="bottom"/>
            <w:hideMark/>
          </w:tcPr>
          <w:p w14:paraId="0A11420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6 782</w:t>
            </w:r>
          </w:p>
        </w:tc>
      </w:tr>
      <w:tr w:rsidR="006977EE" w:rsidRPr="003278ED" w14:paraId="58BA53BC" w14:textId="77777777" w:rsidTr="00FF2A90">
        <w:trPr>
          <w:trHeight w:val="300"/>
        </w:trPr>
        <w:tc>
          <w:tcPr>
            <w:tcW w:w="2052" w:type="pct"/>
            <w:gridSpan w:val="2"/>
            <w:tcBorders>
              <w:top w:val="nil"/>
              <w:left w:val="nil"/>
              <w:bottom w:val="nil"/>
              <w:right w:val="nil"/>
            </w:tcBorders>
            <w:shd w:val="clear" w:color="auto" w:fill="auto"/>
            <w:vAlign w:val="bottom"/>
            <w:hideMark/>
          </w:tcPr>
          <w:p w14:paraId="480D52BE"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lastRenderedPageBreak/>
              <w:t>Apărare națională</w:t>
            </w:r>
          </w:p>
        </w:tc>
        <w:tc>
          <w:tcPr>
            <w:tcW w:w="519" w:type="pct"/>
            <w:gridSpan w:val="2"/>
            <w:tcBorders>
              <w:top w:val="nil"/>
              <w:left w:val="nil"/>
              <w:bottom w:val="nil"/>
              <w:right w:val="nil"/>
            </w:tcBorders>
            <w:shd w:val="clear" w:color="auto" w:fill="auto"/>
            <w:noWrap/>
            <w:vAlign w:val="bottom"/>
            <w:hideMark/>
          </w:tcPr>
          <w:p w14:paraId="422C121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895</w:t>
            </w:r>
          </w:p>
        </w:tc>
        <w:tc>
          <w:tcPr>
            <w:tcW w:w="445" w:type="pct"/>
            <w:gridSpan w:val="2"/>
            <w:tcBorders>
              <w:top w:val="nil"/>
              <w:left w:val="nil"/>
              <w:bottom w:val="nil"/>
              <w:right w:val="nil"/>
            </w:tcBorders>
            <w:shd w:val="clear" w:color="auto" w:fill="auto"/>
            <w:noWrap/>
            <w:vAlign w:val="bottom"/>
            <w:hideMark/>
          </w:tcPr>
          <w:p w14:paraId="2FBE2E9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1 530</w:t>
            </w:r>
          </w:p>
        </w:tc>
        <w:tc>
          <w:tcPr>
            <w:tcW w:w="514" w:type="pct"/>
            <w:gridSpan w:val="2"/>
            <w:tcBorders>
              <w:top w:val="nil"/>
              <w:left w:val="nil"/>
              <w:bottom w:val="nil"/>
              <w:right w:val="nil"/>
            </w:tcBorders>
            <w:shd w:val="clear" w:color="auto" w:fill="auto"/>
            <w:noWrap/>
            <w:vAlign w:val="bottom"/>
            <w:hideMark/>
          </w:tcPr>
          <w:p w14:paraId="2E0DCF2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1 810</w:t>
            </w:r>
          </w:p>
        </w:tc>
        <w:tc>
          <w:tcPr>
            <w:tcW w:w="520" w:type="pct"/>
            <w:gridSpan w:val="2"/>
            <w:tcBorders>
              <w:top w:val="nil"/>
              <w:left w:val="nil"/>
              <w:bottom w:val="nil"/>
              <w:right w:val="nil"/>
            </w:tcBorders>
            <w:shd w:val="clear" w:color="auto" w:fill="auto"/>
            <w:noWrap/>
            <w:vAlign w:val="bottom"/>
            <w:hideMark/>
          </w:tcPr>
          <w:p w14:paraId="62D056B7"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1 740</w:t>
            </w:r>
          </w:p>
        </w:tc>
        <w:tc>
          <w:tcPr>
            <w:tcW w:w="478" w:type="pct"/>
            <w:gridSpan w:val="2"/>
            <w:tcBorders>
              <w:top w:val="nil"/>
              <w:left w:val="nil"/>
              <w:bottom w:val="nil"/>
              <w:right w:val="nil"/>
            </w:tcBorders>
            <w:shd w:val="clear" w:color="auto" w:fill="auto"/>
            <w:noWrap/>
            <w:vAlign w:val="bottom"/>
            <w:hideMark/>
          </w:tcPr>
          <w:p w14:paraId="6D9BA4F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1 741</w:t>
            </w:r>
          </w:p>
        </w:tc>
        <w:tc>
          <w:tcPr>
            <w:tcW w:w="472" w:type="pct"/>
            <w:gridSpan w:val="2"/>
            <w:tcBorders>
              <w:top w:val="nil"/>
              <w:left w:val="nil"/>
              <w:bottom w:val="nil"/>
              <w:right w:val="nil"/>
            </w:tcBorders>
            <w:shd w:val="clear" w:color="auto" w:fill="auto"/>
            <w:noWrap/>
            <w:vAlign w:val="bottom"/>
            <w:hideMark/>
          </w:tcPr>
          <w:p w14:paraId="0715571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1 741</w:t>
            </w:r>
          </w:p>
        </w:tc>
      </w:tr>
      <w:tr w:rsidR="006977EE" w:rsidRPr="003278ED" w14:paraId="4993557C" w14:textId="77777777" w:rsidTr="00FF2A90">
        <w:trPr>
          <w:trHeight w:val="300"/>
        </w:trPr>
        <w:tc>
          <w:tcPr>
            <w:tcW w:w="2052" w:type="pct"/>
            <w:gridSpan w:val="2"/>
            <w:tcBorders>
              <w:top w:val="nil"/>
              <w:left w:val="nil"/>
              <w:bottom w:val="nil"/>
              <w:right w:val="nil"/>
            </w:tcBorders>
            <w:shd w:val="clear" w:color="auto" w:fill="auto"/>
            <w:vAlign w:val="bottom"/>
            <w:hideMark/>
          </w:tcPr>
          <w:p w14:paraId="7F2B3958"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Ordine publică și securitate națională</w:t>
            </w:r>
          </w:p>
        </w:tc>
        <w:tc>
          <w:tcPr>
            <w:tcW w:w="519" w:type="pct"/>
            <w:gridSpan w:val="2"/>
            <w:tcBorders>
              <w:top w:val="nil"/>
              <w:left w:val="nil"/>
              <w:bottom w:val="nil"/>
              <w:right w:val="nil"/>
            </w:tcBorders>
            <w:shd w:val="clear" w:color="auto" w:fill="auto"/>
            <w:noWrap/>
            <w:vAlign w:val="bottom"/>
            <w:hideMark/>
          </w:tcPr>
          <w:p w14:paraId="3843F44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6 274</w:t>
            </w:r>
          </w:p>
        </w:tc>
        <w:tc>
          <w:tcPr>
            <w:tcW w:w="445" w:type="pct"/>
            <w:gridSpan w:val="2"/>
            <w:tcBorders>
              <w:top w:val="nil"/>
              <w:left w:val="nil"/>
              <w:bottom w:val="nil"/>
              <w:right w:val="nil"/>
            </w:tcBorders>
            <w:shd w:val="clear" w:color="auto" w:fill="auto"/>
            <w:noWrap/>
            <w:vAlign w:val="bottom"/>
            <w:hideMark/>
          </w:tcPr>
          <w:p w14:paraId="2200409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6 711</w:t>
            </w:r>
          </w:p>
        </w:tc>
        <w:tc>
          <w:tcPr>
            <w:tcW w:w="514" w:type="pct"/>
            <w:gridSpan w:val="2"/>
            <w:tcBorders>
              <w:top w:val="nil"/>
              <w:left w:val="nil"/>
              <w:bottom w:val="nil"/>
              <w:right w:val="nil"/>
            </w:tcBorders>
            <w:shd w:val="clear" w:color="auto" w:fill="auto"/>
            <w:noWrap/>
            <w:vAlign w:val="bottom"/>
            <w:hideMark/>
          </w:tcPr>
          <w:p w14:paraId="7EBB663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6 565</w:t>
            </w:r>
          </w:p>
        </w:tc>
        <w:tc>
          <w:tcPr>
            <w:tcW w:w="520" w:type="pct"/>
            <w:gridSpan w:val="2"/>
            <w:tcBorders>
              <w:top w:val="nil"/>
              <w:left w:val="nil"/>
              <w:bottom w:val="nil"/>
              <w:right w:val="nil"/>
            </w:tcBorders>
            <w:shd w:val="clear" w:color="auto" w:fill="auto"/>
            <w:noWrap/>
            <w:vAlign w:val="bottom"/>
            <w:hideMark/>
          </w:tcPr>
          <w:p w14:paraId="764CC84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7 383</w:t>
            </w:r>
          </w:p>
        </w:tc>
        <w:tc>
          <w:tcPr>
            <w:tcW w:w="478" w:type="pct"/>
            <w:gridSpan w:val="2"/>
            <w:tcBorders>
              <w:top w:val="nil"/>
              <w:left w:val="nil"/>
              <w:bottom w:val="nil"/>
              <w:right w:val="nil"/>
            </w:tcBorders>
            <w:shd w:val="clear" w:color="auto" w:fill="auto"/>
            <w:noWrap/>
            <w:vAlign w:val="bottom"/>
            <w:hideMark/>
          </w:tcPr>
          <w:p w14:paraId="7AAD5C6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7 634</w:t>
            </w:r>
          </w:p>
        </w:tc>
        <w:tc>
          <w:tcPr>
            <w:tcW w:w="472" w:type="pct"/>
            <w:gridSpan w:val="2"/>
            <w:tcBorders>
              <w:top w:val="nil"/>
              <w:left w:val="nil"/>
              <w:bottom w:val="nil"/>
              <w:right w:val="nil"/>
            </w:tcBorders>
            <w:shd w:val="clear" w:color="auto" w:fill="auto"/>
            <w:noWrap/>
            <w:vAlign w:val="bottom"/>
            <w:hideMark/>
          </w:tcPr>
          <w:p w14:paraId="67BFF127"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7 607</w:t>
            </w:r>
          </w:p>
        </w:tc>
      </w:tr>
      <w:tr w:rsidR="006977EE" w:rsidRPr="003278ED" w14:paraId="235E6008" w14:textId="77777777" w:rsidTr="00FF2A90">
        <w:trPr>
          <w:trHeight w:val="300"/>
        </w:trPr>
        <w:tc>
          <w:tcPr>
            <w:tcW w:w="2052" w:type="pct"/>
            <w:gridSpan w:val="2"/>
            <w:tcBorders>
              <w:top w:val="nil"/>
              <w:left w:val="nil"/>
              <w:bottom w:val="nil"/>
              <w:right w:val="nil"/>
            </w:tcBorders>
            <w:shd w:val="clear" w:color="auto" w:fill="auto"/>
            <w:vAlign w:val="bottom"/>
            <w:hideMark/>
          </w:tcPr>
          <w:p w14:paraId="34435A9A"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în domeniul economiei</w:t>
            </w:r>
          </w:p>
        </w:tc>
        <w:tc>
          <w:tcPr>
            <w:tcW w:w="519" w:type="pct"/>
            <w:gridSpan w:val="2"/>
            <w:tcBorders>
              <w:top w:val="nil"/>
              <w:left w:val="nil"/>
              <w:bottom w:val="nil"/>
              <w:right w:val="nil"/>
            </w:tcBorders>
            <w:shd w:val="clear" w:color="auto" w:fill="auto"/>
            <w:noWrap/>
            <w:vAlign w:val="bottom"/>
            <w:hideMark/>
          </w:tcPr>
          <w:p w14:paraId="16F796A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10 883</w:t>
            </w:r>
          </w:p>
        </w:tc>
        <w:tc>
          <w:tcPr>
            <w:tcW w:w="445" w:type="pct"/>
            <w:gridSpan w:val="2"/>
            <w:tcBorders>
              <w:top w:val="nil"/>
              <w:left w:val="nil"/>
              <w:bottom w:val="nil"/>
              <w:right w:val="nil"/>
            </w:tcBorders>
            <w:shd w:val="clear" w:color="auto" w:fill="auto"/>
            <w:noWrap/>
            <w:vAlign w:val="bottom"/>
            <w:hideMark/>
          </w:tcPr>
          <w:p w14:paraId="335B037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11 265</w:t>
            </w:r>
          </w:p>
        </w:tc>
        <w:tc>
          <w:tcPr>
            <w:tcW w:w="514" w:type="pct"/>
            <w:gridSpan w:val="2"/>
            <w:tcBorders>
              <w:top w:val="nil"/>
              <w:left w:val="nil"/>
              <w:bottom w:val="nil"/>
              <w:right w:val="nil"/>
            </w:tcBorders>
            <w:shd w:val="clear" w:color="auto" w:fill="auto"/>
            <w:noWrap/>
            <w:vAlign w:val="bottom"/>
            <w:hideMark/>
          </w:tcPr>
          <w:p w14:paraId="45A0F00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11 510</w:t>
            </w:r>
          </w:p>
        </w:tc>
        <w:tc>
          <w:tcPr>
            <w:tcW w:w="520" w:type="pct"/>
            <w:gridSpan w:val="2"/>
            <w:tcBorders>
              <w:top w:val="nil"/>
              <w:left w:val="nil"/>
              <w:bottom w:val="nil"/>
              <w:right w:val="nil"/>
            </w:tcBorders>
            <w:shd w:val="clear" w:color="auto" w:fill="auto"/>
            <w:noWrap/>
            <w:vAlign w:val="bottom"/>
            <w:hideMark/>
          </w:tcPr>
          <w:p w14:paraId="4A2529C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11 787</w:t>
            </w:r>
          </w:p>
        </w:tc>
        <w:tc>
          <w:tcPr>
            <w:tcW w:w="478" w:type="pct"/>
            <w:gridSpan w:val="2"/>
            <w:tcBorders>
              <w:top w:val="nil"/>
              <w:left w:val="nil"/>
              <w:bottom w:val="nil"/>
              <w:right w:val="nil"/>
            </w:tcBorders>
            <w:shd w:val="clear" w:color="auto" w:fill="auto"/>
            <w:noWrap/>
            <w:vAlign w:val="bottom"/>
            <w:hideMark/>
          </w:tcPr>
          <w:p w14:paraId="0EC0FDC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13 067</w:t>
            </w:r>
          </w:p>
        </w:tc>
        <w:tc>
          <w:tcPr>
            <w:tcW w:w="472" w:type="pct"/>
            <w:gridSpan w:val="2"/>
            <w:tcBorders>
              <w:top w:val="nil"/>
              <w:left w:val="nil"/>
              <w:bottom w:val="nil"/>
              <w:right w:val="nil"/>
            </w:tcBorders>
            <w:shd w:val="clear" w:color="auto" w:fill="auto"/>
            <w:noWrap/>
            <w:vAlign w:val="bottom"/>
            <w:hideMark/>
          </w:tcPr>
          <w:p w14:paraId="1CD49B8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12 933</w:t>
            </w:r>
          </w:p>
        </w:tc>
      </w:tr>
      <w:tr w:rsidR="006977EE" w:rsidRPr="003278ED" w14:paraId="7ECE7D97" w14:textId="77777777" w:rsidTr="00FF2A90">
        <w:trPr>
          <w:trHeight w:val="300"/>
        </w:trPr>
        <w:tc>
          <w:tcPr>
            <w:tcW w:w="2052" w:type="pct"/>
            <w:gridSpan w:val="2"/>
            <w:tcBorders>
              <w:top w:val="nil"/>
              <w:left w:val="nil"/>
              <w:bottom w:val="nil"/>
              <w:right w:val="nil"/>
            </w:tcBorders>
            <w:shd w:val="clear" w:color="auto" w:fill="auto"/>
            <w:vAlign w:val="center"/>
            <w:hideMark/>
          </w:tcPr>
          <w:p w14:paraId="7696E746"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Protecția mediului</w:t>
            </w:r>
          </w:p>
        </w:tc>
        <w:tc>
          <w:tcPr>
            <w:tcW w:w="519" w:type="pct"/>
            <w:gridSpan w:val="2"/>
            <w:tcBorders>
              <w:top w:val="nil"/>
              <w:left w:val="nil"/>
              <w:bottom w:val="nil"/>
              <w:right w:val="nil"/>
            </w:tcBorders>
            <w:shd w:val="clear" w:color="auto" w:fill="auto"/>
            <w:noWrap/>
            <w:vAlign w:val="bottom"/>
            <w:hideMark/>
          </w:tcPr>
          <w:p w14:paraId="1633568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371</w:t>
            </w:r>
          </w:p>
        </w:tc>
        <w:tc>
          <w:tcPr>
            <w:tcW w:w="445" w:type="pct"/>
            <w:gridSpan w:val="2"/>
            <w:tcBorders>
              <w:top w:val="nil"/>
              <w:left w:val="nil"/>
              <w:bottom w:val="nil"/>
              <w:right w:val="nil"/>
            </w:tcBorders>
            <w:shd w:val="clear" w:color="auto" w:fill="auto"/>
            <w:noWrap/>
            <w:vAlign w:val="bottom"/>
            <w:hideMark/>
          </w:tcPr>
          <w:p w14:paraId="4A8A3FE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414</w:t>
            </w:r>
          </w:p>
        </w:tc>
        <w:tc>
          <w:tcPr>
            <w:tcW w:w="514" w:type="pct"/>
            <w:gridSpan w:val="2"/>
            <w:tcBorders>
              <w:top w:val="nil"/>
              <w:left w:val="nil"/>
              <w:bottom w:val="nil"/>
              <w:right w:val="nil"/>
            </w:tcBorders>
            <w:shd w:val="clear" w:color="auto" w:fill="auto"/>
            <w:noWrap/>
            <w:vAlign w:val="bottom"/>
            <w:hideMark/>
          </w:tcPr>
          <w:p w14:paraId="34C2146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677</w:t>
            </w:r>
          </w:p>
        </w:tc>
        <w:tc>
          <w:tcPr>
            <w:tcW w:w="520" w:type="pct"/>
            <w:gridSpan w:val="2"/>
            <w:tcBorders>
              <w:top w:val="nil"/>
              <w:left w:val="nil"/>
              <w:bottom w:val="nil"/>
              <w:right w:val="nil"/>
            </w:tcBorders>
            <w:shd w:val="clear" w:color="auto" w:fill="auto"/>
            <w:noWrap/>
            <w:vAlign w:val="bottom"/>
            <w:hideMark/>
          </w:tcPr>
          <w:p w14:paraId="14956F97"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836</w:t>
            </w:r>
          </w:p>
        </w:tc>
        <w:tc>
          <w:tcPr>
            <w:tcW w:w="478" w:type="pct"/>
            <w:gridSpan w:val="2"/>
            <w:tcBorders>
              <w:top w:val="nil"/>
              <w:left w:val="nil"/>
              <w:bottom w:val="nil"/>
              <w:right w:val="nil"/>
            </w:tcBorders>
            <w:shd w:val="clear" w:color="auto" w:fill="auto"/>
            <w:noWrap/>
            <w:vAlign w:val="bottom"/>
            <w:hideMark/>
          </w:tcPr>
          <w:p w14:paraId="43E6A1D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937</w:t>
            </w:r>
          </w:p>
        </w:tc>
        <w:tc>
          <w:tcPr>
            <w:tcW w:w="472" w:type="pct"/>
            <w:gridSpan w:val="2"/>
            <w:tcBorders>
              <w:top w:val="nil"/>
              <w:left w:val="nil"/>
              <w:bottom w:val="nil"/>
              <w:right w:val="nil"/>
            </w:tcBorders>
            <w:shd w:val="clear" w:color="auto" w:fill="auto"/>
            <w:noWrap/>
            <w:vAlign w:val="bottom"/>
            <w:hideMark/>
          </w:tcPr>
          <w:p w14:paraId="01DC62F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1 053</w:t>
            </w:r>
          </w:p>
        </w:tc>
      </w:tr>
      <w:tr w:rsidR="006977EE" w:rsidRPr="003278ED" w14:paraId="30CC898B" w14:textId="77777777" w:rsidTr="00FF2A90">
        <w:trPr>
          <w:trHeight w:val="465"/>
        </w:trPr>
        <w:tc>
          <w:tcPr>
            <w:tcW w:w="2052" w:type="pct"/>
            <w:gridSpan w:val="2"/>
            <w:tcBorders>
              <w:top w:val="nil"/>
              <w:left w:val="nil"/>
              <w:bottom w:val="nil"/>
              <w:right w:val="nil"/>
            </w:tcBorders>
            <w:shd w:val="clear" w:color="auto" w:fill="auto"/>
            <w:vAlign w:val="bottom"/>
            <w:hideMark/>
          </w:tcPr>
          <w:p w14:paraId="52B50976"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Gospodăria de locuințe și gospodăria serviciilor comunale</w:t>
            </w:r>
          </w:p>
        </w:tc>
        <w:tc>
          <w:tcPr>
            <w:tcW w:w="519" w:type="pct"/>
            <w:gridSpan w:val="2"/>
            <w:tcBorders>
              <w:top w:val="nil"/>
              <w:left w:val="nil"/>
              <w:bottom w:val="nil"/>
              <w:right w:val="nil"/>
            </w:tcBorders>
            <w:shd w:val="clear" w:color="auto" w:fill="auto"/>
            <w:noWrap/>
            <w:vAlign w:val="bottom"/>
            <w:hideMark/>
          </w:tcPr>
          <w:p w14:paraId="0638CB2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2 889</w:t>
            </w:r>
          </w:p>
        </w:tc>
        <w:tc>
          <w:tcPr>
            <w:tcW w:w="445" w:type="pct"/>
            <w:gridSpan w:val="2"/>
            <w:tcBorders>
              <w:top w:val="nil"/>
              <w:left w:val="nil"/>
              <w:bottom w:val="nil"/>
              <w:right w:val="nil"/>
            </w:tcBorders>
            <w:shd w:val="clear" w:color="auto" w:fill="auto"/>
            <w:noWrap/>
            <w:vAlign w:val="bottom"/>
            <w:hideMark/>
          </w:tcPr>
          <w:p w14:paraId="4BD6AED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3 757</w:t>
            </w:r>
          </w:p>
        </w:tc>
        <w:tc>
          <w:tcPr>
            <w:tcW w:w="514" w:type="pct"/>
            <w:gridSpan w:val="2"/>
            <w:tcBorders>
              <w:top w:val="nil"/>
              <w:left w:val="nil"/>
              <w:bottom w:val="nil"/>
              <w:right w:val="nil"/>
            </w:tcBorders>
            <w:shd w:val="clear" w:color="auto" w:fill="auto"/>
            <w:noWrap/>
            <w:vAlign w:val="bottom"/>
            <w:hideMark/>
          </w:tcPr>
          <w:p w14:paraId="05FDA0B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2 727</w:t>
            </w:r>
          </w:p>
        </w:tc>
        <w:tc>
          <w:tcPr>
            <w:tcW w:w="520" w:type="pct"/>
            <w:gridSpan w:val="2"/>
            <w:tcBorders>
              <w:top w:val="nil"/>
              <w:left w:val="nil"/>
              <w:bottom w:val="nil"/>
              <w:right w:val="nil"/>
            </w:tcBorders>
            <w:shd w:val="clear" w:color="auto" w:fill="auto"/>
            <w:noWrap/>
            <w:vAlign w:val="bottom"/>
            <w:hideMark/>
          </w:tcPr>
          <w:p w14:paraId="6E0B013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3 657</w:t>
            </w:r>
          </w:p>
        </w:tc>
        <w:tc>
          <w:tcPr>
            <w:tcW w:w="478" w:type="pct"/>
            <w:gridSpan w:val="2"/>
            <w:tcBorders>
              <w:top w:val="nil"/>
              <w:left w:val="nil"/>
              <w:bottom w:val="nil"/>
              <w:right w:val="nil"/>
            </w:tcBorders>
            <w:shd w:val="clear" w:color="auto" w:fill="auto"/>
            <w:noWrap/>
            <w:vAlign w:val="bottom"/>
            <w:hideMark/>
          </w:tcPr>
          <w:p w14:paraId="373B77E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3 854</w:t>
            </w:r>
          </w:p>
        </w:tc>
        <w:tc>
          <w:tcPr>
            <w:tcW w:w="472" w:type="pct"/>
            <w:gridSpan w:val="2"/>
            <w:tcBorders>
              <w:top w:val="nil"/>
              <w:left w:val="nil"/>
              <w:bottom w:val="nil"/>
              <w:right w:val="nil"/>
            </w:tcBorders>
            <w:shd w:val="clear" w:color="auto" w:fill="auto"/>
            <w:noWrap/>
            <w:vAlign w:val="bottom"/>
            <w:hideMark/>
          </w:tcPr>
          <w:p w14:paraId="7F746ED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4 039</w:t>
            </w:r>
          </w:p>
        </w:tc>
      </w:tr>
      <w:tr w:rsidR="006977EE" w:rsidRPr="003278ED" w14:paraId="2945760E" w14:textId="77777777" w:rsidTr="00FF2A90">
        <w:trPr>
          <w:trHeight w:val="300"/>
        </w:trPr>
        <w:tc>
          <w:tcPr>
            <w:tcW w:w="2052" w:type="pct"/>
            <w:gridSpan w:val="2"/>
            <w:tcBorders>
              <w:top w:val="nil"/>
              <w:left w:val="nil"/>
              <w:bottom w:val="nil"/>
              <w:right w:val="nil"/>
            </w:tcBorders>
            <w:shd w:val="clear" w:color="auto" w:fill="auto"/>
            <w:vAlign w:val="bottom"/>
            <w:hideMark/>
          </w:tcPr>
          <w:p w14:paraId="31C55AC3"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Ocrotirea sănătății</w:t>
            </w:r>
          </w:p>
        </w:tc>
        <w:tc>
          <w:tcPr>
            <w:tcW w:w="519" w:type="pct"/>
            <w:gridSpan w:val="2"/>
            <w:tcBorders>
              <w:top w:val="nil"/>
              <w:left w:val="nil"/>
              <w:bottom w:val="nil"/>
              <w:right w:val="nil"/>
            </w:tcBorders>
            <w:shd w:val="clear" w:color="auto" w:fill="auto"/>
            <w:noWrap/>
            <w:vAlign w:val="bottom"/>
            <w:hideMark/>
          </w:tcPr>
          <w:p w14:paraId="7B37A65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13 656</w:t>
            </w:r>
          </w:p>
        </w:tc>
        <w:tc>
          <w:tcPr>
            <w:tcW w:w="445" w:type="pct"/>
            <w:gridSpan w:val="2"/>
            <w:tcBorders>
              <w:top w:val="nil"/>
              <w:left w:val="nil"/>
              <w:bottom w:val="nil"/>
              <w:right w:val="nil"/>
            </w:tcBorders>
            <w:shd w:val="clear" w:color="auto" w:fill="auto"/>
            <w:noWrap/>
            <w:vAlign w:val="bottom"/>
            <w:hideMark/>
          </w:tcPr>
          <w:p w14:paraId="20F4ED4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15 944</w:t>
            </w:r>
          </w:p>
        </w:tc>
        <w:tc>
          <w:tcPr>
            <w:tcW w:w="514" w:type="pct"/>
            <w:gridSpan w:val="2"/>
            <w:tcBorders>
              <w:top w:val="nil"/>
              <w:left w:val="nil"/>
              <w:bottom w:val="nil"/>
              <w:right w:val="nil"/>
            </w:tcBorders>
            <w:shd w:val="clear" w:color="auto" w:fill="auto"/>
            <w:noWrap/>
            <w:vAlign w:val="bottom"/>
            <w:hideMark/>
          </w:tcPr>
          <w:p w14:paraId="6F3EE9D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17 651</w:t>
            </w:r>
          </w:p>
        </w:tc>
        <w:tc>
          <w:tcPr>
            <w:tcW w:w="520" w:type="pct"/>
            <w:gridSpan w:val="2"/>
            <w:tcBorders>
              <w:top w:val="nil"/>
              <w:left w:val="nil"/>
              <w:bottom w:val="nil"/>
              <w:right w:val="nil"/>
            </w:tcBorders>
            <w:shd w:val="clear" w:color="auto" w:fill="auto"/>
            <w:noWrap/>
            <w:vAlign w:val="bottom"/>
            <w:hideMark/>
          </w:tcPr>
          <w:p w14:paraId="5B9E00B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18 899</w:t>
            </w:r>
          </w:p>
        </w:tc>
        <w:tc>
          <w:tcPr>
            <w:tcW w:w="478" w:type="pct"/>
            <w:gridSpan w:val="2"/>
            <w:tcBorders>
              <w:top w:val="nil"/>
              <w:left w:val="nil"/>
              <w:bottom w:val="nil"/>
              <w:right w:val="nil"/>
            </w:tcBorders>
            <w:shd w:val="clear" w:color="auto" w:fill="auto"/>
            <w:noWrap/>
            <w:vAlign w:val="bottom"/>
            <w:hideMark/>
          </w:tcPr>
          <w:p w14:paraId="578F943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20 372</w:t>
            </w:r>
          </w:p>
        </w:tc>
        <w:tc>
          <w:tcPr>
            <w:tcW w:w="472" w:type="pct"/>
            <w:gridSpan w:val="2"/>
            <w:tcBorders>
              <w:top w:val="nil"/>
              <w:left w:val="nil"/>
              <w:bottom w:val="nil"/>
              <w:right w:val="nil"/>
            </w:tcBorders>
            <w:shd w:val="clear" w:color="auto" w:fill="auto"/>
            <w:noWrap/>
            <w:vAlign w:val="bottom"/>
            <w:hideMark/>
          </w:tcPr>
          <w:p w14:paraId="3A35492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21 637</w:t>
            </w:r>
          </w:p>
        </w:tc>
      </w:tr>
      <w:tr w:rsidR="006977EE" w:rsidRPr="003278ED" w14:paraId="07333BFE" w14:textId="77777777" w:rsidTr="00FF2A90">
        <w:trPr>
          <w:trHeight w:val="300"/>
        </w:trPr>
        <w:tc>
          <w:tcPr>
            <w:tcW w:w="2052" w:type="pct"/>
            <w:gridSpan w:val="2"/>
            <w:tcBorders>
              <w:top w:val="nil"/>
              <w:left w:val="nil"/>
              <w:bottom w:val="nil"/>
              <w:right w:val="nil"/>
            </w:tcBorders>
            <w:shd w:val="clear" w:color="auto" w:fill="auto"/>
            <w:vAlign w:val="bottom"/>
            <w:hideMark/>
          </w:tcPr>
          <w:p w14:paraId="68CEB2BA"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Cultură, sport, tineret, culte și odihnă</w:t>
            </w:r>
          </w:p>
        </w:tc>
        <w:tc>
          <w:tcPr>
            <w:tcW w:w="519" w:type="pct"/>
            <w:gridSpan w:val="2"/>
            <w:tcBorders>
              <w:top w:val="nil"/>
              <w:left w:val="nil"/>
              <w:bottom w:val="nil"/>
              <w:right w:val="nil"/>
            </w:tcBorders>
            <w:shd w:val="clear" w:color="auto" w:fill="auto"/>
            <w:noWrap/>
            <w:vAlign w:val="bottom"/>
            <w:hideMark/>
          </w:tcPr>
          <w:p w14:paraId="5CAB79E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2 328</w:t>
            </w:r>
          </w:p>
        </w:tc>
        <w:tc>
          <w:tcPr>
            <w:tcW w:w="445" w:type="pct"/>
            <w:gridSpan w:val="2"/>
            <w:tcBorders>
              <w:top w:val="nil"/>
              <w:left w:val="nil"/>
              <w:bottom w:val="nil"/>
              <w:right w:val="nil"/>
            </w:tcBorders>
            <w:shd w:val="clear" w:color="auto" w:fill="auto"/>
            <w:noWrap/>
            <w:vAlign w:val="bottom"/>
            <w:hideMark/>
          </w:tcPr>
          <w:p w14:paraId="396FDE0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2 978</w:t>
            </w:r>
          </w:p>
        </w:tc>
        <w:tc>
          <w:tcPr>
            <w:tcW w:w="514" w:type="pct"/>
            <w:gridSpan w:val="2"/>
            <w:tcBorders>
              <w:top w:val="nil"/>
              <w:left w:val="nil"/>
              <w:bottom w:val="nil"/>
              <w:right w:val="nil"/>
            </w:tcBorders>
            <w:shd w:val="clear" w:color="auto" w:fill="auto"/>
            <w:noWrap/>
            <w:vAlign w:val="bottom"/>
            <w:hideMark/>
          </w:tcPr>
          <w:p w14:paraId="13A5368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3 000</w:t>
            </w:r>
          </w:p>
        </w:tc>
        <w:tc>
          <w:tcPr>
            <w:tcW w:w="520" w:type="pct"/>
            <w:gridSpan w:val="2"/>
            <w:tcBorders>
              <w:top w:val="nil"/>
              <w:left w:val="nil"/>
              <w:bottom w:val="nil"/>
              <w:right w:val="nil"/>
            </w:tcBorders>
            <w:shd w:val="clear" w:color="auto" w:fill="auto"/>
            <w:noWrap/>
            <w:vAlign w:val="bottom"/>
            <w:hideMark/>
          </w:tcPr>
          <w:p w14:paraId="4429317B"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2 762</w:t>
            </w:r>
          </w:p>
        </w:tc>
        <w:tc>
          <w:tcPr>
            <w:tcW w:w="478" w:type="pct"/>
            <w:gridSpan w:val="2"/>
            <w:tcBorders>
              <w:top w:val="nil"/>
              <w:left w:val="nil"/>
              <w:bottom w:val="nil"/>
              <w:right w:val="nil"/>
            </w:tcBorders>
            <w:shd w:val="clear" w:color="auto" w:fill="auto"/>
            <w:noWrap/>
            <w:vAlign w:val="bottom"/>
            <w:hideMark/>
          </w:tcPr>
          <w:p w14:paraId="7B5C191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2 772</w:t>
            </w:r>
          </w:p>
        </w:tc>
        <w:tc>
          <w:tcPr>
            <w:tcW w:w="472" w:type="pct"/>
            <w:gridSpan w:val="2"/>
            <w:tcBorders>
              <w:top w:val="nil"/>
              <w:left w:val="nil"/>
              <w:bottom w:val="nil"/>
              <w:right w:val="nil"/>
            </w:tcBorders>
            <w:shd w:val="clear" w:color="auto" w:fill="auto"/>
            <w:noWrap/>
            <w:vAlign w:val="bottom"/>
            <w:hideMark/>
          </w:tcPr>
          <w:p w14:paraId="173C812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2 782</w:t>
            </w:r>
          </w:p>
        </w:tc>
      </w:tr>
      <w:tr w:rsidR="006977EE" w:rsidRPr="003278ED" w14:paraId="78F55C30" w14:textId="77777777" w:rsidTr="00FF2A90">
        <w:trPr>
          <w:trHeight w:val="300"/>
        </w:trPr>
        <w:tc>
          <w:tcPr>
            <w:tcW w:w="2052" w:type="pct"/>
            <w:gridSpan w:val="2"/>
            <w:tcBorders>
              <w:top w:val="nil"/>
              <w:left w:val="nil"/>
              <w:bottom w:val="nil"/>
              <w:right w:val="nil"/>
            </w:tcBorders>
            <w:shd w:val="clear" w:color="auto" w:fill="auto"/>
            <w:vAlign w:val="bottom"/>
            <w:hideMark/>
          </w:tcPr>
          <w:p w14:paraId="539120B1"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Învățământ</w:t>
            </w:r>
          </w:p>
        </w:tc>
        <w:tc>
          <w:tcPr>
            <w:tcW w:w="519" w:type="pct"/>
            <w:gridSpan w:val="2"/>
            <w:tcBorders>
              <w:top w:val="nil"/>
              <w:left w:val="nil"/>
              <w:bottom w:val="nil"/>
              <w:right w:val="nil"/>
            </w:tcBorders>
            <w:shd w:val="clear" w:color="auto" w:fill="auto"/>
            <w:noWrap/>
            <w:vAlign w:val="bottom"/>
            <w:hideMark/>
          </w:tcPr>
          <w:p w14:paraId="01A0009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15 858</w:t>
            </w:r>
          </w:p>
        </w:tc>
        <w:tc>
          <w:tcPr>
            <w:tcW w:w="445" w:type="pct"/>
            <w:gridSpan w:val="2"/>
            <w:tcBorders>
              <w:top w:val="nil"/>
              <w:left w:val="nil"/>
              <w:bottom w:val="nil"/>
              <w:right w:val="nil"/>
            </w:tcBorders>
            <w:shd w:val="clear" w:color="auto" w:fill="auto"/>
            <w:noWrap/>
            <w:vAlign w:val="bottom"/>
            <w:hideMark/>
          </w:tcPr>
          <w:p w14:paraId="724375F9"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18 784</w:t>
            </w:r>
          </w:p>
        </w:tc>
        <w:tc>
          <w:tcPr>
            <w:tcW w:w="514" w:type="pct"/>
            <w:gridSpan w:val="2"/>
            <w:tcBorders>
              <w:top w:val="nil"/>
              <w:left w:val="nil"/>
              <w:bottom w:val="nil"/>
              <w:right w:val="nil"/>
            </w:tcBorders>
            <w:shd w:val="clear" w:color="auto" w:fill="auto"/>
            <w:noWrap/>
            <w:vAlign w:val="bottom"/>
            <w:hideMark/>
          </w:tcPr>
          <w:p w14:paraId="2111B87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18 418</w:t>
            </w:r>
          </w:p>
        </w:tc>
        <w:tc>
          <w:tcPr>
            <w:tcW w:w="520" w:type="pct"/>
            <w:gridSpan w:val="2"/>
            <w:tcBorders>
              <w:top w:val="nil"/>
              <w:left w:val="nil"/>
              <w:bottom w:val="nil"/>
              <w:right w:val="nil"/>
            </w:tcBorders>
            <w:shd w:val="clear" w:color="auto" w:fill="auto"/>
            <w:noWrap/>
            <w:vAlign w:val="bottom"/>
            <w:hideMark/>
          </w:tcPr>
          <w:p w14:paraId="3FDF492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19 679</w:t>
            </w:r>
          </w:p>
        </w:tc>
        <w:tc>
          <w:tcPr>
            <w:tcW w:w="478" w:type="pct"/>
            <w:gridSpan w:val="2"/>
            <w:tcBorders>
              <w:top w:val="nil"/>
              <w:left w:val="nil"/>
              <w:bottom w:val="nil"/>
              <w:right w:val="nil"/>
            </w:tcBorders>
            <w:shd w:val="clear" w:color="auto" w:fill="auto"/>
            <w:noWrap/>
            <w:vAlign w:val="bottom"/>
            <w:hideMark/>
          </w:tcPr>
          <w:p w14:paraId="7405804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19 644</w:t>
            </w:r>
          </w:p>
        </w:tc>
        <w:tc>
          <w:tcPr>
            <w:tcW w:w="472" w:type="pct"/>
            <w:gridSpan w:val="2"/>
            <w:tcBorders>
              <w:top w:val="nil"/>
              <w:left w:val="nil"/>
              <w:bottom w:val="nil"/>
              <w:right w:val="nil"/>
            </w:tcBorders>
            <w:shd w:val="clear" w:color="auto" w:fill="auto"/>
            <w:noWrap/>
            <w:vAlign w:val="bottom"/>
            <w:hideMark/>
          </w:tcPr>
          <w:p w14:paraId="121634D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19 721</w:t>
            </w:r>
          </w:p>
        </w:tc>
      </w:tr>
      <w:tr w:rsidR="006977EE" w:rsidRPr="003278ED" w14:paraId="422D7623" w14:textId="77777777" w:rsidTr="00FF2A90">
        <w:trPr>
          <w:trHeight w:val="300"/>
        </w:trPr>
        <w:tc>
          <w:tcPr>
            <w:tcW w:w="2052" w:type="pct"/>
            <w:gridSpan w:val="2"/>
            <w:tcBorders>
              <w:top w:val="nil"/>
              <w:left w:val="nil"/>
              <w:bottom w:val="single" w:sz="4" w:space="0" w:color="auto"/>
              <w:right w:val="nil"/>
            </w:tcBorders>
            <w:shd w:val="clear" w:color="auto" w:fill="auto"/>
            <w:vAlign w:val="bottom"/>
            <w:hideMark/>
          </w:tcPr>
          <w:p w14:paraId="77DE9FF6"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Protecție socială</w:t>
            </w:r>
          </w:p>
        </w:tc>
        <w:tc>
          <w:tcPr>
            <w:tcW w:w="519" w:type="pct"/>
            <w:gridSpan w:val="2"/>
            <w:tcBorders>
              <w:top w:val="nil"/>
              <w:left w:val="nil"/>
              <w:bottom w:val="single" w:sz="4" w:space="0" w:color="auto"/>
              <w:right w:val="nil"/>
            </w:tcBorders>
            <w:shd w:val="clear" w:color="auto" w:fill="auto"/>
            <w:noWrap/>
            <w:vAlign w:val="bottom"/>
            <w:hideMark/>
          </w:tcPr>
          <w:p w14:paraId="32AB8A6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38 988</w:t>
            </w:r>
          </w:p>
        </w:tc>
        <w:tc>
          <w:tcPr>
            <w:tcW w:w="445" w:type="pct"/>
            <w:gridSpan w:val="2"/>
            <w:tcBorders>
              <w:top w:val="nil"/>
              <w:left w:val="nil"/>
              <w:bottom w:val="single" w:sz="4" w:space="0" w:color="auto"/>
              <w:right w:val="nil"/>
            </w:tcBorders>
            <w:shd w:val="clear" w:color="auto" w:fill="auto"/>
            <w:noWrap/>
            <w:vAlign w:val="bottom"/>
            <w:hideMark/>
          </w:tcPr>
          <w:p w14:paraId="79E8F91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44 990</w:t>
            </w:r>
          </w:p>
        </w:tc>
        <w:tc>
          <w:tcPr>
            <w:tcW w:w="514" w:type="pct"/>
            <w:gridSpan w:val="2"/>
            <w:tcBorders>
              <w:top w:val="nil"/>
              <w:left w:val="nil"/>
              <w:bottom w:val="single" w:sz="4" w:space="0" w:color="auto"/>
              <w:right w:val="nil"/>
            </w:tcBorders>
            <w:shd w:val="clear" w:color="auto" w:fill="auto"/>
            <w:noWrap/>
            <w:vAlign w:val="bottom"/>
            <w:hideMark/>
          </w:tcPr>
          <w:p w14:paraId="79A7D9B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46 816</w:t>
            </w:r>
          </w:p>
        </w:tc>
        <w:tc>
          <w:tcPr>
            <w:tcW w:w="520" w:type="pct"/>
            <w:gridSpan w:val="2"/>
            <w:tcBorders>
              <w:top w:val="nil"/>
              <w:left w:val="nil"/>
              <w:bottom w:val="single" w:sz="4" w:space="0" w:color="auto"/>
              <w:right w:val="nil"/>
            </w:tcBorders>
            <w:shd w:val="clear" w:color="auto" w:fill="auto"/>
            <w:noWrap/>
            <w:vAlign w:val="bottom"/>
            <w:hideMark/>
          </w:tcPr>
          <w:p w14:paraId="37591C79"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50 110</w:t>
            </w:r>
          </w:p>
        </w:tc>
        <w:tc>
          <w:tcPr>
            <w:tcW w:w="478" w:type="pct"/>
            <w:gridSpan w:val="2"/>
            <w:tcBorders>
              <w:top w:val="nil"/>
              <w:left w:val="nil"/>
              <w:bottom w:val="single" w:sz="4" w:space="0" w:color="auto"/>
              <w:right w:val="nil"/>
            </w:tcBorders>
            <w:shd w:val="clear" w:color="auto" w:fill="auto"/>
            <w:noWrap/>
            <w:vAlign w:val="bottom"/>
            <w:hideMark/>
          </w:tcPr>
          <w:p w14:paraId="70A62EB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52 961</w:t>
            </w:r>
          </w:p>
        </w:tc>
        <w:tc>
          <w:tcPr>
            <w:tcW w:w="472" w:type="pct"/>
            <w:gridSpan w:val="2"/>
            <w:tcBorders>
              <w:top w:val="nil"/>
              <w:left w:val="nil"/>
              <w:bottom w:val="single" w:sz="4" w:space="0" w:color="auto"/>
              <w:right w:val="nil"/>
            </w:tcBorders>
            <w:shd w:val="clear" w:color="auto" w:fill="auto"/>
            <w:noWrap/>
            <w:vAlign w:val="bottom"/>
            <w:hideMark/>
          </w:tcPr>
          <w:p w14:paraId="325A02E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56 154</w:t>
            </w:r>
          </w:p>
        </w:tc>
      </w:tr>
      <w:tr w:rsidR="006977EE" w:rsidRPr="003278ED" w14:paraId="106948AA" w14:textId="77777777" w:rsidTr="00FF2A90">
        <w:trPr>
          <w:trHeight w:val="300"/>
        </w:trPr>
        <w:tc>
          <w:tcPr>
            <w:tcW w:w="2052" w:type="pct"/>
            <w:gridSpan w:val="2"/>
            <w:tcBorders>
              <w:top w:val="nil"/>
              <w:left w:val="nil"/>
              <w:bottom w:val="nil"/>
              <w:right w:val="nil"/>
            </w:tcBorders>
            <w:shd w:val="clear" w:color="auto" w:fill="auto"/>
            <w:vAlign w:val="center"/>
            <w:hideMark/>
          </w:tcPr>
          <w:p w14:paraId="6519F4FA" w14:textId="77777777" w:rsidR="006977EE" w:rsidRPr="003278ED" w:rsidRDefault="006977EE" w:rsidP="007D3A2B">
            <w:pPr>
              <w:spacing w:after="0" w:line="240" w:lineRule="auto"/>
              <w:jc w:val="center"/>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 </w:t>
            </w:r>
          </w:p>
        </w:tc>
        <w:tc>
          <w:tcPr>
            <w:tcW w:w="2948" w:type="pct"/>
            <w:gridSpan w:val="12"/>
            <w:tcBorders>
              <w:top w:val="single" w:sz="4" w:space="0" w:color="auto"/>
              <w:left w:val="nil"/>
              <w:bottom w:val="single" w:sz="4" w:space="0" w:color="auto"/>
              <w:right w:val="nil"/>
            </w:tcBorders>
            <w:shd w:val="clear" w:color="auto" w:fill="auto"/>
            <w:vAlign w:val="center"/>
            <w:hideMark/>
          </w:tcPr>
          <w:p w14:paraId="2FD819FA" w14:textId="77777777" w:rsidR="006977EE" w:rsidRPr="003278ED" w:rsidRDefault="006977EE" w:rsidP="007D3A2B">
            <w:pPr>
              <w:spacing w:after="0" w:line="240" w:lineRule="auto"/>
              <w:jc w:val="center"/>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 în PIB</w:t>
            </w:r>
          </w:p>
        </w:tc>
      </w:tr>
      <w:tr w:rsidR="006977EE" w:rsidRPr="003278ED" w14:paraId="2F0CBF52" w14:textId="77777777" w:rsidTr="00FF2A90">
        <w:trPr>
          <w:trHeight w:val="450"/>
        </w:trPr>
        <w:tc>
          <w:tcPr>
            <w:tcW w:w="2052" w:type="pct"/>
            <w:gridSpan w:val="2"/>
            <w:tcBorders>
              <w:top w:val="nil"/>
              <w:left w:val="nil"/>
              <w:bottom w:val="nil"/>
              <w:right w:val="nil"/>
            </w:tcBorders>
            <w:shd w:val="clear" w:color="auto" w:fill="auto"/>
            <w:noWrap/>
            <w:vAlign w:val="bottom"/>
            <w:hideMark/>
          </w:tcPr>
          <w:p w14:paraId="3215681E" w14:textId="77777777" w:rsidR="006977EE" w:rsidRPr="003278ED" w:rsidRDefault="006977EE" w:rsidP="007D3A2B">
            <w:pPr>
              <w:spacing w:after="0" w:line="240" w:lineRule="auto"/>
              <w:jc w:val="both"/>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Total cheltuieli (excluzând plățile aferente dobânzilor)</w:t>
            </w:r>
          </w:p>
        </w:tc>
        <w:tc>
          <w:tcPr>
            <w:tcW w:w="519" w:type="pct"/>
            <w:gridSpan w:val="2"/>
            <w:tcBorders>
              <w:top w:val="nil"/>
              <w:left w:val="nil"/>
              <w:bottom w:val="nil"/>
              <w:right w:val="nil"/>
            </w:tcBorders>
            <w:shd w:val="clear" w:color="auto" w:fill="auto"/>
            <w:noWrap/>
            <w:vAlign w:val="bottom"/>
            <w:hideMark/>
          </w:tcPr>
          <w:p w14:paraId="7A480FE0"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35,8</w:t>
            </w:r>
          </w:p>
        </w:tc>
        <w:tc>
          <w:tcPr>
            <w:tcW w:w="445" w:type="pct"/>
            <w:gridSpan w:val="2"/>
            <w:tcBorders>
              <w:top w:val="nil"/>
              <w:left w:val="nil"/>
              <w:bottom w:val="nil"/>
              <w:right w:val="nil"/>
            </w:tcBorders>
            <w:shd w:val="clear" w:color="auto" w:fill="auto"/>
            <w:noWrap/>
            <w:vAlign w:val="bottom"/>
            <w:hideMark/>
          </w:tcPr>
          <w:p w14:paraId="3996016E"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37,4</w:t>
            </w:r>
          </w:p>
        </w:tc>
        <w:tc>
          <w:tcPr>
            <w:tcW w:w="514" w:type="pct"/>
            <w:gridSpan w:val="2"/>
            <w:tcBorders>
              <w:top w:val="nil"/>
              <w:left w:val="nil"/>
              <w:bottom w:val="nil"/>
              <w:right w:val="nil"/>
            </w:tcBorders>
            <w:shd w:val="clear" w:color="auto" w:fill="auto"/>
            <w:noWrap/>
            <w:vAlign w:val="bottom"/>
            <w:hideMark/>
          </w:tcPr>
          <w:p w14:paraId="4AC1B8F2"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34,4</w:t>
            </w:r>
          </w:p>
        </w:tc>
        <w:tc>
          <w:tcPr>
            <w:tcW w:w="520" w:type="pct"/>
            <w:gridSpan w:val="2"/>
            <w:tcBorders>
              <w:top w:val="nil"/>
              <w:left w:val="nil"/>
              <w:bottom w:val="nil"/>
              <w:right w:val="nil"/>
            </w:tcBorders>
            <w:shd w:val="clear" w:color="auto" w:fill="auto"/>
            <w:noWrap/>
            <w:vAlign w:val="bottom"/>
            <w:hideMark/>
          </w:tcPr>
          <w:p w14:paraId="04E0E98B"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34,7</w:t>
            </w:r>
          </w:p>
        </w:tc>
        <w:tc>
          <w:tcPr>
            <w:tcW w:w="478" w:type="pct"/>
            <w:gridSpan w:val="2"/>
            <w:tcBorders>
              <w:top w:val="nil"/>
              <w:left w:val="nil"/>
              <w:bottom w:val="nil"/>
              <w:right w:val="nil"/>
            </w:tcBorders>
            <w:shd w:val="clear" w:color="auto" w:fill="auto"/>
            <w:noWrap/>
            <w:vAlign w:val="bottom"/>
            <w:hideMark/>
          </w:tcPr>
          <w:p w14:paraId="436C33DE"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33,0</w:t>
            </w:r>
          </w:p>
        </w:tc>
        <w:tc>
          <w:tcPr>
            <w:tcW w:w="472" w:type="pct"/>
            <w:gridSpan w:val="2"/>
            <w:tcBorders>
              <w:top w:val="nil"/>
              <w:left w:val="nil"/>
              <w:bottom w:val="nil"/>
              <w:right w:val="nil"/>
            </w:tcBorders>
            <w:shd w:val="clear" w:color="auto" w:fill="auto"/>
            <w:noWrap/>
            <w:vAlign w:val="bottom"/>
            <w:hideMark/>
          </w:tcPr>
          <w:p w14:paraId="290E923C" w14:textId="77777777" w:rsidR="006977EE" w:rsidRPr="003278ED" w:rsidRDefault="006977EE" w:rsidP="007D3A2B">
            <w:pPr>
              <w:spacing w:after="0" w:line="240" w:lineRule="auto"/>
              <w:jc w:val="right"/>
              <w:rPr>
                <w:rFonts w:ascii="Times New Roman" w:eastAsia="Times New Roman" w:hAnsi="Times New Roman" w:cs="Times New Roman"/>
                <w:b/>
                <w:bCs/>
                <w:sz w:val="16"/>
                <w:szCs w:val="16"/>
              </w:rPr>
            </w:pPr>
            <w:r w:rsidRPr="003278ED">
              <w:rPr>
                <w:rFonts w:ascii="Times New Roman" w:eastAsia="Times New Roman" w:hAnsi="Times New Roman" w:cs="Times New Roman"/>
                <w:b/>
                <w:bCs/>
                <w:sz w:val="16"/>
                <w:szCs w:val="16"/>
              </w:rPr>
              <w:t>33,4</w:t>
            </w:r>
          </w:p>
        </w:tc>
      </w:tr>
      <w:tr w:rsidR="006977EE" w:rsidRPr="003278ED" w14:paraId="7BFE1487" w14:textId="77777777" w:rsidTr="00FF2A90">
        <w:trPr>
          <w:trHeight w:val="465"/>
        </w:trPr>
        <w:tc>
          <w:tcPr>
            <w:tcW w:w="2052" w:type="pct"/>
            <w:gridSpan w:val="2"/>
            <w:tcBorders>
              <w:top w:val="nil"/>
              <w:left w:val="nil"/>
              <w:bottom w:val="nil"/>
              <w:right w:val="nil"/>
            </w:tcBorders>
            <w:shd w:val="clear" w:color="auto" w:fill="auto"/>
            <w:vAlign w:val="bottom"/>
            <w:hideMark/>
          </w:tcPr>
          <w:p w14:paraId="1714771F"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de stat cu destinație generală (excluzând plățile aferente dobânzilor)</w:t>
            </w:r>
          </w:p>
        </w:tc>
        <w:tc>
          <w:tcPr>
            <w:tcW w:w="519" w:type="pct"/>
            <w:gridSpan w:val="2"/>
            <w:tcBorders>
              <w:top w:val="nil"/>
              <w:left w:val="nil"/>
              <w:bottom w:val="nil"/>
              <w:right w:val="nil"/>
            </w:tcBorders>
            <w:shd w:val="clear" w:color="auto" w:fill="auto"/>
            <w:noWrap/>
            <w:vAlign w:val="bottom"/>
            <w:hideMark/>
          </w:tcPr>
          <w:p w14:paraId="072A9AE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w:t>
            </w:r>
          </w:p>
        </w:tc>
        <w:tc>
          <w:tcPr>
            <w:tcW w:w="445" w:type="pct"/>
            <w:gridSpan w:val="2"/>
            <w:tcBorders>
              <w:top w:val="nil"/>
              <w:left w:val="nil"/>
              <w:bottom w:val="nil"/>
              <w:right w:val="nil"/>
            </w:tcBorders>
            <w:shd w:val="clear" w:color="auto" w:fill="auto"/>
            <w:noWrap/>
            <w:vAlign w:val="bottom"/>
            <w:hideMark/>
          </w:tcPr>
          <w:p w14:paraId="08867EE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2,0</w:t>
            </w:r>
          </w:p>
        </w:tc>
        <w:tc>
          <w:tcPr>
            <w:tcW w:w="514" w:type="pct"/>
            <w:gridSpan w:val="2"/>
            <w:tcBorders>
              <w:top w:val="nil"/>
              <w:left w:val="nil"/>
              <w:bottom w:val="nil"/>
              <w:right w:val="nil"/>
            </w:tcBorders>
            <w:shd w:val="clear" w:color="auto" w:fill="auto"/>
            <w:noWrap/>
            <w:vAlign w:val="bottom"/>
            <w:hideMark/>
          </w:tcPr>
          <w:p w14:paraId="2ABFCAC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w:t>
            </w:r>
          </w:p>
        </w:tc>
        <w:tc>
          <w:tcPr>
            <w:tcW w:w="520" w:type="pct"/>
            <w:gridSpan w:val="2"/>
            <w:tcBorders>
              <w:top w:val="nil"/>
              <w:left w:val="nil"/>
              <w:bottom w:val="nil"/>
              <w:right w:val="nil"/>
            </w:tcBorders>
            <w:shd w:val="clear" w:color="auto" w:fill="auto"/>
            <w:noWrap/>
            <w:vAlign w:val="bottom"/>
            <w:hideMark/>
          </w:tcPr>
          <w:p w14:paraId="1AD2D9C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w:t>
            </w:r>
          </w:p>
        </w:tc>
        <w:tc>
          <w:tcPr>
            <w:tcW w:w="478" w:type="pct"/>
            <w:gridSpan w:val="2"/>
            <w:tcBorders>
              <w:top w:val="nil"/>
              <w:left w:val="nil"/>
              <w:bottom w:val="nil"/>
              <w:right w:val="nil"/>
            </w:tcBorders>
            <w:shd w:val="clear" w:color="auto" w:fill="auto"/>
            <w:noWrap/>
            <w:vAlign w:val="bottom"/>
            <w:hideMark/>
          </w:tcPr>
          <w:p w14:paraId="25F8BA6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1,7</w:t>
            </w:r>
          </w:p>
        </w:tc>
        <w:tc>
          <w:tcPr>
            <w:tcW w:w="472" w:type="pct"/>
            <w:gridSpan w:val="2"/>
            <w:tcBorders>
              <w:top w:val="nil"/>
              <w:left w:val="nil"/>
              <w:bottom w:val="nil"/>
              <w:right w:val="nil"/>
            </w:tcBorders>
            <w:shd w:val="clear" w:color="auto" w:fill="auto"/>
            <w:noWrap/>
            <w:vAlign w:val="bottom"/>
            <w:hideMark/>
          </w:tcPr>
          <w:p w14:paraId="52149DF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1,6</w:t>
            </w:r>
          </w:p>
        </w:tc>
      </w:tr>
      <w:tr w:rsidR="006977EE" w:rsidRPr="003278ED" w14:paraId="27CE7BA5" w14:textId="77777777" w:rsidTr="00FF2A90">
        <w:trPr>
          <w:trHeight w:val="300"/>
        </w:trPr>
        <w:tc>
          <w:tcPr>
            <w:tcW w:w="2052" w:type="pct"/>
            <w:gridSpan w:val="2"/>
            <w:tcBorders>
              <w:top w:val="nil"/>
              <w:left w:val="nil"/>
              <w:bottom w:val="nil"/>
              <w:right w:val="nil"/>
            </w:tcBorders>
            <w:shd w:val="clear" w:color="auto" w:fill="auto"/>
            <w:vAlign w:val="bottom"/>
            <w:hideMark/>
          </w:tcPr>
          <w:p w14:paraId="5D667787"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Apărare națională</w:t>
            </w:r>
          </w:p>
        </w:tc>
        <w:tc>
          <w:tcPr>
            <w:tcW w:w="519" w:type="pct"/>
            <w:gridSpan w:val="2"/>
            <w:tcBorders>
              <w:top w:val="nil"/>
              <w:left w:val="nil"/>
              <w:bottom w:val="nil"/>
              <w:right w:val="nil"/>
            </w:tcBorders>
            <w:shd w:val="clear" w:color="auto" w:fill="auto"/>
            <w:noWrap/>
            <w:vAlign w:val="bottom"/>
            <w:hideMark/>
          </w:tcPr>
          <w:p w14:paraId="3F0452E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0,3</w:t>
            </w:r>
          </w:p>
        </w:tc>
        <w:tc>
          <w:tcPr>
            <w:tcW w:w="445" w:type="pct"/>
            <w:gridSpan w:val="2"/>
            <w:tcBorders>
              <w:top w:val="nil"/>
              <w:left w:val="nil"/>
              <w:bottom w:val="nil"/>
              <w:right w:val="nil"/>
            </w:tcBorders>
            <w:shd w:val="clear" w:color="auto" w:fill="auto"/>
            <w:noWrap/>
            <w:vAlign w:val="bottom"/>
            <w:hideMark/>
          </w:tcPr>
          <w:p w14:paraId="23EC5D9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0,5</w:t>
            </w:r>
          </w:p>
        </w:tc>
        <w:tc>
          <w:tcPr>
            <w:tcW w:w="514" w:type="pct"/>
            <w:gridSpan w:val="2"/>
            <w:tcBorders>
              <w:top w:val="nil"/>
              <w:left w:val="nil"/>
              <w:bottom w:val="nil"/>
              <w:right w:val="nil"/>
            </w:tcBorders>
            <w:shd w:val="clear" w:color="auto" w:fill="auto"/>
            <w:noWrap/>
            <w:vAlign w:val="bottom"/>
            <w:hideMark/>
          </w:tcPr>
          <w:p w14:paraId="3DCFAAF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0,5</w:t>
            </w:r>
          </w:p>
        </w:tc>
        <w:tc>
          <w:tcPr>
            <w:tcW w:w="520" w:type="pct"/>
            <w:gridSpan w:val="2"/>
            <w:tcBorders>
              <w:top w:val="nil"/>
              <w:left w:val="nil"/>
              <w:bottom w:val="nil"/>
              <w:right w:val="nil"/>
            </w:tcBorders>
            <w:shd w:val="clear" w:color="auto" w:fill="auto"/>
            <w:noWrap/>
            <w:vAlign w:val="bottom"/>
            <w:hideMark/>
          </w:tcPr>
          <w:p w14:paraId="62DDE32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0,5</w:t>
            </w:r>
          </w:p>
        </w:tc>
        <w:tc>
          <w:tcPr>
            <w:tcW w:w="478" w:type="pct"/>
            <w:gridSpan w:val="2"/>
            <w:tcBorders>
              <w:top w:val="nil"/>
              <w:left w:val="nil"/>
              <w:bottom w:val="nil"/>
              <w:right w:val="nil"/>
            </w:tcBorders>
            <w:shd w:val="clear" w:color="auto" w:fill="auto"/>
            <w:noWrap/>
            <w:vAlign w:val="bottom"/>
            <w:hideMark/>
          </w:tcPr>
          <w:p w14:paraId="755F1AF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0,4</w:t>
            </w:r>
          </w:p>
        </w:tc>
        <w:tc>
          <w:tcPr>
            <w:tcW w:w="472" w:type="pct"/>
            <w:gridSpan w:val="2"/>
            <w:tcBorders>
              <w:top w:val="nil"/>
              <w:left w:val="nil"/>
              <w:bottom w:val="nil"/>
              <w:right w:val="nil"/>
            </w:tcBorders>
            <w:shd w:val="clear" w:color="auto" w:fill="auto"/>
            <w:noWrap/>
            <w:vAlign w:val="bottom"/>
            <w:hideMark/>
          </w:tcPr>
          <w:p w14:paraId="5C9A557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0,4</w:t>
            </w:r>
          </w:p>
        </w:tc>
      </w:tr>
      <w:tr w:rsidR="006977EE" w:rsidRPr="003278ED" w14:paraId="43D45C42" w14:textId="77777777" w:rsidTr="00FF2A90">
        <w:trPr>
          <w:trHeight w:val="300"/>
        </w:trPr>
        <w:tc>
          <w:tcPr>
            <w:tcW w:w="2052" w:type="pct"/>
            <w:gridSpan w:val="2"/>
            <w:tcBorders>
              <w:top w:val="nil"/>
              <w:left w:val="nil"/>
              <w:bottom w:val="nil"/>
              <w:right w:val="nil"/>
            </w:tcBorders>
            <w:shd w:val="clear" w:color="auto" w:fill="auto"/>
            <w:vAlign w:val="bottom"/>
            <w:hideMark/>
          </w:tcPr>
          <w:p w14:paraId="376A3D9C"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Ordine publică și securitate națională</w:t>
            </w:r>
          </w:p>
        </w:tc>
        <w:tc>
          <w:tcPr>
            <w:tcW w:w="519" w:type="pct"/>
            <w:gridSpan w:val="2"/>
            <w:tcBorders>
              <w:top w:val="nil"/>
              <w:left w:val="nil"/>
              <w:bottom w:val="nil"/>
              <w:right w:val="nil"/>
            </w:tcBorders>
            <w:shd w:val="clear" w:color="auto" w:fill="auto"/>
            <w:noWrap/>
            <w:vAlign w:val="bottom"/>
            <w:hideMark/>
          </w:tcPr>
          <w:p w14:paraId="01CA6D4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2,3</w:t>
            </w:r>
          </w:p>
        </w:tc>
        <w:tc>
          <w:tcPr>
            <w:tcW w:w="445" w:type="pct"/>
            <w:gridSpan w:val="2"/>
            <w:tcBorders>
              <w:top w:val="nil"/>
              <w:left w:val="nil"/>
              <w:bottom w:val="nil"/>
              <w:right w:val="nil"/>
            </w:tcBorders>
            <w:shd w:val="clear" w:color="auto" w:fill="auto"/>
            <w:noWrap/>
            <w:vAlign w:val="bottom"/>
            <w:hideMark/>
          </w:tcPr>
          <w:p w14:paraId="4DCE197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2,2</w:t>
            </w:r>
          </w:p>
        </w:tc>
        <w:tc>
          <w:tcPr>
            <w:tcW w:w="514" w:type="pct"/>
            <w:gridSpan w:val="2"/>
            <w:tcBorders>
              <w:top w:val="nil"/>
              <w:left w:val="nil"/>
              <w:bottom w:val="nil"/>
              <w:right w:val="nil"/>
            </w:tcBorders>
            <w:shd w:val="clear" w:color="auto" w:fill="auto"/>
            <w:noWrap/>
            <w:vAlign w:val="bottom"/>
            <w:hideMark/>
          </w:tcPr>
          <w:p w14:paraId="76B32B8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w:t>
            </w:r>
          </w:p>
        </w:tc>
        <w:tc>
          <w:tcPr>
            <w:tcW w:w="520" w:type="pct"/>
            <w:gridSpan w:val="2"/>
            <w:tcBorders>
              <w:top w:val="nil"/>
              <w:left w:val="nil"/>
              <w:bottom w:val="nil"/>
              <w:right w:val="nil"/>
            </w:tcBorders>
            <w:shd w:val="clear" w:color="auto" w:fill="auto"/>
            <w:noWrap/>
            <w:vAlign w:val="bottom"/>
            <w:hideMark/>
          </w:tcPr>
          <w:p w14:paraId="5299568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2,1</w:t>
            </w:r>
          </w:p>
        </w:tc>
        <w:tc>
          <w:tcPr>
            <w:tcW w:w="478" w:type="pct"/>
            <w:gridSpan w:val="2"/>
            <w:tcBorders>
              <w:top w:val="nil"/>
              <w:left w:val="nil"/>
              <w:bottom w:val="nil"/>
              <w:right w:val="nil"/>
            </w:tcBorders>
            <w:shd w:val="clear" w:color="auto" w:fill="auto"/>
            <w:noWrap/>
            <w:vAlign w:val="bottom"/>
            <w:hideMark/>
          </w:tcPr>
          <w:p w14:paraId="5F9917F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1,9</w:t>
            </w:r>
          </w:p>
        </w:tc>
        <w:tc>
          <w:tcPr>
            <w:tcW w:w="472" w:type="pct"/>
            <w:gridSpan w:val="2"/>
            <w:tcBorders>
              <w:top w:val="nil"/>
              <w:left w:val="nil"/>
              <w:bottom w:val="nil"/>
              <w:right w:val="nil"/>
            </w:tcBorders>
            <w:shd w:val="clear" w:color="auto" w:fill="auto"/>
            <w:noWrap/>
            <w:vAlign w:val="bottom"/>
            <w:hideMark/>
          </w:tcPr>
          <w:p w14:paraId="0F3A1F6D"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1,8</w:t>
            </w:r>
          </w:p>
        </w:tc>
      </w:tr>
      <w:tr w:rsidR="006977EE" w:rsidRPr="003278ED" w14:paraId="7DF7AFA2" w14:textId="77777777" w:rsidTr="00FF2A90">
        <w:trPr>
          <w:trHeight w:val="300"/>
        </w:trPr>
        <w:tc>
          <w:tcPr>
            <w:tcW w:w="2052" w:type="pct"/>
            <w:gridSpan w:val="2"/>
            <w:tcBorders>
              <w:top w:val="nil"/>
              <w:left w:val="nil"/>
              <w:bottom w:val="nil"/>
              <w:right w:val="nil"/>
            </w:tcBorders>
            <w:shd w:val="clear" w:color="auto" w:fill="auto"/>
            <w:vAlign w:val="bottom"/>
            <w:hideMark/>
          </w:tcPr>
          <w:p w14:paraId="44E42AA4"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Servicii în domeniul economiei</w:t>
            </w:r>
          </w:p>
        </w:tc>
        <w:tc>
          <w:tcPr>
            <w:tcW w:w="519" w:type="pct"/>
            <w:gridSpan w:val="2"/>
            <w:tcBorders>
              <w:top w:val="nil"/>
              <w:left w:val="nil"/>
              <w:bottom w:val="nil"/>
              <w:right w:val="nil"/>
            </w:tcBorders>
            <w:shd w:val="clear" w:color="auto" w:fill="auto"/>
            <w:noWrap/>
            <w:vAlign w:val="bottom"/>
            <w:hideMark/>
          </w:tcPr>
          <w:p w14:paraId="0044A72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4,0</w:t>
            </w:r>
          </w:p>
        </w:tc>
        <w:tc>
          <w:tcPr>
            <w:tcW w:w="445" w:type="pct"/>
            <w:gridSpan w:val="2"/>
            <w:tcBorders>
              <w:top w:val="nil"/>
              <w:left w:val="nil"/>
              <w:bottom w:val="nil"/>
              <w:right w:val="nil"/>
            </w:tcBorders>
            <w:shd w:val="clear" w:color="auto" w:fill="auto"/>
            <w:noWrap/>
            <w:vAlign w:val="bottom"/>
            <w:hideMark/>
          </w:tcPr>
          <w:p w14:paraId="64CE3BC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3,7</w:t>
            </w:r>
          </w:p>
        </w:tc>
        <w:tc>
          <w:tcPr>
            <w:tcW w:w="514" w:type="pct"/>
            <w:gridSpan w:val="2"/>
            <w:tcBorders>
              <w:top w:val="nil"/>
              <w:left w:val="nil"/>
              <w:bottom w:val="nil"/>
              <w:right w:val="nil"/>
            </w:tcBorders>
            <w:shd w:val="clear" w:color="auto" w:fill="auto"/>
            <w:noWrap/>
            <w:vAlign w:val="bottom"/>
            <w:hideMark/>
          </w:tcPr>
          <w:p w14:paraId="56D7C6E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3,4</w:t>
            </w:r>
          </w:p>
        </w:tc>
        <w:tc>
          <w:tcPr>
            <w:tcW w:w="520" w:type="pct"/>
            <w:gridSpan w:val="2"/>
            <w:tcBorders>
              <w:top w:val="nil"/>
              <w:left w:val="nil"/>
              <w:bottom w:val="nil"/>
              <w:right w:val="nil"/>
            </w:tcBorders>
            <w:shd w:val="clear" w:color="auto" w:fill="auto"/>
            <w:noWrap/>
            <w:vAlign w:val="bottom"/>
            <w:hideMark/>
          </w:tcPr>
          <w:p w14:paraId="2EF6D8C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3,3</w:t>
            </w:r>
          </w:p>
        </w:tc>
        <w:tc>
          <w:tcPr>
            <w:tcW w:w="478" w:type="pct"/>
            <w:gridSpan w:val="2"/>
            <w:tcBorders>
              <w:top w:val="nil"/>
              <w:left w:val="nil"/>
              <w:bottom w:val="nil"/>
              <w:right w:val="nil"/>
            </w:tcBorders>
            <w:shd w:val="clear" w:color="auto" w:fill="auto"/>
            <w:noWrap/>
            <w:vAlign w:val="bottom"/>
            <w:hideMark/>
          </w:tcPr>
          <w:p w14:paraId="4EE6EEA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3,3</w:t>
            </w:r>
          </w:p>
        </w:tc>
        <w:tc>
          <w:tcPr>
            <w:tcW w:w="472" w:type="pct"/>
            <w:gridSpan w:val="2"/>
            <w:tcBorders>
              <w:top w:val="nil"/>
              <w:left w:val="nil"/>
              <w:bottom w:val="nil"/>
              <w:right w:val="nil"/>
            </w:tcBorders>
            <w:shd w:val="clear" w:color="auto" w:fill="auto"/>
            <w:noWrap/>
            <w:vAlign w:val="bottom"/>
            <w:hideMark/>
          </w:tcPr>
          <w:p w14:paraId="0C5D9A5E"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3,0</w:t>
            </w:r>
          </w:p>
        </w:tc>
      </w:tr>
      <w:tr w:rsidR="006977EE" w:rsidRPr="003278ED" w14:paraId="072CF4EA" w14:textId="77777777" w:rsidTr="00FF2A90">
        <w:trPr>
          <w:trHeight w:val="300"/>
        </w:trPr>
        <w:tc>
          <w:tcPr>
            <w:tcW w:w="2052" w:type="pct"/>
            <w:gridSpan w:val="2"/>
            <w:tcBorders>
              <w:top w:val="nil"/>
              <w:left w:val="nil"/>
              <w:bottom w:val="nil"/>
              <w:right w:val="nil"/>
            </w:tcBorders>
            <w:shd w:val="clear" w:color="auto" w:fill="auto"/>
            <w:vAlign w:val="center"/>
            <w:hideMark/>
          </w:tcPr>
          <w:p w14:paraId="2219CF7E"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Protecția mediului</w:t>
            </w:r>
          </w:p>
        </w:tc>
        <w:tc>
          <w:tcPr>
            <w:tcW w:w="519" w:type="pct"/>
            <w:gridSpan w:val="2"/>
            <w:tcBorders>
              <w:top w:val="nil"/>
              <w:left w:val="nil"/>
              <w:bottom w:val="nil"/>
              <w:right w:val="nil"/>
            </w:tcBorders>
            <w:shd w:val="clear" w:color="auto" w:fill="auto"/>
            <w:noWrap/>
            <w:vAlign w:val="bottom"/>
            <w:hideMark/>
          </w:tcPr>
          <w:p w14:paraId="5339CF2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0,1</w:t>
            </w:r>
          </w:p>
        </w:tc>
        <w:tc>
          <w:tcPr>
            <w:tcW w:w="445" w:type="pct"/>
            <w:gridSpan w:val="2"/>
            <w:tcBorders>
              <w:top w:val="nil"/>
              <w:left w:val="nil"/>
              <w:bottom w:val="nil"/>
              <w:right w:val="nil"/>
            </w:tcBorders>
            <w:shd w:val="clear" w:color="auto" w:fill="auto"/>
            <w:noWrap/>
            <w:vAlign w:val="bottom"/>
            <w:hideMark/>
          </w:tcPr>
          <w:p w14:paraId="6BCC850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0,1</w:t>
            </w:r>
          </w:p>
        </w:tc>
        <w:tc>
          <w:tcPr>
            <w:tcW w:w="514" w:type="pct"/>
            <w:gridSpan w:val="2"/>
            <w:tcBorders>
              <w:top w:val="nil"/>
              <w:left w:val="nil"/>
              <w:bottom w:val="nil"/>
              <w:right w:val="nil"/>
            </w:tcBorders>
            <w:shd w:val="clear" w:color="auto" w:fill="auto"/>
            <w:noWrap/>
            <w:vAlign w:val="bottom"/>
            <w:hideMark/>
          </w:tcPr>
          <w:p w14:paraId="20181511"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520" w:type="pct"/>
            <w:gridSpan w:val="2"/>
            <w:tcBorders>
              <w:top w:val="nil"/>
              <w:left w:val="nil"/>
              <w:bottom w:val="nil"/>
              <w:right w:val="nil"/>
            </w:tcBorders>
            <w:shd w:val="clear" w:color="auto" w:fill="auto"/>
            <w:noWrap/>
            <w:vAlign w:val="bottom"/>
            <w:hideMark/>
          </w:tcPr>
          <w:p w14:paraId="56ECF79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478" w:type="pct"/>
            <w:gridSpan w:val="2"/>
            <w:tcBorders>
              <w:top w:val="nil"/>
              <w:left w:val="nil"/>
              <w:bottom w:val="nil"/>
              <w:right w:val="nil"/>
            </w:tcBorders>
            <w:shd w:val="clear" w:color="auto" w:fill="auto"/>
            <w:noWrap/>
            <w:vAlign w:val="bottom"/>
            <w:hideMark/>
          </w:tcPr>
          <w:p w14:paraId="5BE2D0C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c>
          <w:tcPr>
            <w:tcW w:w="472" w:type="pct"/>
            <w:gridSpan w:val="2"/>
            <w:tcBorders>
              <w:top w:val="nil"/>
              <w:left w:val="nil"/>
              <w:bottom w:val="nil"/>
              <w:right w:val="nil"/>
            </w:tcBorders>
            <w:shd w:val="clear" w:color="auto" w:fill="auto"/>
            <w:noWrap/>
            <w:vAlign w:val="bottom"/>
            <w:hideMark/>
          </w:tcPr>
          <w:p w14:paraId="276FCD8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0,2</w:t>
            </w:r>
          </w:p>
        </w:tc>
      </w:tr>
      <w:tr w:rsidR="006977EE" w:rsidRPr="003278ED" w14:paraId="1BEFCAF1" w14:textId="77777777" w:rsidTr="00FF2A90">
        <w:trPr>
          <w:trHeight w:val="390"/>
        </w:trPr>
        <w:tc>
          <w:tcPr>
            <w:tcW w:w="2052" w:type="pct"/>
            <w:gridSpan w:val="2"/>
            <w:tcBorders>
              <w:top w:val="nil"/>
              <w:left w:val="nil"/>
              <w:bottom w:val="nil"/>
              <w:right w:val="nil"/>
            </w:tcBorders>
            <w:shd w:val="clear" w:color="auto" w:fill="auto"/>
            <w:vAlign w:val="bottom"/>
            <w:hideMark/>
          </w:tcPr>
          <w:p w14:paraId="62BC56F3"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Gospodăria de locuințe și gospodăria serviciilor comunale</w:t>
            </w:r>
          </w:p>
        </w:tc>
        <w:tc>
          <w:tcPr>
            <w:tcW w:w="519" w:type="pct"/>
            <w:gridSpan w:val="2"/>
            <w:tcBorders>
              <w:top w:val="nil"/>
              <w:left w:val="nil"/>
              <w:bottom w:val="nil"/>
              <w:right w:val="nil"/>
            </w:tcBorders>
            <w:shd w:val="clear" w:color="auto" w:fill="auto"/>
            <w:noWrap/>
            <w:vAlign w:val="bottom"/>
            <w:hideMark/>
          </w:tcPr>
          <w:p w14:paraId="6E608CF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1,1</w:t>
            </w:r>
          </w:p>
        </w:tc>
        <w:tc>
          <w:tcPr>
            <w:tcW w:w="445" w:type="pct"/>
            <w:gridSpan w:val="2"/>
            <w:tcBorders>
              <w:top w:val="nil"/>
              <w:left w:val="nil"/>
              <w:bottom w:val="nil"/>
              <w:right w:val="nil"/>
            </w:tcBorders>
            <w:shd w:val="clear" w:color="auto" w:fill="auto"/>
            <w:noWrap/>
            <w:vAlign w:val="bottom"/>
            <w:hideMark/>
          </w:tcPr>
          <w:p w14:paraId="090D57D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w:t>
            </w:r>
          </w:p>
        </w:tc>
        <w:tc>
          <w:tcPr>
            <w:tcW w:w="514" w:type="pct"/>
            <w:gridSpan w:val="2"/>
            <w:tcBorders>
              <w:top w:val="nil"/>
              <w:left w:val="nil"/>
              <w:bottom w:val="nil"/>
              <w:right w:val="nil"/>
            </w:tcBorders>
            <w:shd w:val="clear" w:color="auto" w:fill="auto"/>
            <w:noWrap/>
            <w:vAlign w:val="bottom"/>
            <w:hideMark/>
          </w:tcPr>
          <w:p w14:paraId="5FEED6A6"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0,8</w:t>
            </w:r>
          </w:p>
        </w:tc>
        <w:tc>
          <w:tcPr>
            <w:tcW w:w="520" w:type="pct"/>
            <w:gridSpan w:val="2"/>
            <w:tcBorders>
              <w:top w:val="nil"/>
              <w:left w:val="nil"/>
              <w:bottom w:val="nil"/>
              <w:right w:val="nil"/>
            </w:tcBorders>
            <w:shd w:val="clear" w:color="auto" w:fill="auto"/>
            <w:noWrap/>
            <w:vAlign w:val="bottom"/>
            <w:hideMark/>
          </w:tcPr>
          <w:p w14:paraId="68AD837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w:t>
            </w:r>
          </w:p>
        </w:tc>
        <w:tc>
          <w:tcPr>
            <w:tcW w:w="478" w:type="pct"/>
            <w:gridSpan w:val="2"/>
            <w:tcBorders>
              <w:top w:val="nil"/>
              <w:left w:val="nil"/>
              <w:bottom w:val="nil"/>
              <w:right w:val="nil"/>
            </w:tcBorders>
            <w:shd w:val="clear" w:color="auto" w:fill="auto"/>
            <w:noWrap/>
            <w:vAlign w:val="bottom"/>
            <w:hideMark/>
          </w:tcPr>
          <w:p w14:paraId="6399019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w:t>
            </w:r>
          </w:p>
        </w:tc>
        <w:tc>
          <w:tcPr>
            <w:tcW w:w="472" w:type="pct"/>
            <w:gridSpan w:val="2"/>
            <w:tcBorders>
              <w:top w:val="nil"/>
              <w:left w:val="nil"/>
              <w:bottom w:val="nil"/>
              <w:right w:val="nil"/>
            </w:tcBorders>
            <w:shd w:val="clear" w:color="auto" w:fill="auto"/>
            <w:noWrap/>
            <w:vAlign w:val="bottom"/>
            <w:hideMark/>
          </w:tcPr>
          <w:p w14:paraId="7FDEA869"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0,9</w:t>
            </w:r>
          </w:p>
        </w:tc>
      </w:tr>
      <w:tr w:rsidR="006977EE" w:rsidRPr="003278ED" w14:paraId="0910DAE7" w14:textId="77777777" w:rsidTr="00FF2A90">
        <w:trPr>
          <w:trHeight w:val="300"/>
        </w:trPr>
        <w:tc>
          <w:tcPr>
            <w:tcW w:w="2052" w:type="pct"/>
            <w:gridSpan w:val="2"/>
            <w:tcBorders>
              <w:top w:val="nil"/>
              <w:left w:val="nil"/>
              <w:bottom w:val="nil"/>
              <w:right w:val="nil"/>
            </w:tcBorders>
            <w:shd w:val="clear" w:color="auto" w:fill="auto"/>
            <w:vAlign w:val="bottom"/>
            <w:hideMark/>
          </w:tcPr>
          <w:p w14:paraId="594950B2"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Ocrotirea sănătății</w:t>
            </w:r>
          </w:p>
        </w:tc>
        <w:tc>
          <w:tcPr>
            <w:tcW w:w="519" w:type="pct"/>
            <w:gridSpan w:val="2"/>
            <w:tcBorders>
              <w:top w:val="nil"/>
              <w:left w:val="nil"/>
              <w:bottom w:val="nil"/>
              <w:right w:val="nil"/>
            </w:tcBorders>
            <w:shd w:val="clear" w:color="auto" w:fill="auto"/>
            <w:noWrap/>
            <w:vAlign w:val="bottom"/>
            <w:hideMark/>
          </w:tcPr>
          <w:p w14:paraId="6CA9B20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w:t>
            </w:r>
          </w:p>
        </w:tc>
        <w:tc>
          <w:tcPr>
            <w:tcW w:w="445" w:type="pct"/>
            <w:gridSpan w:val="2"/>
            <w:tcBorders>
              <w:top w:val="nil"/>
              <w:left w:val="nil"/>
              <w:bottom w:val="nil"/>
              <w:right w:val="nil"/>
            </w:tcBorders>
            <w:shd w:val="clear" w:color="auto" w:fill="auto"/>
            <w:noWrap/>
            <w:vAlign w:val="bottom"/>
            <w:hideMark/>
          </w:tcPr>
          <w:p w14:paraId="451E951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5,3</w:t>
            </w:r>
          </w:p>
        </w:tc>
        <w:tc>
          <w:tcPr>
            <w:tcW w:w="514" w:type="pct"/>
            <w:gridSpan w:val="2"/>
            <w:tcBorders>
              <w:top w:val="nil"/>
              <w:left w:val="nil"/>
              <w:bottom w:val="nil"/>
              <w:right w:val="nil"/>
            </w:tcBorders>
            <w:shd w:val="clear" w:color="auto" w:fill="auto"/>
            <w:noWrap/>
            <w:vAlign w:val="bottom"/>
            <w:hideMark/>
          </w:tcPr>
          <w:p w14:paraId="4149C31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w:t>
            </w:r>
          </w:p>
        </w:tc>
        <w:tc>
          <w:tcPr>
            <w:tcW w:w="520" w:type="pct"/>
            <w:gridSpan w:val="2"/>
            <w:tcBorders>
              <w:top w:val="nil"/>
              <w:left w:val="nil"/>
              <w:bottom w:val="nil"/>
              <w:right w:val="nil"/>
            </w:tcBorders>
            <w:shd w:val="clear" w:color="auto" w:fill="auto"/>
            <w:noWrap/>
            <w:vAlign w:val="bottom"/>
            <w:hideMark/>
          </w:tcPr>
          <w:p w14:paraId="45CECE6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5,3</w:t>
            </w:r>
          </w:p>
        </w:tc>
        <w:tc>
          <w:tcPr>
            <w:tcW w:w="478" w:type="pct"/>
            <w:gridSpan w:val="2"/>
            <w:tcBorders>
              <w:top w:val="nil"/>
              <w:left w:val="nil"/>
              <w:bottom w:val="nil"/>
              <w:right w:val="nil"/>
            </w:tcBorders>
            <w:shd w:val="clear" w:color="auto" w:fill="auto"/>
            <w:noWrap/>
            <w:vAlign w:val="bottom"/>
            <w:hideMark/>
          </w:tcPr>
          <w:p w14:paraId="29D13F5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5,2</w:t>
            </w:r>
          </w:p>
        </w:tc>
        <w:tc>
          <w:tcPr>
            <w:tcW w:w="472" w:type="pct"/>
            <w:gridSpan w:val="2"/>
            <w:tcBorders>
              <w:top w:val="nil"/>
              <w:left w:val="nil"/>
              <w:bottom w:val="nil"/>
              <w:right w:val="nil"/>
            </w:tcBorders>
            <w:shd w:val="clear" w:color="auto" w:fill="auto"/>
            <w:noWrap/>
            <w:vAlign w:val="bottom"/>
            <w:hideMark/>
          </w:tcPr>
          <w:p w14:paraId="5B77414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w:t>
            </w:r>
          </w:p>
        </w:tc>
      </w:tr>
      <w:tr w:rsidR="006977EE" w:rsidRPr="003278ED" w14:paraId="4B1DA88A" w14:textId="77777777" w:rsidTr="00FF2A90">
        <w:trPr>
          <w:trHeight w:val="300"/>
        </w:trPr>
        <w:tc>
          <w:tcPr>
            <w:tcW w:w="2052" w:type="pct"/>
            <w:gridSpan w:val="2"/>
            <w:tcBorders>
              <w:top w:val="nil"/>
              <w:left w:val="nil"/>
              <w:bottom w:val="nil"/>
              <w:right w:val="nil"/>
            </w:tcBorders>
            <w:shd w:val="clear" w:color="auto" w:fill="auto"/>
            <w:vAlign w:val="bottom"/>
            <w:hideMark/>
          </w:tcPr>
          <w:p w14:paraId="66AA7EAC"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Cultură, sport, tineret, culte și odihnă</w:t>
            </w:r>
          </w:p>
        </w:tc>
        <w:tc>
          <w:tcPr>
            <w:tcW w:w="519" w:type="pct"/>
            <w:gridSpan w:val="2"/>
            <w:tcBorders>
              <w:top w:val="nil"/>
              <w:left w:val="nil"/>
              <w:bottom w:val="nil"/>
              <w:right w:val="nil"/>
            </w:tcBorders>
            <w:shd w:val="clear" w:color="auto" w:fill="auto"/>
            <w:noWrap/>
            <w:vAlign w:val="bottom"/>
            <w:hideMark/>
          </w:tcPr>
          <w:p w14:paraId="35CA738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0,9</w:t>
            </w:r>
          </w:p>
        </w:tc>
        <w:tc>
          <w:tcPr>
            <w:tcW w:w="445" w:type="pct"/>
            <w:gridSpan w:val="2"/>
            <w:tcBorders>
              <w:top w:val="nil"/>
              <w:left w:val="nil"/>
              <w:bottom w:val="nil"/>
              <w:right w:val="nil"/>
            </w:tcBorders>
            <w:shd w:val="clear" w:color="auto" w:fill="auto"/>
            <w:noWrap/>
            <w:vAlign w:val="bottom"/>
            <w:hideMark/>
          </w:tcPr>
          <w:p w14:paraId="32BE391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1,0</w:t>
            </w:r>
          </w:p>
        </w:tc>
        <w:tc>
          <w:tcPr>
            <w:tcW w:w="514" w:type="pct"/>
            <w:gridSpan w:val="2"/>
            <w:tcBorders>
              <w:top w:val="nil"/>
              <w:left w:val="nil"/>
              <w:bottom w:val="nil"/>
              <w:right w:val="nil"/>
            </w:tcBorders>
            <w:shd w:val="clear" w:color="auto" w:fill="auto"/>
            <w:noWrap/>
            <w:vAlign w:val="bottom"/>
            <w:hideMark/>
          </w:tcPr>
          <w:p w14:paraId="469FF7CC"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0,9</w:t>
            </w:r>
          </w:p>
        </w:tc>
        <w:tc>
          <w:tcPr>
            <w:tcW w:w="520" w:type="pct"/>
            <w:gridSpan w:val="2"/>
            <w:tcBorders>
              <w:top w:val="nil"/>
              <w:left w:val="nil"/>
              <w:bottom w:val="nil"/>
              <w:right w:val="nil"/>
            </w:tcBorders>
            <w:shd w:val="clear" w:color="auto" w:fill="auto"/>
            <w:noWrap/>
            <w:vAlign w:val="bottom"/>
            <w:hideMark/>
          </w:tcPr>
          <w:p w14:paraId="01F236E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0,8</w:t>
            </w:r>
          </w:p>
        </w:tc>
        <w:tc>
          <w:tcPr>
            <w:tcW w:w="478" w:type="pct"/>
            <w:gridSpan w:val="2"/>
            <w:tcBorders>
              <w:top w:val="nil"/>
              <w:left w:val="nil"/>
              <w:bottom w:val="nil"/>
              <w:right w:val="nil"/>
            </w:tcBorders>
            <w:shd w:val="clear" w:color="auto" w:fill="auto"/>
            <w:noWrap/>
            <w:vAlign w:val="bottom"/>
            <w:hideMark/>
          </w:tcPr>
          <w:p w14:paraId="44314E67"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0,7</w:t>
            </w:r>
          </w:p>
        </w:tc>
        <w:tc>
          <w:tcPr>
            <w:tcW w:w="472" w:type="pct"/>
            <w:gridSpan w:val="2"/>
            <w:tcBorders>
              <w:top w:val="nil"/>
              <w:left w:val="nil"/>
              <w:bottom w:val="nil"/>
              <w:right w:val="nil"/>
            </w:tcBorders>
            <w:shd w:val="clear" w:color="auto" w:fill="auto"/>
            <w:noWrap/>
            <w:vAlign w:val="bottom"/>
            <w:hideMark/>
          </w:tcPr>
          <w:p w14:paraId="3299A36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0,6</w:t>
            </w:r>
          </w:p>
        </w:tc>
      </w:tr>
      <w:tr w:rsidR="006977EE" w:rsidRPr="003278ED" w14:paraId="00A6C9FD" w14:textId="77777777" w:rsidTr="00FF2A90">
        <w:trPr>
          <w:trHeight w:val="300"/>
        </w:trPr>
        <w:tc>
          <w:tcPr>
            <w:tcW w:w="2052" w:type="pct"/>
            <w:gridSpan w:val="2"/>
            <w:tcBorders>
              <w:top w:val="nil"/>
              <w:left w:val="nil"/>
              <w:bottom w:val="nil"/>
              <w:right w:val="nil"/>
            </w:tcBorders>
            <w:shd w:val="clear" w:color="auto" w:fill="auto"/>
            <w:vAlign w:val="bottom"/>
            <w:hideMark/>
          </w:tcPr>
          <w:p w14:paraId="4BD789FA"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Învățământ</w:t>
            </w:r>
          </w:p>
        </w:tc>
        <w:tc>
          <w:tcPr>
            <w:tcW w:w="519" w:type="pct"/>
            <w:gridSpan w:val="2"/>
            <w:tcBorders>
              <w:top w:val="nil"/>
              <w:left w:val="nil"/>
              <w:bottom w:val="nil"/>
              <w:right w:val="nil"/>
            </w:tcBorders>
            <w:shd w:val="clear" w:color="auto" w:fill="auto"/>
            <w:noWrap/>
            <w:vAlign w:val="bottom"/>
            <w:hideMark/>
          </w:tcPr>
          <w:p w14:paraId="26D51F7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5,8</w:t>
            </w:r>
          </w:p>
        </w:tc>
        <w:tc>
          <w:tcPr>
            <w:tcW w:w="445" w:type="pct"/>
            <w:gridSpan w:val="2"/>
            <w:tcBorders>
              <w:top w:val="nil"/>
              <w:left w:val="nil"/>
              <w:bottom w:val="nil"/>
              <w:right w:val="nil"/>
            </w:tcBorders>
            <w:shd w:val="clear" w:color="auto" w:fill="auto"/>
            <w:noWrap/>
            <w:vAlign w:val="bottom"/>
            <w:hideMark/>
          </w:tcPr>
          <w:p w14:paraId="59255520"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6,3</w:t>
            </w:r>
          </w:p>
        </w:tc>
        <w:tc>
          <w:tcPr>
            <w:tcW w:w="514" w:type="pct"/>
            <w:gridSpan w:val="2"/>
            <w:tcBorders>
              <w:top w:val="nil"/>
              <w:left w:val="nil"/>
              <w:bottom w:val="nil"/>
              <w:right w:val="nil"/>
            </w:tcBorders>
            <w:shd w:val="clear" w:color="auto" w:fill="auto"/>
            <w:noWrap/>
            <w:vAlign w:val="bottom"/>
            <w:hideMark/>
          </w:tcPr>
          <w:p w14:paraId="083F833F"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5,4</w:t>
            </w:r>
          </w:p>
        </w:tc>
        <w:tc>
          <w:tcPr>
            <w:tcW w:w="520" w:type="pct"/>
            <w:gridSpan w:val="2"/>
            <w:tcBorders>
              <w:top w:val="nil"/>
              <w:left w:val="nil"/>
              <w:bottom w:val="nil"/>
              <w:right w:val="nil"/>
            </w:tcBorders>
            <w:shd w:val="clear" w:color="auto" w:fill="auto"/>
            <w:noWrap/>
            <w:vAlign w:val="bottom"/>
            <w:hideMark/>
          </w:tcPr>
          <w:p w14:paraId="079ABA78"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5,5</w:t>
            </w:r>
          </w:p>
        </w:tc>
        <w:tc>
          <w:tcPr>
            <w:tcW w:w="478" w:type="pct"/>
            <w:gridSpan w:val="2"/>
            <w:tcBorders>
              <w:top w:val="nil"/>
              <w:left w:val="nil"/>
              <w:bottom w:val="nil"/>
              <w:right w:val="nil"/>
            </w:tcBorders>
            <w:shd w:val="clear" w:color="auto" w:fill="auto"/>
            <w:noWrap/>
            <w:vAlign w:val="bottom"/>
            <w:hideMark/>
          </w:tcPr>
          <w:p w14:paraId="55F03202"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5,0</w:t>
            </w:r>
          </w:p>
        </w:tc>
        <w:tc>
          <w:tcPr>
            <w:tcW w:w="472" w:type="pct"/>
            <w:gridSpan w:val="2"/>
            <w:tcBorders>
              <w:top w:val="nil"/>
              <w:left w:val="nil"/>
              <w:bottom w:val="nil"/>
              <w:right w:val="nil"/>
            </w:tcBorders>
            <w:shd w:val="clear" w:color="auto" w:fill="auto"/>
            <w:noWrap/>
            <w:vAlign w:val="bottom"/>
            <w:hideMark/>
          </w:tcPr>
          <w:p w14:paraId="7ABB5B34"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4,6</w:t>
            </w:r>
          </w:p>
        </w:tc>
      </w:tr>
      <w:tr w:rsidR="006977EE" w:rsidRPr="003278ED" w14:paraId="0AFC2507" w14:textId="77777777" w:rsidTr="00FF2A90">
        <w:trPr>
          <w:trHeight w:val="300"/>
        </w:trPr>
        <w:tc>
          <w:tcPr>
            <w:tcW w:w="2052" w:type="pct"/>
            <w:gridSpan w:val="2"/>
            <w:tcBorders>
              <w:top w:val="nil"/>
              <w:left w:val="nil"/>
              <w:bottom w:val="single" w:sz="4" w:space="0" w:color="auto"/>
              <w:right w:val="nil"/>
            </w:tcBorders>
            <w:shd w:val="clear" w:color="auto" w:fill="auto"/>
            <w:vAlign w:val="bottom"/>
            <w:hideMark/>
          </w:tcPr>
          <w:p w14:paraId="199F9833" w14:textId="77777777" w:rsidR="006977EE" w:rsidRPr="003278ED" w:rsidRDefault="006977EE" w:rsidP="007D3A2B">
            <w:pPr>
              <w:spacing w:after="0" w:line="240" w:lineRule="auto"/>
              <w:ind w:firstLineChars="100" w:firstLine="160"/>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Protecție socială</w:t>
            </w:r>
          </w:p>
        </w:tc>
        <w:tc>
          <w:tcPr>
            <w:tcW w:w="519" w:type="pct"/>
            <w:gridSpan w:val="2"/>
            <w:tcBorders>
              <w:top w:val="nil"/>
              <w:left w:val="nil"/>
              <w:bottom w:val="single" w:sz="4" w:space="0" w:color="auto"/>
              <w:right w:val="nil"/>
            </w:tcBorders>
            <w:shd w:val="clear" w:color="auto" w:fill="auto"/>
            <w:noWrap/>
            <w:vAlign w:val="bottom"/>
            <w:hideMark/>
          </w:tcPr>
          <w:p w14:paraId="1A9E933B"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14,3</w:t>
            </w:r>
          </w:p>
        </w:tc>
        <w:tc>
          <w:tcPr>
            <w:tcW w:w="445" w:type="pct"/>
            <w:gridSpan w:val="2"/>
            <w:tcBorders>
              <w:top w:val="nil"/>
              <w:left w:val="nil"/>
              <w:bottom w:val="single" w:sz="4" w:space="0" w:color="auto"/>
              <w:right w:val="nil"/>
            </w:tcBorders>
            <w:shd w:val="clear" w:color="auto" w:fill="auto"/>
            <w:noWrap/>
            <w:vAlign w:val="bottom"/>
            <w:hideMark/>
          </w:tcPr>
          <w:p w14:paraId="5082EDFA"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15,0</w:t>
            </w:r>
          </w:p>
        </w:tc>
        <w:tc>
          <w:tcPr>
            <w:tcW w:w="514" w:type="pct"/>
            <w:gridSpan w:val="2"/>
            <w:tcBorders>
              <w:top w:val="nil"/>
              <w:left w:val="nil"/>
              <w:bottom w:val="single" w:sz="4" w:space="0" w:color="auto"/>
              <w:right w:val="nil"/>
            </w:tcBorders>
            <w:shd w:val="clear" w:color="auto" w:fill="auto"/>
            <w:noWrap/>
            <w:vAlign w:val="bottom"/>
            <w:hideMark/>
          </w:tcPr>
          <w:p w14:paraId="49F0601B"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13,7</w:t>
            </w:r>
          </w:p>
        </w:tc>
        <w:tc>
          <w:tcPr>
            <w:tcW w:w="520" w:type="pct"/>
            <w:gridSpan w:val="2"/>
            <w:tcBorders>
              <w:top w:val="nil"/>
              <w:left w:val="nil"/>
              <w:bottom w:val="single" w:sz="4" w:space="0" w:color="auto"/>
              <w:right w:val="nil"/>
            </w:tcBorders>
            <w:shd w:val="clear" w:color="auto" w:fill="auto"/>
            <w:noWrap/>
            <w:vAlign w:val="bottom"/>
            <w:hideMark/>
          </w:tcPr>
          <w:p w14:paraId="25A3CA85"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14,0</w:t>
            </w:r>
          </w:p>
        </w:tc>
        <w:tc>
          <w:tcPr>
            <w:tcW w:w="478" w:type="pct"/>
            <w:gridSpan w:val="2"/>
            <w:tcBorders>
              <w:top w:val="nil"/>
              <w:left w:val="nil"/>
              <w:bottom w:val="single" w:sz="4" w:space="0" w:color="auto"/>
              <w:right w:val="nil"/>
            </w:tcBorders>
            <w:shd w:val="clear" w:color="auto" w:fill="auto"/>
            <w:noWrap/>
            <w:vAlign w:val="bottom"/>
            <w:hideMark/>
          </w:tcPr>
          <w:p w14:paraId="179D1A93"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13,5</w:t>
            </w:r>
          </w:p>
        </w:tc>
        <w:tc>
          <w:tcPr>
            <w:tcW w:w="472" w:type="pct"/>
            <w:gridSpan w:val="2"/>
            <w:tcBorders>
              <w:top w:val="nil"/>
              <w:left w:val="nil"/>
              <w:bottom w:val="single" w:sz="4" w:space="0" w:color="auto"/>
              <w:right w:val="nil"/>
            </w:tcBorders>
            <w:shd w:val="clear" w:color="auto" w:fill="auto"/>
            <w:noWrap/>
            <w:vAlign w:val="bottom"/>
            <w:hideMark/>
          </w:tcPr>
          <w:p w14:paraId="01112D1B" w14:textId="77777777" w:rsidR="006977EE" w:rsidRPr="003278ED" w:rsidRDefault="006977EE" w:rsidP="007D3A2B">
            <w:pPr>
              <w:spacing w:after="0" w:line="240" w:lineRule="auto"/>
              <w:jc w:val="right"/>
              <w:rPr>
                <w:rFonts w:ascii="Times New Roman" w:eastAsia="Times New Roman" w:hAnsi="Times New Roman" w:cs="Times New Roman"/>
                <w:sz w:val="16"/>
                <w:szCs w:val="16"/>
              </w:rPr>
            </w:pPr>
            <w:r w:rsidRPr="003278ED">
              <w:rPr>
                <w:rFonts w:ascii="Times New Roman" w:eastAsia="Times New Roman" w:hAnsi="Times New Roman" w:cs="Times New Roman"/>
                <w:sz w:val="16"/>
                <w:szCs w:val="16"/>
              </w:rPr>
              <w:t>13,1</w:t>
            </w:r>
          </w:p>
        </w:tc>
      </w:tr>
      <w:tr w:rsidR="00AB0A71" w:rsidRPr="003278ED" w14:paraId="711789B8" w14:textId="77777777" w:rsidTr="00FF2A90">
        <w:trPr>
          <w:gridAfter w:val="1"/>
          <w:wAfter w:w="28" w:type="pct"/>
          <w:trHeight w:val="240"/>
        </w:trPr>
        <w:tc>
          <w:tcPr>
            <w:tcW w:w="1650" w:type="pct"/>
            <w:tcBorders>
              <w:top w:val="single" w:sz="4" w:space="0" w:color="auto"/>
              <w:left w:val="nil"/>
              <w:bottom w:val="nil"/>
              <w:right w:val="nil"/>
            </w:tcBorders>
            <w:shd w:val="clear" w:color="auto" w:fill="auto"/>
            <w:vAlign w:val="bottom"/>
            <w:hideMark/>
          </w:tcPr>
          <w:p w14:paraId="69E70915" w14:textId="77777777" w:rsidR="00AB0A71" w:rsidRPr="003278ED" w:rsidRDefault="00AB0A71" w:rsidP="007D3A2B">
            <w:pPr>
              <w:spacing w:after="0" w:line="240" w:lineRule="auto"/>
              <w:rPr>
                <w:rFonts w:ascii="Times New Roman" w:hAnsi="Times New Roman" w:cs="Times New Roman"/>
                <w:i/>
                <w:iCs/>
                <w:sz w:val="20"/>
                <w:szCs w:val="20"/>
              </w:rPr>
            </w:pPr>
            <w:r w:rsidRPr="003278ED">
              <w:rPr>
                <w:rFonts w:ascii="Times New Roman" w:hAnsi="Times New Roman" w:cs="Times New Roman"/>
                <w:i/>
                <w:iCs/>
                <w:sz w:val="20"/>
                <w:szCs w:val="20"/>
              </w:rPr>
              <w:t>PIB, informativ, mil. lei</w:t>
            </w:r>
          </w:p>
        </w:tc>
        <w:tc>
          <w:tcPr>
            <w:tcW w:w="556" w:type="pct"/>
            <w:gridSpan w:val="2"/>
            <w:tcBorders>
              <w:top w:val="single" w:sz="4" w:space="0" w:color="auto"/>
              <w:left w:val="nil"/>
              <w:bottom w:val="nil"/>
              <w:right w:val="nil"/>
            </w:tcBorders>
            <w:shd w:val="clear" w:color="auto" w:fill="auto"/>
            <w:noWrap/>
            <w:vAlign w:val="bottom"/>
            <w:hideMark/>
          </w:tcPr>
          <w:p w14:paraId="5F546C41"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272.600,0</w:t>
            </w:r>
          </w:p>
        </w:tc>
        <w:tc>
          <w:tcPr>
            <w:tcW w:w="532" w:type="pct"/>
            <w:gridSpan w:val="2"/>
            <w:tcBorders>
              <w:top w:val="single" w:sz="4" w:space="0" w:color="auto"/>
              <w:left w:val="nil"/>
              <w:bottom w:val="nil"/>
              <w:right w:val="nil"/>
            </w:tcBorders>
            <w:shd w:val="clear" w:color="auto" w:fill="auto"/>
            <w:noWrap/>
            <w:vAlign w:val="bottom"/>
            <w:hideMark/>
          </w:tcPr>
          <w:p w14:paraId="44C9DC98"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300.400,0</w:t>
            </w:r>
          </w:p>
        </w:tc>
        <w:tc>
          <w:tcPr>
            <w:tcW w:w="532" w:type="pct"/>
            <w:gridSpan w:val="2"/>
            <w:tcBorders>
              <w:top w:val="single" w:sz="4" w:space="0" w:color="auto"/>
              <w:left w:val="nil"/>
              <w:bottom w:val="nil"/>
              <w:right w:val="nil"/>
            </w:tcBorders>
            <w:shd w:val="clear" w:color="auto" w:fill="auto"/>
            <w:noWrap/>
            <w:vAlign w:val="bottom"/>
            <w:hideMark/>
          </w:tcPr>
          <w:p w14:paraId="0F208B0A"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342.100,0</w:t>
            </w:r>
          </w:p>
        </w:tc>
        <w:tc>
          <w:tcPr>
            <w:tcW w:w="562" w:type="pct"/>
            <w:gridSpan w:val="2"/>
            <w:tcBorders>
              <w:top w:val="single" w:sz="4" w:space="0" w:color="auto"/>
              <w:left w:val="nil"/>
              <w:bottom w:val="nil"/>
              <w:right w:val="nil"/>
            </w:tcBorders>
            <w:shd w:val="clear" w:color="auto" w:fill="auto"/>
            <w:noWrap/>
            <w:vAlign w:val="bottom"/>
            <w:hideMark/>
          </w:tcPr>
          <w:p w14:paraId="6E82AD9C"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358.700,0</w:t>
            </w:r>
          </w:p>
        </w:tc>
        <w:tc>
          <w:tcPr>
            <w:tcW w:w="571" w:type="pct"/>
            <w:gridSpan w:val="2"/>
            <w:tcBorders>
              <w:top w:val="single" w:sz="4" w:space="0" w:color="auto"/>
              <w:left w:val="nil"/>
              <w:bottom w:val="nil"/>
              <w:right w:val="nil"/>
            </w:tcBorders>
            <w:shd w:val="clear" w:color="auto" w:fill="auto"/>
            <w:noWrap/>
            <w:vAlign w:val="bottom"/>
            <w:hideMark/>
          </w:tcPr>
          <w:p w14:paraId="264B359B"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392.800,0</w:t>
            </w:r>
          </w:p>
        </w:tc>
        <w:tc>
          <w:tcPr>
            <w:tcW w:w="570" w:type="pct"/>
            <w:gridSpan w:val="2"/>
            <w:tcBorders>
              <w:top w:val="single" w:sz="4" w:space="0" w:color="auto"/>
              <w:left w:val="nil"/>
              <w:bottom w:val="nil"/>
              <w:right w:val="nil"/>
            </w:tcBorders>
            <w:shd w:val="clear" w:color="auto" w:fill="auto"/>
            <w:noWrap/>
            <w:vAlign w:val="bottom"/>
            <w:hideMark/>
          </w:tcPr>
          <w:p w14:paraId="2E543F92" w14:textId="77777777" w:rsidR="00AB0A71" w:rsidRPr="003278ED" w:rsidRDefault="00AB0A71" w:rsidP="007D3A2B">
            <w:pPr>
              <w:spacing w:after="0" w:line="240" w:lineRule="auto"/>
              <w:jc w:val="right"/>
              <w:rPr>
                <w:rFonts w:ascii="Times New Roman" w:hAnsi="Times New Roman" w:cs="Times New Roman"/>
                <w:i/>
                <w:iCs/>
                <w:sz w:val="20"/>
                <w:szCs w:val="20"/>
              </w:rPr>
            </w:pPr>
            <w:r w:rsidRPr="003278ED">
              <w:rPr>
                <w:rFonts w:ascii="Times New Roman" w:hAnsi="Times New Roman" w:cs="Times New Roman"/>
                <w:i/>
                <w:iCs/>
                <w:sz w:val="20"/>
                <w:szCs w:val="20"/>
              </w:rPr>
              <w:t>429.100,0</w:t>
            </w:r>
          </w:p>
        </w:tc>
      </w:tr>
    </w:tbl>
    <w:p w14:paraId="0B238451" w14:textId="77777777" w:rsidR="00072588" w:rsidRDefault="00072588" w:rsidP="007D3A2B">
      <w:pPr>
        <w:spacing w:after="0" w:line="240" w:lineRule="auto"/>
        <w:ind w:firstLine="720"/>
        <w:jc w:val="center"/>
        <w:rPr>
          <w:rFonts w:ascii="Times New Roman" w:hAnsi="Times New Roman" w:cs="Times New Roman"/>
          <w:b/>
          <w:i/>
          <w:color w:val="000000"/>
          <w:sz w:val="16"/>
          <w:szCs w:val="16"/>
          <w:lang w:eastAsia="ro-RO"/>
        </w:rPr>
      </w:pPr>
    </w:p>
    <w:p w14:paraId="5374EA2D" w14:textId="130A3F1A" w:rsidR="006977EE" w:rsidRPr="00072588" w:rsidRDefault="00C155F8" w:rsidP="00072588">
      <w:pPr>
        <w:spacing w:after="0" w:line="240" w:lineRule="auto"/>
        <w:jc w:val="center"/>
        <w:rPr>
          <w:rFonts w:ascii="Times New Roman" w:eastAsia="Calibri" w:hAnsi="Times New Roman" w:cs="Times New Roman"/>
          <w:sz w:val="20"/>
          <w:szCs w:val="20"/>
        </w:rPr>
      </w:pPr>
      <w:r w:rsidRPr="00072588">
        <w:rPr>
          <w:rFonts w:ascii="Times New Roman" w:hAnsi="Times New Roman" w:cs="Times New Roman"/>
          <w:b/>
          <w:i/>
          <w:color w:val="000000"/>
          <w:sz w:val="20"/>
          <w:szCs w:val="20"/>
          <w:lang w:eastAsia="ro-RO"/>
        </w:rPr>
        <w:t>Sursa:</w:t>
      </w:r>
      <w:r w:rsidRPr="00072588">
        <w:rPr>
          <w:rFonts w:ascii="Times New Roman" w:hAnsi="Times New Roman" w:cs="Times New Roman"/>
          <w:i/>
          <w:color w:val="000000"/>
          <w:sz w:val="20"/>
          <w:szCs w:val="20"/>
          <w:lang w:eastAsia="ro-RO"/>
        </w:rPr>
        <w:t xml:space="preserve">  Ministerul Finanțelor</w:t>
      </w:r>
    </w:p>
    <w:p w14:paraId="009D7C91" w14:textId="77777777" w:rsidR="00623D96" w:rsidRPr="003278ED" w:rsidRDefault="00623D96" w:rsidP="007D3A2B">
      <w:pPr>
        <w:spacing w:after="0" w:line="240" w:lineRule="auto"/>
        <w:ind w:firstLine="720"/>
        <w:jc w:val="center"/>
        <w:rPr>
          <w:rFonts w:ascii="Times New Roman" w:eastAsia="Calibri" w:hAnsi="Times New Roman" w:cs="Times New Roman"/>
          <w:sz w:val="24"/>
          <w:szCs w:val="24"/>
        </w:rPr>
      </w:pPr>
    </w:p>
    <w:p w14:paraId="34C072E2" w14:textId="322B3419" w:rsidR="00623D96" w:rsidRPr="003278ED" w:rsidRDefault="00623D96" w:rsidP="007D3A2B">
      <w:pPr>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În perioada 2022-2027</w:t>
      </w:r>
      <w:r w:rsidR="009F3E6D"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ponderea majoră în totalul cheltuielilor bugetului public național  (excluzând dobânzile) reprezintă cheltuielile pentru </w:t>
      </w:r>
      <w:r w:rsidRPr="003278ED">
        <w:rPr>
          <w:rFonts w:ascii="Times New Roman" w:eastAsia="Calibri" w:hAnsi="Times New Roman" w:cs="Times New Roman"/>
          <w:i/>
          <w:sz w:val="24"/>
          <w:szCs w:val="24"/>
        </w:rPr>
        <w:t>protecție socială</w:t>
      </w:r>
      <w:r w:rsidRPr="003278ED">
        <w:rPr>
          <w:rFonts w:ascii="Times New Roman" w:eastAsia="Calibri" w:hAnsi="Times New Roman" w:cs="Times New Roman"/>
          <w:sz w:val="24"/>
          <w:szCs w:val="24"/>
        </w:rPr>
        <w:t>. Ponderea acestor cheltuieli pentru perioada 2025-2027 în medie va constitui 39,8%. Creșterea acestei grupe de cheltuieli publice este determinată de obligativitatea indexării anuale a prestațiilor sociale și de majorarea numărului beneficiarilor de prestații sociale</w:t>
      </w:r>
      <w:r w:rsidR="009F3E6D" w:rsidRPr="003278ED">
        <w:rPr>
          <w:rFonts w:ascii="Times New Roman" w:eastAsia="Calibri" w:hAnsi="Times New Roman" w:cs="Times New Roman"/>
          <w:sz w:val="24"/>
          <w:szCs w:val="24"/>
        </w:rPr>
        <w:t xml:space="preserve">. </w:t>
      </w:r>
      <w:r w:rsidRPr="003278ED">
        <w:rPr>
          <w:rFonts w:ascii="Times New Roman" w:eastAsia="Calibri" w:hAnsi="Times New Roman" w:cs="Times New Roman"/>
          <w:sz w:val="24"/>
          <w:szCs w:val="24"/>
        </w:rPr>
        <w:t xml:space="preserve">Cheltuielile respective vor crește cu circa 6,0 % anual în 2026-2027. </w:t>
      </w:r>
    </w:p>
    <w:p w14:paraId="56042862" w14:textId="785A0678" w:rsidR="00623D96" w:rsidRPr="003278ED" w:rsidRDefault="00623D96" w:rsidP="007D3A2B">
      <w:pPr>
        <w:spacing w:after="0" w:line="240" w:lineRule="auto"/>
        <w:ind w:firstLine="720"/>
        <w:jc w:val="both"/>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Cheltuielile pentru </w:t>
      </w:r>
      <w:r w:rsidRPr="003278ED">
        <w:rPr>
          <w:rFonts w:ascii="Times New Roman" w:eastAsia="Calibri" w:hAnsi="Times New Roman" w:cs="Times New Roman"/>
          <w:i/>
          <w:sz w:val="24"/>
          <w:szCs w:val="24"/>
        </w:rPr>
        <w:t>ocrotirea sănătății</w:t>
      </w:r>
      <w:r w:rsidRPr="003278ED">
        <w:rPr>
          <w:rFonts w:ascii="Times New Roman" w:eastAsia="Calibri" w:hAnsi="Times New Roman" w:cs="Times New Roman"/>
          <w:sz w:val="24"/>
          <w:szCs w:val="24"/>
        </w:rPr>
        <w:t xml:space="preserve"> se prognozează în creștere cu 22,6 % în anul 2027 comparativ cu anul 2024, fiind influențate de factorul cel mai esențial </w:t>
      </w:r>
      <w:r w:rsidR="009F3E6D" w:rsidRPr="003278ED">
        <w:rPr>
          <w:rFonts w:ascii="Times New Roman" w:eastAsia="Calibri" w:hAnsi="Times New Roman" w:cs="Times New Roman"/>
          <w:sz w:val="24"/>
          <w:szCs w:val="24"/>
        </w:rPr>
        <w:t>–</w:t>
      </w:r>
      <w:r w:rsidRPr="003278ED">
        <w:rPr>
          <w:rFonts w:ascii="Times New Roman" w:eastAsia="Calibri" w:hAnsi="Times New Roman" w:cs="Times New Roman"/>
          <w:sz w:val="24"/>
          <w:szCs w:val="24"/>
        </w:rPr>
        <w:t xml:space="preserve"> majorarea cheltuielilor pentru asistența medicală din cadrul fondurilor asigurării obligatorii de asistență medicală și a  cheltuielilor pentru dezvoltarea bazei </w:t>
      </w:r>
      <w:proofErr w:type="spellStart"/>
      <w:r w:rsidRPr="003278ED">
        <w:rPr>
          <w:rFonts w:ascii="Times New Roman" w:eastAsia="Calibri" w:hAnsi="Times New Roman" w:cs="Times New Roman"/>
          <w:sz w:val="24"/>
          <w:szCs w:val="24"/>
        </w:rPr>
        <w:t>tehnico</w:t>
      </w:r>
      <w:proofErr w:type="spellEnd"/>
      <w:r w:rsidRPr="003278ED">
        <w:rPr>
          <w:rFonts w:ascii="Times New Roman" w:eastAsia="Calibri" w:hAnsi="Times New Roman" w:cs="Times New Roman"/>
          <w:sz w:val="24"/>
          <w:szCs w:val="24"/>
        </w:rPr>
        <w:t xml:space="preserve">-materiale a instituțiilor medicale. </w:t>
      </w:r>
    </w:p>
    <w:p w14:paraId="788E2C99" w14:textId="77777777" w:rsidR="00623D96" w:rsidRPr="003278ED" w:rsidRDefault="00623D96" w:rsidP="007D3A2B">
      <w:pPr>
        <w:spacing w:after="0" w:line="240" w:lineRule="auto"/>
        <w:ind w:firstLine="720"/>
        <w:rPr>
          <w:rFonts w:ascii="Times New Roman" w:eastAsia="Calibri" w:hAnsi="Times New Roman" w:cs="Times New Roman"/>
          <w:sz w:val="24"/>
          <w:szCs w:val="24"/>
        </w:rPr>
      </w:pPr>
      <w:r w:rsidRPr="003278ED">
        <w:rPr>
          <w:rFonts w:ascii="Times New Roman" w:eastAsia="Calibri" w:hAnsi="Times New Roman" w:cs="Times New Roman"/>
          <w:sz w:val="24"/>
          <w:szCs w:val="24"/>
        </w:rPr>
        <w:t>În cadrul altor grupe funcționale, pentru perioada 2025-2027 se prognozează modificări neesențiale.</w:t>
      </w:r>
    </w:p>
    <w:p w14:paraId="02FD9B7C" w14:textId="545254E2" w:rsidR="00C155F8" w:rsidRPr="003278ED" w:rsidRDefault="00C155F8" w:rsidP="007D3A2B">
      <w:pPr>
        <w:spacing w:after="0" w:line="240" w:lineRule="auto"/>
        <w:ind w:firstLine="720"/>
        <w:rPr>
          <w:rFonts w:ascii="Times New Roman" w:eastAsia="Calibri" w:hAnsi="Times New Roman" w:cs="Times New Roman"/>
          <w:sz w:val="24"/>
          <w:szCs w:val="24"/>
        </w:rPr>
      </w:pPr>
    </w:p>
    <w:p w14:paraId="50F4215A" w14:textId="77777777" w:rsidR="00C155F8" w:rsidRPr="009562A5" w:rsidRDefault="00AB0A71" w:rsidP="00914ECD">
      <w:pPr>
        <w:pStyle w:val="Title2"/>
        <w:jc w:val="center"/>
        <w:outlineLvl w:val="1"/>
        <w:rPr>
          <w:rFonts w:ascii="Times New Roman" w:hAnsi="Times New Roman"/>
          <w:i w:val="0"/>
          <w:color w:val="auto"/>
          <w:sz w:val="24"/>
        </w:rPr>
      </w:pPr>
      <w:bookmarkStart w:id="46" w:name="_Toc175825359"/>
      <w:r w:rsidRPr="009562A5">
        <w:rPr>
          <w:rFonts w:ascii="Times New Roman" w:hAnsi="Times New Roman"/>
          <w:i w:val="0"/>
          <w:color w:val="auto"/>
          <w:sz w:val="24"/>
        </w:rPr>
        <w:t>D. Proiecte finanțate din surse externe</w:t>
      </w:r>
      <w:bookmarkEnd w:id="46"/>
    </w:p>
    <w:p w14:paraId="7ECB2F77" w14:textId="541BFE35" w:rsidR="00AB0A71" w:rsidRPr="003278ED" w:rsidRDefault="00AB0A71" w:rsidP="007D3A2B">
      <w:pPr>
        <w:pStyle w:val="Numberedtex"/>
        <w:numPr>
          <w:ilvl w:val="0"/>
          <w:numId w:val="0"/>
        </w:numPr>
        <w:spacing w:before="0" w:after="0" w:line="240" w:lineRule="auto"/>
        <w:ind w:left="567"/>
        <w:rPr>
          <w:rFonts w:ascii="Times New Roman" w:hAnsi="Times New Roman"/>
          <w:b/>
          <w:bCs/>
          <w:sz w:val="24"/>
          <w:szCs w:val="24"/>
          <w:lang w:val="ro-RO"/>
        </w:rPr>
      </w:pPr>
      <w:r w:rsidRPr="003278ED">
        <w:rPr>
          <w:rFonts w:ascii="Times New Roman" w:hAnsi="Times New Roman"/>
          <w:sz w:val="24"/>
          <w:szCs w:val="24"/>
          <w:lang w:val="ro-RO"/>
        </w:rPr>
        <w:tab/>
      </w:r>
    </w:p>
    <w:p w14:paraId="53E8D493" w14:textId="2A6A9BF5" w:rsidR="00AB0A71" w:rsidRPr="003278ED" w:rsidRDefault="00AB0A71" w:rsidP="007D3A2B">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 xml:space="preserve">Cheltuielile destinate implementării </w:t>
      </w:r>
      <w:r w:rsidRPr="003278ED">
        <w:rPr>
          <w:rFonts w:ascii="Times New Roman" w:eastAsia="Calibri" w:hAnsi="Times New Roman" w:cs="Times New Roman"/>
          <w:bCs/>
          <w:i/>
          <w:iCs/>
          <w:sz w:val="24"/>
          <w:szCs w:val="28"/>
        </w:rPr>
        <w:t>proiectelor finanțate din surse externe</w:t>
      </w:r>
      <w:r w:rsidR="009F3E6D" w:rsidRPr="003278ED">
        <w:rPr>
          <w:rFonts w:ascii="Times New Roman" w:eastAsia="Calibri" w:hAnsi="Times New Roman" w:cs="Times New Roman"/>
          <w:sz w:val="24"/>
          <w:szCs w:val="28"/>
        </w:rPr>
        <w:t xml:space="preserve"> </w:t>
      </w:r>
      <w:r w:rsidRPr="003278ED">
        <w:rPr>
          <w:rFonts w:ascii="Times New Roman" w:eastAsia="Calibri" w:hAnsi="Times New Roman" w:cs="Times New Roman"/>
          <w:sz w:val="24"/>
          <w:szCs w:val="28"/>
        </w:rPr>
        <w:t xml:space="preserve">se estimează cu o creștere de la 3 611 mil. lei în anul 2024 până la 5 180 mil. lei în anul 2027 sau cu </w:t>
      </w:r>
      <w:r w:rsidR="009F3E6D" w:rsidRPr="003278ED">
        <w:rPr>
          <w:rFonts w:ascii="Times New Roman" w:eastAsia="Calibri" w:hAnsi="Times New Roman" w:cs="Times New Roman"/>
          <w:sz w:val="24"/>
          <w:szCs w:val="28"/>
        </w:rPr>
        <w:br/>
      </w:r>
      <w:r w:rsidRPr="003278ED">
        <w:rPr>
          <w:rFonts w:ascii="Times New Roman" w:eastAsia="Calibri" w:hAnsi="Times New Roman" w:cs="Times New Roman"/>
          <w:sz w:val="24"/>
          <w:szCs w:val="28"/>
        </w:rPr>
        <w:t>1 569 mil. lei. În a</w:t>
      </w:r>
      <w:r w:rsidR="009F3E6D" w:rsidRPr="003278ED">
        <w:rPr>
          <w:rFonts w:ascii="Times New Roman" w:eastAsia="Calibri" w:hAnsi="Times New Roman" w:cs="Times New Roman"/>
          <w:sz w:val="24"/>
          <w:szCs w:val="28"/>
        </w:rPr>
        <w:t xml:space="preserve">nii respectivi vor derula circa 70 de proiecte </w:t>
      </w:r>
      <w:r w:rsidRPr="003278ED">
        <w:rPr>
          <w:rFonts w:ascii="Times New Roman" w:eastAsia="Calibri" w:hAnsi="Times New Roman" w:cs="Times New Roman"/>
          <w:sz w:val="24"/>
          <w:szCs w:val="28"/>
        </w:rPr>
        <w:t>finanțate din surse externe.</w:t>
      </w:r>
    </w:p>
    <w:p w14:paraId="262FFE6B" w14:textId="56EDE1B7" w:rsidR="00AB0A71" w:rsidRPr="003278ED" w:rsidRDefault="00AB0A71" w:rsidP="007D3A2B">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lastRenderedPageBreak/>
        <w:t xml:space="preserve">Pentru anul 2025, proiectele finanțate din surse externe se estimează în sumă de </w:t>
      </w:r>
      <w:r w:rsidR="009F3E6D" w:rsidRPr="003278ED">
        <w:rPr>
          <w:rFonts w:ascii="Times New Roman" w:eastAsia="Calibri" w:hAnsi="Times New Roman" w:cs="Times New Roman"/>
          <w:sz w:val="24"/>
          <w:szCs w:val="28"/>
        </w:rPr>
        <w:br/>
      </w:r>
      <w:r w:rsidRPr="003278ED">
        <w:rPr>
          <w:rFonts w:ascii="Times New Roman" w:eastAsia="Calibri" w:hAnsi="Times New Roman" w:cs="Times New Roman"/>
          <w:sz w:val="24"/>
          <w:szCs w:val="28"/>
        </w:rPr>
        <w:t>4 510 mii lei, dintre care principalele sectoare care vor beneficia de aceste proiecte sunt:</w:t>
      </w:r>
    </w:p>
    <w:p w14:paraId="1A4021BF" w14:textId="73F1D395" w:rsidR="00AB0A71" w:rsidRPr="003278ED" w:rsidRDefault="009F3E6D"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transporturi </w:t>
      </w:r>
      <w:r w:rsidR="00AB0A71" w:rsidRPr="003278ED">
        <w:rPr>
          <w:rFonts w:ascii="Times New Roman" w:eastAsia="Calibri" w:hAnsi="Times New Roman" w:cs="Times New Roman"/>
          <w:sz w:val="24"/>
          <w:szCs w:val="26"/>
        </w:rPr>
        <w:t>(cu o pondere de circa 34,8% din totalul proiectelor finanțare din surse externe);</w:t>
      </w:r>
    </w:p>
    <w:p w14:paraId="295B4BD1" w14:textId="36B8CA03" w:rsidR="00AB0A71" w:rsidRPr="003278ED" w:rsidRDefault="00AB0A71"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agricultura </w:t>
      </w:r>
      <w:r w:rsidR="009F3E6D" w:rsidRPr="003278ED">
        <w:rPr>
          <w:rFonts w:ascii="Times New Roman" w:eastAsia="Calibri" w:hAnsi="Times New Roman" w:cs="Times New Roman"/>
          <w:sz w:val="24"/>
          <w:szCs w:val="26"/>
        </w:rPr>
        <w:t>–</w:t>
      </w:r>
      <w:r w:rsidR="00BF3B68">
        <w:rPr>
          <w:rFonts w:ascii="Times New Roman" w:eastAsia="Calibri" w:hAnsi="Times New Roman" w:cs="Times New Roman"/>
          <w:sz w:val="24"/>
          <w:szCs w:val="26"/>
        </w:rPr>
        <w:t xml:space="preserve"> </w:t>
      </w:r>
      <w:r w:rsidR="009F3E6D" w:rsidRPr="003278ED">
        <w:rPr>
          <w:rFonts w:ascii="Times New Roman" w:eastAsia="Calibri" w:hAnsi="Times New Roman" w:cs="Times New Roman"/>
          <w:sz w:val="24"/>
          <w:szCs w:val="26"/>
        </w:rPr>
        <w:t>10,1%;</w:t>
      </w:r>
    </w:p>
    <w:p w14:paraId="2E7869F1" w14:textId="3DFD5ED0" w:rsidR="00AB0A71" w:rsidRPr="003278ED" w:rsidRDefault="00AB0A71"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gospodăria de locuințe </w:t>
      </w:r>
      <w:r w:rsidR="009F3E6D" w:rsidRPr="003278ED">
        <w:rPr>
          <w:rFonts w:ascii="Times New Roman" w:eastAsia="Calibri" w:hAnsi="Times New Roman" w:cs="Times New Roman"/>
          <w:sz w:val="24"/>
          <w:szCs w:val="26"/>
        </w:rPr>
        <w:t>– 8,8 %</w:t>
      </w:r>
      <w:r w:rsidRPr="003278ED">
        <w:rPr>
          <w:rFonts w:ascii="Times New Roman" w:eastAsia="Calibri" w:hAnsi="Times New Roman" w:cs="Times New Roman"/>
          <w:sz w:val="24"/>
          <w:szCs w:val="26"/>
        </w:rPr>
        <w:t>;</w:t>
      </w:r>
    </w:p>
    <w:p w14:paraId="5C85144C" w14:textId="248D46E9" w:rsidR="00AB0A71" w:rsidRPr="003278ED" w:rsidRDefault="00AB0A71"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educație </w:t>
      </w:r>
      <w:r w:rsidR="009F3E6D" w:rsidRPr="003278ED">
        <w:rPr>
          <w:rFonts w:ascii="Times New Roman" w:eastAsia="Calibri" w:hAnsi="Times New Roman" w:cs="Times New Roman"/>
          <w:sz w:val="24"/>
          <w:szCs w:val="26"/>
        </w:rPr>
        <w:t>– 7,7%;</w:t>
      </w:r>
    </w:p>
    <w:p w14:paraId="786887F7" w14:textId="4718B51F" w:rsidR="00AB0A71" w:rsidRPr="003278ED" w:rsidRDefault="009F3E6D"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sănătate – 7,5%;</w:t>
      </w:r>
    </w:p>
    <w:p w14:paraId="198A476C" w14:textId="05F00580" w:rsidR="00821A82" w:rsidRPr="003278ED" w:rsidRDefault="00AB0A71"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energetica – 7,5%.</w:t>
      </w:r>
    </w:p>
    <w:p w14:paraId="0098C711" w14:textId="626F683B" w:rsidR="0050175F" w:rsidRPr="003278ED" w:rsidRDefault="00CF72DE" w:rsidP="007D3A2B">
      <w:pPr>
        <w:tabs>
          <w:tab w:val="left" w:pos="993"/>
        </w:tabs>
        <w:spacing w:after="0" w:line="240" w:lineRule="auto"/>
        <w:ind w:firstLine="709"/>
        <w:jc w:val="both"/>
        <w:rPr>
          <w:rFonts w:ascii="Times New Roman" w:eastAsia="Calibri" w:hAnsi="Times New Roman" w:cs="Times New Roman"/>
          <w:sz w:val="24"/>
          <w:szCs w:val="28"/>
        </w:rPr>
      </w:pPr>
      <w:r w:rsidRPr="003278ED">
        <w:rPr>
          <w:rFonts w:ascii="Times New Roman" w:eastAsia="Calibri" w:hAnsi="Times New Roman" w:cs="Times New Roman"/>
          <w:sz w:val="24"/>
          <w:szCs w:val="28"/>
        </w:rPr>
        <w:t>Proiectele finanțate din surse externe au fost estimate în conformitate acordurile în vigoare. Dat fiind cererea mare din partea autorităților în ce prive</w:t>
      </w:r>
      <w:r w:rsidR="00BF3B68">
        <w:rPr>
          <w:rFonts w:ascii="Times New Roman" w:eastAsia="Calibri" w:hAnsi="Times New Roman" w:cs="Times New Roman"/>
          <w:sz w:val="24"/>
          <w:szCs w:val="28"/>
        </w:rPr>
        <w:t>ș</w:t>
      </w:r>
      <w:r w:rsidRPr="003278ED">
        <w:rPr>
          <w:rFonts w:ascii="Times New Roman" w:eastAsia="Calibri" w:hAnsi="Times New Roman" w:cs="Times New Roman"/>
          <w:sz w:val="24"/>
          <w:szCs w:val="28"/>
        </w:rPr>
        <w:t>te atragerea resurselor externe pentru proiecte noi sau contin</w:t>
      </w:r>
      <w:r w:rsidR="00BF3B68">
        <w:rPr>
          <w:rFonts w:ascii="Times New Roman" w:eastAsia="Calibri" w:hAnsi="Times New Roman" w:cs="Times New Roman"/>
          <w:sz w:val="24"/>
          <w:szCs w:val="28"/>
        </w:rPr>
        <w:t>uarea proiectelor existente în perioada 2026</w:t>
      </w:r>
      <w:r w:rsidR="009F3E6D"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2027, în special în domeniile energiei și transporturilor, cheltuielile respective vor fi revizuite în cadrul următoarelor exerciții de elaborare a bugetului și </w:t>
      </w:r>
      <w:r w:rsidR="00BF3B68">
        <w:rPr>
          <w:rFonts w:ascii="Times New Roman" w:eastAsia="Calibri" w:hAnsi="Times New Roman" w:cs="Times New Roman"/>
          <w:sz w:val="24"/>
          <w:szCs w:val="28"/>
        </w:rPr>
        <w:t xml:space="preserve">a </w:t>
      </w:r>
      <w:r w:rsidR="009F3E6D" w:rsidRPr="003278ED">
        <w:rPr>
          <w:rFonts w:ascii="Times New Roman" w:eastAsia="Calibri" w:hAnsi="Times New Roman" w:cs="Times New Roman"/>
          <w:sz w:val="24"/>
          <w:szCs w:val="28"/>
        </w:rPr>
        <w:t>CBTM</w:t>
      </w:r>
      <w:r w:rsidRPr="003278ED">
        <w:rPr>
          <w:rFonts w:ascii="Times New Roman" w:eastAsia="Calibri" w:hAnsi="Times New Roman" w:cs="Times New Roman"/>
          <w:sz w:val="24"/>
          <w:szCs w:val="28"/>
        </w:rPr>
        <w:t>, în func</w:t>
      </w:r>
      <w:r w:rsidR="00BF3B68">
        <w:rPr>
          <w:rFonts w:ascii="Times New Roman" w:eastAsia="Calibri" w:hAnsi="Times New Roman" w:cs="Times New Roman"/>
          <w:sz w:val="24"/>
          <w:szCs w:val="28"/>
        </w:rPr>
        <w:t>ț</w:t>
      </w:r>
      <w:r w:rsidRPr="003278ED">
        <w:rPr>
          <w:rFonts w:ascii="Times New Roman" w:eastAsia="Calibri" w:hAnsi="Times New Roman" w:cs="Times New Roman"/>
          <w:sz w:val="24"/>
          <w:szCs w:val="28"/>
        </w:rPr>
        <w:t xml:space="preserve">ie de spațiul fiscal disponibil și </w:t>
      </w:r>
      <w:r w:rsidR="009F3E6D" w:rsidRPr="003278ED">
        <w:rPr>
          <w:rFonts w:ascii="Times New Roman" w:eastAsia="Calibri" w:hAnsi="Times New Roman" w:cs="Times New Roman"/>
          <w:sz w:val="24"/>
          <w:szCs w:val="28"/>
        </w:rPr>
        <w:t xml:space="preserve">de </w:t>
      </w:r>
      <w:r w:rsidRPr="003278ED">
        <w:rPr>
          <w:rFonts w:ascii="Times New Roman" w:eastAsia="Calibri" w:hAnsi="Times New Roman" w:cs="Times New Roman"/>
          <w:sz w:val="24"/>
          <w:szCs w:val="28"/>
        </w:rPr>
        <w:t>capacitățile autorităților</w:t>
      </w:r>
      <w:r w:rsidR="0050175F" w:rsidRPr="003278ED">
        <w:rPr>
          <w:rFonts w:ascii="Times New Roman" w:eastAsia="Calibri" w:hAnsi="Times New Roman" w:cs="Times New Roman"/>
          <w:sz w:val="24"/>
          <w:szCs w:val="28"/>
        </w:rPr>
        <w:t xml:space="preserve"> de implementare a proiectelor.</w:t>
      </w:r>
    </w:p>
    <w:p w14:paraId="70280BFC" w14:textId="77777777" w:rsidR="0050175F" w:rsidRPr="003278ED" w:rsidRDefault="0050175F" w:rsidP="007D3A2B">
      <w:pPr>
        <w:spacing w:after="0" w:line="240" w:lineRule="auto"/>
        <w:ind w:firstLine="567"/>
        <w:jc w:val="both"/>
        <w:rPr>
          <w:rFonts w:ascii="Times New Roman" w:eastAsia="Calibri" w:hAnsi="Times New Roman" w:cs="Times New Roman"/>
          <w:sz w:val="24"/>
          <w:szCs w:val="28"/>
        </w:rPr>
      </w:pPr>
    </w:p>
    <w:p w14:paraId="68E2AC0F" w14:textId="001992F9" w:rsidR="00BC3319" w:rsidRPr="009562A5" w:rsidRDefault="00BC3319" w:rsidP="00A624A7">
      <w:pPr>
        <w:pStyle w:val="Title2"/>
        <w:jc w:val="center"/>
        <w:outlineLvl w:val="1"/>
        <w:rPr>
          <w:rFonts w:ascii="Times New Roman" w:hAnsi="Times New Roman"/>
          <w:i w:val="0"/>
          <w:color w:val="auto"/>
          <w:sz w:val="24"/>
        </w:rPr>
      </w:pPr>
      <w:bookmarkStart w:id="47" w:name="_Toc175825360"/>
      <w:r w:rsidRPr="009562A5">
        <w:rPr>
          <w:rFonts w:ascii="Times New Roman" w:hAnsi="Times New Roman"/>
          <w:i w:val="0"/>
          <w:color w:val="auto"/>
          <w:sz w:val="24"/>
        </w:rPr>
        <w:t>E. Proiecte de investiții capitale publice</w:t>
      </w:r>
      <w:bookmarkEnd w:id="47"/>
    </w:p>
    <w:p w14:paraId="2887864C" w14:textId="77777777" w:rsidR="00625629" w:rsidRPr="003278ED" w:rsidRDefault="00625629" w:rsidP="007D3A2B">
      <w:pPr>
        <w:tabs>
          <w:tab w:val="left" w:pos="993"/>
        </w:tabs>
        <w:spacing w:after="0" w:line="240" w:lineRule="auto"/>
        <w:jc w:val="center"/>
        <w:rPr>
          <w:rFonts w:ascii="Times New Roman" w:eastAsia="Calibri" w:hAnsi="Times New Roman" w:cs="Times New Roman"/>
          <w:sz w:val="24"/>
          <w:szCs w:val="28"/>
        </w:rPr>
      </w:pPr>
    </w:p>
    <w:p w14:paraId="5AEFB3A2" w14:textId="34D0A55C"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color w:val="000000"/>
          <w:sz w:val="24"/>
          <w:szCs w:val="26"/>
        </w:rPr>
        <w:t xml:space="preserve">În </w:t>
      </w:r>
      <w:r w:rsidR="005F50A4" w:rsidRPr="003278ED">
        <w:rPr>
          <w:rFonts w:ascii="Times New Roman" w:hAnsi="Times New Roman" w:cs="Times New Roman"/>
          <w:color w:val="000000"/>
          <w:sz w:val="24"/>
          <w:szCs w:val="26"/>
        </w:rPr>
        <w:t>contextul</w:t>
      </w:r>
      <w:r w:rsidRPr="003278ED">
        <w:rPr>
          <w:rFonts w:ascii="Times New Roman" w:hAnsi="Times New Roman" w:cs="Times New Roman"/>
          <w:color w:val="000000"/>
          <w:sz w:val="24"/>
          <w:szCs w:val="26"/>
        </w:rPr>
        <w:t xml:space="preserve"> implementării unui nou mecanism de identificare, evaluare și selectare a proiectelor de investiții capitale publice pentru finanțare din bugetul de stat, c</w:t>
      </w:r>
      <w:r w:rsidRPr="003278ED">
        <w:rPr>
          <w:rFonts w:ascii="Times New Roman" w:hAnsi="Times New Roman" w:cs="Times New Roman"/>
          <w:sz w:val="24"/>
          <w:szCs w:val="26"/>
        </w:rPr>
        <w:t xml:space="preserve">u suportul experților UE, </w:t>
      </w:r>
      <w:r w:rsidRPr="003278ED">
        <w:rPr>
          <w:rFonts w:ascii="Times New Roman" w:hAnsi="Times New Roman" w:cs="Times New Roman"/>
          <w:color w:val="000000"/>
          <w:sz w:val="24"/>
          <w:szCs w:val="26"/>
        </w:rPr>
        <w:t xml:space="preserve">în anul 2022 a fost elaborat Regulamentul cu privire </w:t>
      </w:r>
      <w:r w:rsidRPr="003278ED">
        <w:rPr>
          <w:rFonts w:ascii="Times New Roman" w:hAnsi="Times New Roman" w:cs="Times New Roman"/>
          <w:sz w:val="24"/>
          <w:szCs w:val="26"/>
        </w:rPr>
        <w:t>la proiectele de investiții capitale publice, aprobat</w:t>
      </w:r>
      <w:r w:rsidRPr="003278ED">
        <w:rPr>
          <w:rFonts w:ascii="Times New Roman" w:hAnsi="Times New Roman" w:cs="Times New Roman"/>
          <w:color w:val="000000"/>
          <w:sz w:val="24"/>
          <w:szCs w:val="26"/>
        </w:rPr>
        <w:t xml:space="preserve"> prin Hotărârea Guvernului nr.</w:t>
      </w:r>
      <w:r w:rsidR="000E7C34" w:rsidRPr="003278ED">
        <w:rPr>
          <w:rFonts w:ascii="Times New Roman" w:hAnsi="Times New Roman" w:cs="Times New Roman"/>
          <w:color w:val="000000"/>
          <w:sz w:val="24"/>
          <w:szCs w:val="26"/>
        </w:rPr>
        <w:t xml:space="preserve"> </w:t>
      </w:r>
      <w:r w:rsidRPr="003278ED">
        <w:rPr>
          <w:rFonts w:ascii="Times New Roman" w:hAnsi="Times New Roman" w:cs="Times New Roman"/>
          <w:color w:val="000000"/>
          <w:sz w:val="24"/>
          <w:szCs w:val="26"/>
        </w:rPr>
        <w:t xml:space="preserve">684/2022. </w:t>
      </w:r>
    </w:p>
    <w:p w14:paraId="38CB352E" w14:textId="216E9A1C"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t xml:space="preserve">În vederea implementării prevederilor </w:t>
      </w:r>
      <w:r w:rsidRPr="003278ED">
        <w:rPr>
          <w:rFonts w:ascii="Times New Roman" w:hAnsi="Times New Roman" w:cs="Times New Roman"/>
          <w:color w:val="000000"/>
          <w:sz w:val="24"/>
          <w:szCs w:val="26"/>
        </w:rPr>
        <w:t>Hotărârii Guvernului nr.</w:t>
      </w:r>
      <w:r w:rsidR="000E7C34" w:rsidRPr="003278ED">
        <w:rPr>
          <w:rFonts w:ascii="Times New Roman" w:hAnsi="Times New Roman" w:cs="Times New Roman"/>
          <w:color w:val="000000"/>
          <w:sz w:val="24"/>
          <w:szCs w:val="26"/>
        </w:rPr>
        <w:t xml:space="preserve"> </w:t>
      </w:r>
      <w:r w:rsidRPr="003278ED">
        <w:rPr>
          <w:rFonts w:ascii="Times New Roman" w:hAnsi="Times New Roman" w:cs="Times New Roman"/>
          <w:color w:val="000000"/>
          <w:sz w:val="24"/>
          <w:szCs w:val="26"/>
        </w:rPr>
        <w:t xml:space="preserve">684/2022 </w:t>
      </w:r>
      <w:r w:rsidRPr="003278ED">
        <w:rPr>
          <w:rFonts w:ascii="Times New Roman" w:hAnsi="Times New Roman" w:cs="Times New Roman"/>
          <w:sz w:val="24"/>
          <w:szCs w:val="26"/>
        </w:rPr>
        <w:t>prin Ordinul Ministrului finanțelor nr.</w:t>
      </w:r>
      <w:r w:rsidR="000E7C34" w:rsidRPr="003278ED">
        <w:rPr>
          <w:rFonts w:ascii="Times New Roman" w:hAnsi="Times New Roman" w:cs="Times New Roman"/>
          <w:sz w:val="24"/>
          <w:szCs w:val="26"/>
        </w:rPr>
        <w:t xml:space="preserve"> </w:t>
      </w:r>
      <w:r w:rsidRPr="003278ED">
        <w:rPr>
          <w:rFonts w:ascii="Times New Roman" w:hAnsi="Times New Roman" w:cs="Times New Roman"/>
          <w:sz w:val="24"/>
          <w:szCs w:val="26"/>
        </w:rPr>
        <w:t>104/2023 a fost aprobată Instrucțiunea privind evaluarea proiectelor de investiții capitale publice. Totodată, prin Ordinul Ministrului finanțelor nr.</w:t>
      </w:r>
      <w:r w:rsidR="000E7C34" w:rsidRPr="003278ED">
        <w:rPr>
          <w:rFonts w:ascii="Times New Roman" w:hAnsi="Times New Roman" w:cs="Times New Roman"/>
          <w:sz w:val="24"/>
          <w:szCs w:val="26"/>
        </w:rPr>
        <w:t xml:space="preserve"> </w:t>
      </w:r>
      <w:r w:rsidRPr="003278ED">
        <w:rPr>
          <w:rFonts w:ascii="Times New Roman" w:hAnsi="Times New Roman" w:cs="Times New Roman"/>
          <w:sz w:val="24"/>
          <w:szCs w:val="26"/>
        </w:rPr>
        <w:t>87/2023 a fost instituit Grupul de lucru al Ministerului Finanțelor pentru investiții capitale publice</w:t>
      </w:r>
      <w:r w:rsidR="000E7C34" w:rsidRPr="003278ED">
        <w:rPr>
          <w:rFonts w:ascii="Times New Roman" w:hAnsi="Times New Roman" w:cs="Times New Roman"/>
          <w:sz w:val="24"/>
          <w:szCs w:val="26"/>
        </w:rPr>
        <w:t>,</w:t>
      </w:r>
      <w:r w:rsidRPr="003278ED">
        <w:rPr>
          <w:rFonts w:ascii="Times New Roman" w:hAnsi="Times New Roman" w:cs="Times New Roman"/>
          <w:sz w:val="24"/>
          <w:szCs w:val="26"/>
        </w:rPr>
        <w:t xml:space="preserve"> care examinează propunerile de proiecte noi și determină eligibilitatea acestora.  </w:t>
      </w:r>
    </w:p>
    <w:p w14:paraId="66C3EBB1" w14:textId="77777777"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t xml:space="preserve">Noile prevederi referitoare la managementul investițiilor capitale publice presupun următoarele: </w:t>
      </w:r>
    </w:p>
    <w:p w14:paraId="0535D82B" w14:textId="39469168" w:rsidR="008B5B4B" w:rsidRPr="003278ED" w:rsidRDefault="008B5B4B"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evaluarea propunerilor de proiecte noi </w:t>
      </w:r>
      <w:r w:rsidR="000E7C34" w:rsidRPr="003278ED">
        <w:rPr>
          <w:rFonts w:ascii="Times New Roman" w:eastAsia="Calibri" w:hAnsi="Times New Roman" w:cs="Times New Roman"/>
          <w:sz w:val="24"/>
          <w:szCs w:val="26"/>
        </w:rPr>
        <w:t>baza</w:t>
      </w:r>
      <w:r w:rsidRPr="003278ED">
        <w:rPr>
          <w:rFonts w:ascii="Times New Roman" w:eastAsia="Calibri" w:hAnsi="Times New Roman" w:cs="Times New Roman"/>
          <w:sz w:val="24"/>
          <w:szCs w:val="26"/>
        </w:rPr>
        <w:t xml:space="preserve"> a 8 criterii obligatorii;  </w:t>
      </w:r>
    </w:p>
    <w:p w14:paraId="7DB2AE8D" w14:textId="77777777" w:rsidR="008B5B4B" w:rsidRPr="003278ED" w:rsidRDefault="008B5B4B"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evaluarea proiectelor și determinarea eligibilității acestora se efectuează de către Grupul de lucru al Ministerului Finanțelor pentru investiții capitale publice;</w:t>
      </w:r>
    </w:p>
    <w:p w14:paraId="4ADF5B9F" w14:textId="77777777" w:rsidR="008B5B4B" w:rsidRPr="003278ED" w:rsidRDefault="008B5B4B"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selectarea proiectelor noi de investiții capitale pentru finanțare din contul bugetului de stat se efectuează de către Comitetul interministerial pentru planificare strategică (CIPS); </w:t>
      </w:r>
    </w:p>
    <w:p w14:paraId="75CABB19" w14:textId="77777777" w:rsidR="008B5B4B" w:rsidRPr="003278ED" w:rsidRDefault="008B5B4B" w:rsidP="007D3A2B">
      <w:pPr>
        <w:pStyle w:val="Listparagraf"/>
        <w:numPr>
          <w:ilvl w:val="0"/>
          <w:numId w:val="35"/>
        </w:numPr>
        <w:tabs>
          <w:tab w:val="left" w:pos="993"/>
        </w:tabs>
        <w:spacing w:after="0" w:line="240" w:lineRule="auto"/>
        <w:ind w:left="0" w:firstLine="709"/>
        <w:jc w:val="both"/>
        <w:rPr>
          <w:rFonts w:ascii="Times New Roman" w:eastAsia="Calibri" w:hAnsi="Times New Roman" w:cs="Times New Roman"/>
          <w:sz w:val="24"/>
          <w:szCs w:val="26"/>
        </w:rPr>
      </w:pPr>
      <w:r w:rsidRPr="003278ED">
        <w:rPr>
          <w:rFonts w:ascii="Times New Roman" w:eastAsia="Calibri" w:hAnsi="Times New Roman" w:cs="Times New Roman"/>
          <w:sz w:val="24"/>
          <w:szCs w:val="26"/>
        </w:rPr>
        <w:t>aplicarea unor abordări similare tuturor proiectelor de investiții capitale publice, indiferent de costul estimativ și sursele de finanțate ale acestora (inclusiv din surse externe și fonduri de dezvoltare);</w:t>
      </w:r>
      <w:r w:rsidRPr="003278ED">
        <w:rPr>
          <w:rFonts w:ascii="Times New Roman" w:eastAsia="Calibri" w:hAnsi="Times New Roman" w:cs="Times New Roman"/>
          <w:sz w:val="24"/>
          <w:szCs w:val="26"/>
          <w:highlight w:val="yellow"/>
        </w:rPr>
        <w:t xml:space="preserve"> </w:t>
      </w:r>
    </w:p>
    <w:p w14:paraId="7D78B433" w14:textId="77777777" w:rsidR="008B5B4B" w:rsidRPr="003278ED" w:rsidRDefault="008B5B4B" w:rsidP="007D3A2B">
      <w:pPr>
        <w:pStyle w:val="Listparagraf"/>
        <w:numPr>
          <w:ilvl w:val="0"/>
          <w:numId w:val="35"/>
        </w:numPr>
        <w:tabs>
          <w:tab w:val="left" w:pos="403"/>
          <w:tab w:val="left" w:pos="993"/>
        </w:tabs>
        <w:spacing w:after="0" w:line="240" w:lineRule="auto"/>
        <w:ind w:left="0" w:firstLine="709"/>
        <w:jc w:val="both"/>
        <w:rPr>
          <w:rFonts w:ascii="Times New Roman" w:eastAsia="Calibri" w:hAnsi="Times New Roman" w:cs="Times New Roman"/>
          <w:sz w:val="24"/>
          <w:szCs w:val="26"/>
          <w:shd w:val="clear" w:color="auto" w:fill="FFFFFF"/>
        </w:rPr>
      </w:pPr>
      <w:r w:rsidRPr="003278ED">
        <w:rPr>
          <w:rFonts w:ascii="Times New Roman" w:eastAsia="Calibri" w:hAnsi="Times New Roman" w:cs="Times New Roman"/>
          <w:sz w:val="24"/>
          <w:szCs w:val="26"/>
        </w:rPr>
        <w:t>unificarea formatului de prezentare pentru p</w:t>
      </w:r>
      <w:r w:rsidRPr="003278ED">
        <w:rPr>
          <w:rFonts w:ascii="Times New Roman" w:eastAsia="Calibri" w:hAnsi="Times New Roman" w:cs="Times New Roman"/>
          <w:sz w:val="24"/>
          <w:szCs w:val="26"/>
          <w:shd w:val="clear" w:color="auto" w:fill="FFFFFF"/>
        </w:rPr>
        <w:t>ropunerile de proiecte noi, în baza unui formular completat care obligatoriu se plasează în SI „Registrul proiectelor de investiții capitale” (RPIC).</w:t>
      </w:r>
    </w:p>
    <w:p w14:paraId="1AA60E21" w14:textId="77777777" w:rsidR="008B5B4B" w:rsidRPr="003278ED" w:rsidRDefault="008B5B4B" w:rsidP="007D3A2B">
      <w:pPr>
        <w:tabs>
          <w:tab w:val="left" w:pos="403"/>
          <w:tab w:val="left" w:pos="993"/>
        </w:tabs>
        <w:spacing w:after="0" w:line="240" w:lineRule="auto"/>
        <w:ind w:firstLine="709"/>
        <w:jc w:val="both"/>
        <w:rPr>
          <w:rFonts w:ascii="Times New Roman" w:eastAsia="Calibri" w:hAnsi="Times New Roman" w:cs="Times New Roman"/>
          <w:b/>
          <w:sz w:val="8"/>
          <w:szCs w:val="10"/>
        </w:rPr>
      </w:pPr>
    </w:p>
    <w:p w14:paraId="6F78B65E" w14:textId="77777777"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t xml:space="preserve">În prezent, sistemul existent se caracterizează prin capacitățile reduse ale autorităților administrației publice centrale (AAPC) de implementare a proiectelor, lipsa unor priorități în domeniul investițiilor capitale publice clar definite, prin evaluarea slabă a proiectelor, a procedurilor de selectare și aprobare a acestora. </w:t>
      </w:r>
    </w:p>
    <w:p w14:paraId="04F91EB3" w14:textId="089F0B37"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t xml:space="preserve">O prioritate de bază pentru perioada 2025-2027 constituie îmbunătățirea calității propunerilor de proiecte noi, </w:t>
      </w:r>
      <w:r w:rsidR="000E7C34" w:rsidRPr="003278ED">
        <w:rPr>
          <w:rFonts w:ascii="Times New Roman" w:hAnsi="Times New Roman" w:cs="Times New Roman"/>
          <w:sz w:val="24"/>
          <w:szCs w:val="26"/>
        </w:rPr>
        <w:t xml:space="preserve">a </w:t>
      </w:r>
      <w:r w:rsidRPr="003278ED">
        <w:rPr>
          <w:rFonts w:ascii="Times New Roman" w:hAnsi="Times New Roman" w:cs="Times New Roman"/>
          <w:sz w:val="24"/>
          <w:szCs w:val="26"/>
        </w:rPr>
        <w:t xml:space="preserve">planificării bugetare, </w:t>
      </w:r>
      <w:r w:rsidR="000E7C34" w:rsidRPr="003278ED">
        <w:rPr>
          <w:rFonts w:ascii="Times New Roman" w:hAnsi="Times New Roman" w:cs="Times New Roman"/>
          <w:sz w:val="24"/>
          <w:szCs w:val="26"/>
        </w:rPr>
        <w:t xml:space="preserve">a </w:t>
      </w:r>
      <w:proofErr w:type="spellStart"/>
      <w:r w:rsidRPr="003278ED">
        <w:rPr>
          <w:rFonts w:ascii="Times New Roman" w:hAnsi="Times New Roman" w:cs="Times New Roman"/>
          <w:sz w:val="24"/>
          <w:szCs w:val="26"/>
        </w:rPr>
        <w:t>prioritizării</w:t>
      </w:r>
      <w:proofErr w:type="spellEnd"/>
      <w:r w:rsidRPr="003278ED">
        <w:rPr>
          <w:rFonts w:ascii="Times New Roman" w:hAnsi="Times New Roman" w:cs="Times New Roman"/>
          <w:sz w:val="24"/>
          <w:szCs w:val="26"/>
        </w:rPr>
        <w:t xml:space="preserve">, </w:t>
      </w:r>
      <w:r w:rsidR="000E7C34" w:rsidRPr="003278ED">
        <w:rPr>
          <w:rFonts w:ascii="Times New Roman" w:hAnsi="Times New Roman" w:cs="Times New Roman"/>
          <w:sz w:val="24"/>
          <w:szCs w:val="26"/>
        </w:rPr>
        <w:t xml:space="preserve">a </w:t>
      </w:r>
      <w:r w:rsidRPr="003278ED">
        <w:rPr>
          <w:rFonts w:ascii="Times New Roman" w:hAnsi="Times New Roman" w:cs="Times New Roman"/>
          <w:sz w:val="24"/>
          <w:szCs w:val="26"/>
        </w:rPr>
        <w:t xml:space="preserve">gestionării și </w:t>
      </w:r>
      <w:r w:rsidR="000E7C34" w:rsidRPr="003278ED">
        <w:rPr>
          <w:rFonts w:ascii="Times New Roman" w:hAnsi="Times New Roman" w:cs="Times New Roman"/>
          <w:sz w:val="24"/>
          <w:szCs w:val="26"/>
        </w:rPr>
        <w:t xml:space="preserve">a </w:t>
      </w:r>
      <w:r w:rsidRPr="003278ED">
        <w:rPr>
          <w:rFonts w:ascii="Times New Roman" w:hAnsi="Times New Roman" w:cs="Times New Roman"/>
          <w:sz w:val="24"/>
          <w:szCs w:val="26"/>
        </w:rPr>
        <w:t>implementării proiectelor de investiții capitale publice</w:t>
      </w:r>
      <w:r w:rsidR="000E7C34" w:rsidRPr="003278ED">
        <w:rPr>
          <w:rFonts w:ascii="Times New Roman" w:hAnsi="Times New Roman" w:cs="Times New Roman"/>
          <w:sz w:val="24"/>
          <w:szCs w:val="26"/>
        </w:rPr>
        <w:t xml:space="preserve">, </w:t>
      </w:r>
      <w:r w:rsidRPr="003278ED">
        <w:rPr>
          <w:rFonts w:ascii="Times New Roman" w:hAnsi="Times New Roman" w:cs="Times New Roman"/>
          <w:sz w:val="24"/>
          <w:szCs w:val="26"/>
        </w:rPr>
        <w:t xml:space="preserve">pentru a spori absorbția fondurilor interne și externe și </w:t>
      </w:r>
      <w:r w:rsidR="000E7C34" w:rsidRPr="003278ED">
        <w:rPr>
          <w:rFonts w:ascii="Times New Roman" w:hAnsi="Times New Roman" w:cs="Times New Roman"/>
          <w:sz w:val="24"/>
          <w:szCs w:val="26"/>
        </w:rPr>
        <w:t xml:space="preserve">pentru </w:t>
      </w:r>
      <w:r w:rsidRPr="003278ED">
        <w:rPr>
          <w:rFonts w:ascii="Times New Roman" w:hAnsi="Times New Roman" w:cs="Times New Roman"/>
          <w:sz w:val="24"/>
          <w:szCs w:val="26"/>
        </w:rPr>
        <w:t>a reduce perioada de realizare a proiectelor.</w:t>
      </w:r>
    </w:p>
    <w:p w14:paraId="641B77E4" w14:textId="77777777" w:rsidR="008B5B4B" w:rsidRPr="003278ED" w:rsidRDefault="008B5B4B" w:rsidP="007D3A2B">
      <w:pPr>
        <w:tabs>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lastRenderedPageBreak/>
        <w:t xml:space="preserve">Astfel, se prevede fortificarea capacităților AAPC în domeniul managementului proiectelor de investiții capitale publice conform Programului pentru implementarea Strategiei de </w:t>
      </w:r>
      <w:r w:rsidR="003E313D" w:rsidRPr="003278ED">
        <w:rPr>
          <w:rFonts w:ascii="Times New Roman" w:hAnsi="Times New Roman" w:cs="Times New Roman"/>
          <w:sz w:val="24"/>
          <w:szCs w:val="26"/>
        </w:rPr>
        <w:t>r</w:t>
      </w:r>
      <w:r w:rsidRPr="003278ED">
        <w:rPr>
          <w:rFonts w:ascii="Times New Roman" w:hAnsi="Times New Roman" w:cs="Times New Roman"/>
          <w:sz w:val="24"/>
          <w:szCs w:val="26"/>
        </w:rPr>
        <w:t xml:space="preserve">eformă a </w:t>
      </w:r>
      <w:r w:rsidR="003E313D" w:rsidRPr="003278ED">
        <w:rPr>
          <w:rFonts w:ascii="Times New Roman" w:hAnsi="Times New Roman" w:cs="Times New Roman"/>
          <w:sz w:val="24"/>
          <w:szCs w:val="26"/>
        </w:rPr>
        <w:t>a</w:t>
      </w:r>
      <w:r w:rsidRPr="003278ED">
        <w:rPr>
          <w:rFonts w:ascii="Times New Roman" w:hAnsi="Times New Roman" w:cs="Times New Roman"/>
          <w:sz w:val="24"/>
          <w:szCs w:val="26"/>
        </w:rPr>
        <w:t xml:space="preserve">dministrației </w:t>
      </w:r>
      <w:r w:rsidR="003E313D" w:rsidRPr="003278ED">
        <w:rPr>
          <w:rFonts w:ascii="Times New Roman" w:hAnsi="Times New Roman" w:cs="Times New Roman"/>
          <w:sz w:val="24"/>
          <w:szCs w:val="26"/>
        </w:rPr>
        <w:t>p</w:t>
      </w:r>
      <w:r w:rsidRPr="003278ED">
        <w:rPr>
          <w:rFonts w:ascii="Times New Roman" w:hAnsi="Times New Roman" w:cs="Times New Roman"/>
          <w:sz w:val="24"/>
          <w:szCs w:val="26"/>
        </w:rPr>
        <w:t xml:space="preserve">ublice 2023-2026. </w:t>
      </w:r>
    </w:p>
    <w:p w14:paraId="0CD34EE2" w14:textId="77777777" w:rsidR="008B5B4B" w:rsidRPr="003278ED" w:rsidRDefault="008B5B4B" w:rsidP="007D3A2B">
      <w:pPr>
        <w:tabs>
          <w:tab w:val="left" w:pos="403"/>
          <w:tab w:val="left" w:pos="993"/>
        </w:tabs>
        <w:spacing w:after="0" w:line="240" w:lineRule="auto"/>
        <w:ind w:firstLine="709"/>
        <w:jc w:val="both"/>
        <w:rPr>
          <w:rFonts w:ascii="Times New Roman" w:hAnsi="Times New Roman" w:cs="Times New Roman"/>
          <w:sz w:val="24"/>
          <w:szCs w:val="26"/>
        </w:rPr>
      </w:pPr>
      <w:r w:rsidRPr="003278ED">
        <w:rPr>
          <w:rFonts w:ascii="Times New Roman" w:hAnsi="Times New Roman" w:cs="Times New Roman"/>
          <w:sz w:val="24"/>
          <w:szCs w:val="26"/>
        </w:rPr>
        <w:t>În perioada următoare se va pune accent pe proiecte de investiții capitale publice din:</w:t>
      </w:r>
    </w:p>
    <w:p w14:paraId="2185DA8B" w14:textId="36728147"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domeniul gospodăriei drumurilor</w:t>
      </w:r>
    </w:p>
    <w:p w14:paraId="271DC0F1"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„Susținerea Programului în sectorul drumurilor”</w:t>
      </w:r>
      <w:r w:rsidR="003B735A" w:rsidRPr="003278ED">
        <w:rPr>
          <w:rFonts w:ascii="Times New Roman" w:hAnsi="Times New Roman" w:cs="Times New Roman"/>
          <w:sz w:val="24"/>
          <w:szCs w:val="26"/>
        </w:rPr>
        <w:t>;</w:t>
      </w:r>
    </w:p>
    <w:p w14:paraId="3B7FAB1A"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„Moldova drumuri III”</w:t>
      </w:r>
      <w:r w:rsidR="003B735A" w:rsidRPr="003278ED">
        <w:rPr>
          <w:rFonts w:ascii="Times New Roman" w:hAnsi="Times New Roman" w:cs="Times New Roman"/>
          <w:sz w:val="24"/>
          <w:szCs w:val="26"/>
        </w:rPr>
        <w:t>;</w:t>
      </w:r>
    </w:p>
    <w:p w14:paraId="2BD3DE36"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„Moldova drumuri IV”</w:t>
      </w:r>
      <w:r w:rsidR="003B735A" w:rsidRPr="003278ED">
        <w:rPr>
          <w:rFonts w:ascii="Times New Roman" w:hAnsi="Times New Roman" w:cs="Times New Roman"/>
          <w:sz w:val="24"/>
          <w:szCs w:val="26"/>
        </w:rPr>
        <w:t>;</w:t>
      </w:r>
    </w:p>
    <w:p w14:paraId="7A008851"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„Moldova drumuri V”</w:t>
      </w:r>
      <w:r w:rsidR="003B735A" w:rsidRPr="003278ED">
        <w:rPr>
          <w:rFonts w:ascii="Times New Roman" w:hAnsi="Times New Roman" w:cs="Times New Roman"/>
          <w:sz w:val="24"/>
          <w:szCs w:val="26"/>
        </w:rPr>
        <w:t>;</w:t>
      </w:r>
    </w:p>
    <w:p w14:paraId="017A8F4E" w14:textId="6B8EF274"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 xml:space="preserve">domeniul servicii generale de stat </w:t>
      </w:r>
    </w:p>
    <w:p w14:paraId="55D84AD2" w14:textId="65F83C75"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„Modernizarea infrastructurii în cadrul Mecanismului pentru Interconectarea Europei (CEF)”</w:t>
      </w:r>
      <w:r w:rsidR="003B735A" w:rsidRPr="003278ED">
        <w:rPr>
          <w:rFonts w:ascii="Times New Roman" w:hAnsi="Times New Roman" w:cs="Times New Roman"/>
          <w:sz w:val="24"/>
          <w:szCs w:val="26"/>
        </w:rPr>
        <w:t>;</w:t>
      </w:r>
    </w:p>
    <w:p w14:paraId="65BB4FED" w14:textId="77777777"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 xml:space="preserve">domeniul aprovizionării cu apă și canalizare </w:t>
      </w:r>
    </w:p>
    <w:p w14:paraId="5DF62325"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„Îmbunătățirea infrastructurii de apă în Moldova Centrală”</w:t>
      </w:r>
      <w:r w:rsidR="003B735A" w:rsidRPr="003278ED">
        <w:rPr>
          <w:rFonts w:ascii="Times New Roman" w:hAnsi="Times New Roman" w:cs="Times New Roman"/>
          <w:sz w:val="24"/>
          <w:szCs w:val="26"/>
        </w:rPr>
        <w:t>;</w:t>
      </w:r>
    </w:p>
    <w:p w14:paraId="46AF196F"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„Securitatea aprovizionării cu apă și canalizare în Moldova”</w:t>
      </w:r>
      <w:r w:rsidR="003B735A" w:rsidRPr="003278ED">
        <w:rPr>
          <w:rFonts w:ascii="Times New Roman" w:hAnsi="Times New Roman" w:cs="Times New Roman"/>
          <w:sz w:val="24"/>
          <w:szCs w:val="26"/>
        </w:rPr>
        <w:t>;</w:t>
      </w:r>
    </w:p>
    <w:p w14:paraId="466F8CBE" w14:textId="77777777"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 xml:space="preserve">domeniul sistemului penitenciar </w:t>
      </w:r>
    </w:p>
    <w:p w14:paraId="4077318F"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„Construcția penitenciarului din municipiul Chișinău”</w:t>
      </w:r>
      <w:r w:rsidR="003B735A" w:rsidRPr="003278ED">
        <w:rPr>
          <w:rFonts w:ascii="Times New Roman" w:hAnsi="Times New Roman" w:cs="Times New Roman"/>
          <w:sz w:val="24"/>
          <w:szCs w:val="26"/>
        </w:rPr>
        <w:t>;</w:t>
      </w:r>
    </w:p>
    <w:p w14:paraId="37B5214D" w14:textId="6A0CB1AD" w:rsidR="008B5B4B" w:rsidRPr="003278ED" w:rsidRDefault="000E7C34"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c</w:t>
      </w:r>
      <w:r w:rsidR="008B5B4B" w:rsidRPr="003278ED">
        <w:rPr>
          <w:rFonts w:ascii="Times New Roman" w:hAnsi="Times New Roman" w:cs="Times New Roman"/>
          <w:sz w:val="24"/>
          <w:szCs w:val="26"/>
        </w:rPr>
        <w:t xml:space="preserve">onstrucția </w:t>
      </w:r>
      <w:r w:rsidRPr="003278ED">
        <w:rPr>
          <w:rFonts w:ascii="Times New Roman" w:hAnsi="Times New Roman" w:cs="Times New Roman"/>
          <w:sz w:val="24"/>
          <w:szCs w:val="26"/>
        </w:rPr>
        <w:t>c</w:t>
      </w:r>
      <w:r w:rsidR="008B5B4B" w:rsidRPr="003278ED">
        <w:rPr>
          <w:rFonts w:ascii="Times New Roman" w:hAnsi="Times New Roman" w:cs="Times New Roman"/>
          <w:sz w:val="24"/>
          <w:szCs w:val="26"/>
        </w:rPr>
        <w:t xml:space="preserve">asei de arest din municipiul </w:t>
      </w:r>
      <w:proofErr w:type="spellStart"/>
      <w:r w:rsidR="008B5B4B" w:rsidRPr="003278ED">
        <w:rPr>
          <w:rFonts w:ascii="Times New Roman" w:hAnsi="Times New Roman" w:cs="Times New Roman"/>
          <w:sz w:val="24"/>
          <w:szCs w:val="26"/>
        </w:rPr>
        <w:t>Bălţi</w:t>
      </w:r>
      <w:proofErr w:type="spellEnd"/>
      <w:r w:rsidR="003B735A" w:rsidRPr="003278ED">
        <w:rPr>
          <w:rFonts w:ascii="Times New Roman" w:hAnsi="Times New Roman" w:cs="Times New Roman"/>
          <w:sz w:val="24"/>
          <w:szCs w:val="26"/>
        </w:rPr>
        <w:t>;</w:t>
      </w:r>
    </w:p>
    <w:p w14:paraId="3ACB6575" w14:textId="77777777"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 xml:space="preserve">domeniul apărării </w:t>
      </w:r>
    </w:p>
    <w:p w14:paraId="28001538" w14:textId="41D5EDF4" w:rsidR="008B5B4B" w:rsidRPr="003278ED" w:rsidRDefault="000E7C34"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c</w:t>
      </w:r>
      <w:r w:rsidR="008B5B4B" w:rsidRPr="003278ED">
        <w:rPr>
          <w:rFonts w:ascii="Times New Roman" w:hAnsi="Times New Roman" w:cs="Times New Roman"/>
          <w:sz w:val="24"/>
          <w:szCs w:val="26"/>
        </w:rPr>
        <w:t xml:space="preserve">onstrucția Taberei </w:t>
      </w:r>
      <w:r w:rsidRPr="003278ED">
        <w:rPr>
          <w:rFonts w:ascii="Times New Roman" w:hAnsi="Times New Roman" w:cs="Times New Roman"/>
          <w:sz w:val="24"/>
          <w:szCs w:val="26"/>
        </w:rPr>
        <w:t>m</w:t>
      </w:r>
      <w:r w:rsidR="008B5B4B" w:rsidRPr="003278ED">
        <w:rPr>
          <w:rFonts w:ascii="Times New Roman" w:hAnsi="Times New Roman" w:cs="Times New Roman"/>
          <w:sz w:val="24"/>
          <w:szCs w:val="26"/>
        </w:rPr>
        <w:t xml:space="preserve">ilitare </w:t>
      </w:r>
      <w:r w:rsidRPr="003278ED">
        <w:rPr>
          <w:rFonts w:ascii="Times New Roman" w:hAnsi="Times New Roman" w:cs="Times New Roman"/>
          <w:sz w:val="24"/>
          <w:szCs w:val="26"/>
        </w:rPr>
        <w:t>p</w:t>
      </w:r>
      <w:r w:rsidR="008B5B4B" w:rsidRPr="003278ED">
        <w:rPr>
          <w:rFonts w:ascii="Times New Roman" w:hAnsi="Times New Roman" w:cs="Times New Roman"/>
          <w:sz w:val="24"/>
          <w:szCs w:val="26"/>
        </w:rPr>
        <w:t>ermanente nr.</w:t>
      </w:r>
      <w:r w:rsidRPr="003278ED">
        <w:rPr>
          <w:rFonts w:ascii="Times New Roman" w:hAnsi="Times New Roman" w:cs="Times New Roman"/>
          <w:sz w:val="24"/>
          <w:szCs w:val="26"/>
        </w:rPr>
        <w:t xml:space="preserve"> 136 în </w:t>
      </w:r>
      <w:r w:rsidR="008B5B4B" w:rsidRPr="003278ED">
        <w:rPr>
          <w:rFonts w:ascii="Times New Roman" w:hAnsi="Times New Roman" w:cs="Times New Roman"/>
          <w:sz w:val="24"/>
          <w:szCs w:val="26"/>
        </w:rPr>
        <w:t>com</w:t>
      </w:r>
      <w:r w:rsidR="00930946" w:rsidRPr="003278ED">
        <w:rPr>
          <w:rFonts w:ascii="Times New Roman" w:hAnsi="Times New Roman" w:cs="Times New Roman"/>
          <w:sz w:val="24"/>
          <w:szCs w:val="26"/>
        </w:rPr>
        <w:t>una</w:t>
      </w:r>
      <w:r w:rsidR="008B5B4B" w:rsidRPr="003278ED">
        <w:rPr>
          <w:rFonts w:ascii="Times New Roman" w:hAnsi="Times New Roman" w:cs="Times New Roman"/>
          <w:sz w:val="24"/>
          <w:szCs w:val="26"/>
        </w:rPr>
        <w:t xml:space="preserve"> Băcioi, mun</w:t>
      </w:r>
      <w:r w:rsidR="00930946" w:rsidRPr="003278ED">
        <w:rPr>
          <w:rFonts w:ascii="Times New Roman" w:hAnsi="Times New Roman" w:cs="Times New Roman"/>
          <w:sz w:val="24"/>
          <w:szCs w:val="26"/>
        </w:rPr>
        <w:t>icipiul</w:t>
      </w:r>
      <w:r w:rsidR="008B5B4B" w:rsidRPr="003278ED">
        <w:rPr>
          <w:rFonts w:ascii="Times New Roman" w:hAnsi="Times New Roman" w:cs="Times New Roman"/>
          <w:sz w:val="24"/>
          <w:szCs w:val="26"/>
        </w:rPr>
        <w:t xml:space="preserve"> Chișinău</w:t>
      </w:r>
      <w:r w:rsidR="003B735A" w:rsidRPr="003278ED">
        <w:rPr>
          <w:rFonts w:ascii="Times New Roman" w:hAnsi="Times New Roman" w:cs="Times New Roman"/>
          <w:sz w:val="24"/>
          <w:szCs w:val="26"/>
        </w:rPr>
        <w:t>;</w:t>
      </w:r>
    </w:p>
    <w:p w14:paraId="263AC569" w14:textId="77777777" w:rsidR="008B5B4B" w:rsidRPr="003278ED" w:rsidRDefault="008B5B4B" w:rsidP="000E7C34">
      <w:pPr>
        <w:pStyle w:val="Listparagraf"/>
        <w:numPr>
          <w:ilvl w:val="0"/>
          <w:numId w:val="40"/>
        </w:numPr>
        <w:tabs>
          <w:tab w:val="left" w:pos="403"/>
          <w:tab w:val="left" w:pos="993"/>
        </w:tabs>
        <w:spacing w:after="0" w:line="240" w:lineRule="auto"/>
        <w:ind w:left="0" w:firstLine="709"/>
        <w:jc w:val="both"/>
        <w:rPr>
          <w:rFonts w:ascii="Times New Roman" w:hAnsi="Times New Roman" w:cs="Times New Roman"/>
          <w:i/>
          <w:sz w:val="24"/>
          <w:szCs w:val="26"/>
        </w:rPr>
      </w:pPr>
      <w:r w:rsidRPr="003278ED">
        <w:rPr>
          <w:rFonts w:ascii="Times New Roman" w:hAnsi="Times New Roman" w:cs="Times New Roman"/>
          <w:i/>
          <w:sz w:val="24"/>
          <w:szCs w:val="26"/>
        </w:rPr>
        <w:t xml:space="preserve">domeniul ocrotirii sănătății </w:t>
      </w:r>
    </w:p>
    <w:p w14:paraId="37B40C3C" w14:textId="77777777" w:rsidR="008B5B4B" w:rsidRPr="003278ED" w:rsidRDefault="008B5B4B" w:rsidP="000E7C34">
      <w:pPr>
        <w:pStyle w:val="Listparagraf"/>
        <w:numPr>
          <w:ilvl w:val="0"/>
          <w:numId w:val="22"/>
        </w:numPr>
        <w:tabs>
          <w:tab w:val="left" w:pos="403"/>
          <w:tab w:val="left" w:pos="993"/>
        </w:tabs>
        <w:spacing w:after="0" w:line="240" w:lineRule="auto"/>
        <w:ind w:left="0" w:firstLine="709"/>
        <w:contextualSpacing w:val="0"/>
        <w:jc w:val="both"/>
        <w:rPr>
          <w:rFonts w:ascii="Times New Roman" w:hAnsi="Times New Roman" w:cs="Times New Roman"/>
          <w:sz w:val="24"/>
          <w:szCs w:val="26"/>
        </w:rPr>
      </w:pPr>
      <w:r w:rsidRPr="003278ED">
        <w:rPr>
          <w:rFonts w:ascii="Times New Roman" w:hAnsi="Times New Roman" w:cs="Times New Roman"/>
          <w:sz w:val="24"/>
          <w:szCs w:val="26"/>
        </w:rPr>
        <w:t>Proiectul „Construcția Spitalului regional Bălți”</w:t>
      </w:r>
      <w:r w:rsidR="003B735A" w:rsidRPr="003278ED">
        <w:rPr>
          <w:rFonts w:ascii="Times New Roman" w:hAnsi="Times New Roman" w:cs="Times New Roman"/>
          <w:sz w:val="24"/>
          <w:szCs w:val="26"/>
        </w:rPr>
        <w:t>.</w:t>
      </w:r>
    </w:p>
    <w:p w14:paraId="11463164" w14:textId="77777777" w:rsidR="008B5B4B" w:rsidRPr="003278ED" w:rsidRDefault="008B5B4B" w:rsidP="007D3A2B">
      <w:pPr>
        <w:tabs>
          <w:tab w:val="left" w:pos="403"/>
          <w:tab w:val="left" w:pos="993"/>
        </w:tabs>
        <w:spacing w:after="0" w:line="240" w:lineRule="auto"/>
        <w:ind w:firstLine="709"/>
        <w:jc w:val="both"/>
        <w:rPr>
          <w:rFonts w:ascii="Times New Roman" w:hAnsi="Times New Roman" w:cs="Times New Roman"/>
          <w:sz w:val="8"/>
          <w:szCs w:val="10"/>
        </w:rPr>
      </w:pPr>
    </w:p>
    <w:p w14:paraId="4CE189C4" w14:textId="6A090330" w:rsidR="00A61E49" w:rsidRPr="003278ED" w:rsidRDefault="008B5B4B" w:rsidP="007D3A2B">
      <w:pPr>
        <w:tabs>
          <w:tab w:val="left" w:pos="993"/>
        </w:tabs>
        <w:autoSpaceDE w:val="0"/>
        <w:autoSpaceDN w:val="0"/>
        <w:adjustRightInd w:val="0"/>
        <w:spacing w:after="0" w:line="240" w:lineRule="auto"/>
        <w:ind w:firstLine="709"/>
        <w:jc w:val="both"/>
        <w:rPr>
          <w:rFonts w:ascii="Times New Roman" w:hAnsi="Times New Roman" w:cs="Times New Roman"/>
          <w:b/>
          <w:i/>
          <w:sz w:val="20"/>
        </w:rPr>
      </w:pPr>
      <w:r w:rsidRPr="003278ED">
        <w:rPr>
          <w:rFonts w:ascii="Times New Roman" w:hAnsi="Times New Roman" w:cs="Times New Roman"/>
          <w:sz w:val="24"/>
          <w:szCs w:val="26"/>
        </w:rPr>
        <w:t xml:space="preserve">Programul investițiilor capitale prin prisma surselor de finanțare și repartizarea pe grupe principale este prezentată în </w:t>
      </w:r>
      <w:r w:rsidR="00D54088" w:rsidRPr="003278ED">
        <w:rPr>
          <w:rFonts w:ascii="Times New Roman" w:hAnsi="Times New Roman" w:cs="Times New Roman"/>
          <w:sz w:val="24"/>
          <w:szCs w:val="26"/>
        </w:rPr>
        <w:t>tabelul 4.4</w:t>
      </w:r>
      <w:r w:rsidRPr="003278ED">
        <w:rPr>
          <w:rFonts w:ascii="Times New Roman" w:hAnsi="Times New Roman" w:cs="Times New Roman"/>
          <w:sz w:val="24"/>
          <w:szCs w:val="26"/>
        </w:rPr>
        <w:t>.</w:t>
      </w:r>
    </w:p>
    <w:p w14:paraId="036F0623" w14:textId="77777777" w:rsidR="000516A6" w:rsidRPr="003278ED" w:rsidRDefault="000516A6" w:rsidP="007D3A2B">
      <w:pPr>
        <w:tabs>
          <w:tab w:val="left" w:pos="851"/>
          <w:tab w:val="left" w:pos="993"/>
          <w:tab w:val="left" w:pos="6386"/>
        </w:tabs>
        <w:spacing w:after="0" w:line="240" w:lineRule="auto"/>
        <w:ind w:firstLine="709"/>
        <w:rPr>
          <w:rFonts w:ascii="Times New Roman" w:eastAsia="Calibri" w:hAnsi="Times New Roman" w:cs="Times New Roman"/>
          <w:sz w:val="24"/>
          <w:szCs w:val="28"/>
        </w:rPr>
      </w:pPr>
    </w:p>
    <w:p w14:paraId="554B2FB3" w14:textId="6AF8198E" w:rsidR="00517E90" w:rsidRPr="003278ED" w:rsidRDefault="00517E90" w:rsidP="007D3A2B">
      <w:pPr>
        <w:tabs>
          <w:tab w:val="left" w:pos="851"/>
          <w:tab w:val="left" w:pos="993"/>
          <w:tab w:val="left" w:pos="6386"/>
        </w:tabs>
        <w:spacing w:after="0" w:line="240" w:lineRule="auto"/>
        <w:ind w:firstLine="709"/>
        <w:rPr>
          <w:rFonts w:ascii="Times New Roman" w:eastAsia="Calibri" w:hAnsi="Times New Roman" w:cs="Times New Roman"/>
          <w:b/>
          <w:bCs/>
          <w:i/>
          <w:color w:val="000000"/>
          <w:sz w:val="28"/>
          <w:szCs w:val="28"/>
          <w:lang w:eastAsia="ru-RU"/>
        </w:rPr>
      </w:pPr>
      <w:r w:rsidRPr="003278ED">
        <w:rPr>
          <w:rFonts w:ascii="Times New Roman" w:eastAsia="Calibri" w:hAnsi="Times New Roman" w:cs="Times New Roman"/>
          <w:sz w:val="24"/>
          <w:szCs w:val="28"/>
        </w:rPr>
        <w:t xml:space="preserve">Prioritățile politicii cheltuielilor pe sectoare și programele bugetare pe termen mediu sunt prezentate în anexele nr. 4 </w:t>
      </w:r>
      <w:r w:rsidR="003278ED" w:rsidRPr="003278ED">
        <w:rPr>
          <w:rFonts w:ascii="Times New Roman" w:eastAsia="Calibri" w:hAnsi="Times New Roman" w:cs="Times New Roman"/>
          <w:sz w:val="24"/>
          <w:szCs w:val="28"/>
        </w:rPr>
        <w:t>-</w:t>
      </w:r>
      <w:r w:rsidRPr="003278ED">
        <w:rPr>
          <w:rFonts w:ascii="Times New Roman" w:eastAsia="Calibri" w:hAnsi="Times New Roman" w:cs="Times New Roman"/>
          <w:sz w:val="24"/>
          <w:szCs w:val="28"/>
        </w:rPr>
        <w:t xml:space="preserve"> </w:t>
      </w:r>
      <w:r w:rsidR="003278ED" w:rsidRPr="003278ED">
        <w:rPr>
          <w:rFonts w:ascii="Times New Roman" w:eastAsia="Calibri" w:hAnsi="Times New Roman" w:cs="Times New Roman"/>
          <w:sz w:val="24"/>
          <w:szCs w:val="28"/>
        </w:rPr>
        <w:t xml:space="preserve">nr. </w:t>
      </w:r>
      <w:r w:rsidRPr="003278ED">
        <w:rPr>
          <w:rFonts w:ascii="Times New Roman" w:eastAsia="Calibri" w:hAnsi="Times New Roman" w:cs="Times New Roman"/>
          <w:sz w:val="24"/>
          <w:szCs w:val="28"/>
        </w:rPr>
        <w:t>24.</w:t>
      </w:r>
    </w:p>
    <w:p w14:paraId="4071CEB4" w14:textId="77777777" w:rsidR="008B5B4B" w:rsidRPr="003278ED" w:rsidRDefault="008B5B4B" w:rsidP="007D3A2B">
      <w:pPr>
        <w:tabs>
          <w:tab w:val="left" w:pos="993"/>
        </w:tabs>
        <w:autoSpaceDE w:val="0"/>
        <w:autoSpaceDN w:val="0"/>
        <w:adjustRightInd w:val="0"/>
        <w:spacing w:after="0" w:line="240" w:lineRule="auto"/>
        <w:ind w:firstLine="709"/>
        <w:rPr>
          <w:rFonts w:ascii="Times New Roman" w:hAnsi="Times New Roman" w:cs="Times New Roman"/>
          <w:b/>
          <w:i/>
          <w:sz w:val="24"/>
          <w:szCs w:val="24"/>
        </w:rPr>
      </w:pPr>
    </w:p>
    <w:p w14:paraId="69139FB6" w14:textId="294A8574" w:rsidR="002109F0" w:rsidRPr="003278ED" w:rsidRDefault="00F63869" w:rsidP="007D3A2B">
      <w:pPr>
        <w:autoSpaceDE w:val="0"/>
        <w:autoSpaceDN w:val="0"/>
        <w:adjustRightInd w:val="0"/>
        <w:spacing w:after="0" w:line="240" w:lineRule="auto"/>
        <w:ind w:right="-165" w:firstLine="567"/>
        <w:jc w:val="right"/>
        <w:rPr>
          <w:rFonts w:ascii="Times New Roman" w:hAnsi="Times New Roman" w:cs="Times New Roman"/>
          <w:color w:val="000000"/>
          <w:sz w:val="24"/>
          <w:szCs w:val="24"/>
        </w:rPr>
      </w:pPr>
      <w:r w:rsidRPr="003278ED">
        <w:rPr>
          <w:rFonts w:ascii="Times New Roman" w:hAnsi="Times New Roman" w:cs="Times New Roman"/>
          <w:color w:val="000000"/>
          <w:sz w:val="24"/>
          <w:szCs w:val="24"/>
        </w:rPr>
        <w:t xml:space="preserve">Tabelul </w:t>
      </w:r>
      <w:r w:rsidR="00D54088" w:rsidRPr="003278ED">
        <w:rPr>
          <w:rFonts w:ascii="Times New Roman" w:hAnsi="Times New Roman" w:cs="Times New Roman"/>
          <w:color w:val="000000"/>
          <w:sz w:val="24"/>
          <w:szCs w:val="24"/>
        </w:rPr>
        <w:t>4.4</w:t>
      </w:r>
    </w:p>
    <w:p w14:paraId="27EE721B" w14:textId="77777777" w:rsidR="00DE59D4" w:rsidRPr="003278ED" w:rsidRDefault="00DE59D4" w:rsidP="00072588">
      <w:pPr>
        <w:autoSpaceDE w:val="0"/>
        <w:autoSpaceDN w:val="0"/>
        <w:adjustRightInd w:val="0"/>
        <w:spacing w:after="0" w:line="240" w:lineRule="auto"/>
        <w:ind w:right="-165"/>
        <w:jc w:val="right"/>
        <w:rPr>
          <w:rFonts w:ascii="Times New Roman" w:hAnsi="Times New Roman" w:cs="Times New Roman"/>
          <w:b/>
          <w:color w:val="000000"/>
          <w:sz w:val="24"/>
          <w:szCs w:val="24"/>
        </w:rPr>
      </w:pPr>
    </w:p>
    <w:p w14:paraId="0F4B7316" w14:textId="266DEB2F" w:rsidR="00F63869" w:rsidRPr="003278ED" w:rsidRDefault="00F63869" w:rsidP="00072588">
      <w:pPr>
        <w:spacing w:after="0" w:line="240" w:lineRule="auto"/>
        <w:jc w:val="center"/>
        <w:rPr>
          <w:rFonts w:ascii="Times New Roman" w:hAnsi="Times New Roman" w:cs="Times New Roman"/>
          <w:b/>
          <w:bCs/>
          <w:color w:val="000000"/>
          <w:sz w:val="24"/>
          <w:szCs w:val="24"/>
        </w:rPr>
      </w:pPr>
      <w:r w:rsidRPr="003278ED">
        <w:rPr>
          <w:rFonts w:ascii="Times New Roman" w:hAnsi="Times New Roman" w:cs="Times New Roman"/>
          <w:b/>
          <w:bCs/>
          <w:color w:val="000000"/>
          <w:sz w:val="24"/>
          <w:szCs w:val="24"/>
        </w:rPr>
        <w:t xml:space="preserve">Programul investițiilor capitale a bugetului de stat pe surse de finanțare </w:t>
      </w:r>
      <w:r w:rsidR="00637E6B" w:rsidRPr="003278ED">
        <w:rPr>
          <w:rFonts w:ascii="Times New Roman" w:hAnsi="Times New Roman" w:cs="Times New Roman"/>
          <w:b/>
          <w:bCs/>
          <w:color w:val="000000"/>
          <w:sz w:val="24"/>
          <w:szCs w:val="24"/>
        </w:rPr>
        <w:br/>
      </w:r>
      <w:r w:rsidRPr="003278ED">
        <w:rPr>
          <w:rFonts w:ascii="Times New Roman" w:hAnsi="Times New Roman" w:cs="Times New Roman"/>
          <w:b/>
          <w:bCs/>
          <w:color w:val="000000"/>
          <w:sz w:val="24"/>
          <w:szCs w:val="24"/>
        </w:rPr>
        <w:t>și grupe principale pentru anii 2025-2027</w:t>
      </w:r>
    </w:p>
    <w:p w14:paraId="5C8AD800" w14:textId="77777777" w:rsidR="00F25E29" w:rsidRPr="003278ED" w:rsidRDefault="00F25E29" w:rsidP="007D3A2B">
      <w:pPr>
        <w:spacing w:after="0" w:line="240" w:lineRule="auto"/>
        <w:rPr>
          <w:rFonts w:ascii="Times New Roman" w:hAnsi="Times New Roman" w:cs="Times New Roman"/>
          <w:b/>
          <w:bCs/>
          <w:color w:val="000000"/>
        </w:rPr>
      </w:pPr>
    </w:p>
    <w:tbl>
      <w:tblPr>
        <w:tblW w:w="5000" w:type="pct"/>
        <w:tblLayout w:type="fixed"/>
        <w:tblLook w:val="04A0" w:firstRow="1" w:lastRow="0" w:firstColumn="1" w:lastColumn="0" w:noHBand="0" w:noVBand="1"/>
      </w:tblPr>
      <w:tblGrid>
        <w:gridCol w:w="236"/>
        <w:gridCol w:w="417"/>
        <w:gridCol w:w="2084"/>
        <w:gridCol w:w="831"/>
        <w:gridCol w:w="833"/>
        <w:gridCol w:w="831"/>
        <w:gridCol w:w="833"/>
        <w:gridCol w:w="833"/>
        <w:gridCol w:w="842"/>
        <w:gridCol w:w="693"/>
        <w:gridCol w:w="900"/>
      </w:tblGrid>
      <w:tr w:rsidR="00625629" w:rsidRPr="003278ED" w14:paraId="3874964E" w14:textId="77777777" w:rsidTr="00C717C3">
        <w:trPr>
          <w:trHeight w:val="183"/>
          <w:tblHeader/>
        </w:trPr>
        <w:tc>
          <w:tcPr>
            <w:tcW w:w="1467" w:type="pct"/>
            <w:gridSpan w:val="3"/>
            <w:vMerge w:val="restart"/>
            <w:tcBorders>
              <w:top w:val="single" w:sz="8" w:space="0" w:color="auto"/>
              <w:left w:val="nil"/>
              <w:right w:val="nil"/>
            </w:tcBorders>
            <w:shd w:val="clear" w:color="000000" w:fill="FFFFFF"/>
            <w:noWrap/>
            <w:vAlign w:val="bottom"/>
            <w:hideMark/>
          </w:tcPr>
          <w:p w14:paraId="558D5D01" w14:textId="77777777" w:rsidR="002243F8" w:rsidRPr="003278ED" w:rsidRDefault="002243F8"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 </w:t>
            </w:r>
          </w:p>
          <w:p w14:paraId="2B35C382" w14:textId="77777777" w:rsidR="002243F8" w:rsidRPr="003278ED" w:rsidRDefault="002243F8"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 </w:t>
            </w:r>
          </w:p>
        </w:tc>
        <w:tc>
          <w:tcPr>
            <w:tcW w:w="445" w:type="pct"/>
            <w:tcBorders>
              <w:top w:val="single" w:sz="8" w:space="0" w:color="auto"/>
              <w:left w:val="nil"/>
              <w:bottom w:val="nil"/>
              <w:right w:val="nil"/>
            </w:tcBorders>
            <w:shd w:val="clear" w:color="000000" w:fill="FFFFFF"/>
            <w:noWrap/>
            <w:vAlign w:val="bottom"/>
            <w:hideMark/>
          </w:tcPr>
          <w:p w14:paraId="489A2B64"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2024</w:t>
            </w:r>
          </w:p>
        </w:tc>
        <w:tc>
          <w:tcPr>
            <w:tcW w:w="446" w:type="pct"/>
            <w:tcBorders>
              <w:top w:val="single" w:sz="8" w:space="0" w:color="auto"/>
              <w:left w:val="nil"/>
              <w:bottom w:val="nil"/>
              <w:right w:val="nil"/>
            </w:tcBorders>
            <w:shd w:val="clear" w:color="000000" w:fill="FFFFFF"/>
            <w:noWrap/>
            <w:vAlign w:val="bottom"/>
            <w:hideMark/>
          </w:tcPr>
          <w:p w14:paraId="5D7F7B03"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2025</w:t>
            </w:r>
          </w:p>
        </w:tc>
        <w:tc>
          <w:tcPr>
            <w:tcW w:w="445" w:type="pct"/>
            <w:tcBorders>
              <w:top w:val="single" w:sz="8" w:space="0" w:color="auto"/>
              <w:left w:val="nil"/>
              <w:bottom w:val="nil"/>
              <w:right w:val="nil"/>
            </w:tcBorders>
            <w:shd w:val="clear" w:color="000000" w:fill="FFFFFF"/>
            <w:noWrap/>
            <w:vAlign w:val="bottom"/>
            <w:hideMark/>
          </w:tcPr>
          <w:p w14:paraId="7E9EFA34"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2026</w:t>
            </w:r>
          </w:p>
        </w:tc>
        <w:tc>
          <w:tcPr>
            <w:tcW w:w="446" w:type="pct"/>
            <w:tcBorders>
              <w:top w:val="single" w:sz="8" w:space="0" w:color="auto"/>
              <w:left w:val="nil"/>
              <w:bottom w:val="nil"/>
              <w:right w:val="nil"/>
            </w:tcBorders>
            <w:shd w:val="clear" w:color="000000" w:fill="FFFFFF"/>
            <w:noWrap/>
            <w:vAlign w:val="bottom"/>
            <w:hideMark/>
          </w:tcPr>
          <w:p w14:paraId="33F18E1C"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2027</w:t>
            </w:r>
          </w:p>
        </w:tc>
        <w:tc>
          <w:tcPr>
            <w:tcW w:w="446" w:type="pct"/>
            <w:tcBorders>
              <w:top w:val="single" w:sz="8" w:space="0" w:color="auto"/>
              <w:left w:val="dashed" w:sz="4" w:space="0" w:color="auto"/>
              <w:bottom w:val="nil"/>
              <w:right w:val="nil"/>
            </w:tcBorders>
            <w:shd w:val="clear" w:color="000000" w:fill="FFFFFF"/>
            <w:noWrap/>
            <w:vAlign w:val="bottom"/>
            <w:hideMark/>
          </w:tcPr>
          <w:p w14:paraId="54E58D54"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2024</w:t>
            </w:r>
          </w:p>
        </w:tc>
        <w:tc>
          <w:tcPr>
            <w:tcW w:w="451" w:type="pct"/>
            <w:tcBorders>
              <w:top w:val="single" w:sz="8" w:space="0" w:color="auto"/>
              <w:left w:val="nil"/>
              <w:bottom w:val="nil"/>
              <w:right w:val="nil"/>
            </w:tcBorders>
            <w:shd w:val="clear" w:color="000000" w:fill="FFFFFF"/>
            <w:noWrap/>
            <w:vAlign w:val="bottom"/>
            <w:hideMark/>
          </w:tcPr>
          <w:p w14:paraId="056BC276"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2025</w:t>
            </w:r>
          </w:p>
        </w:tc>
        <w:tc>
          <w:tcPr>
            <w:tcW w:w="371" w:type="pct"/>
            <w:tcBorders>
              <w:top w:val="single" w:sz="8" w:space="0" w:color="auto"/>
              <w:left w:val="nil"/>
              <w:bottom w:val="nil"/>
              <w:right w:val="nil"/>
            </w:tcBorders>
            <w:shd w:val="clear" w:color="000000" w:fill="FFFFFF"/>
            <w:noWrap/>
            <w:vAlign w:val="bottom"/>
            <w:hideMark/>
          </w:tcPr>
          <w:p w14:paraId="120FCE69"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2026</w:t>
            </w:r>
          </w:p>
        </w:tc>
        <w:tc>
          <w:tcPr>
            <w:tcW w:w="482" w:type="pct"/>
            <w:tcBorders>
              <w:top w:val="single" w:sz="8" w:space="0" w:color="auto"/>
              <w:left w:val="nil"/>
              <w:bottom w:val="nil"/>
              <w:right w:val="nil"/>
            </w:tcBorders>
            <w:shd w:val="clear" w:color="000000" w:fill="FFFFFF"/>
            <w:noWrap/>
            <w:vAlign w:val="bottom"/>
            <w:hideMark/>
          </w:tcPr>
          <w:p w14:paraId="036E45B3"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2027</w:t>
            </w:r>
          </w:p>
        </w:tc>
      </w:tr>
      <w:tr w:rsidR="00625629" w:rsidRPr="003278ED" w14:paraId="3A57D5F1" w14:textId="77777777" w:rsidTr="00C717C3">
        <w:trPr>
          <w:trHeight w:val="405"/>
          <w:tblHeader/>
        </w:trPr>
        <w:tc>
          <w:tcPr>
            <w:tcW w:w="1467" w:type="pct"/>
            <w:gridSpan w:val="3"/>
            <w:vMerge/>
            <w:tcBorders>
              <w:left w:val="nil"/>
              <w:bottom w:val="single" w:sz="8" w:space="0" w:color="auto"/>
              <w:right w:val="nil"/>
            </w:tcBorders>
            <w:shd w:val="clear" w:color="000000" w:fill="FFFFFF"/>
            <w:noWrap/>
            <w:vAlign w:val="center"/>
            <w:hideMark/>
          </w:tcPr>
          <w:p w14:paraId="6BB7039A" w14:textId="77777777" w:rsidR="002243F8" w:rsidRPr="003278ED" w:rsidRDefault="002243F8" w:rsidP="007D3A2B">
            <w:pPr>
              <w:spacing w:after="0" w:line="240" w:lineRule="auto"/>
              <w:jc w:val="center"/>
              <w:rPr>
                <w:rFonts w:ascii="Times New Roman" w:hAnsi="Times New Roman" w:cs="Times New Roman"/>
                <w:color w:val="000000"/>
                <w:sz w:val="16"/>
                <w:szCs w:val="16"/>
              </w:rPr>
            </w:pPr>
          </w:p>
        </w:tc>
        <w:tc>
          <w:tcPr>
            <w:tcW w:w="445" w:type="pct"/>
            <w:tcBorders>
              <w:top w:val="nil"/>
              <w:left w:val="nil"/>
              <w:bottom w:val="single" w:sz="8" w:space="0" w:color="auto"/>
              <w:right w:val="nil"/>
            </w:tcBorders>
            <w:shd w:val="clear" w:color="000000" w:fill="FFFFFF"/>
            <w:noWrap/>
            <w:vAlign w:val="center"/>
            <w:hideMark/>
          </w:tcPr>
          <w:p w14:paraId="67121FE8" w14:textId="77777777" w:rsidR="002243F8" w:rsidRPr="003278ED" w:rsidRDefault="002243F8"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Aprobat</w:t>
            </w:r>
          </w:p>
        </w:tc>
        <w:tc>
          <w:tcPr>
            <w:tcW w:w="446" w:type="pct"/>
            <w:tcBorders>
              <w:top w:val="nil"/>
              <w:left w:val="nil"/>
              <w:bottom w:val="single" w:sz="8" w:space="0" w:color="auto"/>
              <w:right w:val="nil"/>
            </w:tcBorders>
            <w:shd w:val="clear" w:color="000000" w:fill="FFFFFF"/>
            <w:noWrap/>
            <w:vAlign w:val="center"/>
            <w:hideMark/>
          </w:tcPr>
          <w:p w14:paraId="3D5EF5F3" w14:textId="77777777" w:rsidR="002243F8" w:rsidRPr="003278ED" w:rsidRDefault="002243F8"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c>
          <w:tcPr>
            <w:tcW w:w="445" w:type="pct"/>
            <w:tcBorders>
              <w:top w:val="nil"/>
              <w:left w:val="nil"/>
              <w:bottom w:val="single" w:sz="8" w:space="0" w:color="auto"/>
              <w:right w:val="nil"/>
            </w:tcBorders>
            <w:shd w:val="clear" w:color="000000" w:fill="FFFFFF"/>
            <w:noWrap/>
            <w:vAlign w:val="center"/>
            <w:hideMark/>
          </w:tcPr>
          <w:p w14:paraId="7F0E4FFA" w14:textId="77777777" w:rsidR="002243F8" w:rsidRPr="003278ED" w:rsidRDefault="002243F8"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c>
          <w:tcPr>
            <w:tcW w:w="446" w:type="pct"/>
            <w:tcBorders>
              <w:top w:val="nil"/>
              <w:left w:val="nil"/>
              <w:bottom w:val="single" w:sz="8" w:space="0" w:color="auto"/>
              <w:right w:val="dotted" w:sz="4" w:space="0" w:color="auto"/>
            </w:tcBorders>
            <w:shd w:val="clear" w:color="000000" w:fill="FFFFFF"/>
            <w:noWrap/>
            <w:vAlign w:val="center"/>
            <w:hideMark/>
          </w:tcPr>
          <w:p w14:paraId="631F2ED1" w14:textId="77777777" w:rsidR="002243F8" w:rsidRPr="003278ED" w:rsidRDefault="002243F8"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c>
          <w:tcPr>
            <w:tcW w:w="446" w:type="pct"/>
            <w:tcBorders>
              <w:top w:val="nil"/>
              <w:left w:val="nil"/>
              <w:bottom w:val="single" w:sz="8" w:space="0" w:color="auto"/>
              <w:right w:val="nil"/>
            </w:tcBorders>
            <w:shd w:val="clear" w:color="000000" w:fill="FFFFFF"/>
            <w:noWrap/>
            <w:vAlign w:val="center"/>
            <w:hideMark/>
          </w:tcPr>
          <w:p w14:paraId="3E53F1A6" w14:textId="77777777" w:rsidR="002243F8" w:rsidRPr="003278ED" w:rsidRDefault="002243F8" w:rsidP="007D3A2B">
            <w:pPr>
              <w:spacing w:after="0" w:line="240" w:lineRule="auto"/>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Aprobat</w:t>
            </w:r>
          </w:p>
        </w:tc>
        <w:tc>
          <w:tcPr>
            <w:tcW w:w="451" w:type="pct"/>
            <w:tcBorders>
              <w:top w:val="nil"/>
              <w:left w:val="nil"/>
              <w:bottom w:val="single" w:sz="8" w:space="0" w:color="auto"/>
              <w:right w:val="nil"/>
            </w:tcBorders>
            <w:shd w:val="clear" w:color="000000" w:fill="FFFFFF"/>
            <w:noWrap/>
            <w:vAlign w:val="center"/>
            <w:hideMark/>
          </w:tcPr>
          <w:p w14:paraId="356A5275" w14:textId="77777777" w:rsidR="002243F8" w:rsidRPr="003278ED" w:rsidRDefault="002243F8" w:rsidP="007D3A2B">
            <w:pPr>
              <w:spacing w:after="0" w:line="240" w:lineRule="auto"/>
              <w:ind w:left="-56"/>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c>
          <w:tcPr>
            <w:tcW w:w="371" w:type="pct"/>
            <w:tcBorders>
              <w:top w:val="nil"/>
              <w:left w:val="nil"/>
              <w:bottom w:val="single" w:sz="8" w:space="0" w:color="auto"/>
              <w:right w:val="nil"/>
            </w:tcBorders>
            <w:shd w:val="clear" w:color="000000" w:fill="FFFFFF"/>
            <w:noWrap/>
            <w:vAlign w:val="center"/>
            <w:hideMark/>
          </w:tcPr>
          <w:p w14:paraId="4AEA3496" w14:textId="77777777" w:rsidR="002243F8" w:rsidRPr="003278ED" w:rsidRDefault="002243F8" w:rsidP="007D3A2B">
            <w:pPr>
              <w:spacing w:after="0" w:line="240" w:lineRule="auto"/>
              <w:ind w:left="-127" w:right="-58"/>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c>
          <w:tcPr>
            <w:tcW w:w="482" w:type="pct"/>
            <w:tcBorders>
              <w:top w:val="nil"/>
              <w:left w:val="nil"/>
              <w:bottom w:val="single" w:sz="8" w:space="0" w:color="auto"/>
              <w:right w:val="nil"/>
            </w:tcBorders>
            <w:shd w:val="clear" w:color="000000" w:fill="FFFFFF"/>
            <w:noWrap/>
            <w:vAlign w:val="center"/>
            <w:hideMark/>
          </w:tcPr>
          <w:p w14:paraId="15F02F6B" w14:textId="77777777" w:rsidR="002243F8" w:rsidRPr="003278ED" w:rsidRDefault="002243F8" w:rsidP="007D3A2B">
            <w:pPr>
              <w:spacing w:after="0" w:line="240" w:lineRule="auto"/>
              <w:ind w:left="-56"/>
              <w:jc w:val="center"/>
              <w:rPr>
                <w:rFonts w:ascii="Times New Roman" w:hAnsi="Times New Roman" w:cs="Times New Roman"/>
                <w:b/>
                <w:bCs/>
                <w:color w:val="000000"/>
                <w:sz w:val="14"/>
                <w:szCs w:val="14"/>
              </w:rPr>
            </w:pPr>
            <w:r w:rsidRPr="003278ED">
              <w:rPr>
                <w:rFonts w:ascii="Times New Roman" w:hAnsi="Times New Roman" w:cs="Times New Roman"/>
                <w:b/>
                <w:bCs/>
                <w:color w:val="000000"/>
                <w:sz w:val="14"/>
                <w:szCs w:val="14"/>
              </w:rPr>
              <w:t>Prognozat</w:t>
            </w:r>
          </w:p>
        </w:tc>
      </w:tr>
      <w:tr w:rsidR="00625629" w:rsidRPr="003278ED" w14:paraId="4D5B6DD4" w14:textId="77777777" w:rsidTr="00625629">
        <w:trPr>
          <w:trHeight w:val="300"/>
        </w:trPr>
        <w:tc>
          <w:tcPr>
            <w:tcW w:w="1467" w:type="pct"/>
            <w:gridSpan w:val="3"/>
            <w:tcBorders>
              <w:top w:val="single" w:sz="8" w:space="0" w:color="auto"/>
              <w:left w:val="nil"/>
              <w:bottom w:val="single" w:sz="4" w:space="0" w:color="auto"/>
              <w:right w:val="single" w:sz="4" w:space="0" w:color="auto"/>
            </w:tcBorders>
            <w:shd w:val="clear" w:color="000000" w:fill="FFFFFF"/>
            <w:noWrap/>
            <w:vAlign w:val="center"/>
            <w:hideMark/>
          </w:tcPr>
          <w:p w14:paraId="56B74F9F"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1782" w:type="pct"/>
            <w:gridSpan w:val="4"/>
            <w:tcBorders>
              <w:top w:val="nil"/>
              <w:left w:val="single" w:sz="4" w:space="0" w:color="auto"/>
              <w:bottom w:val="single" w:sz="4" w:space="0" w:color="auto"/>
              <w:right w:val="nil"/>
            </w:tcBorders>
            <w:shd w:val="clear" w:color="000000" w:fill="FFFFFF"/>
            <w:noWrap/>
            <w:vAlign w:val="center"/>
            <w:hideMark/>
          </w:tcPr>
          <w:p w14:paraId="51767521" w14:textId="77777777" w:rsidR="002243F8" w:rsidRPr="003278ED" w:rsidRDefault="002243F8" w:rsidP="007D3A2B">
            <w:pPr>
              <w:spacing w:after="0" w:line="240" w:lineRule="auto"/>
              <w:jc w:val="center"/>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mil.lei</w:t>
            </w:r>
          </w:p>
        </w:tc>
        <w:tc>
          <w:tcPr>
            <w:tcW w:w="1750" w:type="pct"/>
            <w:gridSpan w:val="4"/>
            <w:tcBorders>
              <w:top w:val="nil"/>
              <w:left w:val="dashed" w:sz="4" w:space="0" w:color="auto"/>
              <w:bottom w:val="single" w:sz="4" w:space="0" w:color="auto"/>
              <w:right w:val="nil"/>
            </w:tcBorders>
            <w:shd w:val="clear" w:color="000000" w:fill="FFFFFF"/>
            <w:noWrap/>
            <w:vAlign w:val="center"/>
            <w:hideMark/>
          </w:tcPr>
          <w:p w14:paraId="4878622F" w14:textId="77777777" w:rsidR="002243F8" w:rsidRPr="003278ED" w:rsidRDefault="002243F8" w:rsidP="007D3A2B">
            <w:pPr>
              <w:spacing w:after="0" w:line="240" w:lineRule="auto"/>
              <w:jc w:val="center"/>
              <w:rPr>
                <w:rFonts w:ascii="Times New Roman" w:hAnsi="Times New Roman" w:cs="Times New Roman"/>
                <w:b/>
                <w:color w:val="000000"/>
                <w:sz w:val="16"/>
                <w:szCs w:val="16"/>
              </w:rPr>
            </w:pPr>
            <w:r w:rsidRPr="003278ED">
              <w:rPr>
                <w:rFonts w:ascii="Times New Roman" w:hAnsi="Times New Roman" w:cs="Times New Roman"/>
                <w:b/>
                <w:color w:val="000000"/>
                <w:sz w:val="16"/>
                <w:szCs w:val="16"/>
              </w:rPr>
              <w:t>% în suma totală</w:t>
            </w:r>
          </w:p>
        </w:tc>
      </w:tr>
      <w:tr w:rsidR="00625629" w:rsidRPr="003278ED" w14:paraId="3753C9A8" w14:textId="77777777" w:rsidTr="00625629">
        <w:trPr>
          <w:trHeight w:val="300"/>
        </w:trPr>
        <w:tc>
          <w:tcPr>
            <w:tcW w:w="350" w:type="pct"/>
            <w:gridSpan w:val="2"/>
            <w:tcBorders>
              <w:top w:val="nil"/>
              <w:left w:val="nil"/>
              <w:bottom w:val="single" w:sz="4" w:space="0" w:color="auto"/>
              <w:right w:val="nil"/>
            </w:tcBorders>
            <w:shd w:val="clear" w:color="000000" w:fill="FFFFFF"/>
            <w:noWrap/>
            <w:vAlign w:val="bottom"/>
          </w:tcPr>
          <w:p w14:paraId="4791462A"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p>
        </w:tc>
        <w:tc>
          <w:tcPr>
            <w:tcW w:w="1117" w:type="pct"/>
            <w:tcBorders>
              <w:top w:val="nil"/>
              <w:left w:val="nil"/>
              <w:bottom w:val="single" w:sz="4" w:space="0" w:color="auto"/>
              <w:right w:val="nil"/>
            </w:tcBorders>
            <w:shd w:val="clear" w:color="000000" w:fill="FFFFFF"/>
            <w:noWrap/>
            <w:vAlign w:val="bottom"/>
            <w:hideMark/>
          </w:tcPr>
          <w:p w14:paraId="2B3DA588"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Total</w:t>
            </w:r>
          </w:p>
        </w:tc>
        <w:tc>
          <w:tcPr>
            <w:tcW w:w="445" w:type="pct"/>
            <w:tcBorders>
              <w:top w:val="nil"/>
              <w:left w:val="nil"/>
              <w:bottom w:val="single" w:sz="4" w:space="0" w:color="auto"/>
              <w:right w:val="nil"/>
            </w:tcBorders>
            <w:shd w:val="clear" w:color="000000" w:fill="FFFFFF"/>
            <w:noWrap/>
            <w:vAlign w:val="bottom"/>
            <w:hideMark/>
          </w:tcPr>
          <w:p w14:paraId="770417F0" w14:textId="77777777" w:rsidR="002243F8" w:rsidRPr="003278ED" w:rsidRDefault="002243F8"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1 904,2</w:t>
            </w:r>
          </w:p>
        </w:tc>
        <w:tc>
          <w:tcPr>
            <w:tcW w:w="446" w:type="pct"/>
            <w:tcBorders>
              <w:top w:val="nil"/>
              <w:left w:val="nil"/>
              <w:bottom w:val="single" w:sz="4" w:space="0" w:color="auto"/>
              <w:right w:val="nil"/>
            </w:tcBorders>
            <w:shd w:val="clear" w:color="000000" w:fill="FFFFFF"/>
            <w:noWrap/>
            <w:vAlign w:val="bottom"/>
            <w:hideMark/>
          </w:tcPr>
          <w:p w14:paraId="7317419A" w14:textId="77777777" w:rsidR="002243F8" w:rsidRPr="003278ED" w:rsidRDefault="002243F8"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2 335,8</w:t>
            </w:r>
          </w:p>
        </w:tc>
        <w:tc>
          <w:tcPr>
            <w:tcW w:w="445" w:type="pct"/>
            <w:tcBorders>
              <w:top w:val="nil"/>
              <w:left w:val="nil"/>
              <w:bottom w:val="single" w:sz="4" w:space="0" w:color="auto"/>
              <w:right w:val="nil"/>
            </w:tcBorders>
            <w:shd w:val="clear" w:color="000000" w:fill="FFFFFF"/>
            <w:noWrap/>
            <w:vAlign w:val="bottom"/>
            <w:hideMark/>
          </w:tcPr>
          <w:p w14:paraId="5E3CB50B" w14:textId="77777777" w:rsidR="002243F8" w:rsidRPr="003278ED" w:rsidRDefault="002243F8"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3 </w:t>
            </w:r>
            <w:r w:rsidR="002B07EB" w:rsidRPr="003278ED">
              <w:rPr>
                <w:rFonts w:ascii="Times New Roman" w:hAnsi="Times New Roman" w:cs="Times New Roman"/>
                <w:b/>
                <w:bCs/>
                <w:color w:val="000000"/>
                <w:sz w:val="16"/>
                <w:szCs w:val="16"/>
              </w:rPr>
              <w:t>206</w:t>
            </w:r>
            <w:r w:rsidRPr="003278ED">
              <w:rPr>
                <w:rFonts w:ascii="Times New Roman" w:hAnsi="Times New Roman" w:cs="Times New Roman"/>
                <w:b/>
                <w:bCs/>
                <w:color w:val="000000"/>
                <w:sz w:val="16"/>
                <w:szCs w:val="16"/>
              </w:rPr>
              <w:t>,0</w:t>
            </w:r>
          </w:p>
        </w:tc>
        <w:tc>
          <w:tcPr>
            <w:tcW w:w="446" w:type="pct"/>
            <w:tcBorders>
              <w:top w:val="nil"/>
              <w:left w:val="nil"/>
              <w:bottom w:val="single" w:sz="4" w:space="0" w:color="auto"/>
              <w:right w:val="nil"/>
            </w:tcBorders>
            <w:shd w:val="clear" w:color="000000" w:fill="FFFFFF"/>
            <w:noWrap/>
            <w:vAlign w:val="bottom"/>
            <w:hideMark/>
          </w:tcPr>
          <w:p w14:paraId="59FA49D3" w14:textId="77777777" w:rsidR="002243F8" w:rsidRPr="003278ED" w:rsidRDefault="002243F8"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3 </w:t>
            </w:r>
            <w:r w:rsidR="002B07EB" w:rsidRPr="003278ED">
              <w:rPr>
                <w:rFonts w:ascii="Times New Roman" w:hAnsi="Times New Roman" w:cs="Times New Roman"/>
                <w:b/>
                <w:bCs/>
                <w:color w:val="000000"/>
                <w:sz w:val="16"/>
                <w:szCs w:val="16"/>
              </w:rPr>
              <w:t>407</w:t>
            </w:r>
            <w:r w:rsidRPr="003278ED">
              <w:rPr>
                <w:rFonts w:ascii="Times New Roman" w:hAnsi="Times New Roman" w:cs="Times New Roman"/>
                <w:b/>
                <w:bCs/>
                <w:color w:val="000000"/>
                <w:sz w:val="16"/>
                <w:szCs w:val="16"/>
              </w:rPr>
              <w:t>,8</w:t>
            </w:r>
          </w:p>
        </w:tc>
        <w:tc>
          <w:tcPr>
            <w:tcW w:w="446" w:type="pct"/>
            <w:tcBorders>
              <w:top w:val="nil"/>
              <w:left w:val="dashed" w:sz="4" w:space="0" w:color="auto"/>
              <w:bottom w:val="single" w:sz="4" w:space="0" w:color="auto"/>
              <w:right w:val="nil"/>
            </w:tcBorders>
            <w:shd w:val="clear" w:color="000000" w:fill="FFFFFF"/>
            <w:noWrap/>
            <w:vAlign w:val="bottom"/>
            <w:hideMark/>
          </w:tcPr>
          <w:p w14:paraId="71EF13E4"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451" w:type="pct"/>
            <w:tcBorders>
              <w:top w:val="nil"/>
              <w:left w:val="nil"/>
              <w:bottom w:val="single" w:sz="4" w:space="0" w:color="auto"/>
              <w:right w:val="nil"/>
            </w:tcBorders>
            <w:shd w:val="clear" w:color="000000" w:fill="FFFFFF"/>
            <w:noWrap/>
            <w:vAlign w:val="bottom"/>
            <w:hideMark/>
          </w:tcPr>
          <w:p w14:paraId="7BDB15C6"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371" w:type="pct"/>
            <w:tcBorders>
              <w:top w:val="nil"/>
              <w:left w:val="nil"/>
              <w:bottom w:val="single" w:sz="4" w:space="0" w:color="auto"/>
              <w:right w:val="nil"/>
            </w:tcBorders>
            <w:shd w:val="clear" w:color="000000" w:fill="FFFFFF"/>
            <w:noWrap/>
            <w:vAlign w:val="bottom"/>
            <w:hideMark/>
          </w:tcPr>
          <w:p w14:paraId="1EDF4830"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482" w:type="pct"/>
            <w:tcBorders>
              <w:top w:val="nil"/>
              <w:left w:val="nil"/>
              <w:bottom w:val="single" w:sz="4" w:space="0" w:color="auto"/>
              <w:right w:val="nil"/>
            </w:tcBorders>
            <w:shd w:val="clear" w:color="000000" w:fill="FFFFFF"/>
            <w:noWrap/>
            <w:vAlign w:val="bottom"/>
            <w:hideMark/>
          </w:tcPr>
          <w:p w14:paraId="76E12BA1" w14:textId="77777777" w:rsidR="002243F8" w:rsidRPr="003278ED" w:rsidRDefault="002243F8"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r>
      <w:tr w:rsidR="00625629" w:rsidRPr="003278ED" w14:paraId="71D19CA5" w14:textId="77777777" w:rsidTr="00625629">
        <w:trPr>
          <w:trHeight w:val="509"/>
        </w:trPr>
        <w:tc>
          <w:tcPr>
            <w:tcW w:w="350" w:type="pct"/>
            <w:gridSpan w:val="2"/>
            <w:vMerge w:val="restart"/>
            <w:tcBorders>
              <w:top w:val="nil"/>
              <w:left w:val="nil"/>
              <w:bottom w:val="nil"/>
              <w:right w:val="nil"/>
            </w:tcBorders>
            <w:shd w:val="clear" w:color="000000" w:fill="FFFFFF"/>
            <w:textDirection w:val="btLr"/>
            <w:vAlign w:val="center"/>
            <w:hideMark/>
          </w:tcPr>
          <w:p w14:paraId="246C09C6"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Surse de finanțare</w:t>
            </w:r>
          </w:p>
        </w:tc>
        <w:tc>
          <w:tcPr>
            <w:tcW w:w="1117" w:type="pct"/>
            <w:tcBorders>
              <w:top w:val="nil"/>
              <w:left w:val="nil"/>
              <w:bottom w:val="nil"/>
              <w:right w:val="nil"/>
            </w:tcBorders>
            <w:shd w:val="clear" w:color="000000" w:fill="FFFFFF"/>
            <w:noWrap/>
            <w:vAlign w:val="center"/>
            <w:hideMark/>
          </w:tcPr>
          <w:p w14:paraId="5FBFBF4E"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Resurse generale, total</w:t>
            </w:r>
          </w:p>
        </w:tc>
        <w:tc>
          <w:tcPr>
            <w:tcW w:w="445" w:type="pct"/>
            <w:tcBorders>
              <w:top w:val="nil"/>
              <w:left w:val="nil"/>
              <w:bottom w:val="nil"/>
              <w:right w:val="nil"/>
            </w:tcBorders>
            <w:shd w:val="clear" w:color="000000" w:fill="FFFFFF"/>
            <w:noWrap/>
            <w:vAlign w:val="center"/>
            <w:hideMark/>
          </w:tcPr>
          <w:p w14:paraId="5A1AED06"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330,3</w:t>
            </w:r>
          </w:p>
        </w:tc>
        <w:tc>
          <w:tcPr>
            <w:tcW w:w="446" w:type="pct"/>
            <w:tcBorders>
              <w:top w:val="nil"/>
              <w:left w:val="nil"/>
              <w:bottom w:val="nil"/>
              <w:right w:val="nil"/>
            </w:tcBorders>
            <w:shd w:val="clear" w:color="000000" w:fill="FFFFFF"/>
            <w:noWrap/>
            <w:vAlign w:val="center"/>
            <w:hideMark/>
          </w:tcPr>
          <w:p w14:paraId="5603E947"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410,6</w:t>
            </w:r>
          </w:p>
        </w:tc>
        <w:tc>
          <w:tcPr>
            <w:tcW w:w="445" w:type="pct"/>
            <w:tcBorders>
              <w:top w:val="nil"/>
              <w:left w:val="nil"/>
              <w:bottom w:val="nil"/>
              <w:right w:val="nil"/>
            </w:tcBorders>
            <w:shd w:val="clear" w:color="000000" w:fill="FFFFFF"/>
            <w:noWrap/>
            <w:vAlign w:val="center"/>
            <w:hideMark/>
          </w:tcPr>
          <w:p w14:paraId="6F192A6C" w14:textId="77777777" w:rsidR="00D86F4F" w:rsidRPr="003278ED" w:rsidRDefault="002B07E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576</w:t>
            </w:r>
            <w:r w:rsidR="00D86F4F" w:rsidRPr="003278ED">
              <w:rPr>
                <w:rFonts w:ascii="Times New Roman" w:hAnsi="Times New Roman" w:cs="Times New Roman"/>
                <w:color w:val="000000"/>
                <w:sz w:val="16"/>
                <w:szCs w:val="16"/>
              </w:rPr>
              <w:t>,0</w:t>
            </w:r>
          </w:p>
        </w:tc>
        <w:tc>
          <w:tcPr>
            <w:tcW w:w="446" w:type="pct"/>
            <w:tcBorders>
              <w:top w:val="nil"/>
              <w:left w:val="nil"/>
              <w:bottom w:val="nil"/>
              <w:right w:val="nil"/>
            </w:tcBorders>
            <w:shd w:val="clear" w:color="000000" w:fill="FFFFFF"/>
            <w:noWrap/>
            <w:vAlign w:val="center"/>
            <w:hideMark/>
          </w:tcPr>
          <w:p w14:paraId="337D6513" w14:textId="77777777" w:rsidR="00D86F4F" w:rsidRPr="003278ED" w:rsidRDefault="002B07EB"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757</w:t>
            </w:r>
            <w:r w:rsidR="00D86F4F" w:rsidRPr="003278ED">
              <w:rPr>
                <w:rFonts w:ascii="Times New Roman" w:hAnsi="Times New Roman" w:cs="Times New Roman"/>
                <w:color w:val="000000"/>
                <w:sz w:val="16"/>
                <w:szCs w:val="16"/>
              </w:rPr>
              <w:t>,0</w:t>
            </w:r>
          </w:p>
        </w:tc>
        <w:tc>
          <w:tcPr>
            <w:tcW w:w="446" w:type="pct"/>
            <w:tcBorders>
              <w:top w:val="nil"/>
              <w:left w:val="dashed" w:sz="4" w:space="0" w:color="auto"/>
              <w:bottom w:val="nil"/>
              <w:right w:val="nil"/>
            </w:tcBorders>
            <w:shd w:val="clear" w:color="000000" w:fill="FFFFFF"/>
            <w:noWrap/>
            <w:vAlign w:val="center"/>
            <w:hideMark/>
          </w:tcPr>
          <w:p w14:paraId="6C9B5CD8"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17,3</w:t>
            </w:r>
          </w:p>
        </w:tc>
        <w:tc>
          <w:tcPr>
            <w:tcW w:w="451" w:type="pct"/>
            <w:tcBorders>
              <w:top w:val="nil"/>
              <w:left w:val="nil"/>
              <w:bottom w:val="nil"/>
              <w:right w:val="nil"/>
            </w:tcBorders>
            <w:shd w:val="clear" w:color="000000" w:fill="FFFFFF"/>
            <w:noWrap/>
            <w:vAlign w:val="center"/>
            <w:hideMark/>
          </w:tcPr>
          <w:p w14:paraId="1F45CD98"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17,6</w:t>
            </w:r>
          </w:p>
        </w:tc>
        <w:tc>
          <w:tcPr>
            <w:tcW w:w="371" w:type="pct"/>
            <w:tcBorders>
              <w:top w:val="nil"/>
              <w:left w:val="nil"/>
              <w:bottom w:val="nil"/>
              <w:right w:val="nil"/>
            </w:tcBorders>
            <w:shd w:val="clear" w:color="000000" w:fill="FFFFFF"/>
            <w:noWrap/>
            <w:vAlign w:val="center"/>
            <w:hideMark/>
          </w:tcPr>
          <w:p w14:paraId="53ED1543"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18,0</w:t>
            </w:r>
          </w:p>
        </w:tc>
        <w:tc>
          <w:tcPr>
            <w:tcW w:w="482" w:type="pct"/>
            <w:tcBorders>
              <w:top w:val="nil"/>
              <w:left w:val="nil"/>
              <w:bottom w:val="nil"/>
              <w:right w:val="nil"/>
            </w:tcBorders>
            <w:shd w:val="clear" w:color="000000" w:fill="FFFFFF"/>
            <w:noWrap/>
            <w:vAlign w:val="center"/>
            <w:hideMark/>
          </w:tcPr>
          <w:p w14:paraId="49558B66"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22,2</w:t>
            </w:r>
          </w:p>
        </w:tc>
      </w:tr>
      <w:tr w:rsidR="00625629" w:rsidRPr="003278ED" w14:paraId="40979621" w14:textId="77777777" w:rsidTr="00625629">
        <w:trPr>
          <w:trHeight w:val="551"/>
        </w:trPr>
        <w:tc>
          <w:tcPr>
            <w:tcW w:w="350" w:type="pct"/>
            <w:gridSpan w:val="2"/>
            <w:vMerge/>
            <w:tcBorders>
              <w:top w:val="nil"/>
              <w:left w:val="nil"/>
              <w:bottom w:val="nil"/>
              <w:right w:val="nil"/>
            </w:tcBorders>
            <w:vAlign w:val="center"/>
            <w:hideMark/>
          </w:tcPr>
          <w:p w14:paraId="117368EB"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1117" w:type="pct"/>
            <w:tcBorders>
              <w:top w:val="nil"/>
              <w:left w:val="nil"/>
              <w:bottom w:val="nil"/>
              <w:right w:val="nil"/>
            </w:tcBorders>
            <w:shd w:val="clear" w:color="000000" w:fill="FFFFFF"/>
            <w:vAlign w:val="center"/>
            <w:hideMark/>
          </w:tcPr>
          <w:p w14:paraId="138CC655" w14:textId="77777777" w:rsidR="00D86F4F" w:rsidRPr="003278ED" w:rsidRDefault="00D86F4F" w:rsidP="007D3A2B">
            <w:pPr>
              <w:spacing w:after="0" w:line="240" w:lineRule="auto"/>
              <w:ind w:firstLineChars="100" w:firstLine="160"/>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dintre care: </w:t>
            </w:r>
            <w:r w:rsidRPr="003278ED">
              <w:rPr>
                <w:rFonts w:ascii="Times New Roman" w:hAnsi="Times New Roman" w:cs="Times New Roman"/>
                <w:i/>
                <w:iCs/>
                <w:color w:val="000000"/>
                <w:sz w:val="16"/>
                <w:szCs w:val="16"/>
              </w:rPr>
              <w:t>Contribuția Guvernului la PFSE</w:t>
            </w:r>
          </w:p>
        </w:tc>
        <w:tc>
          <w:tcPr>
            <w:tcW w:w="445" w:type="pct"/>
            <w:tcBorders>
              <w:top w:val="nil"/>
              <w:left w:val="nil"/>
              <w:bottom w:val="nil"/>
              <w:right w:val="nil"/>
            </w:tcBorders>
            <w:shd w:val="clear" w:color="000000" w:fill="FFFFFF"/>
            <w:noWrap/>
            <w:vAlign w:val="center"/>
            <w:hideMark/>
          </w:tcPr>
          <w:p w14:paraId="1AA15EE2" w14:textId="77777777" w:rsidR="00D86F4F" w:rsidRPr="003278ED" w:rsidRDefault="00D86F4F" w:rsidP="007D3A2B">
            <w:pPr>
              <w:spacing w:after="0" w:line="240" w:lineRule="auto"/>
              <w:jc w:val="right"/>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2,9</w:t>
            </w:r>
          </w:p>
        </w:tc>
        <w:tc>
          <w:tcPr>
            <w:tcW w:w="446" w:type="pct"/>
            <w:tcBorders>
              <w:top w:val="nil"/>
              <w:left w:val="nil"/>
              <w:bottom w:val="nil"/>
              <w:right w:val="nil"/>
            </w:tcBorders>
            <w:shd w:val="clear" w:color="000000" w:fill="FFFFFF"/>
            <w:noWrap/>
            <w:vAlign w:val="center"/>
            <w:hideMark/>
          </w:tcPr>
          <w:p w14:paraId="3BC1B9D3" w14:textId="77777777" w:rsidR="00D86F4F" w:rsidRPr="003278ED" w:rsidRDefault="00D86F4F" w:rsidP="007D3A2B">
            <w:pPr>
              <w:spacing w:after="0" w:line="240" w:lineRule="auto"/>
              <w:jc w:val="right"/>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33,1</w:t>
            </w:r>
          </w:p>
        </w:tc>
        <w:tc>
          <w:tcPr>
            <w:tcW w:w="445" w:type="pct"/>
            <w:tcBorders>
              <w:top w:val="nil"/>
              <w:left w:val="nil"/>
              <w:bottom w:val="nil"/>
              <w:right w:val="nil"/>
            </w:tcBorders>
            <w:shd w:val="clear" w:color="000000" w:fill="FFFFFF"/>
            <w:noWrap/>
            <w:vAlign w:val="center"/>
            <w:hideMark/>
          </w:tcPr>
          <w:p w14:paraId="1202B690" w14:textId="77777777" w:rsidR="00D86F4F" w:rsidRPr="003278ED" w:rsidRDefault="00D86F4F" w:rsidP="007D3A2B">
            <w:pPr>
              <w:spacing w:after="0" w:line="240" w:lineRule="auto"/>
              <w:jc w:val="right"/>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71,1</w:t>
            </w:r>
          </w:p>
        </w:tc>
        <w:tc>
          <w:tcPr>
            <w:tcW w:w="446" w:type="pct"/>
            <w:tcBorders>
              <w:top w:val="nil"/>
              <w:left w:val="nil"/>
              <w:bottom w:val="nil"/>
              <w:right w:val="nil"/>
            </w:tcBorders>
            <w:shd w:val="clear" w:color="000000" w:fill="FFFFFF"/>
            <w:noWrap/>
            <w:vAlign w:val="center"/>
            <w:hideMark/>
          </w:tcPr>
          <w:p w14:paraId="0D225CCD" w14:textId="77777777" w:rsidR="00D86F4F" w:rsidRPr="003278ED" w:rsidRDefault="00D86F4F" w:rsidP="007D3A2B">
            <w:pPr>
              <w:spacing w:after="0" w:line="240" w:lineRule="auto"/>
              <w:jc w:val="right"/>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120,0</w:t>
            </w:r>
          </w:p>
        </w:tc>
        <w:tc>
          <w:tcPr>
            <w:tcW w:w="446" w:type="pct"/>
            <w:tcBorders>
              <w:top w:val="nil"/>
              <w:left w:val="dashed" w:sz="4" w:space="0" w:color="auto"/>
              <w:bottom w:val="nil"/>
              <w:right w:val="nil"/>
            </w:tcBorders>
            <w:shd w:val="clear" w:color="000000" w:fill="FFFFFF"/>
            <w:noWrap/>
            <w:vAlign w:val="center"/>
            <w:hideMark/>
          </w:tcPr>
          <w:p w14:paraId="7A4ED792" w14:textId="77777777" w:rsidR="00D86F4F" w:rsidRPr="003278ED" w:rsidRDefault="00D86F4F" w:rsidP="007D3A2B">
            <w:pPr>
              <w:spacing w:after="0" w:line="240" w:lineRule="auto"/>
              <w:jc w:val="center"/>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0,9</w:t>
            </w:r>
          </w:p>
        </w:tc>
        <w:tc>
          <w:tcPr>
            <w:tcW w:w="451" w:type="pct"/>
            <w:tcBorders>
              <w:top w:val="nil"/>
              <w:left w:val="nil"/>
              <w:bottom w:val="nil"/>
              <w:right w:val="nil"/>
            </w:tcBorders>
            <w:shd w:val="clear" w:color="000000" w:fill="FFFFFF"/>
            <w:noWrap/>
            <w:vAlign w:val="center"/>
            <w:hideMark/>
          </w:tcPr>
          <w:p w14:paraId="3DB0F799" w14:textId="77777777" w:rsidR="00D86F4F" w:rsidRPr="003278ED" w:rsidRDefault="00D86F4F" w:rsidP="007D3A2B">
            <w:pPr>
              <w:spacing w:after="0" w:line="240" w:lineRule="auto"/>
              <w:jc w:val="center"/>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8,1</w:t>
            </w:r>
          </w:p>
        </w:tc>
        <w:tc>
          <w:tcPr>
            <w:tcW w:w="371" w:type="pct"/>
            <w:tcBorders>
              <w:top w:val="nil"/>
              <w:left w:val="nil"/>
              <w:bottom w:val="nil"/>
              <w:right w:val="nil"/>
            </w:tcBorders>
            <w:shd w:val="clear" w:color="000000" w:fill="FFFFFF"/>
            <w:noWrap/>
            <w:vAlign w:val="center"/>
            <w:hideMark/>
          </w:tcPr>
          <w:p w14:paraId="4917704A" w14:textId="77777777" w:rsidR="00D86F4F" w:rsidRPr="003278ED" w:rsidRDefault="002B07EB" w:rsidP="007D3A2B">
            <w:pPr>
              <w:spacing w:after="0" w:line="240" w:lineRule="auto"/>
              <w:jc w:val="center"/>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12,3</w:t>
            </w:r>
          </w:p>
        </w:tc>
        <w:tc>
          <w:tcPr>
            <w:tcW w:w="482" w:type="pct"/>
            <w:tcBorders>
              <w:top w:val="nil"/>
              <w:left w:val="nil"/>
              <w:bottom w:val="nil"/>
              <w:right w:val="nil"/>
            </w:tcBorders>
            <w:shd w:val="clear" w:color="000000" w:fill="FFFFFF"/>
            <w:noWrap/>
            <w:vAlign w:val="center"/>
            <w:hideMark/>
          </w:tcPr>
          <w:p w14:paraId="233B9A35" w14:textId="77777777" w:rsidR="00D86F4F" w:rsidRPr="003278ED" w:rsidRDefault="002B07EB" w:rsidP="007D3A2B">
            <w:pPr>
              <w:spacing w:after="0" w:line="240" w:lineRule="auto"/>
              <w:jc w:val="center"/>
              <w:rPr>
                <w:rFonts w:ascii="Times New Roman" w:hAnsi="Times New Roman" w:cs="Times New Roman"/>
                <w:i/>
                <w:iCs/>
                <w:color w:val="000000"/>
                <w:sz w:val="16"/>
                <w:szCs w:val="16"/>
              </w:rPr>
            </w:pPr>
            <w:r w:rsidRPr="003278ED">
              <w:rPr>
                <w:rFonts w:ascii="Times New Roman" w:hAnsi="Times New Roman" w:cs="Times New Roman"/>
                <w:i/>
                <w:iCs/>
                <w:color w:val="000000"/>
                <w:sz w:val="16"/>
                <w:szCs w:val="16"/>
              </w:rPr>
              <w:t>15,9</w:t>
            </w:r>
          </w:p>
        </w:tc>
      </w:tr>
      <w:tr w:rsidR="00625629" w:rsidRPr="003278ED" w14:paraId="00560300" w14:textId="77777777" w:rsidTr="00625629">
        <w:trPr>
          <w:trHeight w:val="567"/>
        </w:trPr>
        <w:tc>
          <w:tcPr>
            <w:tcW w:w="350" w:type="pct"/>
            <w:gridSpan w:val="2"/>
            <w:vMerge/>
            <w:tcBorders>
              <w:top w:val="nil"/>
              <w:left w:val="nil"/>
              <w:bottom w:val="nil"/>
              <w:right w:val="nil"/>
            </w:tcBorders>
            <w:vAlign w:val="center"/>
            <w:hideMark/>
          </w:tcPr>
          <w:p w14:paraId="126756A5"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1117" w:type="pct"/>
            <w:tcBorders>
              <w:top w:val="nil"/>
              <w:left w:val="nil"/>
              <w:bottom w:val="nil"/>
              <w:right w:val="nil"/>
            </w:tcBorders>
            <w:shd w:val="clear" w:color="000000" w:fill="FFFFFF"/>
            <w:noWrap/>
            <w:vAlign w:val="center"/>
            <w:hideMark/>
          </w:tcPr>
          <w:p w14:paraId="2173A593"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Proiecte finanțate din surse externe (PFSE)</w:t>
            </w:r>
          </w:p>
        </w:tc>
        <w:tc>
          <w:tcPr>
            <w:tcW w:w="445" w:type="pct"/>
            <w:tcBorders>
              <w:top w:val="nil"/>
              <w:left w:val="nil"/>
              <w:bottom w:val="nil"/>
              <w:right w:val="nil"/>
            </w:tcBorders>
            <w:shd w:val="clear" w:color="000000" w:fill="FFFFFF"/>
            <w:noWrap/>
            <w:vAlign w:val="center"/>
            <w:hideMark/>
          </w:tcPr>
          <w:p w14:paraId="6CA3C3A1"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1 573,9</w:t>
            </w:r>
          </w:p>
        </w:tc>
        <w:tc>
          <w:tcPr>
            <w:tcW w:w="446" w:type="pct"/>
            <w:tcBorders>
              <w:top w:val="nil"/>
              <w:left w:val="nil"/>
              <w:bottom w:val="nil"/>
              <w:right w:val="nil"/>
            </w:tcBorders>
            <w:shd w:val="clear" w:color="000000" w:fill="FFFFFF"/>
            <w:noWrap/>
            <w:vAlign w:val="center"/>
            <w:hideMark/>
          </w:tcPr>
          <w:p w14:paraId="6194DF69"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1 925,2</w:t>
            </w:r>
          </w:p>
        </w:tc>
        <w:tc>
          <w:tcPr>
            <w:tcW w:w="445" w:type="pct"/>
            <w:tcBorders>
              <w:top w:val="nil"/>
              <w:left w:val="nil"/>
              <w:bottom w:val="nil"/>
              <w:right w:val="nil"/>
            </w:tcBorders>
            <w:shd w:val="clear" w:color="000000" w:fill="FFFFFF"/>
            <w:noWrap/>
            <w:vAlign w:val="center"/>
            <w:hideMark/>
          </w:tcPr>
          <w:p w14:paraId="274BBCF3"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2 630,0</w:t>
            </w:r>
          </w:p>
        </w:tc>
        <w:tc>
          <w:tcPr>
            <w:tcW w:w="446" w:type="pct"/>
            <w:tcBorders>
              <w:top w:val="nil"/>
              <w:left w:val="nil"/>
              <w:bottom w:val="nil"/>
              <w:right w:val="nil"/>
            </w:tcBorders>
            <w:shd w:val="clear" w:color="000000" w:fill="FFFFFF"/>
            <w:noWrap/>
            <w:vAlign w:val="center"/>
            <w:hideMark/>
          </w:tcPr>
          <w:p w14:paraId="1F9C8F25"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2 650,8</w:t>
            </w:r>
          </w:p>
        </w:tc>
        <w:tc>
          <w:tcPr>
            <w:tcW w:w="446" w:type="pct"/>
            <w:tcBorders>
              <w:top w:val="nil"/>
              <w:left w:val="dashed" w:sz="4" w:space="0" w:color="auto"/>
              <w:bottom w:val="nil"/>
              <w:right w:val="nil"/>
            </w:tcBorders>
            <w:shd w:val="clear" w:color="000000" w:fill="FFFFFF"/>
            <w:noWrap/>
            <w:vAlign w:val="center"/>
            <w:hideMark/>
          </w:tcPr>
          <w:p w14:paraId="542C4240"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82,7</w:t>
            </w:r>
          </w:p>
        </w:tc>
        <w:tc>
          <w:tcPr>
            <w:tcW w:w="451" w:type="pct"/>
            <w:tcBorders>
              <w:top w:val="nil"/>
              <w:left w:val="nil"/>
              <w:bottom w:val="nil"/>
              <w:right w:val="nil"/>
            </w:tcBorders>
            <w:shd w:val="clear" w:color="000000" w:fill="FFFFFF"/>
            <w:noWrap/>
            <w:vAlign w:val="center"/>
            <w:hideMark/>
          </w:tcPr>
          <w:p w14:paraId="40F679DA"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82,4</w:t>
            </w:r>
          </w:p>
        </w:tc>
        <w:tc>
          <w:tcPr>
            <w:tcW w:w="371" w:type="pct"/>
            <w:tcBorders>
              <w:top w:val="nil"/>
              <w:left w:val="nil"/>
              <w:bottom w:val="nil"/>
              <w:right w:val="nil"/>
            </w:tcBorders>
            <w:shd w:val="clear" w:color="000000" w:fill="FFFFFF"/>
            <w:noWrap/>
            <w:vAlign w:val="center"/>
            <w:hideMark/>
          </w:tcPr>
          <w:p w14:paraId="4AAD698D"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82,0</w:t>
            </w:r>
          </w:p>
        </w:tc>
        <w:tc>
          <w:tcPr>
            <w:tcW w:w="482" w:type="pct"/>
            <w:tcBorders>
              <w:top w:val="nil"/>
              <w:left w:val="nil"/>
              <w:bottom w:val="nil"/>
              <w:right w:val="nil"/>
            </w:tcBorders>
            <w:shd w:val="clear" w:color="000000" w:fill="FFFFFF"/>
            <w:noWrap/>
            <w:vAlign w:val="center"/>
            <w:hideMark/>
          </w:tcPr>
          <w:p w14:paraId="79B71964"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77,8</w:t>
            </w:r>
          </w:p>
        </w:tc>
      </w:tr>
      <w:tr w:rsidR="00625629" w:rsidRPr="003278ED" w14:paraId="532BBB2E" w14:textId="77777777" w:rsidTr="00625629">
        <w:trPr>
          <w:trHeight w:val="360"/>
        </w:trPr>
        <w:tc>
          <w:tcPr>
            <w:tcW w:w="127" w:type="pct"/>
            <w:tcBorders>
              <w:top w:val="single" w:sz="4" w:space="0" w:color="auto"/>
              <w:left w:val="nil"/>
              <w:bottom w:val="single" w:sz="4" w:space="0" w:color="auto"/>
              <w:right w:val="nil"/>
            </w:tcBorders>
            <w:shd w:val="clear" w:color="auto" w:fill="auto"/>
            <w:noWrap/>
            <w:vAlign w:val="bottom"/>
            <w:hideMark/>
          </w:tcPr>
          <w:p w14:paraId="7EBDB93D"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w:t>
            </w:r>
          </w:p>
        </w:tc>
        <w:tc>
          <w:tcPr>
            <w:tcW w:w="224" w:type="pct"/>
            <w:tcBorders>
              <w:top w:val="single" w:sz="4" w:space="0" w:color="auto"/>
              <w:left w:val="nil"/>
              <w:bottom w:val="single" w:sz="4" w:space="0" w:color="auto"/>
              <w:right w:val="nil"/>
            </w:tcBorders>
            <w:shd w:val="clear" w:color="000000" w:fill="FFFFFF"/>
            <w:noWrap/>
            <w:vAlign w:val="center"/>
            <w:hideMark/>
          </w:tcPr>
          <w:p w14:paraId="4F7859BD"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w:t>
            </w:r>
          </w:p>
        </w:tc>
        <w:tc>
          <w:tcPr>
            <w:tcW w:w="1117" w:type="pct"/>
            <w:tcBorders>
              <w:top w:val="single" w:sz="4" w:space="0" w:color="auto"/>
              <w:left w:val="nil"/>
              <w:bottom w:val="single" w:sz="4" w:space="0" w:color="auto"/>
              <w:right w:val="nil"/>
            </w:tcBorders>
            <w:shd w:val="clear" w:color="000000" w:fill="FFFFFF"/>
            <w:noWrap/>
            <w:vAlign w:val="center"/>
            <w:hideMark/>
          </w:tcPr>
          <w:p w14:paraId="57178432"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Total</w:t>
            </w:r>
          </w:p>
        </w:tc>
        <w:tc>
          <w:tcPr>
            <w:tcW w:w="445" w:type="pct"/>
            <w:tcBorders>
              <w:top w:val="single" w:sz="4" w:space="0" w:color="auto"/>
              <w:left w:val="nil"/>
              <w:bottom w:val="single" w:sz="4" w:space="0" w:color="auto"/>
              <w:right w:val="nil"/>
            </w:tcBorders>
            <w:shd w:val="clear" w:color="000000" w:fill="FFFFFF"/>
            <w:noWrap/>
            <w:vAlign w:val="center"/>
            <w:hideMark/>
          </w:tcPr>
          <w:p w14:paraId="3C375884" w14:textId="77777777" w:rsidR="00D86F4F" w:rsidRPr="003278ED" w:rsidRDefault="00D86F4F"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1 904,2</w:t>
            </w:r>
          </w:p>
        </w:tc>
        <w:tc>
          <w:tcPr>
            <w:tcW w:w="446" w:type="pct"/>
            <w:tcBorders>
              <w:top w:val="single" w:sz="4" w:space="0" w:color="auto"/>
              <w:left w:val="nil"/>
              <w:bottom w:val="single" w:sz="4" w:space="0" w:color="auto"/>
              <w:right w:val="nil"/>
            </w:tcBorders>
            <w:shd w:val="clear" w:color="000000" w:fill="FFFFFF"/>
            <w:noWrap/>
            <w:vAlign w:val="center"/>
            <w:hideMark/>
          </w:tcPr>
          <w:p w14:paraId="324B9E70" w14:textId="77777777" w:rsidR="00D86F4F" w:rsidRPr="003278ED" w:rsidRDefault="00D86F4F"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2 335,8</w:t>
            </w:r>
          </w:p>
        </w:tc>
        <w:tc>
          <w:tcPr>
            <w:tcW w:w="445" w:type="pct"/>
            <w:tcBorders>
              <w:top w:val="single" w:sz="4" w:space="0" w:color="auto"/>
              <w:left w:val="nil"/>
              <w:bottom w:val="single" w:sz="4" w:space="0" w:color="auto"/>
              <w:right w:val="nil"/>
            </w:tcBorders>
            <w:shd w:val="clear" w:color="000000" w:fill="FFFFFF"/>
            <w:noWrap/>
            <w:vAlign w:val="center"/>
            <w:hideMark/>
          </w:tcPr>
          <w:p w14:paraId="1A0A0A67" w14:textId="77777777" w:rsidR="00D86F4F" w:rsidRPr="003278ED" w:rsidRDefault="00D86F4F"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3 </w:t>
            </w:r>
            <w:r w:rsidR="002B07EB" w:rsidRPr="003278ED">
              <w:rPr>
                <w:rFonts w:ascii="Times New Roman" w:hAnsi="Times New Roman" w:cs="Times New Roman"/>
                <w:b/>
                <w:bCs/>
                <w:color w:val="000000"/>
                <w:sz w:val="16"/>
                <w:szCs w:val="16"/>
              </w:rPr>
              <w:t>206</w:t>
            </w:r>
            <w:r w:rsidRPr="003278ED">
              <w:rPr>
                <w:rFonts w:ascii="Times New Roman" w:hAnsi="Times New Roman" w:cs="Times New Roman"/>
                <w:b/>
                <w:bCs/>
                <w:color w:val="000000"/>
                <w:sz w:val="16"/>
                <w:szCs w:val="16"/>
              </w:rPr>
              <w:t>,0</w:t>
            </w:r>
          </w:p>
        </w:tc>
        <w:tc>
          <w:tcPr>
            <w:tcW w:w="446" w:type="pct"/>
            <w:tcBorders>
              <w:top w:val="single" w:sz="4" w:space="0" w:color="auto"/>
              <w:left w:val="nil"/>
              <w:bottom w:val="single" w:sz="4" w:space="0" w:color="auto"/>
              <w:right w:val="nil"/>
            </w:tcBorders>
            <w:shd w:val="clear" w:color="000000" w:fill="FFFFFF"/>
            <w:noWrap/>
            <w:vAlign w:val="center"/>
            <w:hideMark/>
          </w:tcPr>
          <w:p w14:paraId="0E3DD17C" w14:textId="77777777" w:rsidR="00D86F4F" w:rsidRPr="003278ED" w:rsidRDefault="00D86F4F" w:rsidP="007D3A2B">
            <w:pPr>
              <w:spacing w:after="0" w:line="240" w:lineRule="auto"/>
              <w:jc w:val="right"/>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 xml:space="preserve">3 </w:t>
            </w:r>
            <w:r w:rsidR="002B07EB" w:rsidRPr="003278ED">
              <w:rPr>
                <w:rFonts w:ascii="Times New Roman" w:hAnsi="Times New Roman" w:cs="Times New Roman"/>
                <w:b/>
                <w:bCs/>
                <w:color w:val="000000"/>
                <w:sz w:val="16"/>
                <w:szCs w:val="16"/>
              </w:rPr>
              <w:t>407</w:t>
            </w:r>
            <w:r w:rsidRPr="003278ED">
              <w:rPr>
                <w:rFonts w:ascii="Times New Roman" w:hAnsi="Times New Roman" w:cs="Times New Roman"/>
                <w:b/>
                <w:bCs/>
                <w:color w:val="000000"/>
                <w:sz w:val="16"/>
                <w:szCs w:val="16"/>
              </w:rPr>
              <w:t>,8</w:t>
            </w:r>
          </w:p>
        </w:tc>
        <w:tc>
          <w:tcPr>
            <w:tcW w:w="446" w:type="pct"/>
            <w:tcBorders>
              <w:top w:val="single" w:sz="4" w:space="0" w:color="auto"/>
              <w:left w:val="dashed" w:sz="4" w:space="0" w:color="auto"/>
              <w:bottom w:val="single" w:sz="4" w:space="0" w:color="auto"/>
              <w:right w:val="nil"/>
            </w:tcBorders>
            <w:shd w:val="clear" w:color="000000" w:fill="FFFFFF"/>
            <w:noWrap/>
            <w:vAlign w:val="center"/>
            <w:hideMark/>
          </w:tcPr>
          <w:p w14:paraId="749A4122"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451" w:type="pct"/>
            <w:tcBorders>
              <w:top w:val="single" w:sz="4" w:space="0" w:color="auto"/>
              <w:left w:val="nil"/>
              <w:bottom w:val="single" w:sz="4" w:space="0" w:color="auto"/>
              <w:right w:val="nil"/>
            </w:tcBorders>
            <w:shd w:val="clear" w:color="000000" w:fill="FFFFFF"/>
            <w:noWrap/>
            <w:vAlign w:val="center"/>
            <w:hideMark/>
          </w:tcPr>
          <w:p w14:paraId="5CC1B34E"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371" w:type="pct"/>
            <w:tcBorders>
              <w:top w:val="single" w:sz="4" w:space="0" w:color="auto"/>
              <w:left w:val="nil"/>
              <w:bottom w:val="single" w:sz="4" w:space="0" w:color="auto"/>
              <w:right w:val="nil"/>
            </w:tcBorders>
            <w:shd w:val="clear" w:color="000000" w:fill="FFFFFF"/>
            <w:noWrap/>
            <w:vAlign w:val="center"/>
            <w:hideMark/>
          </w:tcPr>
          <w:p w14:paraId="0E089E37"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c>
          <w:tcPr>
            <w:tcW w:w="482" w:type="pct"/>
            <w:tcBorders>
              <w:top w:val="single" w:sz="4" w:space="0" w:color="auto"/>
              <w:left w:val="nil"/>
              <w:bottom w:val="single" w:sz="4" w:space="0" w:color="auto"/>
              <w:right w:val="nil"/>
            </w:tcBorders>
            <w:shd w:val="clear" w:color="000000" w:fill="FFFFFF"/>
            <w:noWrap/>
            <w:vAlign w:val="center"/>
            <w:hideMark/>
          </w:tcPr>
          <w:p w14:paraId="7BAA6683"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100,0</w:t>
            </w:r>
          </w:p>
        </w:tc>
      </w:tr>
      <w:tr w:rsidR="00625629" w:rsidRPr="003278ED" w14:paraId="6A918528" w14:textId="77777777" w:rsidTr="00625629">
        <w:trPr>
          <w:trHeight w:val="360"/>
        </w:trPr>
        <w:tc>
          <w:tcPr>
            <w:tcW w:w="127" w:type="pct"/>
            <w:vMerge w:val="restart"/>
            <w:tcBorders>
              <w:top w:val="nil"/>
              <w:left w:val="nil"/>
              <w:bottom w:val="single" w:sz="4" w:space="0" w:color="000000"/>
              <w:right w:val="nil"/>
            </w:tcBorders>
            <w:shd w:val="clear" w:color="000000" w:fill="FFFFFF"/>
            <w:noWrap/>
            <w:textDirection w:val="btLr"/>
            <w:vAlign w:val="center"/>
            <w:hideMark/>
          </w:tcPr>
          <w:p w14:paraId="4FB8BCD6" w14:textId="77777777" w:rsidR="00D86F4F" w:rsidRPr="003278ED" w:rsidRDefault="00D86F4F" w:rsidP="007D3A2B">
            <w:pPr>
              <w:spacing w:after="0" w:line="240" w:lineRule="auto"/>
              <w:jc w:val="center"/>
              <w:rPr>
                <w:rFonts w:ascii="Times New Roman" w:hAnsi="Times New Roman" w:cs="Times New Roman"/>
                <w:b/>
                <w:bCs/>
                <w:color w:val="000000"/>
                <w:sz w:val="16"/>
                <w:szCs w:val="16"/>
              </w:rPr>
            </w:pPr>
            <w:r w:rsidRPr="003278ED">
              <w:rPr>
                <w:rFonts w:ascii="Times New Roman" w:hAnsi="Times New Roman" w:cs="Times New Roman"/>
                <w:b/>
                <w:bCs/>
                <w:color w:val="000000"/>
                <w:sz w:val="16"/>
                <w:szCs w:val="16"/>
              </w:rPr>
              <w:t>Grupa principală</w:t>
            </w:r>
          </w:p>
        </w:tc>
        <w:tc>
          <w:tcPr>
            <w:tcW w:w="224" w:type="pct"/>
            <w:tcBorders>
              <w:top w:val="nil"/>
              <w:left w:val="nil"/>
              <w:bottom w:val="nil"/>
              <w:right w:val="nil"/>
            </w:tcBorders>
            <w:shd w:val="clear" w:color="000000" w:fill="FFFFFF"/>
            <w:noWrap/>
            <w:vAlign w:val="center"/>
            <w:hideMark/>
          </w:tcPr>
          <w:p w14:paraId="7D313182"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01</w:t>
            </w:r>
          </w:p>
        </w:tc>
        <w:tc>
          <w:tcPr>
            <w:tcW w:w="1117" w:type="pct"/>
            <w:tcBorders>
              <w:top w:val="nil"/>
              <w:left w:val="nil"/>
              <w:bottom w:val="nil"/>
              <w:right w:val="nil"/>
            </w:tcBorders>
            <w:shd w:val="clear" w:color="000000" w:fill="FFFFFF"/>
            <w:vAlign w:val="center"/>
            <w:hideMark/>
          </w:tcPr>
          <w:p w14:paraId="63454B46"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Servicii de stat cu destinație generală </w:t>
            </w:r>
          </w:p>
        </w:tc>
        <w:tc>
          <w:tcPr>
            <w:tcW w:w="445" w:type="pct"/>
            <w:tcBorders>
              <w:top w:val="nil"/>
              <w:left w:val="nil"/>
              <w:bottom w:val="nil"/>
              <w:right w:val="nil"/>
            </w:tcBorders>
            <w:shd w:val="clear" w:color="000000" w:fill="FFFFFF"/>
            <w:noWrap/>
            <w:vAlign w:val="center"/>
            <w:hideMark/>
          </w:tcPr>
          <w:p w14:paraId="7465B0CA"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4,5</w:t>
            </w:r>
          </w:p>
        </w:tc>
        <w:tc>
          <w:tcPr>
            <w:tcW w:w="446" w:type="pct"/>
            <w:tcBorders>
              <w:top w:val="nil"/>
              <w:left w:val="nil"/>
              <w:bottom w:val="nil"/>
              <w:right w:val="nil"/>
            </w:tcBorders>
            <w:shd w:val="clear" w:color="000000" w:fill="FFFFFF"/>
            <w:noWrap/>
            <w:vAlign w:val="center"/>
            <w:hideMark/>
          </w:tcPr>
          <w:p w14:paraId="7C3C38F4"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213,5</w:t>
            </w:r>
          </w:p>
        </w:tc>
        <w:tc>
          <w:tcPr>
            <w:tcW w:w="445" w:type="pct"/>
            <w:tcBorders>
              <w:top w:val="nil"/>
              <w:left w:val="nil"/>
              <w:bottom w:val="nil"/>
              <w:right w:val="nil"/>
            </w:tcBorders>
            <w:shd w:val="clear" w:color="000000" w:fill="FFFFFF"/>
            <w:noWrap/>
            <w:vAlign w:val="center"/>
            <w:hideMark/>
          </w:tcPr>
          <w:p w14:paraId="2D61E759"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216,5</w:t>
            </w:r>
          </w:p>
        </w:tc>
        <w:tc>
          <w:tcPr>
            <w:tcW w:w="446" w:type="pct"/>
            <w:tcBorders>
              <w:top w:val="nil"/>
              <w:left w:val="nil"/>
              <w:bottom w:val="nil"/>
              <w:right w:val="nil"/>
            </w:tcBorders>
            <w:shd w:val="clear" w:color="000000" w:fill="FFFFFF"/>
            <w:noWrap/>
            <w:vAlign w:val="center"/>
            <w:hideMark/>
          </w:tcPr>
          <w:p w14:paraId="1FF4FACE"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117,0</w:t>
            </w:r>
          </w:p>
        </w:tc>
        <w:tc>
          <w:tcPr>
            <w:tcW w:w="446" w:type="pct"/>
            <w:tcBorders>
              <w:top w:val="nil"/>
              <w:left w:val="dashed" w:sz="4" w:space="0" w:color="auto"/>
              <w:bottom w:val="nil"/>
              <w:right w:val="nil"/>
            </w:tcBorders>
            <w:shd w:val="clear" w:color="000000" w:fill="FFFFFF"/>
            <w:noWrap/>
            <w:vAlign w:val="center"/>
            <w:hideMark/>
          </w:tcPr>
          <w:p w14:paraId="14467087"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451" w:type="pct"/>
            <w:tcBorders>
              <w:top w:val="nil"/>
              <w:left w:val="nil"/>
              <w:bottom w:val="nil"/>
              <w:right w:val="nil"/>
            </w:tcBorders>
            <w:shd w:val="clear" w:color="000000" w:fill="FFFFFF"/>
            <w:noWrap/>
            <w:vAlign w:val="center"/>
            <w:hideMark/>
          </w:tcPr>
          <w:p w14:paraId="6D57ADA7"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9,1</w:t>
            </w:r>
          </w:p>
        </w:tc>
        <w:tc>
          <w:tcPr>
            <w:tcW w:w="371" w:type="pct"/>
            <w:tcBorders>
              <w:top w:val="nil"/>
              <w:left w:val="nil"/>
              <w:bottom w:val="nil"/>
              <w:right w:val="nil"/>
            </w:tcBorders>
            <w:shd w:val="clear" w:color="000000" w:fill="FFFFFF"/>
            <w:noWrap/>
            <w:vAlign w:val="center"/>
            <w:hideMark/>
          </w:tcPr>
          <w:p w14:paraId="57ADCBDD"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6,8</w:t>
            </w:r>
          </w:p>
        </w:tc>
        <w:tc>
          <w:tcPr>
            <w:tcW w:w="482" w:type="pct"/>
            <w:tcBorders>
              <w:top w:val="nil"/>
              <w:left w:val="nil"/>
              <w:bottom w:val="nil"/>
              <w:right w:val="nil"/>
            </w:tcBorders>
            <w:shd w:val="clear" w:color="000000" w:fill="FFFFFF"/>
            <w:noWrap/>
            <w:vAlign w:val="center"/>
            <w:hideMark/>
          </w:tcPr>
          <w:p w14:paraId="4172C237"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3,43</w:t>
            </w:r>
          </w:p>
        </w:tc>
      </w:tr>
      <w:tr w:rsidR="00625629" w:rsidRPr="003278ED" w14:paraId="7E206185" w14:textId="77777777" w:rsidTr="00625629">
        <w:trPr>
          <w:trHeight w:val="241"/>
        </w:trPr>
        <w:tc>
          <w:tcPr>
            <w:tcW w:w="127" w:type="pct"/>
            <w:vMerge/>
            <w:tcBorders>
              <w:top w:val="nil"/>
              <w:left w:val="nil"/>
              <w:bottom w:val="single" w:sz="4" w:space="0" w:color="000000"/>
              <w:right w:val="nil"/>
            </w:tcBorders>
            <w:vAlign w:val="center"/>
            <w:hideMark/>
          </w:tcPr>
          <w:p w14:paraId="6BAE2CD1"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13FA2D3D"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1117" w:type="pct"/>
            <w:tcBorders>
              <w:top w:val="nil"/>
              <w:left w:val="nil"/>
              <w:bottom w:val="nil"/>
              <w:right w:val="nil"/>
            </w:tcBorders>
            <w:shd w:val="clear" w:color="000000" w:fill="FFFFFF"/>
            <w:vAlign w:val="center"/>
            <w:hideMark/>
          </w:tcPr>
          <w:p w14:paraId="7FA6326E"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Apărarea națională</w:t>
            </w:r>
          </w:p>
        </w:tc>
        <w:tc>
          <w:tcPr>
            <w:tcW w:w="445" w:type="pct"/>
            <w:tcBorders>
              <w:top w:val="nil"/>
              <w:left w:val="nil"/>
              <w:bottom w:val="nil"/>
              <w:right w:val="nil"/>
            </w:tcBorders>
            <w:shd w:val="clear" w:color="000000" w:fill="FFFFFF"/>
            <w:noWrap/>
            <w:vAlign w:val="center"/>
            <w:hideMark/>
          </w:tcPr>
          <w:p w14:paraId="25E9ABC9"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270,0</w:t>
            </w:r>
          </w:p>
        </w:tc>
        <w:tc>
          <w:tcPr>
            <w:tcW w:w="446" w:type="pct"/>
            <w:tcBorders>
              <w:top w:val="nil"/>
              <w:left w:val="nil"/>
              <w:bottom w:val="nil"/>
              <w:right w:val="nil"/>
            </w:tcBorders>
            <w:shd w:val="clear" w:color="000000" w:fill="FFFFFF"/>
            <w:noWrap/>
            <w:vAlign w:val="center"/>
            <w:hideMark/>
          </w:tcPr>
          <w:p w14:paraId="10700162"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200,0</w:t>
            </w:r>
          </w:p>
        </w:tc>
        <w:tc>
          <w:tcPr>
            <w:tcW w:w="445" w:type="pct"/>
            <w:tcBorders>
              <w:top w:val="nil"/>
              <w:left w:val="nil"/>
              <w:bottom w:val="nil"/>
              <w:right w:val="nil"/>
            </w:tcBorders>
            <w:shd w:val="clear" w:color="000000" w:fill="FFFFFF"/>
            <w:noWrap/>
            <w:vAlign w:val="center"/>
            <w:hideMark/>
          </w:tcPr>
          <w:p w14:paraId="33F1CB64"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200,0</w:t>
            </w:r>
          </w:p>
        </w:tc>
        <w:tc>
          <w:tcPr>
            <w:tcW w:w="446" w:type="pct"/>
            <w:tcBorders>
              <w:top w:val="nil"/>
              <w:left w:val="nil"/>
              <w:bottom w:val="nil"/>
              <w:right w:val="nil"/>
            </w:tcBorders>
            <w:shd w:val="clear" w:color="000000" w:fill="FFFFFF"/>
            <w:noWrap/>
            <w:vAlign w:val="center"/>
            <w:hideMark/>
          </w:tcPr>
          <w:p w14:paraId="5E149D68"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200,0</w:t>
            </w:r>
          </w:p>
        </w:tc>
        <w:tc>
          <w:tcPr>
            <w:tcW w:w="446" w:type="pct"/>
            <w:tcBorders>
              <w:top w:val="nil"/>
              <w:left w:val="dashed" w:sz="4" w:space="0" w:color="auto"/>
              <w:bottom w:val="nil"/>
              <w:right w:val="nil"/>
            </w:tcBorders>
            <w:shd w:val="clear" w:color="000000" w:fill="FFFFFF"/>
            <w:noWrap/>
            <w:vAlign w:val="center"/>
            <w:hideMark/>
          </w:tcPr>
          <w:p w14:paraId="57E79611"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14,2</w:t>
            </w:r>
          </w:p>
        </w:tc>
        <w:tc>
          <w:tcPr>
            <w:tcW w:w="451" w:type="pct"/>
            <w:tcBorders>
              <w:top w:val="nil"/>
              <w:left w:val="nil"/>
              <w:bottom w:val="nil"/>
              <w:right w:val="nil"/>
            </w:tcBorders>
            <w:shd w:val="clear" w:color="000000" w:fill="FFFFFF"/>
            <w:noWrap/>
            <w:vAlign w:val="center"/>
            <w:hideMark/>
          </w:tcPr>
          <w:p w14:paraId="6A74EA9B"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8,6</w:t>
            </w:r>
          </w:p>
        </w:tc>
        <w:tc>
          <w:tcPr>
            <w:tcW w:w="371" w:type="pct"/>
            <w:tcBorders>
              <w:top w:val="nil"/>
              <w:left w:val="nil"/>
              <w:bottom w:val="nil"/>
              <w:right w:val="nil"/>
            </w:tcBorders>
            <w:shd w:val="clear" w:color="000000" w:fill="FFFFFF"/>
            <w:noWrap/>
            <w:vAlign w:val="center"/>
            <w:hideMark/>
          </w:tcPr>
          <w:p w14:paraId="225933BF"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6,2</w:t>
            </w:r>
          </w:p>
        </w:tc>
        <w:tc>
          <w:tcPr>
            <w:tcW w:w="482" w:type="pct"/>
            <w:tcBorders>
              <w:top w:val="nil"/>
              <w:left w:val="nil"/>
              <w:bottom w:val="nil"/>
              <w:right w:val="nil"/>
            </w:tcBorders>
            <w:shd w:val="clear" w:color="000000" w:fill="FFFFFF"/>
            <w:noWrap/>
            <w:vAlign w:val="center"/>
            <w:hideMark/>
          </w:tcPr>
          <w:p w14:paraId="5322EE64" w14:textId="77777777" w:rsidR="00D86F4F" w:rsidRPr="003278ED" w:rsidRDefault="002B07EB"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5,9</w:t>
            </w:r>
          </w:p>
        </w:tc>
      </w:tr>
      <w:tr w:rsidR="00625629" w:rsidRPr="003278ED" w14:paraId="6D1D462A" w14:textId="77777777" w:rsidTr="00625629">
        <w:trPr>
          <w:trHeight w:val="360"/>
        </w:trPr>
        <w:tc>
          <w:tcPr>
            <w:tcW w:w="127" w:type="pct"/>
            <w:vMerge/>
            <w:tcBorders>
              <w:top w:val="nil"/>
              <w:left w:val="nil"/>
              <w:bottom w:val="single" w:sz="4" w:space="0" w:color="000000"/>
              <w:right w:val="nil"/>
            </w:tcBorders>
            <w:vAlign w:val="center"/>
            <w:hideMark/>
          </w:tcPr>
          <w:p w14:paraId="3B4A1A70"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24E4FC8D"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03</w:t>
            </w:r>
          </w:p>
        </w:tc>
        <w:tc>
          <w:tcPr>
            <w:tcW w:w="1117" w:type="pct"/>
            <w:tcBorders>
              <w:top w:val="nil"/>
              <w:left w:val="nil"/>
              <w:bottom w:val="nil"/>
              <w:right w:val="nil"/>
            </w:tcBorders>
            <w:shd w:val="clear" w:color="000000" w:fill="FFFFFF"/>
            <w:vAlign w:val="center"/>
            <w:hideMark/>
          </w:tcPr>
          <w:p w14:paraId="7FB97A18"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Ordine publică și securitate națională </w:t>
            </w:r>
          </w:p>
        </w:tc>
        <w:tc>
          <w:tcPr>
            <w:tcW w:w="445" w:type="pct"/>
            <w:tcBorders>
              <w:top w:val="nil"/>
              <w:left w:val="nil"/>
              <w:bottom w:val="nil"/>
              <w:right w:val="nil"/>
            </w:tcBorders>
            <w:shd w:val="clear" w:color="000000" w:fill="FFFFFF"/>
            <w:noWrap/>
            <w:vAlign w:val="center"/>
            <w:hideMark/>
          </w:tcPr>
          <w:p w14:paraId="098DF8DD"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32,5</w:t>
            </w:r>
          </w:p>
        </w:tc>
        <w:tc>
          <w:tcPr>
            <w:tcW w:w="446" w:type="pct"/>
            <w:tcBorders>
              <w:top w:val="nil"/>
              <w:left w:val="nil"/>
              <w:bottom w:val="nil"/>
              <w:right w:val="nil"/>
            </w:tcBorders>
            <w:shd w:val="clear" w:color="000000" w:fill="FFFFFF"/>
            <w:noWrap/>
            <w:vAlign w:val="center"/>
            <w:hideMark/>
          </w:tcPr>
          <w:p w14:paraId="2690D96E"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224,5</w:t>
            </w:r>
          </w:p>
        </w:tc>
        <w:tc>
          <w:tcPr>
            <w:tcW w:w="445" w:type="pct"/>
            <w:tcBorders>
              <w:top w:val="nil"/>
              <w:left w:val="nil"/>
              <w:bottom w:val="nil"/>
              <w:right w:val="nil"/>
            </w:tcBorders>
            <w:shd w:val="clear" w:color="000000" w:fill="FFFFFF"/>
            <w:noWrap/>
            <w:vAlign w:val="center"/>
            <w:hideMark/>
          </w:tcPr>
          <w:p w14:paraId="1DF20BB5" w14:textId="77777777" w:rsidR="00D86F4F" w:rsidRPr="003278ED" w:rsidRDefault="007C7CD1"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51</w:t>
            </w:r>
            <w:r w:rsidR="00D86F4F" w:rsidRPr="003278ED">
              <w:rPr>
                <w:rFonts w:ascii="Times New Roman" w:hAnsi="Times New Roman" w:cs="Times New Roman"/>
                <w:color w:val="000000"/>
                <w:sz w:val="16"/>
                <w:szCs w:val="16"/>
              </w:rPr>
              <w:t>0,9</w:t>
            </w:r>
          </w:p>
        </w:tc>
        <w:tc>
          <w:tcPr>
            <w:tcW w:w="446" w:type="pct"/>
            <w:tcBorders>
              <w:top w:val="nil"/>
              <w:left w:val="nil"/>
              <w:bottom w:val="nil"/>
              <w:right w:val="nil"/>
            </w:tcBorders>
            <w:shd w:val="clear" w:color="000000" w:fill="FFFFFF"/>
            <w:noWrap/>
            <w:vAlign w:val="center"/>
            <w:hideMark/>
          </w:tcPr>
          <w:p w14:paraId="69B7E1D0" w14:textId="77777777" w:rsidR="00D86F4F" w:rsidRPr="003278ED" w:rsidRDefault="007C7CD1"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59</w:t>
            </w:r>
            <w:r w:rsidR="00D86F4F" w:rsidRPr="003278ED">
              <w:rPr>
                <w:rFonts w:ascii="Times New Roman" w:hAnsi="Times New Roman" w:cs="Times New Roman"/>
                <w:color w:val="000000"/>
                <w:sz w:val="16"/>
                <w:szCs w:val="16"/>
              </w:rPr>
              <w:t>5,9</w:t>
            </w:r>
          </w:p>
        </w:tc>
        <w:tc>
          <w:tcPr>
            <w:tcW w:w="446" w:type="pct"/>
            <w:tcBorders>
              <w:top w:val="nil"/>
              <w:left w:val="dashed" w:sz="4" w:space="0" w:color="auto"/>
              <w:bottom w:val="nil"/>
              <w:right w:val="nil"/>
            </w:tcBorders>
            <w:shd w:val="clear" w:color="000000" w:fill="FFFFFF"/>
            <w:noWrap/>
            <w:vAlign w:val="center"/>
            <w:hideMark/>
          </w:tcPr>
          <w:p w14:paraId="4E5ED835"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1,7</w:t>
            </w:r>
          </w:p>
        </w:tc>
        <w:tc>
          <w:tcPr>
            <w:tcW w:w="451" w:type="pct"/>
            <w:tcBorders>
              <w:top w:val="nil"/>
              <w:left w:val="nil"/>
              <w:bottom w:val="nil"/>
              <w:right w:val="nil"/>
            </w:tcBorders>
            <w:shd w:val="clear" w:color="000000" w:fill="FFFFFF"/>
            <w:noWrap/>
            <w:vAlign w:val="center"/>
            <w:hideMark/>
          </w:tcPr>
          <w:p w14:paraId="27993575"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9,6</w:t>
            </w:r>
          </w:p>
        </w:tc>
        <w:tc>
          <w:tcPr>
            <w:tcW w:w="371" w:type="pct"/>
            <w:tcBorders>
              <w:top w:val="nil"/>
              <w:left w:val="nil"/>
              <w:bottom w:val="nil"/>
              <w:right w:val="nil"/>
            </w:tcBorders>
            <w:shd w:val="clear" w:color="000000" w:fill="FFFFFF"/>
            <w:noWrap/>
            <w:vAlign w:val="center"/>
            <w:hideMark/>
          </w:tcPr>
          <w:p w14:paraId="3BA498EE"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15,9</w:t>
            </w:r>
          </w:p>
        </w:tc>
        <w:tc>
          <w:tcPr>
            <w:tcW w:w="482" w:type="pct"/>
            <w:tcBorders>
              <w:top w:val="nil"/>
              <w:left w:val="nil"/>
              <w:bottom w:val="nil"/>
              <w:right w:val="nil"/>
            </w:tcBorders>
            <w:shd w:val="clear" w:color="000000" w:fill="FFFFFF"/>
            <w:noWrap/>
            <w:vAlign w:val="center"/>
            <w:hideMark/>
          </w:tcPr>
          <w:p w14:paraId="348BAA9E"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17,5</w:t>
            </w:r>
          </w:p>
        </w:tc>
      </w:tr>
      <w:tr w:rsidR="00625629" w:rsidRPr="003278ED" w14:paraId="2960CF61" w14:textId="77777777" w:rsidTr="00625629">
        <w:trPr>
          <w:trHeight w:val="360"/>
        </w:trPr>
        <w:tc>
          <w:tcPr>
            <w:tcW w:w="127" w:type="pct"/>
            <w:vMerge/>
            <w:tcBorders>
              <w:top w:val="nil"/>
              <w:left w:val="nil"/>
              <w:bottom w:val="single" w:sz="4" w:space="0" w:color="000000"/>
              <w:right w:val="nil"/>
            </w:tcBorders>
            <w:vAlign w:val="center"/>
            <w:hideMark/>
          </w:tcPr>
          <w:p w14:paraId="1719A023"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4D212153"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04</w:t>
            </w:r>
          </w:p>
        </w:tc>
        <w:tc>
          <w:tcPr>
            <w:tcW w:w="1117" w:type="pct"/>
            <w:tcBorders>
              <w:top w:val="nil"/>
              <w:left w:val="nil"/>
              <w:bottom w:val="nil"/>
              <w:right w:val="nil"/>
            </w:tcBorders>
            <w:shd w:val="clear" w:color="000000" w:fill="FFFFFF"/>
            <w:noWrap/>
            <w:vAlign w:val="center"/>
            <w:hideMark/>
          </w:tcPr>
          <w:p w14:paraId="0B08595A"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Servicii în domeniul economiei </w:t>
            </w:r>
          </w:p>
        </w:tc>
        <w:tc>
          <w:tcPr>
            <w:tcW w:w="445" w:type="pct"/>
            <w:tcBorders>
              <w:top w:val="nil"/>
              <w:left w:val="nil"/>
              <w:bottom w:val="nil"/>
              <w:right w:val="nil"/>
            </w:tcBorders>
            <w:shd w:val="clear" w:color="000000" w:fill="FFFFFF"/>
            <w:noWrap/>
            <w:vAlign w:val="center"/>
            <w:hideMark/>
          </w:tcPr>
          <w:p w14:paraId="5A589042"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1 356,5</w:t>
            </w:r>
          </w:p>
        </w:tc>
        <w:tc>
          <w:tcPr>
            <w:tcW w:w="446" w:type="pct"/>
            <w:tcBorders>
              <w:top w:val="nil"/>
              <w:left w:val="nil"/>
              <w:bottom w:val="nil"/>
              <w:right w:val="nil"/>
            </w:tcBorders>
            <w:shd w:val="clear" w:color="000000" w:fill="FFFFFF"/>
            <w:noWrap/>
            <w:vAlign w:val="center"/>
            <w:hideMark/>
          </w:tcPr>
          <w:p w14:paraId="12A32785"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1 366,4</w:t>
            </w:r>
          </w:p>
        </w:tc>
        <w:tc>
          <w:tcPr>
            <w:tcW w:w="445" w:type="pct"/>
            <w:tcBorders>
              <w:top w:val="nil"/>
              <w:left w:val="nil"/>
              <w:bottom w:val="nil"/>
              <w:right w:val="nil"/>
            </w:tcBorders>
            <w:shd w:val="clear" w:color="000000" w:fill="FFFFFF"/>
            <w:noWrap/>
            <w:vAlign w:val="center"/>
            <w:hideMark/>
          </w:tcPr>
          <w:p w14:paraId="182FD03E"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1 569,6</w:t>
            </w:r>
          </w:p>
        </w:tc>
        <w:tc>
          <w:tcPr>
            <w:tcW w:w="446" w:type="pct"/>
            <w:tcBorders>
              <w:top w:val="nil"/>
              <w:left w:val="nil"/>
              <w:bottom w:val="nil"/>
              <w:right w:val="nil"/>
            </w:tcBorders>
            <w:shd w:val="clear" w:color="000000" w:fill="FFFFFF"/>
            <w:noWrap/>
            <w:vAlign w:val="center"/>
            <w:hideMark/>
          </w:tcPr>
          <w:p w14:paraId="7D549377"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1 574,8</w:t>
            </w:r>
          </w:p>
        </w:tc>
        <w:tc>
          <w:tcPr>
            <w:tcW w:w="446" w:type="pct"/>
            <w:tcBorders>
              <w:top w:val="nil"/>
              <w:left w:val="dashed" w:sz="4" w:space="0" w:color="auto"/>
              <w:bottom w:val="nil"/>
              <w:right w:val="nil"/>
            </w:tcBorders>
            <w:shd w:val="clear" w:color="000000" w:fill="FFFFFF"/>
            <w:noWrap/>
            <w:vAlign w:val="center"/>
            <w:hideMark/>
          </w:tcPr>
          <w:p w14:paraId="30AA3E3B"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71,2</w:t>
            </w:r>
          </w:p>
        </w:tc>
        <w:tc>
          <w:tcPr>
            <w:tcW w:w="451" w:type="pct"/>
            <w:tcBorders>
              <w:top w:val="nil"/>
              <w:left w:val="nil"/>
              <w:bottom w:val="nil"/>
              <w:right w:val="nil"/>
            </w:tcBorders>
            <w:shd w:val="clear" w:color="000000" w:fill="FFFFFF"/>
            <w:noWrap/>
            <w:vAlign w:val="center"/>
            <w:hideMark/>
          </w:tcPr>
          <w:p w14:paraId="0E223CF8"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58,5</w:t>
            </w:r>
          </w:p>
        </w:tc>
        <w:tc>
          <w:tcPr>
            <w:tcW w:w="371" w:type="pct"/>
            <w:tcBorders>
              <w:top w:val="nil"/>
              <w:left w:val="nil"/>
              <w:bottom w:val="nil"/>
              <w:right w:val="nil"/>
            </w:tcBorders>
            <w:shd w:val="clear" w:color="000000" w:fill="FFFFFF"/>
            <w:noWrap/>
            <w:vAlign w:val="center"/>
            <w:hideMark/>
          </w:tcPr>
          <w:p w14:paraId="5289C046"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49,0</w:t>
            </w:r>
          </w:p>
        </w:tc>
        <w:tc>
          <w:tcPr>
            <w:tcW w:w="482" w:type="pct"/>
            <w:tcBorders>
              <w:top w:val="nil"/>
              <w:left w:val="nil"/>
              <w:bottom w:val="nil"/>
              <w:right w:val="nil"/>
            </w:tcBorders>
            <w:shd w:val="clear" w:color="000000" w:fill="FFFFFF"/>
            <w:noWrap/>
            <w:vAlign w:val="center"/>
            <w:hideMark/>
          </w:tcPr>
          <w:p w14:paraId="09A21087"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46,2</w:t>
            </w:r>
          </w:p>
        </w:tc>
      </w:tr>
      <w:tr w:rsidR="00625629" w:rsidRPr="003278ED" w14:paraId="7C4E6C55" w14:textId="77777777" w:rsidTr="00625629">
        <w:trPr>
          <w:trHeight w:val="360"/>
        </w:trPr>
        <w:tc>
          <w:tcPr>
            <w:tcW w:w="127" w:type="pct"/>
            <w:vMerge/>
            <w:tcBorders>
              <w:top w:val="nil"/>
              <w:left w:val="nil"/>
              <w:bottom w:val="single" w:sz="4" w:space="0" w:color="000000"/>
              <w:right w:val="nil"/>
            </w:tcBorders>
            <w:vAlign w:val="center"/>
            <w:hideMark/>
          </w:tcPr>
          <w:p w14:paraId="020088E5"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699065B2"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05</w:t>
            </w:r>
          </w:p>
        </w:tc>
        <w:tc>
          <w:tcPr>
            <w:tcW w:w="1117" w:type="pct"/>
            <w:tcBorders>
              <w:top w:val="nil"/>
              <w:left w:val="nil"/>
              <w:bottom w:val="nil"/>
              <w:right w:val="nil"/>
            </w:tcBorders>
            <w:shd w:val="clear" w:color="000000" w:fill="FFFFFF"/>
            <w:noWrap/>
            <w:vAlign w:val="center"/>
            <w:hideMark/>
          </w:tcPr>
          <w:p w14:paraId="639A59D2"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Protecția mediului</w:t>
            </w:r>
          </w:p>
        </w:tc>
        <w:tc>
          <w:tcPr>
            <w:tcW w:w="445" w:type="pct"/>
            <w:tcBorders>
              <w:top w:val="nil"/>
              <w:left w:val="nil"/>
              <w:bottom w:val="nil"/>
              <w:right w:val="nil"/>
            </w:tcBorders>
            <w:shd w:val="clear" w:color="000000" w:fill="FFFFFF"/>
            <w:noWrap/>
            <w:vAlign w:val="center"/>
            <w:hideMark/>
          </w:tcPr>
          <w:p w14:paraId="3374BD4F"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4,7</w:t>
            </w:r>
          </w:p>
        </w:tc>
        <w:tc>
          <w:tcPr>
            <w:tcW w:w="446" w:type="pct"/>
            <w:tcBorders>
              <w:top w:val="nil"/>
              <w:left w:val="nil"/>
              <w:bottom w:val="nil"/>
              <w:right w:val="nil"/>
            </w:tcBorders>
            <w:shd w:val="clear" w:color="000000" w:fill="FFFFFF"/>
            <w:noWrap/>
            <w:vAlign w:val="center"/>
            <w:hideMark/>
          </w:tcPr>
          <w:p w14:paraId="208F4862"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25,0</w:t>
            </w:r>
          </w:p>
        </w:tc>
        <w:tc>
          <w:tcPr>
            <w:tcW w:w="445" w:type="pct"/>
            <w:tcBorders>
              <w:top w:val="nil"/>
              <w:left w:val="nil"/>
              <w:bottom w:val="nil"/>
              <w:right w:val="nil"/>
            </w:tcBorders>
            <w:shd w:val="clear" w:color="000000" w:fill="FFFFFF"/>
            <w:noWrap/>
            <w:vAlign w:val="center"/>
            <w:hideMark/>
          </w:tcPr>
          <w:p w14:paraId="33D8926C"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50,0</w:t>
            </w:r>
          </w:p>
        </w:tc>
        <w:tc>
          <w:tcPr>
            <w:tcW w:w="446" w:type="pct"/>
            <w:tcBorders>
              <w:top w:val="nil"/>
              <w:left w:val="nil"/>
              <w:bottom w:val="nil"/>
              <w:right w:val="nil"/>
            </w:tcBorders>
            <w:shd w:val="clear" w:color="000000" w:fill="FFFFFF"/>
            <w:noWrap/>
            <w:vAlign w:val="center"/>
            <w:hideMark/>
          </w:tcPr>
          <w:p w14:paraId="16760344"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60,0</w:t>
            </w:r>
          </w:p>
        </w:tc>
        <w:tc>
          <w:tcPr>
            <w:tcW w:w="446" w:type="pct"/>
            <w:tcBorders>
              <w:top w:val="nil"/>
              <w:left w:val="dashed" w:sz="4" w:space="0" w:color="auto"/>
              <w:bottom w:val="nil"/>
              <w:right w:val="nil"/>
            </w:tcBorders>
            <w:shd w:val="clear" w:color="000000" w:fill="FFFFFF"/>
            <w:noWrap/>
            <w:vAlign w:val="center"/>
            <w:hideMark/>
          </w:tcPr>
          <w:p w14:paraId="48680CDD"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451" w:type="pct"/>
            <w:tcBorders>
              <w:top w:val="nil"/>
              <w:left w:val="nil"/>
              <w:bottom w:val="nil"/>
              <w:right w:val="nil"/>
            </w:tcBorders>
            <w:shd w:val="clear" w:color="000000" w:fill="FFFFFF"/>
            <w:noWrap/>
            <w:vAlign w:val="center"/>
            <w:hideMark/>
          </w:tcPr>
          <w:p w14:paraId="5AC246DC"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1,1</w:t>
            </w:r>
          </w:p>
        </w:tc>
        <w:tc>
          <w:tcPr>
            <w:tcW w:w="371" w:type="pct"/>
            <w:tcBorders>
              <w:top w:val="nil"/>
              <w:left w:val="nil"/>
              <w:bottom w:val="nil"/>
              <w:right w:val="nil"/>
            </w:tcBorders>
            <w:shd w:val="clear" w:color="000000" w:fill="FFFFFF"/>
            <w:noWrap/>
            <w:vAlign w:val="center"/>
            <w:hideMark/>
          </w:tcPr>
          <w:p w14:paraId="6A25582F"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1,6</w:t>
            </w:r>
          </w:p>
        </w:tc>
        <w:tc>
          <w:tcPr>
            <w:tcW w:w="482" w:type="pct"/>
            <w:tcBorders>
              <w:top w:val="nil"/>
              <w:left w:val="nil"/>
              <w:bottom w:val="nil"/>
              <w:right w:val="nil"/>
            </w:tcBorders>
            <w:shd w:val="clear" w:color="000000" w:fill="FFFFFF"/>
            <w:noWrap/>
            <w:vAlign w:val="center"/>
            <w:hideMark/>
          </w:tcPr>
          <w:p w14:paraId="35B5035A"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1,8</w:t>
            </w:r>
          </w:p>
        </w:tc>
      </w:tr>
      <w:tr w:rsidR="00625629" w:rsidRPr="003278ED" w14:paraId="1FD6D2C9" w14:textId="77777777" w:rsidTr="00625629">
        <w:trPr>
          <w:trHeight w:val="510"/>
        </w:trPr>
        <w:tc>
          <w:tcPr>
            <w:tcW w:w="127" w:type="pct"/>
            <w:vMerge/>
            <w:tcBorders>
              <w:top w:val="nil"/>
              <w:left w:val="nil"/>
              <w:bottom w:val="single" w:sz="4" w:space="0" w:color="000000"/>
              <w:right w:val="nil"/>
            </w:tcBorders>
            <w:vAlign w:val="center"/>
            <w:hideMark/>
          </w:tcPr>
          <w:p w14:paraId="679EF482"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58171457"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06</w:t>
            </w:r>
          </w:p>
        </w:tc>
        <w:tc>
          <w:tcPr>
            <w:tcW w:w="1117" w:type="pct"/>
            <w:tcBorders>
              <w:top w:val="nil"/>
              <w:left w:val="nil"/>
              <w:bottom w:val="nil"/>
              <w:right w:val="nil"/>
            </w:tcBorders>
            <w:shd w:val="clear" w:color="000000" w:fill="FFFFFF"/>
            <w:vAlign w:val="center"/>
            <w:hideMark/>
          </w:tcPr>
          <w:p w14:paraId="087423C7"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Gospodăria de locuințe și gospodăria serviciilor comunale </w:t>
            </w:r>
          </w:p>
        </w:tc>
        <w:tc>
          <w:tcPr>
            <w:tcW w:w="445" w:type="pct"/>
            <w:tcBorders>
              <w:top w:val="nil"/>
              <w:left w:val="nil"/>
              <w:bottom w:val="nil"/>
              <w:right w:val="nil"/>
            </w:tcBorders>
            <w:shd w:val="clear" w:color="000000" w:fill="FFFFFF"/>
            <w:noWrap/>
            <w:vAlign w:val="center"/>
            <w:hideMark/>
          </w:tcPr>
          <w:p w14:paraId="6A8D386C"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130,0</w:t>
            </w:r>
          </w:p>
        </w:tc>
        <w:tc>
          <w:tcPr>
            <w:tcW w:w="446" w:type="pct"/>
            <w:tcBorders>
              <w:top w:val="nil"/>
              <w:left w:val="nil"/>
              <w:bottom w:val="nil"/>
              <w:right w:val="nil"/>
            </w:tcBorders>
            <w:shd w:val="clear" w:color="000000" w:fill="FFFFFF"/>
            <w:noWrap/>
            <w:vAlign w:val="center"/>
            <w:hideMark/>
          </w:tcPr>
          <w:p w14:paraId="46BA6ABD"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145,0</w:t>
            </w:r>
          </w:p>
        </w:tc>
        <w:tc>
          <w:tcPr>
            <w:tcW w:w="445" w:type="pct"/>
            <w:tcBorders>
              <w:top w:val="nil"/>
              <w:left w:val="nil"/>
              <w:bottom w:val="nil"/>
              <w:right w:val="nil"/>
            </w:tcBorders>
            <w:shd w:val="clear" w:color="000000" w:fill="FFFFFF"/>
            <w:noWrap/>
            <w:vAlign w:val="center"/>
            <w:hideMark/>
          </w:tcPr>
          <w:p w14:paraId="789DB6E3"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345,0</w:t>
            </w:r>
          </w:p>
        </w:tc>
        <w:tc>
          <w:tcPr>
            <w:tcW w:w="446" w:type="pct"/>
            <w:tcBorders>
              <w:top w:val="nil"/>
              <w:left w:val="nil"/>
              <w:bottom w:val="nil"/>
              <w:right w:val="nil"/>
            </w:tcBorders>
            <w:shd w:val="clear" w:color="000000" w:fill="FFFFFF"/>
            <w:noWrap/>
            <w:vAlign w:val="center"/>
            <w:hideMark/>
          </w:tcPr>
          <w:p w14:paraId="557E27B0"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444,0</w:t>
            </w:r>
          </w:p>
        </w:tc>
        <w:tc>
          <w:tcPr>
            <w:tcW w:w="446" w:type="pct"/>
            <w:tcBorders>
              <w:top w:val="nil"/>
              <w:left w:val="dashed" w:sz="4" w:space="0" w:color="auto"/>
              <w:bottom w:val="nil"/>
              <w:right w:val="nil"/>
            </w:tcBorders>
            <w:shd w:val="clear" w:color="000000" w:fill="FFFFFF"/>
            <w:noWrap/>
            <w:vAlign w:val="center"/>
            <w:hideMark/>
          </w:tcPr>
          <w:p w14:paraId="63C56347"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6,8</w:t>
            </w:r>
          </w:p>
        </w:tc>
        <w:tc>
          <w:tcPr>
            <w:tcW w:w="451" w:type="pct"/>
            <w:tcBorders>
              <w:top w:val="nil"/>
              <w:left w:val="nil"/>
              <w:bottom w:val="nil"/>
              <w:right w:val="nil"/>
            </w:tcBorders>
            <w:shd w:val="clear" w:color="000000" w:fill="FFFFFF"/>
            <w:noWrap/>
            <w:vAlign w:val="center"/>
            <w:hideMark/>
          </w:tcPr>
          <w:p w14:paraId="267E7A8E"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6,2</w:t>
            </w:r>
          </w:p>
        </w:tc>
        <w:tc>
          <w:tcPr>
            <w:tcW w:w="371" w:type="pct"/>
            <w:tcBorders>
              <w:top w:val="nil"/>
              <w:left w:val="nil"/>
              <w:bottom w:val="nil"/>
              <w:right w:val="nil"/>
            </w:tcBorders>
            <w:shd w:val="clear" w:color="000000" w:fill="FFFFFF"/>
            <w:noWrap/>
            <w:vAlign w:val="center"/>
            <w:hideMark/>
          </w:tcPr>
          <w:p w14:paraId="5D30524E"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10,8</w:t>
            </w:r>
          </w:p>
        </w:tc>
        <w:tc>
          <w:tcPr>
            <w:tcW w:w="482" w:type="pct"/>
            <w:tcBorders>
              <w:top w:val="nil"/>
              <w:left w:val="nil"/>
              <w:bottom w:val="nil"/>
              <w:right w:val="nil"/>
            </w:tcBorders>
            <w:shd w:val="clear" w:color="000000" w:fill="FFFFFF"/>
            <w:noWrap/>
            <w:vAlign w:val="center"/>
            <w:hideMark/>
          </w:tcPr>
          <w:p w14:paraId="21D2676F"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13,0</w:t>
            </w:r>
          </w:p>
        </w:tc>
      </w:tr>
      <w:tr w:rsidR="00625629" w:rsidRPr="003278ED" w14:paraId="79169FE1" w14:textId="77777777" w:rsidTr="00625629">
        <w:trPr>
          <w:trHeight w:val="360"/>
        </w:trPr>
        <w:tc>
          <w:tcPr>
            <w:tcW w:w="127" w:type="pct"/>
            <w:vMerge/>
            <w:tcBorders>
              <w:top w:val="nil"/>
              <w:left w:val="nil"/>
              <w:bottom w:val="single" w:sz="4" w:space="0" w:color="000000"/>
              <w:right w:val="nil"/>
            </w:tcBorders>
            <w:vAlign w:val="center"/>
            <w:hideMark/>
          </w:tcPr>
          <w:p w14:paraId="0F612B1C"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1DBF8C98"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07</w:t>
            </w:r>
          </w:p>
        </w:tc>
        <w:tc>
          <w:tcPr>
            <w:tcW w:w="1117" w:type="pct"/>
            <w:tcBorders>
              <w:top w:val="nil"/>
              <w:left w:val="nil"/>
              <w:bottom w:val="nil"/>
              <w:right w:val="nil"/>
            </w:tcBorders>
            <w:shd w:val="clear" w:color="000000" w:fill="FFFFFF"/>
            <w:noWrap/>
            <w:vAlign w:val="center"/>
            <w:hideMark/>
          </w:tcPr>
          <w:p w14:paraId="58815844"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Ocrotirea sănătății </w:t>
            </w:r>
          </w:p>
        </w:tc>
        <w:tc>
          <w:tcPr>
            <w:tcW w:w="445" w:type="pct"/>
            <w:tcBorders>
              <w:top w:val="nil"/>
              <w:left w:val="nil"/>
              <w:bottom w:val="nil"/>
              <w:right w:val="nil"/>
            </w:tcBorders>
            <w:shd w:val="clear" w:color="000000" w:fill="FFFFFF"/>
            <w:noWrap/>
            <w:vAlign w:val="center"/>
            <w:hideMark/>
          </w:tcPr>
          <w:p w14:paraId="7524199E"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76,0</w:t>
            </w:r>
          </w:p>
        </w:tc>
        <w:tc>
          <w:tcPr>
            <w:tcW w:w="446" w:type="pct"/>
            <w:tcBorders>
              <w:top w:val="nil"/>
              <w:left w:val="nil"/>
              <w:bottom w:val="nil"/>
              <w:right w:val="nil"/>
            </w:tcBorders>
            <w:shd w:val="clear" w:color="000000" w:fill="FFFFFF"/>
            <w:noWrap/>
            <w:vAlign w:val="center"/>
            <w:hideMark/>
          </w:tcPr>
          <w:p w14:paraId="04F7B857"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132,0</w:t>
            </w:r>
          </w:p>
        </w:tc>
        <w:tc>
          <w:tcPr>
            <w:tcW w:w="445" w:type="pct"/>
            <w:tcBorders>
              <w:top w:val="nil"/>
              <w:left w:val="nil"/>
              <w:bottom w:val="nil"/>
              <w:right w:val="nil"/>
            </w:tcBorders>
            <w:shd w:val="clear" w:color="000000" w:fill="FFFFFF"/>
            <w:noWrap/>
            <w:vAlign w:val="center"/>
            <w:hideMark/>
          </w:tcPr>
          <w:p w14:paraId="2E67917C"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280,0</w:t>
            </w:r>
          </w:p>
        </w:tc>
        <w:tc>
          <w:tcPr>
            <w:tcW w:w="446" w:type="pct"/>
            <w:tcBorders>
              <w:top w:val="nil"/>
              <w:left w:val="nil"/>
              <w:bottom w:val="nil"/>
              <w:right w:val="nil"/>
            </w:tcBorders>
            <w:shd w:val="clear" w:color="000000" w:fill="FFFFFF"/>
            <w:noWrap/>
            <w:vAlign w:val="center"/>
            <w:hideMark/>
          </w:tcPr>
          <w:p w14:paraId="56451E82"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370,0</w:t>
            </w:r>
          </w:p>
        </w:tc>
        <w:tc>
          <w:tcPr>
            <w:tcW w:w="446" w:type="pct"/>
            <w:tcBorders>
              <w:top w:val="nil"/>
              <w:left w:val="dashed" w:sz="4" w:space="0" w:color="auto"/>
              <w:bottom w:val="nil"/>
              <w:right w:val="nil"/>
            </w:tcBorders>
            <w:shd w:val="clear" w:color="000000" w:fill="FFFFFF"/>
            <w:noWrap/>
            <w:vAlign w:val="center"/>
            <w:hideMark/>
          </w:tcPr>
          <w:p w14:paraId="34B0409C"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4,0</w:t>
            </w:r>
          </w:p>
        </w:tc>
        <w:tc>
          <w:tcPr>
            <w:tcW w:w="451" w:type="pct"/>
            <w:tcBorders>
              <w:top w:val="nil"/>
              <w:left w:val="nil"/>
              <w:bottom w:val="nil"/>
              <w:right w:val="nil"/>
            </w:tcBorders>
            <w:shd w:val="clear" w:color="000000" w:fill="FFFFFF"/>
            <w:noWrap/>
            <w:vAlign w:val="center"/>
            <w:hideMark/>
          </w:tcPr>
          <w:p w14:paraId="68AB8346"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5,7</w:t>
            </w:r>
          </w:p>
        </w:tc>
        <w:tc>
          <w:tcPr>
            <w:tcW w:w="371" w:type="pct"/>
            <w:tcBorders>
              <w:top w:val="nil"/>
              <w:left w:val="nil"/>
              <w:bottom w:val="nil"/>
              <w:right w:val="nil"/>
            </w:tcBorders>
            <w:shd w:val="clear" w:color="000000" w:fill="FFFFFF"/>
            <w:noWrap/>
            <w:vAlign w:val="center"/>
            <w:hideMark/>
          </w:tcPr>
          <w:p w14:paraId="16D81622"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8,7</w:t>
            </w:r>
          </w:p>
        </w:tc>
        <w:tc>
          <w:tcPr>
            <w:tcW w:w="482" w:type="pct"/>
            <w:tcBorders>
              <w:top w:val="nil"/>
              <w:left w:val="nil"/>
              <w:bottom w:val="nil"/>
              <w:right w:val="nil"/>
            </w:tcBorders>
            <w:shd w:val="clear" w:color="000000" w:fill="FFFFFF"/>
            <w:noWrap/>
            <w:vAlign w:val="center"/>
            <w:hideMark/>
          </w:tcPr>
          <w:p w14:paraId="7AD5D9EF"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10,9</w:t>
            </w:r>
          </w:p>
        </w:tc>
      </w:tr>
      <w:tr w:rsidR="00625629" w:rsidRPr="003278ED" w14:paraId="74519CBC" w14:textId="77777777" w:rsidTr="00625629">
        <w:trPr>
          <w:trHeight w:val="360"/>
        </w:trPr>
        <w:tc>
          <w:tcPr>
            <w:tcW w:w="127" w:type="pct"/>
            <w:vMerge/>
            <w:tcBorders>
              <w:top w:val="nil"/>
              <w:left w:val="nil"/>
              <w:bottom w:val="single" w:sz="4" w:space="0" w:color="000000"/>
              <w:right w:val="nil"/>
            </w:tcBorders>
            <w:vAlign w:val="center"/>
            <w:hideMark/>
          </w:tcPr>
          <w:p w14:paraId="740076E4"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nil"/>
              <w:right w:val="nil"/>
            </w:tcBorders>
            <w:shd w:val="clear" w:color="000000" w:fill="FFFFFF"/>
            <w:noWrap/>
            <w:vAlign w:val="center"/>
            <w:hideMark/>
          </w:tcPr>
          <w:p w14:paraId="50DE0848"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1117" w:type="pct"/>
            <w:tcBorders>
              <w:top w:val="nil"/>
              <w:left w:val="nil"/>
              <w:bottom w:val="nil"/>
              <w:right w:val="nil"/>
            </w:tcBorders>
            <w:shd w:val="clear" w:color="000000" w:fill="FFFFFF"/>
            <w:noWrap/>
            <w:vAlign w:val="center"/>
            <w:hideMark/>
          </w:tcPr>
          <w:p w14:paraId="70F08AF2"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Cultură, sport, tineret, culte și odihnă </w:t>
            </w:r>
          </w:p>
        </w:tc>
        <w:tc>
          <w:tcPr>
            <w:tcW w:w="445" w:type="pct"/>
            <w:tcBorders>
              <w:top w:val="nil"/>
              <w:left w:val="nil"/>
              <w:bottom w:val="nil"/>
              <w:right w:val="nil"/>
            </w:tcBorders>
            <w:shd w:val="clear" w:color="000000" w:fill="FFFFFF"/>
            <w:noWrap/>
            <w:vAlign w:val="center"/>
            <w:hideMark/>
          </w:tcPr>
          <w:p w14:paraId="570F491E"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5,8</w:t>
            </w:r>
          </w:p>
        </w:tc>
        <w:tc>
          <w:tcPr>
            <w:tcW w:w="446" w:type="pct"/>
            <w:tcBorders>
              <w:top w:val="nil"/>
              <w:left w:val="nil"/>
              <w:bottom w:val="nil"/>
              <w:right w:val="nil"/>
            </w:tcBorders>
            <w:shd w:val="clear" w:color="000000" w:fill="FFFFFF"/>
            <w:noWrap/>
            <w:vAlign w:val="center"/>
            <w:hideMark/>
          </w:tcPr>
          <w:p w14:paraId="0074F0A0"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16,5</w:t>
            </w:r>
          </w:p>
        </w:tc>
        <w:tc>
          <w:tcPr>
            <w:tcW w:w="445" w:type="pct"/>
            <w:tcBorders>
              <w:top w:val="nil"/>
              <w:left w:val="nil"/>
              <w:bottom w:val="nil"/>
              <w:right w:val="nil"/>
            </w:tcBorders>
            <w:shd w:val="clear" w:color="000000" w:fill="FFFFFF"/>
            <w:noWrap/>
            <w:vAlign w:val="center"/>
            <w:hideMark/>
          </w:tcPr>
          <w:p w14:paraId="213FCCBE" w14:textId="77777777" w:rsidR="00D86F4F" w:rsidRPr="003278ED" w:rsidRDefault="007C7CD1"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26</w:t>
            </w:r>
            <w:r w:rsidR="00D86F4F" w:rsidRPr="003278ED">
              <w:rPr>
                <w:rFonts w:ascii="Times New Roman" w:hAnsi="Times New Roman" w:cs="Times New Roman"/>
                <w:color w:val="000000"/>
                <w:sz w:val="16"/>
                <w:szCs w:val="16"/>
              </w:rPr>
              <w:t>,0</w:t>
            </w:r>
          </w:p>
        </w:tc>
        <w:tc>
          <w:tcPr>
            <w:tcW w:w="446" w:type="pct"/>
            <w:tcBorders>
              <w:top w:val="nil"/>
              <w:left w:val="nil"/>
              <w:bottom w:val="nil"/>
              <w:right w:val="nil"/>
            </w:tcBorders>
            <w:shd w:val="clear" w:color="000000" w:fill="FFFFFF"/>
            <w:noWrap/>
            <w:vAlign w:val="center"/>
            <w:hideMark/>
          </w:tcPr>
          <w:p w14:paraId="279E6BB8" w14:textId="77777777" w:rsidR="00D86F4F" w:rsidRPr="003278ED" w:rsidRDefault="007C7CD1"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36</w:t>
            </w:r>
            <w:r w:rsidR="00D86F4F" w:rsidRPr="003278ED">
              <w:rPr>
                <w:rFonts w:ascii="Times New Roman" w:hAnsi="Times New Roman" w:cs="Times New Roman"/>
                <w:color w:val="000000"/>
                <w:sz w:val="16"/>
                <w:szCs w:val="16"/>
              </w:rPr>
              <w:t>,5</w:t>
            </w:r>
          </w:p>
        </w:tc>
        <w:tc>
          <w:tcPr>
            <w:tcW w:w="446" w:type="pct"/>
            <w:tcBorders>
              <w:top w:val="nil"/>
              <w:left w:val="dashed" w:sz="4" w:space="0" w:color="auto"/>
              <w:bottom w:val="nil"/>
              <w:right w:val="nil"/>
            </w:tcBorders>
            <w:shd w:val="clear" w:color="000000" w:fill="FFFFFF"/>
            <w:noWrap/>
            <w:vAlign w:val="center"/>
            <w:hideMark/>
          </w:tcPr>
          <w:p w14:paraId="039736E5"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0,3</w:t>
            </w:r>
          </w:p>
        </w:tc>
        <w:tc>
          <w:tcPr>
            <w:tcW w:w="451" w:type="pct"/>
            <w:tcBorders>
              <w:top w:val="nil"/>
              <w:left w:val="nil"/>
              <w:bottom w:val="nil"/>
              <w:right w:val="nil"/>
            </w:tcBorders>
            <w:shd w:val="clear" w:color="000000" w:fill="FFFFFF"/>
            <w:noWrap/>
            <w:vAlign w:val="center"/>
            <w:hideMark/>
          </w:tcPr>
          <w:p w14:paraId="5B219E22"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0,7</w:t>
            </w:r>
          </w:p>
        </w:tc>
        <w:tc>
          <w:tcPr>
            <w:tcW w:w="371" w:type="pct"/>
            <w:tcBorders>
              <w:top w:val="nil"/>
              <w:left w:val="nil"/>
              <w:bottom w:val="nil"/>
              <w:right w:val="nil"/>
            </w:tcBorders>
            <w:shd w:val="clear" w:color="000000" w:fill="FFFFFF"/>
            <w:noWrap/>
            <w:vAlign w:val="center"/>
            <w:hideMark/>
          </w:tcPr>
          <w:p w14:paraId="33BC639E"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0,8</w:t>
            </w:r>
          </w:p>
        </w:tc>
        <w:tc>
          <w:tcPr>
            <w:tcW w:w="482" w:type="pct"/>
            <w:tcBorders>
              <w:top w:val="nil"/>
              <w:left w:val="nil"/>
              <w:bottom w:val="nil"/>
              <w:right w:val="nil"/>
            </w:tcBorders>
            <w:shd w:val="clear" w:color="000000" w:fill="FFFFFF"/>
            <w:noWrap/>
            <w:vAlign w:val="center"/>
            <w:hideMark/>
          </w:tcPr>
          <w:p w14:paraId="5D467DB6"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1,1</w:t>
            </w:r>
          </w:p>
        </w:tc>
      </w:tr>
      <w:tr w:rsidR="00625629" w:rsidRPr="003278ED" w14:paraId="40D79D24" w14:textId="77777777" w:rsidTr="00625629">
        <w:trPr>
          <w:trHeight w:val="360"/>
        </w:trPr>
        <w:tc>
          <w:tcPr>
            <w:tcW w:w="127" w:type="pct"/>
            <w:vMerge/>
            <w:tcBorders>
              <w:top w:val="nil"/>
              <w:left w:val="nil"/>
              <w:bottom w:val="single" w:sz="4" w:space="0" w:color="000000"/>
              <w:right w:val="nil"/>
            </w:tcBorders>
            <w:vAlign w:val="center"/>
            <w:hideMark/>
          </w:tcPr>
          <w:p w14:paraId="79F6CE88" w14:textId="77777777" w:rsidR="00D86F4F" w:rsidRPr="003278ED" w:rsidRDefault="00D86F4F" w:rsidP="007D3A2B">
            <w:pPr>
              <w:spacing w:after="0" w:line="240" w:lineRule="auto"/>
              <w:rPr>
                <w:rFonts w:ascii="Times New Roman" w:hAnsi="Times New Roman" w:cs="Times New Roman"/>
                <w:b/>
                <w:bCs/>
                <w:color w:val="000000"/>
                <w:sz w:val="16"/>
                <w:szCs w:val="16"/>
              </w:rPr>
            </w:pPr>
          </w:p>
        </w:tc>
        <w:tc>
          <w:tcPr>
            <w:tcW w:w="224" w:type="pct"/>
            <w:tcBorders>
              <w:top w:val="nil"/>
              <w:left w:val="nil"/>
              <w:bottom w:val="single" w:sz="4" w:space="0" w:color="auto"/>
              <w:right w:val="nil"/>
            </w:tcBorders>
            <w:shd w:val="clear" w:color="000000" w:fill="FFFFFF"/>
            <w:noWrap/>
            <w:vAlign w:val="center"/>
            <w:hideMark/>
          </w:tcPr>
          <w:p w14:paraId="0C5E2987"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09</w:t>
            </w:r>
          </w:p>
        </w:tc>
        <w:tc>
          <w:tcPr>
            <w:tcW w:w="1117" w:type="pct"/>
            <w:tcBorders>
              <w:top w:val="nil"/>
              <w:left w:val="nil"/>
              <w:bottom w:val="single" w:sz="4" w:space="0" w:color="auto"/>
              <w:right w:val="nil"/>
            </w:tcBorders>
            <w:shd w:val="clear" w:color="000000" w:fill="FFFFFF"/>
            <w:noWrap/>
            <w:vAlign w:val="center"/>
            <w:hideMark/>
          </w:tcPr>
          <w:p w14:paraId="136BC5BC" w14:textId="77777777" w:rsidR="00D86F4F" w:rsidRPr="003278ED" w:rsidRDefault="00D86F4F" w:rsidP="007D3A2B">
            <w:pPr>
              <w:spacing w:after="0" w:line="240" w:lineRule="auto"/>
              <w:rPr>
                <w:rFonts w:ascii="Times New Roman" w:hAnsi="Times New Roman" w:cs="Times New Roman"/>
                <w:color w:val="000000"/>
                <w:sz w:val="16"/>
                <w:szCs w:val="16"/>
              </w:rPr>
            </w:pPr>
            <w:r w:rsidRPr="003278ED">
              <w:rPr>
                <w:rFonts w:ascii="Times New Roman" w:hAnsi="Times New Roman" w:cs="Times New Roman"/>
                <w:color w:val="000000"/>
                <w:sz w:val="16"/>
                <w:szCs w:val="16"/>
              </w:rPr>
              <w:t xml:space="preserve">Învățământ </w:t>
            </w:r>
          </w:p>
        </w:tc>
        <w:tc>
          <w:tcPr>
            <w:tcW w:w="445" w:type="pct"/>
            <w:tcBorders>
              <w:top w:val="nil"/>
              <w:left w:val="nil"/>
              <w:bottom w:val="single" w:sz="4" w:space="0" w:color="auto"/>
              <w:right w:val="nil"/>
            </w:tcBorders>
            <w:shd w:val="clear" w:color="000000" w:fill="FFFFFF"/>
            <w:noWrap/>
            <w:vAlign w:val="center"/>
            <w:hideMark/>
          </w:tcPr>
          <w:p w14:paraId="288D7EC9"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24,2</w:t>
            </w:r>
          </w:p>
        </w:tc>
        <w:tc>
          <w:tcPr>
            <w:tcW w:w="446" w:type="pct"/>
            <w:tcBorders>
              <w:top w:val="nil"/>
              <w:left w:val="nil"/>
              <w:bottom w:val="single" w:sz="4" w:space="0" w:color="auto"/>
              <w:right w:val="nil"/>
            </w:tcBorders>
            <w:shd w:val="clear" w:color="000000" w:fill="FFFFFF"/>
            <w:noWrap/>
            <w:vAlign w:val="center"/>
            <w:hideMark/>
          </w:tcPr>
          <w:p w14:paraId="5745B56B"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12,9</w:t>
            </w:r>
          </w:p>
        </w:tc>
        <w:tc>
          <w:tcPr>
            <w:tcW w:w="445" w:type="pct"/>
            <w:tcBorders>
              <w:top w:val="nil"/>
              <w:left w:val="nil"/>
              <w:bottom w:val="single" w:sz="4" w:space="0" w:color="auto"/>
              <w:right w:val="nil"/>
            </w:tcBorders>
            <w:shd w:val="clear" w:color="000000" w:fill="FFFFFF"/>
            <w:noWrap/>
            <w:vAlign w:val="center"/>
            <w:hideMark/>
          </w:tcPr>
          <w:p w14:paraId="284D9FE4"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8,0</w:t>
            </w:r>
          </w:p>
        </w:tc>
        <w:tc>
          <w:tcPr>
            <w:tcW w:w="446" w:type="pct"/>
            <w:tcBorders>
              <w:top w:val="nil"/>
              <w:left w:val="nil"/>
              <w:bottom w:val="single" w:sz="4" w:space="0" w:color="auto"/>
              <w:right w:val="nil"/>
            </w:tcBorders>
            <w:shd w:val="clear" w:color="000000" w:fill="FFFFFF"/>
            <w:noWrap/>
            <w:vAlign w:val="center"/>
            <w:hideMark/>
          </w:tcPr>
          <w:p w14:paraId="44FBB562" w14:textId="77777777" w:rsidR="00D86F4F" w:rsidRPr="003278ED" w:rsidRDefault="00D86F4F" w:rsidP="007D3A2B">
            <w:pPr>
              <w:spacing w:after="0" w:line="240" w:lineRule="auto"/>
              <w:jc w:val="right"/>
              <w:rPr>
                <w:rFonts w:ascii="Times New Roman" w:hAnsi="Times New Roman" w:cs="Times New Roman"/>
                <w:color w:val="000000"/>
                <w:sz w:val="16"/>
                <w:szCs w:val="16"/>
              </w:rPr>
            </w:pPr>
            <w:r w:rsidRPr="003278ED">
              <w:rPr>
                <w:rFonts w:ascii="Times New Roman" w:hAnsi="Times New Roman" w:cs="Times New Roman"/>
                <w:color w:val="000000"/>
                <w:sz w:val="16"/>
                <w:szCs w:val="16"/>
              </w:rPr>
              <w:t>9,6</w:t>
            </w:r>
          </w:p>
        </w:tc>
        <w:tc>
          <w:tcPr>
            <w:tcW w:w="446" w:type="pct"/>
            <w:tcBorders>
              <w:top w:val="nil"/>
              <w:left w:val="dashed" w:sz="4" w:space="0" w:color="auto"/>
              <w:bottom w:val="single" w:sz="4" w:space="0" w:color="auto"/>
              <w:right w:val="nil"/>
            </w:tcBorders>
            <w:shd w:val="clear" w:color="000000" w:fill="FFFFFF"/>
            <w:noWrap/>
            <w:vAlign w:val="center"/>
            <w:hideMark/>
          </w:tcPr>
          <w:p w14:paraId="076A5C5A"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1,3</w:t>
            </w:r>
          </w:p>
        </w:tc>
        <w:tc>
          <w:tcPr>
            <w:tcW w:w="451" w:type="pct"/>
            <w:tcBorders>
              <w:top w:val="nil"/>
              <w:left w:val="nil"/>
              <w:bottom w:val="single" w:sz="4" w:space="0" w:color="auto"/>
              <w:right w:val="nil"/>
            </w:tcBorders>
            <w:shd w:val="clear" w:color="000000" w:fill="FFFFFF"/>
            <w:noWrap/>
            <w:vAlign w:val="center"/>
            <w:hideMark/>
          </w:tcPr>
          <w:p w14:paraId="1665A3D1"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0,6</w:t>
            </w:r>
          </w:p>
        </w:tc>
        <w:tc>
          <w:tcPr>
            <w:tcW w:w="371" w:type="pct"/>
            <w:tcBorders>
              <w:top w:val="nil"/>
              <w:left w:val="nil"/>
              <w:bottom w:val="single" w:sz="4" w:space="0" w:color="auto"/>
              <w:right w:val="nil"/>
            </w:tcBorders>
            <w:shd w:val="clear" w:color="000000" w:fill="FFFFFF"/>
            <w:noWrap/>
            <w:vAlign w:val="center"/>
            <w:hideMark/>
          </w:tcPr>
          <w:p w14:paraId="544A4877" w14:textId="77777777" w:rsidR="00D86F4F" w:rsidRPr="003278ED" w:rsidRDefault="007C7CD1"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0,2</w:t>
            </w:r>
          </w:p>
        </w:tc>
        <w:tc>
          <w:tcPr>
            <w:tcW w:w="482" w:type="pct"/>
            <w:tcBorders>
              <w:top w:val="nil"/>
              <w:left w:val="nil"/>
              <w:bottom w:val="single" w:sz="4" w:space="0" w:color="auto"/>
              <w:right w:val="nil"/>
            </w:tcBorders>
            <w:shd w:val="clear" w:color="000000" w:fill="FFFFFF"/>
            <w:noWrap/>
            <w:vAlign w:val="center"/>
            <w:hideMark/>
          </w:tcPr>
          <w:p w14:paraId="40CAD845" w14:textId="77777777" w:rsidR="00D86F4F" w:rsidRPr="003278ED" w:rsidRDefault="00D86F4F" w:rsidP="007D3A2B">
            <w:pPr>
              <w:spacing w:after="0" w:line="240" w:lineRule="auto"/>
              <w:jc w:val="center"/>
              <w:rPr>
                <w:rFonts w:ascii="Times New Roman" w:hAnsi="Times New Roman" w:cs="Times New Roman"/>
                <w:color w:val="000000"/>
                <w:sz w:val="16"/>
                <w:szCs w:val="16"/>
              </w:rPr>
            </w:pPr>
            <w:r w:rsidRPr="003278ED">
              <w:rPr>
                <w:rFonts w:ascii="Times New Roman" w:hAnsi="Times New Roman" w:cs="Times New Roman"/>
                <w:color w:val="000000"/>
                <w:sz w:val="16"/>
                <w:szCs w:val="16"/>
              </w:rPr>
              <w:t>0,3</w:t>
            </w:r>
          </w:p>
        </w:tc>
      </w:tr>
    </w:tbl>
    <w:p w14:paraId="2AB45242" w14:textId="78B278F8" w:rsidR="00F63869" w:rsidRPr="003278ED" w:rsidRDefault="00C155F8" w:rsidP="007D3A2B">
      <w:pPr>
        <w:autoSpaceDE w:val="0"/>
        <w:autoSpaceDN w:val="0"/>
        <w:adjustRightInd w:val="0"/>
        <w:spacing w:after="0" w:line="240" w:lineRule="auto"/>
        <w:jc w:val="center"/>
        <w:rPr>
          <w:rFonts w:ascii="Times New Roman" w:hAnsi="Times New Roman" w:cs="Times New Roman"/>
          <w:sz w:val="20"/>
          <w:szCs w:val="20"/>
        </w:rPr>
      </w:pPr>
      <w:r w:rsidRPr="00BF3B68">
        <w:rPr>
          <w:rFonts w:ascii="Times New Roman" w:hAnsi="Times New Roman" w:cs="Times New Roman"/>
          <w:b/>
          <w:i/>
          <w:color w:val="000000"/>
          <w:sz w:val="20"/>
          <w:szCs w:val="20"/>
          <w:lang w:eastAsia="ro-RO"/>
        </w:rPr>
        <w:t>Sursa:</w:t>
      </w:r>
      <w:r w:rsidRPr="003278ED">
        <w:rPr>
          <w:rFonts w:ascii="Times New Roman" w:hAnsi="Times New Roman" w:cs="Times New Roman"/>
          <w:i/>
          <w:color w:val="000000"/>
          <w:sz w:val="20"/>
          <w:szCs w:val="20"/>
          <w:lang w:eastAsia="ro-RO"/>
        </w:rPr>
        <w:t xml:space="preserve">  Ministerul Finanțelor</w:t>
      </w:r>
    </w:p>
    <w:p w14:paraId="62C48232" w14:textId="77777777" w:rsidR="004E3540" w:rsidRPr="003278ED" w:rsidRDefault="004E3540" w:rsidP="007D3A2B">
      <w:pPr>
        <w:autoSpaceDE w:val="0"/>
        <w:autoSpaceDN w:val="0"/>
        <w:adjustRightInd w:val="0"/>
        <w:spacing w:after="0" w:line="240" w:lineRule="auto"/>
        <w:jc w:val="center"/>
        <w:rPr>
          <w:rFonts w:ascii="Times New Roman" w:hAnsi="Times New Roman" w:cs="Times New Roman"/>
          <w:sz w:val="24"/>
          <w:szCs w:val="24"/>
        </w:rPr>
      </w:pPr>
    </w:p>
    <w:p w14:paraId="15B6772D" w14:textId="77777777" w:rsidR="00EC486B" w:rsidRPr="009562A5" w:rsidRDefault="00EC486B" w:rsidP="005F3789">
      <w:pPr>
        <w:pStyle w:val="Title2"/>
        <w:pageBreakBefore/>
        <w:jc w:val="center"/>
        <w:outlineLvl w:val="0"/>
        <w:rPr>
          <w:rFonts w:ascii="Times New Roman" w:hAnsi="Times New Roman"/>
          <w:i w:val="0"/>
          <w:color w:val="auto"/>
          <w:sz w:val="24"/>
        </w:rPr>
      </w:pPr>
      <w:bookmarkStart w:id="48" w:name="_Toc175825361"/>
      <w:r w:rsidRPr="009562A5">
        <w:rPr>
          <w:rFonts w:ascii="Times New Roman" w:hAnsi="Times New Roman"/>
          <w:i w:val="0"/>
          <w:color w:val="auto"/>
          <w:sz w:val="24"/>
        </w:rPr>
        <w:lastRenderedPageBreak/>
        <w:t>ACRONIME</w:t>
      </w:r>
      <w:bookmarkEnd w:id="48"/>
    </w:p>
    <w:p w14:paraId="1406AB7A" w14:textId="77777777" w:rsidR="00EC486B" w:rsidRPr="003278ED" w:rsidRDefault="00EC486B" w:rsidP="007D3A2B">
      <w:pPr>
        <w:autoSpaceDE w:val="0"/>
        <w:autoSpaceDN w:val="0"/>
        <w:adjustRightInd w:val="0"/>
        <w:spacing w:after="0" w:line="240" w:lineRule="auto"/>
        <w:ind w:firstLine="567"/>
        <w:rPr>
          <w:rFonts w:ascii="Times New Roman" w:eastAsia="Calibri" w:hAnsi="Times New Roman" w:cs="Times New Roman"/>
          <w:sz w:val="24"/>
          <w:szCs w:val="26"/>
        </w:rPr>
      </w:pPr>
    </w:p>
    <w:p w14:paraId="5EED2EA7" w14:textId="77777777" w:rsidR="004E3540" w:rsidRPr="003278ED" w:rsidRDefault="00B27AB4" w:rsidP="007D3A2B">
      <w:pPr>
        <w:tabs>
          <w:tab w:val="left" w:pos="1701"/>
        </w:tabs>
        <w:autoSpaceDE w:val="0"/>
        <w:autoSpaceDN w:val="0"/>
        <w:adjustRightInd w:val="0"/>
        <w:spacing w:after="0" w:line="240" w:lineRule="auto"/>
        <w:ind w:firstLine="567"/>
        <w:rPr>
          <w:rFonts w:ascii="Times New Roman" w:eastAsia="Calibri" w:hAnsi="Times New Roman" w:cs="Times New Roman"/>
          <w:sz w:val="24"/>
          <w:szCs w:val="26"/>
        </w:rPr>
      </w:pPr>
      <w:r w:rsidRPr="003278ED">
        <w:rPr>
          <w:rFonts w:ascii="Times New Roman" w:eastAsia="Calibri" w:hAnsi="Times New Roman" w:cs="Times New Roman"/>
          <w:sz w:val="24"/>
          <w:szCs w:val="26"/>
        </w:rPr>
        <w:t xml:space="preserve">CIPS </w:t>
      </w:r>
      <w:r w:rsidRPr="003278ED">
        <w:rPr>
          <w:rFonts w:ascii="Times New Roman" w:eastAsia="Calibri" w:hAnsi="Times New Roman" w:cs="Times New Roman"/>
          <w:sz w:val="24"/>
          <w:szCs w:val="26"/>
        </w:rPr>
        <w:tab/>
      </w:r>
      <w:r w:rsidR="00225813" w:rsidRPr="003278ED">
        <w:rPr>
          <w:rFonts w:ascii="Times New Roman" w:eastAsia="Calibri" w:hAnsi="Times New Roman" w:cs="Times New Roman"/>
          <w:sz w:val="24"/>
          <w:szCs w:val="26"/>
        </w:rPr>
        <w:tab/>
      </w:r>
      <w:r w:rsidR="00EC486B" w:rsidRPr="003278ED">
        <w:rPr>
          <w:rFonts w:ascii="Times New Roman" w:eastAsia="Calibri" w:hAnsi="Times New Roman" w:cs="Times New Roman"/>
          <w:sz w:val="24"/>
          <w:szCs w:val="26"/>
        </w:rPr>
        <w:t>Comitetul interministerial</w:t>
      </w:r>
      <w:r w:rsidRPr="003278ED">
        <w:rPr>
          <w:rFonts w:ascii="Times New Roman" w:eastAsia="Calibri" w:hAnsi="Times New Roman" w:cs="Times New Roman"/>
          <w:sz w:val="24"/>
          <w:szCs w:val="26"/>
        </w:rPr>
        <w:t xml:space="preserve"> pentru planificare strategică</w:t>
      </w:r>
    </w:p>
    <w:p w14:paraId="4AF94B41" w14:textId="389A91DC" w:rsidR="003278ED" w:rsidRPr="003278ED" w:rsidRDefault="003278ED" w:rsidP="007D3A2B">
      <w:pPr>
        <w:tabs>
          <w:tab w:val="left" w:pos="1701"/>
        </w:tabs>
        <w:autoSpaceDE w:val="0"/>
        <w:autoSpaceDN w:val="0"/>
        <w:adjustRightInd w:val="0"/>
        <w:spacing w:after="0" w:line="240" w:lineRule="auto"/>
        <w:ind w:firstLine="567"/>
        <w:rPr>
          <w:rFonts w:ascii="Times New Roman" w:eastAsia="Calibri" w:hAnsi="Times New Roman" w:cs="Times New Roman"/>
          <w:sz w:val="24"/>
          <w:szCs w:val="26"/>
        </w:rPr>
      </w:pPr>
      <w:r w:rsidRPr="003278ED">
        <w:rPr>
          <w:rFonts w:ascii="Times New Roman" w:eastAsia="Calibri" w:hAnsi="Times New Roman" w:cs="Times New Roman"/>
          <w:sz w:val="24"/>
          <w:szCs w:val="26"/>
        </w:rPr>
        <w:t>BNM</w:t>
      </w:r>
      <w:r w:rsidRPr="003278ED">
        <w:rPr>
          <w:rFonts w:ascii="Times New Roman" w:eastAsia="Calibri" w:hAnsi="Times New Roman" w:cs="Times New Roman"/>
          <w:sz w:val="24"/>
          <w:szCs w:val="26"/>
        </w:rPr>
        <w:tab/>
      </w:r>
      <w:r w:rsidRPr="003278ED">
        <w:rPr>
          <w:rFonts w:ascii="Times New Roman" w:eastAsia="Calibri" w:hAnsi="Times New Roman" w:cs="Times New Roman"/>
          <w:sz w:val="24"/>
          <w:szCs w:val="26"/>
        </w:rPr>
        <w:tab/>
        <w:t>Banca Națională a Moldovei</w:t>
      </w:r>
    </w:p>
    <w:p w14:paraId="4C239382"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BPN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Bugetul public național</w:t>
      </w:r>
    </w:p>
    <w:p w14:paraId="0BDED013"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BL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Bugetul local</w:t>
      </w:r>
    </w:p>
    <w:p w14:paraId="7DE12750"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BASS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 xml:space="preserve">Bugetul asigurărilor sociale de stat </w:t>
      </w:r>
    </w:p>
    <w:p w14:paraId="41AE3407" w14:textId="3A5CB518"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FAOAM  </w:t>
      </w:r>
      <w:r w:rsidR="00225813" w:rsidRPr="003278ED">
        <w:rPr>
          <w:rFonts w:ascii="Times New Roman" w:eastAsia="Calibri" w:hAnsi="Times New Roman" w:cs="Times New Roman"/>
          <w:sz w:val="24"/>
          <w:szCs w:val="24"/>
        </w:rPr>
        <w:tab/>
      </w:r>
      <w:r w:rsidR="00625629"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Fondurile asigurărilor obligatorii de asistență medicală</w:t>
      </w:r>
    </w:p>
    <w:p w14:paraId="530ED612"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b/>
          <w:sz w:val="24"/>
          <w:szCs w:val="24"/>
        </w:rPr>
      </w:pPr>
      <w:r w:rsidRPr="003278ED">
        <w:rPr>
          <w:rFonts w:ascii="Times New Roman" w:eastAsia="Calibri" w:hAnsi="Times New Roman" w:cs="Times New Roman"/>
          <w:bCs/>
          <w:sz w:val="24"/>
          <w:szCs w:val="24"/>
        </w:rPr>
        <w:t xml:space="preserve">IPC  </w:t>
      </w:r>
      <w:r w:rsidRPr="003278ED">
        <w:rPr>
          <w:rFonts w:ascii="Times New Roman" w:eastAsia="Calibri" w:hAnsi="Times New Roman" w:cs="Times New Roman"/>
          <w:bCs/>
          <w:sz w:val="24"/>
          <w:szCs w:val="24"/>
        </w:rPr>
        <w:tab/>
        <w:t xml:space="preserve"> </w:t>
      </w:r>
      <w:r w:rsidR="00225813" w:rsidRPr="003278ED">
        <w:rPr>
          <w:rFonts w:ascii="Times New Roman" w:eastAsia="Calibri" w:hAnsi="Times New Roman" w:cs="Times New Roman"/>
          <w:bCs/>
          <w:sz w:val="24"/>
          <w:szCs w:val="24"/>
        </w:rPr>
        <w:tab/>
      </w:r>
      <w:r w:rsidRPr="003278ED">
        <w:rPr>
          <w:rFonts w:ascii="Times New Roman" w:eastAsia="Calibri" w:hAnsi="Times New Roman" w:cs="Times New Roman"/>
          <w:bCs/>
          <w:sz w:val="24"/>
          <w:szCs w:val="24"/>
        </w:rPr>
        <w:t>Indexul prețurilor de consum</w:t>
      </w:r>
    </w:p>
    <w:p w14:paraId="7B374F18"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VMS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Valorile mobiliare de stat</w:t>
      </w:r>
    </w:p>
    <w:p w14:paraId="13E254C4"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sz w:val="24"/>
          <w:szCs w:val="24"/>
        </w:rPr>
        <w:t xml:space="preserve">PIB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Produsul intern brut</w:t>
      </w:r>
    </w:p>
    <w:p w14:paraId="6CDA9F38"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bCs/>
          <w:sz w:val="24"/>
          <w:szCs w:val="24"/>
        </w:rPr>
      </w:pPr>
      <w:r w:rsidRPr="003278ED">
        <w:rPr>
          <w:rFonts w:ascii="Times New Roman" w:eastAsia="Calibri" w:hAnsi="Times New Roman" w:cs="Times New Roman"/>
          <w:bCs/>
          <w:sz w:val="24"/>
          <w:szCs w:val="24"/>
        </w:rPr>
        <w:t xml:space="preserve">TVA </w:t>
      </w:r>
      <w:r w:rsidRPr="003278ED">
        <w:rPr>
          <w:rFonts w:ascii="Times New Roman" w:eastAsia="Calibri" w:hAnsi="Times New Roman" w:cs="Times New Roman"/>
          <w:bCs/>
          <w:sz w:val="24"/>
          <w:szCs w:val="24"/>
        </w:rPr>
        <w:tab/>
        <w:t xml:space="preserve"> </w:t>
      </w:r>
      <w:r w:rsidR="00225813" w:rsidRPr="003278ED">
        <w:rPr>
          <w:rFonts w:ascii="Times New Roman" w:eastAsia="Calibri" w:hAnsi="Times New Roman" w:cs="Times New Roman"/>
          <w:bCs/>
          <w:sz w:val="24"/>
          <w:szCs w:val="24"/>
        </w:rPr>
        <w:tab/>
      </w:r>
      <w:r w:rsidRPr="003278ED">
        <w:rPr>
          <w:rFonts w:ascii="Times New Roman" w:eastAsia="Calibri" w:hAnsi="Times New Roman" w:cs="Times New Roman"/>
          <w:bCs/>
          <w:sz w:val="24"/>
          <w:szCs w:val="24"/>
        </w:rPr>
        <w:t>Taxa pe valoarea adăugată</w:t>
      </w:r>
    </w:p>
    <w:p w14:paraId="1A1B1424"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34"/>
        </w:rPr>
      </w:pPr>
      <w:r w:rsidRPr="003278ED">
        <w:rPr>
          <w:rFonts w:ascii="Times New Roman" w:eastAsia="Calibri" w:hAnsi="Times New Roman" w:cs="Times New Roman"/>
          <w:sz w:val="24"/>
          <w:szCs w:val="34"/>
        </w:rPr>
        <w:t xml:space="preserve">UE </w:t>
      </w:r>
      <w:r w:rsidRPr="003278ED">
        <w:rPr>
          <w:rFonts w:ascii="Times New Roman" w:eastAsia="Calibri" w:hAnsi="Times New Roman" w:cs="Times New Roman"/>
          <w:sz w:val="24"/>
          <w:szCs w:val="34"/>
        </w:rPr>
        <w:tab/>
        <w:t xml:space="preserve"> </w:t>
      </w:r>
      <w:r w:rsidR="00225813" w:rsidRPr="003278ED">
        <w:rPr>
          <w:rFonts w:ascii="Times New Roman" w:eastAsia="Calibri" w:hAnsi="Times New Roman" w:cs="Times New Roman"/>
          <w:sz w:val="24"/>
          <w:szCs w:val="34"/>
        </w:rPr>
        <w:tab/>
      </w:r>
      <w:r w:rsidRPr="003278ED">
        <w:rPr>
          <w:rFonts w:ascii="Times New Roman" w:eastAsia="Calibri" w:hAnsi="Times New Roman" w:cs="Times New Roman"/>
          <w:sz w:val="24"/>
          <w:szCs w:val="34"/>
        </w:rPr>
        <w:t xml:space="preserve">Uniunea Europeană </w:t>
      </w:r>
    </w:p>
    <w:p w14:paraId="1BE07907"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8"/>
        </w:rPr>
      </w:pPr>
      <w:r w:rsidRPr="003278ED">
        <w:rPr>
          <w:rFonts w:ascii="Times New Roman" w:eastAsia="Calibri" w:hAnsi="Times New Roman" w:cs="Times New Roman"/>
          <w:sz w:val="24"/>
          <w:szCs w:val="28"/>
        </w:rPr>
        <w:t>APC</w:t>
      </w:r>
      <w:r w:rsidRPr="003278ED">
        <w:rPr>
          <w:rFonts w:ascii="Times New Roman" w:eastAsia="Calibri" w:hAnsi="Times New Roman" w:cs="Times New Roman"/>
          <w:sz w:val="24"/>
          <w:szCs w:val="28"/>
        </w:rPr>
        <w:tab/>
        <w:t xml:space="preserve"> </w:t>
      </w:r>
      <w:r w:rsidR="00225813" w:rsidRPr="003278ED">
        <w:rPr>
          <w:rFonts w:ascii="Times New Roman" w:eastAsia="Calibri" w:hAnsi="Times New Roman" w:cs="Times New Roman"/>
          <w:sz w:val="24"/>
          <w:szCs w:val="28"/>
        </w:rPr>
        <w:tab/>
      </w:r>
      <w:r w:rsidRPr="003278ED">
        <w:rPr>
          <w:rFonts w:ascii="Times New Roman" w:eastAsia="Calibri" w:hAnsi="Times New Roman" w:cs="Times New Roman"/>
          <w:sz w:val="24"/>
          <w:szCs w:val="28"/>
        </w:rPr>
        <w:t>Autorități publice centrale</w:t>
      </w:r>
    </w:p>
    <w:p w14:paraId="0D8FD41E" w14:textId="77777777"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8"/>
        </w:rPr>
      </w:pPr>
      <w:r w:rsidRPr="003278ED">
        <w:rPr>
          <w:rFonts w:ascii="Times New Roman" w:eastAsia="Calibri" w:hAnsi="Times New Roman" w:cs="Times New Roman"/>
          <w:sz w:val="24"/>
          <w:szCs w:val="28"/>
        </w:rPr>
        <w:t>FMI</w:t>
      </w:r>
      <w:r w:rsidRPr="003278ED">
        <w:rPr>
          <w:rFonts w:ascii="Times New Roman" w:eastAsia="Calibri" w:hAnsi="Times New Roman" w:cs="Times New Roman"/>
          <w:sz w:val="24"/>
          <w:szCs w:val="28"/>
        </w:rPr>
        <w:tab/>
      </w:r>
      <w:r w:rsidR="00225813" w:rsidRPr="003278ED">
        <w:rPr>
          <w:rFonts w:ascii="Times New Roman" w:eastAsia="Calibri" w:hAnsi="Times New Roman" w:cs="Times New Roman"/>
          <w:sz w:val="24"/>
          <w:szCs w:val="28"/>
        </w:rPr>
        <w:tab/>
      </w:r>
      <w:r w:rsidRPr="003278ED">
        <w:rPr>
          <w:rFonts w:ascii="Times New Roman" w:eastAsia="Calibri" w:hAnsi="Times New Roman" w:cs="Times New Roman"/>
          <w:sz w:val="24"/>
          <w:szCs w:val="28"/>
        </w:rPr>
        <w:t>Fondul Monetar Internațional</w:t>
      </w:r>
    </w:p>
    <w:p w14:paraId="61C93CD1" w14:textId="6C18E8DC" w:rsidR="000E1903" w:rsidRPr="003278ED" w:rsidRDefault="000E1903"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eastAsia="Calibri" w:hAnsi="Times New Roman" w:cs="Times New Roman"/>
          <w:bCs/>
          <w:sz w:val="24"/>
          <w:szCs w:val="28"/>
        </w:rPr>
        <w:t>ZEL</w:t>
      </w:r>
      <w:r w:rsidRPr="003278ED">
        <w:rPr>
          <w:rFonts w:ascii="Times New Roman" w:eastAsia="Calibri" w:hAnsi="Times New Roman" w:cs="Times New Roman"/>
          <w:sz w:val="24"/>
          <w:szCs w:val="24"/>
        </w:rPr>
        <w:t xml:space="preserve"> </w:t>
      </w:r>
      <w:r w:rsidRPr="003278ED">
        <w:rPr>
          <w:rFonts w:ascii="Times New Roman" w:eastAsia="Calibri" w:hAnsi="Times New Roman" w:cs="Times New Roman"/>
          <w:sz w:val="24"/>
          <w:szCs w:val="24"/>
        </w:rPr>
        <w:tab/>
        <w:t xml:space="preserve"> </w:t>
      </w:r>
      <w:r w:rsidR="00225813" w:rsidRPr="003278ED">
        <w:rPr>
          <w:rFonts w:ascii="Times New Roman" w:eastAsia="Calibri" w:hAnsi="Times New Roman" w:cs="Times New Roman"/>
          <w:sz w:val="24"/>
          <w:szCs w:val="24"/>
        </w:rPr>
        <w:tab/>
      </w:r>
      <w:r w:rsidRPr="003278ED">
        <w:rPr>
          <w:rFonts w:ascii="Times New Roman" w:eastAsia="Calibri" w:hAnsi="Times New Roman" w:cs="Times New Roman"/>
          <w:sz w:val="24"/>
          <w:szCs w:val="24"/>
        </w:rPr>
        <w:t xml:space="preserve">Zone </w:t>
      </w:r>
      <w:r w:rsidR="00BF3B68">
        <w:rPr>
          <w:rFonts w:ascii="Times New Roman" w:eastAsia="Calibri" w:hAnsi="Times New Roman" w:cs="Times New Roman"/>
          <w:sz w:val="24"/>
          <w:szCs w:val="24"/>
        </w:rPr>
        <w:t>E</w:t>
      </w:r>
      <w:r w:rsidRPr="003278ED">
        <w:rPr>
          <w:rFonts w:ascii="Times New Roman" w:eastAsia="Calibri" w:hAnsi="Times New Roman" w:cs="Times New Roman"/>
          <w:sz w:val="24"/>
          <w:szCs w:val="24"/>
        </w:rPr>
        <w:t xml:space="preserve">conomice </w:t>
      </w:r>
      <w:r w:rsidR="00BF3B68">
        <w:rPr>
          <w:rFonts w:ascii="Times New Roman" w:eastAsia="Calibri" w:hAnsi="Times New Roman" w:cs="Times New Roman"/>
          <w:sz w:val="24"/>
          <w:szCs w:val="24"/>
        </w:rPr>
        <w:t>L</w:t>
      </w:r>
      <w:r w:rsidRPr="003278ED">
        <w:rPr>
          <w:rFonts w:ascii="Times New Roman" w:eastAsia="Calibri" w:hAnsi="Times New Roman" w:cs="Times New Roman"/>
          <w:sz w:val="24"/>
          <w:szCs w:val="24"/>
        </w:rPr>
        <w:t>ibere</w:t>
      </w:r>
    </w:p>
    <w:p w14:paraId="002F076E" w14:textId="77777777" w:rsidR="00A81305" w:rsidRPr="003278ED" w:rsidRDefault="00A81305" w:rsidP="007D3A2B">
      <w:pPr>
        <w:tabs>
          <w:tab w:val="left" w:pos="1701"/>
        </w:tabs>
        <w:spacing w:after="0" w:line="240" w:lineRule="auto"/>
        <w:ind w:firstLine="567"/>
        <w:rPr>
          <w:rFonts w:ascii="Times New Roman" w:eastAsia="Calibri" w:hAnsi="Times New Roman" w:cs="Times New Roman"/>
          <w:sz w:val="24"/>
          <w:szCs w:val="24"/>
        </w:rPr>
      </w:pPr>
      <w:r w:rsidRPr="003278ED">
        <w:rPr>
          <w:rFonts w:ascii="Times New Roman" w:hAnsi="Times New Roman" w:cs="Times New Roman"/>
          <w:bCs/>
          <w:sz w:val="24"/>
          <w:szCs w:val="28"/>
        </w:rPr>
        <w:t xml:space="preserve">PI </w:t>
      </w:r>
      <w:r w:rsidRPr="003278ED">
        <w:rPr>
          <w:rFonts w:ascii="Times New Roman" w:hAnsi="Times New Roman" w:cs="Times New Roman"/>
          <w:bCs/>
          <w:sz w:val="24"/>
          <w:szCs w:val="28"/>
        </w:rPr>
        <w:tab/>
      </w:r>
      <w:r w:rsidRPr="003278ED">
        <w:rPr>
          <w:rFonts w:ascii="Times New Roman" w:hAnsi="Times New Roman" w:cs="Times New Roman"/>
          <w:bCs/>
          <w:sz w:val="24"/>
          <w:szCs w:val="28"/>
        </w:rPr>
        <w:tab/>
        <w:t>Parcurile industriale</w:t>
      </w:r>
    </w:p>
    <w:p w14:paraId="273CB0D9" w14:textId="2687F31A" w:rsidR="00B40F82" w:rsidRPr="003278ED" w:rsidRDefault="00B40F82" w:rsidP="007D3A2B">
      <w:pPr>
        <w:tabs>
          <w:tab w:val="left" w:pos="1701"/>
        </w:tabs>
        <w:spacing w:after="0" w:line="240" w:lineRule="auto"/>
        <w:ind w:firstLine="567"/>
        <w:rPr>
          <w:rFonts w:ascii="Times New Roman" w:eastAsia="Calibri" w:hAnsi="Times New Roman" w:cs="Times New Roman"/>
          <w:sz w:val="28"/>
          <w:szCs w:val="24"/>
        </w:rPr>
      </w:pPr>
      <w:r w:rsidRPr="003278ED">
        <w:rPr>
          <w:rFonts w:ascii="Times New Roman" w:eastAsia="Calibri" w:hAnsi="Times New Roman" w:cs="Times New Roman"/>
          <w:sz w:val="24"/>
          <w:szCs w:val="26"/>
          <w:shd w:val="clear" w:color="auto" w:fill="FFFFFF"/>
        </w:rPr>
        <w:t xml:space="preserve">RPIC </w:t>
      </w:r>
      <w:r w:rsidRPr="003278ED">
        <w:rPr>
          <w:rFonts w:ascii="Times New Roman" w:eastAsia="Calibri" w:hAnsi="Times New Roman" w:cs="Times New Roman"/>
          <w:sz w:val="24"/>
          <w:szCs w:val="26"/>
          <w:shd w:val="clear" w:color="auto" w:fill="FFFFFF"/>
        </w:rPr>
        <w:tab/>
      </w:r>
      <w:r w:rsidR="00225813" w:rsidRPr="003278ED">
        <w:rPr>
          <w:rFonts w:ascii="Times New Roman" w:eastAsia="Calibri" w:hAnsi="Times New Roman" w:cs="Times New Roman"/>
          <w:sz w:val="24"/>
          <w:szCs w:val="26"/>
          <w:shd w:val="clear" w:color="auto" w:fill="FFFFFF"/>
        </w:rPr>
        <w:tab/>
      </w:r>
      <w:r w:rsidRPr="003278ED">
        <w:rPr>
          <w:rFonts w:ascii="Times New Roman" w:eastAsia="Calibri" w:hAnsi="Times New Roman" w:cs="Times New Roman"/>
          <w:sz w:val="24"/>
          <w:szCs w:val="26"/>
          <w:shd w:val="clear" w:color="auto" w:fill="FFFFFF"/>
        </w:rPr>
        <w:t>S</w:t>
      </w:r>
      <w:r w:rsidR="006E16EF" w:rsidRPr="003278ED">
        <w:rPr>
          <w:rFonts w:ascii="Times New Roman" w:eastAsia="Calibri" w:hAnsi="Times New Roman" w:cs="Times New Roman"/>
          <w:sz w:val="24"/>
          <w:szCs w:val="26"/>
          <w:shd w:val="clear" w:color="auto" w:fill="FFFFFF"/>
        </w:rPr>
        <w:t xml:space="preserve">istemul </w:t>
      </w:r>
      <w:r w:rsidR="00BF3B68">
        <w:rPr>
          <w:rFonts w:ascii="Times New Roman" w:eastAsia="Calibri" w:hAnsi="Times New Roman" w:cs="Times New Roman"/>
          <w:sz w:val="24"/>
          <w:szCs w:val="26"/>
          <w:shd w:val="clear" w:color="auto" w:fill="FFFFFF"/>
        </w:rPr>
        <w:t>i</w:t>
      </w:r>
      <w:r w:rsidR="006E16EF" w:rsidRPr="003278ED">
        <w:rPr>
          <w:rFonts w:ascii="Times New Roman" w:eastAsia="Calibri" w:hAnsi="Times New Roman" w:cs="Times New Roman"/>
          <w:sz w:val="24"/>
          <w:szCs w:val="26"/>
          <w:shd w:val="clear" w:color="auto" w:fill="FFFFFF"/>
        </w:rPr>
        <w:t>nformațional</w:t>
      </w:r>
      <w:r w:rsidRPr="003278ED">
        <w:rPr>
          <w:rFonts w:ascii="Times New Roman" w:eastAsia="Calibri" w:hAnsi="Times New Roman" w:cs="Times New Roman"/>
          <w:sz w:val="24"/>
          <w:szCs w:val="26"/>
          <w:shd w:val="clear" w:color="auto" w:fill="FFFFFF"/>
        </w:rPr>
        <w:t xml:space="preserve"> „Registrul proiectelor de investiții capitale” </w:t>
      </w:r>
    </w:p>
    <w:p w14:paraId="5E593CEA" w14:textId="58DD3C3C" w:rsidR="003A19A9" w:rsidRPr="003278ED" w:rsidRDefault="003A19A9" w:rsidP="007D3A2B">
      <w:pPr>
        <w:tabs>
          <w:tab w:val="left" w:pos="851"/>
          <w:tab w:val="left" w:pos="1701"/>
        </w:tabs>
        <w:spacing w:after="0" w:line="240" w:lineRule="auto"/>
        <w:ind w:left="567"/>
        <w:jc w:val="both"/>
        <w:rPr>
          <w:rFonts w:ascii="Times New Roman" w:hAnsi="Times New Roman" w:cs="Times New Roman"/>
          <w:sz w:val="24"/>
          <w:szCs w:val="24"/>
        </w:rPr>
      </w:pPr>
      <w:r w:rsidRPr="003278ED">
        <w:rPr>
          <w:rFonts w:ascii="Times New Roman" w:eastAsia="Calibri" w:hAnsi="Times New Roman" w:cs="Times New Roman"/>
          <w:bCs/>
          <w:sz w:val="24"/>
          <w:szCs w:val="24"/>
        </w:rPr>
        <w:t>BEPS</w:t>
      </w:r>
      <w:r w:rsidR="00225813" w:rsidRPr="003278ED">
        <w:rPr>
          <w:rFonts w:ascii="Times New Roman" w:eastAsia="Calibri" w:hAnsi="Times New Roman" w:cs="Times New Roman"/>
          <w:bCs/>
          <w:sz w:val="24"/>
          <w:szCs w:val="24"/>
        </w:rPr>
        <w:t>(en)</w:t>
      </w:r>
      <w:r w:rsidR="00225813" w:rsidRPr="003278ED">
        <w:rPr>
          <w:rFonts w:ascii="Times New Roman" w:eastAsia="Calibri" w:hAnsi="Times New Roman" w:cs="Times New Roman"/>
          <w:bCs/>
          <w:sz w:val="24"/>
          <w:szCs w:val="24"/>
        </w:rPr>
        <w:tab/>
      </w:r>
      <w:r w:rsidR="00625629" w:rsidRPr="003278ED">
        <w:rPr>
          <w:rFonts w:ascii="Times New Roman" w:eastAsia="Calibri" w:hAnsi="Times New Roman" w:cs="Times New Roman"/>
          <w:bCs/>
          <w:sz w:val="24"/>
          <w:szCs w:val="24"/>
        </w:rPr>
        <w:tab/>
      </w:r>
      <w:r w:rsidRPr="003278ED">
        <w:rPr>
          <w:rFonts w:ascii="Times New Roman" w:eastAsia="Calibri" w:hAnsi="Times New Roman" w:cs="Times New Roman"/>
          <w:bCs/>
          <w:sz w:val="24"/>
          <w:szCs w:val="24"/>
        </w:rPr>
        <w:t>B</w:t>
      </w:r>
      <w:r w:rsidRPr="003278ED">
        <w:rPr>
          <w:rFonts w:ascii="Times New Roman" w:hAnsi="Times New Roman" w:cs="Times New Roman"/>
          <w:sz w:val="24"/>
          <w:szCs w:val="24"/>
        </w:rPr>
        <w:t>aza impozabilă și transferul profiturilor</w:t>
      </w:r>
    </w:p>
    <w:p w14:paraId="2082BB32" w14:textId="77777777" w:rsidR="003A19A9" w:rsidRPr="003278ED" w:rsidRDefault="003A19A9" w:rsidP="007D3A2B">
      <w:pPr>
        <w:tabs>
          <w:tab w:val="left" w:pos="851"/>
          <w:tab w:val="left" w:pos="1701"/>
        </w:tabs>
        <w:spacing w:after="0" w:line="240" w:lineRule="auto"/>
        <w:ind w:left="567"/>
        <w:jc w:val="both"/>
        <w:rPr>
          <w:rFonts w:ascii="Times New Roman" w:eastAsia="Calibri" w:hAnsi="Times New Roman" w:cs="Times New Roman"/>
          <w:bCs/>
          <w:sz w:val="24"/>
          <w:szCs w:val="24"/>
        </w:rPr>
      </w:pPr>
      <w:r w:rsidRPr="003278ED">
        <w:rPr>
          <w:rFonts w:ascii="Times New Roman" w:eastAsia="Calibri" w:hAnsi="Times New Roman" w:cs="Times New Roman"/>
          <w:bCs/>
          <w:sz w:val="24"/>
          <w:szCs w:val="24"/>
        </w:rPr>
        <w:t xml:space="preserve">OCDE  </w:t>
      </w:r>
      <w:r w:rsidRPr="003278ED">
        <w:rPr>
          <w:rFonts w:ascii="Times New Roman" w:eastAsia="Calibri" w:hAnsi="Times New Roman" w:cs="Times New Roman"/>
          <w:bCs/>
          <w:sz w:val="24"/>
          <w:szCs w:val="24"/>
        </w:rPr>
        <w:tab/>
      </w:r>
      <w:r w:rsidR="00225813" w:rsidRPr="003278ED">
        <w:rPr>
          <w:rFonts w:ascii="Times New Roman" w:eastAsia="Calibri" w:hAnsi="Times New Roman" w:cs="Times New Roman"/>
          <w:bCs/>
          <w:sz w:val="24"/>
          <w:szCs w:val="24"/>
        </w:rPr>
        <w:tab/>
      </w:r>
      <w:r w:rsidRPr="003278ED">
        <w:rPr>
          <w:rFonts w:ascii="Times New Roman" w:hAnsi="Times New Roman" w:cs="Times New Roman"/>
          <w:bCs/>
          <w:sz w:val="24"/>
          <w:szCs w:val="24"/>
          <w:shd w:val="clear" w:color="auto" w:fill="FFFFFF"/>
        </w:rPr>
        <w:t>Organizația pentru Cooperare și Dezvoltare Economică</w:t>
      </w:r>
    </w:p>
    <w:p w14:paraId="52542D01" w14:textId="77777777" w:rsidR="000E1903" w:rsidRPr="003278ED" w:rsidRDefault="000E1903" w:rsidP="007D3A2B">
      <w:pPr>
        <w:tabs>
          <w:tab w:val="left" w:pos="1701"/>
        </w:tabs>
        <w:autoSpaceDE w:val="0"/>
        <w:autoSpaceDN w:val="0"/>
        <w:adjustRightInd w:val="0"/>
        <w:spacing w:after="0" w:line="240" w:lineRule="auto"/>
        <w:ind w:firstLine="567"/>
        <w:rPr>
          <w:rFonts w:ascii="Times New Roman" w:hAnsi="Times New Roman" w:cs="Times New Roman"/>
          <w:sz w:val="24"/>
          <w:szCs w:val="24"/>
        </w:rPr>
      </w:pPr>
    </w:p>
    <w:p w14:paraId="024F4FEA" w14:textId="77777777" w:rsidR="00510698" w:rsidRPr="003278ED" w:rsidRDefault="00510698" w:rsidP="007D3A2B">
      <w:pPr>
        <w:tabs>
          <w:tab w:val="left" w:pos="1701"/>
        </w:tabs>
        <w:autoSpaceDE w:val="0"/>
        <w:autoSpaceDN w:val="0"/>
        <w:adjustRightInd w:val="0"/>
        <w:spacing w:after="0" w:line="240" w:lineRule="auto"/>
        <w:ind w:firstLine="567"/>
        <w:rPr>
          <w:rFonts w:ascii="Times New Roman" w:hAnsi="Times New Roman" w:cs="Times New Roman"/>
          <w:sz w:val="24"/>
          <w:szCs w:val="24"/>
        </w:rPr>
      </w:pPr>
    </w:p>
    <w:p w14:paraId="37B9819A"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62ADB043"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3C4FD77A"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5E0A34B1"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48944E2E"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7C88196B"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0C440E7E"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29ECAB8D"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777E0767"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38EEE9B0"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4087D4BD"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35F91B4C" w14:textId="77777777" w:rsidR="00510698" w:rsidRPr="003278ED" w:rsidRDefault="00510698" w:rsidP="007D3A2B">
      <w:pPr>
        <w:autoSpaceDE w:val="0"/>
        <w:autoSpaceDN w:val="0"/>
        <w:adjustRightInd w:val="0"/>
        <w:spacing w:after="0" w:line="240" w:lineRule="auto"/>
        <w:ind w:firstLine="567"/>
        <w:rPr>
          <w:rFonts w:ascii="Times New Roman" w:hAnsi="Times New Roman" w:cs="Times New Roman"/>
          <w:sz w:val="24"/>
          <w:szCs w:val="24"/>
        </w:rPr>
      </w:pPr>
    </w:p>
    <w:p w14:paraId="22192FBB" w14:textId="77777777" w:rsidR="002109F0" w:rsidRPr="003278ED" w:rsidRDefault="002109F0" w:rsidP="007D3A2B">
      <w:pPr>
        <w:autoSpaceDE w:val="0"/>
        <w:autoSpaceDN w:val="0"/>
        <w:adjustRightInd w:val="0"/>
        <w:spacing w:after="0" w:line="240" w:lineRule="auto"/>
        <w:ind w:firstLine="567"/>
        <w:rPr>
          <w:rFonts w:ascii="Times New Roman" w:hAnsi="Times New Roman" w:cs="Times New Roman"/>
          <w:b/>
          <w:i/>
          <w:sz w:val="24"/>
          <w:szCs w:val="24"/>
        </w:rPr>
      </w:pPr>
    </w:p>
    <w:p w14:paraId="3B48E85C" w14:textId="77777777" w:rsidR="002109F0" w:rsidRPr="003278ED" w:rsidRDefault="002109F0" w:rsidP="007D3A2B">
      <w:pPr>
        <w:autoSpaceDE w:val="0"/>
        <w:autoSpaceDN w:val="0"/>
        <w:adjustRightInd w:val="0"/>
        <w:spacing w:after="0" w:line="240" w:lineRule="auto"/>
        <w:ind w:firstLine="567"/>
        <w:rPr>
          <w:rFonts w:ascii="Times New Roman" w:hAnsi="Times New Roman" w:cs="Times New Roman"/>
          <w:b/>
          <w:i/>
          <w:sz w:val="24"/>
          <w:szCs w:val="24"/>
        </w:rPr>
      </w:pPr>
    </w:p>
    <w:p w14:paraId="7706D993" w14:textId="77777777" w:rsidR="002109F0" w:rsidRPr="003278ED" w:rsidRDefault="002109F0" w:rsidP="007D3A2B">
      <w:pPr>
        <w:autoSpaceDE w:val="0"/>
        <w:autoSpaceDN w:val="0"/>
        <w:adjustRightInd w:val="0"/>
        <w:spacing w:after="0" w:line="240" w:lineRule="auto"/>
        <w:ind w:firstLine="567"/>
        <w:rPr>
          <w:rFonts w:ascii="Times New Roman" w:hAnsi="Times New Roman" w:cs="Times New Roman"/>
          <w:b/>
          <w:i/>
          <w:sz w:val="24"/>
          <w:szCs w:val="24"/>
        </w:rPr>
      </w:pPr>
    </w:p>
    <w:sectPr w:rsidR="002109F0" w:rsidRPr="003278ED" w:rsidSect="00410A28">
      <w:headerReference w:type="default" r:id="rId14"/>
      <w:footerReference w:type="default" r:id="rId15"/>
      <w:pgSz w:w="11906" w:h="16838"/>
      <w:pgMar w:top="1440" w:right="1133" w:bottom="1440" w:left="144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D7063" w14:textId="77777777" w:rsidR="00B15CC9" w:rsidRDefault="00B15CC9" w:rsidP="00BB4228">
      <w:pPr>
        <w:spacing w:after="0" w:line="240" w:lineRule="auto"/>
      </w:pPr>
      <w:r>
        <w:separator/>
      </w:r>
    </w:p>
  </w:endnote>
  <w:endnote w:type="continuationSeparator" w:id="0">
    <w:p w14:paraId="13E5F63E" w14:textId="77777777" w:rsidR="00B15CC9" w:rsidRDefault="00B15CC9" w:rsidP="00BB4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Times New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3461F" w14:textId="60D2FF11" w:rsidR="00A624A7" w:rsidRPr="000E38AA" w:rsidRDefault="00A624A7" w:rsidP="00410A28">
    <w:pPr>
      <w:tabs>
        <w:tab w:val="center" w:pos="4677"/>
        <w:tab w:val="right" w:pos="9355"/>
      </w:tabs>
      <w:spacing w:after="0" w:line="240" w:lineRule="auto"/>
      <w:jc w:val="both"/>
      <w:rPr>
        <w:rFonts w:ascii="Times New Roman" w:eastAsia="Times New Roman" w:hAnsi="Times New Roman" w:cs="Times New Roman"/>
        <w:sz w:val="16"/>
        <w:szCs w:val="16"/>
        <w:lang w:val="fr-FR"/>
      </w:rPr>
    </w:pPr>
    <w:r w:rsidRPr="00410A28">
      <w:rPr>
        <w:rFonts w:ascii="Times New Roman" w:eastAsia="Times New Roman" w:hAnsi="Times New Roman" w:cs="Times New Roman"/>
        <w:sz w:val="16"/>
        <w:szCs w:val="16"/>
        <w:lang w:val="en-US"/>
      </w:rPr>
      <w:fldChar w:fldCharType="begin"/>
    </w:r>
    <w:r w:rsidRPr="000E38AA">
      <w:rPr>
        <w:rFonts w:ascii="Times New Roman" w:eastAsia="Times New Roman" w:hAnsi="Times New Roman" w:cs="Times New Roman"/>
        <w:sz w:val="16"/>
        <w:szCs w:val="16"/>
        <w:lang w:val="fr-FR"/>
      </w:rPr>
      <w:instrText xml:space="preserve"> FILENAME  \p  \* MERGEFORMAT </w:instrText>
    </w:r>
    <w:r w:rsidRPr="00410A28">
      <w:rPr>
        <w:rFonts w:ascii="Times New Roman" w:eastAsia="Times New Roman" w:hAnsi="Times New Roman" w:cs="Times New Roman"/>
        <w:sz w:val="16"/>
        <w:szCs w:val="16"/>
        <w:lang w:val="en-US"/>
      </w:rPr>
      <w:fldChar w:fldCharType="separate"/>
    </w:r>
    <w:r>
      <w:rPr>
        <w:rFonts w:ascii="Times New Roman" w:eastAsia="Times New Roman" w:hAnsi="Times New Roman" w:cs="Times New Roman"/>
        <w:noProof/>
        <w:sz w:val="16"/>
        <w:szCs w:val="16"/>
        <w:lang w:val="fr-FR"/>
      </w:rPr>
      <w:t>Z:\1.DRAN\008\2024\HOTĂRÂRI\23977\23977_redactat_CBTM.docx</w:t>
    </w:r>
    <w:r w:rsidRPr="00410A28">
      <w:rPr>
        <w:rFonts w:ascii="Times New Roman" w:eastAsia="Times New Roman" w:hAnsi="Times New Roman" w:cs="Times New Roman"/>
        <w:sz w:val="16"/>
        <w:szCs w:val="16"/>
        <w:lang w:val="en-US"/>
      </w:rPr>
      <w:fldChar w:fldCharType="end"/>
    </w:r>
  </w:p>
  <w:p w14:paraId="4E0192BD" w14:textId="77777777" w:rsidR="00A624A7" w:rsidRPr="000E38AA" w:rsidRDefault="00A624A7">
    <w:pPr>
      <w:pStyle w:val="Subsol"/>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FFC0A" w14:textId="77777777" w:rsidR="00B15CC9" w:rsidRDefault="00B15CC9" w:rsidP="00BB4228">
      <w:pPr>
        <w:spacing w:after="0" w:line="240" w:lineRule="auto"/>
      </w:pPr>
      <w:r>
        <w:separator/>
      </w:r>
    </w:p>
  </w:footnote>
  <w:footnote w:type="continuationSeparator" w:id="0">
    <w:p w14:paraId="396843B9" w14:textId="77777777" w:rsidR="00B15CC9" w:rsidRDefault="00B15CC9" w:rsidP="00BB4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724188"/>
      <w:docPartObj>
        <w:docPartGallery w:val="Page Numbers (Top of Page)"/>
        <w:docPartUnique/>
      </w:docPartObj>
    </w:sdtPr>
    <w:sdtEndPr>
      <w:rPr>
        <w:rFonts w:ascii="Times New Roman" w:hAnsi="Times New Roman" w:cs="Times New Roman"/>
      </w:rPr>
    </w:sdtEndPr>
    <w:sdtContent>
      <w:p w14:paraId="764C006C" w14:textId="3A0D97D1" w:rsidR="00A624A7" w:rsidRDefault="00A624A7">
        <w:pPr>
          <w:pStyle w:val="Antet"/>
          <w:jc w:val="center"/>
        </w:pPr>
        <w:r>
          <w:fldChar w:fldCharType="begin"/>
        </w:r>
        <w:r>
          <w:instrText>PAGE   \* MERGEFORMAT</w:instrText>
        </w:r>
        <w:r>
          <w:fldChar w:fldCharType="separate"/>
        </w:r>
        <w:r w:rsidR="007B1324">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961C95"/>
    <w:multiLevelType w:val="hybridMultilevel"/>
    <w:tmpl w:val="3FBED900"/>
    <w:lvl w:ilvl="0" w:tplc="A2A62F5C">
      <w:numFmt w:val="bullet"/>
      <w:lvlText w:val="-"/>
      <w:lvlJc w:val="left"/>
      <w:pPr>
        <w:ind w:left="2007" w:hanging="360"/>
      </w:pPr>
      <w:rPr>
        <w:rFonts w:ascii="Times New Roman" w:eastAsia="Times New Roman" w:hAnsi="Times New Roman" w:cs="Times New Roman"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2" w15:restartNumberingAfterBreak="0">
    <w:nsid w:val="06BF7EBE"/>
    <w:multiLevelType w:val="hybridMultilevel"/>
    <w:tmpl w:val="BF68A2EC"/>
    <w:lvl w:ilvl="0" w:tplc="A2A62F5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542645"/>
    <w:multiLevelType w:val="hybridMultilevel"/>
    <w:tmpl w:val="A7F85976"/>
    <w:lvl w:ilvl="0" w:tplc="A2A62F5C">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A477DFB"/>
    <w:multiLevelType w:val="hybridMultilevel"/>
    <w:tmpl w:val="87A2D03C"/>
    <w:lvl w:ilvl="0" w:tplc="0809000D">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B5E34F1"/>
    <w:multiLevelType w:val="hybridMultilevel"/>
    <w:tmpl w:val="66229F5A"/>
    <w:lvl w:ilvl="0" w:tplc="B5564C4E">
      <w:numFmt w:val="bullet"/>
      <w:lvlText w:val="-"/>
      <w:lvlJc w:val="left"/>
      <w:pPr>
        <w:ind w:left="1080" w:hanging="360"/>
      </w:pPr>
      <w:rPr>
        <w:rFonts w:ascii="Calibri" w:eastAsiaTheme="minorHAnsi" w:hAnsi="Calibri" w:cs="Calibri" w:hint="default"/>
        <w:b/>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0C217D94"/>
    <w:multiLevelType w:val="hybridMultilevel"/>
    <w:tmpl w:val="9BDE1A12"/>
    <w:lvl w:ilvl="0" w:tplc="04090011">
      <w:start w:val="1"/>
      <w:numFmt w:val="decimal"/>
      <w:lvlText w:val="%1)"/>
      <w:lvlJc w:val="left"/>
      <w:pPr>
        <w:ind w:left="107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922CBC"/>
    <w:multiLevelType w:val="hybridMultilevel"/>
    <w:tmpl w:val="B2A0119A"/>
    <w:lvl w:ilvl="0" w:tplc="0419000D">
      <w:start w:val="1"/>
      <w:numFmt w:val="bullet"/>
      <w:lvlText w:val=""/>
      <w:lvlJc w:val="left"/>
      <w:pPr>
        <w:ind w:left="720" w:hanging="360"/>
      </w:pPr>
      <w:rPr>
        <w:rFonts w:ascii="Wingdings" w:hAnsi="Wingdings" w:hint="default"/>
      </w:rPr>
    </w:lvl>
    <w:lvl w:ilvl="1" w:tplc="A2A62F5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E97CF5"/>
    <w:multiLevelType w:val="hybridMultilevel"/>
    <w:tmpl w:val="70A4D3F6"/>
    <w:lvl w:ilvl="0" w:tplc="A2A62F5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E3026F"/>
    <w:multiLevelType w:val="hybridMultilevel"/>
    <w:tmpl w:val="74FE98CC"/>
    <w:lvl w:ilvl="0" w:tplc="A2A62F5C">
      <w:numFmt w:val="bullet"/>
      <w:lvlText w:val="-"/>
      <w:lvlJc w:val="left"/>
      <w:pPr>
        <w:ind w:left="502" w:hanging="360"/>
      </w:pPr>
      <w:rPr>
        <w:rFonts w:ascii="Times New Roman" w:eastAsia="Times New Roman" w:hAnsi="Times New Roman" w:cs="Times New Roman" w:hint="default"/>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11" w15:restartNumberingAfterBreak="0">
    <w:nsid w:val="1BEA274B"/>
    <w:multiLevelType w:val="hybridMultilevel"/>
    <w:tmpl w:val="4CB416F6"/>
    <w:lvl w:ilvl="0" w:tplc="A2A62F5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CAB0E4F"/>
    <w:multiLevelType w:val="hybridMultilevel"/>
    <w:tmpl w:val="DE38A7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F9B3E08"/>
    <w:multiLevelType w:val="hybridMultilevel"/>
    <w:tmpl w:val="E73680D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20767EA0"/>
    <w:multiLevelType w:val="hybridMultilevel"/>
    <w:tmpl w:val="9F3E8CD4"/>
    <w:lvl w:ilvl="0" w:tplc="A2A62F5C">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285A4CEE"/>
    <w:multiLevelType w:val="hybridMultilevel"/>
    <w:tmpl w:val="F4E0F138"/>
    <w:lvl w:ilvl="0" w:tplc="930E1CD0">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28C266A0"/>
    <w:multiLevelType w:val="hybridMultilevel"/>
    <w:tmpl w:val="69382ABE"/>
    <w:lvl w:ilvl="0" w:tplc="A2A62F5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484C5C"/>
    <w:multiLevelType w:val="hybridMultilevel"/>
    <w:tmpl w:val="4864A27A"/>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8" w15:restartNumberingAfterBreak="0">
    <w:nsid w:val="2CBF6581"/>
    <w:multiLevelType w:val="hybridMultilevel"/>
    <w:tmpl w:val="781C5358"/>
    <w:lvl w:ilvl="0" w:tplc="A2A62F5C">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9" w15:restartNumberingAfterBreak="0">
    <w:nsid w:val="334756C5"/>
    <w:multiLevelType w:val="hybridMultilevel"/>
    <w:tmpl w:val="E4BCB52A"/>
    <w:lvl w:ilvl="0" w:tplc="A2A62F5C">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15:restartNumberingAfterBreak="0">
    <w:nsid w:val="38F420B0"/>
    <w:multiLevelType w:val="hybridMultilevel"/>
    <w:tmpl w:val="515A3D5A"/>
    <w:lvl w:ilvl="0" w:tplc="A2A62F5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BC95096"/>
    <w:multiLevelType w:val="hybridMultilevel"/>
    <w:tmpl w:val="008EBFDC"/>
    <w:lvl w:ilvl="0" w:tplc="04190019">
      <w:start w:val="1"/>
      <w:numFmt w:val="lowerLetter"/>
      <w:lvlText w:val="%1."/>
      <w:lvlJc w:val="left"/>
      <w:pPr>
        <w:ind w:left="1931" w:hanging="360"/>
      </w:pPr>
      <w:rPr>
        <w:rFonts w:hint="default"/>
      </w:rPr>
    </w:lvl>
    <w:lvl w:ilvl="1" w:tplc="A2A62F5C">
      <w:numFmt w:val="bullet"/>
      <w:lvlText w:val="-"/>
      <w:lvlJc w:val="left"/>
      <w:pPr>
        <w:ind w:left="2651" w:hanging="360"/>
      </w:pPr>
      <w:rPr>
        <w:rFonts w:ascii="Times New Roman" w:eastAsia="Times New Roman" w:hAnsi="Times New Roman" w:cs="Times New Roman" w:hint="default"/>
      </w:r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2" w15:restartNumberingAfterBreak="0">
    <w:nsid w:val="45161353"/>
    <w:multiLevelType w:val="hybridMultilevel"/>
    <w:tmpl w:val="F64E9066"/>
    <w:lvl w:ilvl="0" w:tplc="04090011">
      <w:start w:val="1"/>
      <w:numFmt w:val="decimal"/>
      <w:lvlText w:val="%1)"/>
      <w:lvlJc w:val="left"/>
      <w:pPr>
        <w:ind w:left="692" w:hanging="360"/>
      </w:pPr>
      <w:rPr>
        <w:rFonts w:hint="default"/>
      </w:rPr>
    </w:lvl>
    <w:lvl w:ilvl="1" w:tplc="08090003" w:tentative="1">
      <w:start w:val="1"/>
      <w:numFmt w:val="bullet"/>
      <w:lvlText w:val="o"/>
      <w:lvlJc w:val="left"/>
      <w:pPr>
        <w:ind w:left="1412" w:hanging="360"/>
      </w:pPr>
      <w:rPr>
        <w:rFonts w:ascii="Courier New" w:hAnsi="Courier New" w:cs="Courier New" w:hint="default"/>
      </w:rPr>
    </w:lvl>
    <w:lvl w:ilvl="2" w:tplc="08090005" w:tentative="1">
      <w:start w:val="1"/>
      <w:numFmt w:val="bullet"/>
      <w:lvlText w:val=""/>
      <w:lvlJc w:val="left"/>
      <w:pPr>
        <w:ind w:left="2132" w:hanging="360"/>
      </w:pPr>
      <w:rPr>
        <w:rFonts w:ascii="Wingdings" w:hAnsi="Wingdings" w:hint="default"/>
      </w:rPr>
    </w:lvl>
    <w:lvl w:ilvl="3" w:tplc="08090001" w:tentative="1">
      <w:start w:val="1"/>
      <w:numFmt w:val="bullet"/>
      <w:lvlText w:val=""/>
      <w:lvlJc w:val="left"/>
      <w:pPr>
        <w:ind w:left="2852" w:hanging="360"/>
      </w:pPr>
      <w:rPr>
        <w:rFonts w:ascii="Symbol" w:hAnsi="Symbol" w:hint="default"/>
      </w:rPr>
    </w:lvl>
    <w:lvl w:ilvl="4" w:tplc="08090003" w:tentative="1">
      <w:start w:val="1"/>
      <w:numFmt w:val="bullet"/>
      <w:lvlText w:val="o"/>
      <w:lvlJc w:val="left"/>
      <w:pPr>
        <w:ind w:left="3572" w:hanging="360"/>
      </w:pPr>
      <w:rPr>
        <w:rFonts w:ascii="Courier New" w:hAnsi="Courier New" w:cs="Courier New" w:hint="default"/>
      </w:rPr>
    </w:lvl>
    <w:lvl w:ilvl="5" w:tplc="08090005" w:tentative="1">
      <w:start w:val="1"/>
      <w:numFmt w:val="bullet"/>
      <w:lvlText w:val=""/>
      <w:lvlJc w:val="left"/>
      <w:pPr>
        <w:ind w:left="4292" w:hanging="360"/>
      </w:pPr>
      <w:rPr>
        <w:rFonts w:ascii="Wingdings" w:hAnsi="Wingdings" w:hint="default"/>
      </w:rPr>
    </w:lvl>
    <w:lvl w:ilvl="6" w:tplc="08090001" w:tentative="1">
      <w:start w:val="1"/>
      <w:numFmt w:val="bullet"/>
      <w:lvlText w:val=""/>
      <w:lvlJc w:val="left"/>
      <w:pPr>
        <w:ind w:left="5012" w:hanging="360"/>
      </w:pPr>
      <w:rPr>
        <w:rFonts w:ascii="Symbol" w:hAnsi="Symbol" w:hint="default"/>
      </w:rPr>
    </w:lvl>
    <w:lvl w:ilvl="7" w:tplc="08090003" w:tentative="1">
      <w:start w:val="1"/>
      <w:numFmt w:val="bullet"/>
      <w:lvlText w:val="o"/>
      <w:lvlJc w:val="left"/>
      <w:pPr>
        <w:ind w:left="5732" w:hanging="360"/>
      </w:pPr>
      <w:rPr>
        <w:rFonts w:ascii="Courier New" w:hAnsi="Courier New" w:cs="Courier New" w:hint="default"/>
      </w:rPr>
    </w:lvl>
    <w:lvl w:ilvl="8" w:tplc="08090005" w:tentative="1">
      <w:start w:val="1"/>
      <w:numFmt w:val="bullet"/>
      <w:lvlText w:val=""/>
      <w:lvlJc w:val="left"/>
      <w:pPr>
        <w:ind w:left="6452" w:hanging="360"/>
      </w:pPr>
      <w:rPr>
        <w:rFonts w:ascii="Wingdings" w:hAnsi="Wingdings" w:hint="default"/>
      </w:rPr>
    </w:lvl>
  </w:abstractNum>
  <w:abstractNum w:abstractNumId="23" w15:restartNumberingAfterBreak="0">
    <w:nsid w:val="49865515"/>
    <w:multiLevelType w:val="hybridMultilevel"/>
    <w:tmpl w:val="0FBAB192"/>
    <w:lvl w:ilvl="0" w:tplc="04190019">
      <w:start w:val="1"/>
      <w:numFmt w:val="lowerLetter"/>
      <w:lvlText w:val="%1."/>
      <w:lvlJc w:val="left"/>
      <w:pPr>
        <w:ind w:left="1855" w:hanging="360"/>
      </w:pPr>
      <w:rPr>
        <w:rFonts w:hint="default"/>
      </w:rPr>
    </w:lvl>
    <w:lvl w:ilvl="1" w:tplc="04090001">
      <w:start w:val="1"/>
      <w:numFmt w:val="bullet"/>
      <w:lvlText w:val=""/>
      <w:lvlJc w:val="left"/>
      <w:pPr>
        <w:ind w:left="2575" w:hanging="360"/>
      </w:pPr>
      <w:rPr>
        <w:rFonts w:ascii="Symbol" w:hAnsi="Symbol" w:hint="default"/>
      </w:r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4" w15:restartNumberingAfterBreak="0">
    <w:nsid w:val="4BD3208D"/>
    <w:multiLevelType w:val="hybridMultilevel"/>
    <w:tmpl w:val="C34A6256"/>
    <w:lvl w:ilvl="0" w:tplc="0409000D">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5" w15:restartNumberingAfterBreak="0">
    <w:nsid w:val="530117CF"/>
    <w:multiLevelType w:val="hybridMultilevel"/>
    <w:tmpl w:val="5DD88BC0"/>
    <w:lvl w:ilvl="0" w:tplc="A2A62F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D0718E"/>
    <w:multiLevelType w:val="hybridMultilevel"/>
    <w:tmpl w:val="1A1AB862"/>
    <w:lvl w:ilvl="0" w:tplc="04190019">
      <w:start w:val="1"/>
      <w:numFmt w:val="lowerLetter"/>
      <w:lvlText w:val="%1."/>
      <w:lvlJc w:val="left"/>
      <w:pPr>
        <w:ind w:left="1855" w:hanging="360"/>
      </w:pPr>
      <w:rPr>
        <w:rFonts w:hint="default"/>
      </w:rPr>
    </w:lvl>
    <w:lvl w:ilvl="1" w:tplc="A2A62F5C">
      <w:numFmt w:val="bullet"/>
      <w:lvlText w:val="-"/>
      <w:lvlJc w:val="left"/>
      <w:pPr>
        <w:ind w:left="644" w:hanging="360"/>
      </w:pPr>
      <w:rPr>
        <w:rFonts w:ascii="Times New Roman" w:eastAsia="Times New Roman" w:hAnsi="Times New Roman" w:cs="Times New Roman" w:hint="default"/>
      </w:rPr>
    </w:lvl>
    <w:lvl w:ilvl="2" w:tplc="490E238C">
      <w:start w:val="1"/>
      <w:numFmt w:val="upperLetter"/>
      <w:lvlText w:val="%3."/>
      <w:lvlJc w:val="left"/>
      <w:pPr>
        <w:ind w:left="3475" w:hanging="360"/>
      </w:pPr>
      <w:rPr>
        <w:rFonts w:hint="default"/>
      </w:rPr>
    </w:lvl>
    <w:lvl w:ilvl="3" w:tplc="A2A62F5C">
      <w:numFmt w:val="bullet"/>
      <w:lvlText w:val="-"/>
      <w:lvlJc w:val="left"/>
      <w:pPr>
        <w:ind w:left="4015" w:hanging="360"/>
      </w:pPr>
      <w:rPr>
        <w:rFonts w:ascii="Times New Roman" w:eastAsia="Times New Roman" w:hAnsi="Times New Roman" w:cs="Times New Roman" w:hint="default"/>
      </w:r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27" w15:restartNumberingAfterBreak="0">
    <w:nsid w:val="5E4C586A"/>
    <w:multiLevelType w:val="hybridMultilevel"/>
    <w:tmpl w:val="3A1CA08C"/>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60F44967"/>
    <w:multiLevelType w:val="hybridMultilevel"/>
    <w:tmpl w:val="3EFA825C"/>
    <w:lvl w:ilvl="0" w:tplc="08090011">
      <w:start w:val="1"/>
      <w:numFmt w:val="decimal"/>
      <w:lvlText w:val="%1)"/>
      <w:lvlJc w:val="left"/>
      <w:pPr>
        <w:ind w:left="1070"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29" w15:restartNumberingAfterBreak="0">
    <w:nsid w:val="61D577EE"/>
    <w:multiLevelType w:val="hybridMultilevel"/>
    <w:tmpl w:val="3DD2F25A"/>
    <w:lvl w:ilvl="0" w:tplc="BEEE536E">
      <w:start w:val="1"/>
      <w:numFmt w:val="decimal"/>
      <w:lvlText w:val="%1)"/>
      <w:lvlJc w:val="left"/>
      <w:pPr>
        <w:ind w:left="2053" w:hanging="360"/>
      </w:pPr>
      <w:rPr>
        <w:rFonts w:hint="default"/>
      </w:rPr>
    </w:lvl>
    <w:lvl w:ilvl="1" w:tplc="04090019" w:tentative="1">
      <w:start w:val="1"/>
      <w:numFmt w:val="lowerLetter"/>
      <w:lvlText w:val="%2."/>
      <w:lvlJc w:val="left"/>
      <w:pPr>
        <w:ind w:left="2773" w:hanging="360"/>
      </w:pPr>
    </w:lvl>
    <w:lvl w:ilvl="2" w:tplc="0409001B" w:tentative="1">
      <w:start w:val="1"/>
      <w:numFmt w:val="lowerRoman"/>
      <w:lvlText w:val="%3."/>
      <w:lvlJc w:val="right"/>
      <w:pPr>
        <w:ind w:left="3493" w:hanging="180"/>
      </w:pPr>
    </w:lvl>
    <w:lvl w:ilvl="3" w:tplc="0409000F" w:tentative="1">
      <w:start w:val="1"/>
      <w:numFmt w:val="decimal"/>
      <w:lvlText w:val="%4."/>
      <w:lvlJc w:val="left"/>
      <w:pPr>
        <w:ind w:left="4213" w:hanging="360"/>
      </w:pPr>
    </w:lvl>
    <w:lvl w:ilvl="4" w:tplc="04090019" w:tentative="1">
      <w:start w:val="1"/>
      <w:numFmt w:val="lowerLetter"/>
      <w:lvlText w:val="%5."/>
      <w:lvlJc w:val="left"/>
      <w:pPr>
        <w:ind w:left="4933" w:hanging="360"/>
      </w:pPr>
    </w:lvl>
    <w:lvl w:ilvl="5" w:tplc="0409001B" w:tentative="1">
      <w:start w:val="1"/>
      <w:numFmt w:val="lowerRoman"/>
      <w:lvlText w:val="%6."/>
      <w:lvlJc w:val="right"/>
      <w:pPr>
        <w:ind w:left="5653" w:hanging="180"/>
      </w:pPr>
    </w:lvl>
    <w:lvl w:ilvl="6" w:tplc="0409000F" w:tentative="1">
      <w:start w:val="1"/>
      <w:numFmt w:val="decimal"/>
      <w:lvlText w:val="%7."/>
      <w:lvlJc w:val="left"/>
      <w:pPr>
        <w:ind w:left="6373" w:hanging="360"/>
      </w:pPr>
    </w:lvl>
    <w:lvl w:ilvl="7" w:tplc="04090019" w:tentative="1">
      <w:start w:val="1"/>
      <w:numFmt w:val="lowerLetter"/>
      <w:lvlText w:val="%8."/>
      <w:lvlJc w:val="left"/>
      <w:pPr>
        <w:ind w:left="7093" w:hanging="360"/>
      </w:pPr>
    </w:lvl>
    <w:lvl w:ilvl="8" w:tplc="0409001B" w:tentative="1">
      <w:start w:val="1"/>
      <w:numFmt w:val="lowerRoman"/>
      <w:lvlText w:val="%9."/>
      <w:lvlJc w:val="right"/>
      <w:pPr>
        <w:ind w:left="7813" w:hanging="180"/>
      </w:pPr>
    </w:lvl>
  </w:abstractNum>
  <w:abstractNum w:abstractNumId="30" w15:restartNumberingAfterBreak="0">
    <w:nsid w:val="685D03A1"/>
    <w:multiLevelType w:val="hybridMultilevel"/>
    <w:tmpl w:val="7AE28DCE"/>
    <w:lvl w:ilvl="0" w:tplc="A2A62F5C">
      <w:numFmt w:val="bullet"/>
      <w:lvlText w:val="-"/>
      <w:lvlJc w:val="left"/>
      <w:pPr>
        <w:ind w:left="1070" w:hanging="360"/>
      </w:pPr>
      <w:rPr>
        <w:rFonts w:ascii="Times New Roman" w:eastAsia="Times New Roman" w:hAnsi="Times New Roman" w:cs="Times New Roman"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31" w15:restartNumberingAfterBreak="0">
    <w:nsid w:val="715520AA"/>
    <w:multiLevelType w:val="hybridMultilevel"/>
    <w:tmpl w:val="2774FE5A"/>
    <w:lvl w:ilvl="0" w:tplc="A2A62F5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E631BF"/>
    <w:multiLevelType w:val="hybridMultilevel"/>
    <w:tmpl w:val="73C01064"/>
    <w:lvl w:ilvl="0" w:tplc="A2A62F5C">
      <w:numFmt w:val="bullet"/>
      <w:lvlText w:val="-"/>
      <w:lvlJc w:val="left"/>
      <w:pPr>
        <w:ind w:left="786" w:hanging="360"/>
      </w:pPr>
      <w:rPr>
        <w:rFonts w:ascii="Times New Roman" w:eastAsia="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34" w15:restartNumberingAfterBreak="0">
    <w:nsid w:val="79EC2F8A"/>
    <w:multiLevelType w:val="hybridMultilevel"/>
    <w:tmpl w:val="DACEA5CC"/>
    <w:lvl w:ilvl="0" w:tplc="A2A62F5C">
      <w:numFmt w:val="bullet"/>
      <w:lvlText w:val="-"/>
      <w:lvlJc w:val="left"/>
      <w:pPr>
        <w:ind w:left="2053" w:hanging="360"/>
      </w:pPr>
      <w:rPr>
        <w:rFonts w:ascii="Times New Roman" w:eastAsia="Times New Roman" w:hAnsi="Times New Roman" w:cs="Times New Roman" w:hint="default"/>
      </w:rPr>
    </w:lvl>
    <w:lvl w:ilvl="1" w:tplc="04180003" w:tentative="1">
      <w:start w:val="1"/>
      <w:numFmt w:val="bullet"/>
      <w:lvlText w:val="o"/>
      <w:lvlJc w:val="left"/>
      <w:pPr>
        <w:ind w:left="2773" w:hanging="360"/>
      </w:pPr>
      <w:rPr>
        <w:rFonts w:ascii="Courier New" w:hAnsi="Courier New" w:cs="Courier New" w:hint="default"/>
      </w:rPr>
    </w:lvl>
    <w:lvl w:ilvl="2" w:tplc="04180005" w:tentative="1">
      <w:start w:val="1"/>
      <w:numFmt w:val="bullet"/>
      <w:lvlText w:val=""/>
      <w:lvlJc w:val="left"/>
      <w:pPr>
        <w:ind w:left="3493" w:hanging="360"/>
      </w:pPr>
      <w:rPr>
        <w:rFonts w:ascii="Wingdings" w:hAnsi="Wingdings" w:hint="default"/>
      </w:rPr>
    </w:lvl>
    <w:lvl w:ilvl="3" w:tplc="04180001" w:tentative="1">
      <w:start w:val="1"/>
      <w:numFmt w:val="bullet"/>
      <w:lvlText w:val=""/>
      <w:lvlJc w:val="left"/>
      <w:pPr>
        <w:ind w:left="4213" w:hanging="360"/>
      </w:pPr>
      <w:rPr>
        <w:rFonts w:ascii="Symbol" w:hAnsi="Symbol" w:hint="default"/>
      </w:rPr>
    </w:lvl>
    <w:lvl w:ilvl="4" w:tplc="04180003" w:tentative="1">
      <w:start w:val="1"/>
      <w:numFmt w:val="bullet"/>
      <w:lvlText w:val="o"/>
      <w:lvlJc w:val="left"/>
      <w:pPr>
        <w:ind w:left="4933" w:hanging="360"/>
      </w:pPr>
      <w:rPr>
        <w:rFonts w:ascii="Courier New" w:hAnsi="Courier New" w:cs="Courier New" w:hint="default"/>
      </w:rPr>
    </w:lvl>
    <w:lvl w:ilvl="5" w:tplc="04180005" w:tentative="1">
      <w:start w:val="1"/>
      <w:numFmt w:val="bullet"/>
      <w:lvlText w:val=""/>
      <w:lvlJc w:val="left"/>
      <w:pPr>
        <w:ind w:left="5653" w:hanging="360"/>
      </w:pPr>
      <w:rPr>
        <w:rFonts w:ascii="Wingdings" w:hAnsi="Wingdings" w:hint="default"/>
      </w:rPr>
    </w:lvl>
    <w:lvl w:ilvl="6" w:tplc="04180001" w:tentative="1">
      <w:start w:val="1"/>
      <w:numFmt w:val="bullet"/>
      <w:lvlText w:val=""/>
      <w:lvlJc w:val="left"/>
      <w:pPr>
        <w:ind w:left="6373" w:hanging="360"/>
      </w:pPr>
      <w:rPr>
        <w:rFonts w:ascii="Symbol" w:hAnsi="Symbol" w:hint="default"/>
      </w:rPr>
    </w:lvl>
    <w:lvl w:ilvl="7" w:tplc="04180003" w:tentative="1">
      <w:start w:val="1"/>
      <w:numFmt w:val="bullet"/>
      <w:lvlText w:val="o"/>
      <w:lvlJc w:val="left"/>
      <w:pPr>
        <w:ind w:left="7093" w:hanging="360"/>
      </w:pPr>
      <w:rPr>
        <w:rFonts w:ascii="Courier New" w:hAnsi="Courier New" w:cs="Courier New" w:hint="default"/>
      </w:rPr>
    </w:lvl>
    <w:lvl w:ilvl="8" w:tplc="04180005" w:tentative="1">
      <w:start w:val="1"/>
      <w:numFmt w:val="bullet"/>
      <w:lvlText w:val=""/>
      <w:lvlJc w:val="left"/>
      <w:pPr>
        <w:ind w:left="7813" w:hanging="360"/>
      </w:pPr>
      <w:rPr>
        <w:rFonts w:ascii="Wingdings" w:hAnsi="Wingdings" w:hint="default"/>
      </w:rPr>
    </w:lvl>
  </w:abstractNum>
  <w:abstractNum w:abstractNumId="35" w15:restartNumberingAfterBreak="0">
    <w:nsid w:val="7A96254C"/>
    <w:multiLevelType w:val="hybridMultilevel"/>
    <w:tmpl w:val="E714AD70"/>
    <w:lvl w:ilvl="0" w:tplc="4B043C74">
      <w:start w:val="1"/>
      <w:numFmt w:val="bullet"/>
      <w:lvlText w:val=""/>
      <w:lvlJc w:val="left"/>
      <w:pPr>
        <w:ind w:left="1287" w:hanging="360"/>
      </w:pPr>
      <w:rPr>
        <w:rFonts w:ascii="Wingdings" w:hAnsi="Wingdings" w:hint="default"/>
        <w:lang w:val="en-GB"/>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6" w15:restartNumberingAfterBreak="0">
    <w:nsid w:val="7CE81E6B"/>
    <w:multiLevelType w:val="hybridMultilevel"/>
    <w:tmpl w:val="30186A2C"/>
    <w:lvl w:ilvl="0" w:tplc="A2A62F5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F110540"/>
    <w:multiLevelType w:val="hybridMultilevel"/>
    <w:tmpl w:val="CE7CF640"/>
    <w:lvl w:ilvl="0" w:tplc="BA421F9E">
      <w:numFmt w:val="bullet"/>
      <w:lvlText w:val="-"/>
      <w:lvlJc w:val="left"/>
      <w:pPr>
        <w:ind w:left="1211" w:hanging="360"/>
      </w:pPr>
      <w:rPr>
        <w:rFonts w:ascii="Times New Roman" w:eastAsia="Times New Roman" w:hAnsi="Times New Roman" w:cs="Times New Roman" w:hint="default"/>
        <w:color w:val="auto"/>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38" w15:restartNumberingAfterBreak="0">
    <w:nsid w:val="7F5662A3"/>
    <w:multiLevelType w:val="hybridMultilevel"/>
    <w:tmpl w:val="ADBC954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2"/>
  </w:num>
  <w:num w:numId="2">
    <w:abstractNumId w:val="38"/>
  </w:num>
  <w:num w:numId="3">
    <w:abstractNumId w:val="17"/>
  </w:num>
  <w:num w:numId="4">
    <w:abstractNumId w:val="24"/>
  </w:num>
  <w:num w:numId="5">
    <w:abstractNumId w:val="4"/>
  </w:num>
  <w:num w:numId="6">
    <w:abstractNumId w:val="5"/>
  </w:num>
  <w:num w:numId="7">
    <w:abstractNumId w:val="15"/>
  </w:num>
  <w:num w:numId="8">
    <w:abstractNumId w:val="28"/>
  </w:num>
  <w:num w:numId="9">
    <w:abstractNumId w:val="20"/>
  </w:num>
  <w:num w:numId="10">
    <w:abstractNumId w:val="12"/>
  </w:num>
  <w:num w:numId="11">
    <w:abstractNumId w:val="31"/>
  </w:num>
  <w:num w:numId="12">
    <w:abstractNumId w:val="7"/>
  </w:num>
  <w:num w:numId="13">
    <w:abstractNumId w:val="26"/>
  </w:num>
  <w:num w:numId="14">
    <w:abstractNumId w:val="21"/>
  </w:num>
  <w:num w:numId="15">
    <w:abstractNumId w:val="23"/>
  </w:num>
  <w:num w:numId="16">
    <w:abstractNumId w:val="2"/>
  </w:num>
  <w:num w:numId="17">
    <w:abstractNumId w:val="34"/>
  </w:num>
  <w:num w:numId="18">
    <w:abstractNumId w:val="36"/>
  </w:num>
  <w:num w:numId="19">
    <w:abstractNumId w:val="16"/>
  </w:num>
  <w:num w:numId="20">
    <w:abstractNumId w:val="35"/>
  </w:num>
  <w:num w:numId="21">
    <w:abstractNumId w:val="27"/>
  </w:num>
  <w:num w:numId="22">
    <w:abstractNumId w:val="11"/>
  </w:num>
  <w:num w:numId="23">
    <w:abstractNumId w:val="33"/>
  </w:num>
  <w:num w:numId="24">
    <w:abstractNumId w:val="10"/>
  </w:num>
  <w:num w:numId="25">
    <w:abstractNumId w:val="14"/>
  </w:num>
  <w:num w:numId="26">
    <w:abstractNumId w:val="1"/>
  </w:num>
  <w:num w:numId="27">
    <w:abstractNumId w:val="3"/>
  </w:num>
  <w:num w:numId="28">
    <w:abstractNumId w:val="25"/>
  </w:num>
  <w:num w:numId="29">
    <w:abstractNumId w:val="8"/>
  </w:num>
  <w:num w:numId="30">
    <w:abstractNumId w:val="19"/>
  </w:num>
  <w:num w:numId="31">
    <w:abstractNumId w:val="13"/>
  </w:num>
  <w:num w:numId="32">
    <w:abstractNumId w:val="37"/>
  </w:num>
  <w:num w:numId="33">
    <w:abstractNumId w:val="30"/>
  </w:num>
  <w:num w:numId="34">
    <w:abstractNumId w:val="6"/>
  </w:num>
  <w:num w:numId="35">
    <w:abstractNumId w:val="18"/>
  </w:num>
  <w:num w:numId="36">
    <w:abstractNumId w:val="22"/>
  </w:num>
  <w:num w:numId="37">
    <w:abstractNumId w:val="0"/>
  </w:num>
  <w:num w:numId="38">
    <w:abstractNumId w:val="9"/>
  </w:num>
  <w:num w:numId="39">
    <w:abstractNumId w:val="32"/>
  </w:num>
  <w:num w:numId="40">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05D"/>
    <w:rsid w:val="00000385"/>
    <w:rsid w:val="000079DF"/>
    <w:rsid w:val="00013A46"/>
    <w:rsid w:val="00015BA4"/>
    <w:rsid w:val="00026216"/>
    <w:rsid w:val="000310BA"/>
    <w:rsid w:val="000314CD"/>
    <w:rsid w:val="000319CC"/>
    <w:rsid w:val="00033F21"/>
    <w:rsid w:val="000353EC"/>
    <w:rsid w:val="0003780D"/>
    <w:rsid w:val="00040B3A"/>
    <w:rsid w:val="000440F8"/>
    <w:rsid w:val="000511D1"/>
    <w:rsid w:val="000516A6"/>
    <w:rsid w:val="00051E0A"/>
    <w:rsid w:val="0005582F"/>
    <w:rsid w:val="000558D2"/>
    <w:rsid w:val="000602FC"/>
    <w:rsid w:val="00060D77"/>
    <w:rsid w:val="000651AF"/>
    <w:rsid w:val="00065DC2"/>
    <w:rsid w:val="00066204"/>
    <w:rsid w:val="000721DE"/>
    <w:rsid w:val="00072588"/>
    <w:rsid w:val="0007345F"/>
    <w:rsid w:val="00075A90"/>
    <w:rsid w:val="00075FF7"/>
    <w:rsid w:val="0008320E"/>
    <w:rsid w:val="000835B8"/>
    <w:rsid w:val="00087133"/>
    <w:rsid w:val="00090B0C"/>
    <w:rsid w:val="00092F65"/>
    <w:rsid w:val="000938C9"/>
    <w:rsid w:val="00094032"/>
    <w:rsid w:val="00094F77"/>
    <w:rsid w:val="00095677"/>
    <w:rsid w:val="0009612E"/>
    <w:rsid w:val="000A176E"/>
    <w:rsid w:val="000A1997"/>
    <w:rsid w:val="000A48FE"/>
    <w:rsid w:val="000A549A"/>
    <w:rsid w:val="000A699A"/>
    <w:rsid w:val="000B2214"/>
    <w:rsid w:val="000B70E2"/>
    <w:rsid w:val="000B7E23"/>
    <w:rsid w:val="000C34F4"/>
    <w:rsid w:val="000C45D2"/>
    <w:rsid w:val="000D114A"/>
    <w:rsid w:val="000D3EC9"/>
    <w:rsid w:val="000E1903"/>
    <w:rsid w:val="000E3254"/>
    <w:rsid w:val="000E38AA"/>
    <w:rsid w:val="000E3AAE"/>
    <w:rsid w:val="000E5017"/>
    <w:rsid w:val="000E7AC0"/>
    <w:rsid w:val="000E7C34"/>
    <w:rsid w:val="000F3423"/>
    <w:rsid w:val="000F3AEA"/>
    <w:rsid w:val="000F44F4"/>
    <w:rsid w:val="000F4DCD"/>
    <w:rsid w:val="00100474"/>
    <w:rsid w:val="00100766"/>
    <w:rsid w:val="00101392"/>
    <w:rsid w:val="00103EAE"/>
    <w:rsid w:val="00112727"/>
    <w:rsid w:val="00115D9D"/>
    <w:rsid w:val="00121F5C"/>
    <w:rsid w:val="00122080"/>
    <w:rsid w:val="00123546"/>
    <w:rsid w:val="00125A9D"/>
    <w:rsid w:val="001274A1"/>
    <w:rsid w:val="00131716"/>
    <w:rsid w:val="00134B34"/>
    <w:rsid w:val="00134DA7"/>
    <w:rsid w:val="0013534C"/>
    <w:rsid w:val="001364B6"/>
    <w:rsid w:val="00143A58"/>
    <w:rsid w:val="00143AAE"/>
    <w:rsid w:val="0014641A"/>
    <w:rsid w:val="00152825"/>
    <w:rsid w:val="001534CB"/>
    <w:rsid w:val="00153F22"/>
    <w:rsid w:val="00161B43"/>
    <w:rsid w:val="00162CB2"/>
    <w:rsid w:val="0016425C"/>
    <w:rsid w:val="00164CF7"/>
    <w:rsid w:val="00173872"/>
    <w:rsid w:val="001746E4"/>
    <w:rsid w:val="00175FEB"/>
    <w:rsid w:val="00177B7F"/>
    <w:rsid w:val="00180BEE"/>
    <w:rsid w:val="0019105C"/>
    <w:rsid w:val="00193DCF"/>
    <w:rsid w:val="00193EAD"/>
    <w:rsid w:val="00197B22"/>
    <w:rsid w:val="001A12C2"/>
    <w:rsid w:val="001A2AF9"/>
    <w:rsid w:val="001A5796"/>
    <w:rsid w:val="001B23E9"/>
    <w:rsid w:val="001B5445"/>
    <w:rsid w:val="001B6A7A"/>
    <w:rsid w:val="001B73BC"/>
    <w:rsid w:val="001C04FD"/>
    <w:rsid w:val="001C28CF"/>
    <w:rsid w:val="001C354F"/>
    <w:rsid w:val="001C39F7"/>
    <w:rsid w:val="001D2414"/>
    <w:rsid w:val="001D5B49"/>
    <w:rsid w:val="001E1938"/>
    <w:rsid w:val="001F07C8"/>
    <w:rsid w:val="001F17B3"/>
    <w:rsid w:val="001F2718"/>
    <w:rsid w:val="001F3B67"/>
    <w:rsid w:val="00204A4A"/>
    <w:rsid w:val="0020727D"/>
    <w:rsid w:val="00207D72"/>
    <w:rsid w:val="002109F0"/>
    <w:rsid w:val="002112B6"/>
    <w:rsid w:val="0021266E"/>
    <w:rsid w:val="002127AD"/>
    <w:rsid w:val="00215504"/>
    <w:rsid w:val="002167BA"/>
    <w:rsid w:val="00216FAD"/>
    <w:rsid w:val="0022407B"/>
    <w:rsid w:val="002243F8"/>
    <w:rsid w:val="00225813"/>
    <w:rsid w:val="00225BE8"/>
    <w:rsid w:val="00226FE5"/>
    <w:rsid w:val="002300E4"/>
    <w:rsid w:val="00230B64"/>
    <w:rsid w:val="00230DDB"/>
    <w:rsid w:val="00232F70"/>
    <w:rsid w:val="00233D1D"/>
    <w:rsid w:val="00237466"/>
    <w:rsid w:val="0024167D"/>
    <w:rsid w:val="00242461"/>
    <w:rsid w:val="002429AF"/>
    <w:rsid w:val="00245AC2"/>
    <w:rsid w:val="00251FCF"/>
    <w:rsid w:val="002557AE"/>
    <w:rsid w:val="00255EBA"/>
    <w:rsid w:val="0025769D"/>
    <w:rsid w:val="00257ACD"/>
    <w:rsid w:val="0026022C"/>
    <w:rsid w:val="00262742"/>
    <w:rsid w:val="00271D81"/>
    <w:rsid w:val="00272D10"/>
    <w:rsid w:val="002731D5"/>
    <w:rsid w:val="00274B51"/>
    <w:rsid w:val="00274BFC"/>
    <w:rsid w:val="00280FE4"/>
    <w:rsid w:val="00285E61"/>
    <w:rsid w:val="00285F47"/>
    <w:rsid w:val="00290E92"/>
    <w:rsid w:val="00291F8F"/>
    <w:rsid w:val="002944D8"/>
    <w:rsid w:val="0029779E"/>
    <w:rsid w:val="002B07EB"/>
    <w:rsid w:val="002B1C6A"/>
    <w:rsid w:val="002C07A4"/>
    <w:rsid w:val="002C1920"/>
    <w:rsid w:val="002C1CED"/>
    <w:rsid w:val="002C3C15"/>
    <w:rsid w:val="002C4DDA"/>
    <w:rsid w:val="002C6A69"/>
    <w:rsid w:val="002D0F49"/>
    <w:rsid w:val="002D4DD0"/>
    <w:rsid w:val="002D600E"/>
    <w:rsid w:val="002E105D"/>
    <w:rsid w:val="002E1447"/>
    <w:rsid w:val="002E4B12"/>
    <w:rsid w:val="002E537C"/>
    <w:rsid w:val="002E6CCA"/>
    <w:rsid w:val="002F0380"/>
    <w:rsid w:val="002F4172"/>
    <w:rsid w:val="002F5733"/>
    <w:rsid w:val="002F6780"/>
    <w:rsid w:val="002F7A64"/>
    <w:rsid w:val="00304F10"/>
    <w:rsid w:val="00310FCE"/>
    <w:rsid w:val="003136DF"/>
    <w:rsid w:val="00314C2B"/>
    <w:rsid w:val="00314F6D"/>
    <w:rsid w:val="003234DB"/>
    <w:rsid w:val="003278ED"/>
    <w:rsid w:val="00330B34"/>
    <w:rsid w:val="003322C9"/>
    <w:rsid w:val="0033235B"/>
    <w:rsid w:val="00334471"/>
    <w:rsid w:val="00334C0C"/>
    <w:rsid w:val="00335190"/>
    <w:rsid w:val="00335595"/>
    <w:rsid w:val="00336CEE"/>
    <w:rsid w:val="003404F6"/>
    <w:rsid w:val="0034115D"/>
    <w:rsid w:val="00341829"/>
    <w:rsid w:val="00343948"/>
    <w:rsid w:val="003441EA"/>
    <w:rsid w:val="003445F5"/>
    <w:rsid w:val="00354568"/>
    <w:rsid w:val="00357DC3"/>
    <w:rsid w:val="00360787"/>
    <w:rsid w:val="00361446"/>
    <w:rsid w:val="00366337"/>
    <w:rsid w:val="00367838"/>
    <w:rsid w:val="00372871"/>
    <w:rsid w:val="00376B5A"/>
    <w:rsid w:val="003777DB"/>
    <w:rsid w:val="00381A14"/>
    <w:rsid w:val="00381B69"/>
    <w:rsid w:val="0039067E"/>
    <w:rsid w:val="0039372E"/>
    <w:rsid w:val="00393F2E"/>
    <w:rsid w:val="00394A57"/>
    <w:rsid w:val="00394B82"/>
    <w:rsid w:val="003962BE"/>
    <w:rsid w:val="003A0FB1"/>
    <w:rsid w:val="003A19A9"/>
    <w:rsid w:val="003A2361"/>
    <w:rsid w:val="003A3DAA"/>
    <w:rsid w:val="003A58F7"/>
    <w:rsid w:val="003A76C5"/>
    <w:rsid w:val="003B008C"/>
    <w:rsid w:val="003B2E88"/>
    <w:rsid w:val="003B501D"/>
    <w:rsid w:val="003B735A"/>
    <w:rsid w:val="003C26BD"/>
    <w:rsid w:val="003C57E1"/>
    <w:rsid w:val="003D4D64"/>
    <w:rsid w:val="003D6306"/>
    <w:rsid w:val="003D6BED"/>
    <w:rsid w:val="003D6C0F"/>
    <w:rsid w:val="003E000B"/>
    <w:rsid w:val="003E1D82"/>
    <w:rsid w:val="003E21F3"/>
    <w:rsid w:val="003E313D"/>
    <w:rsid w:val="003E70D2"/>
    <w:rsid w:val="003E7B85"/>
    <w:rsid w:val="003F22CE"/>
    <w:rsid w:val="003F247A"/>
    <w:rsid w:val="003F30E0"/>
    <w:rsid w:val="003F3F48"/>
    <w:rsid w:val="003F403F"/>
    <w:rsid w:val="004027BB"/>
    <w:rsid w:val="00404DEE"/>
    <w:rsid w:val="004069F3"/>
    <w:rsid w:val="00410A28"/>
    <w:rsid w:val="004178D8"/>
    <w:rsid w:val="00433E8F"/>
    <w:rsid w:val="00435918"/>
    <w:rsid w:val="0043641B"/>
    <w:rsid w:val="00436DCC"/>
    <w:rsid w:val="00443EFA"/>
    <w:rsid w:val="00445718"/>
    <w:rsid w:val="00445F65"/>
    <w:rsid w:val="00450B29"/>
    <w:rsid w:val="004520A9"/>
    <w:rsid w:val="004600FE"/>
    <w:rsid w:val="004610E0"/>
    <w:rsid w:val="004660E6"/>
    <w:rsid w:val="0047332D"/>
    <w:rsid w:val="00480463"/>
    <w:rsid w:val="004871C8"/>
    <w:rsid w:val="00490D18"/>
    <w:rsid w:val="00496EAF"/>
    <w:rsid w:val="004A189D"/>
    <w:rsid w:val="004A30CF"/>
    <w:rsid w:val="004A3491"/>
    <w:rsid w:val="004A497D"/>
    <w:rsid w:val="004A4CA4"/>
    <w:rsid w:val="004A7453"/>
    <w:rsid w:val="004B2B41"/>
    <w:rsid w:val="004B4A05"/>
    <w:rsid w:val="004B5CC1"/>
    <w:rsid w:val="004B74CC"/>
    <w:rsid w:val="004C0DA6"/>
    <w:rsid w:val="004C2B11"/>
    <w:rsid w:val="004C3AB8"/>
    <w:rsid w:val="004C5095"/>
    <w:rsid w:val="004C6AE8"/>
    <w:rsid w:val="004C79B4"/>
    <w:rsid w:val="004D0C1E"/>
    <w:rsid w:val="004D3504"/>
    <w:rsid w:val="004D3AA8"/>
    <w:rsid w:val="004D4359"/>
    <w:rsid w:val="004D5CB6"/>
    <w:rsid w:val="004D6680"/>
    <w:rsid w:val="004E0CCD"/>
    <w:rsid w:val="004E1BE1"/>
    <w:rsid w:val="004E1E0F"/>
    <w:rsid w:val="004E3540"/>
    <w:rsid w:val="004E4FAF"/>
    <w:rsid w:val="004F2BA2"/>
    <w:rsid w:val="004F2C9C"/>
    <w:rsid w:val="004F2D2E"/>
    <w:rsid w:val="004F6585"/>
    <w:rsid w:val="0050175F"/>
    <w:rsid w:val="00502573"/>
    <w:rsid w:val="0050499B"/>
    <w:rsid w:val="00507B77"/>
    <w:rsid w:val="00510698"/>
    <w:rsid w:val="00512B6C"/>
    <w:rsid w:val="0051498A"/>
    <w:rsid w:val="00514FAF"/>
    <w:rsid w:val="00517E90"/>
    <w:rsid w:val="00522023"/>
    <w:rsid w:val="00523E39"/>
    <w:rsid w:val="0052703D"/>
    <w:rsid w:val="005273BC"/>
    <w:rsid w:val="00536722"/>
    <w:rsid w:val="00543843"/>
    <w:rsid w:val="00547DD9"/>
    <w:rsid w:val="00550DA8"/>
    <w:rsid w:val="00557E41"/>
    <w:rsid w:val="00565BB9"/>
    <w:rsid w:val="00573778"/>
    <w:rsid w:val="0057504F"/>
    <w:rsid w:val="00575A95"/>
    <w:rsid w:val="005829A8"/>
    <w:rsid w:val="00586EBE"/>
    <w:rsid w:val="005872CF"/>
    <w:rsid w:val="0059271D"/>
    <w:rsid w:val="005A1F0D"/>
    <w:rsid w:val="005A2562"/>
    <w:rsid w:val="005A6806"/>
    <w:rsid w:val="005C2BC5"/>
    <w:rsid w:val="005C4DFE"/>
    <w:rsid w:val="005C4FFE"/>
    <w:rsid w:val="005C70ED"/>
    <w:rsid w:val="005D0FBE"/>
    <w:rsid w:val="005D2160"/>
    <w:rsid w:val="005D644E"/>
    <w:rsid w:val="005E7F9B"/>
    <w:rsid w:val="005F3789"/>
    <w:rsid w:val="005F4E46"/>
    <w:rsid w:val="005F50A4"/>
    <w:rsid w:val="005F733F"/>
    <w:rsid w:val="005F7985"/>
    <w:rsid w:val="00601E70"/>
    <w:rsid w:val="00601EBF"/>
    <w:rsid w:val="00603642"/>
    <w:rsid w:val="006043BD"/>
    <w:rsid w:val="00614945"/>
    <w:rsid w:val="00616D57"/>
    <w:rsid w:val="00620954"/>
    <w:rsid w:val="0062289A"/>
    <w:rsid w:val="00623D96"/>
    <w:rsid w:val="00625629"/>
    <w:rsid w:val="00626E03"/>
    <w:rsid w:val="00627621"/>
    <w:rsid w:val="00636A34"/>
    <w:rsid w:val="00637E6B"/>
    <w:rsid w:val="00640BC0"/>
    <w:rsid w:val="00644B0E"/>
    <w:rsid w:val="006464B3"/>
    <w:rsid w:val="00646533"/>
    <w:rsid w:val="00652672"/>
    <w:rsid w:val="00652C2F"/>
    <w:rsid w:val="00656C02"/>
    <w:rsid w:val="006574C5"/>
    <w:rsid w:val="006668BA"/>
    <w:rsid w:val="0066725E"/>
    <w:rsid w:val="0067028B"/>
    <w:rsid w:val="00676AF6"/>
    <w:rsid w:val="00677076"/>
    <w:rsid w:val="00680B68"/>
    <w:rsid w:val="006826BF"/>
    <w:rsid w:val="00682938"/>
    <w:rsid w:val="00682C9B"/>
    <w:rsid w:val="00684F3E"/>
    <w:rsid w:val="006859E0"/>
    <w:rsid w:val="00686783"/>
    <w:rsid w:val="00693732"/>
    <w:rsid w:val="006944AB"/>
    <w:rsid w:val="00697518"/>
    <w:rsid w:val="006977EE"/>
    <w:rsid w:val="006A5CF6"/>
    <w:rsid w:val="006B6C7F"/>
    <w:rsid w:val="006C2324"/>
    <w:rsid w:val="006C430B"/>
    <w:rsid w:val="006C46A1"/>
    <w:rsid w:val="006C4BC6"/>
    <w:rsid w:val="006C5564"/>
    <w:rsid w:val="006C6A12"/>
    <w:rsid w:val="006C6C64"/>
    <w:rsid w:val="006D45BB"/>
    <w:rsid w:val="006D497B"/>
    <w:rsid w:val="006D5F49"/>
    <w:rsid w:val="006E0E5F"/>
    <w:rsid w:val="006E16EF"/>
    <w:rsid w:val="006E19B2"/>
    <w:rsid w:val="006E2C1B"/>
    <w:rsid w:val="006E3431"/>
    <w:rsid w:val="006E5B36"/>
    <w:rsid w:val="006E6659"/>
    <w:rsid w:val="006E691E"/>
    <w:rsid w:val="006F26E6"/>
    <w:rsid w:val="006F3CB3"/>
    <w:rsid w:val="006F442B"/>
    <w:rsid w:val="006F6900"/>
    <w:rsid w:val="006F6911"/>
    <w:rsid w:val="007028C7"/>
    <w:rsid w:val="0070321E"/>
    <w:rsid w:val="00704158"/>
    <w:rsid w:val="00706CB3"/>
    <w:rsid w:val="00707D02"/>
    <w:rsid w:val="007115D2"/>
    <w:rsid w:val="007124BC"/>
    <w:rsid w:val="00712773"/>
    <w:rsid w:val="00713116"/>
    <w:rsid w:val="00720004"/>
    <w:rsid w:val="00721175"/>
    <w:rsid w:val="00723ABD"/>
    <w:rsid w:val="00724E11"/>
    <w:rsid w:val="007263F6"/>
    <w:rsid w:val="00726579"/>
    <w:rsid w:val="00727764"/>
    <w:rsid w:val="00730A78"/>
    <w:rsid w:val="00730B18"/>
    <w:rsid w:val="00730C80"/>
    <w:rsid w:val="007347AA"/>
    <w:rsid w:val="00740B81"/>
    <w:rsid w:val="00740C78"/>
    <w:rsid w:val="007421D8"/>
    <w:rsid w:val="0074305C"/>
    <w:rsid w:val="007457DF"/>
    <w:rsid w:val="00746466"/>
    <w:rsid w:val="0075120B"/>
    <w:rsid w:val="007537FA"/>
    <w:rsid w:val="00753E8D"/>
    <w:rsid w:val="007547CC"/>
    <w:rsid w:val="00755569"/>
    <w:rsid w:val="00756043"/>
    <w:rsid w:val="00760CA9"/>
    <w:rsid w:val="00767039"/>
    <w:rsid w:val="007705AE"/>
    <w:rsid w:val="00771A80"/>
    <w:rsid w:val="00772321"/>
    <w:rsid w:val="00773EFE"/>
    <w:rsid w:val="007765A8"/>
    <w:rsid w:val="007842E0"/>
    <w:rsid w:val="0078782F"/>
    <w:rsid w:val="00787E69"/>
    <w:rsid w:val="0079022C"/>
    <w:rsid w:val="00790565"/>
    <w:rsid w:val="00793212"/>
    <w:rsid w:val="007A2C55"/>
    <w:rsid w:val="007A3CBC"/>
    <w:rsid w:val="007A417F"/>
    <w:rsid w:val="007A5FBE"/>
    <w:rsid w:val="007A6300"/>
    <w:rsid w:val="007A6B66"/>
    <w:rsid w:val="007B1324"/>
    <w:rsid w:val="007B208A"/>
    <w:rsid w:val="007B3930"/>
    <w:rsid w:val="007B471F"/>
    <w:rsid w:val="007B4EEE"/>
    <w:rsid w:val="007B6BB8"/>
    <w:rsid w:val="007C0863"/>
    <w:rsid w:val="007C1A84"/>
    <w:rsid w:val="007C443A"/>
    <w:rsid w:val="007C4658"/>
    <w:rsid w:val="007C7CD1"/>
    <w:rsid w:val="007D11F5"/>
    <w:rsid w:val="007D1236"/>
    <w:rsid w:val="007D2007"/>
    <w:rsid w:val="007D24FE"/>
    <w:rsid w:val="007D3450"/>
    <w:rsid w:val="007D3A2B"/>
    <w:rsid w:val="007D5DE9"/>
    <w:rsid w:val="007E00F1"/>
    <w:rsid w:val="007E1DA3"/>
    <w:rsid w:val="007E2E71"/>
    <w:rsid w:val="007E461A"/>
    <w:rsid w:val="007F228B"/>
    <w:rsid w:val="007F4A07"/>
    <w:rsid w:val="007F5897"/>
    <w:rsid w:val="007F6636"/>
    <w:rsid w:val="00805FCF"/>
    <w:rsid w:val="00813D27"/>
    <w:rsid w:val="0081715E"/>
    <w:rsid w:val="00817E8C"/>
    <w:rsid w:val="008201A5"/>
    <w:rsid w:val="008211FC"/>
    <w:rsid w:val="00821A82"/>
    <w:rsid w:val="008266FC"/>
    <w:rsid w:val="00827295"/>
    <w:rsid w:val="008345A9"/>
    <w:rsid w:val="00835A70"/>
    <w:rsid w:val="0083707F"/>
    <w:rsid w:val="0083708B"/>
    <w:rsid w:val="008402BE"/>
    <w:rsid w:val="00841689"/>
    <w:rsid w:val="00841C6F"/>
    <w:rsid w:val="00844E07"/>
    <w:rsid w:val="008462DC"/>
    <w:rsid w:val="0085082F"/>
    <w:rsid w:val="00855646"/>
    <w:rsid w:val="008647C4"/>
    <w:rsid w:val="00865DE6"/>
    <w:rsid w:val="00867684"/>
    <w:rsid w:val="00871010"/>
    <w:rsid w:val="008747A5"/>
    <w:rsid w:val="008759AE"/>
    <w:rsid w:val="00883F2A"/>
    <w:rsid w:val="00887274"/>
    <w:rsid w:val="008900AD"/>
    <w:rsid w:val="00890659"/>
    <w:rsid w:val="00897CB8"/>
    <w:rsid w:val="008A2804"/>
    <w:rsid w:val="008A39DE"/>
    <w:rsid w:val="008A4E94"/>
    <w:rsid w:val="008A6012"/>
    <w:rsid w:val="008A653B"/>
    <w:rsid w:val="008A7BCD"/>
    <w:rsid w:val="008B2A62"/>
    <w:rsid w:val="008B4C24"/>
    <w:rsid w:val="008B5150"/>
    <w:rsid w:val="008B5B4B"/>
    <w:rsid w:val="008C42CF"/>
    <w:rsid w:val="008C494D"/>
    <w:rsid w:val="008C7211"/>
    <w:rsid w:val="008C7578"/>
    <w:rsid w:val="008C7C28"/>
    <w:rsid w:val="008D280B"/>
    <w:rsid w:val="008D35D6"/>
    <w:rsid w:val="008D3CA9"/>
    <w:rsid w:val="008D492C"/>
    <w:rsid w:val="008D570C"/>
    <w:rsid w:val="008E3782"/>
    <w:rsid w:val="008E4171"/>
    <w:rsid w:val="008F7127"/>
    <w:rsid w:val="00902A12"/>
    <w:rsid w:val="009043DC"/>
    <w:rsid w:val="00906C1D"/>
    <w:rsid w:val="00911963"/>
    <w:rsid w:val="00911E48"/>
    <w:rsid w:val="00914ECD"/>
    <w:rsid w:val="009171DA"/>
    <w:rsid w:val="00922D94"/>
    <w:rsid w:val="009240E6"/>
    <w:rsid w:val="00927A72"/>
    <w:rsid w:val="00930946"/>
    <w:rsid w:val="00932339"/>
    <w:rsid w:val="009345DF"/>
    <w:rsid w:val="00935AC0"/>
    <w:rsid w:val="0094099C"/>
    <w:rsid w:val="0094149C"/>
    <w:rsid w:val="00943A4C"/>
    <w:rsid w:val="0094714B"/>
    <w:rsid w:val="00950488"/>
    <w:rsid w:val="00952C02"/>
    <w:rsid w:val="00952C7E"/>
    <w:rsid w:val="00955F59"/>
    <w:rsid w:val="009562A5"/>
    <w:rsid w:val="00956CE9"/>
    <w:rsid w:val="00957A93"/>
    <w:rsid w:val="009633EC"/>
    <w:rsid w:val="00963FF6"/>
    <w:rsid w:val="00964A76"/>
    <w:rsid w:val="00965E59"/>
    <w:rsid w:val="0096629C"/>
    <w:rsid w:val="00972AC4"/>
    <w:rsid w:val="00985158"/>
    <w:rsid w:val="00986F70"/>
    <w:rsid w:val="0098731F"/>
    <w:rsid w:val="00990EFA"/>
    <w:rsid w:val="00992B40"/>
    <w:rsid w:val="00992DDE"/>
    <w:rsid w:val="00993CF0"/>
    <w:rsid w:val="00993F66"/>
    <w:rsid w:val="009979FA"/>
    <w:rsid w:val="009A0B7E"/>
    <w:rsid w:val="009A32E4"/>
    <w:rsid w:val="009A4001"/>
    <w:rsid w:val="009A4DBA"/>
    <w:rsid w:val="009A76DB"/>
    <w:rsid w:val="009B034D"/>
    <w:rsid w:val="009B4347"/>
    <w:rsid w:val="009C11A8"/>
    <w:rsid w:val="009C3450"/>
    <w:rsid w:val="009C3F20"/>
    <w:rsid w:val="009C5B95"/>
    <w:rsid w:val="009C7E4B"/>
    <w:rsid w:val="009D2948"/>
    <w:rsid w:val="009D36AF"/>
    <w:rsid w:val="009D42D3"/>
    <w:rsid w:val="009D4332"/>
    <w:rsid w:val="009D7B1B"/>
    <w:rsid w:val="009E0278"/>
    <w:rsid w:val="009E2983"/>
    <w:rsid w:val="009E657B"/>
    <w:rsid w:val="009F1724"/>
    <w:rsid w:val="009F34DF"/>
    <w:rsid w:val="009F3C1D"/>
    <w:rsid w:val="009F3E6D"/>
    <w:rsid w:val="009F4220"/>
    <w:rsid w:val="009F713D"/>
    <w:rsid w:val="00A00B91"/>
    <w:rsid w:val="00A07165"/>
    <w:rsid w:val="00A0789F"/>
    <w:rsid w:val="00A07A21"/>
    <w:rsid w:val="00A07F30"/>
    <w:rsid w:val="00A10EE9"/>
    <w:rsid w:val="00A12285"/>
    <w:rsid w:val="00A15387"/>
    <w:rsid w:val="00A177EE"/>
    <w:rsid w:val="00A2130D"/>
    <w:rsid w:val="00A2161F"/>
    <w:rsid w:val="00A23729"/>
    <w:rsid w:val="00A2637F"/>
    <w:rsid w:val="00A26BA3"/>
    <w:rsid w:val="00A27678"/>
    <w:rsid w:val="00A31218"/>
    <w:rsid w:val="00A315DE"/>
    <w:rsid w:val="00A37A7F"/>
    <w:rsid w:val="00A40B17"/>
    <w:rsid w:val="00A41A1B"/>
    <w:rsid w:val="00A460AF"/>
    <w:rsid w:val="00A47DB5"/>
    <w:rsid w:val="00A54EA0"/>
    <w:rsid w:val="00A55775"/>
    <w:rsid w:val="00A57372"/>
    <w:rsid w:val="00A61D2C"/>
    <w:rsid w:val="00A61E49"/>
    <w:rsid w:val="00A624A7"/>
    <w:rsid w:val="00A62E9C"/>
    <w:rsid w:val="00A70800"/>
    <w:rsid w:val="00A70B51"/>
    <w:rsid w:val="00A76B2F"/>
    <w:rsid w:val="00A81305"/>
    <w:rsid w:val="00A85637"/>
    <w:rsid w:val="00A86F5A"/>
    <w:rsid w:val="00A87369"/>
    <w:rsid w:val="00A9360E"/>
    <w:rsid w:val="00A9435D"/>
    <w:rsid w:val="00A97908"/>
    <w:rsid w:val="00AA08E6"/>
    <w:rsid w:val="00AA0FEA"/>
    <w:rsid w:val="00AA5546"/>
    <w:rsid w:val="00AB06F5"/>
    <w:rsid w:val="00AB0A71"/>
    <w:rsid w:val="00AB3709"/>
    <w:rsid w:val="00AD7E28"/>
    <w:rsid w:val="00AE3B88"/>
    <w:rsid w:val="00AE65BE"/>
    <w:rsid w:val="00AE7614"/>
    <w:rsid w:val="00AF3C28"/>
    <w:rsid w:val="00B00002"/>
    <w:rsid w:val="00B1565A"/>
    <w:rsid w:val="00B15CC9"/>
    <w:rsid w:val="00B174A6"/>
    <w:rsid w:val="00B224A3"/>
    <w:rsid w:val="00B23302"/>
    <w:rsid w:val="00B25A7F"/>
    <w:rsid w:val="00B27887"/>
    <w:rsid w:val="00B27AB4"/>
    <w:rsid w:val="00B36EC6"/>
    <w:rsid w:val="00B37822"/>
    <w:rsid w:val="00B40F82"/>
    <w:rsid w:val="00B426BB"/>
    <w:rsid w:val="00B429E0"/>
    <w:rsid w:val="00B435BE"/>
    <w:rsid w:val="00B435F7"/>
    <w:rsid w:val="00B43A34"/>
    <w:rsid w:val="00B4421C"/>
    <w:rsid w:val="00B47C4F"/>
    <w:rsid w:val="00B553C7"/>
    <w:rsid w:val="00B617A2"/>
    <w:rsid w:val="00B61E5D"/>
    <w:rsid w:val="00B6414F"/>
    <w:rsid w:val="00B710FB"/>
    <w:rsid w:val="00B81132"/>
    <w:rsid w:val="00B81F41"/>
    <w:rsid w:val="00B87384"/>
    <w:rsid w:val="00B92632"/>
    <w:rsid w:val="00B9264D"/>
    <w:rsid w:val="00B933EA"/>
    <w:rsid w:val="00BA1E52"/>
    <w:rsid w:val="00BA2B42"/>
    <w:rsid w:val="00BA5EBD"/>
    <w:rsid w:val="00BB0923"/>
    <w:rsid w:val="00BB4228"/>
    <w:rsid w:val="00BB4277"/>
    <w:rsid w:val="00BB4CE1"/>
    <w:rsid w:val="00BC13E7"/>
    <w:rsid w:val="00BC1871"/>
    <w:rsid w:val="00BC3319"/>
    <w:rsid w:val="00BC4C71"/>
    <w:rsid w:val="00BD4B9F"/>
    <w:rsid w:val="00BD651E"/>
    <w:rsid w:val="00BD6D0C"/>
    <w:rsid w:val="00BD6D9F"/>
    <w:rsid w:val="00BE2E8B"/>
    <w:rsid w:val="00BF1359"/>
    <w:rsid w:val="00BF15B2"/>
    <w:rsid w:val="00BF1EB8"/>
    <w:rsid w:val="00BF336B"/>
    <w:rsid w:val="00BF3797"/>
    <w:rsid w:val="00BF3B68"/>
    <w:rsid w:val="00BF5A96"/>
    <w:rsid w:val="00BF7EF1"/>
    <w:rsid w:val="00C0125C"/>
    <w:rsid w:val="00C0186C"/>
    <w:rsid w:val="00C076A3"/>
    <w:rsid w:val="00C079FD"/>
    <w:rsid w:val="00C102D8"/>
    <w:rsid w:val="00C11744"/>
    <w:rsid w:val="00C11794"/>
    <w:rsid w:val="00C13FD5"/>
    <w:rsid w:val="00C155F8"/>
    <w:rsid w:val="00C16216"/>
    <w:rsid w:val="00C2007C"/>
    <w:rsid w:val="00C20766"/>
    <w:rsid w:val="00C22A76"/>
    <w:rsid w:val="00C30087"/>
    <w:rsid w:val="00C31E22"/>
    <w:rsid w:val="00C42F52"/>
    <w:rsid w:val="00C43676"/>
    <w:rsid w:val="00C44D25"/>
    <w:rsid w:val="00C450D4"/>
    <w:rsid w:val="00C47845"/>
    <w:rsid w:val="00C51A0C"/>
    <w:rsid w:val="00C54A95"/>
    <w:rsid w:val="00C56DA1"/>
    <w:rsid w:val="00C57535"/>
    <w:rsid w:val="00C6580D"/>
    <w:rsid w:val="00C66FE8"/>
    <w:rsid w:val="00C7092C"/>
    <w:rsid w:val="00C717C3"/>
    <w:rsid w:val="00C7244A"/>
    <w:rsid w:val="00C7416E"/>
    <w:rsid w:val="00C818F3"/>
    <w:rsid w:val="00C914D7"/>
    <w:rsid w:val="00C9252F"/>
    <w:rsid w:val="00C95BA8"/>
    <w:rsid w:val="00C971E0"/>
    <w:rsid w:val="00C9781B"/>
    <w:rsid w:val="00CA2508"/>
    <w:rsid w:val="00CA5BC5"/>
    <w:rsid w:val="00CB2999"/>
    <w:rsid w:val="00CB6CB0"/>
    <w:rsid w:val="00CB7A58"/>
    <w:rsid w:val="00CC026E"/>
    <w:rsid w:val="00CC1539"/>
    <w:rsid w:val="00CC1C46"/>
    <w:rsid w:val="00CC3F70"/>
    <w:rsid w:val="00CC4753"/>
    <w:rsid w:val="00CC54E7"/>
    <w:rsid w:val="00CC605B"/>
    <w:rsid w:val="00CD47B3"/>
    <w:rsid w:val="00CD48FE"/>
    <w:rsid w:val="00CD6CB4"/>
    <w:rsid w:val="00CE0F2F"/>
    <w:rsid w:val="00CE11D1"/>
    <w:rsid w:val="00CE3A94"/>
    <w:rsid w:val="00CE58FD"/>
    <w:rsid w:val="00CF1515"/>
    <w:rsid w:val="00CF72DE"/>
    <w:rsid w:val="00D00698"/>
    <w:rsid w:val="00D016C9"/>
    <w:rsid w:val="00D03AD1"/>
    <w:rsid w:val="00D0482A"/>
    <w:rsid w:val="00D05BC3"/>
    <w:rsid w:val="00D078DC"/>
    <w:rsid w:val="00D123BB"/>
    <w:rsid w:val="00D12465"/>
    <w:rsid w:val="00D147D0"/>
    <w:rsid w:val="00D1699C"/>
    <w:rsid w:val="00D206D4"/>
    <w:rsid w:val="00D21159"/>
    <w:rsid w:val="00D22CB5"/>
    <w:rsid w:val="00D2411C"/>
    <w:rsid w:val="00D30865"/>
    <w:rsid w:val="00D33A16"/>
    <w:rsid w:val="00D41830"/>
    <w:rsid w:val="00D423CF"/>
    <w:rsid w:val="00D43458"/>
    <w:rsid w:val="00D44623"/>
    <w:rsid w:val="00D474F9"/>
    <w:rsid w:val="00D54088"/>
    <w:rsid w:val="00D54100"/>
    <w:rsid w:val="00D60210"/>
    <w:rsid w:val="00D614FD"/>
    <w:rsid w:val="00D629A4"/>
    <w:rsid w:val="00D704EF"/>
    <w:rsid w:val="00D7124C"/>
    <w:rsid w:val="00D7591C"/>
    <w:rsid w:val="00D778E6"/>
    <w:rsid w:val="00D82417"/>
    <w:rsid w:val="00D84E28"/>
    <w:rsid w:val="00D86F4F"/>
    <w:rsid w:val="00D87D33"/>
    <w:rsid w:val="00D90BC9"/>
    <w:rsid w:val="00D9257B"/>
    <w:rsid w:val="00D92813"/>
    <w:rsid w:val="00D94666"/>
    <w:rsid w:val="00D94E6E"/>
    <w:rsid w:val="00D95673"/>
    <w:rsid w:val="00DA0AD9"/>
    <w:rsid w:val="00DA203D"/>
    <w:rsid w:val="00DA4960"/>
    <w:rsid w:val="00DA6947"/>
    <w:rsid w:val="00DB1EB7"/>
    <w:rsid w:val="00DB40BD"/>
    <w:rsid w:val="00DB4BF6"/>
    <w:rsid w:val="00DC5B49"/>
    <w:rsid w:val="00DC5E1A"/>
    <w:rsid w:val="00DC73F3"/>
    <w:rsid w:val="00DC7F15"/>
    <w:rsid w:val="00DD01B9"/>
    <w:rsid w:val="00DD2F33"/>
    <w:rsid w:val="00DD3392"/>
    <w:rsid w:val="00DD5B11"/>
    <w:rsid w:val="00DD5C2E"/>
    <w:rsid w:val="00DE076B"/>
    <w:rsid w:val="00DE0B75"/>
    <w:rsid w:val="00DE13C6"/>
    <w:rsid w:val="00DE267B"/>
    <w:rsid w:val="00DE2985"/>
    <w:rsid w:val="00DE29AC"/>
    <w:rsid w:val="00DE59D4"/>
    <w:rsid w:val="00DE6086"/>
    <w:rsid w:val="00DF352E"/>
    <w:rsid w:val="00DF5768"/>
    <w:rsid w:val="00E03BE2"/>
    <w:rsid w:val="00E07972"/>
    <w:rsid w:val="00E136B1"/>
    <w:rsid w:val="00E14939"/>
    <w:rsid w:val="00E158E3"/>
    <w:rsid w:val="00E1663F"/>
    <w:rsid w:val="00E204CC"/>
    <w:rsid w:val="00E2534E"/>
    <w:rsid w:val="00E32BBA"/>
    <w:rsid w:val="00E32D6A"/>
    <w:rsid w:val="00E33244"/>
    <w:rsid w:val="00E338E9"/>
    <w:rsid w:val="00E35286"/>
    <w:rsid w:val="00E37AA6"/>
    <w:rsid w:val="00E44A52"/>
    <w:rsid w:val="00E500EC"/>
    <w:rsid w:val="00E52EF0"/>
    <w:rsid w:val="00E56BAF"/>
    <w:rsid w:val="00E62C62"/>
    <w:rsid w:val="00E6591B"/>
    <w:rsid w:val="00E67AD8"/>
    <w:rsid w:val="00E70F2B"/>
    <w:rsid w:val="00E7298A"/>
    <w:rsid w:val="00E72EA5"/>
    <w:rsid w:val="00E74C07"/>
    <w:rsid w:val="00E81142"/>
    <w:rsid w:val="00E815EE"/>
    <w:rsid w:val="00E82494"/>
    <w:rsid w:val="00E827E8"/>
    <w:rsid w:val="00E85C71"/>
    <w:rsid w:val="00E86017"/>
    <w:rsid w:val="00E90C38"/>
    <w:rsid w:val="00EA546B"/>
    <w:rsid w:val="00EA6892"/>
    <w:rsid w:val="00EA7BB3"/>
    <w:rsid w:val="00EB0083"/>
    <w:rsid w:val="00EB0D2D"/>
    <w:rsid w:val="00EB12B5"/>
    <w:rsid w:val="00EB4614"/>
    <w:rsid w:val="00EB6950"/>
    <w:rsid w:val="00EC139F"/>
    <w:rsid w:val="00EC1C59"/>
    <w:rsid w:val="00EC2813"/>
    <w:rsid w:val="00EC2F1D"/>
    <w:rsid w:val="00EC4812"/>
    <w:rsid w:val="00EC486B"/>
    <w:rsid w:val="00EC6B2B"/>
    <w:rsid w:val="00EC71F9"/>
    <w:rsid w:val="00EC7B95"/>
    <w:rsid w:val="00ED3734"/>
    <w:rsid w:val="00ED3968"/>
    <w:rsid w:val="00EE0F0B"/>
    <w:rsid w:val="00EF3C15"/>
    <w:rsid w:val="00EF5128"/>
    <w:rsid w:val="00EF5897"/>
    <w:rsid w:val="00EF763D"/>
    <w:rsid w:val="00EF7701"/>
    <w:rsid w:val="00EF7E8F"/>
    <w:rsid w:val="00F002E2"/>
    <w:rsid w:val="00F03CB3"/>
    <w:rsid w:val="00F10D99"/>
    <w:rsid w:val="00F11E0E"/>
    <w:rsid w:val="00F2091D"/>
    <w:rsid w:val="00F20C21"/>
    <w:rsid w:val="00F25E29"/>
    <w:rsid w:val="00F36E1D"/>
    <w:rsid w:val="00F40B06"/>
    <w:rsid w:val="00F57A75"/>
    <w:rsid w:val="00F63869"/>
    <w:rsid w:val="00F64A70"/>
    <w:rsid w:val="00F7400E"/>
    <w:rsid w:val="00F75F09"/>
    <w:rsid w:val="00F80396"/>
    <w:rsid w:val="00F82046"/>
    <w:rsid w:val="00F83119"/>
    <w:rsid w:val="00F832ED"/>
    <w:rsid w:val="00F91F28"/>
    <w:rsid w:val="00F92BF0"/>
    <w:rsid w:val="00F935B6"/>
    <w:rsid w:val="00F945AB"/>
    <w:rsid w:val="00F965E4"/>
    <w:rsid w:val="00FA2696"/>
    <w:rsid w:val="00FA2A56"/>
    <w:rsid w:val="00FA6895"/>
    <w:rsid w:val="00FA6ECE"/>
    <w:rsid w:val="00FA7F1A"/>
    <w:rsid w:val="00FB1636"/>
    <w:rsid w:val="00FB36C8"/>
    <w:rsid w:val="00FB41DF"/>
    <w:rsid w:val="00FB6385"/>
    <w:rsid w:val="00FC19BB"/>
    <w:rsid w:val="00FC2FF1"/>
    <w:rsid w:val="00FC3F1F"/>
    <w:rsid w:val="00FC4B0E"/>
    <w:rsid w:val="00FC7847"/>
    <w:rsid w:val="00FC7B3B"/>
    <w:rsid w:val="00FD3108"/>
    <w:rsid w:val="00FD503B"/>
    <w:rsid w:val="00FD70B5"/>
    <w:rsid w:val="00FD76A0"/>
    <w:rsid w:val="00FE299A"/>
    <w:rsid w:val="00FE2BB5"/>
    <w:rsid w:val="00FE57BB"/>
    <w:rsid w:val="00FE71EA"/>
    <w:rsid w:val="00FF02DF"/>
    <w:rsid w:val="00FF2A90"/>
    <w:rsid w:val="00FF7A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0A2B6"/>
  <w15:docId w15:val="{A1D892EC-2626-4F43-AF17-90C3DD2A8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Titlu1">
    <w:name w:val="heading 1"/>
    <w:basedOn w:val="Normal"/>
    <w:next w:val="Normal"/>
    <w:link w:val="Titlu1Caracter"/>
    <w:uiPriority w:val="9"/>
    <w:qFormat/>
    <w:rsid w:val="00BC13E7"/>
    <w:pPr>
      <w:keepNext/>
      <w:spacing w:before="240" w:after="60" w:line="240" w:lineRule="auto"/>
      <w:ind w:firstLine="720"/>
      <w:jc w:val="both"/>
      <w:outlineLvl w:val="0"/>
    </w:pPr>
    <w:rPr>
      <w:rFonts w:ascii="Arial" w:eastAsia="Times New Roman" w:hAnsi="Arial" w:cs="Times New Roman"/>
      <w:b/>
      <w:kern w:val="28"/>
      <w:sz w:val="28"/>
      <w:szCs w:val="20"/>
      <w:lang w:val="en-US"/>
    </w:rPr>
  </w:style>
  <w:style w:type="paragraph" w:styleId="Titlu2">
    <w:name w:val="heading 2"/>
    <w:basedOn w:val="Normal"/>
    <w:next w:val="Normal"/>
    <w:link w:val="Titlu2Caracter"/>
    <w:uiPriority w:val="9"/>
    <w:unhideWhenUsed/>
    <w:qFormat/>
    <w:rsid w:val="00627621"/>
    <w:pPr>
      <w:keepNext/>
      <w:spacing w:after="0" w:line="240" w:lineRule="auto"/>
      <w:ind w:firstLine="709"/>
      <w:jc w:val="center"/>
      <w:outlineLvl w:val="1"/>
    </w:pPr>
    <w:rPr>
      <w:rFonts w:ascii="$ Benguiat_Bold" w:eastAsia="Times New Roman" w:hAnsi="$ Benguiat_Bold" w:cs="Times New Roman"/>
      <w:b/>
      <w:sz w:val="132"/>
      <w:szCs w:val="20"/>
      <w:lang w:val="x-none"/>
    </w:rPr>
  </w:style>
  <w:style w:type="paragraph" w:styleId="Titlu3">
    <w:name w:val="heading 3"/>
    <w:basedOn w:val="Normal"/>
    <w:next w:val="Normal"/>
    <w:link w:val="Titlu3Caracter"/>
    <w:uiPriority w:val="9"/>
    <w:qFormat/>
    <w:rsid w:val="00BC13E7"/>
    <w:pPr>
      <w:keepNext/>
      <w:spacing w:after="0" w:line="240" w:lineRule="auto"/>
      <w:ind w:firstLine="720"/>
      <w:jc w:val="center"/>
      <w:outlineLvl w:val="2"/>
    </w:pPr>
    <w:rPr>
      <w:rFonts w:ascii="$Caslon" w:eastAsia="Times New Roman" w:hAnsi="$Caslon" w:cs="Times New Roman"/>
      <w:b/>
      <w:sz w:val="20"/>
      <w:szCs w:val="20"/>
      <w:lang w:val="x-none"/>
    </w:rPr>
  </w:style>
  <w:style w:type="paragraph" w:styleId="Titlu4">
    <w:name w:val="heading 4"/>
    <w:basedOn w:val="Normal"/>
    <w:next w:val="Normal"/>
    <w:link w:val="Titlu4Caracter"/>
    <w:uiPriority w:val="9"/>
    <w:qFormat/>
    <w:rsid w:val="00BC13E7"/>
    <w:pPr>
      <w:keepNext/>
      <w:spacing w:after="0" w:line="240" w:lineRule="auto"/>
      <w:ind w:firstLine="720"/>
      <w:jc w:val="center"/>
      <w:outlineLvl w:val="3"/>
    </w:pPr>
    <w:rPr>
      <w:rFonts w:ascii="$Caslon" w:eastAsia="Times New Roman" w:hAnsi="$Caslon" w:cs="Times New Roman"/>
      <w:b/>
      <w:sz w:val="26"/>
      <w:szCs w:val="20"/>
      <w:lang w:val="x-none"/>
    </w:rPr>
  </w:style>
  <w:style w:type="paragraph" w:styleId="Titlu5">
    <w:name w:val="heading 5"/>
    <w:basedOn w:val="Normal"/>
    <w:next w:val="Normal"/>
    <w:link w:val="Titlu5Caracter"/>
    <w:qFormat/>
    <w:rsid w:val="00BC13E7"/>
    <w:pPr>
      <w:keepNext/>
      <w:spacing w:after="0" w:line="240" w:lineRule="auto"/>
      <w:ind w:firstLine="720"/>
      <w:jc w:val="center"/>
      <w:outlineLvl w:val="4"/>
    </w:pPr>
    <w:rPr>
      <w:rFonts w:ascii="$Caslon" w:eastAsia="Times New Roman" w:hAnsi="$Caslon" w:cs="Times New Roman"/>
      <w:sz w:val="24"/>
      <w:szCs w:val="20"/>
      <w:lang w:val="x-none"/>
    </w:rPr>
  </w:style>
  <w:style w:type="paragraph" w:styleId="Titlu6">
    <w:name w:val="heading 6"/>
    <w:basedOn w:val="Normal"/>
    <w:next w:val="Normal"/>
    <w:link w:val="Titlu6Caracter"/>
    <w:qFormat/>
    <w:rsid w:val="00BC13E7"/>
    <w:pPr>
      <w:keepNext/>
      <w:spacing w:after="0" w:line="240" w:lineRule="auto"/>
      <w:ind w:firstLine="720"/>
      <w:jc w:val="center"/>
      <w:outlineLvl w:val="5"/>
    </w:pPr>
    <w:rPr>
      <w:rFonts w:ascii="$Caslon" w:eastAsia="Times New Roman" w:hAnsi="$Caslon" w:cs="Times New Roman"/>
      <w:b/>
      <w:szCs w:val="20"/>
      <w:lang w:val="x-none"/>
    </w:rPr>
  </w:style>
  <w:style w:type="paragraph" w:styleId="Titlu7">
    <w:name w:val="heading 7"/>
    <w:basedOn w:val="Normal"/>
    <w:next w:val="Normal"/>
    <w:link w:val="Titlu7Caracter"/>
    <w:qFormat/>
    <w:rsid w:val="00BC13E7"/>
    <w:pPr>
      <w:keepNext/>
      <w:spacing w:after="0" w:line="240" w:lineRule="auto"/>
      <w:ind w:firstLine="720"/>
      <w:jc w:val="center"/>
      <w:outlineLvl w:val="6"/>
    </w:pPr>
    <w:rPr>
      <w:rFonts w:ascii="Garamond" w:eastAsia="Times New Roman" w:hAnsi="Garamond" w:cs="Times New Roman"/>
      <w:b/>
      <w:sz w:val="28"/>
      <w:szCs w:val="20"/>
      <w:lang w:val="en-US"/>
    </w:rPr>
  </w:style>
  <w:style w:type="paragraph" w:styleId="Titlu8">
    <w:name w:val="heading 8"/>
    <w:basedOn w:val="Normal"/>
    <w:next w:val="Normal"/>
    <w:link w:val="Titlu8Caracter"/>
    <w:qFormat/>
    <w:rsid w:val="00BC13E7"/>
    <w:pPr>
      <w:keepNext/>
      <w:spacing w:after="0" w:line="240" w:lineRule="auto"/>
      <w:ind w:firstLine="720"/>
      <w:jc w:val="center"/>
      <w:outlineLvl w:val="7"/>
    </w:pPr>
    <w:rPr>
      <w:rFonts w:ascii="$Caslon" w:eastAsia="Times New Roman" w:hAnsi="$Caslon" w:cs="Times New Roman"/>
      <w:b/>
      <w:sz w:val="24"/>
      <w:szCs w:val="20"/>
      <w:lang w:val="en-US"/>
    </w:rPr>
  </w:style>
  <w:style w:type="paragraph" w:styleId="Titlu9">
    <w:name w:val="heading 9"/>
    <w:basedOn w:val="Normal"/>
    <w:next w:val="Normal"/>
    <w:link w:val="Titlu9Caracter"/>
    <w:uiPriority w:val="9"/>
    <w:semiHidden/>
    <w:unhideWhenUsed/>
    <w:qFormat/>
    <w:rsid w:val="00BC13E7"/>
    <w:pPr>
      <w:keepNext/>
      <w:keepLines/>
      <w:spacing w:before="200" w:after="0" w:line="240" w:lineRule="auto"/>
      <w:ind w:firstLine="720"/>
      <w:jc w:val="both"/>
      <w:outlineLvl w:val="8"/>
    </w:pPr>
    <w:rPr>
      <w:rFonts w:ascii="Calibri Light" w:eastAsia="Times New Roman" w:hAnsi="Calibri Light" w:cs="Times New Roman"/>
      <w:i/>
      <w:iCs/>
      <w:color w:val="272727"/>
      <w:sz w:val="21"/>
      <w:szCs w:val="21"/>
      <w:lang w:val="en-GB"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References,Numbered List Paragraph,Numbered Paragraph,Main numbered paragraph,Bullets,IBL List Paragraph,List Paragraph nowy,본문(내용),List_Paragraph,Multilevel para_II,List Paragraph1,Forth level,Normal bullet 2,body 2,Akapit z listą BS,lp1"/>
    <w:basedOn w:val="Normal"/>
    <w:link w:val="ListparagrafCaracter"/>
    <w:uiPriority w:val="34"/>
    <w:qFormat/>
    <w:rsid w:val="00D94666"/>
    <w:pPr>
      <w:ind w:left="720"/>
      <w:contextualSpacing/>
    </w:pPr>
  </w:style>
  <w:style w:type="paragraph" w:styleId="NormalWeb">
    <w:name w:val="Normal (Web)"/>
    <w:basedOn w:val="Normal"/>
    <w:uiPriority w:val="99"/>
    <w:unhideWhenUsed/>
    <w:rsid w:val="00D9466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684F3E"/>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TextnBalon">
    <w:name w:val="Balloon Text"/>
    <w:basedOn w:val="Normal"/>
    <w:link w:val="TextnBalonCaracter"/>
    <w:uiPriority w:val="99"/>
    <w:unhideWhenUsed/>
    <w:rsid w:val="00FE57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rsid w:val="00FE57BB"/>
    <w:rPr>
      <w:rFonts w:ascii="Segoe UI" w:hAnsi="Segoe UI" w:cs="Segoe UI"/>
      <w:sz w:val="18"/>
      <w:szCs w:val="18"/>
      <w:lang w:val="ro-RO"/>
    </w:rPr>
  </w:style>
  <w:style w:type="paragraph" w:customStyle="1" w:styleId="Numberedtex">
    <w:name w:val="Numbered tex"/>
    <w:basedOn w:val="Normal"/>
    <w:qFormat/>
    <w:rsid w:val="0098731F"/>
    <w:pPr>
      <w:numPr>
        <w:numId w:val="1"/>
      </w:numPr>
      <w:tabs>
        <w:tab w:val="left" w:pos="403"/>
      </w:tabs>
      <w:spacing w:before="120" w:after="120" w:line="276" w:lineRule="auto"/>
      <w:jc w:val="both"/>
    </w:pPr>
    <w:rPr>
      <w:rFonts w:ascii="Calibri" w:eastAsia="Calibri" w:hAnsi="Calibri" w:cs="Times New Roman"/>
      <w:lang w:val="en-GB"/>
    </w:rPr>
  </w:style>
  <w:style w:type="paragraph" w:customStyle="1" w:styleId="Table">
    <w:name w:val="Table"/>
    <w:basedOn w:val="Normal"/>
    <w:qFormat/>
    <w:rsid w:val="0098731F"/>
    <w:pPr>
      <w:spacing w:before="240" w:after="0" w:line="276" w:lineRule="auto"/>
      <w:jc w:val="center"/>
    </w:pPr>
    <w:rPr>
      <w:rFonts w:ascii="Calibri" w:eastAsia="Calibri" w:hAnsi="Calibri" w:cs="Times New Roman"/>
      <w:b/>
      <w:color w:val="0F243E"/>
      <w:sz w:val="20"/>
      <w:lang w:val="en-GB"/>
    </w:rPr>
  </w:style>
  <w:style w:type="paragraph" w:customStyle="1" w:styleId="Title1">
    <w:name w:val="Title 1"/>
    <w:basedOn w:val="Normal"/>
    <w:next w:val="Normal"/>
    <w:qFormat/>
    <w:rsid w:val="0098731F"/>
    <w:pPr>
      <w:spacing w:before="240" w:after="240" w:line="276" w:lineRule="auto"/>
      <w:jc w:val="both"/>
    </w:pPr>
    <w:rPr>
      <w:rFonts w:ascii="Calibri" w:eastAsia="Calibri" w:hAnsi="Calibri" w:cs="Times New Roman"/>
      <w:b/>
      <w:color w:val="0F243E"/>
      <w:sz w:val="26"/>
      <w:szCs w:val="26"/>
      <w:lang w:val="en-GB"/>
    </w:rPr>
  </w:style>
  <w:style w:type="paragraph" w:customStyle="1" w:styleId="Title2">
    <w:name w:val="Title 2"/>
    <w:basedOn w:val="Normal"/>
    <w:qFormat/>
    <w:rsid w:val="0098731F"/>
    <w:pPr>
      <w:spacing w:before="240" w:after="240" w:line="276" w:lineRule="auto"/>
      <w:ind w:left="403"/>
      <w:jc w:val="both"/>
    </w:pPr>
    <w:rPr>
      <w:rFonts w:ascii="Calibri" w:eastAsia="Calibri" w:hAnsi="Calibri" w:cs="Times New Roman"/>
      <w:b/>
      <w:i/>
      <w:color w:val="767171"/>
      <w:sz w:val="26"/>
      <w:szCs w:val="26"/>
      <w:lang w:val="en-GB"/>
    </w:rPr>
  </w:style>
  <w:style w:type="character" w:styleId="Referincomentariu">
    <w:name w:val="annotation reference"/>
    <w:basedOn w:val="Fontdeparagrafimplicit"/>
    <w:uiPriority w:val="99"/>
    <w:unhideWhenUsed/>
    <w:rsid w:val="00C16216"/>
    <w:rPr>
      <w:sz w:val="16"/>
      <w:szCs w:val="16"/>
    </w:rPr>
  </w:style>
  <w:style w:type="character" w:customStyle="1" w:styleId="ListparagrafCaracter">
    <w:name w:val="Listă paragraf Caracter"/>
    <w:aliases w:val="References Caracter,Numbered List Paragraph Caracter,Numbered Paragraph Caracter,Main numbered paragraph Caracter,Bullets Caracter,IBL List Paragraph Caracter,List Paragraph nowy Caracter,본문(내용) Caracter,List_Paragraph Caracter"/>
    <w:basedOn w:val="Fontdeparagrafimplicit"/>
    <w:link w:val="Listparagraf"/>
    <w:uiPriority w:val="34"/>
    <w:qFormat/>
    <w:locked/>
    <w:rsid w:val="00627621"/>
    <w:rPr>
      <w:lang w:val="ro-RO"/>
    </w:rPr>
  </w:style>
  <w:style w:type="character" w:customStyle="1" w:styleId="Titlu2Caracter">
    <w:name w:val="Titlu 2 Caracter"/>
    <w:basedOn w:val="Fontdeparagrafimplicit"/>
    <w:link w:val="Titlu2"/>
    <w:uiPriority w:val="9"/>
    <w:rsid w:val="00627621"/>
    <w:rPr>
      <w:rFonts w:ascii="$ Benguiat_Bold" w:eastAsia="Times New Roman" w:hAnsi="$ Benguiat_Bold" w:cs="Times New Roman"/>
      <w:b/>
      <w:sz w:val="132"/>
      <w:szCs w:val="20"/>
      <w:lang w:val="x-none"/>
    </w:rPr>
  </w:style>
  <w:style w:type="table" w:styleId="Tabelgril">
    <w:name w:val="Table Grid"/>
    <w:basedOn w:val="TabelNormal"/>
    <w:uiPriority w:val="39"/>
    <w:rsid w:val="0005582F"/>
    <w:pPr>
      <w:spacing w:after="0" w:line="240" w:lineRule="auto"/>
    </w:pPr>
    <w:rPr>
      <w:rFonts w:ascii="Times New Roman" w:hAnsi="Times New Roman"/>
      <w:sz w:val="28"/>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TabelNormal"/>
    <w:uiPriority w:val="59"/>
    <w:rsid w:val="0081715E"/>
    <w:pPr>
      <w:spacing w:after="0" w:line="240" w:lineRule="auto"/>
      <w:ind w:firstLine="709"/>
      <w:jc w:val="both"/>
    </w:pPr>
    <w:rPr>
      <w:rFonts w:ascii="Calibri" w:eastAsia="Calibri"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13534C"/>
    <w:rPr>
      <w:color w:val="0563C1" w:themeColor="hyperlink"/>
      <w:u w:val="single"/>
    </w:rPr>
  </w:style>
  <w:style w:type="paragraph" w:styleId="Antet">
    <w:name w:val="header"/>
    <w:basedOn w:val="Normal"/>
    <w:link w:val="AntetCaracter"/>
    <w:uiPriority w:val="99"/>
    <w:unhideWhenUsed/>
    <w:rsid w:val="00BB4228"/>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BB4228"/>
    <w:rPr>
      <w:lang w:val="ro-RO"/>
    </w:rPr>
  </w:style>
  <w:style w:type="paragraph" w:styleId="Subsol">
    <w:name w:val="footer"/>
    <w:basedOn w:val="Normal"/>
    <w:link w:val="SubsolCaracter"/>
    <w:uiPriority w:val="99"/>
    <w:unhideWhenUsed/>
    <w:rsid w:val="00BB4228"/>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B4228"/>
    <w:rPr>
      <w:lang w:val="ro-RO"/>
    </w:rPr>
  </w:style>
  <w:style w:type="paragraph" w:customStyle="1" w:styleId="2">
    <w:name w:val="Основной текст (2)"/>
    <w:basedOn w:val="Normal"/>
    <w:link w:val="20"/>
    <w:rsid w:val="00161B43"/>
    <w:pPr>
      <w:widowControl w:val="0"/>
      <w:shd w:val="clear" w:color="auto" w:fill="FFFFFF"/>
      <w:spacing w:before="280" w:after="0" w:line="288" w:lineRule="exact"/>
      <w:ind w:hanging="340"/>
      <w:jc w:val="both"/>
    </w:pPr>
    <w:rPr>
      <w:rFonts w:ascii="Times New Roman" w:eastAsia="Times New Roman" w:hAnsi="Times New Roman" w:cs="Times New Roman"/>
      <w:lang w:val="en-US"/>
    </w:rPr>
  </w:style>
  <w:style w:type="character" w:customStyle="1" w:styleId="20">
    <w:name w:val="Основной текст (2)_"/>
    <w:basedOn w:val="Fontdeparagrafimplicit"/>
    <w:link w:val="2"/>
    <w:locked/>
    <w:rsid w:val="00161B43"/>
    <w:rPr>
      <w:rFonts w:ascii="Times New Roman" w:eastAsia="Times New Roman" w:hAnsi="Times New Roman" w:cs="Times New Roman"/>
      <w:shd w:val="clear" w:color="auto" w:fill="FFFFFF"/>
      <w:lang w:val="en-US"/>
    </w:rPr>
  </w:style>
  <w:style w:type="paragraph" w:styleId="Frspaiere">
    <w:name w:val="No Spacing"/>
    <w:link w:val="FrspaiereCaracter"/>
    <w:uiPriority w:val="1"/>
    <w:qFormat/>
    <w:rsid w:val="005D2160"/>
    <w:pPr>
      <w:spacing w:after="0" w:line="240" w:lineRule="auto"/>
    </w:pPr>
    <w:rPr>
      <w:lang w:val="ro-RO"/>
    </w:rPr>
  </w:style>
  <w:style w:type="character" w:customStyle="1" w:styleId="FrspaiereCaracter">
    <w:name w:val="Fără spațiere Caracter"/>
    <w:basedOn w:val="Fontdeparagrafimplicit"/>
    <w:link w:val="Frspaiere"/>
    <w:uiPriority w:val="1"/>
    <w:rsid w:val="005D2160"/>
    <w:rPr>
      <w:lang w:val="ro-RO"/>
    </w:rPr>
  </w:style>
  <w:style w:type="paragraph" w:styleId="Revizuire">
    <w:name w:val="Revision"/>
    <w:hidden/>
    <w:uiPriority w:val="99"/>
    <w:semiHidden/>
    <w:rsid w:val="003D6306"/>
    <w:pPr>
      <w:spacing w:after="0" w:line="240" w:lineRule="auto"/>
    </w:pPr>
    <w:rPr>
      <w:lang w:val="ro-RO"/>
    </w:rPr>
  </w:style>
  <w:style w:type="paragraph" w:styleId="Textcomentariu">
    <w:name w:val="annotation text"/>
    <w:basedOn w:val="Normal"/>
    <w:link w:val="TextcomentariuCaracter"/>
    <w:unhideWhenUsed/>
    <w:rsid w:val="004D3504"/>
    <w:pPr>
      <w:spacing w:line="240" w:lineRule="auto"/>
    </w:pPr>
    <w:rPr>
      <w:sz w:val="20"/>
      <w:szCs w:val="20"/>
    </w:rPr>
  </w:style>
  <w:style w:type="character" w:customStyle="1" w:styleId="TextcomentariuCaracter">
    <w:name w:val="Text comentariu Caracter"/>
    <w:basedOn w:val="Fontdeparagrafimplicit"/>
    <w:link w:val="Textcomentariu"/>
    <w:rsid w:val="004D3504"/>
    <w:rPr>
      <w:sz w:val="20"/>
      <w:szCs w:val="20"/>
      <w:lang w:val="ro-RO"/>
    </w:rPr>
  </w:style>
  <w:style w:type="paragraph" w:styleId="SubiectComentariu">
    <w:name w:val="annotation subject"/>
    <w:basedOn w:val="Textcomentariu"/>
    <w:next w:val="Textcomentariu"/>
    <w:link w:val="SubiectComentariuCaracter"/>
    <w:unhideWhenUsed/>
    <w:rsid w:val="004D3504"/>
    <w:rPr>
      <w:b/>
      <w:bCs/>
    </w:rPr>
  </w:style>
  <w:style w:type="character" w:customStyle="1" w:styleId="SubiectComentariuCaracter">
    <w:name w:val="Subiect Comentariu Caracter"/>
    <w:basedOn w:val="TextcomentariuCaracter"/>
    <w:link w:val="SubiectComentariu"/>
    <w:rsid w:val="004D3504"/>
    <w:rPr>
      <w:b/>
      <w:bCs/>
      <w:sz w:val="20"/>
      <w:szCs w:val="20"/>
      <w:lang w:val="ro-RO"/>
    </w:rPr>
  </w:style>
  <w:style w:type="character" w:customStyle="1" w:styleId="Titlu1Caracter">
    <w:name w:val="Titlu 1 Caracter"/>
    <w:basedOn w:val="Fontdeparagrafimplicit"/>
    <w:link w:val="Titlu1"/>
    <w:uiPriority w:val="9"/>
    <w:rsid w:val="00BC13E7"/>
    <w:rPr>
      <w:rFonts w:ascii="Arial" w:eastAsia="Times New Roman" w:hAnsi="Arial" w:cs="Times New Roman"/>
      <w:b/>
      <w:kern w:val="28"/>
      <w:sz w:val="28"/>
      <w:szCs w:val="20"/>
      <w:lang w:val="en-US"/>
    </w:rPr>
  </w:style>
  <w:style w:type="character" w:customStyle="1" w:styleId="Titlu3Caracter">
    <w:name w:val="Titlu 3 Caracter"/>
    <w:basedOn w:val="Fontdeparagrafimplicit"/>
    <w:link w:val="Titlu3"/>
    <w:uiPriority w:val="9"/>
    <w:rsid w:val="00BC13E7"/>
    <w:rPr>
      <w:rFonts w:ascii="$Caslon" w:eastAsia="Times New Roman" w:hAnsi="$Caslon" w:cs="Times New Roman"/>
      <w:b/>
      <w:sz w:val="20"/>
      <w:szCs w:val="20"/>
      <w:lang w:val="x-none"/>
    </w:rPr>
  </w:style>
  <w:style w:type="character" w:customStyle="1" w:styleId="Titlu4Caracter">
    <w:name w:val="Titlu 4 Caracter"/>
    <w:basedOn w:val="Fontdeparagrafimplicit"/>
    <w:link w:val="Titlu4"/>
    <w:uiPriority w:val="9"/>
    <w:rsid w:val="00BC13E7"/>
    <w:rPr>
      <w:rFonts w:ascii="$Caslon" w:eastAsia="Times New Roman" w:hAnsi="$Caslon" w:cs="Times New Roman"/>
      <w:b/>
      <w:sz w:val="26"/>
      <w:szCs w:val="20"/>
      <w:lang w:val="x-none"/>
    </w:rPr>
  </w:style>
  <w:style w:type="character" w:customStyle="1" w:styleId="Titlu5Caracter">
    <w:name w:val="Titlu 5 Caracter"/>
    <w:basedOn w:val="Fontdeparagrafimplicit"/>
    <w:link w:val="Titlu5"/>
    <w:rsid w:val="00BC13E7"/>
    <w:rPr>
      <w:rFonts w:ascii="$Caslon" w:eastAsia="Times New Roman" w:hAnsi="$Caslon" w:cs="Times New Roman"/>
      <w:sz w:val="24"/>
      <w:szCs w:val="20"/>
      <w:lang w:val="x-none"/>
    </w:rPr>
  </w:style>
  <w:style w:type="character" w:customStyle="1" w:styleId="Titlu6Caracter">
    <w:name w:val="Titlu 6 Caracter"/>
    <w:basedOn w:val="Fontdeparagrafimplicit"/>
    <w:link w:val="Titlu6"/>
    <w:rsid w:val="00BC13E7"/>
    <w:rPr>
      <w:rFonts w:ascii="$Caslon" w:eastAsia="Times New Roman" w:hAnsi="$Caslon" w:cs="Times New Roman"/>
      <w:b/>
      <w:szCs w:val="20"/>
      <w:lang w:val="x-none"/>
    </w:rPr>
  </w:style>
  <w:style w:type="character" w:customStyle="1" w:styleId="Titlu7Caracter">
    <w:name w:val="Titlu 7 Caracter"/>
    <w:basedOn w:val="Fontdeparagrafimplicit"/>
    <w:link w:val="Titlu7"/>
    <w:rsid w:val="00BC13E7"/>
    <w:rPr>
      <w:rFonts w:ascii="Garamond" w:eastAsia="Times New Roman" w:hAnsi="Garamond" w:cs="Times New Roman"/>
      <w:b/>
      <w:sz w:val="28"/>
      <w:szCs w:val="20"/>
      <w:lang w:val="en-US"/>
    </w:rPr>
  </w:style>
  <w:style w:type="character" w:customStyle="1" w:styleId="Titlu8Caracter">
    <w:name w:val="Titlu 8 Caracter"/>
    <w:basedOn w:val="Fontdeparagrafimplicit"/>
    <w:link w:val="Titlu8"/>
    <w:rsid w:val="00BC13E7"/>
    <w:rPr>
      <w:rFonts w:ascii="$Caslon" w:eastAsia="Times New Roman" w:hAnsi="$Caslon" w:cs="Times New Roman"/>
      <w:b/>
      <w:sz w:val="24"/>
      <w:szCs w:val="20"/>
      <w:lang w:val="en-US"/>
    </w:rPr>
  </w:style>
  <w:style w:type="character" w:customStyle="1" w:styleId="Titlu9Caracter">
    <w:name w:val="Titlu 9 Caracter"/>
    <w:basedOn w:val="Fontdeparagrafimplicit"/>
    <w:link w:val="Titlu9"/>
    <w:uiPriority w:val="9"/>
    <w:semiHidden/>
    <w:rsid w:val="00BC13E7"/>
    <w:rPr>
      <w:rFonts w:ascii="Calibri Light" w:eastAsia="Times New Roman" w:hAnsi="Calibri Light" w:cs="Times New Roman"/>
      <w:i/>
      <w:iCs/>
      <w:color w:val="272727"/>
      <w:sz w:val="21"/>
      <w:szCs w:val="21"/>
      <w:lang w:eastAsia="ru-RU"/>
    </w:rPr>
  </w:style>
  <w:style w:type="numbering" w:customStyle="1" w:styleId="NoList1">
    <w:name w:val="No List1"/>
    <w:next w:val="FrListare"/>
    <w:uiPriority w:val="99"/>
    <w:semiHidden/>
    <w:unhideWhenUsed/>
    <w:rsid w:val="00BC13E7"/>
  </w:style>
  <w:style w:type="character" w:styleId="HyperlinkParcurs">
    <w:name w:val="FollowedHyperlink"/>
    <w:basedOn w:val="Fontdeparagrafimplicit"/>
    <w:uiPriority w:val="99"/>
    <w:unhideWhenUsed/>
    <w:rsid w:val="00BC13E7"/>
    <w:rPr>
      <w:color w:val="954F72"/>
      <w:u w:val="single"/>
    </w:rPr>
  </w:style>
  <w:style w:type="paragraph" w:customStyle="1" w:styleId="msonormal0">
    <w:name w:val="msonormal"/>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BC13E7"/>
    <w:pP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4">
    <w:name w:val="xl84"/>
    <w:basedOn w:val="Normal"/>
    <w:rsid w:val="00BC13E7"/>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5">
    <w:name w:val="xl85"/>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6">
    <w:name w:val="xl86"/>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87">
    <w:name w:val="xl87"/>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i/>
      <w:iCs/>
      <w:sz w:val="24"/>
      <w:szCs w:val="24"/>
      <w:lang w:val="en-US"/>
    </w:rPr>
  </w:style>
  <w:style w:type="paragraph" w:customStyle="1" w:styleId="xl88">
    <w:name w:val="xl88"/>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4"/>
      <w:szCs w:val="24"/>
      <w:lang w:val="en-US"/>
    </w:rPr>
  </w:style>
  <w:style w:type="paragraph" w:customStyle="1" w:styleId="xl89">
    <w:name w:val="xl8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i/>
      <w:iCs/>
      <w:sz w:val="24"/>
      <w:szCs w:val="24"/>
      <w:lang w:val="en-US"/>
    </w:rPr>
  </w:style>
  <w:style w:type="paragraph" w:customStyle="1" w:styleId="xl90">
    <w:name w:val="xl90"/>
    <w:basedOn w:val="Normal"/>
    <w:rsid w:val="00BC13E7"/>
    <w:pPr>
      <w:pBdr>
        <w:top w:val="single" w:sz="8" w:space="0" w:color="000000"/>
        <w:left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1">
    <w:name w:val="xl9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92">
    <w:name w:val="xl9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3">
    <w:name w:val="xl9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4">
    <w:name w:val="xl9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5">
    <w:name w:val="xl95"/>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96">
    <w:name w:val="xl96"/>
    <w:basedOn w:val="Normal"/>
    <w:rsid w:val="00BC13E7"/>
    <w:pP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7">
    <w:name w:val="xl97"/>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98">
    <w:name w:val="xl9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24"/>
      <w:szCs w:val="24"/>
      <w:lang w:val="en-US"/>
    </w:rPr>
  </w:style>
  <w:style w:type="paragraph" w:customStyle="1" w:styleId="xl99">
    <w:name w:val="xl99"/>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0">
    <w:name w:val="xl100"/>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1">
    <w:name w:val="xl101"/>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2">
    <w:name w:val="xl10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3">
    <w:name w:val="xl10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04">
    <w:name w:val="xl104"/>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05">
    <w:name w:val="xl105"/>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6">
    <w:name w:val="xl106"/>
    <w:basedOn w:val="Normal"/>
    <w:rsid w:val="00BC13E7"/>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07">
    <w:name w:val="xl107"/>
    <w:basedOn w:val="Normal"/>
    <w:rsid w:val="00BC13E7"/>
    <w:pPr>
      <w:pBdr>
        <w:top w:val="single" w:sz="4" w:space="0" w:color="000000"/>
        <w:left w:val="single" w:sz="8" w:space="0" w:color="000000"/>
        <w:bottom w:val="double" w:sz="6"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08">
    <w:name w:val="xl10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09">
    <w:name w:val="xl10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10">
    <w:name w:val="xl110"/>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1">
    <w:name w:val="xl111"/>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12">
    <w:name w:val="xl112"/>
    <w:basedOn w:val="Normal"/>
    <w:rsid w:val="00BC13E7"/>
    <w:pPr>
      <w:pBdr>
        <w:left w:val="single" w:sz="8"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3">
    <w:name w:val="xl11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114">
    <w:name w:val="xl114"/>
    <w:basedOn w:val="Normal"/>
    <w:rsid w:val="00BC13E7"/>
    <w:pPr>
      <w:pBdr>
        <w:top w:val="single" w:sz="4" w:space="0" w:color="000000"/>
        <w:left w:val="single" w:sz="8" w:space="0" w:color="000000"/>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15">
    <w:name w:val="xl115"/>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lang w:val="en-US"/>
    </w:rPr>
  </w:style>
  <w:style w:type="paragraph" w:customStyle="1" w:styleId="xl116">
    <w:name w:val="xl116"/>
    <w:basedOn w:val="Normal"/>
    <w:rsid w:val="00BC13E7"/>
    <w:pPr>
      <w:pBdr>
        <w:top w:val="single" w:sz="4" w:space="0" w:color="000000"/>
        <w:left w:val="single" w:sz="4" w:space="14" w:color="000000"/>
        <w:bottom w:val="single" w:sz="4" w:space="0"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17">
    <w:name w:val="xl117"/>
    <w:basedOn w:val="Normal"/>
    <w:rsid w:val="00BC13E7"/>
    <w:pPr>
      <w:pBdr>
        <w:top w:val="single" w:sz="4" w:space="0" w:color="000000"/>
        <w:left w:val="single" w:sz="4" w:space="20" w:color="000000"/>
        <w:bottom w:val="single" w:sz="4" w:space="0" w:color="000000"/>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i/>
      <w:iCs/>
      <w:sz w:val="24"/>
      <w:szCs w:val="24"/>
      <w:lang w:val="en-US"/>
    </w:rPr>
  </w:style>
  <w:style w:type="paragraph" w:customStyle="1" w:styleId="xl118">
    <w:name w:val="xl118"/>
    <w:basedOn w:val="Normal"/>
    <w:rsid w:val="00BC13E7"/>
    <w:pPr>
      <w:pBdr>
        <w:top w:val="single" w:sz="4" w:space="0" w:color="000000"/>
        <w:left w:val="single" w:sz="4" w:space="27" w:color="000000"/>
        <w:bottom w:val="single" w:sz="4" w:space="0" w:color="000000"/>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24"/>
      <w:szCs w:val="24"/>
      <w:lang w:val="en-US"/>
    </w:rPr>
  </w:style>
  <w:style w:type="paragraph" w:customStyle="1" w:styleId="xl119">
    <w:name w:val="xl119"/>
    <w:basedOn w:val="Normal"/>
    <w:rsid w:val="00BC13E7"/>
    <w:pPr>
      <w:pBdr>
        <w:top w:val="single" w:sz="4" w:space="0" w:color="000000"/>
        <w:left w:val="single" w:sz="4" w:space="7"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20">
    <w:name w:val="xl120"/>
    <w:basedOn w:val="Normal"/>
    <w:rsid w:val="00BC13E7"/>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21">
    <w:name w:val="xl12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2">
    <w:name w:val="xl12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23">
    <w:name w:val="xl123"/>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24">
    <w:name w:val="xl124"/>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25">
    <w:name w:val="xl125"/>
    <w:basedOn w:val="Normal"/>
    <w:rsid w:val="00BC13E7"/>
    <w:pPr>
      <w:spacing w:before="100" w:beforeAutospacing="1" w:after="100" w:afterAutospacing="1" w:line="240" w:lineRule="auto"/>
      <w:jc w:val="right"/>
    </w:pPr>
    <w:rPr>
      <w:rFonts w:ascii="Times New Roman" w:eastAsia="Times New Roman" w:hAnsi="Times New Roman" w:cs="Times New Roman"/>
      <w:i/>
      <w:iCs/>
      <w:sz w:val="24"/>
      <w:szCs w:val="24"/>
      <w:lang w:val="en-US"/>
    </w:rPr>
  </w:style>
  <w:style w:type="paragraph" w:customStyle="1" w:styleId="xl126">
    <w:name w:val="xl126"/>
    <w:basedOn w:val="Normal"/>
    <w:rsid w:val="00BC13E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27">
    <w:name w:val="xl127"/>
    <w:basedOn w:val="Normal"/>
    <w:rsid w:val="00BC13E7"/>
    <w:pPr>
      <w:pBdr>
        <w:top w:val="single" w:sz="4" w:space="0" w:color="000000"/>
        <w:left w:val="single" w:sz="8"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28">
    <w:name w:val="xl128"/>
    <w:basedOn w:val="Normal"/>
    <w:rsid w:val="00BC13E7"/>
    <w:pPr>
      <w:pBdr>
        <w:top w:val="single" w:sz="4" w:space="0" w:color="000000"/>
        <w:left w:val="single" w:sz="4" w:space="31" w:color="000000"/>
        <w:bottom w:val="single" w:sz="4" w:space="0" w:color="000000"/>
        <w:right w:val="single" w:sz="4" w:space="0" w:color="000000"/>
      </w:pBdr>
      <w:spacing w:before="100" w:beforeAutospacing="1" w:after="100" w:afterAutospacing="1" w:line="240" w:lineRule="auto"/>
      <w:ind w:firstLineChars="500" w:firstLine="500"/>
      <w:textAlignment w:val="center"/>
    </w:pPr>
    <w:rPr>
      <w:rFonts w:ascii="Times New Roman" w:eastAsia="Times New Roman" w:hAnsi="Times New Roman" w:cs="Times New Roman"/>
      <w:sz w:val="24"/>
      <w:szCs w:val="24"/>
      <w:lang w:val="en-US"/>
    </w:rPr>
  </w:style>
  <w:style w:type="paragraph" w:customStyle="1" w:styleId="xl129">
    <w:name w:val="xl129"/>
    <w:basedOn w:val="Normal"/>
    <w:rsid w:val="00BC13E7"/>
    <w:pPr>
      <w:pBdr>
        <w:top w:val="single" w:sz="4" w:space="0" w:color="000000"/>
        <w:left w:val="single" w:sz="4" w:space="14" w:color="000000"/>
        <w:bottom w:val="single" w:sz="4" w:space="0"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30">
    <w:name w:val="xl130"/>
    <w:basedOn w:val="Normal"/>
    <w:rsid w:val="00BC13E7"/>
    <w:pPr>
      <w:pBdr>
        <w:top w:val="single" w:sz="4" w:space="0" w:color="000000"/>
        <w:lef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31">
    <w:name w:val="xl13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color w:val="000000"/>
      <w:sz w:val="24"/>
      <w:szCs w:val="24"/>
      <w:lang w:val="en-US"/>
    </w:rPr>
  </w:style>
  <w:style w:type="paragraph" w:customStyle="1" w:styleId="xl132">
    <w:name w:val="xl13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33">
    <w:name w:val="xl13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134">
    <w:name w:val="xl13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xl135">
    <w:name w:val="xl13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000000"/>
      <w:sz w:val="24"/>
      <w:szCs w:val="24"/>
      <w:lang w:val="en-US"/>
    </w:rPr>
  </w:style>
  <w:style w:type="paragraph" w:customStyle="1" w:styleId="xl136">
    <w:name w:val="xl136"/>
    <w:basedOn w:val="Normal"/>
    <w:rsid w:val="00BC13E7"/>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4"/>
      <w:szCs w:val="24"/>
      <w:lang w:val="en-US"/>
    </w:rPr>
  </w:style>
  <w:style w:type="paragraph" w:customStyle="1" w:styleId="xl137">
    <w:name w:val="xl137"/>
    <w:basedOn w:val="Normal"/>
    <w:rsid w:val="00BC13E7"/>
    <w:pPr>
      <w:pBdr>
        <w:top w:val="single" w:sz="4" w:space="0" w:color="000000"/>
        <w:left w:val="single" w:sz="4" w:space="7" w:color="000000"/>
        <w:bottom w:val="single" w:sz="4" w:space="0" w:color="000000"/>
        <w:right w:val="single" w:sz="4" w:space="0" w:color="000000"/>
      </w:pBdr>
      <w:shd w:val="clear" w:color="000000" w:fill="FF0000"/>
      <w:spacing w:before="100" w:beforeAutospacing="1" w:after="100" w:afterAutospacing="1" w:line="240" w:lineRule="auto"/>
      <w:ind w:firstLineChars="100" w:firstLine="100"/>
      <w:textAlignment w:val="center"/>
    </w:pPr>
    <w:rPr>
      <w:rFonts w:ascii="Times New Roman" w:eastAsia="Times New Roman" w:hAnsi="Times New Roman" w:cs="Times New Roman"/>
      <w:i/>
      <w:iCs/>
      <w:sz w:val="24"/>
      <w:szCs w:val="24"/>
      <w:lang w:val="en-US"/>
    </w:rPr>
  </w:style>
  <w:style w:type="paragraph" w:customStyle="1" w:styleId="xl138">
    <w:name w:val="xl138"/>
    <w:basedOn w:val="Normal"/>
    <w:rsid w:val="00BC13E7"/>
    <w:pPr>
      <w:pBdr>
        <w:top w:val="single" w:sz="4" w:space="0" w:color="000000"/>
        <w:left w:val="single" w:sz="4" w:space="27" w:color="000000"/>
        <w:bottom w:val="single" w:sz="4" w:space="0" w:color="000000"/>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24"/>
      <w:szCs w:val="24"/>
      <w:lang w:val="en-US"/>
    </w:rPr>
  </w:style>
  <w:style w:type="paragraph" w:customStyle="1" w:styleId="xl139">
    <w:name w:val="xl13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val="en-US"/>
    </w:rPr>
  </w:style>
  <w:style w:type="paragraph" w:customStyle="1" w:styleId="xl140">
    <w:name w:val="xl140"/>
    <w:basedOn w:val="Normal"/>
    <w:rsid w:val="00BC13E7"/>
    <w:pPr>
      <w:pBdr>
        <w:top w:val="single" w:sz="4" w:space="0" w:color="000000"/>
        <w:left w:val="single" w:sz="4" w:space="14" w:color="000000"/>
        <w:bottom w:val="single" w:sz="4" w:space="0" w:color="000000"/>
        <w:right w:val="single" w:sz="4" w:space="0" w:color="000000"/>
      </w:pBdr>
      <w:shd w:val="clear" w:color="000000" w:fill="FF0000"/>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41">
    <w:name w:val="xl141"/>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2">
    <w:name w:val="xl142"/>
    <w:basedOn w:val="Normal"/>
    <w:rsid w:val="00BC13E7"/>
    <w:pP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43">
    <w:name w:val="xl14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144">
    <w:name w:val="xl144"/>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5">
    <w:name w:val="xl145"/>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6">
    <w:name w:val="xl146"/>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7">
    <w:name w:val="xl147"/>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48">
    <w:name w:val="xl148"/>
    <w:basedOn w:val="Normal"/>
    <w:rsid w:val="00BC13E7"/>
    <w:pPr>
      <w:pBdr>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49">
    <w:name w:val="xl149"/>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0">
    <w:name w:val="xl150"/>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1">
    <w:name w:val="xl151"/>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2">
    <w:name w:val="xl152"/>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153">
    <w:name w:val="xl153"/>
    <w:basedOn w:val="Normal"/>
    <w:rsid w:val="00BC13E7"/>
    <w:pPr>
      <w:shd w:val="clear" w:color="000000" w:fill="FFCCFF"/>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4">
    <w:name w:val="xl154"/>
    <w:basedOn w:val="Normal"/>
    <w:rsid w:val="00BC13E7"/>
    <w:pP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5">
    <w:name w:val="xl155"/>
    <w:basedOn w:val="Normal"/>
    <w:rsid w:val="00BC13E7"/>
    <w:pPr>
      <w:shd w:val="clear" w:color="000000" w:fill="FFCCFF"/>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6">
    <w:name w:val="xl156"/>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57">
    <w:name w:val="xl157"/>
    <w:basedOn w:val="Normal"/>
    <w:rsid w:val="00BC13E7"/>
    <w:pPr>
      <w:pBdr>
        <w:top w:val="single" w:sz="4" w:space="0" w:color="auto"/>
        <w:left w:val="single" w:sz="4" w:space="0" w:color="000000"/>
        <w:bottom w:val="single" w:sz="4" w:space="0" w:color="auto"/>
        <w:right w:val="single" w:sz="4" w:space="0" w:color="000000"/>
      </w:pBdr>
      <w:shd w:val="clear" w:color="000000" w:fill="FFCCFF"/>
      <w:spacing w:before="100" w:beforeAutospacing="1" w:after="100" w:afterAutospacing="1" w:line="240" w:lineRule="auto"/>
    </w:pPr>
    <w:rPr>
      <w:rFonts w:ascii="Times New Roman" w:eastAsia="Times New Roman" w:hAnsi="Times New Roman" w:cs="Times New Roman"/>
      <w:i/>
      <w:iCs/>
      <w:sz w:val="18"/>
      <w:szCs w:val="18"/>
      <w:lang w:val="en-US"/>
    </w:rPr>
  </w:style>
  <w:style w:type="paragraph" w:customStyle="1" w:styleId="xl158">
    <w:name w:val="xl158"/>
    <w:basedOn w:val="Normal"/>
    <w:rsid w:val="00BC13E7"/>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xl159">
    <w:name w:val="xl159"/>
    <w:basedOn w:val="Normal"/>
    <w:rsid w:val="00BC13E7"/>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pPr>
    <w:rPr>
      <w:rFonts w:ascii="Times New Roman" w:eastAsia="Times New Roman" w:hAnsi="Times New Roman" w:cs="Times New Roman"/>
      <w:b/>
      <w:bCs/>
      <w:sz w:val="18"/>
      <w:szCs w:val="18"/>
      <w:lang w:val="en-US"/>
    </w:rPr>
  </w:style>
  <w:style w:type="paragraph" w:customStyle="1" w:styleId="xl160">
    <w:name w:val="xl160"/>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161">
    <w:name w:val="xl16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62">
    <w:name w:val="xl162"/>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val="en-US"/>
    </w:rPr>
  </w:style>
  <w:style w:type="paragraph" w:customStyle="1" w:styleId="xl163">
    <w:name w:val="xl163"/>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xl164">
    <w:name w:val="xl164"/>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val="en-US"/>
    </w:rPr>
  </w:style>
  <w:style w:type="paragraph" w:customStyle="1" w:styleId="xl165">
    <w:name w:val="xl16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000000"/>
      <w:sz w:val="24"/>
      <w:szCs w:val="24"/>
      <w:lang w:val="en-US"/>
    </w:rPr>
  </w:style>
  <w:style w:type="paragraph" w:customStyle="1" w:styleId="xl166">
    <w:name w:val="xl166"/>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FF0000"/>
      <w:sz w:val="24"/>
      <w:szCs w:val="24"/>
      <w:lang w:val="en-US"/>
    </w:rPr>
  </w:style>
  <w:style w:type="paragraph" w:customStyle="1" w:styleId="xl167">
    <w:name w:val="xl167"/>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color w:val="FF0000"/>
      <w:sz w:val="24"/>
      <w:szCs w:val="24"/>
      <w:lang w:val="en-US"/>
    </w:rPr>
  </w:style>
  <w:style w:type="paragraph" w:customStyle="1" w:styleId="xl168">
    <w:name w:val="xl168"/>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color w:val="FF0000"/>
      <w:sz w:val="24"/>
      <w:szCs w:val="24"/>
      <w:lang w:val="en-US"/>
    </w:rPr>
  </w:style>
  <w:style w:type="paragraph" w:customStyle="1" w:styleId="xl169">
    <w:name w:val="xl169"/>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color w:val="000000"/>
      <w:sz w:val="24"/>
      <w:szCs w:val="24"/>
      <w:lang w:val="en-US"/>
    </w:rPr>
  </w:style>
  <w:style w:type="paragraph" w:customStyle="1" w:styleId="xl170">
    <w:name w:val="xl170"/>
    <w:basedOn w:val="Normal"/>
    <w:rsid w:val="00BC13E7"/>
    <w:pPr>
      <w:pBdr>
        <w:top w:val="single" w:sz="4" w:space="0" w:color="000000"/>
        <w:left w:val="single" w:sz="4" w:space="14" w:color="000000"/>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val="en-US"/>
    </w:rPr>
  </w:style>
  <w:style w:type="paragraph" w:customStyle="1" w:styleId="xl171">
    <w:name w:val="xl171"/>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i/>
      <w:iCs/>
      <w:color w:val="000000"/>
      <w:sz w:val="24"/>
      <w:szCs w:val="24"/>
      <w:lang w:val="en-US"/>
    </w:rPr>
  </w:style>
  <w:style w:type="paragraph" w:customStyle="1" w:styleId="xl172">
    <w:name w:val="xl172"/>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73">
    <w:name w:val="xl173"/>
    <w:basedOn w:val="Normal"/>
    <w:rsid w:val="00BC13E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174">
    <w:name w:val="xl174"/>
    <w:basedOn w:val="Normal"/>
    <w:rsid w:val="00BC13E7"/>
    <w:pPr>
      <w:spacing w:before="100" w:beforeAutospacing="1" w:after="100" w:afterAutospacing="1" w:line="240" w:lineRule="auto"/>
      <w:jc w:val="right"/>
    </w:pPr>
    <w:rPr>
      <w:rFonts w:ascii="Times New Roman" w:eastAsia="Times New Roman" w:hAnsi="Times New Roman" w:cs="Times New Roman"/>
      <w:b/>
      <w:bCs/>
      <w:i/>
      <w:iCs/>
      <w:sz w:val="24"/>
      <w:szCs w:val="24"/>
      <w:lang w:val="en-US"/>
    </w:rPr>
  </w:style>
  <w:style w:type="paragraph" w:customStyle="1" w:styleId="xl175">
    <w:name w:val="xl175"/>
    <w:basedOn w:val="Normal"/>
    <w:rsid w:val="00BC13E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6">
    <w:name w:val="xl176"/>
    <w:basedOn w:val="Normal"/>
    <w:rsid w:val="00BC13E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177">
    <w:name w:val="xl177"/>
    <w:basedOn w:val="Normal"/>
    <w:rsid w:val="00BC13E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CharChar">
    <w:name w:val="Знак Знак Char Char Знак"/>
    <w:basedOn w:val="Normal"/>
    <w:rsid w:val="00BC13E7"/>
    <w:pPr>
      <w:spacing w:line="240" w:lineRule="exact"/>
    </w:pPr>
    <w:rPr>
      <w:rFonts w:ascii="Arial" w:eastAsia="Batang" w:hAnsi="Arial" w:cs="Arial"/>
      <w:sz w:val="20"/>
      <w:szCs w:val="20"/>
    </w:rPr>
  </w:style>
  <w:style w:type="paragraph" w:customStyle="1" w:styleId="cn">
    <w:name w:val="cn"/>
    <w:basedOn w:val="Normal"/>
    <w:rsid w:val="00BC13E7"/>
    <w:pPr>
      <w:spacing w:after="0" w:line="240" w:lineRule="auto"/>
      <w:jc w:val="center"/>
    </w:pPr>
    <w:rPr>
      <w:rFonts w:ascii="Times New Roman" w:eastAsia="Times New Roman" w:hAnsi="Times New Roman" w:cs="Times New Roman"/>
      <w:sz w:val="24"/>
      <w:szCs w:val="24"/>
      <w:lang w:val="ru-RU" w:eastAsia="ru-RU"/>
    </w:rPr>
  </w:style>
  <w:style w:type="paragraph" w:customStyle="1" w:styleId="cb">
    <w:name w:val="cb"/>
    <w:basedOn w:val="Normal"/>
    <w:uiPriority w:val="99"/>
    <w:semiHidden/>
    <w:rsid w:val="00BC13E7"/>
    <w:pPr>
      <w:spacing w:after="0" w:line="240" w:lineRule="auto"/>
      <w:jc w:val="center"/>
    </w:pPr>
    <w:rPr>
      <w:rFonts w:ascii="Times New Roman" w:eastAsia="Times New Roman" w:hAnsi="Times New Roman" w:cs="Times New Roman"/>
      <w:b/>
      <w:bCs/>
      <w:sz w:val="24"/>
      <w:szCs w:val="24"/>
      <w:lang w:val="ru-RU" w:eastAsia="ru-RU"/>
    </w:rPr>
  </w:style>
  <w:style w:type="table" w:customStyle="1" w:styleId="TableGrid1">
    <w:name w:val="Table Grid1"/>
    <w:basedOn w:val="TabelNormal"/>
    <w:next w:val="Tabelgril"/>
    <w:uiPriority w:val="59"/>
    <w:rsid w:val="00BC13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BC13E7"/>
    <w:pPr>
      <w:spacing w:after="0" w:line="240" w:lineRule="auto"/>
    </w:pPr>
    <w:rPr>
      <w:rFonts w:ascii="Arial" w:eastAsia="Times New Roman" w:hAnsi="Arial" w:cs="Arial"/>
      <w:sz w:val="20"/>
      <w:szCs w:val="20"/>
      <w:lang w:val="ru-RU" w:eastAsia="ru-RU"/>
    </w:rPr>
  </w:style>
  <w:style w:type="table" w:customStyle="1" w:styleId="GrilTabel1">
    <w:name w:val="Grilă Tabel1"/>
    <w:basedOn w:val="TabelNormal"/>
    <w:next w:val="Tabelgril"/>
    <w:uiPriority w:val="59"/>
    <w:rsid w:val="00BC13E7"/>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FrListare"/>
    <w:semiHidden/>
    <w:rsid w:val="00BC13E7"/>
  </w:style>
  <w:style w:type="character" w:styleId="Numrdepagin">
    <w:name w:val="page number"/>
    <w:basedOn w:val="Fontdeparagrafimplicit"/>
    <w:rsid w:val="00BC13E7"/>
  </w:style>
  <w:style w:type="paragraph" w:customStyle="1" w:styleId="tt">
    <w:name w:val="tt"/>
    <w:basedOn w:val="Normal"/>
    <w:rsid w:val="00BC13E7"/>
    <w:pPr>
      <w:spacing w:after="0" w:line="240" w:lineRule="auto"/>
      <w:jc w:val="center"/>
    </w:pPr>
    <w:rPr>
      <w:rFonts w:ascii="Times New Roman" w:eastAsia="Times New Roman" w:hAnsi="Times New Roman" w:cs="Times New Roman"/>
      <w:b/>
      <w:bCs/>
      <w:sz w:val="24"/>
      <w:szCs w:val="24"/>
      <w:lang w:val="ru-RU" w:eastAsia="ru-RU"/>
    </w:rPr>
  </w:style>
  <w:style w:type="paragraph" w:customStyle="1" w:styleId="CharChar0">
    <w:name w:val="Char Char Знак Знак"/>
    <w:basedOn w:val="Normal"/>
    <w:rsid w:val="00BC13E7"/>
    <w:pPr>
      <w:spacing w:line="240" w:lineRule="exact"/>
    </w:pPr>
    <w:rPr>
      <w:rFonts w:ascii="Arial" w:eastAsia="Batang" w:hAnsi="Arial" w:cs="Arial"/>
      <w:sz w:val="20"/>
      <w:szCs w:val="20"/>
      <w:lang w:val="en-US"/>
    </w:rPr>
  </w:style>
  <w:style w:type="character" w:customStyle="1" w:styleId="docheader1">
    <w:name w:val="doc_header1"/>
    <w:rsid w:val="00BC13E7"/>
    <w:rPr>
      <w:rFonts w:ascii="Times New Roman" w:hAnsi="Times New Roman" w:cs="Times New Roman" w:hint="default"/>
      <w:b/>
      <w:bCs/>
      <w:color w:val="000000"/>
      <w:sz w:val="24"/>
      <w:szCs w:val="24"/>
    </w:rPr>
  </w:style>
  <w:style w:type="character" w:styleId="Robust">
    <w:name w:val="Strong"/>
    <w:uiPriority w:val="22"/>
    <w:qFormat/>
    <w:rsid w:val="00BC13E7"/>
    <w:rPr>
      <w:b/>
      <w:bCs/>
    </w:rPr>
  </w:style>
  <w:style w:type="character" w:customStyle="1" w:styleId="docsign11">
    <w:name w:val="doc_sign11"/>
    <w:rsid w:val="00BC13E7"/>
    <w:rPr>
      <w:rFonts w:ascii="Times New Roman" w:hAnsi="Times New Roman" w:cs="Times New Roman" w:hint="default"/>
      <w:b/>
      <w:bCs/>
      <w:color w:val="000000"/>
      <w:sz w:val="22"/>
      <w:szCs w:val="22"/>
    </w:rPr>
  </w:style>
  <w:style w:type="character" w:customStyle="1" w:styleId="sttart">
    <w:name w:val="st_tart"/>
    <w:basedOn w:val="Fontdeparagrafimplicit"/>
    <w:rsid w:val="00BC13E7"/>
  </w:style>
  <w:style w:type="character" w:customStyle="1" w:styleId="tal1">
    <w:name w:val="tal1"/>
    <w:rsid w:val="00BC13E7"/>
  </w:style>
  <w:style w:type="table" w:customStyle="1" w:styleId="GrilTabel2">
    <w:name w:val="Grilă Tabel2"/>
    <w:basedOn w:val="TabelNormal"/>
    <w:next w:val="Tabelgril"/>
    <w:rsid w:val="00BC13E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BC13E7"/>
    <w:pPr>
      <w:spacing w:before="100" w:beforeAutospacing="1" w:after="100" w:afterAutospacing="1" w:line="240" w:lineRule="auto"/>
      <w:ind w:firstLine="200"/>
      <w:jc w:val="both"/>
    </w:pPr>
    <w:rPr>
      <w:rFonts w:ascii="Verdana" w:eastAsia="Times New Roman" w:hAnsi="Verdana" w:cs="Times New Roman"/>
      <w:color w:val="033778"/>
      <w:sz w:val="21"/>
      <w:szCs w:val="21"/>
      <w:lang w:val="en-US" w:eastAsia="zh-CN"/>
    </w:rPr>
  </w:style>
  <w:style w:type="character" w:customStyle="1" w:styleId="def">
    <w:name w:val="def"/>
    <w:rsid w:val="00BC13E7"/>
  </w:style>
  <w:style w:type="paragraph" w:customStyle="1" w:styleId="cnam1">
    <w:name w:val="cnam1"/>
    <w:basedOn w:val="Normal"/>
    <w:rsid w:val="00BC13E7"/>
    <w:pPr>
      <w:spacing w:before="100" w:beforeAutospacing="1" w:after="100" w:afterAutospacing="1" w:line="240" w:lineRule="auto"/>
    </w:pPr>
    <w:rPr>
      <w:rFonts w:ascii="Times New Roman" w:eastAsia="Times New Roman" w:hAnsi="Times New Roman" w:cs="Times New Roman"/>
      <w:color w:val="2D2D2D"/>
      <w:sz w:val="29"/>
      <w:szCs w:val="29"/>
      <w:lang w:val="en-US" w:eastAsia="zh-CN"/>
    </w:rPr>
  </w:style>
  <w:style w:type="character" w:customStyle="1" w:styleId="apple-converted-space">
    <w:name w:val="apple-converted-space"/>
    <w:rsid w:val="00BC13E7"/>
  </w:style>
  <w:style w:type="character" w:customStyle="1" w:styleId="docheader">
    <w:name w:val="doc_header"/>
    <w:rsid w:val="00BC13E7"/>
  </w:style>
  <w:style w:type="paragraph" w:styleId="PreformatatHTML">
    <w:name w:val="HTML Preformatted"/>
    <w:basedOn w:val="Normal"/>
    <w:link w:val="PreformatatHTMLCaracter"/>
    <w:rsid w:val="00BC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bidi="hi-IN"/>
    </w:rPr>
  </w:style>
  <w:style w:type="character" w:customStyle="1" w:styleId="PreformatatHTMLCaracter">
    <w:name w:val="Preformatat HTML Caracter"/>
    <w:basedOn w:val="Fontdeparagrafimplicit"/>
    <w:link w:val="PreformatatHTML"/>
    <w:rsid w:val="00BC13E7"/>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BC13E7"/>
    <w:pPr>
      <w:keepNext/>
      <w:keepLines/>
      <w:spacing w:before="40" w:after="0" w:line="276" w:lineRule="auto"/>
      <w:jc w:val="both"/>
      <w:outlineLvl w:val="8"/>
    </w:pPr>
    <w:rPr>
      <w:rFonts w:ascii="Calibri Light" w:eastAsia="Times New Roman" w:hAnsi="Calibri Light" w:cs="Times New Roman"/>
      <w:i/>
      <w:iCs/>
      <w:color w:val="272727"/>
      <w:sz w:val="21"/>
      <w:szCs w:val="21"/>
      <w:lang w:val="en-GB"/>
    </w:rPr>
  </w:style>
  <w:style w:type="numbering" w:customStyle="1" w:styleId="1">
    <w:name w:val="Нет списка1"/>
    <w:next w:val="FrListare"/>
    <w:uiPriority w:val="99"/>
    <w:semiHidden/>
    <w:unhideWhenUsed/>
    <w:rsid w:val="00BC13E7"/>
  </w:style>
  <w:style w:type="paragraph" w:customStyle="1" w:styleId="Picturedtable">
    <w:name w:val="Pictured table"/>
    <w:basedOn w:val="Normal"/>
    <w:next w:val="Normal"/>
    <w:qFormat/>
    <w:rsid w:val="00BC13E7"/>
    <w:pPr>
      <w:spacing w:after="240" w:line="276" w:lineRule="auto"/>
      <w:jc w:val="center"/>
    </w:pPr>
    <w:rPr>
      <w:rFonts w:ascii="Calibri" w:eastAsia="Calibri" w:hAnsi="Calibri" w:cs="Times New Roman"/>
      <w:noProof/>
      <w:lang w:val="en-GB" w:eastAsia="en-GB"/>
    </w:rPr>
  </w:style>
  <w:style w:type="table" w:customStyle="1" w:styleId="10">
    <w:name w:val="Сетка таблицы1"/>
    <w:basedOn w:val="TabelNormal"/>
    <w:next w:val="Tabelgril"/>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Titlu1"/>
    <w:next w:val="Normal"/>
    <w:uiPriority w:val="39"/>
    <w:unhideWhenUsed/>
    <w:qFormat/>
    <w:rsid w:val="00BC13E7"/>
    <w:pPr>
      <w:keepLines/>
      <w:spacing w:after="0" w:line="259" w:lineRule="auto"/>
      <w:ind w:firstLine="0"/>
      <w:jc w:val="left"/>
      <w:outlineLvl w:val="9"/>
    </w:pPr>
    <w:rPr>
      <w:rFonts w:ascii="Calibri Light" w:hAnsi="Calibri Light"/>
      <w:b w:val="0"/>
      <w:color w:val="2F5496"/>
      <w:kern w:val="0"/>
      <w:sz w:val="32"/>
      <w:szCs w:val="32"/>
    </w:rPr>
  </w:style>
  <w:style w:type="character" w:customStyle="1" w:styleId="12">
    <w:name w:val="Гиперссылка1"/>
    <w:basedOn w:val="Fontdeparagrafimplicit"/>
    <w:uiPriority w:val="99"/>
    <w:unhideWhenUsed/>
    <w:rsid w:val="00BC13E7"/>
    <w:rPr>
      <w:color w:val="0563C1"/>
      <w:u w:val="single"/>
    </w:rPr>
  </w:style>
  <w:style w:type="paragraph" w:styleId="Tabeldefiguri">
    <w:name w:val="table of figures"/>
    <w:basedOn w:val="Normal"/>
    <w:next w:val="Normal"/>
    <w:uiPriority w:val="99"/>
    <w:unhideWhenUsed/>
    <w:rsid w:val="00BC13E7"/>
    <w:pPr>
      <w:spacing w:before="120" w:after="0" w:line="276" w:lineRule="auto"/>
      <w:jc w:val="both"/>
    </w:pPr>
    <w:rPr>
      <w:rFonts w:ascii="Calibri" w:eastAsia="Calibri" w:hAnsi="Calibri" w:cs="Times New Roman"/>
      <w:lang w:val="en-GB"/>
    </w:rPr>
  </w:style>
  <w:style w:type="character" w:customStyle="1" w:styleId="UnresolvedMention1">
    <w:name w:val="Unresolved Mention1"/>
    <w:basedOn w:val="Fontdeparagrafimplicit"/>
    <w:uiPriority w:val="99"/>
    <w:semiHidden/>
    <w:unhideWhenUsed/>
    <w:rsid w:val="00BC13E7"/>
    <w:rPr>
      <w:color w:val="808080"/>
      <w:shd w:val="clear" w:color="auto" w:fill="E6E6E6"/>
    </w:rPr>
  </w:style>
  <w:style w:type="paragraph" w:styleId="Cuprins1">
    <w:name w:val="toc 1"/>
    <w:basedOn w:val="Normal"/>
    <w:next w:val="Normal"/>
    <w:autoRedefine/>
    <w:uiPriority w:val="39"/>
    <w:unhideWhenUsed/>
    <w:rsid w:val="00BC13E7"/>
    <w:pPr>
      <w:spacing w:before="120" w:after="100" w:line="276" w:lineRule="auto"/>
      <w:jc w:val="both"/>
    </w:pPr>
    <w:rPr>
      <w:rFonts w:ascii="Calibri" w:eastAsia="Calibri" w:hAnsi="Calibri" w:cs="Times New Roman"/>
      <w:lang w:val="en-GB"/>
    </w:rPr>
  </w:style>
  <w:style w:type="paragraph" w:styleId="Cuprins2">
    <w:name w:val="toc 2"/>
    <w:basedOn w:val="Normal"/>
    <w:next w:val="Normal"/>
    <w:autoRedefine/>
    <w:uiPriority w:val="39"/>
    <w:unhideWhenUsed/>
    <w:rsid w:val="00BC13E7"/>
    <w:pPr>
      <w:spacing w:before="120" w:after="100" w:line="276" w:lineRule="auto"/>
      <w:ind w:left="220"/>
      <w:jc w:val="both"/>
    </w:pPr>
    <w:rPr>
      <w:rFonts w:ascii="Calibri" w:eastAsia="Calibri" w:hAnsi="Calibri" w:cs="Times New Roman"/>
      <w:lang w:val="en-GB"/>
    </w:rPr>
  </w:style>
  <w:style w:type="paragraph" w:styleId="Cuprins3">
    <w:name w:val="toc 3"/>
    <w:basedOn w:val="Normal"/>
    <w:next w:val="Normal"/>
    <w:autoRedefine/>
    <w:uiPriority w:val="39"/>
    <w:unhideWhenUsed/>
    <w:rsid w:val="00BC13E7"/>
    <w:pPr>
      <w:spacing w:before="120" w:after="100" w:line="276" w:lineRule="auto"/>
      <w:ind w:left="440"/>
      <w:jc w:val="both"/>
    </w:pPr>
    <w:rPr>
      <w:rFonts w:ascii="Calibri" w:eastAsia="Calibri" w:hAnsi="Calibri" w:cs="Times New Roman"/>
      <w:lang w:val="en-GB"/>
    </w:rPr>
  </w:style>
  <w:style w:type="paragraph" w:styleId="Cuprins4">
    <w:name w:val="toc 4"/>
    <w:basedOn w:val="Normal"/>
    <w:next w:val="Normal"/>
    <w:autoRedefine/>
    <w:uiPriority w:val="39"/>
    <w:unhideWhenUsed/>
    <w:rsid w:val="00BC13E7"/>
    <w:pPr>
      <w:spacing w:before="120" w:after="100" w:line="276" w:lineRule="auto"/>
      <w:ind w:left="660"/>
      <w:jc w:val="both"/>
    </w:pPr>
    <w:rPr>
      <w:rFonts w:ascii="Calibri" w:eastAsia="Calibri" w:hAnsi="Calibri" w:cs="Times New Roman"/>
      <w:lang w:val="en-GB"/>
    </w:rPr>
  </w:style>
  <w:style w:type="paragraph" w:customStyle="1" w:styleId="ListParagraphnumbered">
    <w:name w:val="List Paragraph numbered"/>
    <w:basedOn w:val="Listparagraf"/>
    <w:qFormat/>
    <w:rsid w:val="00BC13E7"/>
    <w:pPr>
      <w:numPr>
        <w:numId w:val="37"/>
      </w:numPr>
      <w:tabs>
        <w:tab w:val="num" w:pos="360"/>
      </w:tabs>
      <w:spacing w:before="60" w:after="60" w:line="276" w:lineRule="auto"/>
      <w:ind w:left="504" w:firstLine="720"/>
      <w:contextualSpacing w:val="0"/>
      <w:jc w:val="both"/>
    </w:pPr>
    <w:rPr>
      <w:rFonts w:ascii="Calibri" w:eastAsia="Calibri" w:hAnsi="Calibri" w:cs="Times New Roman"/>
      <w:lang w:val="fr-FR" w:eastAsia="ru-RU"/>
    </w:rPr>
  </w:style>
  <w:style w:type="paragraph" w:customStyle="1" w:styleId="ParagraphNumbering">
    <w:name w:val="Paragraph Numbering"/>
    <w:basedOn w:val="Normal"/>
    <w:link w:val="ParagraphNumberingChar"/>
    <w:qFormat/>
    <w:rsid w:val="00BC13E7"/>
    <w:pPr>
      <w:numPr>
        <w:numId w:val="38"/>
      </w:numPr>
      <w:spacing w:after="240" w:line="264" w:lineRule="auto"/>
    </w:pPr>
    <w:rPr>
      <w:rFonts w:ascii="Segoe UI" w:eastAsia="SimSun" w:hAnsi="Segoe UI" w:cs="Times New Roman"/>
      <w:sz w:val="21"/>
      <w:szCs w:val="24"/>
      <w:lang w:val="en-US"/>
    </w:rPr>
  </w:style>
  <w:style w:type="character" w:customStyle="1" w:styleId="ParagraphNumberingChar">
    <w:name w:val="Paragraph Numbering Char"/>
    <w:basedOn w:val="Fontdeparagrafimplicit"/>
    <w:link w:val="ParagraphNumbering"/>
    <w:rsid w:val="00BC13E7"/>
    <w:rPr>
      <w:rFonts w:ascii="Segoe UI" w:eastAsia="SimSun" w:hAnsi="Segoe UI" w:cs="Times New Roman"/>
      <w:sz w:val="21"/>
      <w:szCs w:val="24"/>
      <w:lang w:val="en-US"/>
    </w:rPr>
  </w:style>
  <w:style w:type="character" w:customStyle="1" w:styleId="910">
    <w:name w:val="Заголовок 9 Знак1"/>
    <w:basedOn w:val="Fontdeparagrafimplicit"/>
    <w:semiHidden/>
    <w:rsid w:val="00BC13E7"/>
    <w:rPr>
      <w:rFonts w:asciiTheme="majorHAnsi" w:eastAsiaTheme="majorEastAsia" w:hAnsiTheme="majorHAnsi" w:cstheme="majorBidi"/>
      <w:i/>
      <w:iCs/>
      <w:color w:val="404040" w:themeColor="text1" w:themeTint="BF"/>
      <w:lang w:val="en-US" w:eastAsia="en-US"/>
    </w:rPr>
  </w:style>
  <w:style w:type="numbering" w:customStyle="1" w:styleId="21">
    <w:name w:val="Нет списка2"/>
    <w:next w:val="FrListare"/>
    <w:uiPriority w:val="99"/>
    <w:semiHidden/>
    <w:unhideWhenUsed/>
    <w:rsid w:val="00BC13E7"/>
  </w:style>
  <w:style w:type="character" w:styleId="Accentuat">
    <w:name w:val="Emphasis"/>
    <w:basedOn w:val="Fontdeparagrafimplicit"/>
    <w:uiPriority w:val="20"/>
    <w:qFormat/>
    <w:rsid w:val="00BC13E7"/>
    <w:rPr>
      <w:i/>
      <w:iCs/>
    </w:rPr>
  </w:style>
  <w:style w:type="table" w:customStyle="1" w:styleId="22">
    <w:name w:val="Сетка таблицы2"/>
    <w:basedOn w:val="TabelNormal"/>
    <w:next w:val="Tabelgril"/>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аголовок оглавления2"/>
    <w:basedOn w:val="Titlu1"/>
    <w:next w:val="Normal"/>
    <w:uiPriority w:val="39"/>
    <w:unhideWhenUsed/>
    <w:qFormat/>
    <w:rsid w:val="00BC13E7"/>
    <w:pPr>
      <w:keepLines/>
      <w:spacing w:after="0" w:line="259" w:lineRule="auto"/>
      <w:ind w:firstLine="0"/>
      <w:jc w:val="left"/>
      <w:outlineLvl w:val="9"/>
    </w:pPr>
    <w:rPr>
      <w:rFonts w:ascii="Cambria" w:hAnsi="Cambria"/>
      <w:b w:val="0"/>
      <w:color w:val="365F91"/>
      <w:kern w:val="0"/>
      <w:sz w:val="32"/>
      <w:szCs w:val="32"/>
    </w:rPr>
  </w:style>
  <w:style w:type="paragraph" w:styleId="Titlucuprins">
    <w:name w:val="TOC Heading"/>
    <w:basedOn w:val="Titlu1"/>
    <w:next w:val="Normal"/>
    <w:uiPriority w:val="39"/>
    <w:unhideWhenUsed/>
    <w:qFormat/>
    <w:rsid w:val="00BC13E7"/>
    <w:pPr>
      <w:keepLines/>
      <w:spacing w:after="0" w:line="259" w:lineRule="auto"/>
      <w:ind w:firstLine="0"/>
      <w:jc w:val="left"/>
      <w:outlineLvl w:val="9"/>
    </w:pPr>
    <w:rPr>
      <w:rFonts w:asciiTheme="majorHAnsi" w:eastAsiaTheme="majorEastAsia" w:hAnsiTheme="majorHAnsi" w:cstheme="majorBidi"/>
      <w:b w:val="0"/>
      <w:color w:val="2E74B5" w:themeColor="accent1" w:themeShade="BF"/>
      <w:kern w:val="0"/>
      <w:sz w:val="32"/>
      <w:szCs w:val="32"/>
    </w:rPr>
  </w:style>
  <w:style w:type="numbering" w:customStyle="1" w:styleId="3">
    <w:name w:val="Нет списка3"/>
    <w:next w:val="FrListare"/>
    <w:uiPriority w:val="99"/>
    <w:semiHidden/>
    <w:unhideWhenUsed/>
    <w:rsid w:val="00BC13E7"/>
  </w:style>
  <w:style w:type="table" w:customStyle="1" w:styleId="30">
    <w:name w:val="Сетка таблицы3"/>
    <w:basedOn w:val="TabelNormal"/>
    <w:next w:val="Tabelgril"/>
    <w:uiPriority w:val="59"/>
    <w:rsid w:val="00BC13E7"/>
    <w:pPr>
      <w:spacing w:before="120" w:after="0" w:line="240" w:lineRule="auto"/>
      <w:ind w:left="806" w:hanging="403"/>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FrListare"/>
    <w:uiPriority w:val="99"/>
    <w:semiHidden/>
    <w:unhideWhenUsed/>
    <w:rsid w:val="00BC13E7"/>
  </w:style>
  <w:style w:type="paragraph" w:customStyle="1" w:styleId="xl82">
    <w:name w:val="xl82"/>
    <w:basedOn w:val="Normal"/>
    <w:rsid w:val="00BC13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o-RO"/>
    </w:rPr>
  </w:style>
  <w:style w:type="paragraph" w:customStyle="1" w:styleId="xl178">
    <w:name w:val="xl178"/>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8"/>
      <w:szCs w:val="28"/>
      <w:lang w:eastAsia="ro-RO"/>
    </w:rPr>
  </w:style>
  <w:style w:type="paragraph" w:customStyle="1" w:styleId="xl179">
    <w:name w:val="xl179"/>
    <w:basedOn w:val="Normal"/>
    <w:rsid w:val="00BC13E7"/>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o-RO"/>
    </w:rPr>
  </w:style>
  <w:style w:type="paragraph" w:customStyle="1" w:styleId="xl180">
    <w:name w:val="xl180"/>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o-RO"/>
    </w:rPr>
  </w:style>
  <w:style w:type="paragraph" w:customStyle="1" w:styleId="xl181">
    <w:name w:val="xl181"/>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2">
    <w:name w:val="xl182"/>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3">
    <w:name w:val="xl183"/>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4">
    <w:name w:val="xl184"/>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5">
    <w:name w:val="xl185"/>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186">
    <w:name w:val="xl186"/>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eastAsia="ro-RO"/>
    </w:rPr>
  </w:style>
  <w:style w:type="paragraph" w:customStyle="1" w:styleId="xl187">
    <w:name w:val="xl187"/>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sz w:val="26"/>
      <w:szCs w:val="26"/>
      <w:lang w:eastAsia="ro-RO"/>
    </w:rPr>
  </w:style>
  <w:style w:type="paragraph" w:customStyle="1" w:styleId="xl188">
    <w:name w:val="xl188"/>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o-RO"/>
    </w:rPr>
  </w:style>
  <w:style w:type="paragraph" w:customStyle="1" w:styleId="xl189">
    <w:name w:val="xl189"/>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o-RO"/>
    </w:rPr>
  </w:style>
  <w:style w:type="paragraph" w:customStyle="1" w:styleId="xl190">
    <w:name w:val="xl190"/>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o-RO"/>
    </w:rPr>
  </w:style>
  <w:style w:type="paragraph" w:customStyle="1" w:styleId="xl191">
    <w:name w:val="xl191"/>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6"/>
      <w:szCs w:val="26"/>
      <w:lang w:eastAsia="ro-RO"/>
    </w:rPr>
  </w:style>
  <w:style w:type="paragraph" w:customStyle="1" w:styleId="xl192">
    <w:name w:val="xl192"/>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ro-RO"/>
    </w:rPr>
  </w:style>
  <w:style w:type="paragraph" w:customStyle="1" w:styleId="xl193">
    <w:name w:val="xl193"/>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o-RO"/>
    </w:rPr>
  </w:style>
  <w:style w:type="paragraph" w:customStyle="1" w:styleId="xl194">
    <w:name w:val="xl194"/>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6"/>
      <w:szCs w:val="26"/>
      <w:lang w:eastAsia="ro-RO"/>
    </w:rPr>
  </w:style>
  <w:style w:type="paragraph" w:customStyle="1" w:styleId="xl195">
    <w:name w:val="xl195"/>
    <w:basedOn w:val="Normal"/>
    <w:rsid w:val="00BC13E7"/>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o-RO"/>
    </w:rPr>
  </w:style>
  <w:style w:type="paragraph" w:customStyle="1" w:styleId="xl196">
    <w:name w:val="xl196"/>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o-RO"/>
    </w:rPr>
  </w:style>
  <w:style w:type="paragraph" w:customStyle="1" w:styleId="xl197">
    <w:name w:val="xl197"/>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6"/>
      <w:szCs w:val="26"/>
      <w:lang w:eastAsia="ro-RO"/>
    </w:rPr>
  </w:style>
  <w:style w:type="paragraph" w:customStyle="1" w:styleId="xl198">
    <w:name w:val="xl198"/>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o-RO"/>
    </w:rPr>
  </w:style>
  <w:style w:type="paragraph" w:customStyle="1" w:styleId="xl199">
    <w:name w:val="xl199"/>
    <w:basedOn w:val="Normal"/>
    <w:rsid w:val="00BC13E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o-RO"/>
    </w:rPr>
  </w:style>
  <w:style w:type="paragraph" w:customStyle="1" w:styleId="xl200">
    <w:name w:val="xl200"/>
    <w:basedOn w:val="Normal"/>
    <w:rsid w:val="00BC13E7"/>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24"/>
      <w:szCs w:val="24"/>
      <w:lang w:eastAsia="ro-RO"/>
    </w:rPr>
  </w:style>
  <w:style w:type="paragraph" w:customStyle="1" w:styleId="xl201">
    <w:name w:val="xl201"/>
    <w:basedOn w:val="Normal"/>
    <w:rsid w:val="00BC13E7"/>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ro-RO"/>
    </w:rPr>
  </w:style>
  <w:style w:type="paragraph" w:customStyle="1" w:styleId="xl202">
    <w:name w:val="xl202"/>
    <w:basedOn w:val="Normal"/>
    <w:rsid w:val="00BC13E7"/>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203">
    <w:name w:val="xl203"/>
    <w:basedOn w:val="Normal"/>
    <w:rsid w:val="00BC13E7"/>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sz w:val="26"/>
      <w:szCs w:val="26"/>
      <w:lang w:eastAsia="ro-RO"/>
    </w:rPr>
  </w:style>
  <w:style w:type="paragraph" w:customStyle="1" w:styleId="xl204">
    <w:name w:val="xl204"/>
    <w:basedOn w:val="Normal"/>
    <w:rsid w:val="00BC13E7"/>
    <w:pPr>
      <w:spacing w:before="100" w:beforeAutospacing="1" w:after="100" w:afterAutospacing="1" w:line="240" w:lineRule="auto"/>
      <w:jc w:val="center"/>
    </w:pPr>
    <w:rPr>
      <w:rFonts w:ascii="Calibri" w:eastAsia="Times New Roman" w:hAnsi="Calibri" w:cs="Calibri"/>
      <w:b/>
      <w:bCs/>
      <w:sz w:val="32"/>
      <w:szCs w:val="32"/>
      <w:lang w:eastAsia="ro-RO"/>
    </w:rPr>
  </w:style>
  <w:style w:type="paragraph" w:customStyle="1" w:styleId="xl205">
    <w:name w:val="xl205"/>
    <w:basedOn w:val="Normal"/>
    <w:rsid w:val="00BC13E7"/>
    <w:pPr>
      <w:spacing w:before="100" w:beforeAutospacing="1" w:after="100" w:afterAutospacing="1" w:line="240" w:lineRule="auto"/>
      <w:jc w:val="right"/>
    </w:pPr>
    <w:rPr>
      <w:rFonts w:ascii="Calibri" w:eastAsia="Times New Roman" w:hAnsi="Calibri" w:cs="Calibri"/>
      <w:b/>
      <w:bCs/>
      <w:i/>
      <w:iCs/>
      <w:sz w:val="24"/>
      <w:szCs w:val="24"/>
      <w:lang w:eastAsia="ro-RO"/>
    </w:rPr>
  </w:style>
  <w:style w:type="paragraph" w:customStyle="1" w:styleId="xl206">
    <w:name w:val="xl206"/>
    <w:basedOn w:val="Normal"/>
    <w:rsid w:val="00BC13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7">
    <w:name w:val="xl207"/>
    <w:basedOn w:val="Normal"/>
    <w:rsid w:val="00BC13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8">
    <w:name w:val="xl208"/>
    <w:basedOn w:val="Normal"/>
    <w:rsid w:val="00BC13E7"/>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09">
    <w:name w:val="xl209"/>
    <w:basedOn w:val="Normal"/>
    <w:rsid w:val="00BC13E7"/>
    <w:pPr>
      <w:pBdr>
        <w:top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210">
    <w:name w:val="xl210"/>
    <w:basedOn w:val="Normal"/>
    <w:rsid w:val="00BC13E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211">
    <w:name w:val="xl211"/>
    <w:basedOn w:val="Normal"/>
    <w:rsid w:val="00BC13E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2">
    <w:name w:val="xl212"/>
    <w:basedOn w:val="Normal"/>
    <w:rsid w:val="00BC13E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3">
    <w:name w:val="xl213"/>
    <w:basedOn w:val="Normal"/>
    <w:rsid w:val="00BC13E7"/>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paragraph" w:customStyle="1" w:styleId="xl214">
    <w:name w:val="xl214"/>
    <w:basedOn w:val="Normal"/>
    <w:rsid w:val="00BC13E7"/>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ro-RO"/>
    </w:rPr>
  </w:style>
  <w:style w:type="table" w:customStyle="1" w:styleId="40">
    <w:name w:val="Сетка таблицы4"/>
    <w:basedOn w:val="TabelNormal"/>
    <w:next w:val="Tabelgril"/>
    <w:uiPriority w:val="59"/>
    <w:rsid w:val="00BC13E7"/>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Fontdeparagrafimplicit"/>
    <w:uiPriority w:val="99"/>
    <w:semiHidden/>
    <w:rsid w:val="00BC13E7"/>
    <w:rPr>
      <w:rFonts w:ascii="Tahoma" w:hAnsi="Tahoma" w:cs="Tahoma"/>
      <w:sz w:val="16"/>
      <w:szCs w:val="16"/>
    </w:rPr>
  </w:style>
  <w:style w:type="character" w:customStyle="1" w:styleId="14">
    <w:name w:val="Верхний колонтитул Знак1"/>
    <w:basedOn w:val="Fontdeparagrafimplicit"/>
    <w:uiPriority w:val="99"/>
    <w:semiHidden/>
    <w:rsid w:val="00BC13E7"/>
    <w:rPr>
      <w:rFonts w:ascii="Times New Roman" w:hAnsi="Times New Roman"/>
      <w:sz w:val="24"/>
    </w:rPr>
  </w:style>
  <w:style w:type="character" w:customStyle="1" w:styleId="15">
    <w:name w:val="Нижний колонтитул Знак1"/>
    <w:basedOn w:val="Fontdeparagrafimplicit"/>
    <w:uiPriority w:val="99"/>
    <w:semiHidden/>
    <w:rsid w:val="00BC13E7"/>
    <w:rPr>
      <w:rFonts w:ascii="Times New Roman" w:hAnsi="Times New Roman"/>
      <w:sz w:val="24"/>
    </w:rPr>
  </w:style>
  <w:style w:type="table" w:customStyle="1" w:styleId="GridTable1Light-Accent51">
    <w:name w:val="Grid Table 1 Light - Accent 51"/>
    <w:basedOn w:val="TabelNormal"/>
    <w:uiPriority w:val="46"/>
    <w:rsid w:val="00BC13E7"/>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elNormal"/>
    <w:uiPriority w:val="46"/>
    <w:rsid w:val="00BC13E7"/>
    <w:pPr>
      <w:spacing w:after="0" w:line="240" w:lineRule="auto"/>
    </w:pPr>
    <w:rPr>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Listparagraf2">
    <w:name w:val="Listă paragraf2"/>
    <w:basedOn w:val="Normal"/>
    <w:qFormat/>
    <w:rsid w:val="00BC13E7"/>
    <w:pPr>
      <w:spacing w:after="0" w:line="240" w:lineRule="auto"/>
      <w:ind w:left="720"/>
      <w:contextualSpacing/>
    </w:pPr>
    <w:rPr>
      <w:rFonts w:ascii="Times New Roman" w:eastAsia="Calibri" w:hAnsi="Times New Roman" w:cs="Times New Roman"/>
      <w:szCs w:val="20"/>
      <w:lang w:val="en-GB"/>
    </w:rPr>
  </w:style>
  <w:style w:type="paragraph" w:styleId="Textnotdesubsol">
    <w:name w:val="footnote text"/>
    <w:basedOn w:val="Normal"/>
    <w:link w:val="TextnotdesubsolCaracter"/>
    <w:semiHidden/>
    <w:unhideWhenUsed/>
    <w:rsid w:val="00BC13E7"/>
    <w:pPr>
      <w:spacing w:after="0" w:line="240" w:lineRule="auto"/>
      <w:ind w:firstLine="720"/>
      <w:jc w:val="both"/>
    </w:pPr>
    <w:rPr>
      <w:rFonts w:ascii="Times New Roman" w:eastAsia="Times New Roman" w:hAnsi="Times New Roman" w:cs="Times New Roman"/>
      <w:sz w:val="20"/>
      <w:szCs w:val="20"/>
      <w:lang w:val="en-US"/>
    </w:rPr>
  </w:style>
  <w:style w:type="character" w:customStyle="1" w:styleId="TextnotdesubsolCaracter">
    <w:name w:val="Text notă de subsol Caracter"/>
    <w:basedOn w:val="Fontdeparagrafimplicit"/>
    <w:link w:val="Textnotdesubsol"/>
    <w:semiHidden/>
    <w:rsid w:val="00BC13E7"/>
    <w:rPr>
      <w:rFonts w:ascii="Times New Roman" w:eastAsia="Times New Roman" w:hAnsi="Times New Roman" w:cs="Times New Roman"/>
      <w:sz w:val="20"/>
      <w:szCs w:val="20"/>
      <w:lang w:val="en-US"/>
    </w:rPr>
  </w:style>
  <w:style w:type="character" w:styleId="Referinnotdesubsol">
    <w:name w:val="footnote reference"/>
    <w:basedOn w:val="Fontdeparagrafimplicit"/>
    <w:semiHidden/>
    <w:unhideWhenUsed/>
    <w:rsid w:val="00BC13E7"/>
    <w:rPr>
      <w:vertAlign w:val="superscript"/>
    </w:rPr>
  </w:style>
  <w:style w:type="paragraph" w:customStyle="1" w:styleId="xl215">
    <w:name w:val="xl215"/>
    <w:basedOn w:val="Normal"/>
    <w:rsid w:val="00BC13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sz w:val="24"/>
      <w:szCs w:val="24"/>
      <w:lang w:val="ru-RU" w:eastAsia="ru-RU"/>
    </w:rPr>
  </w:style>
  <w:style w:type="paragraph" w:customStyle="1" w:styleId="xl216">
    <w:name w:val="xl216"/>
    <w:basedOn w:val="Normal"/>
    <w:rsid w:val="00BC13E7"/>
    <w:pPr>
      <w:spacing w:before="100" w:beforeAutospacing="1" w:after="100" w:afterAutospacing="1" w:line="240" w:lineRule="auto"/>
      <w:jc w:val="center"/>
    </w:pPr>
    <w:rPr>
      <w:rFonts w:ascii="Calibri" w:eastAsia="Times New Roman" w:hAnsi="Calibri" w:cs="Calibri"/>
      <w:b/>
      <w:bCs/>
      <w:sz w:val="32"/>
      <w:szCs w:val="32"/>
      <w:lang w:val="ru-RU" w:eastAsia="ru-RU"/>
    </w:rPr>
  </w:style>
  <w:style w:type="paragraph" w:customStyle="1" w:styleId="xl217">
    <w:name w:val="xl217"/>
    <w:basedOn w:val="Normal"/>
    <w:rsid w:val="00BC13E7"/>
    <w:pPr>
      <w:spacing w:before="100" w:beforeAutospacing="1" w:after="100" w:afterAutospacing="1" w:line="240" w:lineRule="auto"/>
      <w:jc w:val="right"/>
    </w:pPr>
    <w:rPr>
      <w:rFonts w:ascii="Calibri" w:eastAsia="Times New Roman" w:hAnsi="Calibri" w:cs="Calibri"/>
      <w:b/>
      <w:bCs/>
      <w:i/>
      <w:iCs/>
      <w:sz w:val="24"/>
      <w:szCs w:val="24"/>
      <w:lang w:val="ru-RU" w:eastAsia="ru-RU"/>
    </w:rPr>
  </w:style>
  <w:style w:type="paragraph" w:customStyle="1" w:styleId="xl218">
    <w:name w:val="xl218"/>
    <w:basedOn w:val="Normal"/>
    <w:rsid w:val="00BC13E7"/>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val="ru-RU" w:eastAsia="ru-RU"/>
    </w:rPr>
  </w:style>
  <w:style w:type="paragraph" w:customStyle="1" w:styleId="font6">
    <w:name w:val="font6"/>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4"/>
      <w:szCs w:val="24"/>
      <w:lang w:val="en-US"/>
    </w:rPr>
  </w:style>
  <w:style w:type="paragraph" w:customStyle="1" w:styleId="font7">
    <w:name w:val="font7"/>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6"/>
      <w:szCs w:val="26"/>
      <w:lang w:val="en-US"/>
    </w:rPr>
  </w:style>
  <w:style w:type="paragraph" w:customStyle="1" w:styleId="font8">
    <w:name w:val="font8"/>
    <w:basedOn w:val="Normal"/>
    <w:rsid w:val="00BC13E7"/>
    <w:pPr>
      <w:spacing w:before="100" w:beforeAutospacing="1" w:after="100" w:afterAutospacing="1" w:line="240" w:lineRule="auto"/>
    </w:pPr>
    <w:rPr>
      <w:rFonts w:ascii="Times New Roman" w:eastAsia="Times New Roman" w:hAnsi="Times New Roman" w:cs="Times New Roman"/>
      <w:i/>
      <w:iCs/>
      <w:color w:val="000000"/>
      <w:sz w:val="20"/>
      <w:szCs w:val="20"/>
      <w:lang w:val="en-US"/>
    </w:rPr>
  </w:style>
  <w:style w:type="paragraph" w:customStyle="1" w:styleId="font9">
    <w:name w:val="font9"/>
    <w:basedOn w:val="Normal"/>
    <w:rsid w:val="00BC13E7"/>
    <w:pPr>
      <w:spacing w:before="100" w:beforeAutospacing="1" w:after="100" w:afterAutospacing="1" w:line="240" w:lineRule="auto"/>
    </w:pPr>
    <w:rPr>
      <w:rFonts w:ascii="Times New Roman" w:eastAsia="Times New Roman" w:hAnsi="Times New Roman" w:cs="Times New Roman"/>
      <w:b/>
      <w:bCs/>
      <w:i/>
      <w:iCs/>
      <w:color w:val="000000"/>
      <w:sz w:val="20"/>
      <w:szCs w:val="20"/>
      <w:lang w:val="en-US"/>
    </w:rPr>
  </w:style>
  <w:style w:type="paragraph" w:customStyle="1" w:styleId="xl80">
    <w:name w:val="xl80"/>
    <w:basedOn w:val="Normal"/>
    <w:rsid w:val="00BC13E7"/>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81">
    <w:name w:val="xl81"/>
    <w:basedOn w:val="Normal"/>
    <w:rsid w:val="00BC13E7"/>
    <w:pPr>
      <w:spacing w:before="100" w:beforeAutospacing="1" w:after="100" w:afterAutospacing="1" w:line="240" w:lineRule="auto"/>
    </w:pPr>
    <w:rPr>
      <w:rFonts w:ascii="Times New Roman" w:eastAsia="Times New Roman" w:hAnsi="Times New Roman" w:cs="Times New Roman"/>
      <w:sz w:val="18"/>
      <w:szCs w:val="18"/>
      <w:lang w:val="ru-RU" w:eastAsia="ru-RU"/>
    </w:rPr>
  </w:style>
  <w:style w:type="paragraph" w:customStyle="1" w:styleId="xl68">
    <w:name w:val="xl68"/>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BC13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0">
    <w:name w:val="xl70"/>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val="en-US"/>
    </w:rPr>
  </w:style>
  <w:style w:type="paragraph" w:customStyle="1" w:styleId="xl71">
    <w:name w:val="xl71"/>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2">
    <w:name w:val="xl72"/>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3">
    <w:name w:val="xl73"/>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74">
    <w:name w:val="xl74"/>
    <w:basedOn w:val="Normal"/>
    <w:rsid w:val="00BC13E7"/>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75">
    <w:name w:val="xl75"/>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76">
    <w:name w:val="xl76"/>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7">
    <w:name w:val="xl77"/>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8">
    <w:name w:val="xl78"/>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8"/>
      <w:szCs w:val="18"/>
      <w:lang w:val="en-US"/>
    </w:rPr>
  </w:style>
  <w:style w:type="paragraph" w:customStyle="1" w:styleId="xl79">
    <w:name w:val="xl79"/>
    <w:basedOn w:val="Normal"/>
    <w:rsid w:val="00BC13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val="en-US"/>
    </w:rPr>
  </w:style>
  <w:style w:type="paragraph" w:styleId="Corptext">
    <w:name w:val="Body Text"/>
    <w:basedOn w:val="Normal"/>
    <w:link w:val="CorptextCaracter"/>
    <w:uiPriority w:val="99"/>
    <w:unhideWhenUsed/>
    <w:rsid w:val="006859E0"/>
    <w:pPr>
      <w:spacing w:after="120" w:line="240" w:lineRule="auto"/>
    </w:pPr>
    <w:rPr>
      <w:rFonts w:ascii="Times New Roman" w:eastAsia="Times New Roman" w:hAnsi="Times New Roman" w:cs="Times New Roman"/>
      <w:sz w:val="24"/>
      <w:szCs w:val="24"/>
      <w:lang w:val="ru-RU" w:eastAsia="ru-RU"/>
    </w:rPr>
  </w:style>
  <w:style w:type="character" w:customStyle="1" w:styleId="CorptextCaracter">
    <w:name w:val="Corp text Caracter"/>
    <w:basedOn w:val="Fontdeparagrafimplicit"/>
    <w:link w:val="Corptext"/>
    <w:uiPriority w:val="99"/>
    <w:rsid w:val="006859E0"/>
    <w:rPr>
      <w:rFonts w:ascii="Times New Roman" w:eastAsia="Times New Roman" w:hAnsi="Times New Roman" w:cs="Times New Roman"/>
      <w:sz w:val="24"/>
      <w:szCs w:val="24"/>
      <w:lang w:val="ru-RU" w:eastAsia="ru-RU"/>
    </w:rPr>
  </w:style>
  <w:style w:type="paragraph" w:customStyle="1" w:styleId="xl219">
    <w:name w:val="xl219"/>
    <w:basedOn w:val="Normal"/>
    <w:rsid w:val="007B393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0">
    <w:name w:val="xl220"/>
    <w:basedOn w:val="Normal"/>
    <w:rsid w:val="007B393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1">
    <w:name w:val="xl221"/>
    <w:basedOn w:val="Normal"/>
    <w:rsid w:val="007B393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222">
    <w:name w:val="xl222"/>
    <w:basedOn w:val="Normal"/>
    <w:rsid w:val="007B393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3">
    <w:name w:val="xl223"/>
    <w:basedOn w:val="Normal"/>
    <w:rsid w:val="007B393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4">
    <w:name w:val="xl224"/>
    <w:basedOn w:val="Normal"/>
    <w:rsid w:val="007B393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5">
    <w:name w:val="xl225"/>
    <w:basedOn w:val="Normal"/>
    <w:rsid w:val="007B39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6">
    <w:name w:val="xl226"/>
    <w:basedOn w:val="Normal"/>
    <w:rsid w:val="007B393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7">
    <w:name w:val="xl227"/>
    <w:basedOn w:val="Normal"/>
    <w:rsid w:val="007B39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8">
    <w:name w:val="xl228"/>
    <w:basedOn w:val="Normal"/>
    <w:rsid w:val="007B393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29">
    <w:name w:val="xl229"/>
    <w:basedOn w:val="Normal"/>
    <w:rsid w:val="007B393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0">
    <w:name w:val="xl230"/>
    <w:basedOn w:val="Normal"/>
    <w:rsid w:val="007B393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1">
    <w:name w:val="xl231"/>
    <w:basedOn w:val="Normal"/>
    <w:rsid w:val="007B393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2">
    <w:name w:val="xl232"/>
    <w:basedOn w:val="Normal"/>
    <w:rsid w:val="007B393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233">
    <w:name w:val="xl233"/>
    <w:basedOn w:val="Normal"/>
    <w:rsid w:val="007B3930"/>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28"/>
      <w:szCs w:val="28"/>
      <w:lang w:val="en-US"/>
    </w:rPr>
  </w:style>
  <w:style w:type="paragraph" w:customStyle="1" w:styleId="xl234">
    <w:name w:val="xl234"/>
    <w:basedOn w:val="Normal"/>
    <w:rsid w:val="007B39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FF0000"/>
      <w:sz w:val="28"/>
      <w:szCs w:val="28"/>
      <w:lang w:val="en-US"/>
    </w:rPr>
  </w:style>
  <w:style w:type="paragraph" w:customStyle="1" w:styleId="xl235">
    <w:name w:val="xl235"/>
    <w:basedOn w:val="Normal"/>
    <w:rsid w:val="007B3930"/>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i/>
      <w:iCs/>
      <w:sz w:val="28"/>
      <w:szCs w:val="28"/>
      <w:lang w:val="en-US"/>
    </w:rPr>
  </w:style>
  <w:style w:type="paragraph" w:customStyle="1" w:styleId="xl236">
    <w:name w:val="xl236"/>
    <w:basedOn w:val="Normal"/>
    <w:rsid w:val="007B393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30"/>
      <w:szCs w:val="30"/>
      <w:lang w:val="en-US"/>
    </w:rPr>
  </w:style>
  <w:style w:type="paragraph" w:customStyle="1" w:styleId="xl237">
    <w:name w:val="xl237"/>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38">
    <w:name w:val="xl238"/>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39">
    <w:name w:val="xl239"/>
    <w:basedOn w:val="Normal"/>
    <w:rsid w:val="007B393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0">
    <w:name w:val="xl240"/>
    <w:basedOn w:val="Normal"/>
    <w:rsid w:val="007B3930"/>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1">
    <w:name w:val="xl241"/>
    <w:basedOn w:val="Normal"/>
    <w:rsid w:val="007B3930"/>
    <w:pPr>
      <w:pBdr>
        <w:top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30"/>
      <w:szCs w:val="30"/>
      <w:lang w:val="en-US"/>
    </w:rPr>
  </w:style>
  <w:style w:type="paragraph" w:customStyle="1" w:styleId="xl242">
    <w:name w:val="xl242"/>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3">
    <w:name w:val="xl243"/>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4">
    <w:name w:val="xl244"/>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5">
    <w:name w:val="xl245"/>
    <w:basedOn w:val="Normal"/>
    <w:rsid w:val="007B393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6">
    <w:name w:val="xl246"/>
    <w:basedOn w:val="Normal"/>
    <w:rsid w:val="007B393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7">
    <w:name w:val="xl247"/>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8">
    <w:name w:val="xl248"/>
    <w:basedOn w:val="Normal"/>
    <w:rsid w:val="007B393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8"/>
      <w:lang w:val="en-US"/>
    </w:rPr>
  </w:style>
  <w:style w:type="paragraph" w:customStyle="1" w:styleId="xl249">
    <w:name w:val="xl249"/>
    <w:basedOn w:val="Normal"/>
    <w:rsid w:val="007B3930"/>
    <w:pPr>
      <w:pBdr>
        <w:top w:val="single" w:sz="4" w:space="0" w:color="auto"/>
        <w:left w:val="single" w:sz="8" w:space="2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Times New Roman"/>
      <w:i/>
      <w:iCs/>
      <w:sz w:val="28"/>
      <w:szCs w:val="28"/>
      <w:lang w:val="en-US"/>
    </w:rPr>
  </w:style>
  <w:style w:type="paragraph" w:customStyle="1" w:styleId="xl250">
    <w:name w:val="xl250"/>
    <w:basedOn w:val="Normal"/>
    <w:rsid w:val="007B39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649971">
      <w:bodyDiv w:val="1"/>
      <w:marLeft w:val="0"/>
      <w:marRight w:val="0"/>
      <w:marTop w:val="0"/>
      <w:marBottom w:val="0"/>
      <w:divBdr>
        <w:top w:val="none" w:sz="0" w:space="0" w:color="auto"/>
        <w:left w:val="none" w:sz="0" w:space="0" w:color="auto"/>
        <w:bottom w:val="none" w:sz="0" w:space="0" w:color="auto"/>
        <w:right w:val="none" w:sz="0" w:space="0" w:color="auto"/>
      </w:divBdr>
    </w:div>
    <w:div w:id="1603300132">
      <w:bodyDiv w:val="1"/>
      <w:marLeft w:val="0"/>
      <w:marRight w:val="0"/>
      <w:marTop w:val="0"/>
      <w:marBottom w:val="0"/>
      <w:divBdr>
        <w:top w:val="none" w:sz="0" w:space="0" w:color="auto"/>
        <w:left w:val="none" w:sz="0" w:space="0" w:color="auto"/>
        <w:bottom w:val="none" w:sz="0" w:space="0" w:color="auto"/>
        <w:right w:val="none" w:sz="0" w:space="0" w:color="auto"/>
      </w:divBdr>
    </w:div>
    <w:div w:id="17025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abinet.gov.m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3" Type="http://schemas.openxmlformats.org/officeDocument/2006/relationships/oleObject" Target="file:///C:\Users\alina.gherta\Desktop\Grafice%20cbtm%202025-2027.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alina.gherta\Desktop\Grafice%20cbtm%202025-2027.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806904345290174E-2"/>
          <c:y val="0.11281535391672255"/>
          <c:w val="0.90878280839895009"/>
          <c:h val="0.67273114914263465"/>
        </c:manualLayout>
      </c:layout>
      <c:barChart>
        <c:barDir val="col"/>
        <c:grouping val="stacked"/>
        <c:varyColors val="0"/>
        <c:ser>
          <c:idx val="0"/>
          <c:order val="0"/>
          <c:tx>
            <c:strRef>
              <c:f>Лист1!$B$1</c:f>
              <c:strCache>
                <c:ptCount val="1"/>
                <c:pt idx="0">
                  <c:v>Ряд 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Pt>
            <c:idx val="0"/>
            <c:invertIfNegative val="0"/>
            <c:bubble3D val="0"/>
            <c:extLst>
              <c:ext xmlns:c16="http://schemas.microsoft.com/office/drawing/2014/chart" uri="{C3380CC4-5D6E-409C-BE32-E72D297353CC}">
                <c16:uniqueId val="{00000000-A253-4E29-BC24-6C92B2CFF807}"/>
              </c:ext>
            </c:extLst>
          </c:dPt>
          <c:dPt>
            <c:idx val="1"/>
            <c:invertIfNegative val="0"/>
            <c:bubble3D val="0"/>
            <c:extLst>
              <c:ext xmlns:c16="http://schemas.microsoft.com/office/drawing/2014/chart" uri="{C3380CC4-5D6E-409C-BE32-E72D297353CC}">
                <c16:uniqueId val="{00000001-A253-4E29-BC24-6C92B2CFF807}"/>
              </c:ext>
            </c:extLst>
          </c:dPt>
          <c:dPt>
            <c:idx val="2"/>
            <c:invertIfNegative val="0"/>
            <c:bubble3D val="0"/>
            <c:extLst>
              <c:ext xmlns:c16="http://schemas.microsoft.com/office/drawing/2014/chart" uri="{C3380CC4-5D6E-409C-BE32-E72D297353CC}">
                <c16:uniqueId val="{00000002-A253-4E29-BC24-6C92B2CFF807}"/>
              </c:ext>
            </c:extLst>
          </c:dPt>
          <c:dPt>
            <c:idx val="4"/>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4-A253-4E29-BC24-6C92B2CFF807}"/>
              </c:ext>
            </c:extLst>
          </c:dPt>
          <c:dPt>
            <c:idx val="5"/>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6-A253-4E29-BC24-6C92B2CFF807}"/>
              </c:ext>
            </c:extLst>
          </c:dPt>
          <c:dPt>
            <c:idx val="6"/>
            <c:invertIfNegative val="0"/>
            <c:bubble3D val="0"/>
            <c:spPr>
              <a:solidFill>
                <a:schemeClr val="accent2"/>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8-A253-4E29-BC24-6C92B2CFF807}"/>
              </c:ext>
            </c:extLst>
          </c:dPt>
          <c:dPt>
            <c:idx val="8"/>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A-A253-4E29-BC24-6C92B2CFF807}"/>
              </c:ext>
            </c:extLst>
          </c:dPt>
          <c:dPt>
            <c:idx val="9"/>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C-A253-4E29-BC24-6C92B2CFF807}"/>
              </c:ext>
            </c:extLst>
          </c:dPt>
          <c:dPt>
            <c:idx val="10"/>
            <c:invertIfNegative val="0"/>
            <c:bubble3D val="0"/>
            <c:spPr>
              <a:solidFill>
                <a:schemeClr val="accent5"/>
              </a:soli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E-A253-4E29-BC24-6C92B2CFF807}"/>
              </c:ext>
            </c:extLst>
          </c:dPt>
          <c:dLbls>
            <c:dLbl>
              <c:idx val="0"/>
              <c:layout>
                <c:manualLayout>
                  <c:x val="-1.1014853128784421E-17"/>
                  <c:y val="-0.15731235331838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253-4E29-BC24-6C92B2CFF807}"/>
                </c:ext>
              </c:extLst>
            </c:dLbl>
            <c:dLbl>
              <c:idx val="1"/>
              <c:layout>
                <c:manualLayout>
                  <c:x val="2.3148962904510546E-3"/>
                  <c:y val="-9.006552457090032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253-4E29-BC24-6C92B2CFF807}"/>
                </c:ext>
              </c:extLst>
            </c:dLbl>
            <c:dLbl>
              <c:idx val="2"/>
              <c:layout>
                <c:manualLayout>
                  <c:x val="0"/>
                  <c:y val="-8.736837308317030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253-4E29-BC24-6C92B2CFF807}"/>
                </c:ext>
              </c:extLst>
            </c:dLbl>
            <c:dLbl>
              <c:idx val="4"/>
              <c:layout>
                <c:manualLayout>
                  <c:x val="0"/>
                  <c:y val="-0.1355977377827771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253-4E29-BC24-6C92B2CFF807}"/>
                </c:ext>
              </c:extLst>
            </c:dLbl>
            <c:dLbl>
              <c:idx val="5"/>
              <c:layout>
                <c:manualLayout>
                  <c:x val="-2.305741295826608E-3"/>
                  <c:y val="-0.1410803926694664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253-4E29-BC24-6C92B2CFF807}"/>
                </c:ext>
              </c:extLst>
            </c:dLbl>
            <c:dLbl>
              <c:idx val="6"/>
              <c:layout>
                <c:manualLayout>
                  <c:x val="0"/>
                  <c:y val="-0.150024583814016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253-4E29-BC24-6C92B2CFF807}"/>
                </c:ext>
              </c:extLst>
            </c:dLbl>
            <c:dLbl>
              <c:idx val="8"/>
              <c:layout>
                <c:manualLayout>
                  <c:x val="2.4032684450854039E-3"/>
                  <c:y val="-0.1566320435658647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253-4E29-BC24-6C92B2CFF807}"/>
                </c:ext>
              </c:extLst>
            </c:dLbl>
            <c:dLbl>
              <c:idx val="9"/>
              <c:layout>
                <c:manualLayout>
                  <c:x val="0"/>
                  <c:y val="-0.11035372852060298"/>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253-4E29-BC24-6C92B2CFF807}"/>
                </c:ext>
              </c:extLst>
            </c:dLbl>
            <c:dLbl>
              <c:idx val="10"/>
              <c:layout>
                <c:manualLayout>
                  <c:x val="2.4032684450853159E-3"/>
                  <c:y val="-0.10814939471962449"/>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253-4E29-BC24-6C92B2CFF807}"/>
                </c:ext>
              </c:extLst>
            </c:dLbl>
            <c:numFmt formatCode="#,##0.0" sourceLinked="0"/>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ro-RO"/>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Лист1!$A$2:$A$12</c:f>
              <c:numCache>
                <c:formatCode>General</c:formatCode>
                <c:ptCount val="11"/>
                <c:pt idx="0">
                  <c:v>2023</c:v>
                </c:pt>
                <c:pt idx="1">
                  <c:v>2024</c:v>
                </c:pt>
                <c:pt idx="2">
                  <c:v>2025</c:v>
                </c:pt>
                <c:pt idx="4">
                  <c:v>2023</c:v>
                </c:pt>
                <c:pt idx="5">
                  <c:v>2024</c:v>
                </c:pt>
                <c:pt idx="6">
                  <c:v>2025</c:v>
                </c:pt>
                <c:pt idx="8">
                  <c:v>2023</c:v>
                </c:pt>
                <c:pt idx="9">
                  <c:v>2024</c:v>
                </c:pt>
                <c:pt idx="10">
                  <c:v>2025</c:v>
                </c:pt>
              </c:numCache>
            </c:numRef>
          </c:cat>
          <c:val>
            <c:numRef>
              <c:f>Лист1!$B$2:$B$12</c:f>
              <c:numCache>
                <c:formatCode>General</c:formatCode>
                <c:ptCount val="11"/>
                <c:pt idx="0">
                  <c:v>3.1</c:v>
                </c:pt>
                <c:pt idx="1">
                  <c:v>3.1</c:v>
                </c:pt>
                <c:pt idx="2">
                  <c:v>3.2</c:v>
                </c:pt>
                <c:pt idx="4">
                  <c:v>1.6</c:v>
                </c:pt>
                <c:pt idx="5">
                  <c:v>1.5</c:v>
                </c:pt>
                <c:pt idx="6">
                  <c:v>1.8</c:v>
                </c:pt>
                <c:pt idx="8">
                  <c:v>4.0999999999999996</c:v>
                </c:pt>
                <c:pt idx="9">
                  <c:v>4.0999999999999996</c:v>
                </c:pt>
                <c:pt idx="10">
                  <c:v>4.2</c:v>
                </c:pt>
              </c:numCache>
            </c:numRef>
          </c:val>
          <c:extLst>
            <c:ext xmlns:c16="http://schemas.microsoft.com/office/drawing/2014/chart" uri="{C3380CC4-5D6E-409C-BE32-E72D297353CC}">
              <c16:uniqueId val="{0000000F-A253-4E29-BC24-6C92B2CFF807}"/>
            </c:ext>
          </c:extLst>
        </c:ser>
        <c:dLbls>
          <c:showLegendKey val="0"/>
          <c:showVal val="0"/>
          <c:showCatName val="0"/>
          <c:showSerName val="0"/>
          <c:showPercent val="0"/>
          <c:showBubbleSize val="0"/>
        </c:dLbls>
        <c:gapWidth val="150"/>
        <c:overlap val="100"/>
        <c:axId val="160295168"/>
        <c:axId val="149553152"/>
      </c:barChart>
      <c:catAx>
        <c:axId val="160295168"/>
        <c:scaling>
          <c:orientation val="minMax"/>
        </c:scaling>
        <c:delete val="0"/>
        <c:axPos val="b"/>
        <c:numFmt formatCode="General" sourceLinked="1"/>
        <c:majorTickMark val="none"/>
        <c:minorTickMark val="none"/>
        <c:tickLblPos val="low"/>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ro-RO"/>
          </a:p>
        </c:txPr>
        <c:crossAx val="149553152"/>
        <c:crosses val="autoZero"/>
        <c:auto val="1"/>
        <c:lblAlgn val="ctr"/>
        <c:lblOffset val="100"/>
        <c:noMultiLvlLbl val="0"/>
      </c:catAx>
      <c:valAx>
        <c:axId val="149553152"/>
        <c:scaling>
          <c:orientation val="minMax"/>
          <c:max val="5"/>
          <c:min val="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ro-RO"/>
          </a:p>
        </c:txPr>
        <c:crossAx val="160295168"/>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Cambria" panose="02040503050406030204" pitchFamily="18" charset="0"/>
          <a:ea typeface="Cambria" panose="02040503050406030204" pitchFamily="18" charset="0"/>
        </a:defRPr>
      </a:pPr>
      <a:endParaRPr lang="ro-RO"/>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860024116969534E-2"/>
          <c:y val="6.0855041889930378E-2"/>
          <c:w val="0.90165900278000277"/>
          <c:h val="0.7463392386716009"/>
        </c:manualLayout>
      </c:layout>
      <c:barChart>
        <c:barDir val="col"/>
        <c:grouping val="clustered"/>
        <c:varyColors val="0"/>
        <c:ser>
          <c:idx val="1"/>
          <c:order val="0"/>
          <c:tx>
            <c:strRef>
              <c:f>Лист1!$B$1</c:f>
              <c:strCache>
                <c:ptCount val="1"/>
                <c:pt idx="0">
                  <c:v>UE</c:v>
                </c:pt>
              </c:strCache>
            </c:strRef>
          </c:tx>
          <c:spPr>
            <a:solidFill>
              <a:srgbClr val="E7E6E6">
                <a:lumMod val="50000"/>
              </a:srgbClr>
            </a:solidFill>
            <a:ln>
              <a:solidFill>
                <a:sysClr val="windowText" lastClr="000000">
                  <a:lumMod val="65000"/>
                  <a:lumOff val="35000"/>
                </a:sysClr>
              </a:solidFill>
            </a:ln>
            <a:effectLst>
              <a:outerShdw blurRad="50800" dist="38100" algn="l" rotWithShape="0">
                <a:prstClr val="black">
                  <a:alpha val="40000"/>
                </a:prstClr>
              </a:outerShdw>
            </a:effectLst>
          </c:spPr>
          <c:invertIfNegative val="0"/>
          <c:dLbls>
            <c:dLbl>
              <c:idx val="1"/>
              <c:layout>
                <c:manualLayout>
                  <c:x val="3.8882285391945125E-3"/>
                  <c:y val="5.9642474390237679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A4-4C62-8D2D-1846B01736F4}"/>
                </c:ext>
              </c:extLst>
            </c:dLbl>
            <c:dLbl>
              <c:idx val="3"/>
              <c:layout>
                <c:manualLayout>
                  <c:x val="-4.5116174148432213E-3"/>
                  <c:y val="-2.89345609106452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A4-4C62-8D2D-1846B01736F4}"/>
                </c:ext>
              </c:extLst>
            </c:dLbl>
            <c:dLbl>
              <c:idx val="4"/>
              <c:layout>
                <c:manualLayout>
                  <c:x val="6.5604493752850828E-3"/>
                  <c:y val="1.07212940517500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AA4-4C62-8D2D-1846B01736F4}"/>
                </c:ext>
              </c:extLst>
            </c:dLbl>
            <c:dLbl>
              <c:idx val="6"/>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A4-4C62-8D2D-1846B01736F4}"/>
                </c:ext>
              </c:extLst>
            </c:dLbl>
            <c:dLbl>
              <c:idx val="8"/>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A4-4C62-8D2D-1846B01736F4}"/>
                </c:ext>
              </c:extLst>
            </c:dLbl>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2018</c:v>
                </c:pt>
                <c:pt idx="1">
                  <c:v>2019</c:v>
                </c:pt>
                <c:pt idx="2">
                  <c:v>2020</c:v>
                </c:pt>
                <c:pt idx="3">
                  <c:v>2021</c:v>
                </c:pt>
                <c:pt idx="4">
                  <c:v>2022</c:v>
                </c:pt>
                <c:pt idx="5">
                  <c:v>2023</c:v>
                </c:pt>
                <c:pt idx="6">
                  <c:v>2024</c:v>
                </c:pt>
                <c:pt idx="7">
                  <c:v>2025</c:v>
                </c:pt>
              </c:numCache>
            </c:numRef>
          </c:cat>
          <c:val>
            <c:numRef>
              <c:f>Лист1!$B$2:$B$9</c:f>
              <c:numCache>
                <c:formatCode>General</c:formatCode>
                <c:ptCount val="8"/>
                <c:pt idx="0">
                  <c:v>2.1</c:v>
                </c:pt>
                <c:pt idx="1">
                  <c:v>1.8</c:v>
                </c:pt>
                <c:pt idx="2">
                  <c:v>-5.6</c:v>
                </c:pt>
                <c:pt idx="3">
                  <c:v>5.4</c:v>
                </c:pt>
                <c:pt idx="4">
                  <c:v>3.5</c:v>
                </c:pt>
                <c:pt idx="5">
                  <c:v>0.5</c:v>
                </c:pt>
                <c:pt idx="6">
                  <c:v>0.9</c:v>
                </c:pt>
                <c:pt idx="7">
                  <c:v>1.7</c:v>
                </c:pt>
              </c:numCache>
            </c:numRef>
          </c:val>
          <c:extLst>
            <c:ext xmlns:c16="http://schemas.microsoft.com/office/drawing/2014/chart" uri="{C3380CC4-5D6E-409C-BE32-E72D297353CC}">
              <c16:uniqueId val="{00000005-DAA4-4C62-8D2D-1846B01736F4}"/>
            </c:ext>
          </c:extLst>
        </c:ser>
        <c:ser>
          <c:idx val="2"/>
          <c:order val="1"/>
          <c:tx>
            <c:strRef>
              <c:f>Лист1!$C$1</c:f>
              <c:strCache>
                <c:ptCount val="1"/>
                <c:pt idx="0">
                  <c:v>Zona Euro</c:v>
                </c:pt>
              </c:strCache>
            </c:strRef>
          </c:tx>
          <c:spPr>
            <a:solidFill>
              <a:schemeClr val="accent5"/>
            </a:solidFill>
            <a:ln>
              <a:solidFill>
                <a:srgbClr val="3B6977"/>
              </a:solidFill>
            </a:ln>
            <a:effectLst>
              <a:outerShdw blurRad="50800" dist="38100" algn="l" rotWithShape="0">
                <a:prstClr val="black">
                  <a:alpha val="40000"/>
                </a:prstClr>
              </a:outerShdw>
            </a:effectLst>
          </c:spPr>
          <c:invertIfNegative val="0"/>
          <c:dLbls>
            <c:dLbl>
              <c:idx val="0"/>
              <c:layout>
                <c:manualLayout>
                  <c:x val="1.3289036544850478E-2"/>
                  <c:y val="1.0837171498238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A4-4C62-8D2D-1846B01736F4}"/>
                </c:ext>
              </c:extLst>
            </c:dLbl>
            <c:dLbl>
              <c:idx val="1"/>
              <c:layout>
                <c:manualLayout>
                  <c:x val="1.7882648389881496E-2"/>
                  <c:y val="1.0837171498238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A4-4C62-8D2D-1846B01736F4}"/>
                </c:ext>
              </c:extLst>
            </c:dLbl>
            <c:dLbl>
              <c:idx val="2"/>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A4-4C62-8D2D-1846B01736F4}"/>
                </c:ext>
              </c:extLst>
            </c:dLbl>
            <c:dLbl>
              <c:idx val="3"/>
              <c:layout>
                <c:manualLayout>
                  <c:x val="1.353485224452966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AA4-4C62-8D2D-1846B01736F4}"/>
                </c:ext>
              </c:extLst>
            </c:dLbl>
            <c:dLbl>
              <c:idx val="4"/>
              <c:layout>
                <c:manualLayout>
                  <c:x val="2.6655843521477169E-2"/>
                  <c:y val="2.53817783488515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AA4-4C62-8D2D-1846B01736F4}"/>
                </c:ext>
              </c:extLst>
            </c:dLbl>
            <c:dLbl>
              <c:idx val="5"/>
              <c:layout>
                <c:manualLayout>
                  <c:x val="1.3534852244529581E-2"/>
                  <c:y val="-9.697498834990103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AA4-4C62-8D2D-1846B01736F4}"/>
                </c:ext>
              </c:extLst>
            </c:dLbl>
            <c:dLbl>
              <c:idx val="6"/>
              <c:layout>
                <c:manualLayout>
                  <c:x val="4.511617414843055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AA4-4C62-8D2D-1846B01736F4}"/>
                </c:ext>
              </c:extLst>
            </c:dLbl>
            <c:dLbl>
              <c:idx val="7"/>
              <c:layout>
                <c:manualLayout>
                  <c:x val="4.5116174148432213E-3"/>
                  <c:y val="-4.848749417495051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AA4-4C62-8D2D-1846B01736F4}"/>
                </c:ext>
              </c:extLst>
            </c:dLbl>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Cambria" panose="02040503050406030204" pitchFamily="18" charset="0"/>
                    <a:ea typeface="Cambria" panose="02040503050406030204" pitchFamily="18" charset="0"/>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2018</c:v>
                </c:pt>
                <c:pt idx="1">
                  <c:v>2019</c:v>
                </c:pt>
                <c:pt idx="2">
                  <c:v>2020</c:v>
                </c:pt>
                <c:pt idx="3">
                  <c:v>2021</c:v>
                </c:pt>
                <c:pt idx="4">
                  <c:v>2022</c:v>
                </c:pt>
                <c:pt idx="5">
                  <c:v>2023</c:v>
                </c:pt>
                <c:pt idx="6">
                  <c:v>2024</c:v>
                </c:pt>
                <c:pt idx="7">
                  <c:v>2025</c:v>
                </c:pt>
              </c:numCache>
            </c:numRef>
          </c:cat>
          <c:val>
            <c:numRef>
              <c:f>Лист1!$C$2:$C$9</c:f>
              <c:numCache>
                <c:formatCode>General</c:formatCode>
                <c:ptCount val="8"/>
                <c:pt idx="0">
                  <c:v>1.8</c:v>
                </c:pt>
                <c:pt idx="1">
                  <c:v>1.6</c:v>
                </c:pt>
                <c:pt idx="2">
                  <c:v>-6.1</c:v>
                </c:pt>
                <c:pt idx="3">
                  <c:v>5.3</c:v>
                </c:pt>
                <c:pt idx="4">
                  <c:v>3.5</c:v>
                </c:pt>
                <c:pt idx="5">
                  <c:v>0.5</c:v>
                </c:pt>
                <c:pt idx="6">
                  <c:v>0.8</c:v>
                </c:pt>
                <c:pt idx="7">
                  <c:v>1.5</c:v>
                </c:pt>
              </c:numCache>
            </c:numRef>
          </c:val>
          <c:extLst>
            <c:ext xmlns:c16="http://schemas.microsoft.com/office/drawing/2014/chart" uri="{C3380CC4-5D6E-409C-BE32-E72D297353CC}">
              <c16:uniqueId val="{0000000E-DAA4-4C62-8D2D-1846B01736F4}"/>
            </c:ext>
          </c:extLst>
        </c:ser>
        <c:dLbls>
          <c:showLegendKey val="0"/>
          <c:showVal val="0"/>
          <c:showCatName val="0"/>
          <c:showSerName val="0"/>
          <c:showPercent val="0"/>
          <c:showBubbleSize val="0"/>
        </c:dLbls>
        <c:gapWidth val="150"/>
        <c:axId val="247608448"/>
        <c:axId val="247609984"/>
      </c:barChart>
      <c:catAx>
        <c:axId val="2476084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ro-RO"/>
          </a:p>
        </c:txPr>
        <c:crossAx val="247609984"/>
        <c:crosses val="autoZero"/>
        <c:auto val="1"/>
        <c:lblAlgn val="ctr"/>
        <c:lblOffset val="100"/>
        <c:noMultiLvlLbl val="0"/>
      </c:catAx>
      <c:valAx>
        <c:axId val="247609984"/>
        <c:scaling>
          <c:orientation val="minMax"/>
          <c:max val="8"/>
          <c:min val="-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ro-RO"/>
          </a:p>
        </c:txPr>
        <c:crossAx val="247608448"/>
        <c:crosses val="autoZero"/>
        <c:crossBetween val="between"/>
        <c:majorUnit val="2"/>
      </c:valAx>
      <c:spPr>
        <a:noFill/>
        <a:ln>
          <a:noFill/>
        </a:ln>
        <a:effectLst/>
      </c:spPr>
    </c:plotArea>
    <c:legend>
      <c:legendPos val="b"/>
      <c:layout>
        <c:manualLayout>
          <c:xMode val="edge"/>
          <c:yMode val="edge"/>
          <c:x val="0.21515536125605228"/>
          <c:y val="0.92498175480569345"/>
          <c:w val="0.59774509950789745"/>
          <c:h val="5.8936304116681444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latin typeface="Cambria" panose="02040503050406030204" pitchFamily="18" charset="0"/>
          <a:ea typeface="Cambria" panose="02040503050406030204" pitchFamily="18" charset="0"/>
        </a:defRPr>
      </a:pPr>
      <a:endParaRPr lang="ro-RO"/>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420473492254625E-2"/>
          <c:y val="0.13349137514867773"/>
          <c:w val="0.90165900278000277"/>
          <c:h val="0.67527337193990855"/>
        </c:manualLayout>
      </c:layout>
      <c:barChart>
        <c:barDir val="col"/>
        <c:grouping val="clustered"/>
        <c:varyColors val="0"/>
        <c:ser>
          <c:idx val="0"/>
          <c:order val="0"/>
          <c:tx>
            <c:strRef>
              <c:f>Лист1!$B$1</c:f>
              <c:strCache>
                <c:ptCount val="1"/>
                <c:pt idx="0">
                  <c:v>2023</c:v>
                </c:pt>
              </c:strCache>
            </c:strRef>
          </c:tx>
          <c:spPr>
            <a:solidFill>
              <a:schemeClr val="accent1"/>
            </a:solidFill>
            <a:ln>
              <a:noFill/>
            </a:ln>
            <a:effectLst>
              <a:outerShdw blurRad="50800" dist="38100" algn="l" rotWithShape="0">
                <a:prstClr val="black">
                  <a:alpha val="40000"/>
                </a:prstClr>
              </a:outerShdw>
            </a:effectLst>
          </c:spPr>
          <c:invertIfNegative val="0"/>
          <c:dLbls>
            <c:dLbl>
              <c:idx val="1"/>
              <c:layout>
                <c:manualLayout>
                  <c:x val="3.8882285391945125E-3"/>
                  <c:y val="5.9642474390237679E-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544-4F41-9C37-8A30247FD91E}"/>
                </c:ext>
              </c:extLst>
            </c:dLbl>
            <c:dLbl>
              <c:idx val="3"/>
              <c:layout>
                <c:manualLayout>
                  <c:x val="1.5307715208998526E-2"/>
                  <c:y val="2.68032351293742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44-4F41-9C37-8A30247FD91E}"/>
                </c:ext>
              </c:extLst>
            </c:dLbl>
            <c:dLbl>
              <c:idx val="4"/>
              <c:layout>
                <c:manualLayout>
                  <c:x val="-1.2285319458742741E-2"/>
                  <c:y val="1.07212492792788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544-4F41-9C37-8A30247FD91E}"/>
                </c:ext>
              </c:extLst>
            </c:dLbl>
            <c:dLbl>
              <c:idx val="6"/>
              <c:layout>
                <c:manualLayout>
                  <c:x val="-7.0339726241589687E-4"/>
                  <c:y val="-1.018945033107271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44-4F41-9C37-8A30247FD91E}"/>
                </c:ext>
              </c:extLst>
            </c:dLbl>
            <c:dLbl>
              <c:idx val="7"/>
              <c:layout>
                <c:manualLayout>
                  <c:x val="5.8570521128693456E-3"/>
                  <c:y val="-1.566828485043259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44-4F41-9C37-8A30247FD91E}"/>
                </c:ext>
              </c:extLst>
            </c:dLbl>
            <c:numFmt formatCode="#,##0.0_ ;\-#,##0.0\ "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Лист1!$B$2:$B$6</c:f>
              <c:numCache>
                <c:formatCode>General</c:formatCode>
                <c:ptCount val="5"/>
                <c:pt idx="0">
                  <c:v>0.5</c:v>
                </c:pt>
                <c:pt idx="1">
                  <c:v>4.8</c:v>
                </c:pt>
                <c:pt idx="2">
                  <c:v>1.8</c:v>
                </c:pt>
                <c:pt idx="3">
                  <c:v>-0.3</c:v>
                </c:pt>
                <c:pt idx="4">
                  <c:v>0.6</c:v>
                </c:pt>
              </c:numCache>
            </c:numRef>
          </c:val>
          <c:extLst>
            <c:ext xmlns:c16="http://schemas.microsoft.com/office/drawing/2014/chart" uri="{C3380CC4-5D6E-409C-BE32-E72D297353CC}">
              <c16:uniqueId val="{00000005-5544-4F41-9C37-8A30247FD91E}"/>
            </c:ext>
          </c:extLst>
        </c:ser>
        <c:ser>
          <c:idx val="1"/>
          <c:order val="1"/>
          <c:tx>
            <c:strRef>
              <c:f>Лист1!$C$1</c:f>
              <c:strCache>
                <c:ptCount val="1"/>
                <c:pt idx="0">
                  <c:v>2024</c:v>
                </c:pt>
              </c:strCache>
            </c:strRef>
          </c:tx>
          <c:spPr>
            <a:solidFill>
              <a:schemeClr val="accent3"/>
            </a:solidFill>
            <a:ln>
              <a:solidFill>
                <a:srgbClr val="3B6977"/>
              </a:solidFill>
            </a:ln>
            <a:effectLst>
              <a:outerShdw blurRad="50800" dist="38100" algn="l" rotWithShape="0">
                <a:prstClr val="black">
                  <a:alpha val="40000"/>
                </a:prstClr>
              </a:outerShdw>
            </a:effectLst>
          </c:spPr>
          <c:invertIfNegative val="0"/>
          <c:dLbls>
            <c:dLbl>
              <c:idx val="6"/>
              <c:layout>
                <c:manualLayout>
                  <c:x val="-1.0934082292141885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544-4F41-9C37-8A30247FD91E}"/>
                </c:ext>
              </c:extLst>
            </c:dLbl>
            <c:dLbl>
              <c:idx val="8"/>
              <c:layout>
                <c:manualLayout>
                  <c:x val="-1.5307715208998526E-2"/>
                  <c:y val="8.04097053881256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544-4F41-9C37-8A30247FD91E}"/>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Лист1!$C$2:$C$6</c:f>
              <c:numCache>
                <c:formatCode>General</c:formatCode>
                <c:ptCount val="5"/>
                <c:pt idx="0">
                  <c:v>2.5</c:v>
                </c:pt>
                <c:pt idx="1">
                  <c:v>3.7</c:v>
                </c:pt>
                <c:pt idx="2">
                  <c:v>2.9</c:v>
                </c:pt>
                <c:pt idx="3">
                  <c:v>0.3</c:v>
                </c:pt>
                <c:pt idx="4">
                  <c:v>0.7</c:v>
                </c:pt>
              </c:numCache>
            </c:numRef>
          </c:val>
          <c:extLst>
            <c:ext xmlns:c16="http://schemas.microsoft.com/office/drawing/2014/chart" uri="{C3380CC4-5D6E-409C-BE32-E72D297353CC}">
              <c16:uniqueId val="{00000008-5544-4F41-9C37-8A30247FD91E}"/>
            </c:ext>
          </c:extLst>
        </c:ser>
        <c:ser>
          <c:idx val="2"/>
          <c:order val="2"/>
          <c:tx>
            <c:strRef>
              <c:f>Лист1!$D$1</c:f>
              <c:strCache>
                <c:ptCount val="1"/>
                <c:pt idx="0">
                  <c:v>2025</c:v>
                </c:pt>
              </c:strCache>
            </c:strRef>
          </c:tx>
          <c:spPr>
            <a:solidFill>
              <a:schemeClr val="accent5"/>
            </a:solidFill>
            <a:ln>
              <a:solidFill>
                <a:srgbClr val="44546A">
                  <a:lumMod val="60000"/>
                  <a:lumOff val="40000"/>
                </a:srgbClr>
              </a:solid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chemeClr val="tx1"/>
                    </a:solidFill>
                    <a:latin typeface="+mn-lt"/>
                    <a:ea typeface="+mn-ea"/>
                    <a:cs typeface="+mn-cs"/>
                  </a:defRPr>
                </a:pPr>
                <a:endParaRPr lang="ro-R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Moldova</c:v>
                </c:pt>
                <c:pt idx="1">
                  <c:v>Ucraina</c:v>
                </c:pt>
                <c:pt idx="2">
                  <c:v>Romania</c:v>
                </c:pt>
                <c:pt idx="3">
                  <c:v>Germania</c:v>
                </c:pt>
                <c:pt idx="4">
                  <c:v>Italia</c:v>
                </c:pt>
              </c:strCache>
            </c:strRef>
          </c:cat>
          <c:val>
            <c:numRef>
              <c:f>Лист1!$D$2:$D$6</c:f>
              <c:numCache>
                <c:formatCode>General</c:formatCode>
                <c:ptCount val="5"/>
                <c:pt idx="0">
                  <c:v>3</c:v>
                </c:pt>
                <c:pt idx="1">
                  <c:v>6.1</c:v>
                </c:pt>
                <c:pt idx="2">
                  <c:v>3.2</c:v>
                </c:pt>
                <c:pt idx="3">
                  <c:v>1.2</c:v>
                </c:pt>
                <c:pt idx="4">
                  <c:v>1.2</c:v>
                </c:pt>
              </c:numCache>
            </c:numRef>
          </c:val>
          <c:extLst>
            <c:ext xmlns:c16="http://schemas.microsoft.com/office/drawing/2014/chart" uri="{C3380CC4-5D6E-409C-BE32-E72D297353CC}">
              <c16:uniqueId val="{00000009-5544-4F41-9C37-8A30247FD91E}"/>
            </c:ext>
          </c:extLst>
        </c:ser>
        <c:dLbls>
          <c:showLegendKey val="0"/>
          <c:showVal val="0"/>
          <c:showCatName val="0"/>
          <c:showSerName val="0"/>
          <c:showPercent val="0"/>
          <c:showBubbleSize val="0"/>
        </c:dLbls>
        <c:gapWidth val="150"/>
        <c:axId val="256076032"/>
        <c:axId val="256094208"/>
      </c:barChart>
      <c:catAx>
        <c:axId val="256076032"/>
        <c:scaling>
          <c:orientation val="minMax"/>
        </c:scaling>
        <c:delete val="0"/>
        <c:axPos val="b"/>
        <c:numFmt formatCode="General" sourceLinked="1"/>
        <c:majorTickMark val="none"/>
        <c:minorTickMark val="none"/>
        <c:tickLblPos val="high"/>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chemeClr val="tx1">
                    <a:lumMod val="65000"/>
                    <a:lumOff val="35000"/>
                  </a:schemeClr>
                </a:solidFill>
                <a:latin typeface="+mn-lt"/>
                <a:ea typeface="+mn-ea"/>
                <a:cs typeface="+mn-cs"/>
              </a:defRPr>
            </a:pPr>
            <a:endParaRPr lang="ro-RO"/>
          </a:p>
        </c:txPr>
        <c:crossAx val="256094208"/>
        <c:crosses val="autoZero"/>
        <c:auto val="1"/>
        <c:lblAlgn val="ctr"/>
        <c:lblOffset val="100"/>
        <c:noMultiLvlLbl val="0"/>
      </c:catAx>
      <c:valAx>
        <c:axId val="256094208"/>
        <c:scaling>
          <c:orientation val="minMax"/>
          <c:max val="7"/>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56076032"/>
        <c:crosses val="autoZero"/>
        <c:crossBetween val="between"/>
        <c:majorUnit val="1"/>
      </c:valAx>
      <c:spPr>
        <a:noFill/>
        <a:ln>
          <a:noFill/>
        </a:ln>
        <a:effectLst/>
      </c:spPr>
    </c:plotArea>
    <c:legend>
      <c:legendPos val="b"/>
      <c:layout>
        <c:manualLayout>
          <c:xMode val="edge"/>
          <c:yMode val="edge"/>
          <c:x val="0.21515536125605228"/>
          <c:y val="0.92498175480569345"/>
          <c:w val="0.56094183946390974"/>
          <c:h val="5.8936304116681444E-2"/>
        </c:manualLayout>
      </c:layout>
      <c:overlay val="0"/>
      <c:spPr>
        <a:noFill/>
        <a:ln>
          <a:noFill/>
        </a:ln>
        <a:effectLst/>
      </c:spPr>
      <c:txPr>
        <a:bodyPr rot="0" spcFirstLastPara="1" vertOverflow="ellipsis" vert="horz" wrap="square" anchor="ctr" anchorCtr="1"/>
        <a:lstStyle/>
        <a:p>
          <a:pPr>
            <a:defRPr sz="700" b="1"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3416871970758257"/>
          <c:y val="0.13009826403278538"/>
          <c:w val="0.74455475197261767"/>
          <c:h val="0.5937357830271216"/>
        </c:manualLayout>
      </c:layout>
      <c:barChart>
        <c:barDir val="col"/>
        <c:grouping val="clustered"/>
        <c:varyColors val="0"/>
        <c:ser>
          <c:idx val="0"/>
          <c:order val="0"/>
          <c:tx>
            <c:strRef>
              <c:f>'1'!$B$6</c:f>
              <c:strCache>
                <c:ptCount val="1"/>
                <c:pt idx="0">
                  <c:v>Cheltuieli de personal la nivel BPN, mil. lei</c:v>
                </c:pt>
              </c:strCache>
            </c:strRef>
          </c:tx>
          <c:spPr>
            <a:gradFill rotWithShape="1">
              <a:gsLst>
                <a:gs pos="0">
                  <a:schemeClr val="accent1">
                    <a:tint val="65000"/>
                    <a:satMod val="103000"/>
                    <a:lumMod val="102000"/>
                    <a:tint val="94000"/>
                  </a:schemeClr>
                </a:gs>
                <a:gs pos="50000">
                  <a:schemeClr val="accent1">
                    <a:tint val="65000"/>
                    <a:satMod val="110000"/>
                    <a:lumMod val="100000"/>
                    <a:shade val="100000"/>
                  </a:schemeClr>
                </a:gs>
                <a:gs pos="100000">
                  <a:schemeClr val="accent1">
                    <a:tint val="6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9393936925928664E-2"/>
                  <c:y val="3.64583333333333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A98-4F7B-BCB0-6621E0484017}"/>
                </c:ext>
              </c:extLst>
            </c:dLbl>
            <c:dLbl>
              <c:idx val="1"/>
              <c:layout>
                <c:manualLayout>
                  <c:x val="-9.1996488730264701E-3"/>
                  <c:y val="6.4120734908136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98-4F7B-BCB0-6621E0484017}"/>
                </c:ext>
              </c:extLst>
            </c:dLbl>
            <c:dLbl>
              <c:idx val="2"/>
              <c:layout>
                <c:manualLayout>
                  <c:x val="-1.6489682145590438E-2"/>
                  <c:y val="8.11729002624672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A98-4F7B-BCB0-6621E0484017}"/>
                </c:ext>
              </c:extLst>
            </c:dLbl>
            <c:dLbl>
              <c:idx val="3"/>
              <c:layout>
                <c:manualLayout>
                  <c:x val="2.8141569631231502E-3"/>
                  <c:y val="0.10225065616797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98-4F7B-BCB0-6621E0484017}"/>
                </c:ext>
              </c:extLst>
            </c:dLbl>
            <c:dLbl>
              <c:idx val="4"/>
              <c:layout>
                <c:manualLayout>
                  <c:x val="1.9062194028254306E-3"/>
                  <c:y val="1.58113919970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A98-4F7B-BCB0-6621E048401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'1'!$C$6:$G$6</c:f>
              <c:numCache>
                <c:formatCode>#,##0.0</c:formatCode>
                <c:ptCount val="5"/>
                <c:pt idx="0">
                  <c:v>24403.5</c:v>
                </c:pt>
                <c:pt idx="1">
                  <c:v>27548.9</c:v>
                </c:pt>
                <c:pt idx="2">
                  <c:v>28819.599999999999</c:v>
                </c:pt>
                <c:pt idx="3">
                  <c:v>30395.3</c:v>
                </c:pt>
                <c:pt idx="4">
                  <c:v>33040.6</c:v>
                </c:pt>
              </c:numCache>
            </c:numRef>
          </c:val>
          <c:extLst>
            <c:ext xmlns:c16="http://schemas.microsoft.com/office/drawing/2014/chart" uri="{C3380CC4-5D6E-409C-BE32-E72D297353CC}">
              <c16:uniqueId val="{00000005-0A98-4F7B-BCB0-6621E0484017}"/>
            </c:ext>
          </c:extLst>
        </c:ser>
        <c:dLbls>
          <c:showLegendKey val="0"/>
          <c:showVal val="0"/>
          <c:showCatName val="0"/>
          <c:showSerName val="0"/>
          <c:showPercent val="0"/>
          <c:showBubbleSize val="0"/>
        </c:dLbls>
        <c:gapWidth val="269"/>
        <c:overlap val="100"/>
        <c:axId val="247458816"/>
        <c:axId val="247457280"/>
      </c:barChart>
      <c:lineChart>
        <c:grouping val="stacked"/>
        <c:varyColors val="0"/>
        <c:ser>
          <c:idx val="1"/>
          <c:order val="1"/>
          <c:tx>
            <c:strRef>
              <c:f>'1'!$B$7</c:f>
              <c:strCache>
                <c:ptCount val="1"/>
                <c:pt idx="0">
                  <c:v>% cheltuieli de personal în cheltuieli publice BPN</c:v>
                </c:pt>
              </c:strCache>
            </c:strRef>
          </c:tx>
          <c:spPr>
            <a:ln w="19050" cap="flat">
              <a:solidFill>
                <a:schemeClr val="accent1"/>
              </a:solidFill>
              <a:prstDash val="solid"/>
              <a:miter lim="800000"/>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19050">
                <a:solidFill>
                  <a:schemeClr val="accent1"/>
                </a:solidFill>
                <a:round/>
              </a:ln>
              <a:effectLst>
                <a:outerShdw blurRad="57150" dist="19050" dir="5400000" algn="ctr" rotWithShape="0">
                  <a:srgbClr val="000000">
                    <a:alpha val="63000"/>
                  </a:srgbClr>
                </a:outerShdw>
              </a:effectLst>
            </c:spPr>
          </c:marker>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ro-RO"/>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'1'!$C$7:$G$7</c:f>
              <c:numCache>
                <c:formatCode>#,##0.0</c:formatCode>
                <c:ptCount val="5"/>
                <c:pt idx="0">
                  <c:v>20.7</c:v>
                </c:pt>
                <c:pt idx="1">
                  <c:v>22.4</c:v>
                </c:pt>
                <c:pt idx="2">
                  <c:v>22.244794939045946</c:v>
                </c:pt>
                <c:pt idx="3">
                  <c:v>22.037732401708478</c:v>
                </c:pt>
                <c:pt idx="4">
                  <c:v>22.136999003719136</c:v>
                </c:pt>
              </c:numCache>
            </c:numRef>
          </c:val>
          <c:smooth val="0"/>
          <c:extLst>
            <c:ext xmlns:c16="http://schemas.microsoft.com/office/drawing/2014/chart" uri="{C3380CC4-5D6E-409C-BE32-E72D297353CC}">
              <c16:uniqueId val="{00000006-0A98-4F7B-BCB0-6621E0484017}"/>
            </c:ext>
          </c:extLst>
        </c:ser>
        <c:ser>
          <c:idx val="2"/>
          <c:order val="2"/>
          <c:tx>
            <c:strRef>
              <c:f>'1'!$B$8</c:f>
              <c:strCache>
                <c:ptCount val="1"/>
                <c:pt idx="0">
                  <c:v>% cheltuieli de personal în PIB</c:v>
                </c:pt>
              </c:strCache>
            </c:strRef>
          </c:tx>
          <c:spPr>
            <a:ln w="19050" cap="rnd">
              <a:solidFill>
                <a:schemeClr val="accent1">
                  <a:shade val="65000"/>
                </a:schemeClr>
              </a:solidFill>
              <a:round/>
            </a:ln>
            <a:effectLst>
              <a:outerShdw blurRad="57150" dist="19050" dir="5400000" algn="ctr" rotWithShape="0">
                <a:srgbClr val="000000">
                  <a:alpha val="63000"/>
                </a:srgbClr>
              </a:outerShdw>
            </a:effectLst>
          </c:spPr>
          <c:marker>
            <c:symbol val="none"/>
          </c:marker>
          <c:dLbls>
            <c:dLbl>
              <c:idx val="0"/>
              <c:layout>
                <c:manualLayout>
                  <c:x val="-8.6932891230524813E-3"/>
                  <c:y val="-3.62537764350453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A98-4F7B-BCB0-6621E0484017}"/>
                </c:ext>
              </c:extLst>
            </c:dLbl>
            <c:dLbl>
              <c:idx val="1"/>
              <c:layout>
                <c:manualLayout>
                  <c:x val="-2.931977374470169E-2"/>
                  <c:y val="-4.15991596904417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A98-4F7B-BCB0-6621E0484017}"/>
                </c:ext>
              </c:extLst>
            </c:dLbl>
            <c:dLbl>
              <c:idx val="2"/>
              <c:layout>
                <c:manualLayout>
                  <c:x val="-3.396127779065905E-2"/>
                  <c:y val="-4.13070045931758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A98-4F7B-BCB0-6621E0484017}"/>
                </c:ext>
              </c:extLst>
            </c:dLbl>
            <c:dLbl>
              <c:idx val="3"/>
              <c:layout>
                <c:manualLayout>
                  <c:x val="-7.0923780046285842E-2"/>
                  <c:y val="-5.5272309711286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A98-4F7B-BCB0-6621E0484017}"/>
                </c:ext>
              </c:extLst>
            </c:dLbl>
            <c:dLbl>
              <c:idx val="4"/>
              <c:layout>
                <c:manualLayout>
                  <c:x val="-4.1685384938169529E-3"/>
                  <c:y val="-1.232398581756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A98-4F7B-BCB0-6621E0484017}"/>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'1'!$C$4:$G$5</c:f>
              <c:strCache>
                <c:ptCount val="5"/>
                <c:pt idx="0">
                  <c:v>2023 executat</c:v>
                </c:pt>
                <c:pt idx="1">
                  <c:v>2024 aprobat</c:v>
                </c:pt>
                <c:pt idx="2">
                  <c:v>2025 estimat</c:v>
                </c:pt>
                <c:pt idx="3">
                  <c:v>2026 estimat</c:v>
                </c:pt>
                <c:pt idx="4">
                  <c:v>2027 estimat</c:v>
                </c:pt>
              </c:strCache>
            </c:strRef>
          </c:cat>
          <c:val>
            <c:numRef>
              <c:f>'1'!$C$8:$G$8</c:f>
              <c:numCache>
                <c:formatCode>#,##0.00</c:formatCode>
                <c:ptCount val="5"/>
                <c:pt idx="0">
                  <c:v>8.1199999999999992</c:v>
                </c:pt>
                <c:pt idx="1">
                  <c:v>8.39</c:v>
                </c:pt>
                <c:pt idx="2">
                  <c:v>8.0299999999999994</c:v>
                </c:pt>
                <c:pt idx="3">
                  <c:v>7.74</c:v>
                </c:pt>
                <c:pt idx="4">
                  <c:v>7.7</c:v>
                </c:pt>
              </c:numCache>
            </c:numRef>
          </c:val>
          <c:smooth val="0"/>
          <c:extLst>
            <c:ext xmlns:c16="http://schemas.microsoft.com/office/drawing/2014/chart" uri="{C3380CC4-5D6E-409C-BE32-E72D297353CC}">
              <c16:uniqueId val="{0000000C-0A98-4F7B-BCB0-6621E0484017}"/>
            </c:ext>
          </c:extLst>
        </c:ser>
        <c:dLbls>
          <c:showLegendKey val="0"/>
          <c:showVal val="0"/>
          <c:showCatName val="0"/>
          <c:showSerName val="0"/>
          <c:showPercent val="0"/>
          <c:showBubbleSize val="0"/>
        </c:dLbls>
        <c:marker val="1"/>
        <c:smooth val="0"/>
        <c:axId val="247455744"/>
        <c:axId val="247429376"/>
      </c:lineChart>
      <c:valAx>
        <c:axId val="247429376"/>
        <c:scaling>
          <c:orientation val="minMax"/>
        </c:scaling>
        <c:delete val="0"/>
        <c:axPos val="r"/>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47455744"/>
        <c:crosses val="max"/>
        <c:crossBetween val="between"/>
      </c:valAx>
      <c:catAx>
        <c:axId val="2474557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o-RO"/>
          </a:p>
        </c:txPr>
        <c:crossAx val="247429376"/>
        <c:crosses val="autoZero"/>
        <c:auto val="1"/>
        <c:lblAlgn val="ctr"/>
        <c:lblOffset val="100"/>
        <c:noMultiLvlLbl val="0"/>
      </c:catAx>
      <c:valAx>
        <c:axId val="24745728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47458816"/>
        <c:crosses val="autoZero"/>
        <c:crossBetween val="between"/>
      </c:valAx>
      <c:catAx>
        <c:axId val="247458816"/>
        <c:scaling>
          <c:orientation val="minMax"/>
        </c:scaling>
        <c:delete val="1"/>
        <c:axPos val="b"/>
        <c:numFmt formatCode="General" sourceLinked="1"/>
        <c:majorTickMark val="none"/>
        <c:minorTickMark val="none"/>
        <c:tickLblPos val="nextTo"/>
        <c:crossAx val="247457280"/>
        <c:crosses val="autoZero"/>
        <c:auto val="1"/>
        <c:lblAlgn val="ctr"/>
        <c:lblOffset val="100"/>
        <c:noMultiLvlLbl val="0"/>
      </c:catAx>
      <c:spPr>
        <a:noFill/>
        <a:ln>
          <a:noFill/>
        </a:ln>
        <a:effectLst/>
      </c:spPr>
    </c:plotArea>
    <c:legend>
      <c:legendPos val="b"/>
      <c:layout>
        <c:manualLayout>
          <c:xMode val="edge"/>
          <c:yMode val="edge"/>
          <c:x val="4.2562195063040431E-2"/>
          <c:y val="0.87529047675010774"/>
          <c:w val="0.90605027132344651"/>
          <c:h val="0.12470952324989228"/>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o-RO"/>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13067149324455249"/>
          <c:y val="0.12795509472207064"/>
          <c:w val="0.75488294667864508"/>
          <c:h val="0.59300018190795456"/>
        </c:manualLayout>
      </c:layout>
      <c:barChart>
        <c:barDir val="col"/>
        <c:grouping val="clustered"/>
        <c:varyColors val="0"/>
        <c:ser>
          <c:idx val="0"/>
          <c:order val="0"/>
          <c:tx>
            <c:strRef>
              <c:f>'2'!$B$5</c:f>
              <c:strCache>
                <c:ptCount val="1"/>
                <c:pt idx="0">
                  <c:v>Salariul nominal mediu lunar, mii lei</c:v>
                </c:pt>
              </c:strCache>
            </c:strRef>
          </c:tx>
          <c:spPr>
            <a:gradFill rotWithShape="1">
              <a:gsLst>
                <a:gs pos="0">
                  <a:schemeClr val="accent1">
                    <a:tint val="65000"/>
                    <a:satMod val="103000"/>
                    <a:lumMod val="102000"/>
                    <a:tint val="94000"/>
                  </a:schemeClr>
                </a:gs>
                <a:gs pos="50000">
                  <a:schemeClr val="accent1">
                    <a:tint val="65000"/>
                    <a:satMod val="110000"/>
                    <a:lumMod val="100000"/>
                    <a:shade val="100000"/>
                  </a:schemeClr>
                </a:gs>
                <a:gs pos="100000">
                  <a:schemeClr val="accent1">
                    <a:tint val="6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5527732920848895E-2"/>
                  <c:y val="6.43939201879264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713-45A4-8A51-8606B6B4AB0C}"/>
                </c:ext>
              </c:extLst>
            </c:dLbl>
            <c:dLbl>
              <c:idx val="1"/>
              <c:layout>
                <c:manualLayout>
                  <c:x val="-8.2095787031215683E-3"/>
                  <c:y val="1.12070815362766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713-45A4-8A51-8606B6B4AB0C}"/>
                </c:ext>
              </c:extLst>
            </c:dLbl>
            <c:dLbl>
              <c:idx val="2"/>
              <c:layout>
                <c:manualLayout>
                  <c:x val="-2.2261252594206669E-2"/>
                  <c:y val="4.426258515438379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713-45A4-8A51-8606B6B4AB0C}"/>
                </c:ext>
              </c:extLst>
            </c:dLbl>
            <c:dLbl>
              <c:idx val="3"/>
              <c:layout>
                <c:manualLayout>
                  <c:x val="-1.9636725269429021E-2"/>
                  <c:y val="3.06859535816449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713-45A4-8A51-8606B6B4AB0C}"/>
                </c:ext>
              </c:extLst>
            </c:dLbl>
            <c:dLbl>
              <c:idx val="4"/>
              <c:layout>
                <c:manualLayout>
                  <c:x val="-1.7673045868279991E-2"/>
                  <c:y val="8.33333084784930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'2'!$C$3:$G$4</c:f>
              <c:multiLvlStrCache>
                <c:ptCount val="5"/>
                <c:lvl>
                  <c:pt idx="0">
                    <c:v>2023</c:v>
                  </c:pt>
                  <c:pt idx="1">
                    <c:v>2024</c:v>
                  </c:pt>
                  <c:pt idx="2">
                    <c:v>2025</c:v>
                  </c:pt>
                  <c:pt idx="3">
                    <c:v>2026</c:v>
                  </c:pt>
                  <c:pt idx="4">
                    <c:v>2027</c:v>
                  </c:pt>
                </c:lvl>
                <c:lvl>
                  <c:pt idx="0">
                    <c:v>executat</c:v>
                  </c:pt>
                  <c:pt idx="1">
                    <c:v>aprobat</c:v>
                  </c:pt>
                  <c:pt idx="2">
                    <c:v>estimat</c:v>
                  </c:pt>
                </c:lvl>
              </c:multiLvlStrCache>
            </c:multiLvlStrRef>
          </c:cat>
          <c:val>
            <c:numRef>
              <c:f>'2'!$C$5:$G$5</c:f>
              <c:numCache>
                <c:formatCode>#,##0.0</c:formatCode>
                <c:ptCount val="5"/>
                <c:pt idx="0">
                  <c:v>12.24</c:v>
                </c:pt>
                <c:pt idx="1">
                  <c:v>13.7</c:v>
                </c:pt>
                <c:pt idx="2">
                  <c:v>15.2</c:v>
                </c:pt>
                <c:pt idx="3">
                  <c:v>16.7</c:v>
                </c:pt>
                <c:pt idx="4">
                  <c:v>18.3</c:v>
                </c:pt>
              </c:numCache>
            </c:numRef>
          </c:val>
          <c:extLst>
            <c:ext xmlns:c16="http://schemas.microsoft.com/office/drawing/2014/chart" uri="{C3380CC4-5D6E-409C-BE32-E72D297353CC}">
              <c16:uniqueId val="{00000005-9713-45A4-8A51-8606B6B4AB0C}"/>
            </c:ext>
          </c:extLst>
        </c:ser>
        <c:ser>
          <c:idx val="1"/>
          <c:order val="1"/>
          <c:tx>
            <c:strRef>
              <c:f>'2'!$B$6</c:f>
              <c:strCache>
                <c:ptCount val="1"/>
                <c:pt idx="0">
                  <c:v>Cheltuieli de personal medii lunare per unitate (BS+BL), mii lei</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2.3564061157706654E-2"/>
                  <c:y val="1.13636329743399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713-45A4-8A51-8606B6B4AB0C}"/>
                </c:ext>
              </c:extLst>
            </c:dLbl>
            <c:dLbl>
              <c:idx val="1"/>
              <c:layout>
                <c:manualLayout>
                  <c:x val="3.5164835164835109E-2"/>
                  <c:y val="1.87265917602996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713-45A4-8A51-8606B6B4AB0C}"/>
                </c:ext>
              </c:extLst>
            </c:dLbl>
            <c:dLbl>
              <c:idx val="2"/>
              <c:layout>
                <c:manualLayout>
                  <c:x val="2.1978018808511541E-2"/>
                  <c:y val="1.12359550561797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713-45A4-8A51-8606B6B4AB0C}"/>
                </c:ext>
              </c:extLst>
            </c:dLbl>
            <c:dLbl>
              <c:idx val="3"/>
              <c:layout>
                <c:manualLayout>
                  <c:x val="2.197802197802198E-2"/>
                  <c:y val="5.6179775280898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713-45A4-8A51-8606B6B4AB0C}"/>
                </c:ext>
              </c:extLst>
            </c:dLbl>
            <c:dLbl>
              <c:idx val="4"/>
              <c:layout>
                <c:manualLayout>
                  <c:x val="2.5293980666222824E-2"/>
                  <c:y val="7.490636704119850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ro-RO"/>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'2'!$C$3:$G$4</c:f>
              <c:multiLvlStrCache>
                <c:ptCount val="5"/>
                <c:lvl>
                  <c:pt idx="0">
                    <c:v>2023</c:v>
                  </c:pt>
                  <c:pt idx="1">
                    <c:v>2024</c:v>
                  </c:pt>
                  <c:pt idx="2">
                    <c:v>2025</c:v>
                  </c:pt>
                  <c:pt idx="3">
                    <c:v>2026</c:v>
                  </c:pt>
                  <c:pt idx="4">
                    <c:v>2027</c:v>
                  </c:pt>
                </c:lvl>
                <c:lvl>
                  <c:pt idx="0">
                    <c:v>executat</c:v>
                  </c:pt>
                  <c:pt idx="1">
                    <c:v>aprobat</c:v>
                  </c:pt>
                  <c:pt idx="2">
                    <c:v>estimat</c:v>
                  </c:pt>
                </c:lvl>
              </c:multiLvlStrCache>
            </c:multiLvlStrRef>
          </c:cat>
          <c:val>
            <c:numRef>
              <c:f>'2'!$C$6:$G$6</c:f>
              <c:numCache>
                <c:formatCode>#,##0.0</c:formatCode>
                <c:ptCount val="5"/>
                <c:pt idx="0">
                  <c:v>11.691665995929585</c:v>
                </c:pt>
                <c:pt idx="1">
                  <c:v>13.465281745021606</c:v>
                </c:pt>
                <c:pt idx="2">
                  <c:v>14.239664488689142</c:v>
                </c:pt>
                <c:pt idx="3">
                  <c:v>15.018212398265524</c:v>
                </c:pt>
                <c:pt idx="4">
                  <c:v>16.325245961254925</c:v>
                </c:pt>
              </c:numCache>
            </c:numRef>
          </c:val>
          <c:extLst>
            <c:ext xmlns:c16="http://schemas.microsoft.com/office/drawing/2014/chart" uri="{C3380CC4-5D6E-409C-BE32-E72D297353CC}">
              <c16:uniqueId val="{0000000B-9713-45A4-8A51-8606B6B4AB0C}"/>
            </c:ext>
          </c:extLst>
        </c:ser>
        <c:dLbls>
          <c:showLegendKey val="0"/>
          <c:showVal val="0"/>
          <c:showCatName val="0"/>
          <c:showSerName val="0"/>
          <c:showPercent val="0"/>
          <c:showBubbleSize val="0"/>
        </c:dLbls>
        <c:gapWidth val="219"/>
        <c:axId val="256196608"/>
        <c:axId val="256166144"/>
      </c:barChart>
      <c:lineChart>
        <c:grouping val="stacked"/>
        <c:varyColors val="0"/>
        <c:ser>
          <c:idx val="2"/>
          <c:order val="2"/>
          <c:tx>
            <c:strRef>
              <c:f>'2'!$B$7</c:f>
              <c:strCache>
                <c:ptCount val="1"/>
                <c:pt idx="0">
                  <c:v>Număr de unități personal, BS+BL, mii</c:v>
                </c:pt>
              </c:strCache>
            </c:strRef>
          </c:tx>
          <c:spPr>
            <a:ln w="19050" cap="rnd">
              <a:solidFill>
                <a:schemeClr val="accent1">
                  <a:shade val="65000"/>
                </a:schemeClr>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hade val="65000"/>
                      <a:satMod val="103000"/>
                      <a:lumMod val="102000"/>
                      <a:tint val="94000"/>
                    </a:schemeClr>
                  </a:gs>
                  <a:gs pos="50000">
                    <a:schemeClr val="accent1">
                      <a:shade val="65000"/>
                      <a:satMod val="110000"/>
                      <a:lumMod val="100000"/>
                      <a:shade val="100000"/>
                    </a:schemeClr>
                  </a:gs>
                  <a:gs pos="100000">
                    <a:schemeClr val="accent1">
                      <a:shade val="65000"/>
                      <a:lumMod val="99000"/>
                      <a:satMod val="120000"/>
                      <a:shade val="78000"/>
                    </a:schemeClr>
                  </a:gs>
                </a:gsLst>
                <a:lin ang="5400000" scaled="0"/>
              </a:gradFill>
              <a:ln w="19050">
                <a:solidFill>
                  <a:schemeClr val="accent1">
                    <a:shade val="65000"/>
                  </a:schemeClr>
                </a:solidFill>
                <a:round/>
              </a:ln>
              <a:effectLst>
                <a:outerShdw blurRad="57150" dist="19050" dir="5400000" algn="ctr" rotWithShape="0">
                  <a:srgbClr val="000000">
                    <a:alpha val="63000"/>
                  </a:srgbClr>
                </a:outerShdw>
              </a:effectLst>
            </c:spPr>
          </c:marker>
          <c:dLbls>
            <c:dLbl>
              <c:idx val="0"/>
              <c:layout>
                <c:manualLayout>
                  <c:x val="-7.5713329457978845E-2"/>
                  <c:y val="-4.450438744661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713-45A4-8A51-8606B6B4AB0C}"/>
                </c:ext>
              </c:extLst>
            </c:dLbl>
            <c:dLbl>
              <c:idx val="1"/>
              <c:layout>
                <c:manualLayout>
                  <c:x val="-5.4038670064510713E-2"/>
                  <c:y val="4.17092807219322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713-45A4-8A51-8606B6B4AB0C}"/>
                </c:ext>
              </c:extLst>
            </c:dLbl>
            <c:dLbl>
              <c:idx val="2"/>
              <c:layout>
                <c:manualLayout>
                  <c:x val="-3.1796309336865267E-2"/>
                  <c:y val="-4.06027898198118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713-45A4-8A51-8606B6B4AB0C}"/>
                </c:ext>
              </c:extLst>
            </c:dLbl>
            <c:dLbl>
              <c:idx val="3"/>
              <c:layout>
                <c:manualLayout>
                  <c:x val="-4.6580564941800795E-2"/>
                  <c:y val="-3.6857471467751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713-45A4-8A51-8606B6B4AB0C}"/>
                </c:ext>
              </c:extLst>
            </c:dLbl>
            <c:dLbl>
              <c:idx val="4"/>
              <c:layout>
                <c:manualLayout>
                  <c:x val="-5.1810677511464912E-2"/>
                  <c:y val="-3.38355598808576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713-45A4-8A51-8606B6B4AB0C}"/>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ysClr val="windowText" lastClr="000000"/>
                    </a:solidFill>
                    <a:latin typeface="+mn-lt"/>
                    <a:ea typeface="+mn-ea"/>
                    <a:cs typeface="+mn-cs"/>
                  </a:defRPr>
                </a:pPr>
                <a:endParaRPr lang="ro-R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'2'!$C$4:$G$4</c:f>
              <c:numCache>
                <c:formatCode>General</c:formatCode>
                <c:ptCount val="5"/>
                <c:pt idx="0">
                  <c:v>2023</c:v>
                </c:pt>
                <c:pt idx="1">
                  <c:v>2024</c:v>
                </c:pt>
                <c:pt idx="2">
                  <c:v>2025</c:v>
                </c:pt>
                <c:pt idx="3">
                  <c:v>2026</c:v>
                </c:pt>
                <c:pt idx="4">
                  <c:v>2027</c:v>
                </c:pt>
              </c:numCache>
            </c:numRef>
          </c:cat>
          <c:val>
            <c:numRef>
              <c:f>'2'!$C$7:$G$7</c:f>
              <c:numCache>
                <c:formatCode>#,##0.0</c:formatCode>
                <c:ptCount val="5"/>
                <c:pt idx="0">
                  <c:v>173.93799999999999</c:v>
                </c:pt>
                <c:pt idx="1">
                  <c:v>170.49340000000001</c:v>
                </c:pt>
                <c:pt idx="2">
                  <c:v>168.65799999999999</c:v>
                </c:pt>
                <c:pt idx="3">
                  <c:v>168.65799999999999</c:v>
                </c:pt>
                <c:pt idx="4">
                  <c:v>168.65799999999999</c:v>
                </c:pt>
              </c:numCache>
            </c:numRef>
          </c:val>
          <c:smooth val="0"/>
          <c:extLst>
            <c:ext xmlns:c16="http://schemas.microsoft.com/office/drawing/2014/chart" uri="{C3380CC4-5D6E-409C-BE32-E72D297353CC}">
              <c16:uniqueId val="{00000011-9713-45A4-8A51-8606B6B4AB0C}"/>
            </c:ext>
          </c:extLst>
        </c:ser>
        <c:dLbls>
          <c:showLegendKey val="0"/>
          <c:showVal val="0"/>
          <c:showCatName val="0"/>
          <c:showSerName val="0"/>
          <c:showPercent val="0"/>
          <c:showBubbleSize val="0"/>
        </c:dLbls>
        <c:marker val="1"/>
        <c:smooth val="0"/>
        <c:axId val="256199680"/>
        <c:axId val="256198144"/>
      </c:lineChart>
      <c:valAx>
        <c:axId val="25616614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56196608"/>
        <c:crosses val="autoZero"/>
        <c:crossBetween val="between"/>
      </c:valAx>
      <c:catAx>
        <c:axId val="25619660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o-RO"/>
          </a:p>
        </c:txPr>
        <c:crossAx val="256166144"/>
        <c:crosses val="autoZero"/>
        <c:auto val="1"/>
        <c:lblAlgn val="ctr"/>
        <c:lblOffset val="100"/>
        <c:noMultiLvlLbl val="0"/>
      </c:catAx>
      <c:valAx>
        <c:axId val="256198144"/>
        <c:scaling>
          <c:orientation val="minMax"/>
        </c:scaling>
        <c:delete val="0"/>
        <c:axPos val="r"/>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o-RO"/>
          </a:p>
        </c:txPr>
        <c:crossAx val="256199680"/>
        <c:crosses val="max"/>
        <c:crossBetween val="between"/>
      </c:valAx>
      <c:catAx>
        <c:axId val="256199680"/>
        <c:scaling>
          <c:orientation val="minMax"/>
        </c:scaling>
        <c:delete val="1"/>
        <c:axPos val="b"/>
        <c:numFmt formatCode="General" sourceLinked="1"/>
        <c:majorTickMark val="none"/>
        <c:minorTickMark val="none"/>
        <c:tickLblPos val="nextTo"/>
        <c:crossAx val="256198144"/>
        <c:crosses val="autoZero"/>
        <c:auto val="1"/>
        <c:lblAlgn val="ctr"/>
        <c:lblOffset val="100"/>
        <c:noMultiLvlLbl val="0"/>
      </c:catAx>
      <c:spPr>
        <a:noFill/>
        <a:ln w="25400">
          <a:noFill/>
        </a:ln>
        <a:effectLst/>
      </c:spPr>
    </c:plotArea>
    <c:legend>
      <c:legendPos val="b"/>
      <c:layout>
        <c:manualLayout>
          <c:xMode val="edge"/>
          <c:yMode val="edge"/>
          <c:x val="0"/>
          <c:y val="0.86686057899478985"/>
          <c:w val="1"/>
          <c:h val="0.1331394825646794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Reversed" id="21">
  <a:schemeClr val="accent1"/>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35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0.42743</cdr:x>
      <cdr:y>0.37002</cdr:y>
    </cdr:from>
    <cdr:to>
      <cdr:x>0.68963</cdr:x>
      <cdr:y>0.58613</cdr:y>
    </cdr:to>
    <cdr:sp macro="" textlink="">
      <cdr:nvSpPr>
        <cdr:cNvPr id="2" name="TextBox 1"/>
        <cdr:cNvSpPr txBox="1"/>
      </cdr:nvSpPr>
      <cdr:spPr>
        <a:xfrm xmlns:a="http://schemas.openxmlformats.org/drawingml/2006/main">
          <a:off x="2354303" y="771391"/>
          <a:ext cx="1444195" cy="4505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o-RO" sz="1000">
              <a:solidFill>
                <a:schemeClr val="accent1">
                  <a:lumMod val="50000"/>
                </a:schemeClr>
              </a:solidFill>
              <a:latin typeface="Cambria" panose="02040503050406030204" pitchFamily="18" charset="0"/>
              <a:ea typeface="Cambria" panose="02040503050406030204" pitchFamily="18" charset="0"/>
            </a:rPr>
            <a:t>Țările dezvoltate</a:t>
          </a:r>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dr:relSizeAnchor xmlns:cdr="http://schemas.openxmlformats.org/drawingml/2006/chartDrawing">
    <cdr:from>
      <cdr:x>0.75521</cdr:x>
      <cdr:y>0.20833</cdr:y>
    </cdr:from>
    <cdr:to>
      <cdr:x>0.91493</cdr:x>
      <cdr:y>0.26786</cdr:y>
    </cdr:to>
    <cdr:sp macro="" textlink="">
      <cdr:nvSpPr>
        <cdr:cNvPr id="3" name="TextBox 2"/>
        <cdr:cNvSpPr txBox="1"/>
      </cdr:nvSpPr>
      <cdr:spPr>
        <a:xfrm xmlns:a="http://schemas.openxmlformats.org/drawingml/2006/main">
          <a:off x="4143375" y="666750"/>
          <a:ext cx="87630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0.68398</cdr:x>
      <cdr:y>0.10733</cdr:y>
    </cdr:from>
    <cdr:to>
      <cdr:x>1</cdr:x>
      <cdr:y>0.2737</cdr:y>
    </cdr:to>
    <cdr:sp macro="" textlink="">
      <cdr:nvSpPr>
        <cdr:cNvPr id="4" name="TextBox 3"/>
        <cdr:cNvSpPr txBox="1"/>
      </cdr:nvSpPr>
      <cdr:spPr>
        <a:xfrm xmlns:a="http://schemas.openxmlformats.org/drawingml/2006/main">
          <a:off x="3767328" y="223755"/>
          <a:ext cx="1740662" cy="346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000">
              <a:solidFill>
                <a:schemeClr val="accent1">
                  <a:lumMod val="50000"/>
                </a:schemeClr>
              </a:solidFill>
              <a:latin typeface="Cambria" panose="02040503050406030204" pitchFamily="18" charset="0"/>
              <a:ea typeface="Cambria" panose="02040503050406030204" pitchFamily="18" charset="0"/>
              <a:cs typeface="+mn-cs"/>
            </a:rPr>
            <a:t>Țările în dezvoltare</a:t>
          </a:r>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dr:relSizeAnchor xmlns:cdr="http://schemas.openxmlformats.org/drawingml/2006/chartDrawing">
    <cdr:from>
      <cdr:x>0.08271</cdr:x>
      <cdr:y>0.22633</cdr:y>
    </cdr:from>
    <cdr:to>
      <cdr:x>0.33615</cdr:x>
      <cdr:y>0.43358</cdr:y>
    </cdr:to>
    <cdr:sp macro="" textlink="">
      <cdr:nvSpPr>
        <cdr:cNvPr id="5" name="TextBox 4"/>
        <cdr:cNvSpPr txBox="1"/>
      </cdr:nvSpPr>
      <cdr:spPr>
        <a:xfrm xmlns:a="http://schemas.openxmlformats.org/drawingml/2006/main">
          <a:off x="455542" y="471822"/>
          <a:ext cx="1395945" cy="4320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o-RO" sz="1000">
              <a:solidFill>
                <a:schemeClr val="accent1">
                  <a:lumMod val="50000"/>
                </a:schemeClr>
              </a:solidFill>
              <a:latin typeface="Cambria" panose="02040503050406030204" pitchFamily="18" charset="0"/>
              <a:ea typeface="Cambria" panose="02040503050406030204" pitchFamily="18" charset="0"/>
              <a:cs typeface="+mn-cs"/>
            </a:rPr>
            <a:t>Economia globală</a:t>
          </a:r>
          <a:endParaRPr lang="ru-RU" sz="1000">
            <a:solidFill>
              <a:schemeClr val="accent1">
                <a:lumMod val="50000"/>
              </a:schemeClr>
            </a:solidFill>
            <a:latin typeface="Cambria" panose="02040503050406030204" pitchFamily="18" charset="0"/>
            <a:ea typeface="Cambria" panose="02040503050406030204" pitchFamily="18" charset="0"/>
            <a:cs typeface="+mn-cs"/>
          </a:endParaRPr>
        </a:p>
        <a:p xmlns:a="http://schemas.openxmlformats.org/drawingml/2006/main">
          <a:endParaRPr lang="ru-RU" sz="1000">
            <a:solidFill>
              <a:schemeClr val="accent1">
                <a:lumMod val="50000"/>
              </a:schemeClr>
            </a:solidFill>
            <a:latin typeface="Cambria" panose="02040503050406030204" pitchFamily="18" charset="0"/>
            <a:ea typeface="Cambria" panose="020405030504060302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0.74003</cdr:x>
      <cdr:y>0.07003</cdr:y>
    </cdr:from>
    <cdr:to>
      <cdr:x>0.74704</cdr:x>
      <cdr:y>0.80159</cdr:y>
    </cdr:to>
    <cdr:cxnSp macro="">
      <cdr:nvCxnSpPr>
        <cdr:cNvPr id="2" name="Straight Connector 6">
          <a:extLst xmlns:a="http://schemas.openxmlformats.org/drawingml/2006/main">
            <a:ext uri="{FF2B5EF4-FFF2-40B4-BE49-F238E27FC236}">
              <a16:creationId xmlns:a16="http://schemas.microsoft.com/office/drawing/2014/main" id="{3556011C-B51D-4273-AD69-BBB84B94A45C}"/>
            </a:ext>
          </a:extLst>
        </cdr:cNvPr>
        <cdr:cNvCxnSpPr>
          <a:cxnSpLocks xmlns:a="http://schemas.openxmlformats.org/drawingml/2006/main"/>
        </cdr:cNvCxnSpPr>
      </cdr:nvCxnSpPr>
      <cdr:spPr>
        <a:xfrm xmlns:a="http://schemas.openxmlformats.org/drawingml/2006/main">
          <a:off x="2083162" y="168147"/>
          <a:ext cx="19733" cy="1756428"/>
        </a:xfrm>
        <a:prstGeom xmlns:a="http://schemas.openxmlformats.org/drawingml/2006/main" prst="line">
          <a:avLst/>
        </a:prstGeom>
        <a:ln xmlns:a="http://schemas.openxmlformats.org/drawingml/2006/main" w="15875">
          <a:solidFill>
            <a:schemeClr val="tx2">
              <a:lumMod val="40000"/>
              <a:lumOff val="60000"/>
            </a:schemeClr>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0.76652</cdr:x>
      <cdr:y>0.15426</cdr:y>
    </cdr:from>
    <cdr:to>
      <cdr:x>0.96762</cdr:x>
      <cdr:y>0.25023</cdr:y>
    </cdr:to>
    <cdr:sp macro="" textlink="">
      <cdr:nvSpPr>
        <cdr:cNvPr id="5" name="TextBox 1">
          <a:extLst xmlns:a="http://schemas.openxmlformats.org/drawingml/2006/main">
            <a:ext uri="{FF2B5EF4-FFF2-40B4-BE49-F238E27FC236}">
              <a16:creationId xmlns:a16="http://schemas.microsoft.com/office/drawing/2014/main" id="{37ACF4B1-1310-46B9-BD47-938CBA7C9AB8}"/>
            </a:ext>
          </a:extLst>
        </cdr:cNvPr>
        <cdr:cNvSpPr txBox="1"/>
      </cdr:nvSpPr>
      <cdr:spPr>
        <a:xfrm xmlns:a="http://schemas.openxmlformats.org/drawingml/2006/main">
          <a:off x="4065061" y="656873"/>
          <a:ext cx="1066468" cy="40866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700" dirty="0" err="1">
              <a:solidFill>
                <a:schemeClr val="bg2">
                  <a:lumMod val="25000"/>
                </a:schemeClr>
              </a:solidFill>
            </a:rPr>
            <a:t>Prognoz</a:t>
          </a:r>
          <a:r>
            <a:rPr lang="ro-RO" sz="700" dirty="0">
              <a:solidFill>
                <a:schemeClr val="bg2">
                  <a:lumMod val="25000"/>
                </a:schemeClr>
              </a:solidFill>
            </a:rPr>
            <a:t>ă</a:t>
          </a:r>
          <a:endParaRPr lang="en-US" sz="700" dirty="0">
            <a:solidFill>
              <a:schemeClr val="bg2">
                <a:lumMod val="25000"/>
              </a:schemeClr>
            </a:solidFill>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3CAF8-8F80-4B6D-B921-C38F44B25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38</Pages>
  <Words>16787</Words>
  <Characters>97366</Characters>
  <Application>Microsoft Office Word</Application>
  <DocSecurity>0</DocSecurity>
  <Lines>811</Lines>
  <Paragraphs>227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Sirbu, Vera</dc:creator>
  <cp:keywords/>
  <dc:description/>
  <cp:lastModifiedBy>Sirbu, Vera</cp:lastModifiedBy>
  <cp:revision>17</cp:revision>
  <cp:lastPrinted>2024-08-20T10:36:00Z</cp:lastPrinted>
  <dcterms:created xsi:type="dcterms:W3CDTF">2024-08-29T07:19:00Z</dcterms:created>
  <dcterms:modified xsi:type="dcterms:W3CDTF">2024-08-29T09:07:00Z</dcterms:modified>
</cp:coreProperties>
</file>