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DF" w:rsidRPr="00B426DF" w:rsidRDefault="00B426DF" w:rsidP="00B426DF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bookmarkStart w:id="0" w:name="_GoBack"/>
      <w:bookmarkEnd w:id="0"/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Denumirea funcţiei publice vacante: 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consultant superior al Serviciului </w:t>
      </w:r>
      <w:r w:rsidR="00655240">
        <w:rPr>
          <w:rFonts w:eastAsia="Times New Roman"/>
          <w:bCs/>
          <w:color w:val="000000"/>
          <w:sz w:val="28"/>
          <w:szCs w:val="28"/>
          <w:lang w:val="ro-MD" w:eastAsia="ru-RU"/>
        </w:rPr>
        <w:t>m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onitorizare și </w:t>
      </w:r>
      <w:r w:rsidR="00655240">
        <w:rPr>
          <w:rFonts w:eastAsia="Times New Roman"/>
          <w:bCs/>
          <w:color w:val="000000"/>
          <w:sz w:val="28"/>
          <w:szCs w:val="28"/>
          <w:lang w:val="ro-MD" w:eastAsia="ru-RU"/>
        </w:rPr>
        <w:t>e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valuare din cadrul Direcției </w:t>
      </w:r>
      <w:r w:rsidR="00655240">
        <w:rPr>
          <w:rFonts w:eastAsia="Times New Roman"/>
          <w:bCs/>
          <w:color w:val="000000"/>
          <w:sz w:val="28"/>
          <w:szCs w:val="28"/>
          <w:lang w:val="ro-MD" w:eastAsia="ru-RU"/>
        </w:rPr>
        <w:t>a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sistență </w:t>
      </w:r>
      <w:r w:rsidR="00655240">
        <w:rPr>
          <w:rFonts w:eastAsia="Times New Roman"/>
          <w:bCs/>
          <w:color w:val="000000"/>
          <w:sz w:val="28"/>
          <w:szCs w:val="28"/>
          <w:lang w:val="ro-MD" w:eastAsia="ru-RU"/>
        </w:rPr>
        <w:t>e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xternă</w:t>
      </w:r>
      <w:r w:rsidR="0065524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(FP116</w:t>
      </w:r>
      <w:r w:rsidR="003D11D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="00412DC4">
        <w:rPr>
          <w:rFonts w:eastAsia="Times New Roman"/>
          <w:bCs/>
          <w:color w:val="000000"/>
          <w:sz w:val="28"/>
          <w:szCs w:val="28"/>
          <w:lang w:val="ro-MD" w:eastAsia="ru-RU"/>
        </w:rPr>
        <w:t>B) -</w:t>
      </w:r>
      <w:r w:rsidR="0065524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1 funcție vacantă</w:t>
      </w:r>
      <w:r w:rsidR="003D11D5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B426DF" w:rsidRPr="00B426DF" w:rsidRDefault="00B426DF" w:rsidP="00B426DF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</w:p>
    <w:p w:rsidR="00B426DF" w:rsidRPr="00B426DF" w:rsidRDefault="00B426DF" w:rsidP="00FC07CB">
      <w:p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Scopul general al funcţiei:</w:t>
      </w:r>
    </w:p>
    <w:p w:rsidR="00B426DF" w:rsidRDefault="00B426DF" w:rsidP="00B426DF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Participarea în cadrul procesului de elaborare, promovare și perfecționare a politicii statului în domeniul atragerii, implementării, monitorizării și evaluării asistenței externe la nivel național.</w:t>
      </w:r>
    </w:p>
    <w:p w:rsidR="00FC07CB" w:rsidRPr="00B426DF" w:rsidRDefault="00FC07CB" w:rsidP="00B426DF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</w:p>
    <w:p w:rsidR="00B426DF" w:rsidRPr="00B426DF" w:rsidRDefault="00B426DF" w:rsidP="00FC07CB">
      <w:p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Sarcinile de bază ale funcţiei: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Asigurarea aplicării facilităților fiscale și vamale proiectelor de asistență externă conform prevederilor tratatelor internaționale la care Republica Moldova este parte și altor principii de eligibilitate.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Asigurarea evidenței și veridicității datelor privind asistența externă la nivel național, dar și vizibilității asistenței externe. 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Asigurarea atragerii asistenței tehnice conform necesităților de dezvoltare, dar și evidenței permanente a asistenței tehnice externe de care beneficiază Ministerul Finanțelor și autoritățile din subordine.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Avizarea proiectelor de acorduri de asistență externă și documentelor aferente conform rigorilor cadrului normativ în domeniu.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Asigurarea planificării și raportării obiectivelor Direcției, dar și acordarea suportului în desfășurarea activităților curente.</w:t>
      </w:r>
    </w:p>
    <w:p w:rsidR="00B426DF" w:rsidRPr="00B426DF" w:rsidRDefault="00B426DF" w:rsidP="00B426DF">
      <w:pPr>
        <w:shd w:val="clear" w:color="auto" w:fill="FFFFFF"/>
        <w:rPr>
          <w:rFonts w:eastAsia="Times New Roman"/>
          <w:b/>
          <w:sz w:val="28"/>
          <w:szCs w:val="28"/>
          <w:lang w:val="ro-MD" w:eastAsia="ru-RU"/>
        </w:rPr>
      </w:pPr>
    </w:p>
    <w:p w:rsidR="00B426DF" w:rsidRPr="00FC07CB" w:rsidRDefault="00B426DF" w:rsidP="00FC07CB">
      <w:p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FC07CB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4E1281" w:rsidRDefault="00B426DF" w:rsidP="004E1281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FC07CB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Studii: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Superioare, de licenţă sau echivalente, preferabil în domeniul relaţiilor economice internaţionale, finanţe sau economie. Cursuri de perfecţionare profesională în domeniul asistenţei externe şi interacţiunea acesteia cu politicile macro</w:t>
      </w:r>
      <w:r w:rsidR="00412DC4">
        <w:rPr>
          <w:rFonts w:eastAsia="Times New Roman"/>
          <w:color w:val="000000"/>
          <w:sz w:val="28"/>
          <w:szCs w:val="28"/>
          <w:lang w:val="en-GB" w:eastAsia="ru-RU"/>
        </w:rPr>
        <w:t>-economice</w:t>
      </w: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.</w:t>
      </w:r>
      <w:r w:rsidR="004E1281" w:rsidRPr="004E1281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</w:p>
    <w:p w:rsidR="004E1281" w:rsidRPr="00B426DF" w:rsidRDefault="004E1281" w:rsidP="004E1281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FC07CB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Experienţă profesională</w:t>
      </w:r>
      <w:r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>
        <w:rPr>
          <w:b/>
          <w:sz w:val="28"/>
          <w:szCs w:val="28"/>
          <w:lang w:val="ro-RO"/>
        </w:rPr>
        <w:t>-</w:t>
      </w:r>
      <w:r w:rsidRPr="00B426DF">
        <w:rPr>
          <w:sz w:val="28"/>
          <w:szCs w:val="28"/>
          <w:lang w:val="ro-RO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minim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1 an în domeniul coordonării asistenţei externe sau alt domeniu relevant.</w:t>
      </w:r>
    </w:p>
    <w:p w:rsidR="00B426DF" w:rsidRPr="00615071" w:rsidRDefault="00615071" w:rsidP="00B426DF">
      <w:p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615071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Cunoștințe:</w:t>
      </w:r>
    </w:p>
    <w:p w:rsidR="00B426DF" w:rsidRPr="00B426DF" w:rsidRDefault="00B426DF" w:rsidP="00B426DF">
      <w:pPr>
        <w:rPr>
          <w:rFonts w:eastAsia="Times New Roman"/>
          <w:sz w:val="28"/>
          <w:szCs w:val="28"/>
          <w:lang w:val="ro-RO" w:eastAsia="ru-RU"/>
        </w:rPr>
      </w:pPr>
      <w:r w:rsidRPr="00B426DF">
        <w:rPr>
          <w:rFonts w:eastAsia="Times New Roman"/>
          <w:sz w:val="28"/>
          <w:szCs w:val="28"/>
          <w:lang w:val="ro-RO" w:eastAsia="ru-RU"/>
        </w:rPr>
        <w:t xml:space="preserve">- 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 cadrului normativ aferent domeniului asistenței externe</w:t>
      </w:r>
      <w:r w:rsidRPr="00B426DF">
        <w:rPr>
          <w:rFonts w:eastAsia="Times New Roman"/>
          <w:sz w:val="28"/>
          <w:szCs w:val="28"/>
          <w:lang w:val="ro-RO" w:eastAsia="ru-RU"/>
        </w:rPr>
        <w:t>;</w:t>
      </w:r>
    </w:p>
    <w:p w:rsidR="00B426DF" w:rsidRPr="00B426DF" w:rsidRDefault="00B426DF" w:rsidP="00B426DF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- cunoaşterea politicilor şi procedurilor eficiente de coordonare, monitorizare și evaluare a asistenţei externe;</w:t>
      </w:r>
    </w:p>
    <w:p w:rsidR="00B426DF" w:rsidRPr="00B426DF" w:rsidRDefault="00B426DF" w:rsidP="00B426DF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- cunoaşterea limbii engleze la nivel B1 şi a unei limbi de circulaţie internaţională (franceza, spaniola, germana, etc.)  la nivel B1;</w:t>
      </w:r>
    </w:p>
    <w:p w:rsidR="00B426DF" w:rsidRPr="00615071" w:rsidRDefault="00B426DF" w:rsidP="00B426DF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- cunoştinţe de operare la calculator: MS Office (Word, Excel, PowerPoint, etc) Internet.</w:t>
      </w:r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r w:rsidRPr="00615071">
        <w:rPr>
          <w:rFonts w:eastAsia="Times New Roman"/>
          <w:color w:val="000000"/>
          <w:sz w:val="28"/>
          <w:szCs w:val="28"/>
          <w:lang w:val="en-US" w:eastAsia="ru-RU"/>
        </w:rPr>
        <w:t>Cunoașterea instrumentelor/editorilor grafici se va considera un avantaj.</w:t>
      </w:r>
    </w:p>
    <w:p w:rsidR="00B426DF" w:rsidRPr="00B426DF" w:rsidRDefault="00B426DF" w:rsidP="00B426DF">
      <w:pPr>
        <w:shd w:val="clear" w:color="auto" w:fill="FFFFFF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</w:p>
    <w:p w:rsidR="00B426DF" w:rsidRPr="00B426DF" w:rsidRDefault="00B426DF" w:rsidP="00B426DF">
      <w:pPr>
        <w:shd w:val="clear" w:color="auto" w:fill="FFFFFF"/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FC07CB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  <w:r w:rsidR="00615071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 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lucru cu informația, planificare, organizare, </w:t>
      </w:r>
      <w:r w:rsidR="0061507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luare a deciziilor, 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analiză şi sinteză, elaborare a documentelor, argumentare, prezentare, instruire, motivare, mobilizare de sine, soluționare de probleme, comunicare eficientă.</w:t>
      </w:r>
    </w:p>
    <w:p w:rsidR="00B426DF" w:rsidRPr="00B426DF" w:rsidRDefault="00B426DF" w:rsidP="00B426D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FC07CB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Aptitudini/comportament:</w:t>
      </w:r>
      <w:r w:rsidRPr="00B426DF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>Profesionalism, respect față de oameni, spirit de iniţiativă, diplomaţie, creativitate, flexibilitate, disciplină, responsabilitate, punctualitate, rezistentă la efort şi stres, tendinţă spre dezvoltare profesională continuă, spirit de echipă.</w:t>
      </w:r>
    </w:p>
    <w:p w:rsidR="00B426DF" w:rsidRPr="00B426DF" w:rsidRDefault="00B426DF" w:rsidP="00B426D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B426DF" w:rsidRPr="00B426DF" w:rsidRDefault="00B426DF" w:rsidP="00B426DF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B426DF" w:rsidRPr="00B426DF" w:rsidRDefault="00B426DF" w:rsidP="00B426DF">
      <w:pPr>
        <w:tabs>
          <w:tab w:val="left" w:pos="6840"/>
        </w:tabs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r w:rsidRPr="00B426DF">
        <w:rPr>
          <w:b/>
          <w:sz w:val="28"/>
          <w:szCs w:val="28"/>
          <w:u w:val="single"/>
          <w:lang w:val="ro-MD"/>
        </w:rPr>
        <w:lastRenderedPageBreak/>
        <w:t xml:space="preserve">Bibliografia în baza căreia vor fi formulate întrebările pentru proba scrisă şi interviu  la funcţia vacantă de </w:t>
      </w:r>
      <w:r w:rsidRPr="00B426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superior al Serviciului </w:t>
      </w:r>
      <w:r w:rsidR="006F44C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m</w:t>
      </w:r>
      <w:r w:rsidRPr="00B426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onitorizare și </w:t>
      </w:r>
      <w:r w:rsidR="006F44C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e</w:t>
      </w:r>
      <w:r w:rsidRPr="00B426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valuare din cadrul Direcției </w:t>
      </w:r>
      <w:r w:rsidR="006F44C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</w:t>
      </w:r>
      <w:r w:rsidRPr="00B426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sistență </w:t>
      </w:r>
      <w:r w:rsidR="006F44C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e</w:t>
      </w:r>
      <w:r w:rsidR="003D11D5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xternă</w:t>
      </w:r>
    </w:p>
    <w:p w:rsidR="00B426DF" w:rsidRPr="00B426DF" w:rsidRDefault="00B426DF" w:rsidP="00B426DF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B426DF" w:rsidRPr="00B426DF" w:rsidRDefault="00B426DF" w:rsidP="00B426DF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Legea finanțelor publice și responsabilității b</w:t>
      </w:r>
      <w:r w:rsidR="005E317B">
        <w:rPr>
          <w:rFonts w:eastAsia="Times New Roman"/>
          <w:bCs/>
          <w:color w:val="000000"/>
          <w:sz w:val="28"/>
          <w:szCs w:val="28"/>
          <w:lang w:val="ro-RO" w:eastAsia="ru-RU"/>
        </w:rPr>
        <w:t>ugetar-fiscale nr.181/</w:t>
      </w:r>
      <w:r w:rsidR="00626ADC">
        <w:rPr>
          <w:rFonts w:eastAsia="Times New Roman"/>
          <w:bCs/>
          <w:color w:val="000000"/>
          <w:sz w:val="28"/>
          <w:szCs w:val="28"/>
          <w:lang w:val="ro-RO" w:eastAsia="ru-RU"/>
        </w:rPr>
        <w:t>2014.</w:t>
      </w:r>
    </w:p>
    <w:p w:rsidR="00463024" w:rsidRDefault="005E317B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bCs/>
          <w:color w:val="000000"/>
          <w:sz w:val="28"/>
          <w:szCs w:val="28"/>
          <w:lang w:val="ro-RO"/>
        </w:rPr>
        <w:t>Legea nr.158/</w:t>
      </w:r>
      <w:r w:rsidR="00B426DF" w:rsidRPr="00B426DF">
        <w:rPr>
          <w:bCs/>
          <w:color w:val="000000"/>
          <w:sz w:val="28"/>
          <w:szCs w:val="28"/>
          <w:lang w:val="ro-RO"/>
        </w:rPr>
        <w:t>2008 cu privire la funcția publică şi</w:t>
      </w:r>
      <w:r w:rsidR="00626ADC">
        <w:rPr>
          <w:bCs/>
          <w:color w:val="000000"/>
          <w:sz w:val="28"/>
          <w:szCs w:val="28"/>
          <w:lang w:val="ro-RO"/>
        </w:rPr>
        <w:t xml:space="preserve"> statutul funcționarului public.</w:t>
      </w:r>
    </w:p>
    <w:p w:rsidR="00655240" w:rsidRPr="00655240" w:rsidRDefault="00655240" w:rsidP="00655240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Legea </w:t>
      </w:r>
      <w:r>
        <w:rPr>
          <w:rFonts w:eastAsia="Times New Roman"/>
          <w:bCs/>
          <w:color w:val="000000"/>
          <w:sz w:val="28"/>
          <w:szCs w:val="28"/>
          <w:lang w:val="ro-RO" w:eastAsia="ru-RU"/>
        </w:rPr>
        <w:t>nr.100/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2017</w:t>
      </w:r>
      <w:r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cu privire la actele </w:t>
      </w:r>
      <w:r w:rsidR="00626ADC">
        <w:rPr>
          <w:rFonts w:eastAsia="Times New Roman"/>
          <w:bCs/>
          <w:color w:val="000000"/>
          <w:sz w:val="28"/>
          <w:szCs w:val="28"/>
          <w:lang w:val="ro-RO" w:eastAsia="ru-RU"/>
        </w:rPr>
        <w:t>normative.</w:t>
      </w:r>
    </w:p>
    <w:p w:rsidR="005E317B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Hotărâr</w:t>
      </w:r>
      <w:r w:rsidR="005E317B">
        <w:rPr>
          <w:rFonts w:eastAsia="Times New Roman"/>
          <w:bCs/>
          <w:color w:val="000000"/>
          <w:sz w:val="28"/>
          <w:szCs w:val="28"/>
          <w:lang w:val="ro-RO" w:eastAsia="ru-RU"/>
        </w:rPr>
        <w:t>ea Guvernului nr. 377/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2018 </w:t>
      </w:r>
      <w:r w:rsidR="005E317B">
        <w:rPr>
          <w:rFonts w:eastAsia="Times New Roman"/>
          <w:bCs/>
          <w:color w:val="000000"/>
          <w:sz w:val="28"/>
          <w:szCs w:val="28"/>
          <w:lang w:val="ro-RO" w:eastAsia="ru-RU"/>
        </w:rPr>
        <w:t>”C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u privire la reglementarea cadrului instituțional şi mecanismului de coordonare şi management al asistenței externe</w:t>
      </w:r>
      <w:r w:rsidR="005E317B">
        <w:rPr>
          <w:rFonts w:eastAsia="Times New Roman"/>
          <w:bCs/>
          <w:color w:val="000000"/>
          <w:sz w:val="28"/>
          <w:szCs w:val="28"/>
          <w:lang w:val="ro-RO" w:eastAsia="ru-RU"/>
        </w:rPr>
        <w:t>”</w:t>
      </w:r>
      <w:r w:rsidR="00626ADC">
        <w:rPr>
          <w:rFonts w:eastAsia="Times New Roman"/>
          <w:bCs/>
          <w:color w:val="000000"/>
          <w:sz w:val="28"/>
          <w:szCs w:val="28"/>
          <w:lang w:val="ro-RO" w:eastAsia="ru-RU"/>
        </w:rPr>
        <w:t>.</w:t>
      </w: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rFonts w:eastAsia="Times New Roman"/>
          <w:bCs/>
          <w:color w:val="000000"/>
          <w:sz w:val="28"/>
          <w:szCs w:val="28"/>
          <w:lang w:val="ro-RO" w:eastAsia="ru-RU"/>
        </w:rPr>
        <w:t>Hotărâ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r</w:t>
      </w:r>
      <w:r w:rsidR="005E317B">
        <w:rPr>
          <w:rFonts w:eastAsia="Times New Roman"/>
          <w:bCs/>
          <w:color w:val="000000"/>
          <w:sz w:val="28"/>
          <w:szCs w:val="28"/>
          <w:lang w:val="ro-RO" w:eastAsia="ru-RU"/>
        </w:rPr>
        <w:t>ea Guvernului nr. 696/2017 ”C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u privire la organizarea şi funcționarea Ministerului Finanțelor</w:t>
      </w:r>
      <w:r w:rsidR="00626ADC">
        <w:rPr>
          <w:rFonts w:eastAsia="Times New Roman"/>
          <w:bCs/>
          <w:color w:val="000000"/>
          <w:sz w:val="28"/>
          <w:szCs w:val="28"/>
          <w:lang w:val="ro-RO" w:eastAsia="ru-RU"/>
        </w:rPr>
        <w:t>”.</w:t>
      </w:r>
    </w:p>
    <w:p w:rsidR="004F7BE4" w:rsidRPr="004F7BE4" w:rsidRDefault="001D2653" w:rsidP="004F7BE4">
      <w:pPr>
        <w:numPr>
          <w:ilvl w:val="0"/>
          <w:numId w:val="7"/>
        </w:numPr>
        <w:shd w:val="clear" w:color="auto" w:fill="FFFFFF"/>
        <w:contextualSpacing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330B30">
        <w:rPr>
          <w:rFonts w:eastAsia="Times New Roman"/>
          <w:color w:val="000000"/>
          <w:sz w:val="28"/>
          <w:szCs w:val="28"/>
          <w:lang w:val="ro-RO" w:eastAsia="ru-RU"/>
        </w:rPr>
        <w:t xml:space="preserve">Raportul privind asistența externă acordată Republicii Moldova în anul 2021 (accesibil la următorul link: </w:t>
      </w:r>
      <w:hyperlink r:id="rId5" w:history="1">
        <w:r w:rsidRPr="00330B30">
          <w:rPr>
            <w:color w:val="0563C1" w:themeColor="hyperlink"/>
            <w:sz w:val="28"/>
            <w:szCs w:val="28"/>
            <w:u w:val="single"/>
            <w:lang w:val="ro-RO"/>
          </w:rPr>
          <w:t>https://mf.gov.md/sites/default/files/Raport%20ODA%202021.pdf</w:t>
        </w:r>
      </w:hyperlink>
      <w:r w:rsidRPr="00330B30">
        <w:rPr>
          <w:color w:val="000000"/>
          <w:sz w:val="28"/>
          <w:szCs w:val="28"/>
          <w:lang w:val="ro-RO"/>
        </w:rPr>
        <w:t>).</w:t>
      </w:r>
    </w:p>
    <w:p w:rsidR="00B426DF" w:rsidRPr="004F7BE4" w:rsidRDefault="00C33BE5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sz w:val="28"/>
          <w:szCs w:val="28"/>
          <w:lang w:val="ro-RO" w:eastAsia="ru-RU"/>
        </w:rPr>
      </w:pPr>
      <w:hyperlink r:id="rId6" w:history="1">
        <w:r w:rsidR="004F7BE4" w:rsidRPr="004F7BE4">
          <w:rPr>
            <w:rStyle w:val="Hyperlink"/>
            <w:rFonts w:eastAsia="Times New Roman"/>
            <w:bCs/>
            <w:color w:val="auto"/>
            <w:sz w:val="28"/>
            <w:szCs w:val="28"/>
            <w:u w:val="none"/>
            <w:lang w:val="ro-RO" w:eastAsia="ru-RU"/>
          </w:rPr>
          <w:t xml:space="preserve">Organizaţia pentru Cooperare şi Dezvoltare Economică - Mandatul Comitetului de Asistență pentru Dezvoltare  (accesibil la următorul link: </w:t>
        </w:r>
        <w:r w:rsidR="004F7BE4" w:rsidRPr="004F7BE4">
          <w:rPr>
            <w:rStyle w:val="Hyperlink"/>
            <w:rFonts w:eastAsia="Times New Roman"/>
            <w:color w:val="auto"/>
            <w:sz w:val="28"/>
            <w:szCs w:val="28"/>
            <w:u w:val="none"/>
            <w:lang w:val="ro-RO" w:eastAsia="ru-RU"/>
          </w:rPr>
          <w:t xml:space="preserve">https://www.oecd.org/dac/thedevelopmentassistancecommitteesmandate.htm). </w:t>
        </w:r>
      </w:hyperlink>
      <w:r w:rsidR="00B426DF" w:rsidRPr="004F7BE4">
        <w:rPr>
          <w:rFonts w:eastAsia="Times New Roman"/>
          <w:bCs/>
          <w:sz w:val="28"/>
          <w:szCs w:val="28"/>
          <w:lang w:val="ro-RO" w:eastAsia="ru-RU"/>
        </w:rPr>
        <w:t xml:space="preserve"> </w:t>
      </w:r>
    </w:p>
    <w:p w:rsidR="00A25D62" w:rsidRPr="00B426DF" w:rsidRDefault="00A25D62" w:rsidP="00B426DF">
      <w:pPr>
        <w:shd w:val="clear" w:color="auto" w:fill="FFFFFF"/>
        <w:jc w:val="both"/>
        <w:rPr>
          <w:sz w:val="28"/>
          <w:szCs w:val="28"/>
          <w:lang w:val="ro-RO"/>
        </w:rPr>
      </w:pPr>
    </w:p>
    <w:sectPr w:rsidR="00A25D62" w:rsidRPr="00B426DF" w:rsidSect="00F82060">
      <w:pgSz w:w="11906" w:h="16838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01C60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93690"/>
    <w:multiLevelType w:val="hybridMultilevel"/>
    <w:tmpl w:val="C4B00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E5377"/>
    <w:multiLevelType w:val="hybridMultilevel"/>
    <w:tmpl w:val="7EF27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DF"/>
    <w:rsid w:val="00171DE2"/>
    <w:rsid w:val="001D2653"/>
    <w:rsid w:val="002078A2"/>
    <w:rsid w:val="00260556"/>
    <w:rsid w:val="003D11D5"/>
    <w:rsid w:val="00412DC4"/>
    <w:rsid w:val="00463024"/>
    <w:rsid w:val="004E1281"/>
    <w:rsid w:val="004F7BE4"/>
    <w:rsid w:val="005E317B"/>
    <w:rsid w:val="00615071"/>
    <w:rsid w:val="00626ADC"/>
    <w:rsid w:val="00655240"/>
    <w:rsid w:val="00674A0E"/>
    <w:rsid w:val="006F44C4"/>
    <w:rsid w:val="0096191B"/>
    <w:rsid w:val="00A25D62"/>
    <w:rsid w:val="00B426DF"/>
    <w:rsid w:val="00C33BE5"/>
    <w:rsid w:val="00CB56C2"/>
    <w:rsid w:val="00F82060"/>
    <w:rsid w:val="00FC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CD3E2-E3DD-47F0-BBF3-E0DCC84B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6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Normal"/>
    <w:link w:val="ListParagraphChar"/>
    <w:uiPriority w:val="34"/>
    <w:qFormat/>
    <w:rsid w:val="00B426DF"/>
    <w:pPr>
      <w:ind w:left="720"/>
      <w:contextualSpacing/>
    </w:pPr>
  </w:style>
  <w:style w:type="character" w:customStyle="1" w:styleId="ListParagraphChar">
    <w:name w:val="List Paragraph Char"/>
    <w:aliases w:val="strikethrough Char,Bullets Char,List Paragraph (numbered (a)) Char,Numbered List Paragraph Char,List_Paragraph Char,Multilevel para_II Char,List Paragraph1 Char,Numbered list Char,Akapit z listą BS Char,List Paragraph 1 Char,Ha Char"/>
    <w:link w:val="ListParagraph"/>
    <w:uiPriority w:val="34"/>
    <w:qFormat/>
    <w:locked/>
    <w:rsid w:val="00B426D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0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024"/>
    <w:rPr>
      <w:rFonts w:ascii="Segoe UI" w:eastAsia="SimSun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626A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liona.moisei\Downloads\Organiza&#355;ia%20pentru%20Cooperare%20&#351;i%20Dezvoltare%20Economic&#259;%20-%20Mandatul%20Comitetului%20de%20Asisten&#539;&#259;%20pentru%20Dezvoltare%20%20(accesibil%20la%20urm&#259;torul%20link:%20https:\www.oecd.org\dac\thedevelopmentassistancecommitteesmandate.htm)" TargetMode="External"/><Relationship Id="rId5" Type="http://schemas.openxmlformats.org/officeDocument/2006/relationships/hyperlink" Target="https://mf.gov.md/sites/default/files/Raport%20ODA%20202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2022-08-08T10:10:00Z</cp:lastPrinted>
  <dcterms:created xsi:type="dcterms:W3CDTF">2022-12-26T10:15:00Z</dcterms:created>
  <dcterms:modified xsi:type="dcterms:W3CDTF">2022-12-26T10:15:00Z</dcterms:modified>
</cp:coreProperties>
</file>