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653E" w:rsidRPr="00136660" w:rsidRDefault="0030653E" w:rsidP="00136660">
      <w:pPr>
        <w:spacing w:after="0" w:line="240" w:lineRule="auto"/>
        <w:ind w:right="-1"/>
        <w:jc w:val="center"/>
        <w:rPr>
          <w:rFonts w:ascii="Times New Roman" w:hAnsi="Times New Roman" w:cs="Times New Roman"/>
          <w:b/>
          <w:sz w:val="28"/>
          <w:szCs w:val="28"/>
          <w:lang w:val="ro-RO"/>
        </w:rPr>
      </w:pPr>
      <w:bookmarkStart w:id="0" w:name="_GoBack"/>
      <w:bookmarkEnd w:id="0"/>
      <w:r w:rsidRPr="00136660">
        <w:rPr>
          <w:rFonts w:ascii="Times New Roman" w:hAnsi="Times New Roman" w:cs="Times New Roman"/>
          <w:b/>
          <w:sz w:val="28"/>
          <w:szCs w:val="28"/>
          <w:lang w:val="ro-RO"/>
        </w:rPr>
        <w:t>Anunțuri</w:t>
      </w:r>
    </w:p>
    <w:p w:rsidR="00796E95" w:rsidRPr="00136660" w:rsidRDefault="0030653E" w:rsidP="00136660">
      <w:pPr>
        <w:spacing w:after="0" w:line="240" w:lineRule="auto"/>
        <w:ind w:right="240"/>
        <w:jc w:val="center"/>
        <w:rPr>
          <w:rFonts w:ascii="Times New Roman" w:hAnsi="Times New Roman" w:cs="Times New Roman"/>
          <w:sz w:val="28"/>
          <w:szCs w:val="28"/>
          <w:lang w:val="ro-RO"/>
        </w:rPr>
      </w:pPr>
      <w:r w:rsidRPr="00136660">
        <w:rPr>
          <w:rFonts w:ascii="Times New Roman" w:hAnsi="Times New Roman" w:cs="Times New Roman"/>
          <w:sz w:val="28"/>
          <w:szCs w:val="28"/>
          <w:lang w:val="ro-RO"/>
        </w:rPr>
        <w:t xml:space="preserve">(ședința </w:t>
      </w:r>
      <w:r w:rsidR="00796E95" w:rsidRPr="00136660">
        <w:rPr>
          <w:rFonts w:ascii="Times New Roman" w:hAnsi="Times New Roman" w:cs="Times New Roman"/>
          <w:sz w:val="28"/>
          <w:szCs w:val="28"/>
          <w:lang w:val="ro-RO"/>
        </w:rPr>
        <w:t xml:space="preserve">la Ministerul Finanțelor cu </w:t>
      </w:r>
      <w:r w:rsidRPr="00136660">
        <w:rPr>
          <w:rFonts w:ascii="Times New Roman" w:hAnsi="Times New Roman" w:cs="Times New Roman"/>
          <w:sz w:val="28"/>
          <w:szCs w:val="28"/>
          <w:lang w:val="ro-RO"/>
        </w:rPr>
        <w:t>D</w:t>
      </w:r>
      <w:r w:rsidR="00796E95" w:rsidRPr="00136660">
        <w:rPr>
          <w:rFonts w:ascii="Times New Roman" w:hAnsi="Times New Roman" w:cs="Times New Roman"/>
          <w:sz w:val="28"/>
          <w:szCs w:val="28"/>
          <w:lang w:val="ro-RO"/>
        </w:rPr>
        <w:t>irecțiile finanțe ale UAT</w:t>
      </w:r>
    </w:p>
    <w:p w:rsidR="0030653E" w:rsidRPr="00136660" w:rsidRDefault="0030653E" w:rsidP="00136660">
      <w:pPr>
        <w:spacing w:after="0" w:line="240" w:lineRule="auto"/>
        <w:ind w:right="240"/>
        <w:jc w:val="center"/>
        <w:rPr>
          <w:rFonts w:ascii="Times New Roman" w:hAnsi="Times New Roman" w:cs="Times New Roman"/>
          <w:sz w:val="28"/>
          <w:szCs w:val="28"/>
          <w:lang w:val="ro-RO"/>
        </w:rPr>
      </w:pPr>
      <w:r w:rsidRPr="00136660">
        <w:rPr>
          <w:rFonts w:ascii="Times New Roman" w:hAnsi="Times New Roman" w:cs="Times New Roman"/>
          <w:sz w:val="28"/>
          <w:szCs w:val="28"/>
          <w:lang w:val="ro-RO"/>
        </w:rPr>
        <w:t>și T</w:t>
      </w:r>
      <w:r w:rsidR="00796E95" w:rsidRPr="00136660">
        <w:rPr>
          <w:rFonts w:ascii="Times New Roman" w:hAnsi="Times New Roman" w:cs="Times New Roman"/>
          <w:sz w:val="28"/>
          <w:szCs w:val="28"/>
          <w:lang w:val="ro-RO"/>
        </w:rPr>
        <w:t>rezoreriile regionale</w:t>
      </w:r>
      <w:r w:rsidRPr="00136660">
        <w:rPr>
          <w:rFonts w:ascii="Times New Roman" w:hAnsi="Times New Roman" w:cs="Times New Roman"/>
          <w:sz w:val="28"/>
          <w:szCs w:val="28"/>
          <w:lang w:val="ro-RO"/>
        </w:rPr>
        <w:t xml:space="preserve"> din </w:t>
      </w:r>
      <w:r w:rsidR="00947532" w:rsidRPr="00136660">
        <w:rPr>
          <w:rFonts w:ascii="Times New Roman" w:hAnsi="Times New Roman" w:cs="Times New Roman"/>
          <w:sz w:val="28"/>
          <w:szCs w:val="28"/>
          <w:lang w:val="ro-RO"/>
        </w:rPr>
        <w:t>06</w:t>
      </w:r>
      <w:r w:rsidRPr="00136660">
        <w:rPr>
          <w:rFonts w:ascii="Times New Roman" w:hAnsi="Times New Roman" w:cs="Times New Roman"/>
          <w:sz w:val="28"/>
          <w:szCs w:val="28"/>
          <w:lang w:val="ro-RO"/>
        </w:rPr>
        <w:t>.</w:t>
      </w:r>
      <w:r w:rsidR="00947532" w:rsidRPr="00136660">
        <w:rPr>
          <w:rFonts w:ascii="Times New Roman" w:hAnsi="Times New Roman" w:cs="Times New Roman"/>
          <w:sz w:val="28"/>
          <w:szCs w:val="28"/>
          <w:lang w:val="ro-RO"/>
        </w:rPr>
        <w:t>12</w:t>
      </w:r>
      <w:r w:rsidRPr="00136660">
        <w:rPr>
          <w:rFonts w:ascii="Times New Roman" w:hAnsi="Times New Roman" w:cs="Times New Roman"/>
          <w:sz w:val="28"/>
          <w:szCs w:val="28"/>
          <w:lang w:val="ro-RO"/>
        </w:rPr>
        <w:t>.2018)</w:t>
      </w:r>
    </w:p>
    <w:p w:rsidR="0030653E" w:rsidRPr="00136660" w:rsidRDefault="00796E95" w:rsidP="00136660">
      <w:pPr>
        <w:pStyle w:val="ListParagraph"/>
        <w:numPr>
          <w:ilvl w:val="0"/>
          <w:numId w:val="6"/>
        </w:numPr>
        <w:tabs>
          <w:tab w:val="left" w:pos="284"/>
        </w:tabs>
        <w:spacing w:before="120" w:after="0" w:line="240" w:lineRule="auto"/>
        <w:ind w:left="0" w:right="238" w:firstLine="0"/>
        <w:contextualSpacing w:val="0"/>
        <w:jc w:val="both"/>
        <w:rPr>
          <w:rFonts w:ascii="Times New Roman" w:hAnsi="Times New Roman" w:cs="Times New Roman"/>
          <w:b/>
          <w:sz w:val="28"/>
          <w:szCs w:val="28"/>
          <w:u w:val="single"/>
          <w:lang w:val="ro-RO"/>
        </w:rPr>
      </w:pPr>
      <w:r w:rsidRPr="00136660">
        <w:rPr>
          <w:rFonts w:ascii="Times New Roman" w:hAnsi="Times New Roman" w:cs="Times New Roman"/>
          <w:b/>
          <w:sz w:val="28"/>
          <w:szCs w:val="28"/>
          <w:u w:val="single"/>
          <w:lang w:val="ro-RO"/>
        </w:rPr>
        <w:t xml:space="preserve">Dna </w:t>
      </w:r>
      <w:r w:rsidR="0017607B" w:rsidRPr="00136660">
        <w:rPr>
          <w:rFonts w:ascii="Times New Roman" w:hAnsi="Times New Roman" w:cs="Times New Roman"/>
          <w:b/>
          <w:sz w:val="28"/>
          <w:szCs w:val="28"/>
          <w:u w:val="single"/>
          <w:lang w:val="ro-RO"/>
        </w:rPr>
        <w:t>Tatiana Ivanicichina</w:t>
      </w:r>
      <w:r w:rsidRPr="00136660">
        <w:rPr>
          <w:rFonts w:ascii="Times New Roman" w:hAnsi="Times New Roman" w:cs="Times New Roman"/>
          <w:b/>
          <w:sz w:val="28"/>
          <w:szCs w:val="28"/>
          <w:u w:val="single"/>
          <w:lang w:val="ro-RO"/>
        </w:rPr>
        <w:t xml:space="preserve"> – </w:t>
      </w:r>
      <w:r w:rsidRPr="00136660">
        <w:rPr>
          <w:rFonts w:ascii="Times New Roman" w:hAnsi="Times New Roman" w:cs="Times New Roman"/>
          <w:sz w:val="28"/>
          <w:szCs w:val="28"/>
          <w:u w:val="single"/>
          <w:lang w:val="ro-RO"/>
        </w:rPr>
        <w:t>secretar de stat</w:t>
      </w:r>
      <w:r w:rsidR="00F56ABD" w:rsidRPr="00136660">
        <w:rPr>
          <w:rFonts w:ascii="Times New Roman" w:hAnsi="Times New Roman" w:cs="Times New Roman"/>
          <w:sz w:val="28"/>
          <w:szCs w:val="28"/>
          <w:u w:val="single"/>
          <w:lang w:val="ro-RO"/>
        </w:rPr>
        <w:t xml:space="preserve"> </w:t>
      </w:r>
      <w:r w:rsidR="0017607B" w:rsidRPr="00136660">
        <w:rPr>
          <w:rFonts w:ascii="Times New Roman" w:hAnsi="Times New Roman" w:cs="Times New Roman"/>
          <w:sz w:val="28"/>
          <w:szCs w:val="28"/>
          <w:u w:val="single"/>
          <w:lang w:val="ro-RO"/>
        </w:rPr>
        <w:t>(</w:t>
      </w:r>
      <w:r w:rsidR="00136660">
        <w:rPr>
          <w:rFonts w:ascii="Times New Roman" w:hAnsi="Times New Roman" w:cs="Times New Roman"/>
          <w:sz w:val="28"/>
          <w:szCs w:val="28"/>
          <w:u w:val="single"/>
          <w:lang w:val="ro-RO"/>
        </w:rPr>
        <w:t>10</w:t>
      </w:r>
      <w:r w:rsidR="0017607B" w:rsidRPr="00136660">
        <w:rPr>
          <w:rFonts w:ascii="Times New Roman" w:hAnsi="Times New Roman" w:cs="Times New Roman"/>
          <w:sz w:val="28"/>
          <w:szCs w:val="28"/>
          <w:u w:val="single"/>
          <w:lang w:val="ro-RO"/>
        </w:rPr>
        <w:t xml:space="preserve"> min.)</w:t>
      </w:r>
      <w:r w:rsidR="001E293E" w:rsidRPr="00136660">
        <w:rPr>
          <w:rFonts w:ascii="Times New Roman" w:hAnsi="Times New Roman" w:cs="Times New Roman"/>
          <w:sz w:val="28"/>
          <w:szCs w:val="28"/>
          <w:lang w:val="ro-RO"/>
        </w:rPr>
        <w:t xml:space="preserve"> </w:t>
      </w:r>
    </w:p>
    <w:p w:rsidR="00EC34E4" w:rsidRDefault="00EC34E4" w:rsidP="00136660">
      <w:pPr>
        <w:pStyle w:val="ListParagraph"/>
        <w:numPr>
          <w:ilvl w:val="0"/>
          <w:numId w:val="10"/>
        </w:numPr>
        <w:spacing w:before="100" w:after="0" w:line="240" w:lineRule="auto"/>
        <w:ind w:left="568" w:right="238" w:hanging="284"/>
        <w:contextualSpacing w:val="0"/>
        <w:jc w:val="both"/>
        <w:rPr>
          <w:rFonts w:ascii="Times New Roman" w:hAnsi="Times New Roman" w:cs="Times New Roman"/>
          <w:b/>
          <w:i/>
          <w:sz w:val="28"/>
          <w:szCs w:val="28"/>
          <w:lang w:val="ro-RO"/>
        </w:rPr>
      </w:pPr>
      <w:r w:rsidRPr="00C13408">
        <w:rPr>
          <w:rFonts w:ascii="Times New Roman" w:hAnsi="Times New Roman" w:cs="Times New Roman"/>
          <w:b/>
          <w:i/>
          <w:sz w:val="28"/>
          <w:szCs w:val="28"/>
          <w:lang w:val="ro-RO"/>
        </w:rPr>
        <w:t>Adoptarea de Parlament a Legii bugetului de stat pe anul 2019</w:t>
      </w:r>
    </w:p>
    <w:p w:rsidR="00EC34E4" w:rsidRPr="00EC34E4" w:rsidRDefault="00EC34E4" w:rsidP="00EC34E4">
      <w:pPr>
        <w:pStyle w:val="ListParagraph"/>
        <w:spacing w:before="100" w:after="0" w:line="240" w:lineRule="auto"/>
        <w:ind w:left="0" w:right="238" w:firstLine="568"/>
        <w:jc w:val="both"/>
        <w:rPr>
          <w:rFonts w:ascii="Times New Roman" w:hAnsi="Times New Roman" w:cs="Times New Roman"/>
          <w:sz w:val="28"/>
          <w:szCs w:val="28"/>
          <w:lang w:val="ro-RO"/>
        </w:rPr>
      </w:pPr>
      <w:r w:rsidRPr="00EC34E4">
        <w:rPr>
          <w:rFonts w:ascii="Times New Roman" w:hAnsi="Times New Roman" w:cs="Times New Roman"/>
          <w:sz w:val="28"/>
          <w:szCs w:val="28"/>
          <w:lang w:val="ro-RO"/>
        </w:rPr>
        <w:t>Vă informăm că la 30 noiembrie curent, Parlamentul a adoptat în lectura II (finală) proiectul Legii bugetului de stat pentru anul 2019.</w:t>
      </w:r>
    </w:p>
    <w:p w:rsidR="00EC34E4" w:rsidRDefault="00EC34E4" w:rsidP="00EC34E4">
      <w:pPr>
        <w:pStyle w:val="ListParagraph"/>
        <w:spacing w:before="100" w:after="0" w:line="240" w:lineRule="auto"/>
        <w:ind w:left="0" w:right="238" w:firstLine="567"/>
        <w:jc w:val="both"/>
        <w:rPr>
          <w:rFonts w:ascii="Times New Roman" w:hAnsi="Times New Roman" w:cs="Times New Roman"/>
          <w:sz w:val="28"/>
          <w:szCs w:val="28"/>
          <w:lang w:val="ro-RO"/>
        </w:rPr>
      </w:pPr>
      <w:r w:rsidRPr="00EC34E4">
        <w:rPr>
          <w:rFonts w:ascii="Times New Roman" w:hAnsi="Times New Roman" w:cs="Times New Roman"/>
          <w:sz w:val="28"/>
          <w:szCs w:val="28"/>
          <w:lang w:val="ro-RO"/>
        </w:rPr>
        <w:t xml:space="preserve">În acest context, </w:t>
      </w:r>
      <w:r w:rsidR="00AF2A83">
        <w:rPr>
          <w:rFonts w:ascii="Times New Roman" w:hAnsi="Times New Roman" w:cs="Times New Roman"/>
          <w:sz w:val="28"/>
          <w:szCs w:val="28"/>
          <w:lang w:val="ro-RO"/>
        </w:rPr>
        <w:t xml:space="preserve">în cel mai scurt timp, </w:t>
      </w:r>
      <w:r w:rsidRPr="00EC34E4">
        <w:rPr>
          <w:rFonts w:ascii="Times New Roman" w:hAnsi="Times New Roman" w:cs="Times New Roman"/>
          <w:sz w:val="28"/>
          <w:szCs w:val="28"/>
          <w:lang w:val="ro-RO"/>
        </w:rPr>
        <w:t xml:space="preserve">din partea ministerului va fi remisă o circulară </w:t>
      </w:r>
      <w:r w:rsidR="00AF2A83">
        <w:rPr>
          <w:rFonts w:ascii="Times New Roman" w:hAnsi="Times New Roman" w:cs="Times New Roman"/>
          <w:sz w:val="28"/>
          <w:szCs w:val="28"/>
          <w:lang w:val="ro-RO"/>
        </w:rPr>
        <w:t>în adresa APL, cu unele particularități ce țin de aprobarea și repartizarea (dezagregarea) bugetelor locale pentru 2019, bugete provizorii, precum și necesitatea corelării bugetelor locale cu prevederile Legii bugetului de stat pentru anul 2019.</w:t>
      </w:r>
    </w:p>
    <w:p w:rsidR="00EC34E4" w:rsidRPr="00EC34E4" w:rsidRDefault="00AF2A83" w:rsidP="00AF2A83">
      <w:pPr>
        <w:pStyle w:val="ListParagraph"/>
        <w:spacing w:after="0" w:line="240" w:lineRule="auto"/>
        <w:ind w:left="0" w:right="238" w:firstLine="567"/>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Avînd în vedere că pînă la termenul limită de aprobare a bugetelor locale (10 decembrie) pentru anul 2019 de către consilii mai este timp, ar fi oportun ca în proiectul deciziei bugetare să fie reflectate limitele finale ale transferurilor de la bugetul de stat către bugetele locale, conform Anexei nr.7, pentru a nu fi n</w:t>
      </w:r>
      <w:r w:rsidR="002078A7">
        <w:rPr>
          <w:rFonts w:ascii="Times New Roman" w:hAnsi="Times New Roman" w:cs="Times New Roman"/>
          <w:sz w:val="28"/>
          <w:szCs w:val="28"/>
          <w:lang w:val="ro-RO"/>
        </w:rPr>
        <w:t>evoie de corelare.</w:t>
      </w:r>
      <w:r>
        <w:rPr>
          <w:rFonts w:ascii="Times New Roman" w:hAnsi="Times New Roman" w:cs="Times New Roman"/>
          <w:sz w:val="28"/>
          <w:szCs w:val="28"/>
          <w:lang w:val="ro-RO"/>
        </w:rPr>
        <w:t xml:space="preserve"> </w:t>
      </w:r>
    </w:p>
    <w:p w:rsidR="00491088" w:rsidRPr="00136660" w:rsidRDefault="00947532" w:rsidP="00136660">
      <w:pPr>
        <w:pStyle w:val="ListParagraph"/>
        <w:numPr>
          <w:ilvl w:val="0"/>
          <w:numId w:val="10"/>
        </w:numPr>
        <w:spacing w:before="100" w:after="0" w:line="240" w:lineRule="auto"/>
        <w:ind w:left="568" w:right="238" w:hanging="284"/>
        <w:contextualSpacing w:val="0"/>
        <w:jc w:val="both"/>
        <w:rPr>
          <w:rFonts w:ascii="Times New Roman" w:hAnsi="Times New Roman" w:cs="Times New Roman"/>
          <w:b/>
          <w:i/>
          <w:sz w:val="28"/>
          <w:szCs w:val="28"/>
          <w:lang w:val="ro-RO"/>
        </w:rPr>
      </w:pPr>
      <w:r w:rsidRPr="00136660">
        <w:rPr>
          <w:rFonts w:ascii="Times New Roman" w:hAnsi="Times New Roman" w:cs="Times New Roman"/>
          <w:b/>
          <w:i/>
          <w:sz w:val="28"/>
          <w:szCs w:val="28"/>
          <w:lang w:val="ro-RO"/>
        </w:rPr>
        <w:t>Redistribuirea alocațiilor bugetare pe anul 2018</w:t>
      </w:r>
    </w:p>
    <w:p w:rsidR="00491088" w:rsidRPr="00136660" w:rsidRDefault="00287E15" w:rsidP="00136660">
      <w:pPr>
        <w:spacing w:after="0" w:line="240" w:lineRule="auto"/>
        <w:ind w:right="238" w:firstLine="567"/>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În conformitate cu prevederile art.</w:t>
      </w:r>
      <w:r w:rsidR="00947532" w:rsidRPr="00136660">
        <w:rPr>
          <w:rFonts w:ascii="Times New Roman" w:hAnsi="Times New Roman" w:cs="Times New Roman"/>
          <w:sz w:val="28"/>
          <w:szCs w:val="28"/>
          <w:lang w:val="ro-RO"/>
        </w:rPr>
        <w:t>25 alin.(3)</w:t>
      </w:r>
      <w:r w:rsidRPr="00136660">
        <w:rPr>
          <w:rFonts w:ascii="Times New Roman" w:hAnsi="Times New Roman" w:cs="Times New Roman"/>
          <w:sz w:val="28"/>
          <w:szCs w:val="28"/>
          <w:lang w:val="ro-RO"/>
        </w:rPr>
        <w:t xml:space="preserve"> din Legea </w:t>
      </w:r>
      <w:r w:rsidR="00947532" w:rsidRPr="00136660">
        <w:rPr>
          <w:rFonts w:ascii="Times New Roman" w:hAnsi="Times New Roman" w:cs="Times New Roman"/>
          <w:sz w:val="28"/>
          <w:szCs w:val="28"/>
          <w:lang w:val="ro-RO"/>
        </w:rPr>
        <w:t>privind finanțele publice locale</w:t>
      </w:r>
      <w:r w:rsidRPr="00136660">
        <w:rPr>
          <w:rFonts w:ascii="Times New Roman" w:hAnsi="Times New Roman" w:cs="Times New Roman"/>
          <w:sz w:val="28"/>
          <w:szCs w:val="28"/>
          <w:lang w:val="ro-RO"/>
        </w:rPr>
        <w:t xml:space="preserve">, </w:t>
      </w:r>
      <w:r w:rsidR="00947532" w:rsidRPr="00136660">
        <w:rPr>
          <w:rFonts w:ascii="Times New Roman" w:hAnsi="Times New Roman" w:cs="Times New Roman"/>
          <w:sz w:val="28"/>
          <w:szCs w:val="28"/>
          <w:lang w:val="ro-RO"/>
        </w:rPr>
        <w:t xml:space="preserve">redistribuirea alocațiilor bugetare fără afectarea indicatorilor aprobați prin decizia bugetară anuală se efectuează pînă la </w:t>
      </w:r>
      <w:r w:rsidR="00947532" w:rsidRPr="00136660">
        <w:rPr>
          <w:rFonts w:ascii="Times New Roman" w:hAnsi="Times New Roman" w:cs="Times New Roman"/>
          <w:i/>
          <w:sz w:val="28"/>
          <w:szCs w:val="28"/>
          <w:lang w:val="ro-RO"/>
        </w:rPr>
        <w:t>30 noiembrie</w:t>
      </w:r>
      <w:r w:rsidR="00947532" w:rsidRPr="00136660">
        <w:rPr>
          <w:rFonts w:ascii="Times New Roman" w:hAnsi="Times New Roman" w:cs="Times New Roman"/>
          <w:sz w:val="28"/>
          <w:szCs w:val="28"/>
          <w:lang w:val="ro-RO"/>
        </w:rPr>
        <w:t xml:space="preserve"> a anului bugetar. </w:t>
      </w:r>
    </w:p>
    <w:p w:rsidR="00287E15" w:rsidRPr="00136660" w:rsidRDefault="00CB4604" w:rsidP="00136660">
      <w:pPr>
        <w:spacing w:after="0" w:line="240" w:lineRule="auto"/>
        <w:ind w:right="238" w:firstLine="567"/>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A</w:t>
      </w:r>
      <w:r w:rsidR="00676F16" w:rsidRPr="00136660">
        <w:rPr>
          <w:rFonts w:ascii="Times New Roman" w:hAnsi="Times New Roman" w:cs="Times New Roman"/>
          <w:sz w:val="28"/>
          <w:szCs w:val="28"/>
          <w:lang w:val="ro-RO"/>
        </w:rPr>
        <w:t>ccesul în modulul e-alocații (GAB)</w:t>
      </w:r>
      <w:r w:rsidR="00947532" w:rsidRPr="00136660">
        <w:rPr>
          <w:rFonts w:ascii="Times New Roman" w:hAnsi="Times New Roman" w:cs="Times New Roman"/>
          <w:sz w:val="28"/>
          <w:szCs w:val="28"/>
          <w:lang w:val="ro-RO"/>
        </w:rPr>
        <w:t xml:space="preserve"> a fost </w:t>
      </w:r>
      <w:r w:rsidR="00676F16" w:rsidRPr="00136660">
        <w:rPr>
          <w:rFonts w:ascii="Times New Roman" w:hAnsi="Times New Roman" w:cs="Times New Roman"/>
          <w:sz w:val="28"/>
          <w:szCs w:val="28"/>
          <w:lang w:val="ro-RO"/>
        </w:rPr>
        <w:t>stopat pentru toți utilizatorii</w:t>
      </w:r>
      <w:r w:rsidRPr="00136660">
        <w:rPr>
          <w:rFonts w:ascii="Times New Roman" w:hAnsi="Times New Roman" w:cs="Times New Roman"/>
          <w:sz w:val="28"/>
          <w:szCs w:val="28"/>
          <w:lang w:val="ro-RO"/>
        </w:rPr>
        <w:t xml:space="preserve"> începînd cu </w:t>
      </w:r>
      <w:r w:rsidRPr="00136660">
        <w:rPr>
          <w:rFonts w:ascii="Times New Roman" w:hAnsi="Times New Roman" w:cs="Times New Roman"/>
          <w:i/>
          <w:sz w:val="28"/>
          <w:szCs w:val="28"/>
          <w:lang w:val="ro-RO"/>
        </w:rPr>
        <w:t>25 noiembrie curent</w:t>
      </w:r>
      <w:r w:rsidRPr="00136660">
        <w:rPr>
          <w:rFonts w:ascii="Times New Roman" w:hAnsi="Times New Roman" w:cs="Times New Roman"/>
          <w:sz w:val="28"/>
          <w:szCs w:val="28"/>
          <w:lang w:val="ro-RO"/>
        </w:rPr>
        <w:t xml:space="preserve"> pentru lansarea ciclului de modificare a Legii bugetului de stat pe anul 2018 urmare a aprobării HG nr.1121/14.11.2018 și nr.1151/21.11.2018, și nu va fi accesibil și</w:t>
      </w:r>
      <w:r w:rsidR="00676F16" w:rsidRPr="00136660">
        <w:rPr>
          <w:rFonts w:ascii="Times New Roman" w:hAnsi="Times New Roman" w:cs="Times New Roman"/>
          <w:sz w:val="28"/>
          <w:szCs w:val="28"/>
          <w:lang w:val="ro-RO"/>
        </w:rPr>
        <w:t xml:space="preserve"> pentru perioada 01-08 decembrie curent pentru asigurarea îndeplinirii prevederilor Legii privind modificarea Legii bugetului de stat pe anul 2018, adoptate de Parlament la 30.11.2018</w:t>
      </w:r>
      <w:r w:rsidR="00287E15" w:rsidRPr="00136660">
        <w:rPr>
          <w:rFonts w:ascii="Times New Roman" w:hAnsi="Times New Roman" w:cs="Times New Roman"/>
          <w:sz w:val="28"/>
          <w:szCs w:val="28"/>
          <w:lang w:val="ro-RO"/>
        </w:rPr>
        <w:t xml:space="preserve">. </w:t>
      </w:r>
    </w:p>
    <w:p w:rsidR="00AC1A70" w:rsidRPr="00136660" w:rsidRDefault="00CB4604" w:rsidP="00136660">
      <w:pPr>
        <w:spacing w:after="0" w:line="240" w:lineRule="auto"/>
        <w:ind w:right="240" w:firstLine="567"/>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 xml:space="preserve">Din acest considerent, ca excepție de la prevederile legale, avînd în vedere situația creată ce necesită a fi soluționată urgent, vom permite APL să efectueze redistribuirile de alocații bugetare în modulul GAB pentru perioada </w:t>
      </w:r>
      <w:r w:rsidRPr="00136660">
        <w:rPr>
          <w:rFonts w:ascii="Times New Roman" w:hAnsi="Times New Roman" w:cs="Times New Roman"/>
          <w:b/>
          <w:i/>
          <w:sz w:val="28"/>
          <w:szCs w:val="28"/>
          <w:lang w:val="ro-RO"/>
        </w:rPr>
        <w:t>10-15 decembrie</w:t>
      </w:r>
      <w:r w:rsidRPr="00136660">
        <w:rPr>
          <w:rFonts w:ascii="Times New Roman" w:hAnsi="Times New Roman" w:cs="Times New Roman"/>
          <w:sz w:val="28"/>
          <w:szCs w:val="28"/>
          <w:lang w:val="ro-RO"/>
        </w:rPr>
        <w:t xml:space="preserve"> curent. </w:t>
      </w:r>
    </w:p>
    <w:p w:rsidR="00AC1A70" w:rsidRPr="00136660" w:rsidRDefault="00FB48C1" w:rsidP="00136660">
      <w:pPr>
        <w:pStyle w:val="ListParagraph"/>
        <w:numPr>
          <w:ilvl w:val="0"/>
          <w:numId w:val="10"/>
        </w:numPr>
        <w:spacing w:before="100" w:after="0" w:line="240" w:lineRule="auto"/>
        <w:ind w:left="568" w:hanging="284"/>
        <w:contextualSpacing w:val="0"/>
        <w:rPr>
          <w:rFonts w:ascii="Times New Roman" w:hAnsi="Times New Roman" w:cs="Times New Roman"/>
          <w:b/>
          <w:i/>
          <w:sz w:val="28"/>
          <w:szCs w:val="28"/>
          <w:lang w:val="ro-RO"/>
        </w:rPr>
      </w:pPr>
      <w:r w:rsidRPr="00136660">
        <w:rPr>
          <w:rFonts w:ascii="Times New Roman" w:hAnsi="Times New Roman" w:cs="Times New Roman"/>
          <w:b/>
          <w:i/>
          <w:sz w:val="28"/>
          <w:szCs w:val="28"/>
          <w:lang w:val="ro-RO"/>
        </w:rPr>
        <w:t>Avizarea și efectuarea expertizei financiare conform Legii nr.100/2017</w:t>
      </w:r>
    </w:p>
    <w:p w:rsidR="00FE3DCB" w:rsidRPr="00136660" w:rsidRDefault="00FE3DCB" w:rsidP="00136660">
      <w:pPr>
        <w:pStyle w:val="ListParagraph"/>
        <w:spacing w:after="0" w:line="240" w:lineRule="auto"/>
        <w:ind w:left="0" w:firstLine="567"/>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 xml:space="preserve">Există un șir de scrisori din partea APL, </w:t>
      </w:r>
      <w:r w:rsidRPr="00136660">
        <w:rPr>
          <w:rFonts w:ascii="Times New Roman" w:hAnsi="Times New Roman" w:cs="Times New Roman"/>
          <w:i/>
          <w:sz w:val="28"/>
          <w:szCs w:val="28"/>
          <w:lang w:val="ro-RO"/>
        </w:rPr>
        <w:t>în special din r-ul Orhei</w:t>
      </w:r>
      <w:r w:rsidRPr="00136660">
        <w:rPr>
          <w:rFonts w:ascii="Times New Roman" w:hAnsi="Times New Roman" w:cs="Times New Roman"/>
          <w:sz w:val="28"/>
          <w:szCs w:val="28"/>
          <w:lang w:val="ro-RO"/>
        </w:rPr>
        <w:t>, unde se solicită avizarea sau efectuarea expertizei financiare a proiectelor actelor normative ale APL</w:t>
      </w:r>
      <w:r w:rsidR="0067041A" w:rsidRPr="00136660">
        <w:rPr>
          <w:rFonts w:ascii="Times New Roman" w:hAnsi="Times New Roman" w:cs="Times New Roman"/>
          <w:sz w:val="28"/>
          <w:szCs w:val="28"/>
          <w:lang w:val="ro-RO"/>
        </w:rPr>
        <w:t xml:space="preserve"> (ambele nivele)</w:t>
      </w:r>
      <w:r w:rsidRPr="00136660">
        <w:rPr>
          <w:rFonts w:ascii="Times New Roman" w:hAnsi="Times New Roman" w:cs="Times New Roman"/>
          <w:sz w:val="28"/>
          <w:szCs w:val="28"/>
          <w:lang w:val="ro-RO"/>
        </w:rPr>
        <w:t>.</w:t>
      </w:r>
    </w:p>
    <w:p w:rsidR="00FB48C1" w:rsidRPr="00136660" w:rsidRDefault="00FE3DCB" w:rsidP="00136660">
      <w:pPr>
        <w:pStyle w:val="ListParagraph"/>
        <w:spacing w:after="0" w:line="240" w:lineRule="auto"/>
        <w:ind w:left="0" w:firstLine="567"/>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 xml:space="preserve">În privința </w:t>
      </w:r>
      <w:r w:rsidRPr="00136660">
        <w:rPr>
          <w:rFonts w:ascii="Times New Roman" w:hAnsi="Times New Roman" w:cs="Times New Roman"/>
          <w:i/>
          <w:sz w:val="28"/>
          <w:szCs w:val="28"/>
          <w:lang w:val="ro-RO"/>
        </w:rPr>
        <w:t>avizării</w:t>
      </w:r>
      <w:r w:rsidRPr="00136660">
        <w:rPr>
          <w:rFonts w:ascii="Times New Roman" w:hAnsi="Times New Roman" w:cs="Times New Roman"/>
          <w:sz w:val="28"/>
          <w:szCs w:val="28"/>
          <w:lang w:val="ro-RO"/>
        </w:rPr>
        <w:t xml:space="preserve"> vă informăm că ministerul, în calitate de autoritate a administrației publice centrale, în opinia noastră, nu cade sub incidența prevederilor art.32 din Legea cu privire la actele normative nr.100 din 22.12.2017, deoarece nu este autoritatea publică responsabilă de implementarea prevederilor conținute în proiectul actului normativ al APL, și nici nu poate fi catalogată ca și </w:t>
      </w:r>
      <w:r w:rsidRPr="00136660">
        <w:rPr>
          <w:rFonts w:ascii="Times New Roman" w:hAnsi="Times New Roman" w:cs="Times New Roman"/>
          <w:i/>
          <w:sz w:val="28"/>
          <w:szCs w:val="28"/>
          <w:lang w:val="ro-RO"/>
        </w:rPr>
        <w:t>instituție interesată</w:t>
      </w:r>
      <w:r w:rsidR="00E20CCE" w:rsidRPr="00136660">
        <w:rPr>
          <w:rFonts w:ascii="Times New Roman" w:hAnsi="Times New Roman" w:cs="Times New Roman"/>
          <w:sz w:val="28"/>
          <w:szCs w:val="28"/>
          <w:lang w:val="ro-RO"/>
        </w:rPr>
        <w:t>, care pre</w:t>
      </w:r>
      <w:r w:rsidR="004F2854" w:rsidRPr="00136660">
        <w:rPr>
          <w:rFonts w:ascii="Times New Roman" w:hAnsi="Times New Roman" w:cs="Times New Roman"/>
          <w:sz w:val="28"/>
          <w:szCs w:val="28"/>
          <w:lang w:val="ro-RO"/>
        </w:rPr>
        <w:t>supune</w:t>
      </w:r>
      <w:r w:rsidR="00E20CCE" w:rsidRPr="00136660">
        <w:rPr>
          <w:rFonts w:ascii="Times New Roman" w:hAnsi="Times New Roman" w:cs="Times New Roman"/>
          <w:sz w:val="28"/>
          <w:szCs w:val="28"/>
          <w:lang w:val="ro-RO"/>
        </w:rPr>
        <w:t xml:space="preserve"> obligația de avizare a proiectelor </w:t>
      </w:r>
      <w:r w:rsidR="004F2854" w:rsidRPr="00136660">
        <w:rPr>
          <w:rFonts w:ascii="Times New Roman" w:hAnsi="Times New Roman" w:cs="Times New Roman"/>
          <w:sz w:val="28"/>
          <w:szCs w:val="28"/>
          <w:lang w:val="ro-RO"/>
        </w:rPr>
        <w:t xml:space="preserve">actelor normative a </w:t>
      </w:r>
      <w:r w:rsidR="00E20CCE" w:rsidRPr="00136660">
        <w:rPr>
          <w:rFonts w:ascii="Times New Roman" w:hAnsi="Times New Roman" w:cs="Times New Roman"/>
          <w:sz w:val="28"/>
          <w:szCs w:val="28"/>
          <w:lang w:val="ro-RO"/>
        </w:rPr>
        <w:t>APL.</w:t>
      </w:r>
      <w:r w:rsidRPr="00136660">
        <w:rPr>
          <w:rFonts w:ascii="Times New Roman" w:hAnsi="Times New Roman" w:cs="Times New Roman"/>
          <w:sz w:val="28"/>
          <w:szCs w:val="28"/>
          <w:lang w:val="ro-RO"/>
        </w:rPr>
        <w:t xml:space="preserve"> </w:t>
      </w:r>
    </w:p>
    <w:p w:rsidR="0067041A" w:rsidRPr="00136660" w:rsidRDefault="0067041A" w:rsidP="00136660">
      <w:pPr>
        <w:pStyle w:val="ListParagraph"/>
        <w:spacing w:after="0" w:line="240" w:lineRule="auto"/>
        <w:ind w:left="0" w:firstLine="567"/>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M</w:t>
      </w:r>
      <w:r w:rsidR="007D12E3" w:rsidRPr="00136660">
        <w:rPr>
          <w:rFonts w:ascii="Times New Roman" w:hAnsi="Times New Roman" w:cs="Times New Roman"/>
          <w:sz w:val="28"/>
          <w:szCs w:val="28"/>
          <w:lang w:val="ro-RO"/>
        </w:rPr>
        <w:t>ai problematică</w:t>
      </w:r>
      <w:r w:rsidRPr="00136660">
        <w:rPr>
          <w:rFonts w:ascii="Times New Roman" w:hAnsi="Times New Roman" w:cs="Times New Roman"/>
          <w:sz w:val="28"/>
          <w:szCs w:val="28"/>
          <w:lang w:val="ro-RO"/>
        </w:rPr>
        <w:t xml:space="preserve"> pentru minister</w:t>
      </w:r>
      <w:r w:rsidR="007D12E3" w:rsidRPr="00136660">
        <w:rPr>
          <w:rFonts w:ascii="Times New Roman" w:hAnsi="Times New Roman" w:cs="Times New Roman"/>
          <w:sz w:val="28"/>
          <w:szCs w:val="28"/>
          <w:lang w:val="ro-RO"/>
        </w:rPr>
        <w:t xml:space="preserve"> este chestiunea privind efectuarea</w:t>
      </w:r>
      <w:r w:rsidR="00E20CCE" w:rsidRPr="00136660">
        <w:rPr>
          <w:rFonts w:ascii="Times New Roman" w:hAnsi="Times New Roman" w:cs="Times New Roman"/>
          <w:sz w:val="28"/>
          <w:szCs w:val="28"/>
          <w:lang w:val="ro-RO"/>
        </w:rPr>
        <w:t xml:space="preserve"> </w:t>
      </w:r>
      <w:r w:rsidR="00E20CCE" w:rsidRPr="00136660">
        <w:rPr>
          <w:rFonts w:ascii="Times New Roman" w:hAnsi="Times New Roman" w:cs="Times New Roman"/>
          <w:i/>
          <w:sz w:val="28"/>
          <w:szCs w:val="28"/>
          <w:lang w:val="ro-RO"/>
        </w:rPr>
        <w:t>expertizei financiare</w:t>
      </w:r>
      <w:r w:rsidRPr="00136660">
        <w:rPr>
          <w:rFonts w:ascii="Times New Roman" w:hAnsi="Times New Roman" w:cs="Times New Roman"/>
          <w:i/>
          <w:sz w:val="28"/>
          <w:szCs w:val="28"/>
          <w:lang w:val="ro-RO"/>
        </w:rPr>
        <w:t xml:space="preserve">, </w:t>
      </w:r>
      <w:r w:rsidRPr="00136660">
        <w:rPr>
          <w:rFonts w:ascii="Times New Roman" w:hAnsi="Times New Roman" w:cs="Times New Roman"/>
          <w:sz w:val="28"/>
          <w:szCs w:val="28"/>
          <w:lang w:val="ro-RO"/>
        </w:rPr>
        <w:t>deoarece este obligatorie pentru proiectele cu impact asupra bugetului public.</w:t>
      </w:r>
    </w:p>
    <w:p w:rsidR="0067041A" w:rsidRPr="00136660" w:rsidRDefault="0067041A" w:rsidP="00136660">
      <w:pPr>
        <w:pStyle w:val="ListParagraph"/>
        <w:spacing w:after="0" w:line="240" w:lineRule="auto"/>
        <w:ind w:left="0" w:firstLine="567"/>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Menirea expertizei financiare este de a:</w:t>
      </w:r>
    </w:p>
    <w:p w:rsidR="0067041A" w:rsidRPr="00136660" w:rsidRDefault="0067041A" w:rsidP="00136660">
      <w:pPr>
        <w:pStyle w:val="ListParagraph"/>
        <w:numPr>
          <w:ilvl w:val="0"/>
          <w:numId w:val="11"/>
        </w:numPr>
        <w:tabs>
          <w:tab w:val="left" w:pos="1134"/>
        </w:tabs>
        <w:spacing w:after="0" w:line="240" w:lineRule="auto"/>
        <w:ind w:left="0" w:firstLine="851"/>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u w:val="single"/>
          <w:lang w:val="ro-RO"/>
        </w:rPr>
        <w:lastRenderedPageBreak/>
        <w:t>asigura concordanța prevederilor proiectului cu legislația din domeniul financiar</w:t>
      </w:r>
      <w:r w:rsidRPr="00136660">
        <w:rPr>
          <w:rFonts w:ascii="Times New Roman" w:hAnsi="Times New Roman" w:cs="Times New Roman"/>
          <w:sz w:val="28"/>
          <w:szCs w:val="28"/>
          <w:lang w:val="ro-RO"/>
        </w:rPr>
        <w:t xml:space="preserve"> </w:t>
      </w:r>
      <w:r w:rsidR="00765182" w:rsidRPr="00136660">
        <w:rPr>
          <w:rFonts w:ascii="Times New Roman" w:hAnsi="Times New Roman" w:cs="Times New Roman"/>
          <w:sz w:val="28"/>
          <w:szCs w:val="28"/>
          <w:lang w:val="ro-RO"/>
        </w:rPr>
        <w:t xml:space="preserve">– nu este necesară o expertiză, deoarece cadrul legal/normativ din domeniul finanțelor publice asigură reglementări exhaustive în domeniul </w:t>
      </w:r>
      <w:r w:rsidR="00F501AF" w:rsidRPr="00136660">
        <w:rPr>
          <w:rFonts w:ascii="Times New Roman" w:hAnsi="Times New Roman" w:cs="Times New Roman"/>
          <w:sz w:val="28"/>
          <w:szCs w:val="28"/>
          <w:lang w:val="ro-RO"/>
        </w:rPr>
        <w:t>bugetar</w:t>
      </w:r>
      <w:r w:rsidR="00765182" w:rsidRPr="00136660">
        <w:rPr>
          <w:rFonts w:ascii="Times New Roman" w:hAnsi="Times New Roman" w:cs="Times New Roman"/>
          <w:sz w:val="28"/>
          <w:szCs w:val="28"/>
          <w:lang w:val="ro-RO"/>
        </w:rPr>
        <w:t xml:space="preserve"> (competențe și responsabilități, structura deciziei bugetare, calendarul bugetar, regulile bugetar-fiscale, procesul bugetar etc.) și nu necesită o expertiză financiară, doar decît un control administrativ </w:t>
      </w:r>
      <w:r w:rsidR="00243705" w:rsidRPr="00136660">
        <w:rPr>
          <w:rFonts w:ascii="Times New Roman" w:hAnsi="Times New Roman" w:cs="Times New Roman"/>
          <w:sz w:val="28"/>
          <w:szCs w:val="28"/>
          <w:lang w:val="ro-RO"/>
        </w:rPr>
        <w:t>din partea</w:t>
      </w:r>
      <w:r w:rsidR="00765182" w:rsidRPr="00136660">
        <w:rPr>
          <w:rFonts w:ascii="Times New Roman" w:hAnsi="Times New Roman" w:cs="Times New Roman"/>
          <w:sz w:val="28"/>
          <w:szCs w:val="28"/>
          <w:lang w:val="ro-RO"/>
        </w:rPr>
        <w:t xml:space="preserve"> Oficiul</w:t>
      </w:r>
      <w:r w:rsidR="00243705" w:rsidRPr="00136660">
        <w:rPr>
          <w:rFonts w:ascii="Times New Roman" w:hAnsi="Times New Roman" w:cs="Times New Roman"/>
          <w:sz w:val="28"/>
          <w:szCs w:val="28"/>
          <w:lang w:val="ro-RO"/>
        </w:rPr>
        <w:t>ui</w:t>
      </w:r>
      <w:r w:rsidR="00765182" w:rsidRPr="00136660">
        <w:rPr>
          <w:rFonts w:ascii="Times New Roman" w:hAnsi="Times New Roman" w:cs="Times New Roman"/>
          <w:sz w:val="28"/>
          <w:szCs w:val="28"/>
          <w:lang w:val="ro-RO"/>
        </w:rPr>
        <w:t xml:space="preserve"> teritorial al Cancelariei de Stat;</w:t>
      </w:r>
      <w:r w:rsidRPr="00136660">
        <w:rPr>
          <w:rFonts w:ascii="Times New Roman" w:hAnsi="Times New Roman" w:cs="Times New Roman"/>
          <w:sz w:val="28"/>
          <w:szCs w:val="28"/>
          <w:lang w:val="ro-RO"/>
        </w:rPr>
        <w:t xml:space="preserve"> </w:t>
      </w:r>
    </w:p>
    <w:p w:rsidR="00E20CCE" w:rsidRPr="00136660" w:rsidRDefault="0067041A" w:rsidP="00136660">
      <w:pPr>
        <w:pStyle w:val="ListParagraph"/>
        <w:numPr>
          <w:ilvl w:val="0"/>
          <w:numId w:val="11"/>
        </w:numPr>
        <w:tabs>
          <w:tab w:val="left" w:pos="1134"/>
        </w:tabs>
        <w:spacing w:after="0" w:line="240" w:lineRule="auto"/>
        <w:ind w:left="0" w:firstLine="851"/>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u w:val="single"/>
          <w:lang w:val="ro-RO"/>
        </w:rPr>
        <w:t>evalua cheltuielile pentru realizarea noilor reglementări</w:t>
      </w:r>
      <w:r w:rsidRPr="00136660">
        <w:rPr>
          <w:rFonts w:ascii="Times New Roman" w:hAnsi="Times New Roman" w:cs="Times New Roman"/>
          <w:sz w:val="28"/>
          <w:szCs w:val="28"/>
          <w:lang w:val="ro-RO"/>
        </w:rPr>
        <w:t xml:space="preserve"> </w:t>
      </w:r>
      <w:r w:rsidR="00933E8B" w:rsidRPr="00136660">
        <w:rPr>
          <w:rFonts w:ascii="Times New Roman" w:hAnsi="Times New Roman" w:cs="Times New Roman"/>
          <w:sz w:val="28"/>
          <w:szCs w:val="28"/>
          <w:lang w:val="ro-RO"/>
        </w:rPr>
        <w:t>–</w:t>
      </w:r>
      <w:r w:rsidRPr="00136660">
        <w:rPr>
          <w:rFonts w:ascii="Times New Roman" w:hAnsi="Times New Roman" w:cs="Times New Roman"/>
          <w:sz w:val="28"/>
          <w:szCs w:val="28"/>
          <w:lang w:val="ro-RO"/>
        </w:rPr>
        <w:t xml:space="preserve"> </w:t>
      </w:r>
      <w:r w:rsidR="00933E8B" w:rsidRPr="00136660">
        <w:rPr>
          <w:rFonts w:ascii="Times New Roman" w:hAnsi="Times New Roman" w:cs="Times New Roman"/>
          <w:sz w:val="28"/>
          <w:szCs w:val="28"/>
          <w:lang w:val="ro-RO"/>
        </w:rPr>
        <w:t>deciziile bugetare anuale</w:t>
      </w:r>
      <w:r w:rsidR="00987068" w:rsidRPr="00136660">
        <w:rPr>
          <w:rFonts w:ascii="Times New Roman" w:hAnsi="Times New Roman" w:cs="Times New Roman"/>
          <w:sz w:val="28"/>
          <w:szCs w:val="28"/>
          <w:lang w:val="ro-RO"/>
        </w:rPr>
        <w:t xml:space="preserve"> nu prezumă reglementări noi, doar aplicarea cadrului normativ existent transpus ca și cheltuieli în bugetul local</w:t>
      </w:r>
      <w:r w:rsidR="000D4F44" w:rsidRPr="00136660">
        <w:rPr>
          <w:rFonts w:ascii="Times New Roman" w:hAnsi="Times New Roman" w:cs="Times New Roman"/>
          <w:sz w:val="28"/>
          <w:szCs w:val="28"/>
          <w:lang w:val="ro-RO"/>
        </w:rPr>
        <w:t>. Evaluarea cheltuielilor are loc doar cînd există un proiect de act normativ (autor ministerul</w:t>
      </w:r>
      <w:r w:rsidR="00D84EDF" w:rsidRPr="00136660">
        <w:rPr>
          <w:rFonts w:ascii="Times New Roman" w:hAnsi="Times New Roman" w:cs="Times New Roman"/>
          <w:sz w:val="28"/>
          <w:szCs w:val="28"/>
          <w:lang w:val="ro-RO"/>
        </w:rPr>
        <w:t xml:space="preserve"> cu o politică nouă</w:t>
      </w:r>
      <w:r w:rsidR="000D4F44" w:rsidRPr="00136660">
        <w:rPr>
          <w:rFonts w:ascii="Times New Roman" w:hAnsi="Times New Roman" w:cs="Times New Roman"/>
          <w:sz w:val="28"/>
          <w:szCs w:val="28"/>
          <w:lang w:val="ro-RO"/>
        </w:rPr>
        <w:t xml:space="preserve"> și nu APL) care operează modificări în legislație referitor la sistemul finanțelor publice locale;</w:t>
      </w:r>
    </w:p>
    <w:p w:rsidR="0067041A" w:rsidRPr="00136660" w:rsidRDefault="0067041A" w:rsidP="00136660">
      <w:pPr>
        <w:pStyle w:val="ListParagraph"/>
        <w:numPr>
          <w:ilvl w:val="0"/>
          <w:numId w:val="11"/>
        </w:numPr>
        <w:tabs>
          <w:tab w:val="left" w:pos="1134"/>
        </w:tabs>
        <w:spacing w:after="0" w:line="240" w:lineRule="auto"/>
        <w:ind w:left="0" w:firstLine="851"/>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u w:val="single"/>
          <w:lang w:val="ro-RO"/>
        </w:rPr>
        <w:t>semnala deficiențe cu caracter financiar și a prognoza consecințele în domeniul financiar</w:t>
      </w:r>
      <w:r w:rsidRPr="00136660">
        <w:rPr>
          <w:rFonts w:ascii="Times New Roman" w:hAnsi="Times New Roman" w:cs="Times New Roman"/>
          <w:sz w:val="28"/>
          <w:szCs w:val="28"/>
          <w:lang w:val="ro-RO"/>
        </w:rPr>
        <w:t xml:space="preserve"> </w:t>
      </w:r>
      <w:r w:rsidR="00F501AF" w:rsidRPr="00136660">
        <w:rPr>
          <w:rFonts w:ascii="Times New Roman" w:hAnsi="Times New Roman" w:cs="Times New Roman"/>
          <w:sz w:val="28"/>
          <w:szCs w:val="28"/>
          <w:lang w:val="ro-RO"/>
        </w:rPr>
        <w:t>–</w:t>
      </w:r>
      <w:r w:rsidRPr="00136660">
        <w:rPr>
          <w:rFonts w:ascii="Times New Roman" w:hAnsi="Times New Roman" w:cs="Times New Roman"/>
          <w:sz w:val="28"/>
          <w:szCs w:val="28"/>
          <w:lang w:val="ro-RO"/>
        </w:rPr>
        <w:t xml:space="preserve"> </w:t>
      </w:r>
      <w:r w:rsidR="00F501AF" w:rsidRPr="00136660">
        <w:rPr>
          <w:rFonts w:ascii="Times New Roman" w:hAnsi="Times New Roman" w:cs="Times New Roman"/>
          <w:sz w:val="28"/>
          <w:szCs w:val="28"/>
          <w:lang w:val="ro-RO"/>
        </w:rPr>
        <w:t xml:space="preserve">respectarea </w:t>
      </w:r>
      <w:r w:rsidR="00C20325" w:rsidRPr="00136660">
        <w:rPr>
          <w:rFonts w:ascii="Times New Roman" w:hAnsi="Times New Roman" w:cs="Times New Roman"/>
          <w:sz w:val="28"/>
          <w:szCs w:val="28"/>
          <w:lang w:val="ro-RO"/>
        </w:rPr>
        <w:t xml:space="preserve">cu strictețe a </w:t>
      </w:r>
      <w:r w:rsidR="00F501AF" w:rsidRPr="00136660">
        <w:rPr>
          <w:rFonts w:ascii="Times New Roman" w:hAnsi="Times New Roman" w:cs="Times New Roman"/>
          <w:sz w:val="28"/>
          <w:szCs w:val="28"/>
          <w:lang w:val="ro-RO"/>
        </w:rPr>
        <w:t xml:space="preserve">regulilor bugetar-fiscale </w:t>
      </w:r>
      <w:r w:rsidR="00C20325" w:rsidRPr="00136660">
        <w:rPr>
          <w:rFonts w:ascii="Times New Roman" w:hAnsi="Times New Roman" w:cs="Times New Roman"/>
          <w:sz w:val="28"/>
          <w:szCs w:val="28"/>
          <w:lang w:val="ro-RO"/>
        </w:rPr>
        <w:t xml:space="preserve">și </w:t>
      </w:r>
      <w:r w:rsidR="00F501AF" w:rsidRPr="00136660">
        <w:rPr>
          <w:rFonts w:ascii="Times New Roman" w:hAnsi="Times New Roman" w:cs="Times New Roman"/>
          <w:sz w:val="28"/>
          <w:szCs w:val="28"/>
          <w:lang w:val="ro-RO"/>
        </w:rPr>
        <w:t>materializa</w:t>
      </w:r>
      <w:r w:rsidR="00C20325" w:rsidRPr="00136660">
        <w:rPr>
          <w:rFonts w:ascii="Times New Roman" w:hAnsi="Times New Roman" w:cs="Times New Roman"/>
          <w:sz w:val="28"/>
          <w:szCs w:val="28"/>
          <w:lang w:val="ro-RO"/>
        </w:rPr>
        <w:t>rea lor</w:t>
      </w:r>
      <w:r w:rsidR="00F501AF" w:rsidRPr="00136660">
        <w:rPr>
          <w:rFonts w:ascii="Times New Roman" w:hAnsi="Times New Roman" w:cs="Times New Roman"/>
          <w:sz w:val="28"/>
          <w:szCs w:val="28"/>
          <w:lang w:val="ro-RO"/>
        </w:rPr>
        <w:t xml:space="preserve"> în decizia bugetară anuală nu poate </w:t>
      </w:r>
      <w:r w:rsidR="00C20325" w:rsidRPr="00136660">
        <w:rPr>
          <w:rFonts w:ascii="Times New Roman" w:hAnsi="Times New Roman" w:cs="Times New Roman"/>
          <w:sz w:val="28"/>
          <w:szCs w:val="28"/>
          <w:lang w:val="ro-RO"/>
        </w:rPr>
        <w:t>produce</w:t>
      </w:r>
      <w:r w:rsidR="00F501AF" w:rsidRPr="00136660">
        <w:rPr>
          <w:rFonts w:ascii="Times New Roman" w:hAnsi="Times New Roman" w:cs="Times New Roman"/>
          <w:sz w:val="28"/>
          <w:szCs w:val="28"/>
          <w:lang w:val="ro-RO"/>
        </w:rPr>
        <w:t xml:space="preserve"> consecințe </w:t>
      </w:r>
      <w:r w:rsidR="00C20325" w:rsidRPr="00136660">
        <w:rPr>
          <w:rFonts w:ascii="Times New Roman" w:hAnsi="Times New Roman" w:cs="Times New Roman"/>
          <w:sz w:val="28"/>
          <w:szCs w:val="28"/>
          <w:lang w:val="ro-RO"/>
        </w:rPr>
        <w:t>în domeniul financiar.</w:t>
      </w:r>
    </w:p>
    <w:p w:rsidR="00FB48C1" w:rsidRPr="00136660" w:rsidRDefault="00C20325" w:rsidP="00136660">
      <w:pPr>
        <w:pStyle w:val="ListParagraph"/>
        <w:spacing w:after="0" w:line="240" w:lineRule="auto"/>
        <w:ind w:left="0" w:firstLine="567"/>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Din aceste considerente, prezentarea proiectelor de acte normative ale APL din domeniul bugetar pentru efectuarea expertizei financiare nu-și au rostul.</w:t>
      </w:r>
    </w:p>
    <w:p w:rsidR="00FB48C1" w:rsidRPr="00136660" w:rsidRDefault="00CA56C3" w:rsidP="00136660">
      <w:pPr>
        <w:pStyle w:val="ListParagraph"/>
        <w:numPr>
          <w:ilvl w:val="0"/>
          <w:numId w:val="10"/>
        </w:numPr>
        <w:tabs>
          <w:tab w:val="left" w:pos="851"/>
        </w:tabs>
        <w:spacing w:before="100" w:after="0" w:line="240" w:lineRule="auto"/>
        <w:ind w:left="0" w:firstLine="567"/>
        <w:contextualSpacing w:val="0"/>
        <w:jc w:val="both"/>
        <w:rPr>
          <w:rFonts w:ascii="Times New Roman" w:hAnsi="Times New Roman" w:cs="Times New Roman"/>
          <w:b/>
          <w:i/>
          <w:sz w:val="28"/>
          <w:szCs w:val="28"/>
          <w:lang w:val="ro-RO"/>
        </w:rPr>
      </w:pPr>
      <w:r w:rsidRPr="00136660">
        <w:rPr>
          <w:rFonts w:ascii="Times New Roman" w:hAnsi="Times New Roman" w:cs="Times New Roman"/>
          <w:b/>
          <w:i/>
          <w:sz w:val="28"/>
          <w:szCs w:val="28"/>
          <w:lang w:val="ro-RO"/>
        </w:rPr>
        <w:t>Concordanța între volumele transferurilor alocate de la bugetul de stat/bugetele locale conform planurilor precizate</w:t>
      </w:r>
      <w:r w:rsidR="0010155B" w:rsidRPr="00136660">
        <w:rPr>
          <w:rFonts w:ascii="Times New Roman" w:hAnsi="Times New Roman" w:cs="Times New Roman"/>
          <w:b/>
          <w:i/>
          <w:sz w:val="28"/>
          <w:szCs w:val="28"/>
          <w:lang w:val="ro-RO"/>
        </w:rPr>
        <w:t xml:space="preserve"> cu cele</w:t>
      </w:r>
      <w:r w:rsidRPr="00136660">
        <w:rPr>
          <w:rFonts w:ascii="Times New Roman" w:hAnsi="Times New Roman" w:cs="Times New Roman"/>
          <w:b/>
          <w:i/>
          <w:sz w:val="28"/>
          <w:szCs w:val="28"/>
          <w:lang w:val="ro-RO"/>
        </w:rPr>
        <w:t xml:space="preserve"> ale bugetelor locale</w:t>
      </w:r>
      <w:r w:rsidR="0010155B" w:rsidRPr="00136660">
        <w:rPr>
          <w:rFonts w:ascii="Times New Roman" w:hAnsi="Times New Roman" w:cs="Times New Roman"/>
          <w:b/>
          <w:i/>
          <w:sz w:val="28"/>
          <w:szCs w:val="28"/>
          <w:lang w:val="ro-RO"/>
        </w:rPr>
        <w:t>/bugetului de stat</w:t>
      </w:r>
      <w:r w:rsidRPr="00136660">
        <w:rPr>
          <w:rFonts w:ascii="Times New Roman" w:hAnsi="Times New Roman" w:cs="Times New Roman"/>
          <w:b/>
          <w:i/>
          <w:sz w:val="28"/>
          <w:szCs w:val="28"/>
          <w:lang w:val="ro-RO"/>
        </w:rPr>
        <w:t xml:space="preserve"> </w:t>
      </w:r>
      <w:r w:rsidR="00CC4276">
        <w:rPr>
          <w:rFonts w:ascii="Times New Roman" w:hAnsi="Times New Roman" w:cs="Times New Roman"/>
          <w:b/>
          <w:i/>
          <w:sz w:val="28"/>
          <w:szCs w:val="28"/>
          <w:lang w:val="ro-RO"/>
        </w:rPr>
        <w:t xml:space="preserve">pe anul </w:t>
      </w:r>
      <w:r w:rsidR="0010155B" w:rsidRPr="00136660">
        <w:rPr>
          <w:rFonts w:ascii="Times New Roman" w:hAnsi="Times New Roman" w:cs="Times New Roman"/>
          <w:b/>
          <w:i/>
          <w:sz w:val="28"/>
          <w:szCs w:val="28"/>
          <w:lang w:val="ro-RO"/>
        </w:rPr>
        <w:t>2018</w:t>
      </w:r>
    </w:p>
    <w:p w:rsidR="00FB48C1" w:rsidRPr="00136660" w:rsidRDefault="00026ED1" w:rsidP="00136660">
      <w:pPr>
        <w:pStyle w:val="ListParagraph"/>
        <w:spacing w:after="0" w:line="240" w:lineRule="auto"/>
        <w:ind w:left="0" w:firstLine="567"/>
        <w:contextualSpacing w:val="0"/>
        <w:jc w:val="both"/>
        <w:rPr>
          <w:rFonts w:ascii="Times New Roman" w:hAnsi="Times New Roman" w:cs="Times New Roman"/>
          <w:sz w:val="28"/>
          <w:szCs w:val="28"/>
          <w:lang w:val="ro-RO"/>
        </w:rPr>
      </w:pPr>
      <w:r w:rsidRPr="00136660">
        <w:rPr>
          <w:rFonts w:ascii="Times New Roman" w:hAnsi="Times New Roman" w:cs="Times New Roman"/>
          <w:sz w:val="28"/>
          <w:szCs w:val="28"/>
          <w:lang w:val="ro-RO"/>
        </w:rPr>
        <w:t xml:space="preserve">Rugăm APL să depună efortul necesar </w:t>
      </w:r>
      <w:r w:rsidR="00EC34E4">
        <w:rPr>
          <w:rFonts w:ascii="Times New Roman" w:hAnsi="Times New Roman" w:cs="Times New Roman"/>
          <w:sz w:val="28"/>
          <w:szCs w:val="28"/>
          <w:lang w:val="ro-RO"/>
        </w:rPr>
        <w:t xml:space="preserve">pînă la încheierea anului bugetar </w:t>
      </w:r>
      <w:r w:rsidRPr="00136660">
        <w:rPr>
          <w:rFonts w:ascii="Times New Roman" w:hAnsi="Times New Roman" w:cs="Times New Roman"/>
          <w:sz w:val="28"/>
          <w:szCs w:val="28"/>
          <w:lang w:val="ro-RO"/>
        </w:rPr>
        <w:t>pentru a aduce în concordanță planurile precizate aferente volumelor transferurilor cu cele planificate la bugetul de stat (conform Anexei nr.5 la Legea bugetului de stat pe anul 2018, repartizate prin Hotărîri de Guvern, fonduri centralizate la bugetul de stat), și viceversa</w:t>
      </w:r>
      <w:r w:rsidR="00EC34E4">
        <w:rPr>
          <w:rFonts w:ascii="Times New Roman" w:hAnsi="Times New Roman" w:cs="Times New Roman"/>
          <w:sz w:val="28"/>
          <w:szCs w:val="28"/>
          <w:lang w:val="ro-RO"/>
        </w:rPr>
        <w:t>,</w:t>
      </w:r>
      <w:r w:rsidRPr="00136660">
        <w:rPr>
          <w:rFonts w:ascii="Times New Roman" w:hAnsi="Times New Roman" w:cs="Times New Roman"/>
          <w:sz w:val="28"/>
          <w:szCs w:val="28"/>
          <w:lang w:val="ro-RO"/>
        </w:rPr>
        <w:t xml:space="preserve"> în cazul FISM-lui privind contribuția bugetelor locale la proiectele implementate de acest fond.</w:t>
      </w:r>
    </w:p>
    <w:p w:rsidR="00026ED1" w:rsidRPr="00C13408" w:rsidRDefault="00026ED1" w:rsidP="00EC34E4">
      <w:pPr>
        <w:pStyle w:val="ListParagraph"/>
        <w:spacing w:before="100" w:after="0" w:line="240" w:lineRule="auto"/>
        <w:ind w:left="924"/>
        <w:contextualSpacing w:val="0"/>
        <w:jc w:val="both"/>
        <w:rPr>
          <w:rFonts w:ascii="Times New Roman" w:hAnsi="Times New Roman" w:cs="Times New Roman"/>
          <w:b/>
          <w:i/>
          <w:sz w:val="28"/>
          <w:szCs w:val="28"/>
          <w:lang w:val="ro-RO"/>
        </w:rPr>
      </w:pPr>
    </w:p>
    <w:p w:rsidR="00026ED1" w:rsidRPr="00136660" w:rsidRDefault="00026ED1" w:rsidP="00136660">
      <w:pPr>
        <w:pStyle w:val="ListParagraph"/>
        <w:spacing w:after="0" w:line="240" w:lineRule="auto"/>
        <w:ind w:left="0" w:firstLine="567"/>
        <w:contextualSpacing w:val="0"/>
        <w:jc w:val="both"/>
        <w:rPr>
          <w:rFonts w:ascii="Times New Roman" w:hAnsi="Times New Roman" w:cs="Times New Roman"/>
          <w:sz w:val="28"/>
          <w:szCs w:val="28"/>
          <w:lang w:val="ro-RO"/>
        </w:rPr>
      </w:pPr>
    </w:p>
    <w:p w:rsidR="00026ED1" w:rsidRPr="00136660" w:rsidRDefault="00026ED1" w:rsidP="00136660">
      <w:pPr>
        <w:pStyle w:val="ListParagraph"/>
        <w:spacing w:after="0" w:line="240" w:lineRule="auto"/>
        <w:ind w:left="0" w:firstLine="567"/>
        <w:contextualSpacing w:val="0"/>
        <w:jc w:val="both"/>
        <w:rPr>
          <w:rFonts w:ascii="Times New Roman" w:hAnsi="Times New Roman" w:cs="Times New Roman"/>
          <w:sz w:val="28"/>
          <w:szCs w:val="28"/>
          <w:lang w:val="ro-RO"/>
        </w:rPr>
      </w:pPr>
    </w:p>
    <w:p w:rsidR="00026ED1" w:rsidRPr="00136660" w:rsidRDefault="00026ED1" w:rsidP="00136660">
      <w:pPr>
        <w:pStyle w:val="ListParagraph"/>
        <w:spacing w:after="0" w:line="240" w:lineRule="auto"/>
        <w:ind w:left="0" w:firstLine="567"/>
        <w:contextualSpacing w:val="0"/>
        <w:jc w:val="both"/>
        <w:rPr>
          <w:rFonts w:ascii="Times New Roman" w:hAnsi="Times New Roman" w:cs="Times New Roman"/>
          <w:sz w:val="28"/>
          <w:szCs w:val="28"/>
          <w:lang w:val="ro-RO"/>
        </w:rPr>
      </w:pPr>
    </w:p>
    <w:p w:rsidR="00026ED1" w:rsidRPr="00136660" w:rsidRDefault="00026ED1" w:rsidP="00136660">
      <w:pPr>
        <w:pStyle w:val="ListParagraph"/>
        <w:spacing w:after="0" w:line="240" w:lineRule="auto"/>
        <w:ind w:left="0" w:firstLine="567"/>
        <w:contextualSpacing w:val="0"/>
        <w:jc w:val="both"/>
        <w:rPr>
          <w:rFonts w:ascii="Times New Roman" w:hAnsi="Times New Roman" w:cs="Times New Roman"/>
          <w:sz w:val="28"/>
          <w:szCs w:val="28"/>
          <w:lang w:val="ro-RO"/>
        </w:rPr>
      </w:pPr>
    </w:p>
    <w:p w:rsidR="00026ED1" w:rsidRPr="00136660" w:rsidRDefault="00026ED1" w:rsidP="00136660">
      <w:pPr>
        <w:pStyle w:val="ListParagraph"/>
        <w:spacing w:after="0" w:line="240" w:lineRule="auto"/>
        <w:ind w:left="0" w:firstLine="567"/>
        <w:contextualSpacing w:val="0"/>
        <w:jc w:val="both"/>
        <w:rPr>
          <w:rFonts w:ascii="Times New Roman" w:hAnsi="Times New Roman" w:cs="Times New Roman"/>
          <w:sz w:val="28"/>
          <w:szCs w:val="28"/>
          <w:lang w:val="ro-RO"/>
        </w:rPr>
      </w:pPr>
    </w:p>
    <w:sectPr w:rsidR="00026ED1" w:rsidRPr="00136660" w:rsidSect="00136660">
      <w:footerReference w:type="default" r:id="rId8"/>
      <w:pgSz w:w="11906" w:h="16838"/>
      <w:pgMar w:top="568" w:right="707"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7503" w:rsidRDefault="00C37503" w:rsidP="00840D95">
      <w:pPr>
        <w:spacing w:after="0" w:line="240" w:lineRule="auto"/>
      </w:pPr>
      <w:r>
        <w:separator/>
      </w:r>
    </w:p>
  </w:endnote>
  <w:endnote w:type="continuationSeparator" w:id="0">
    <w:p w:rsidR="00C37503" w:rsidRDefault="00C37503" w:rsidP="00840D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8045044"/>
      <w:docPartObj>
        <w:docPartGallery w:val="Page Numbers (Bottom of Page)"/>
        <w:docPartUnique/>
      </w:docPartObj>
    </w:sdtPr>
    <w:sdtEndPr>
      <w:rPr>
        <w:noProof/>
        <w:sz w:val="18"/>
        <w:szCs w:val="18"/>
      </w:rPr>
    </w:sdtEndPr>
    <w:sdtContent>
      <w:p w:rsidR="00840D95" w:rsidRPr="00840D95" w:rsidRDefault="00840D95">
        <w:pPr>
          <w:pStyle w:val="Footer"/>
          <w:jc w:val="right"/>
          <w:rPr>
            <w:sz w:val="18"/>
            <w:szCs w:val="18"/>
          </w:rPr>
        </w:pPr>
        <w:r w:rsidRPr="00840D95">
          <w:rPr>
            <w:sz w:val="18"/>
            <w:szCs w:val="18"/>
          </w:rPr>
          <w:fldChar w:fldCharType="begin"/>
        </w:r>
        <w:r w:rsidRPr="00840D95">
          <w:rPr>
            <w:sz w:val="18"/>
            <w:szCs w:val="18"/>
          </w:rPr>
          <w:instrText xml:space="preserve"> PAGE   \* MERGEFORMAT </w:instrText>
        </w:r>
        <w:r w:rsidRPr="00840D95">
          <w:rPr>
            <w:sz w:val="18"/>
            <w:szCs w:val="18"/>
          </w:rPr>
          <w:fldChar w:fldCharType="separate"/>
        </w:r>
        <w:r w:rsidR="00256356">
          <w:rPr>
            <w:noProof/>
            <w:sz w:val="18"/>
            <w:szCs w:val="18"/>
          </w:rPr>
          <w:t>2</w:t>
        </w:r>
        <w:r w:rsidRPr="00840D95">
          <w:rPr>
            <w:noProof/>
            <w:sz w:val="18"/>
            <w:szCs w:val="18"/>
          </w:rPr>
          <w:fldChar w:fldCharType="end"/>
        </w:r>
      </w:p>
    </w:sdtContent>
  </w:sdt>
  <w:p w:rsidR="00840D95" w:rsidRDefault="00840D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7503" w:rsidRDefault="00C37503" w:rsidP="00840D95">
      <w:pPr>
        <w:spacing w:after="0" w:line="240" w:lineRule="auto"/>
      </w:pPr>
      <w:r>
        <w:separator/>
      </w:r>
    </w:p>
  </w:footnote>
  <w:footnote w:type="continuationSeparator" w:id="0">
    <w:p w:rsidR="00C37503" w:rsidRDefault="00C37503" w:rsidP="00840D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DD0DCA"/>
    <w:multiLevelType w:val="hybridMultilevel"/>
    <w:tmpl w:val="02049B54"/>
    <w:lvl w:ilvl="0" w:tplc="799EFD8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 w15:restartNumberingAfterBreak="0">
    <w:nsid w:val="2AB35740"/>
    <w:multiLevelType w:val="hybridMultilevel"/>
    <w:tmpl w:val="DA72DEFC"/>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36D01103"/>
    <w:multiLevelType w:val="hybridMultilevel"/>
    <w:tmpl w:val="3C2E2CC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AFC25F9"/>
    <w:multiLevelType w:val="hybridMultilevel"/>
    <w:tmpl w:val="BB0E87DA"/>
    <w:lvl w:ilvl="0" w:tplc="48567A4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49E93196"/>
    <w:multiLevelType w:val="hybridMultilevel"/>
    <w:tmpl w:val="0CAA44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80863F9"/>
    <w:multiLevelType w:val="hybridMultilevel"/>
    <w:tmpl w:val="F214936E"/>
    <w:lvl w:ilvl="0" w:tplc="554E13E8">
      <w:start w:val="1"/>
      <w:numFmt w:val="decimal"/>
      <w:lvlText w:val="%1."/>
      <w:lvlJc w:val="left"/>
      <w:pPr>
        <w:ind w:left="786" w:hanging="360"/>
      </w:pPr>
      <w:rPr>
        <w:rFonts w:hint="default"/>
        <w:b w:val="0"/>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60E45D80"/>
    <w:multiLevelType w:val="hybridMultilevel"/>
    <w:tmpl w:val="87C28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4647247"/>
    <w:multiLevelType w:val="hybridMultilevel"/>
    <w:tmpl w:val="D610D56A"/>
    <w:lvl w:ilvl="0" w:tplc="C094909A">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8" w15:restartNumberingAfterBreak="0">
    <w:nsid w:val="79E93BE4"/>
    <w:multiLevelType w:val="hybridMultilevel"/>
    <w:tmpl w:val="7A962F82"/>
    <w:lvl w:ilvl="0" w:tplc="E116AC10">
      <w:start w:val="1"/>
      <w:numFmt w:val="lowerLetter"/>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9" w15:restartNumberingAfterBreak="0">
    <w:nsid w:val="7B2930DE"/>
    <w:multiLevelType w:val="hybridMultilevel"/>
    <w:tmpl w:val="96104890"/>
    <w:lvl w:ilvl="0" w:tplc="0409000F">
      <w:start w:val="1"/>
      <w:numFmt w:val="decimal"/>
      <w:lvlText w:val="%1."/>
      <w:lvlJc w:val="left"/>
      <w:pPr>
        <w:ind w:left="720" w:hanging="360"/>
      </w:pPr>
    </w:lvl>
    <w:lvl w:ilvl="1" w:tplc="2A8ECDA2">
      <w:start w:val="1"/>
      <w:numFmt w:val="decimal"/>
      <w:lvlText w:val="%2."/>
      <w:lvlJc w:val="left"/>
      <w:pPr>
        <w:tabs>
          <w:tab w:val="num" w:pos="1440"/>
        </w:tabs>
        <w:ind w:left="1440" w:hanging="360"/>
      </w:pPr>
      <w:rPr>
        <w:rFonts w:ascii="Times New Roman" w:eastAsia="Calibri" w:hAnsi="Times New Roman" w:cs="Times New Roman"/>
      </w:r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7CA92905"/>
    <w:multiLevelType w:val="hybridMultilevel"/>
    <w:tmpl w:val="1A5CB7A2"/>
    <w:lvl w:ilvl="0" w:tplc="4C7A677A">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num>
  <w:num w:numId="5">
    <w:abstractNumId w:val="4"/>
  </w:num>
  <w:num w:numId="6">
    <w:abstractNumId w:val="10"/>
  </w:num>
  <w:num w:numId="7">
    <w:abstractNumId w:val="5"/>
  </w:num>
  <w:num w:numId="8">
    <w:abstractNumId w:val="2"/>
  </w:num>
  <w:num w:numId="9">
    <w:abstractNumId w:val="7"/>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23C"/>
    <w:rsid w:val="0000798E"/>
    <w:rsid w:val="00026ED1"/>
    <w:rsid w:val="00047675"/>
    <w:rsid w:val="000D4F44"/>
    <w:rsid w:val="0010155B"/>
    <w:rsid w:val="00136660"/>
    <w:rsid w:val="0017607B"/>
    <w:rsid w:val="00186D48"/>
    <w:rsid w:val="001C4229"/>
    <w:rsid w:val="001E293E"/>
    <w:rsid w:val="002078A7"/>
    <w:rsid w:val="00235D64"/>
    <w:rsid w:val="00243705"/>
    <w:rsid w:val="0025453C"/>
    <w:rsid w:val="00256356"/>
    <w:rsid w:val="00256EFC"/>
    <w:rsid w:val="00287E15"/>
    <w:rsid w:val="002D2152"/>
    <w:rsid w:val="0030653E"/>
    <w:rsid w:val="003C2B1B"/>
    <w:rsid w:val="004121A7"/>
    <w:rsid w:val="0045623C"/>
    <w:rsid w:val="00491088"/>
    <w:rsid w:val="004F2854"/>
    <w:rsid w:val="005A4101"/>
    <w:rsid w:val="0067041A"/>
    <w:rsid w:val="00676F16"/>
    <w:rsid w:val="006B6F34"/>
    <w:rsid w:val="006E191A"/>
    <w:rsid w:val="00743C41"/>
    <w:rsid w:val="00765182"/>
    <w:rsid w:val="00796E95"/>
    <w:rsid w:val="007D12E3"/>
    <w:rsid w:val="007D68F9"/>
    <w:rsid w:val="008147C2"/>
    <w:rsid w:val="00840D95"/>
    <w:rsid w:val="00912D0A"/>
    <w:rsid w:val="00933E8B"/>
    <w:rsid w:val="00947532"/>
    <w:rsid w:val="00964A67"/>
    <w:rsid w:val="00977A4C"/>
    <w:rsid w:val="00987068"/>
    <w:rsid w:val="00A75BAC"/>
    <w:rsid w:val="00AC1A70"/>
    <w:rsid w:val="00AD122C"/>
    <w:rsid w:val="00AF2A83"/>
    <w:rsid w:val="00B00B79"/>
    <w:rsid w:val="00B21757"/>
    <w:rsid w:val="00B51C55"/>
    <w:rsid w:val="00B605D3"/>
    <w:rsid w:val="00B632CD"/>
    <w:rsid w:val="00BD0DED"/>
    <w:rsid w:val="00BD1C5E"/>
    <w:rsid w:val="00BD3E53"/>
    <w:rsid w:val="00BD7674"/>
    <w:rsid w:val="00C00362"/>
    <w:rsid w:val="00C13408"/>
    <w:rsid w:val="00C13962"/>
    <w:rsid w:val="00C20325"/>
    <w:rsid w:val="00C2367E"/>
    <w:rsid w:val="00C37503"/>
    <w:rsid w:val="00C41431"/>
    <w:rsid w:val="00C63479"/>
    <w:rsid w:val="00C6755E"/>
    <w:rsid w:val="00C718E0"/>
    <w:rsid w:val="00C8560B"/>
    <w:rsid w:val="00CA56C3"/>
    <w:rsid w:val="00CB4604"/>
    <w:rsid w:val="00CC0B14"/>
    <w:rsid w:val="00CC4276"/>
    <w:rsid w:val="00CF1DC4"/>
    <w:rsid w:val="00D01D89"/>
    <w:rsid w:val="00D10BF2"/>
    <w:rsid w:val="00D84EDF"/>
    <w:rsid w:val="00D912DA"/>
    <w:rsid w:val="00DD2D49"/>
    <w:rsid w:val="00E20CCE"/>
    <w:rsid w:val="00EA6D9C"/>
    <w:rsid w:val="00EC34E4"/>
    <w:rsid w:val="00F501AF"/>
    <w:rsid w:val="00F56ABD"/>
    <w:rsid w:val="00F61433"/>
    <w:rsid w:val="00F703A7"/>
    <w:rsid w:val="00FA7F19"/>
    <w:rsid w:val="00FB432F"/>
    <w:rsid w:val="00FB48C1"/>
    <w:rsid w:val="00FE3D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F03AD9E-DCD7-40B8-A712-1F0B5C7F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623C"/>
    <w:pPr>
      <w:ind w:left="720"/>
      <w:contextualSpacing/>
    </w:pPr>
  </w:style>
  <w:style w:type="paragraph" w:styleId="Header">
    <w:name w:val="header"/>
    <w:basedOn w:val="Normal"/>
    <w:link w:val="HeaderChar"/>
    <w:uiPriority w:val="99"/>
    <w:unhideWhenUsed/>
    <w:rsid w:val="00840D95"/>
    <w:pPr>
      <w:tabs>
        <w:tab w:val="center" w:pos="4677"/>
        <w:tab w:val="right" w:pos="9355"/>
      </w:tabs>
      <w:spacing w:after="0" w:line="240" w:lineRule="auto"/>
    </w:pPr>
  </w:style>
  <w:style w:type="character" w:customStyle="1" w:styleId="HeaderChar">
    <w:name w:val="Header Char"/>
    <w:basedOn w:val="DefaultParagraphFont"/>
    <w:link w:val="Header"/>
    <w:uiPriority w:val="99"/>
    <w:rsid w:val="00840D95"/>
  </w:style>
  <w:style w:type="paragraph" w:styleId="Footer">
    <w:name w:val="footer"/>
    <w:basedOn w:val="Normal"/>
    <w:link w:val="FooterChar"/>
    <w:uiPriority w:val="99"/>
    <w:unhideWhenUsed/>
    <w:rsid w:val="00840D95"/>
    <w:pPr>
      <w:tabs>
        <w:tab w:val="center" w:pos="4677"/>
        <w:tab w:val="right" w:pos="9355"/>
      </w:tabs>
      <w:spacing w:after="0" w:line="240" w:lineRule="auto"/>
    </w:pPr>
  </w:style>
  <w:style w:type="character" w:customStyle="1" w:styleId="FooterChar">
    <w:name w:val="Footer Char"/>
    <w:basedOn w:val="DefaultParagraphFont"/>
    <w:link w:val="Footer"/>
    <w:uiPriority w:val="99"/>
    <w:rsid w:val="00840D95"/>
  </w:style>
  <w:style w:type="paragraph" w:customStyle="1" w:styleId="tt">
    <w:name w:val="tt"/>
    <w:basedOn w:val="Normal"/>
    <w:rsid w:val="00964A6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NormalWeb">
    <w:name w:val="Normal (Web)"/>
    <w:basedOn w:val="Normal"/>
    <w:uiPriority w:val="99"/>
    <w:unhideWhenUsed/>
    <w:rsid w:val="00964A6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2D2152"/>
    <w:rPr>
      <w:b/>
      <w:bCs/>
    </w:rPr>
  </w:style>
  <w:style w:type="paragraph" w:customStyle="1" w:styleId="cb">
    <w:name w:val="cb"/>
    <w:basedOn w:val="Normal"/>
    <w:rsid w:val="002D215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2D2152"/>
    <w:pPr>
      <w:spacing w:after="0" w:line="240" w:lineRule="auto"/>
    </w:pPr>
    <w:rPr>
      <w:sz w:val="20"/>
      <w:szCs w:val="20"/>
      <w:lang w:val="en-GB"/>
    </w:rPr>
  </w:style>
  <w:style w:type="character" w:customStyle="1" w:styleId="FootnoteTextChar">
    <w:name w:val="Footnote Text Char"/>
    <w:basedOn w:val="DefaultParagraphFont"/>
    <w:link w:val="FootnoteText"/>
    <w:uiPriority w:val="99"/>
    <w:semiHidden/>
    <w:rsid w:val="002D2152"/>
    <w:rPr>
      <w:sz w:val="20"/>
      <w:szCs w:val="20"/>
      <w:lang w:val="en-GB"/>
    </w:rPr>
  </w:style>
  <w:style w:type="character" w:styleId="FootnoteReference">
    <w:name w:val="footnote reference"/>
    <w:basedOn w:val="DefaultParagraphFont"/>
    <w:uiPriority w:val="99"/>
    <w:semiHidden/>
    <w:unhideWhenUsed/>
    <w:rsid w:val="002D2152"/>
    <w:rPr>
      <w:vertAlign w:val="superscript"/>
    </w:rPr>
  </w:style>
  <w:style w:type="paragraph" w:styleId="BalloonText">
    <w:name w:val="Balloon Text"/>
    <w:basedOn w:val="Normal"/>
    <w:link w:val="BalloonTextChar"/>
    <w:uiPriority w:val="99"/>
    <w:semiHidden/>
    <w:unhideWhenUsed/>
    <w:rsid w:val="00CC42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2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848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16D82D-3BAD-424A-9FDC-266650BE6D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739</Words>
  <Characters>4215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Ivanicichina Tatiana</dc:creator>
  <cp:keywords/>
  <dc:description/>
  <cp:lastModifiedBy>Ion Iaconi</cp:lastModifiedBy>
  <cp:revision>2</cp:revision>
  <cp:lastPrinted>2018-12-04T13:46:00Z</cp:lastPrinted>
  <dcterms:created xsi:type="dcterms:W3CDTF">2018-12-06T13:23:00Z</dcterms:created>
  <dcterms:modified xsi:type="dcterms:W3CDTF">2018-12-06T13:23:00Z</dcterms:modified>
</cp:coreProperties>
</file>