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423A1" w14:textId="335C953B" w:rsidR="00E32A44" w:rsidRPr="00FF70A8" w:rsidRDefault="00E32A44" w:rsidP="00E32A44">
      <w:pPr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</w:pP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Anexa nr.2</w:t>
      </w:r>
      <w:r w:rsidR="00594511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1</w:t>
      </w:r>
    </w:p>
    <w:p w14:paraId="2A1C41B8" w14:textId="77777777" w:rsidR="00E32A44" w:rsidRPr="00FF70A8" w:rsidRDefault="00E32A44" w:rsidP="00E32A44">
      <w:pPr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</w:pPr>
    </w:p>
    <w:p w14:paraId="33148952" w14:textId="3B3A7FFE" w:rsidR="00E32A44" w:rsidRPr="00FF70A8" w:rsidRDefault="00E32A44" w:rsidP="00E32A44">
      <w:pPr>
        <w:spacing w:line="276" w:lineRule="auto"/>
        <w:ind w:left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</w:pPr>
      <w:r w:rsidRPr="00FF70A8"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>Principalele ac</w:t>
      </w:r>
      <w:r w:rsidR="00CD4063" w:rsidRPr="00FF70A8"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 xml:space="preserve">țiuni </w:t>
      </w:r>
    </w:p>
    <w:p w14:paraId="717BFCC9" w14:textId="77777777" w:rsidR="00D62C6B" w:rsidRPr="00FF70A8" w:rsidRDefault="00E32A44" w:rsidP="00D62C6B">
      <w:pPr>
        <w:spacing w:line="276" w:lineRule="auto"/>
        <w:ind w:left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</w:pPr>
      <w:r w:rsidRPr="00FF70A8"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>ale autorități</w:t>
      </w:r>
      <w:r w:rsidR="00CD4063" w:rsidRPr="00FF70A8"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>i</w:t>
      </w:r>
      <w:r w:rsidRPr="00FF70A8"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>/instituți</w:t>
      </w:r>
      <w:r w:rsidR="00CD4063" w:rsidRPr="00FF70A8"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>e</w:t>
      </w:r>
      <w:r w:rsidRPr="00FF70A8"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 xml:space="preserve">i bugetare </w:t>
      </w:r>
      <w:r w:rsidR="00CD4063" w:rsidRPr="00FF70A8"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>privind acces</w:t>
      </w:r>
      <w:r w:rsidR="00D62C6B" w:rsidRPr="00FF70A8"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 xml:space="preserve">ul în </w:t>
      </w:r>
      <w:r w:rsidR="00CD4063" w:rsidRPr="00FF70A8"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>noul SI ”Planificarea bugetului” accesibil din cadrul SI ”Cabinetul electronic al autorității/instituției bugetare”</w:t>
      </w:r>
    </w:p>
    <w:p w14:paraId="08F21154" w14:textId="77777777" w:rsidR="00E32A44" w:rsidRPr="00FF70A8" w:rsidRDefault="00E32A44" w:rsidP="00E32A44">
      <w:pPr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</w:pPr>
      <w:bookmarkStart w:id="0" w:name="_GoBack"/>
      <w:bookmarkEnd w:id="0"/>
    </w:p>
    <w:p w14:paraId="40696503" w14:textId="5C69F38B" w:rsidR="0049722E" w:rsidRPr="00FF70A8" w:rsidRDefault="00F37A6A" w:rsidP="00F37A6A">
      <w:pPr>
        <w:tabs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</w:pP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Prin </w:t>
      </w:r>
      <w:r w:rsidR="00E32A44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O</w:t>
      </w:r>
      <w:r w:rsidR="0049722E" w:rsidRPr="00FF70A8">
        <w:rPr>
          <w:rFonts w:ascii="Times New Roman" w:hAnsi="Times New Roman" w:cs="Times New Roman"/>
          <w:bCs/>
          <w:sz w:val="28"/>
          <w:szCs w:val="28"/>
          <w:lang w:val="ro-MD"/>
        </w:rPr>
        <w:t>rdinul nr. 20</w:t>
      </w:r>
      <w:r w:rsidR="009625E1" w:rsidRPr="00FF70A8">
        <w:rPr>
          <w:rFonts w:ascii="Times New Roman" w:hAnsi="Times New Roman" w:cs="Times New Roman"/>
          <w:bCs/>
          <w:sz w:val="28"/>
          <w:szCs w:val="28"/>
          <w:lang w:val="ro-MD"/>
        </w:rPr>
        <w:t xml:space="preserve"> din </w:t>
      </w:r>
      <w:r w:rsidR="0049722E" w:rsidRPr="00FF70A8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="009625E1" w:rsidRPr="00FF70A8">
        <w:rPr>
          <w:rFonts w:ascii="Times New Roman" w:hAnsi="Times New Roman" w:cs="Times New Roman"/>
          <w:sz w:val="28"/>
          <w:szCs w:val="28"/>
          <w:lang w:val="ro-MD"/>
        </w:rPr>
        <w:t xml:space="preserve">05.03.2025 </w:t>
      </w:r>
      <w:r w:rsidRPr="00FF70A8">
        <w:rPr>
          <w:rFonts w:ascii="Times New Roman" w:hAnsi="Times New Roman" w:cs="Times New Roman"/>
          <w:sz w:val="28"/>
          <w:szCs w:val="28"/>
          <w:lang w:val="ro-MD"/>
        </w:rPr>
        <w:t xml:space="preserve">a fost lansat </w:t>
      </w:r>
      <w:r w:rsidR="0049722E" w:rsidRPr="00FF70A8">
        <w:rPr>
          <w:rFonts w:ascii="Times New Roman" w:hAnsi="Times New Roman" w:cs="Times New Roman"/>
          <w:sz w:val="28"/>
          <w:szCs w:val="28"/>
          <w:lang w:val="ro-MD"/>
        </w:rPr>
        <w:t xml:space="preserve">în exploatare industrială </w:t>
      </w:r>
      <w:r w:rsidRPr="00FF70A8">
        <w:rPr>
          <w:rFonts w:ascii="Times New Roman" w:hAnsi="Times New Roman" w:cs="Times New Roman"/>
          <w:b/>
          <w:sz w:val="28"/>
          <w:szCs w:val="28"/>
          <w:lang w:val="ro-MD"/>
        </w:rPr>
        <w:t xml:space="preserve">noul </w:t>
      </w:r>
      <w:r w:rsidR="0049722E" w:rsidRPr="00FF70A8">
        <w:rPr>
          <w:rFonts w:ascii="Times New Roman" w:hAnsi="Times New Roman" w:cs="Times New Roman"/>
          <w:b/>
          <w:sz w:val="28"/>
          <w:szCs w:val="28"/>
          <w:lang w:val="ro-MD"/>
        </w:rPr>
        <w:t>Sistem Informaț</w:t>
      </w:r>
      <w:r w:rsidR="009625E1" w:rsidRPr="00FF70A8">
        <w:rPr>
          <w:rFonts w:ascii="Times New Roman" w:hAnsi="Times New Roman" w:cs="Times New Roman"/>
          <w:b/>
          <w:sz w:val="28"/>
          <w:szCs w:val="28"/>
          <w:lang w:val="ro-MD"/>
        </w:rPr>
        <w:t>ional ,,Planificarea Bugetului”</w:t>
      </w:r>
      <w:r w:rsidRPr="00FF70A8">
        <w:rPr>
          <w:rFonts w:ascii="Times New Roman" w:hAnsi="Times New Roman" w:cs="Times New Roman"/>
          <w:sz w:val="28"/>
          <w:szCs w:val="28"/>
          <w:lang w:val="ro-MD"/>
        </w:rPr>
        <w:t xml:space="preserve">. Astfel, </w:t>
      </w:r>
      <w:r w:rsidR="0049722E" w:rsidRPr="00FF70A8">
        <w:rPr>
          <w:rFonts w:ascii="Times New Roman" w:eastAsia="Times New Roman" w:hAnsi="Times New Roman" w:cs="Times New Roman"/>
          <w:bCs/>
          <w:sz w:val="28"/>
          <w:szCs w:val="28"/>
          <w:lang w:val="ro-MD" w:eastAsia="en-GB"/>
        </w:rPr>
        <w:t>Ministerul Finanțelor</w:t>
      </w:r>
      <w:r w:rsidR="0049722E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 </w:t>
      </w:r>
      <w:r w:rsidR="000C14B2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informează</w:t>
      </w:r>
      <w:r w:rsidR="000319A5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, </w:t>
      </w:r>
      <w:r w:rsidR="000C14B2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că </w:t>
      </w:r>
      <w:r w:rsidR="0049722E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toate acțiunile necesare pentru derularea </w:t>
      </w:r>
      <w:r w:rsidR="00C25FAD"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 xml:space="preserve">procesului de elaborare a proiectului de buget pentru anul 2026 și estimările pentru anii 2027-2028 </w:t>
      </w:r>
      <w:r w:rsidR="009625E1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vor fi </w:t>
      </w:r>
      <w:r w:rsidR="0049722E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realizate </w:t>
      </w:r>
      <w:r w:rsidR="0049722E" w:rsidRPr="00FF70A8">
        <w:rPr>
          <w:rFonts w:ascii="Times New Roman" w:eastAsia="Times New Roman" w:hAnsi="Times New Roman" w:cs="Times New Roman"/>
          <w:b/>
          <w:bCs/>
          <w:sz w:val="28"/>
          <w:szCs w:val="28"/>
          <w:lang w:val="ro-MD" w:eastAsia="en-GB"/>
        </w:rPr>
        <w:t xml:space="preserve">în noul </w:t>
      </w:r>
      <w:r w:rsidR="00C25FAD" w:rsidRPr="00FF70A8">
        <w:rPr>
          <w:rFonts w:ascii="Times New Roman" w:eastAsia="Times New Roman" w:hAnsi="Times New Roman" w:cs="Times New Roman"/>
          <w:b/>
          <w:bCs/>
          <w:sz w:val="28"/>
          <w:szCs w:val="28"/>
          <w:lang w:val="ro-MD" w:eastAsia="en-GB"/>
        </w:rPr>
        <w:t>SI</w:t>
      </w:r>
      <w:r w:rsidR="00D51925" w:rsidRPr="00FF70A8">
        <w:rPr>
          <w:rFonts w:ascii="Times New Roman" w:eastAsia="Times New Roman" w:hAnsi="Times New Roman" w:cs="Times New Roman"/>
          <w:b/>
          <w:bCs/>
          <w:sz w:val="28"/>
          <w:szCs w:val="28"/>
          <w:lang w:val="ro-MD" w:eastAsia="en-GB"/>
        </w:rPr>
        <w:t xml:space="preserve"> „Planificarea bugetului</w:t>
      </w:r>
      <w:r w:rsidR="0049722E" w:rsidRPr="00FF70A8">
        <w:rPr>
          <w:rFonts w:ascii="Times New Roman" w:eastAsia="Times New Roman" w:hAnsi="Times New Roman" w:cs="Times New Roman"/>
          <w:b/>
          <w:bCs/>
          <w:sz w:val="28"/>
          <w:szCs w:val="28"/>
          <w:lang w:val="ro-MD" w:eastAsia="en-GB"/>
        </w:rPr>
        <w:t>” accesibil doar din cadrul SI „Cabinetul electronic al autorității/instituției bugetare”</w:t>
      </w:r>
      <w:r w:rsidR="000319A5" w:rsidRPr="00FF70A8">
        <w:rPr>
          <w:rFonts w:ascii="Times New Roman" w:eastAsia="Times New Roman" w:hAnsi="Times New Roman" w:cs="Times New Roman"/>
          <w:b/>
          <w:bCs/>
          <w:sz w:val="28"/>
          <w:szCs w:val="28"/>
          <w:lang w:val="ro-MD" w:eastAsia="en-GB"/>
        </w:rPr>
        <w:t xml:space="preserve"> </w:t>
      </w:r>
      <w:r w:rsidR="000319A5" w:rsidRPr="00FF70A8">
        <w:rPr>
          <w:rFonts w:ascii="Times New Roman" w:eastAsia="Times New Roman" w:hAnsi="Times New Roman" w:cs="Times New Roman"/>
          <w:bCs/>
          <w:i/>
          <w:sz w:val="28"/>
          <w:szCs w:val="28"/>
          <w:lang w:val="ro-MD" w:eastAsia="en-GB"/>
        </w:rPr>
        <w:t>(în continuare – SI ”CEIB”)</w:t>
      </w:r>
      <w:r w:rsidR="0049722E" w:rsidRPr="00FF70A8">
        <w:rPr>
          <w:rFonts w:ascii="Times New Roman" w:eastAsia="Times New Roman" w:hAnsi="Times New Roman" w:cs="Times New Roman"/>
          <w:bCs/>
          <w:i/>
          <w:sz w:val="28"/>
          <w:szCs w:val="28"/>
          <w:lang w:val="ro-MD" w:eastAsia="en-GB"/>
        </w:rPr>
        <w:t>.</w:t>
      </w:r>
    </w:p>
    <w:p w14:paraId="29517C3E" w14:textId="68EF9F53" w:rsidR="0049722E" w:rsidRPr="00FF70A8" w:rsidRDefault="0049722E" w:rsidP="008365A7">
      <w:pPr>
        <w:tabs>
          <w:tab w:val="left" w:pos="709"/>
        </w:tabs>
        <w:spacing w:before="100" w:beforeAutospacing="1" w:after="100" w:afterAutospacing="1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en-GB"/>
        </w:rPr>
      </w:pPr>
      <w:r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 xml:space="preserve">Pentru a iniția procesul de </w:t>
      </w:r>
      <w:r w:rsidR="009625E1"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>elaborare a proiectului de buget pentru anul 2026 și estimările pentru anii 2027-2028</w:t>
      </w:r>
      <w:r w:rsidR="000C14B2"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 xml:space="preserve">, </w:t>
      </w:r>
      <w:r w:rsidR="00D51925"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 xml:space="preserve">APL </w:t>
      </w:r>
      <w:r w:rsidR="00664BD6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>vor întreprinde</w:t>
      </w:r>
      <w:r w:rsidR="00671617"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 xml:space="preserve"> următorii 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>pași:</w:t>
      </w:r>
    </w:p>
    <w:p w14:paraId="6470810C" w14:textId="1132FB49" w:rsidR="0049722E" w:rsidRPr="00FF70A8" w:rsidRDefault="0049722E" w:rsidP="008365A7">
      <w:pPr>
        <w:pStyle w:val="ListParagraph"/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before="100" w:beforeAutospacing="1" w:after="100" w:afterAutospacing="1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</w:pPr>
      <w:r w:rsidRPr="00FF70A8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en-GB"/>
        </w:rPr>
        <w:t xml:space="preserve">Autentificare. </w:t>
      </w:r>
      <w:proofErr w:type="spellStart"/>
      <w:r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>Logarea</w:t>
      </w:r>
      <w:proofErr w:type="spellEnd"/>
      <w:r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 xml:space="preserve"> în SI „C</w:t>
      </w:r>
      <w:r w:rsidR="000319A5"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>EIB</w:t>
      </w:r>
      <w:r w:rsidR="009625E1"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>”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 xml:space="preserve"> utilizând semnătura electronică (</w:t>
      </w:r>
      <w:proofErr w:type="spellStart"/>
      <w:r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>MPass</w:t>
      </w:r>
      <w:proofErr w:type="spellEnd"/>
      <w:r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>)”;</w:t>
      </w:r>
    </w:p>
    <w:p w14:paraId="4B138E4A" w14:textId="064C1F37" w:rsidR="0049722E" w:rsidRPr="00FF70A8" w:rsidRDefault="0049722E" w:rsidP="008365A7">
      <w:pPr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before="100" w:beforeAutospacing="1" w:after="100" w:afterAutospacing="1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</w:pPr>
      <w:r w:rsidRPr="00FF70A8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en-GB"/>
        </w:rPr>
        <w:t xml:space="preserve">Accesarea sistemului. 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>Din Tabloul de bord sau din meniul „Sisteme informaționale”, se</w:t>
      </w:r>
      <w:r w:rsidR="000319A5"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 xml:space="preserve"> va selecta SI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 xml:space="preserve"> „Planificarea bugetului”;</w:t>
      </w:r>
    </w:p>
    <w:p w14:paraId="32A1971C" w14:textId="633A89C3" w:rsidR="0049722E" w:rsidRPr="00FF70A8" w:rsidRDefault="0049722E" w:rsidP="0066444E">
      <w:pPr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after="100" w:afterAutospacing="1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</w:pPr>
      <w:r w:rsidRPr="00FF70A8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en-GB"/>
        </w:rPr>
        <w:t>Selectarea rolului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 xml:space="preserve">. </w:t>
      </w:r>
      <w:r w:rsidR="0066444E"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>Fiecar</w:t>
      </w:r>
      <w:r w:rsidR="00C25FAD"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>e utilizator urmează să</w:t>
      </w:r>
      <w:r w:rsidR="000319A5"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 xml:space="preserve">-și selecteze </w:t>
      </w:r>
      <w:r w:rsidR="0066444E"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 xml:space="preserve">rolul 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 xml:space="preserve">atribuit conform responsabilităților </w:t>
      </w:r>
      <w:r w:rsidR="0066444E"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>sale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>.</w:t>
      </w:r>
    </w:p>
    <w:p w14:paraId="12AFBA50" w14:textId="4B3D2B06" w:rsidR="0049722E" w:rsidRPr="00FF70A8" w:rsidRDefault="0049722E" w:rsidP="00C25FAD">
      <w:pPr>
        <w:numPr>
          <w:ilvl w:val="0"/>
          <w:numId w:val="1"/>
        </w:numPr>
        <w:tabs>
          <w:tab w:val="left" w:pos="709"/>
          <w:tab w:val="left" w:pos="851"/>
          <w:tab w:val="left" w:pos="1134"/>
        </w:tabs>
        <w:ind w:left="0" w:firstLine="425"/>
        <w:jc w:val="both"/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</w:pPr>
      <w:r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 xml:space="preserve">Accesarea compartimentului FMIS de </w:t>
      </w:r>
      <w:proofErr w:type="spellStart"/>
      <w:r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>сătre</w:t>
      </w:r>
      <w:proofErr w:type="spellEnd"/>
      <w:r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 xml:space="preserve"> AORG1, secțiunea „Ciclu bugetar”, configurarea parametrilor ciclului bugetar</w:t>
      </w:r>
      <w:r w:rsidR="0056004D"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 xml:space="preserve"> 2026-2028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 xml:space="preserve"> conform procedurii standard și lansarea </w:t>
      </w:r>
      <w:r w:rsidR="0056004D"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>acestuia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>.</w:t>
      </w:r>
      <w:r w:rsidR="00C25FAD"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 xml:space="preserve"> </w:t>
      </w:r>
    </w:p>
    <w:p w14:paraId="2E424AA1" w14:textId="1FA4AEA9" w:rsidR="0049722E" w:rsidRPr="00FF70A8" w:rsidRDefault="0049722E" w:rsidP="008365A7">
      <w:pPr>
        <w:tabs>
          <w:tab w:val="left" w:pos="709"/>
        </w:tabs>
        <w:spacing w:before="120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</w:pP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Lansarea ciclului bugetar este un pas </w:t>
      </w:r>
      <w:r w:rsidRPr="00FF70A8">
        <w:rPr>
          <w:rFonts w:ascii="Times New Roman" w:eastAsia="Times New Roman" w:hAnsi="Times New Roman" w:cs="Times New Roman"/>
          <w:b/>
          <w:bCs/>
          <w:sz w:val="28"/>
          <w:szCs w:val="28"/>
          <w:lang w:val="ro-MD" w:eastAsia="en-GB"/>
        </w:rPr>
        <w:t>ireversibil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.</w:t>
      </w:r>
      <w:r w:rsidR="00F37A6A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 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 </w:t>
      </w:r>
      <w:r w:rsidR="00B73B7D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Este necesar de asigurat, 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că toate setările</w:t>
      </w:r>
      <w:r w:rsidR="003E02B8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 din cardul de identitate 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sunt corect introduse înainte de a </w:t>
      </w:r>
      <w:r w:rsidR="003E02B8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salva și a lansa ciclul bugetar 2026-2028 pe Platforma web. 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După lansare</w:t>
      </w:r>
      <w:r w:rsidR="00D21CF8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a ciclului</w:t>
      </w:r>
      <w:r w:rsidR="0056004D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 bugetar 2026-2028</w:t>
      </w:r>
      <w:r w:rsidR="000319A5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 de către AORG1, instituțiile bugetare 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vor </w:t>
      </w:r>
      <w:r w:rsidR="000319A5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purcede la 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completarea liniilor bugetare.</w:t>
      </w:r>
    </w:p>
    <w:p w14:paraId="0B85087C" w14:textId="64375D72" w:rsidR="0049722E" w:rsidRPr="00FF70A8" w:rsidRDefault="0049722E" w:rsidP="00F13EBB">
      <w:pPr>
        <w:tabs>
          <w:tab w:val="left" w:pos="709"/>
        </w:tabs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</w:pP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Utilizatorii care dețin deja acces în </w:t>
      </w:r>
      <w:r w:rsidR="00F13EBB" w:rsidRPr="00FF70A8">
        <w:rPr>
          <w:rFonts w:ascii="Times New Roman" w:eastAsia="Times New Roman" w:hAnsi="Times New Roman" w:cs="Times New Roman"/>
          <w:b/>
          <w:bCs/>
          <w:sz w:val="28"/>
          <w:szCs w:val="28"/>
          <w:lang w:val="ro-MD" w:eastAsia="en-GB"/>
        </w:rPr>
        <w:t>SI „C</w:t>
      </w:r>
      <w:r w:rsidR="00FF70A8" w:rsidRPr="00FF70A8">
        <w:rPr>
          <w:rFonts w:ascii="Times New Roman" w:eastAsia="Times New Roman" w:hAnsi="Times New Roman" w:cs="Times New Roman"/>
          <w:b/>
          <w:bCs/>
          <w:sz w:val="28"/>
          <w:szCs w:val="28"/>
          <w:lang w:val="ro-MD" w:eastAsia="en-GB"/>
        </w:rPr>
        <w:t>EIB</w:t>
      </w:r>
      <w:r w:rsidR="00F13EBB" w:rsidRPr="00FF70A8">
        <w:rPr>
          <w:rFonts w:ascii="Times New Roman" w:eastAsia="Times New Roman" w:hAnsi="Times New Roman" w:cs="Times New Roman"/>
          <w:b/>
          <w:bCs/>
          <w:sz w:val="28"/>
          <w:szCs w:val="28"/>
          <w:lang w:val="ro-MD" w:eastAsia="en-GB"/>
        </w:rPr>
        <w:t xml:space="preserve">” </w:t>
      </w:r>
      <w:r w:rsidR="00F13EBB" w:rsidRPr="0057002F">
        <w:rPr>
          <w:rFonts w:ascii="Times New Roman" w:eastAsia="Times New Roman" w:hAnsi="Times New Roman" w:cs="Times New Roman"/>
          <w:bCs/>
          <w:sz w:val="28"/>
          <w:szCs w:val="28"/>
          <w:lang w:val="ro-MD" w:eastAsia="en-GB"/>
        </w:rPr>
        <w:t>obligatoriu vor urma p</w:t>
      </w:r>
      <w:r w:rsidRPr="0057002F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așii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 descriși mai 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RO" w:eastAsia="en-GB"/>
        </w:rPr>
        <w:t>sus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 pentru inițierea și </w:t>
      </w:r>
      <w:r w:rsidR="00F13EBB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realizarea acțiunilor ce țin de elaborarea proiectelor de buget pentru anul 2026 și estimările pentru anii 2027-2028 </w:t>
      </w:r>
      <w:r w:rsidR="00BC7B6A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în</w:t>
      </w:r>
      <w:r w:rsidR="00F13EBB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 ciclul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 bugetar</w:t>
      </w:r>
      <w:r w:rsidR="005E2B1A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 2026-2028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.</w:t>
      </w:r>
      <w:r w:rsidR="007F3292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 </w:t>
      </w:r>
    </w:p>
    <w:p w14:paraId="5440E1BE" w14:textId="0A33DC41" w:rsidR="0049722E" w:rsidRPr="00FF70A8" w:rsidRDefault="0049722E" w:rsidP="00CD4063">
      <w:pPr>
        <w:tabs>
          <w:tab w:val="left" w:pos="709"/>
        </w:tabs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</w:pP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Pentru noii utilizatori </w:t>
      </w:r>
      <w:r w:rsidR="00F37A6A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care nu au acces în sistem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, este necesar ca </w:t>
      </w:r>
      <w:r w:rsidR="00F37A6A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Administratorul de buget (Org1 de ambele nivele) </w:t>
      </w:r>
      <w:r w:rsidR="00BC7B6A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să întocmească și să transmit</w:t>
      </w:r>
      <w:r w:rsidR="005E2B1A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ă</w:t>
      </w:r>
      <w:r w:rsidR="00BC7B6A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 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o </w:t>
      </w:r>
      <w:r w:rsidRPr="00FF70A8">
        <w:rPr>
          <w:rFonts w:ascii="Times New Roman" w:eastAsia="Times New Roman" w:hAnsi="Times New Roman" w:cs="Times New Roman"/>
          <w:b/>
          <w:i/>
          <w:sz w:val="28"/>
          <w:szCs w:val="28"/>
          <w:lang w:val="ro-MD" w:eastAsia="en-GB"/>
        </w:rPr>
        <w:t xml:space="preserve">cerere </w:t>
      </w:r>
      <w:r w:rsidR="005E2B1A" w:rsidRPr="00FF70A8">
        <w:rPr>
          <w:rFonts w:ascii="Times New Roman" w:eastAsia="Times New Roman" w:hAnsi="Times New Roman" w:cs="Times New Roman"/>
          <w:b/>
          <w:i/>
          <w:sz w:val="28"/>
          <w:szCs w:val="28"/>
          <w:lang w:val="ro-MD" w:eastAsia="en-GB"/>
        </w:rPr>
        <w:t>de acces</w:t>
      </w:r>
      <w:r w:rsidR="005E2B1A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 </w:t>
      </w:r>
      <w:r w:rsidR="00FF70A8" w:rsidRPr="00FF70A8">
        <w:rPr>
          <w:rFonts w:ascii="Times New Roman" w:eastAsia="Times New Roman" w:hAnsi="Times New Roman" w:cs="Times New Roman"/>
          <w:b/>
          <w:i/>
          <w:sz w:val="28"/>
          <w:szCs w:val="28"/>
          <w:lang w:val="ro-MD" w:eastAsia="en-GB"/>
        </w:rPr>
        <w:t>online</w:t>
      </w:r>
      <w:r w:rsidR="00FF70A8" w:rsidRPr="00FF70A8">
        <w:rPr>
          <w:rFonts w:ascii="Times New Roman" w:eastAsia="Times New Roman" w:hAnsi="Times New Roman" w:cs="Times New Roman"/>
          <w:b/>
          <w:sz w:val="28"/>
          <w:szCs w:val="28"/>
          <w:lang w:val="ro-MD" w:eastAsia="en-GB"/>
        </w:rPr>
        <w:t xml:space="preserve"> </w:t>
      </w:r>
      <w:r w:rsidRPr="00FF70A8">
        <w:rPr>
          <w:rFonts w:ascii="Times New Roman" w:eastAsia="Times New Roman" w:hAnsi="Times New Roman" w:cs="Times New Roman"/>
          <w:b/>
          <w:sz w:val="28"/>
          <w:szCs w:val="28"/>
          <w:lang w:val="ro-MD" w:eastAsia="en-GB"/>
        </w:rPr>
        <w:t>în cadrul SI „C</w:t>
      </w:r>
      <w:r w:rsidR="00FF70A8" w:rsidRPr="00FF70A8">
        <w:rPr>
          <w:rFonts w:ascii="Times New Roman" w:eastAsia="Times New Roman" w:hAnsi="Times New Roman" w:cs="Times New Roman"/>
          <w:b/>
          <w:sz w:val="28"/>
          <w:szCs w:val="28"/>
          <w:lang w:val="ro-MD" w:eastAsia="en-GB"/>
        </w:rPr>
        <w:t>EIB</w:t>
      </w:r>
      <w:r w:rsidRPr="00FF70A8">
        <w:rPr>
          <w:rFonts w:ascii="Times New Roman" w:eastAsia="Times New Roman" w:hAnsi="Times New Roman" w:cs="Times New Roman"/>
          <w:b/>
          <w:sz w:val="28"/>
          <w:szCs w:val="28"/>
          <w:lang w:val="ro-MD" w:eastAsia="en-GB"/>
        </w:rPr>
        <w:t>”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 către Ministerul Finanțelor, conform </w:t>
      </w:r>
      <w:r w:rsidR="005E2B1A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O</w:t>
      </w:r>
      <w:r w:rsidR="00F37A6A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rdinului nr.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19 din 05.03.2025 privind acordarea/revocarea drepturilor de acces la S</w:t>
      </w:r>
      <w:r w:rsidR="00FF70A8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I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 ,,Planificarea </w:t>
      </w:r>
      <w:r w:rsidR="0057002F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b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ugetului”.</w:t>
      </w:r>
    </w:p>
    <w:p w14:paraId="77C1F7F5" w14:textId="72F7D1AA" w:rsidR="005E2B1A" w:rsidRPr="00FF70A8" w:rsidRDefault="005E2B1A" w:rsidP="008365A7">
      <w:pPr>
        <w:tabs>
          <w:tab w:val="left" w:pos="284"/>
          <w:tab w:val="left" w:pos="426"/>
          <w:tab w:val="left" w:pos="709"/>
          <w:tab w:val="left" w:pos="851"/>
        </w:tabs>
        <w:spacing w:before="12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</w:pP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lastRenderedPageBreak/>
        <w:t xml:space="preserve"> </w:t>
      </w:r>
      <w:r w:rsidR="00CD4063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Ca suport pentru utilizarea </w:t>
      </w:r>
      <w:r w:rsidR="00FF70A8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noului sistem</w:t>
      </w:r>
      <w:r w:rsidR="00CD4063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 informațional poate fi accesat Ghidul de utilizare a SI ”C</w:t>
      </w:r>
      <w:r w:rsidR="00FF70A8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EIB</w:t>
      </w:r>
      <w:r w:rsidR="00CD4063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”, disponibil în opțiunea ”Ajutor”  din </w:t>
      </w:r>
      <w:r w:rsidR="0057002F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cadrul </w:t>
      </w:r>
      <w:r w:rsidR="00CD4063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SI ”Cabinetul electronic al autorității/instituției bugetare”.</w:t>
      </w:r>
    </w:p>
    <w:p w14:paraId="7BE688F5" w14:textId="21821B1B" w:rsidR="00FF70A8" w:rsidRPr="00FF70A8" w:rsidRDefault="00FF70A8" w:rsidP="008365A7">
      <w:pPr>
        <w:tabs>
          <w:tab w:val="left" w:pos="284"/>
          <w:tab w:val="left" w:pos="426"/>
          <w:tab w:val="left" w:pos="709"/>
          <w:tab w:val="left" w:pos="851"/>
        </w:tabs>
        <w:spacing w:before="12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</w:pP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De asemenea, în cazul unor neclarități sau necesitatea unor consultări </w:t>
      </w:r>
      <w:r w:rsidR="0057002F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în </w:t>
      </w:r>
      <w:r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utilizarea noului SI ”CEIB”, se recomandă să contactați Centrul de apel din cadrul I.P ”CTIF”, la numărul de telefon (022) 82 20 61.</w:t>
      </w:r>
    </w:p>
    <w:p w14:paraId="074C3374" w14:textId="79767E57" w:rsidR="0057002F" w:rsidRDefault="0057002F" w:rsidP="008365A7">
      <w:pPr>
        <w:tabs>
          <w:tab w:val="left" w:pos="284"/>
          <w:tab w:val="left" w:pos="426"/>
          <w:tab w:val="left" w:pos="709"/>
          <w:tab w:val="left" w:pos="851"/>
        </w:tabs>
        <w:spacing w:before="12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Suplimentar, î</w:t>
      </w:r>
      <w:r w:rsidR="00FF70A8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n cazul necesității unor instruiri suplimentare pentru utilizatorii </w:t>
      </w:r>
      <w:r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sistemului informațional </w:t>
      </w:r>
      <w:r w:rsidR="00FF70A8" w:rsidRPr="00FF70A8"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 xml:space="preserve">din cadrul APL, Centrul de instruire și dezvoltare profesională al I.P. ”CTIF” este disponibil să analizeze solicitările, iar înregistrarea participanților la curs va fi posibilă pe pagina </w:t>
      </w:r>
      <w:hyperlink r:id="rId6" w:history="1">
        <w:r w:rsidRPr="005E734B">
          <w:rPr>
            <w:rStyle w:val="Hyperlink"/>
            <w:rFonts w:ascii="Times New Roman" w:eastAsia="Times New Roman" w:hAnsi="Times New Roman" w:cs="Times New Roman"/>
            <w:sz w:val="28"/>
            <w:szCs w:val="28"/>
            <w:lang w:val="ro-MD" w:eastAsia="en-GB"/>
          </w:rPr>
          <w:t>https://cursuri.ctif.md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  <w:t>.</w:t>
      </w:r>
    </w:p>
    <w:p w14:paraId="1F20A3F3" w14:textId="77777777" w:rsidR="0049722E" w:rsidRPr="00FF70A8" w:rsidRDefault="0049722E">
      <w:pPr>
        <w:rPr>
          <w:rFonts w:ascii="Times New Roman" w:eastAsia="Times New Roman" w:hAnsi="Times New Roman" w:cs="Times New Roman"/>
          <w:sz w:val="28"/>
          <w:szCs w:val="28"/>
          <w:lang w:val="ro-MD" w:eastAsia="en-GB"/>
        </w:rPr>
      </w:pPr>
    </w:p>
    <w:sectPr w:rsidR="0049722E" w:rsidRPr="00FF70A8" w:rsidSect="00CD4063">
      <w:pgSz w:w="12240" w:h="15840"/>
      <w:pgMar w:top="993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DA187F"/>
    <w:multiLevelType w:val="multilevel"/>
    <w:tmpl w:val="0A129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2C56EA"/>
    <w:multiLevelType w:val="multilevel"/>
    <w:tmpl w:val="48CE7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7F27F9"/>
    <w:multiLevelType w:val="multilevel"/>
    <w:tmpl w:val="D85848BA"/>
    <w:lvl w:ilvl="0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BD0352"/>
    <w:multiLevelType w:val="multilevel"/>
    <w:tmpl w:val="3D04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22E"/>
    <w:rsid w:val="00023AE1"/>
    <w:rsid w:val="000319A5"/>
    <w:rsid w:val="000C14B2"/>
    <w:rsid w:val="003600EE"/>
    <w:rsid w:val="003E02B8"/>
    <w:rsid w:val="004014BC"/>
    <w:rsid w:val="0049722E"/>
    <w:rsid w:val="0056004D"/>
    <w:rsid w:val="0057002F"/>
    <w:rsid w:val="00594511"/>
    <w:rsid w:val="005E2B1A"/>
    <w:rsid w:val="00613418"/>
    <w:rsid w:val="0063750A"/>
    <w:rsid w:val="0066444E"/>
    <w:rsid w:val="00664BD6"/>
    <w:rsid w:val="00671617"/>
    <w:rsid w:val="007666C1"/>
    <w:rsid w:val="007F3292"/>
    <w:rsid w:val="008365A7"/>
    <w:rsid w:val="009625E1"/>
    <w:rsid w:val="00B73B7D"/>
    <w:rsid w:val="00BC7B6A"/>
    <w:rsid w:val="00C25FAD"/>
    <w:rsid w:val="00CD4063"/>
    <w:rsid w:val="00D17C1E"/>
    <w:rsid w:val="00D21CF8"/>
    <w:rsid w:val="00D51925"/>
    <w:rsid w:val="00D62C6B"/>
    <w:rsid w:val="00D83A20"/>
    <w:rsid w:val="00DA182E"/>
    <w:rsid w:val="00DE25AC"/>
    <w:rsid w:val="00E32A44"/>
    <w:rsid w:val="00E872AC"/>
    <w:rsid w:val="00F13EBB"/>
    <w:rsid w:val="00F37A6A"/>
    <w:rsid w:val="00FD3050"/>
    <w:rsid w:val="00FF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012CA"/>
  <w15:chartTrackingRefBased/>
  <w15:docId w15:val="{1F0F0590-AA75-1947-957C-4C54F595C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9722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972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49722E"/>
    <w:rPr>
      <w:b/>
      <w:bCs/>
    </w:rPr>
  </w:style>
  <w:style w:type="character" w:styleId="Hyperlink">
    <w:name w:val="Hyperlink"/>
    <w:basedOn w:val="DefaultParagraphFont"/>
    <w:uiPriority w:val="99"/>
    <w:unhideWhenUsed/>
    <w:rsid w:val="0049722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9722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9722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Revision">
    <w:name w:val="Revision"/>
    <w:hidden/>
    <w:uiPriority w:val="99"/>
    <w:semiHidden/>
    <w:rsid w:val="00DE25AC"/>
  </w:style>
  <w:style w:type="character" w:styleId="CommentReference">
    <w:name w:val="annotation reference"/>
    <w:basedOn w:val="DefaultParagraphFont"/>
    <w:uiPriority w:val="99"/>
    <w:semiHidden/>
    <w:unhideWhenUsed/>
    <w:rsid w:val="00DE25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25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25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25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25A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5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5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2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ursuri.ctif.m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10A94-E26A-4C5A-BBB5-0F058FEF3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 Carajileasco</dc:creator>
  <cp:keywords/>
  <dc:description/>
  <cp:lastModifiedBy>Tabacari, Natalia</cp:lastModifiedBy>
  <cp:revision>20</cp:revision>
  <dcterms:created xsi:type="dcterms:W3CDTF">2025-08-14T12:58:00Z</dcterms:created>
  <dcterms:modified xsi:type="dcterms:W3CDTF">2025-08-22T08:35:00Z</dcterms:modified>
</cp:coreProperties>
</file>