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D621E4" w:rsidRPr="00D621E4">
        <w:rPr>
          <w:b/>
          <w:noProof/>
          <w:sz w:val="24"/>
          <w:szCs w:val="24"/>
          <w:lang w:val="en-US"/>
        </w:rPr>
      </w:r>
      <w:r w:rsidR="00D621E4" w:rsidRPr="00D621E4">
        <w:rPr>
          <w:b/>
          <w:noProof/>
          <w:sz w:val="24"/>
          <w:szCs w:val="24"/>
          <w:lang w:val="en-US"/>
        </w:rPr>
        <w:pict>
          <v:rect id="Rectangle 3" o:spid="_x0000_s1027" style="width:505pt;height:65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226DA7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0  iunie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204CB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226DA7">
        <w:rPr>
          <w:rFonts w:ascii="Times New Roman" w:hAnsi="Times New Roman"/>
          <w:sz w:val="24"/>
          <w:szCs w:val="24"/>
          <w:lang w:val="ro-RO"/>
        </w:rPr>
        <w:t>30 iunie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204CB4">
        <w:rPr>
          <w:rFonts w:ascii="Times New Roman" w:hAnsi="Times New Roman"/>
          <w:sz w:val="24"/>
          <w:szCs w:val="24"/>
          <w:lang w:val="ro-RO"/>
        </w:rPr>
        <w:t>8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6DA7">
        <w:rPr>
          <w:rFonts w:ascii="Times New Roman" w:hAnsi="Times New Roman"/>
          <w:sz w:val="24"/>
          <w:szCs w:val="24"/>
          <w:lang w:val="ro-RO"/>
        </w:rPr>
        <w:t>42,4</w:t>
      </w:r>
      <w:r w:rsidR="00FD4C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226DA7">
        <w:rPr>
          <w:rFonts w:ascii="Times New Roman" w:hAnsi="Times New Roman"/>
          <w:sz w:val="24"/>
          <w:szCs w:val="24"/>
          <w:lang w:val="ro-RO"/>
        </w:rPr>
        <w:t>27,5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226DA7">
        <w:rPr>
          <w:rFonts w:ascii="Times New Roman" w:hAnsi="Times New Roman"/>
          <w:sz w:val="24"/>
          <w:szCs w:val="24"/>
          <w:lang w:val="ro-RO"/>
        </w:rPr>
        <w:t>14,9</w:t>
      </w:r>
      <w:r w:rsidR="004A680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0" w:type="auto"/>
        <w:jc w:val="center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4244D0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4244D0" w:rsidP="00226DA7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26DA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226DA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26DA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226DA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4244D0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4244D0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226DA7" w:rsidP="003A67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42,4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64</w:t>
            </w:r>
            <w:r w:rsidR="004358E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,7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FD4CCD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E65D2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22,</w:t>
            </w:r>
            <w:r w:rsidR="004358E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34,</w:t>
            </w:r>
            <w:r w:rsidR="004358E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</w:t>
            </w:r>
          </w:p>
        </w:tc>
      </w:tr>
      <w:tr w:rsidR="001C34D8" w:rsidRPr="00472896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226DA7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27,5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54</w:t>
            </w:r>
            <w:r w:rsidR="004358E8">
              <w:rPr>
                <w:b/>
                <w:color w:val="000000" w:themeColor="text1"/>
                <w:sz w:val="24"/>
                <w:szCs w:val="24"/>
                <w:lang w:val="ro-RO"/>
              </w:rPr>
              <w:t>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FD4CCD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4358E8">
              <w:rPr>
                <w:b/>
                <w:color w:val="000000" w:themeColor="text1"/>
                <w:sz w:val="24"/>
                <w:szCs w:val="24"/>
                <w:lang w:val="en-US"/>
              </w:rPr>
              <w:t>27,0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49,</w:t>
            </w:r>
            <w:r w:rsidR="004358E8"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1C34D8" w:rsidRPr="00472896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226DA7" w:rsidP="009C0C4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14,9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10,</w:t>
            </w:r>
            <w:r w:rsidR="00E65D24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4244D0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="009C0C4A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E65D24">
              <w:rPr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E65D24" w:rsidP="00226DA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46,1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B3473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>01 ianuarie 201</w:t>
      </w:r>
      <w:r w:rsidR="00204CB4">
        <w:rPr>
          <w:rFonts w:ascii="Times New Roman" w:hAnsi="Times New Roman"/>
          <w:sz w:val="24"/>
          <w:szCs w:val="24"/>
          <w:lang w:val="fr-FR"/>
        </w:rPr>
        <w:t>8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D15BE6">
        <w:rPr>
          <w:rFonts w:ascii="Times New Roman" w:hAnsi="Times New Roman"/>
          <w:sz w:val="24"/>
          <w:szCs w:val="24"/>
          <w:lang w:val="ro-RO"/>
        </w:rPr>
        <w:t>creanțele</w:t>
      </w:r>
      <w:r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D4CCD">
        <w:rPr>
          <w:rFonts w:ascii="Times New Roman" w:hAnsi="Times New Roman"/>
          <w:sz w:val="24"/>
          <w:szCs w:val="24"/>
          <w:lang w:val="fr-FR"/>
        </w:rPr>
        <w:t>micș</w:t>
      </w:r>
      <w:r w:rsidR="00CB6819">
        <w:rPr>
          <w:rFonts w:ascii="Times New Roman" w:hAnsi="Times New Roman"/>
          <w:sz w:val="24"/>
          <w:szCs w:val="24"/>
          <w:lang w:val="fr-FR"/>
        </w:rPr>
        <w:t>orat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E65D24">
        <w:rPr>
          <w:rFonts w:ascii="Times New Roman" w:hAnsi="Times New Roman"/>
          <w:sz w:val="24"/>
          <w:szCs w:val="24"/>
          <w:lang w:val="fr-FR"/>
        </w:rPr>
        <w:t>34,</w:t>
      </w:r>
      <w:r w:rsidR="004358E8">
        <w:rPr>
          <w:rFonts w:ascii="Times New Roman" w:hAnsi="Times New Roman"/>
          <w:sz w:val="24"/>
          <w:szCs w:val="24"/>
          <w:lang w:val="fr-FR"/>
        </w:rPr>
        <w:t>5</w:t>
      </w:r>
      <w:r w:rsidR="0047289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E65D24">
        <w:rPr>
          <w:rFonts w:ascii="Times New Roman" w:hAnsi="Times New Roman"/>
          <w:sz w:val="24"/>
          <w:szCs w:val="24"/>
          <w:lang w:val="fr-FR"/>
        </w:rPr>
        <w:t>22,</w:t>
      </w:r>
      <w:r w:rsidR="004358E8">
        <w:rPr>
          <w:rFonts w:ascii="Times New Roman" w:hAnsi="Times New Roman"/>
          <w:sz w:val="24"/>
          <w:szCs w:val="24"/>
          <w:lang w:val="fr-FR"/>
        </w:rPr>
        <w:t xml:space="preserve">3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65D24">
        <w:rPr>
          <w:rFonts w:ascii="Times New Roman" w:hAnsi="Times New Roman"/>
          <w:sz w:val="24"/>
          <w:szCs w:val="24"/>
          <w:lang w:val="fr-FR"/>
        </w:rPr>
        <w:t>49,</w:t>
      </w:r>
      <w:r w:rsidR="004358E8">
        <w:rPr>
          <w:rFonts w:ascii="Times New Roman" w:hAnsi="Times New Roman"/>
          <w:sz w:val="24"/>
          <w:szCs w:val="24"/>
          <w:lang w:val="fr-FR"/>
        </w:rPr>
        <w:t>5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31089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4358E8">
        <w:rPr>
          <w:rFonts w:ascii="Times New Roman" w:hAnsi="Times New Roman"/>
          <w:sz w:val="24"/>
          <w:szCs w:val="24"/>
          <w:lang w:val="fr-FR"/>
        </w:rPr>
        <w:t>27,0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FD4CCD">
        <w:rPr>
          <w:rFonts w:ascii="Times New Roman" w:hAnsi="Times New Roman"/>
          <w:sz w:val="24"/>
          <w:szCs w:val="24"/>
          <w:lang w:val="fr-FR"/>
        </w:rPr>
        <w:t xml:space="preserve">s-au majorat </w:t>
      </w:r>
      <w:r w:rsidR="003E7956">
        <w:rPr>
          <w:rFonts w:ascii="Times New Roman" w:hAnsi="Times New Roman"/>
          <w:sz w:val="24"/>
          <w:szCs w:val="24"/>
          <w:lang w:val="fr-FR"/>
        </w:rPr>
        <w:t xml:space="preserve">ale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E65D24">
        <w:rPr>
          <w:rFonts w:ascii="Times New Roman" w:hAnsi="Times New Roman"/>
          <w:sz w:val="24"/>
          <w:szCs w:val="24"/>
          <w:lang w:val="fr-FR"/>
        </w:rPr>
        <w:t>46,1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4244D0">
        <w:rPr>
          <w:rFonts w:ascii="Times New Roman" w:hAnsi="Times New Roman"/>
          <w:sz w:val="24"/>
          <w:szCs w:val="24"/>
          <w:lang w:val="fr-FR"/>
        </w:rPr>
        <w:t>4,</w:t>
      </w:r>
      <w:r w:rsidR="00E65D24">
        <w:rPr>
          <w:rFonts w:ascii="Times New Roman" w:hAnsi="Times New Roman"/>
          <w:sz w:val="24"/>
          <w:szCs w:val="24"/>
          <w:lang w:val="fr-FR"/>
        </w:rPr>
        <w:t>7</w:t>
      </w:r>
      <w:r w:rsidR="00F5530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226DA7">
        <w:rPr>
          <w:rFonts w:ascii="Times New Roman" w:hAnsi="Times New Roman"/>
          <w:sz w:val="24"/>
          <w:szCs w:val="24"/>
          <w:lang w:val="ro-RO"/>
        </w:rPr>
        <w:t>64,9</w:t>
      </w:r>
      <w:r w:rsidR="003A67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226DA7">
        <w:rPr>
          <w:rFonts w:ascii="Times New Roman" w:hAnsi="Times New Roman"/>
          <w:sz w:val="24"/>
          <w:szCs w:val="24"/>
          <w:lang w:val="ro-RO"/>
        </w:rPr>
        <w:t>27,5</w:t>
      </w:r>
      <w:r w:rsidR="00FD4C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6DA7">
        <w:rPr>
          <w:rFonts w:ascii="Times New Roman" w:hAnsi="Times New Roman"/>
          <w:sz w:val="24"/>
          <w:szCs w:val="24"/>
          <w:lang w:val="ro-RO"/>
        </w:rPr>
        <w:t>35,1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226DA7">
        <w:rPr>
          <w:rFonts w:ascii="Times New Roman" w:hAnsi="Times New Roman"/>
          <w:sz w:val="24"/>
          <w:szCs w:val="24"/>
          <w:lang w:val="ro-RO"/>
        </w:rPr>
        <w:t>14,9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F362FC" w:rsidP="00F362FC">
      <w:pPr>
        <w:jc w:val="center"/>
        <w:rPr>
          <w:lang w:val="ro-RO"/>
        </w:rPr>
        <w:sectPr w:rsidR="000E2DE0" w:rsidRPr="000E2DE0" w:rsidSect="00545B1E">
          <w:headerReference w:type="even" r:id="rId8"/>
          <w:footerReference w:type="default" r:id="rId9"/>
          <w:type w:val="continuous"/>
          <w:pgSz w:w="11906" w:h="16838" w:code="9"/>
          <w:pgMar w:top="709" w:right="566" w:bottom="426" w:left="1134" w:header="283" w:footer="284" w:gutter="0"/>
          <w:cols w:space="708"/>
          <w:docGrid w:linePitch="360"/>
        </w:sectPr>
      </w:pPr>
      <w:r w:rsidRPr="00F362FC">
        <w:rPr>
          <w:noProof/>
          <w:lang w:eastAsia="ru-RU"/>
        </w:rPr>
        <w:drawing>
          <wp:inline distT="0" distB="0" distL="0" distR="0">
            <wp:extent cx="5495925" cy="3009900"/>
            <wp:effectExtent l="19050" t="0" r="952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Default="005A2FBA" w:rsidP="000D0C1F">
      <w:pPr>
        <w:pStyle w:val="NormalWeb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C7A6C" w:rsidRDefault="00D621E4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D621E4">
        <w:rPr>
          <w:noProof/>
          <w:sz w:val="20"/>
          <w:lang w:val="en-US"/>
        </w:rPr>
      </w:r>
      <w:r w:rsidRPr="00D621E4">
        <w:rPr>
          <w:noProof/>
          <w:sz w:val="20"/>
          <w:lang w:val="en-US"/>
        </w:rPr>
        <w:pict>
          <v:rect id="Rectangle 2" o:spid="_x0000_s1026" style="width:425.35pt;height:57.0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226DA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226DA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</w:t>
                  </w:r>
                  <w:r w:rsidR="00204C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390A28" w:rsidRPr="005A6F67" w:rsidRDefault="00390A28" w:rsidP="00390A28">
      <w:pPr>
        <w:pStyle w:val="ListParagraph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micșorat la următoarele poziții:</w:t>
      </w:r>
    </w:p>
    <w:p w:rsidR="00390A28" w:rsidRPr="00D62065" w:rsidRDefault="00390A28" w:rsidP="00390A28">
      <w:pPr>
        <w:pStyle w:val="ListParagraph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709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– cu </w:t>
      </w:r>
      <w:r w:rsidR="00226DA7">
        <w:rPr>
          <w:rFonts w:ascii="Times New Roman" w:hAnsi="Times New Roman"/>
          <w:color w:val="000000" w:themeColor="text1"/>
          <w:sz w:val="24"/>
          <w:szCs w:val="24"/>
          <w:lang w:val="ro-RO"/>
        </w:rPr>
        <w:t>38,</w:t>
      </w:r>
      <w:r w:rsidR="00686EBB">
        <w:rPr>
          <w:rFonts w:ascii="Times New Roman" w:hAnsi="Times New Roman"/>
          <w:color w:val="000000" w:themeColor="text1"/>
          <w:sz w:val="24"/>
          <w:szCs w:val="24"/>
          <w:lang w:val="ro-RO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mil.lei,</w:t>
      </w:r>
      <w:r w:rsidRPr="00847D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62065">
        <w:rPr>
          <w:rFonts w:ascii="Times New Roman" w:hAnsi="Times New Roman"/>
          <w:sz w:val="24"/>
          <w:szCs w:val="24"/>
          <w:lang w:val="ro-RO"/>
        </w:rPr>
        <w:t>inclusiv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390A28" w:rsidRPr="007F58E5" w:rsidRDefault="00390A28" w:rsidP="00390A28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 w:rsidR="00226DA7">
        <w:rPr>
          <w:rFonts w:ascii="Times New Roman" w:hAnsi="Times New Roman"/>
          <w:color w:val="000000" w:themeColor="text1"/>
          <w:sz w:val="24"/>
          <w:szCs w:val="24"/>
          <w:lang w:val="ro-RO"/>
        </w:rPr>
        <w:t>40,</w:t>
      </w:r>
      <w:r w:rsidR="00741299">
        <w:rPr>
          <w:rFonts w:ascii="Times New Roman" w:hAnsi="Times New Roman"/>
          <w:color w:val="000000" w:themeColor="text1"/>
          <w:sz w:val="24"/>
          <w:szCs w:val="24"/>
          <w:lang w:val="ro-RO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9A518C" w:rsidRDefault="00390A28" w:rsidP="00390A28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</w:t>
      </w:r>
      <w:r w:rsidR="009C0C4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iar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 w:rsidR="009C0C4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s-au majorat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226DA7">
        <w:rPr>
          <w:rFonts w:ascii="Times New Roman" w:hAnsi="Times New Roman"/>
          <w:color w:val="000000" w:themeColor="text1"/>
          <w:sz w:val="24"/>
          <w:szCs w:val="24"/>
          <w:lang w:val="ro-RO"/>
        </w:rPr>
        <w:t>1,</w:t>
      </w:r>
      <w:r w:rsidR="00686EBB">
        <w:rPr>
          <w:rFonts w:ascii="Times New Roman" w:hAnsi="Times New Roman"/>
          <w:color w:val="000000" w:themeColor="text1"/>
          <w:sz w:val="24"/>
          <w:szCs w:val="24"/>
          <w:lang w:val="ro-RO"/>
        </w:rPr>
        <w:t>8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9A518C" w:rsidRDefault="009A518C" w:rsidP="009A518C">
      <w:pPr>
        <w:pStyle w:val="ListParagraph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709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86EBB"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 – cu 5,</w:t>
      </w:r>
      <w:r w:rsidR="00B63BFE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="0016565D" w:rsidRPr="00686EB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686EBB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</w:t>
      </w:r>
      <w:r w:rsidR="00B63BFE">
        <w:rPr>
          <w:rFonts w:ascii="Times New Roman" w:hAnsi="Times New Roman"/>
          <w:color w:val="000000" w:themeColor="text1"/>
          <w:sz w:val="24"/>
          <w:szCs w:val="24"/>
          <w:lang w:val="ro-RO"/>
        </w:rPr>
        <w:t>, inclusiv:</w:t>
      </w:r>
    </w:p>
    <w:p w:rsidR="00B63BFE" w:rsidRDefault="00B63BFE" w:rsidP="00B63BFE">
      <w:pPr>
        <w:pStyle w:val="ListParagraph"/>
        <w:spacing w:after="0"/>
        <w:ind w:left="78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B63BF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- pe bugetul de stat – cu 5,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B63BF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B63BFE" w:rsidRPr="00B63BFE" w:rsidRDefault="00B63BFE" w:rsidP="00B63BFE">
      <w:pPr>
        <w:pStyle w:val="ListParagraph"/>
        <w:spacing w:after="0"/>
        <w:ind w:left="78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B63BF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- pe bugetele locale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</w:t>
      </w:r>
      <w:r w:rsidRPr="00B63BF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B63BFE">
        <w:rPr>
          <w:noProof/>
          <w:lang w:val="en-US" w:eastAsia="ru-RU"/>
        </w:rPr>
        <w:t xml:space="preserve"> </w:t>
      </w:r>
    </w:p>
    <w:p w:rsidR="00B63BFE" w:rsidRPr="00B63BFE" w:rsidRDefault="00B63BFE" w:rsidP="00B63BFE">
      <w:pPr>
        <w:pStyle w:val="ListParagraph"/>
        <w:tabs>
          <w:tab w:val="left" w:pos="567"/>
          <w:tab w:val="left" w:pos="993"/>
        </w:tabs>
        <w:spacing w:after="0"/>
        <w:ind w:left="85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48607F" w:rsidRPr="005A6F67" w:rsidRDefault="006F4C04" w:rsidP="003D7F81">
      <w:pPr>
        <w:pStyle w:val="ListParagraph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A2CE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226DA7" w:rsidRDefault="00226DA7" w:rsidP="00226DA7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procurări de mijloace fixe– cu </w:t>
      </w:r>
      <w:r w:rsidR="006B2C8F">
        <w:rPr>
          <w:rFonts w:ascii="Times New Roman" w:hAnsi="Times New Roman"/>
          <w:color w:val="000000" w:themeColor="text1"/>
          <w:sz w:val="24"/>
          <w:szCs w:val="24"/>
          <w:lang w:val="ro-RO"/>
        </w:rPr>
        <w:t>9,</w:t>
      </w:r>
      <w:r w:rsidR="008F7EAA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226DA7" w:rsidRDefault="00226DA7" w:rsidP="00226DA7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 w:rsidR="008F7EAA">
        <w:rPr>
          <w:rFonts w:ascii="Times New Roman" w:hAnsi="Times New Roman"/>
          <w:color w:val="000000" w:themeColor="text1"/>
          <w:sz w:val="24"/>
          <w:szCs w:val="24"/>
          <w:lang w:val="ro-RO"/>
        </w:rPr>
        <w:t>9.1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226DA7" w:rsidRDefault="00226DA7" w:rsidP="00226DA7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</w:t>
      </w:r>
      <w:r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- pe bugetele locale – cu </w:t>
      </w:r>
      <w:r w:rsidR="008F7EAA">
        <w:rPr>
          <w:rFonts w:ascii="Times New Roman" w:hAnsi="Times New Roman"/>
          <w:color w:val="000000" w:themeColor="text1"/>
          <w:sz w:val="24"/>
          <w:szCs w:val="24"/>
          <w:lang w:val="ro-RO"/>
        </w:rPr>
        <w:t>0.1</w:t>
      </w:r>
      <w:r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</w:p>
    <w:p w:rsidR="00253BE4" w:rsidRDefault="00390A28" w:rsidP="00253BE4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reparații capitale ale mijloacelor fixe – cu </w:t>
      </w:r>
      <w:r w:rsidR="006B2C8F">
        <w:rPr>
          <w:rFonts w:ascii="Times New Roman" w:hAnsi="Times New Roman"/>
          <w:color w:val="000000" w:themeColor="text1"/>
          <w:sz w:val="24"/>
          <w:szCs w:val="24"/>
          <w:lang w:val="ro-RO"/>
        </w:rPr>
        <w:t>7,</w:t>
      </w:r>
      <w:r w:rsidR="009F0B6D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 </w:t>
      </w:r>
      <w:r w:rsid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="00253BE4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253BE4" w:rsidRDefault="00253BE4" w:rsidP="00253BE4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5,1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253BE4" w:rsidRDefault="00253BE4" w:rsidP="00253BE4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</w:t>
      </w:r>
      <w:r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- pe bugetele locale – cu </w:t>
      </w:r>
      <w:r w:rsidR="009F0B6D">
        <w:rPr>
          <w:rFonts w:ascii="Times New Roman" w:hAnsi="Times New Roman"/>
          <w:color w:val="000000" w:themeColor="text1"/>
          <w:sz w:val="24"/>
          <w:szCs w:val="24"/>
          <w:lang w:val="ro-RO"/>
        </w:rPr>
        <w:t>2.0</w:t>
      </w:r>
      <w:r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A22C4A">
        <w:rPr>
          <w:noProof/>
          <w:lang w:val="en-US" w:eastAsia="ru-RU"/>
        </w:rPr>
        <w:t xml:space="preserve"> </w:t>
      </w:r>
    </w:p>
    <w:p w:rsidR="006B2C8F" w:rsidRPr="008F7EAA" w:rsidRDefault="00603FD4" w:rsidP="008F7EAA">
      <w:pPr>
        <w:pStyle w:val="ListParagraph"/>
        <w:numPr>
          <w:ilvl w:val="0"/>
          <w:numId w:val="16"/>
        </w:numPr>
        <w:tabs>
          <w:tab w:val="left" w:pos="993"/>
        </w:tabs>
        <w:spacing w:after="0"/>
        <w:ind w:left="851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8F7E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 w:rsidR="006B2C8F" w:rsidRPr="008F7EAA">
        <w:rPr>
          <w:rFonts w:ascii="Times New Roman" w:hAnsi="Times New Roman"/>
          <w:color w:val="000000" w:themeColor="text1"/>
          <w:sz w:val="24"/>
          <w:szCs w:val="24"/>
          <w:lang w:val="ro-RO"/>
        </w:rPr>
        <w:t>4,</w:t>
      </w:r>
      <w:r w:rsidR="008F7EAA" w:rsidRPr="008F7EAA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 w:rsidRPr="008F7E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mil.lei</w:t>
      </w:r>
      <w:r w:rsidR="008F7EAA" w:rsidRPr="008F7E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bugetul de stat.</w:t>
      </w:r>
    </w:p>
    <w:p w:rsidR="008F7EAA" w:rsidRDefault="008F7EAA" w:rsidP="008F7EAA">
      <w:pPr>
        <w:pStyle w:val="ListParagraph"/>
        <w:numPr>
          <w:ilvl w:val="0"/>
          <w:numId w:val="16"/>
        </w:numPr>
        <w:spacing w:after="0"/>
        <w:ind w:left="993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investiții capitale </w:t>
      </w:r>
      <w:r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1,0</w:t>
      </w:r>
      <w:r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inclusiv: </w:t>
      </w:r>
    </w:p>
    <w:p w:rsidR="008F7EAA" w:rsidRPr="007F58E5" w:rsidRDefault="008F7EAA" w:rsidP="008F7EAA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0.1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8F7EAA" w:rsidRDefault="008F7EAA" w:rsidP="008F7EAA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0,9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253BE4" w:rsidRPr="006B2C8F" w:rsidRDefault="00253BE4" w:rsidP="006B2C8F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noProof/>
          <w:lang w:val="ro-RO" w:eastAsia="ru-RU"/>
        </w:rPr>
      </w:pPr>
    </w:p>
    <w:p w:rsidR="00A22C4A" w:rsidRDefault="00A22C4A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</w:p>
    <w:p w:rsidR="0074644E" w:rsidRDefault="009F0B6D" w:rsidP="00BA1E75">
      <w:pPr>
        <w:pStyle w:val="ListParagraph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F0B6D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881260" cy="2944091"/>
            <wp:effectExtent l="19050" t="0" r="24240" b="8659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74644E" w:rsidSect="00187742">
      <w:headerReference w:type="even" r:id="rId12"/>
      <w:footerReference w:type="default" r:id="rId13"/>
      <w:type w:val="continuous"/>
      <w:pgSz w:w="11906" w:h="16838" w:code="9"/>
      <w:pgMar w:top="0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E6F" w:rsidRDefault="00321E6F" w:rsidP="00FF3F3E">
      <w:pPr>
        <w:spacing w:after="0" w:line="240" w:lineRule="auto"/>
      </w:pPr>
      <w:r>
        <w:separator/>
      </w:r>
    </w:p>
  </w:endnote>
  <w:endnote w:type="continuationSeparator" w:id="1">
    <w:p w:rsidR="00321E6F" w:rsidRDefault="00321E6F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D621E4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95721A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D621E4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95721A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E6F" w:rsidRDefault="00321E6F" w:rsidP="00FF3F3E">
      <w:pPr>
        <w:spacing w:after="0" w:line="240" w:lineRule="auto"/>
      </w:pPr>
      <w:r>
        <w:separator/>
      </w:r>
    </w:p>
  </w:footnote>
  <w:footnote w:type="continuationSeparator" w:id="1">
    <w:p w:rsidR="00321E6F" w:rsidRDefault="00321E6F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5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6"/>
  </w:num>
  <w:num w:numId="5">
    <w:abstractNumId w:val="7"/>
  </w:num>
  <w:num w:numId="6">
    <w:abstractNumId w:val="13"/>
  </w:num>
  <w:num w:numId="7">
    <w:abstractNumId w:val="10"/>
  </w:num>
  <w:num w:numId="8">
    <w:abstractNumId w:val="18"/>
  </w:num>
  <w:num w:numId="9">
    <w:abstractNumId w:val="21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4"/>
  </w:num>
  <w:num w:numId="18">
    <w:abstractNumId w:val="3"/>
  </w:num>
  <w:num w:numId="19">
    <w:abstractNumId w:val="15"/>
  </w:num>
  <w:num w:numId="20">
    <w:abstractNumId w:val="1"/>
  </w:num>
  <w:num w:numId="21">
    <w:abstractNumId w:val="5"/>
  </w:num>
  <w:num w:numId="22">
    <w:abstractNumId w:val="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7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FB6"/>
    <w:rsid w:val="001712BC"/>
    <w:rsid w:val="001715EA"/>
    <w:rsid w:val="00171A7E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2FA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609"/>
    <w:rsid w:val="00385932"/>
    <w:rsid w:val="003861CC"/>
    <w:rsid w:val="00386B09"/>
    <w:rsid w:val="00390A28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D7F81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0CF"/>
    <w:rsid w:val="00872E2A"/>
    <w:rsid w:val="00872E2C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B0791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FFF"/>
    <w:rsid w:val="00B6192D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125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527B"/>
    <w:rsid w:val="00F355F9"/>
    <w:rsid w:val="00F3570B"/>
    <w:rsid w:val="00F357EB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%202018\iunie\Alte%20inform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%202018\iunie\Alte%20inform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7361111111111143E-2"/>
                  <c:y val="0.1668539070411473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Bugetul de stat 27,5 mil. lei</a:t>
                    </a:r>
                  </a:p>
                  <a:p>
                    <a:r>
                      <a:rPr lang="en-US"/>
                      <a:t>64.9%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4.0132053805774323E-2"/>
                  <c:y val="-3.51515903031806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Bugetele  locale 14,9 mil. lei</a:t>
                    </a:r>
                  </a:p>
                  <a:p>
                    <a:r>
                      <a:rPr lang="en-US"/>
                      <a:t>35.1%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27.5</c:v>
                </c:pt>
                <c:pt idx="1">
                  <c:v>14.9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ser>
          <c:idx val="0"/>
          <c:order val="0"/>
          <c:tx>
            <c:strRef>
              <c:f>DT!$C$7</c:f>
              <c:strCache>
                <c:ptCount val="1"/>
                <c:pt idx="0">
                  <c:v>01.01.2018</c:v>
                </c:pt>
              </c:strCache>
            </c:strRef>
          </c:tx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DT!$C$8:$C$14</c:f>
              <c:numCache>
                <c:formatCode>0.0</c:formatCode>
                <c:ptCount val="7"/>
                <c:pt idx="0">
                  <c:v>64.7</c:v>
                </c:pt>
                <c:pt idx="1">
                  <c:v>44.6</c:v>
                </c:pt>
                <c:pt idx="2">
                  <c:v>15.5</c:v>
                </c:pt>
                <c:pt idx="3">
                  <c:v>0.5</c:v>
                </c:pt>
                <c:pt idx="4">
                  <c:v>3.2</c:v>
                </c:pt>
                <c:pt idx="5">
                  <c:v>0.8</c:v>
                </c:pt>
                <c:pt idx="6">
                  <c:v>0.1</c:v>
                </c:pt>
              </c:numCache>
            </c:numRef>
          </c:val>
        </c:ser>
        <c:ser>
          <c:idx val="1"/>
          <c:order val="1"/>
          <c:tx>
            <c:strRef>
              <c:f>DT!$D$7</c:f>
              <c:strCache>
                <c:ptCount val="1"/>
                <c:pt idx="0">
                  <c:v>30.06.2018</c:v>
                </c:pt>
              </c:strCache>
            </c:strRef>
          </c:tx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Val val="1"/>
            </c:dLbl>
            <c:showVal val="1"/>
          </c:dLbls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DT!$D$8:$D$14</c:f>
              <c:numCache>
                <c:formatCode>0.0</c:formatCode>
                <c:ptCount val="7"/>
                <c:pt idx="0">
                  <c:v>42.4</c:v>
                </c:pt>
                <c:pt idx="1">
                  <c:v>5.8</c:v>
                </c:pt>
                <c:pt idx="2">
                  <c:v>10</c:v>
                </c:pt>
                <c:pt idx="3">
                  <c:v>1.5</c:v>
                </c:pt>
                <c:pt idx="4">
                  <c:v>12.4</c:v>
                </c:pt>
                <c:pt idx="5">
                  <c:v>5.5</c:v>
                </c:pt>
                <c:pt idx="6">
                  <c:v>7.2</c:v>
                </c:pt>
              </c:numCache>
            </c:numRef>
          </c:val>
        </c:ser>
        <c:dLbls>
          <c:showVal val="1"/>
        </c:dLbls>
        <c:gapWidth val="75"/>
        <c:shape val="cylinder"/>
        <c:axId val="51438336"/>
        <c:axId val="51439872"/>
        <c:axId val="0"/>
      </c:bar3DChart>
      <c:dateAx>
        <c:axId val="51438336"/>
        <c:scaling>
          <c:orientation val="minMax"/>
        </c:scaling>
        <c:axPos val="b"/>
        <c:majorTickMark val="none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51439872"/>
        <c:crosses val="autoZero"/>
        <c:lblOffset val="50"/>
        <c:baseTimeUnit val="days"/>
      </c:dateAx>
      <c:valAx>
        <c:axId val="51439872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51438336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105"/>
          <c:h val="8.3717191601050026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F860-CC50-4C32-8E3E-FF751438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2091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18</cp:revision>
  <cp:lastPrinted>2018-07-20T10:04:00Z</cp:lastPrinted>
  <dcterms:created xsi:type="dcterms:W3CDTF">2018-06-20T12:58:00Z</dcterms:created>
  <dcterms:modified xsi:type="dcterms:W3CDTF">2018-07-20T10:09:00Z</dcterms:modified>
</cp:coreProperties>
</file>