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96144" w14:textId="77777777" w:rsidR="00C67B27" w:rsidRDefault="005A0956">
      <w:pPr>
        <w:tabs>
          <w:tab w:val="left" w:pos="884"/>
          <w:tab w:val="left" w:pos="1196"/>
        </w:tab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b/>
          <w:bCs/>
          <w:color w:val="000000"/>
          <w:sz w:val="24"/>
          <w:szCs w:val="24"/>
          <w:lang w:val="ro-RO"/>
        </w:rPr>
        <w:t>SINTEZA</w:t>
      </w:r>
    </w:p>
    <w:p w14:paraId="45351A23" w14:textId="4F6DDEFB" w:rsidR="00C67B27" w:rsidRPr="005F53EF" w:rsidRDefault="005A0956" w:rsidP="003D0729">
      <w:pPr>
        <w:tabs>
          <w:tab w:val="left" w:pos="884"/>
          <w:tab w:val="left" w:pos="1196"/>
        </w:tabs>
        <w:spacing w:after="0" w:line="240" w:lineRule="auto"/>
        <w:jc w:val="center"/>
        <w:rPr>
          <w:rFonts w:ascii="Times New Roman" w:eastAsia="Times New Roman" w:hAnsi="Times New Roman" w:cs="Times New Roman"/>
          <w:b/>
          <w:bCs/>
          <w:color w:val="000000"/>
          <w:sz w:val="24"/>
          <w:szCs w:val="24"/>
          <w:lang w:val="ro-RO"/>
        </w:rPr>
      </w:pPr>
      <w:r>
        <w:rPr>
          <w:rFonts w:ascii="Times New Roman" w:eastAsia="Times New Roman" w:hAnsi="Times New Roman" w:cs="Times New Roman"/>
          <w:b/>
          <w:bCs/>
          <w:color w:val="000000"/>
          <w:sz w:val="24"/>
          <w:szCs w:val="24"/>
          <w:lang w:val="ro-RO"/>
        </w:rPr>
        <w:t>la </w:t>
      </w:r>
      <w:r w:rsidR="003D0729">
        <w:rPr>
          <w:rFonts w:ascii="Times New Roman" w:eastAsia="Times New Roman" w:hAnsi="Times New Roman" w:cs="Times New Roman"/>
          <w:b/>
          <w:bCs/>
          <w:color w:val="000000"/>
          <w:sz w:val="24"/>
          <w:szCs w:val="24"/>
          <w:lang w:val="ro-RO"/>
        </w:rPr>
        <w:t>p</w:t>
      </w:r>
      <w:r w:rsidR="003D0729" w:rsidRPr="009957C6">
        <w:rPr>
          <w:rFonts w:ascii="Times New Roman" w:eastAsia="Times New Roman" w:hAnsi="Times New Roman" w:cs="Times New Roman"/>
          <w:b/>
          <w:bCs/>
          <w:color w:val="000000"/>
          <w:sz w:val="24"/>
          <w:szCs w:val="24"/>
          <w:lang w:val="it-IT"/>
        </w:rPr>
        <w:t xml:space="preserve">roiectul </w:t>
      </w:r>
      <w:r w:rsidR="00A208FC" w:rsidRPr="00A208FC">
        <w:rPr>
          <w:rFonts w:ascii="Times New Roman" w:eastAsia="Times New Roman" w:hAnsi="Times New Roman" w:cs="Times New Roman"/>
          <w:b/>
          <w:bCs/>
          <w:color w:val="000000"/>
          <w:sz w:val="24"/>
          <w:szCs w:val="24"/>
          <w:lang w:val="ro-MD"/>
        </w:rPr>
        <w:t>de hotărâre de Guvern pentru modificarea Regulamentului cu privire la achizițiile publice de valoare mică, aprobat prin Hotărârea Guvernului nr. 870/2022</w:t>
      </w:r>
    </w:p>
    <w:tbl>
      <w:tblPr>
        <w:tblStyle w:val="Tabelgril"/>
        <w:tblpPr w:leftFromText="180" w:rightFromText="180" w:vertAnchor="text" w:tblpY="1"/>
        <w:tblOverlap w:val="never"/>
        <w:tblW w:w="0" w:type="auto"/>
        <w:tblLayout w:type="fixed"/>
        <w:tblLook w:val="04A0" w:firstRow="1" w:lastRow="0" w:firstColumn="1" w:lastColumn="0" w:noHBand="0" w:noVBand="1"/>
      </w:tblPr>
      <w:tblGrid>
        <w:gridCol w:w="3397"/>
        <w:gridCol w:w="2977"/>
        <w:gridCol w:w="533"/>
        <w:gridCol w:w="3402"/>
        <w:gridCol w:w="3436"/>
      </w:tblGrid>
      <w:tr w:rsidR="00C67B27" w14:paraId="472108EC" w14:textId="77777777" w:rsidTr="00A919EA">
        <w:tc>
          <w:tcPr>
            <w:tcW w:w="3397" w:type="dxa"/>
          </w:tcPr>
          <w:p w14:paraId="21387F8B" w14:textId="77777777" w:rsidR="00C67B27" w:rsidRDefault="005A0956">
            <w:pPr>
              <w:tabs>
                <w:tab w:val="left" w:pos="8505"/>
              </w:tabs>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Conținutul articolelor/</w:t>
            </w:r>
          </w:p>
          <w:p w14:paraId="0F81AE46" w14:textId="77777777" w:rsidR="00C67B27" w:rsidRDefault="005A0956">
            <w:pPr>
              <w:tabs>
                <w:tab w:val="left" w:pos="8505"/>
              </w:tabs>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punctelor din</w:t>
            </w:r>
          </w:p>
          <w:p w14:paraId="7D075E6F" w14:textId="77777777" w:rsidR="00C67B27" w:rsidRDefault="005A0956">
            <w:pPr>
              <w:tabs>
                <w:tab w:val="left" w:pos="8505"/>
              </w:tabs>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proiectulprezentat spre</w:t>
            </w:r>
          </w:p>
          <w:p w14:paraId="1EBED292" w14:textId="77777777" w:rsidR="00C67B27" w:rsidRDefault="005A0956">
            <w:pPr>
              <w:tabs>
                <w:tab w:val="left" w:pos="8505"/>
              </w:tabs>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avizare și coordonare</w:t>
            </w:r>
          </w:p>
        </w:tc>
        <w:tc>
          <w:tcPr>
            <w:tcW w:w="2977" w:type="dxa"/>
          </w:tcPr>
          <w:p w14:paraId="19A0E376" w14:textId="77777777" w:rsidR="00C67B27" w:rsidRDefault="005A0956">
            <w:pPr>
              <w:tabs>
                <w:tab w:val="left" w:pos="8505"/>
              </w:tabs>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Participantul la avizare,</w:t>
            </w:r>
          </w:p>
          <w:p w14:paraId="4C42F717" w14:textId="77777777" w:rsidR="00C67B27" w:rsidRDefault="005A0956">
            <w:pPr>
              <w:tabs>
                <w:tab w:val="left" w:pos="8505"/>
              </w:tabs>
              <w:jc w:val="center"/>
              <w:rPr>
                <w:rFonts w:ascii="Times New Roman" w:hAnsi="Times New Roman" w:cs="Times New Roman"/>
                <w:sz w:val="20"/>
                <w:szCs w:val="20"/>
                <w:lang w:val="ro-RO"/>
              </w:rPr>
            </w:pPr>
            <w:r>
              <w:rPr>
                <w:rFonts w:ascii="Times New Roman" w:hAnsi="Times New Roman" w:cs="Times New Roman"/>
                <w:b/>
                <w:bCs/>
                <w:sz w:val="20"/>
                <w:szCs w:val="20"/>
                <w:lang w:val="ro-RO"/>
              </w:rPr>
              <w:t>consultare publică, expertizare</w:t>
            </w:r>
          </w:p>
        </w:tc>
        <w:tc>
          <w:tcPr>
            <w:tcW w:w="533" w:type="dxa"/>
          </w:tcPr>
          <w:p w14:paraId="400E034C" w14:textId="77777777" w:rsidR="00C67B27" w:rsidRDefault="005A0956">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Nr. crt.</w:t>
            </w:r>
          </w:p>
        </w:tc>
        <w:tc>
          <w:tcPr>
            <w:tcW w:w="3402" w:type="dxa"/>
          </w:tcPr>
          <w:p w14:paraId="74A1618F" w14:textId="77777777" w:rsidR="00C67B27" w:rsidRDefault="005A0956">
            <w:pPr>
              <w:tabs>
                <w:tab w:val="left" w:pos="8505"/>
              </w:tabs>
              <w:jc w:val="center"/>
              <w:rPr>
                <w:rFonts w:ascii="Times New Roman" w:hAnsi="Times New Roman" w:cs="Times New Roman"/>
                <w:sz w:val="20"/>
                <w:szCs w:val="20"/>
                <w:lang w:val="ro-RO"/>
              </w:rPr>
            </w:pPr>
            <w:r>
              <w:rPr>
                <w:rFonts w:ascii="Times New Roman" w:hAnsi="Times New Roman" w:cs="Times New Roman"/>
                <w:b/>
                <w:bCs/>
                <w:sz w:val="20"/>
                <w:szCs w:val="20"/>
                <w:lang w:val="ro-RO"/>
              </w:rPr>
              <w:t>Conținutul obiecției,</w:t>
            </w:r>
          </w:p>
          <w:p w14:paraId="6E289AD1" w14:textId="77777777" w:rsidR="00C67B27" w:rsidRDefault="005A0956">
            <w:pPr>
              <w:tabs>
                <w:tab w:val="left" w:pos="8505"/>
              </w:tabs>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propunerii, recomandării,</w:t>
            </w:r>
          </w:p>
          <w:p w14:paraId="26C8251C" w14:textId="77777777" w:rsidR="00C67B27" w:rsidRDefault="005A0956">
            <w:pPr>
              <w:tabs>
                <w:tab w:val="left" w:pos="8505"/>
              </w:tabs>
              <w:jc w:val="center"/>
              <w:rPr>
                <w:rFonts w:ascii="Times New Roman" w:hAnsi="Times New Roman" w:cs="Times New Roman"/>
                <w:sz w:val="20"/>
                <w:szCs w:val="20"/>
                <w:lang w:val="ro-RO"/>
              </w:rPr>
            </w:pPr>
            <w:r>
              <w:rPr>
                <w:rFonts w:ascii="Times New Roman" w:hAnsi="Times New Roman" w:cs="Times New Roman"/>
                <w:b/>
                <w:bCs/>
                <w:sz w:val="20"/>
                <w:szCs w:val="20"/>
                <w:lang w:val="ro-RO"/>
              </w:rPr>
              <w:t>concluziei</w:t>
            </w:r>
          </w:p>
        </w:tc>
        <w:tc>
          <w:tcPr>
            <w:tcW w:w="3436" w:type="dxa"/>
          </w:tcPr>
          <w:p w14:paraId="67446D46" w14:textId="77777777" w:rsidR="00C67B27" w:rsidRDefault="005A0956">
            <w:pPr>
              <w:tabs>
                <w:tab w:val="left" w:pos="8505"/>
              </w:tabs>
              <w:jc w:val="both"/>
              <w:rPr>
                <w:rFonts w:ascii="Times New Roman" w:hAnsi="Times New Roman" w:cs="Times New Roman"/>
                <w:sz w:val="20"/>
                <w:szCs w:val="20"/>
                <w:lang w:val="ro-RO"/>
              </w:rPr>
            </w:pPr>
            <w:r>
              <w:rPr>
                <w:rFonts w:ascii="Times New Roman" w:eastAsia="Times New Roman" w:hAnsi="Times New Roman" w:cs="Times New Roman"/>
                <w:b/>
                <w:bCs/>
                <w:color w:val="000000"/>
                <w:sz w:val="20"/>
                <w:szCs w:val="20"/>
                <w:lang w:val="ro-RO"/>
              </w:rPr>
              <w:t>Argumentarea autorului proiectului</w:t>
            </w:r>
          </w:p>
        </w:tc>
      </w:tr>
      <w:tr w:rsidR="00C67B27" w14:paraId="550D3A14" w14:textId="77777777" w:rsidTr="005F53EF">
        <w:tc>
          <w:tcPr>
            <w:tcW w:w="13745" w:type="dxa"/>
            <w:gridSpan w:val="5"/>
          </w:tcPr>
          <w:p w14:paraId="59600E30" w14:textId="77777777" w:rsidR="00C67B27" w:rsidRDefault="005A0956">
            <w:pPr>
              <w:tabs>
                <w:tab w:val="left" w:pos="8505"/>
              </w:tabs>
              <w:jc w:val="center"/>
              <w:rPr>
                <w:rFonts w:ascii="Times New Roman" w:eastAsia="Times New Roman" w:hAnsi="Times New Roman" w:cs="Times New Roman"/>
                <w:b/>
                <w:bCs/>
                <w:color w:val="000000"/>
                <w:sz w:val="20"/>
                <w:szCs w:val="20"/>
                <w:lang w:val="ro-RO"/>
              </w:rPr>
            </w:pPr>
            <w:r>
              <w:rPr>
                <w:rFonts w:ascii="Times New Roman" w:eastAsia="Times New Roman" w:hAnsi="Times New Roman" w:cs="Times New Roman"/>
                <w:b/>
                <w:bCs/>
                <w:color w:val="000000"/>
                <w:sz w:val="20"/>
                <w:szCs w:val="20"/>
                <w:lang w:val="ro-RO"/>
              </w:rPr>
              <w:t>Avizare și consultare publică</w:t>
            </w:r>
          </w:p>
        </w:tc>
      </w:tr>
      <w:tr w:rsidR="00C67B27" w:rsidRPr="00760BD0" w14:paraId="710D66C7" w14:textId="77777777" w:rsidTr="00A919EA">
        <w:tc>
          <w:tcPr>
            <w:tcW w:w="3397" w:type="dxa"/>
          </w:tcPr>
          <w:p w14:paraId="7779E7A8" w14:textId="77777777" w:rsidR="00C67B27" w:rsidRDefault="00C67B27">
            <w:pPr>
              <w:tabs>
                <w:tab w:val="left" w:pos="8505"/>
              </w:tabs>
              <w:jc w:val="both"/>
              <w:rPr>
                <w:rFonts w:ascii="Times New Roman" w:hAnsi="Times New Roman" w:cs="Times New Roman"/>
                <w:sz w:val="20"/>
                <w:szCs w:val="20"/>
                <w:lang w:val="ro-RO"/>
              </w:rPr>
            </w:pPr>
          </w:p>
        </w:tc>
        <w:tc>
          <w:tcPr>
            <w:tcW w:w="2977" w:type="dxa"/>
          </w:tcPr>
          <w:p w14:paraId="469F0D1A" w14:textId="371657D6" w:rsidR="005F53EF" w:rsidRDefault="00A208FC" w:rsidP="00A208FC">
            <w:pPr>
              <w:tabs>
                <w:tab w:val="left" w:pos="8505"/>
              </w:tabs>
              <w:jc w:val="center"/>
              <w:rPr>
                <w:rFonts w:ascii="Times New Roman" w:hAnsi="Times New Roman" w:cs="Times New Roman"/>
                <w:b/>
                <w:sz w:val="20"/>
                <w:szCs w:val="20"/>
                <w:lang w:val="ro-RO"/>
              </w:rPr>
            </w:pPr>
            <w:r w:rsidRPr="00863A23">
              <w:rPr>
                <w:rFonts w:ascii="Times New Roman" w:hAnsi="Times New Roman" w:cs="Times New Roman"/>
                <w:b/>
                <w:sz w:val="20"/>
                <w:szCs w:val="20"/>
                <w:lang w:val="it-IT"/>
              </w:rPr>
              <w:t xml:space="preserve">Agenția Geodezie, Cartografie și Cadastru </w:t>
            </w:r>
            <w:r w:rsidR="005F53EF" w:rsidRPr="005F53EF">
              <w:rPr>
                <w:rFonts w:ascii="Times New Roman" w:hAnsi="Times New Roman" w:cs="Times New Roman"/>
                <w:b/>
                <w:sz w:val="20"/>
                <w:szCs w:val="20"/>
                <w:lang w:val="ro-RO"/>
              </w:rPr>
              <w:t xml:space="preserve">(scrisoarea nr. </w:t>
            </w:r>
            <w:r w:rsidRPr="00863A23">
              <w:rPr>
                <w:rFonts w:ascii="Times New Roman" w:hAnsi="Times New Roman" w:cs="Times New Roman"/>
                <w:sz w:val="26"/>
                <w:szCs w:val="26"/>
                <w:lang w:val="it-IT"/>
              </w:rPr>
              <w:t xml:space="preserve"> </w:t>
            </w:r>
            <w:r w:rsidRPr="00863A23">
              <w:rPr>
                <w:rFonts w:ascii="Times New Roman" w:hAnsi="Times New Roman" w:cs="Times New Roman"/>
                <w:b/>
                <w:sz w:val="20"/>
                <w:szCs w:val="20"/>
                <w:lang w:val="it-IT"/>
              </w:rPr>
              <w:t>36/01-06/508</w:t>
            </w:r>
            <w:r w:rsidR="005F53EF" w:rsidRPr="00863A23">
              <w:rPr>
                <w:rFonts w:ascii="Times New Roman" w:hAnsi="Times New Roman" w:cs="Times New Roman"/>
                <w:b/>
                <w:sz w:val="20"/>
                <w:szCs w:val="20"/>
                <w:lang w:val="it-IT"/>
              </w:rPr>
              <w:t xml:space="preserve"> din </w:t>
            </w:r>
            <w:r w:rsidRPr="00863A23">
              <w:rPr>
                <w:rFonts w:ascii="Times New Roman" w:hAnsi="Times New Roman" w:cs="Times New Roman"/>
                <w:b/>
                <w:sz w:val="20"/>
                <w:szCs w:val="20"/>
                <w:lang w:val="it-IT"/>
              </w:rPr>
              <w:t>1</w:t>
            </w:r>
            <w:r w:rsidR="005F53EF" w:rsidRPr="00863A23">
              <w:rPr>
                <w:rFonts w:ascii="Times New Roman" w:hAnsi="Times New Roman" w:cs="Times New Roman"/>
                <w:b/>
                <w:sz w:val="20"/>
                <w:szCs w:val="20"/>
                <w:lang w:val="it-IT"/>
              </w:rPr>
              <w:t>0.0</w:t>
            </w:r>
            <w:r w:rsidRPr="00863A23">
              <w:rPr>
                <w:rFonts w:ascii="Times New Roman" w:hAnsi="Times New Roman" w:cs="Times New Roman"/>
                <w:b/>
                <w:sz w:val="20"/>
                <w:szCs w:val="20"/>
                <w:lang w:val="it-IT"/>
              </w:rPr>
              <w:t>4</w:t>
            </w:r>
            <w:r w:rsidR="005F53EF" w:rsidRPr="00863A23">
              <w:rPr>
                <w:rFonts w:ascii="Times New Roman" w:hAnsi="Times New Roman" w:cs="Times New Roman"/>
                <w:b/>
                <w:sz w:val="20"/>
                <w:szCs w:val="20"/>
                <w:lang w:val="it-IT"/>
              </w:rPr>
              <w:t>.2026</w:t>
            </w:r>
            <w:r w:rsidR="005F53EF" w:rsidRPr="005F53EF">
              <w:rPr>
                <w:rFonts w:ascii="Times New Roman" w:hAnsi="Times New Roman" w:cs="Times New Roman"/>
                <w:b/>
                <w:sz w:val="20"/>
                <w:szCs w:val="20"/>
                <w:lang w:val="ro-RO"/>
              </w:rPr>
              <w:t>)</w:t>
            </w:r>
          </w:p>
        </w:tc>
        <w:tc>
          <w:tcPr>
            <w:tcW w:w="533" w:type="dxa"/>
          </w:tcPr>
          <w:p w14:paraId="5EC681CC" w14:textId="77777777" w:rsidR="00C67B27" w:rsidRDefault="00C67B27">
            <w:pPr>
              <w:tabs>
                <w:tab w:val="left" w:pos="8505"/>
              </w:tabs>
              <w:jc w:val="center"/>
              <w:rPr>
                <w:rFonts w:ascii="Times New Roman" w:hAnsi="Times New Roman" w:cs="Times New Roman"/>
                <w:b/>
                <w:sz w:val="20"/>
                <w:szCs w:val="20"/>
                <w:lang w:val="ro-RO"/>
              </w:rPr>
            </w:pPr>
          </w:p>
        </w:tc>
        <w:tc>
          <w:tcPr>
            <w:tcW w:w="3402" w:type="dxa"/>
          </w:tcPr>
          <w:p w14:paraId="006E69C5" w14:textId="77777777" w:rsidR="00C67B27" w:rsidRDefault="00C67B27">
            <w:pPr>
              <w:tabs>
                <w:tab w:val="left" w:pos="8505"/>
              </w:tabs>
              <w:jc w:val="both"/>
              <w:rPr>
                <w:rFonts w:ascii="Times New Roman" w:hAnsi="Times New Roman" w:cs="Times New Roman"/>
                <w:bCs/>
                <w:iCs/>
                <w:sz w:val="20"/>
                <w:szCs w:val="20"/>
                <w:lang w:val="ro-RO"/>
              </w:rPr>
            </w:pPr>
          </w:p>
        </w:tc>
        <w:tc>
          <w:tcPr>
            <w:tcW w:w="3436" w:type="dxa"/>
          </w:tcPr>
          <w:p w14:paraId="26DC6B4E" w14:textId="77777777" w:rsidR="00C67B27" w:rsidRDefault="00C67B27">
            <w:pPr>
              <w:tabs>
                <w:tab w:val="left" w:pos="8505"/>
              </w:tabs>
              <w:jc w:val="both"/>
              <w:rPr>
                <w:rFonts w:ascii="Times New Roman" w:hAnsi="Times New Roman" w:cs="Times New Roman"/>
                <w:i/>
                <w:iCs/>
                <w:sz w:val="20"/>
                <w:szCs w:val="20"/>
                <w:lang w:val="ro-RO"/>
              </w:rPr>
            </w:pPr>
          </w:p>
        </w:tc>
      </w:tr>
      <w:tr w:rsidR="005F53EF" w:rsidRPr="00760BD0" w14:paraId="11C3122D" w14:textId="77777777" w:rsidTr="00A919EA">
        <w:tc>
          <w:tcPr>
            <w:tcW w:w="3397" w:type="dxa"/>
          </w:tcPr>
          <w:p w14:paraId="0A591371" w14:textId="12C4674C" w:rsidR="00311701" w:rsidRPr="00311701" w:rsidRDefault="00311701" w:rsidP="00311701">
            <w:pPr>
              <w:tabs>
                <w:tab w:val="left" w:pos="8505"/>
              </w:tabs>
              <w:jc w:val="both"/>
              <w:rPr>
                <w:rFonts w:ascii="Times New Roman" w:hAnsi="Times New Roman" w:cs="Times New Roman"/>
                <w:sz w:val="20"/>
                <w:szCs w:val="20"/>
                <w:lang w:val="ro-RO"/>
              </w:rPr>
            </w:pPr>
            <w:r w:rsidRPr="00311701">
              <w:rPr>
                <w:rFonts w:ascii="Times New Roman" w:hAnsi="Times New Roman" w:cs="Times New Roman"/>
                <w:b/>
                <w:sz w:val="20"/>
                <w:szCs w:val="20"/>
                <w:lang w:val="ro-RO"/>
              </w:rPr>
              <w:t>1.22.</w:t>
            </w:r>
            <w:r>
              <w:rPr>
                <w:rFonts w:ascii="Times New Roman" w:hAnsi="Times New Roman" w:cs="Times New Roman"/>
                <w:sz w:val="20"/>
                <w:szCs w:val="20"/>
                <w:lang w:val="ro-RO"/>
              </w:rPr>
              <w:t xml:space="preserve"> </w:t>
            </w:r>
            <w:r w:rsidRPr="00311701">
              <w:rPr>
                <w:rFonts w:ascii="Times New Roman" w:hAnsi="Times New Roman" w:cs="Times New Roman"/>
                <w:sz w:val="20"/>
                <w:szCs w:val="20"/>
                <w:lang w:val="ro-RO"/>
              </w:rPr>
              <w:t>Se introduce punctul 50</w:t>
            </w:r>
            <w:r>
              <w:rPr>
                <w:rFonts w:ascii="Times New Roman" w:hAnsi="Times New Roman" w:cs="Times New Roman"/>
                <w:sz w:val="20"/>
                <w:szCs w:val="20"/>
                <w:vertAlign w:val="superscript"/>
                <w:lang w:val="ro-RO"/>
              </w:rPr>
              <w:t>1</w:t>
            </w:r>
            <w:r w:rsidRPr="00311701">
              <w:rPr>
                <w:rFonts w:ascii="Times New Roman" w:hAnsi="Times New Roman" w:cs="Times New Roman"/>
                <w:sz w:val="20"/>
                <w:szCs w:val="20"/>
                <w:lang w:val="ro-RO"/>
              </w:rPr>
              <w:t>, cu următorul cuprins:</w:t>
            </w:r>
          </w:p>
          <w:p w14:paraId="0FDC5BB2" w14:textId="0E6D661D" w:rsidR="005F53EF" w:rsidRDefault="00311701" w:rsidP="00311701">
            <w:pPr>
              <w:tabs>
                <w:tab w:val="left" w:pos="8505"/>
              </w:tabs>
              <w:jc w:val="both"/>
              <w:rPr>
                <w:rFonts w:ascii="Times New Roman" w:hAnsi="Times New Roman" w:cs="Times New Roman"/>
                <w:sz w:val="20"/>
                <w:szCs w:val="20"/>
                <w:lang w:val="ro-RO"/>
              </w:rPr>
            </w:pPr>
            <w:r w:rsidRPr="00311701">
              <w:rPr>
                <w:rFonts w:ascii="Times New Roman" w:hAnsi="Times New Roman" w:cs="Times New Roman"/>
                <w:sz w:val="20"/>
                <w:szCs w:val="20"/>
                <w:lang w:val="ro-RO"/>
              </w:rPr>
              <w:t>„50</w:t>
            </w:r>
            <w:r>
              <w:rPr>
                <w:rFonts w:ascii="Times New Roman" w:hAnsi="Times New Roman" w:cs="Times New Roman"/>
                <w:sz w:val="20"/>
                <w:szCs w:val="20"/>
                <w:vertAlign w:val="superscript"/>
                <w:lang w:val="ro-RO"/>
              </w:rPr>
              <w:t>1</w:t>
            </w:r>
            <w:r w:rsidRPr="00311701">
              <w:rPr>
                <w:rFonts w:ascii="Times New Roman" w:hAnsi="Times New Roman" w:cs="Times New Roman"/>
                <w:sz w:val="20"/>
                <w:szCs w:val="20"/>
                <w:lang w:val="ro-RO"/>
              </w:rPr>
              <w:t>. Autoritatea/entitatea contractantă poate solicita garanția pentru ofertă și garanția de bună execuție a contractului. În anunțul de participare aceasta va indica, după caz, pentru fiecare garanție, cerințele față de emitent, forma, cuantumul și alte condiții de bază ale garanției pentru ofertă, precum și cerințele față de operatorul economic care depune garanția pentru ofertă și/sau garanția de bună execuție a contractului.”.</w:t>
            </w:r>
          </w:p>
        </w:tc>
        <w:tc>
          <w:tcPr>
            <w:tcW w:w="2977" w:type="dxa"/>
          </w:tcPr>
          <w:p w14:paraId="13B680D3" w14:textId="77777777" w:rsidR="005F53EF" w:rsidRPr="00863A23" w:rsidRDefault="005F53EF" w:rsidP="005F53EF">
            <w:pPr>
              <w:tabs>
                <w:tab w:val="left" w:pos="8505"/>
              </w:tabs>
              <w:jc w:val="center"/>
              <w:rPr>
                <w:rFonts w:ascii="Times New Roman" w:hAnsi="Times New Roman" w:cs="Times New Roman"/>
                <w:b/>
                <w:sz w:val="20"/>
                <w:szCs w:val="20"/>
                <w:lang w:val="ro-RO"/>
              </w:rPr>
            </w:pPr>
          </w:p>
        </w:tc>
        <w:tc>
          <w:tcPr>
            <w:tcW w:w="533" w:type="dxa"/>
          </w:tcPr>
          <w:p w14:paraId="5B78EB3A" w14:textId="45DA4980" w:rsidR="005F53EF" w:rsidRDefault="005F53EF" w:rsidP="005F53E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6A6A772A" w14:textId="2EAB65B6" w:rsidR="00A208FC" w:rsidRPr="00863A23" w:rsidRDefault="00A208FC" w:rsidP="00A208FC">
            <w:pPr>
              <w:tabs>
                <w:tab w:val="left" w:pos="8505"/>
              </w:tabs>
              <w:jc w:val="both"/>
              <w:rPr>
                <w:rFonts w:ascii="Times New Roman" w:hAnsi="Times New Roman" w:cs="Times New Roman"/>
                <w:bCs/>
                <w:iCs/>
                <w:sz w:val="20"/>
                <w:szCs w:val="20"/>
                <w:lang w:val="ro-RO"/>
              </w:rPr>
            </w:pPr>
            <w:r w:rsidRPr="00863A23">
              <w:rPr>
                <w:rFonts w:ascii="Times New Roman" w:hAnsi="Times New Roman" w:cs="Times New Roman"/>
                <w:bCs/>
                <w:iCs/>
                <w:sz w:val="20"/>
                <w:szCs w:val="20"/>
                <w:lang w:val="ro-RO"/>
              </w:rPr>
              <w:t>Conform subpunctului 1.22 din proiect, Regulamentul cu privire la achizițiile publice de valoare mică, aprobat prin Hotărârea Guvernului nr. 870/2022, va fi completat cu punctul 50</w:t>
            </w:r>
            <w:r w:rsidR="00311701" w:rsidRPr="00863A23">
              <w:rPr>
                <w:rFonts w:ascii="Times New Roman" w:hAnsi="Times New Roman" w:cs="Times New Roman"/>
                <w:bCs/>
                <w:iCs/>
                <w:sz w:val="20"/>
                <w:szCs w:val="20"/>
                <w:vertAlign w:val="superscript"/>
                <w:lang w:val="ro-RO"/>
              </w:rPr>
              <w:t>1</w:t>
            </w:r>
            <w:r w:rsidRPr="00863A23">
              <w:rPr>
                <w:rFonts w:ascii="Times New Roman" w:hAnsi="Times New Roman" w:cs="Times New Roman"/>
                <w:bCs/>
                <w:iCs/>
                <w:sz w:val="20"/>
                <w:szCs w:val="20"/>
                <w:lang w:val="ro-RO"/>
              </w:rPr>
              <w:t xml:space="preserve"> care va permite autorității contractante să solicite garanția pentru ofertă și garanția de bună execuție a contractului.</w:t>
            </w:r>
          </w:p>
          <w:p w14:paraId="116A70A9" w14:textId="77777777" w:rsidR="00A208FC" w:rsidRPr="00863A23" w:rsidRDefault="00A208FC" w:rsidP="00A208FC">
            <w:pPr>
              <w:tabs>
                <w:tab w:val="left" w:pos="8505"/>
              </w:tabs>
              <w:jc w:val="both"/>
              <w:rPr>
                <w:rFonts w:ascii="Times New Roman" w:hAnsi="Times New Roman" w:cs="Times New Roman"/>
                <w:bCs/>
                <w:iCs/>
                <w:sz w:val="20"/>
                <w:szCs w:val="20"/>
                <w:lang w:val="it-IT"/>
              </w:rPr>
            </w:pPr>
            <w:r w:rsidRPr="00863A23">
              <w:rPr>
                <w:rFonts w:ascii="Times New Roman" w:hAnsi="Times New Roman" w:cs="Times New Roman"/>
                <w:bCs/>
                <w:iCs/>
                <w:sz w:val="20"/>
                <w:szCs w:val="20"/>
                <w:lang w:val="it-IT"/>
              </w:rPr>
              <w:t>Permisiunea de a solicita garanții de ofertă și de bună execuție este lăsată la</w:t>
            </w:r>
          </w:p>
          <w:p w14:paraId="4550BEBB" w14:textId="3B9811DA" w:rsidR="00A208FC" w:rsidRPr="00863A23" w:rsidRDefault="00A208FC" w:rsidP="00A208FC">
            <w:pPr>
              <w:tabs>
                <w:tab w:val="left" w:pos="8505"/>
              </w:tabs>
              <w:jc w:val="both"/>
              <w:rPr>
                <w:rFonts w:ascii="Times New Roman" w:hAnsi="Times New Roman" w:cs="Times New Roman"/>
                <w:bCs/>
                <w:iCs/>
                <w:sz w:val="20"/>
                <w:szCs w:val="20"/>
                <w:lang w:val="it-IT"/>
              </w:rPr>
            </w:pPr>
            <w:r w:rsidRPr="00863A23">
              <w:rPr>
                <w:rFonts w:ascii="Times New Roman" w:hAnsi="Times New Roman" w:cs="Times New Roman"/>
                <w:bCs/>
                <w:iCs/>
                <w:sz w:val="20"/>
                <w:szCs w:val="20"/>
                <w:lang w:val="it-IT"/>
              </w:rPr>
              <w:t>discreția autorității contractante. Deși acest lucru oferă flexibilitate, impunerea nejustificată a acestor garanții poate îngrădi accesul IMM-urilor și al ofertanților mici, reducând astfel competitivitatea, contrar principiilor transparenței și egalității de tratament prevăzute în art. 17 din Legea nr. 325/2025 privind achizițiile publice.</w:t>
            </w:r>
          </w:p>
          <w:p w14:paraId="48E50256" w14:textId="3A15D2BD" w:rsidR="005F53EF" w:rsidRDefault="00A208FC" w:rsidP="00F612A2">
            <w:pPr>
              <w:tabs>
                <w:tab w:val="left" w:pos="8505"/>
              </w:tabs>
              <w:jc w:val="both"/>
              <w:rPr>
                <w:rFonts w:ascii="Times New Roman" w:hAnsi="Times New Roman" w:cs="Times New Roman"/>
                <w:bCs/>
                <w:iCs/>
                <w:sz w:val="20"/>
                <w:szCs w:val="20"/>
                <w:lang w:val="ro-RO"/>
              </w:rPr>
            </w:pPr>
            <w:r w:rsidRPr="00863A23">
              <w:rPr>
                <w:rFonts w:ascii="Times New Roman" w:hAnsi="Times New Roman" w:cs="Times New Roman"/>
                <w:bCs/>
                <w:iCs/>
                <w:sz w:val="20"/>
                <w:szCs w:val="20"/>
                <w:lang w:val="it-IT"/>
              </w:rPr>
              <w:t xml:space="preserve">Legea nr. 325/2025 privind achizițiile publice prevede principiile proporționalității și nediscriminării, iar garanțiile trebuie să fie justificate în raport cu valoarea și complexitatea achiziției. În lipsa unor criterii clare, lăsarea la discreția autorităților contractate a dreptului de a decide dacă solicită garanții de ofertă și de bună execuție a contractului poate descuraja participarea ofertanților eligibili, întrucât aplicarea discreționară poate </w:t>
            </w:r>
            <w:r w:rsidRPr="00863A23">
              <w:rPr>
                <w:rFonts w:ascii="Times New Roman" w:hAnsi="Times New Roman" w:cs="Times New Roman"/>
                <w:bCs/>
                <w:iCs/>
                <w:sz w:val="20"/>
                <w:szCs w:val="20"/>
                <w:lang w:val="it-IT"/>
              </w:rPr>
              <w:lastRenderedPageBreak/>
              <w:t>favoriza unii ofertanți în detrimentul altora. În context,</w:t>
            </w:r>
            <w:r w:rsidR="00F612A2" w:rsidRPr="00863A23">
              <w:rPr>
                <w:rFonts w:ascii="Times New Roman" w:hAnsi="Times New Roman" w:cs="Times New Roman"/>
                <w:bCs/>
                <w:iCs/>
                <w:sz w:val="20"/>
                <w:szCs w:val="20"/>
                <w:lang w:val="it-IT"/>
              </w:rPr>
              <w:t xml:space="preserve"> </w:t>
            </w:r>
            <w:r w:rsidRPr="00863A23">
              <w:rPr>
                <w:rFonts w:ascii="Times New Roman" w:hAnsi="Times New Roman" w:cs="Times New Roman"/>
                <w:bCs/>
                <w:iCs/>
                <w:sz w:val="20"/>
                <w:szCs w:val="20"/>
                <w:lang w:val="it-IT"/>
              </w:rPr>
              <w:t>recomandăm introducerea unor criterii clare sau praguri minime pentru solicitarea</w:t>
            </w:r>
            <w:r w:rsidR="00F612A2" w:rsidRPr="00863A23">
              <w:rPr>
                <w:rFonts w:ascii="Times New Roman" w:hAnsi="Times New Roman" w:cs="Times New Roman"/>
                <w:bCs/>
                <w:iCs/>
                <w:sz w:val="20"/>
                <w:szCs w:val="20"/>
                <w:lang w:val="it-IT"/>
              </w:rPr>
              <w:t xml:space="preserve"> </w:t>
            </w:r>
            <w:r w:rsidRPr="00863A23">
              <w:rPr>
                <w:rFonts w:ascii="Times New Roman" w:hAnsi="Times New Roman" w:cs="Times New Roman"/>
                <w:bCs/>
                <w:iCs/>
                <w:sz w:val="20"/>
                <w:szCs w:val="20"/>
                <w:lang w:val="it-IT"/>
              </w:rPr>
              <w:t>garanțiilor, astfel încât acestea să fie aplicabile doar acolo unde sunt efectiv necesare</w:t>
            </w:r>
            <w:r w:rsidR="00F612A2" w:rsidRPr="00863A23">
              <w:rPr>
                <w:rFonts w:ascii="Times New Roman" w:hAnsi="Times New Roman" w:cs="Times New Roman"/>
                <w:bCs/>
                <w:iCs/>
                <w:sz w:val="20"/>
                <w:szCs w:val="20"/>
                <w:lang w:val="it-IT"/>
              </w:rPr>
              <w:t xml:space="preserve"> </w:t>
            </w:r>
            <w:r w:rsidRPr="00863A23">
              <w:rPr>
                <w:rFonts w:ascii="Times New Roman" w:hAnsi="Times New Roman" w:cs="Times New Roman"/>
                <w:bCs/>
                <w:iCs/>
                <w:sz w:val="20"/>
                <w:szCs w:val="20"/>
                <w:lang w:val="it-IT"/>
              </w:rPr>
              <w:t>și să nu descurajeze participarea rapidă și competitivă la achizițiile de valoare mică.</w:t>
            </w:r>
          </w:p>
        </w:tc>
        <w:tc>
          <w:tcPr>
            <w:tcW w:w="3436" w:type="dxa"/>
          </w:tcPr>
          <w:p w14:paraId="286E2E2A" w14:textId="77777777" w:rsidR="005F53EF" w:rsidRPr="00CE6313" w:rsidRDefault="00CE6313" w:rsidP="005F53EF">
            <w:pPr>
              <w:tabs>
                <w:tab w:val="left" w:pos="8505"/>
              </w:tabs>
              <w:jc w:val="both"/>
              <w:rPr>
                <w:rFonts w:ascii="Times New Roman" w:hAnsi="Times New Roman" w:cs="Times New Roman"/>
                <w:b/>
                <w:iCs/>
                <w:sz w:val="20"/>
                <w:szCs w:val="20"/>
                <w:lang w:val="ro-RO"/>
              </w:rPr>
            </w:pPr>
            <w:r w:rsidRPr="00CE6313">
              <w:rPr>
                <w:rFonts w:ascii="Times New Roman" w:hAnsi="Times New Roman" w:cs="Times New Roman"/>
                <w:b/>
                <w:iCs/>
                <w:sz w:val="20"/>
                <w:szCs w:val="20"/>
                <w:lang w:val="ro-RO"/>
              </w:rPr>
              <w:lastRenderedPageBreak/>
              <w:t>Se acceptă</w:t>
            </w:r>
          </w:p>
          <w:p w14:paraId="2F6D3E06" w14:textId="77777777" w:rsidR="00CE6313" w:rsidRDefault="005D5D74" w:rsidP="005F53EF">
            <w:pPr>
              <w:tabs>
                <w:tab w:val="left" w:pos="8505"/>
              </w:tabs>
              <w:jc w:val="both"/>
              <w:rPr>
                <w:rFonts w:ascii="Times New Roman" w:hAnsi="Times New Roman" w:cs="Times New Roman"/>
                <w:iCs/>
                <w:sz w:val="20"/>
                <w:szCs w:val="20"/>
                <w:lang w:val="ro-RO"/>
              </w:rPr>
            </w:pPr>
            <w:r>
              <w:rPr>
                <w:rFonts w:ascii="Times New Roman" w:hAnsi="Times New Roman" w:cs="Times New Roman"/>
                <w:iCs/>
                <w:sz w:val="20"/>
                <w:szCs w:val="20"/>
                <w:lang w:val="ro-RO"/>
              </w:rPr>
              <w:t>Pct. 50</w:t>
            </w:r>
            <w:r>
              <w:rPr>
                <w:rFonts w:ascii="Times New Roman" w:hAnsi="Times New Roman" w:cs="Times New Roman"/>
                <w:iCs/>
                <w:sz w:val="20"/>
                <w:szCs w:val="20"/>
                <w:vertAlign w:val="superscript"/>
                <w:lang w:val="ro-RO"/>
              </w:rPr>
              <w:t xml:space="preserve">1 </w:t>
            </w:r>
            <w:r>
              <w:rPr>
                <w:rFonts w:ascii="Times New Roman" w:hAnsi="Times New Roman" w:cs="Times New Roman"/>
                <w:iCs/>
                <w:sz w:val="20"/>
                <w:szCs w:val="20"/>
                <w:lang w:val="ro-RO"/>
              </w:rPr>
              <w:t>a fost modificat după cum urmează:</w:t>
            </w:r>
          </w:p>
          <w:p w14:paraId="3FE451B1" w14:textId="758D438C" w:rsidR="005D5D74" w:rsidRPr="005D5D74" w:rsidRDefault="005D5D74" w:rsidP="005D5D74">
            <w:pPr>
              <w:tabs>
                <w:tab w:val="left" w:pos="8505"/>
              </w:tabs>
              <w:jc w:val="both"/>
              <w:rPr>
                <w:rFonts w:ascii="Times New Roman" w:hAnsi="Times New Roman" w:cs="Times New Roman"/>
                <w:iCs/>
                <w:sz w:val="20"/>
                <w:szCs w:val="20"/>
                <w:lang w:val="ro-MD"/>
              </w:rPr>
            </w:pPr>
            <w:r>
              <w:rPr>
                <w:rFonts w:ascii="Times New Roman" w:hAnsi="Times New Roman" w:cs="Times New Roman"/>
                <w:iCs/>
                <w:sz w:val="20"/>
                <w:szCs w:val="20"/>
                <w:lang w:val="ro-RO"/>
              </w:rPr>
              <w:t>„</w:t>
            </w:r>
            <w:r w:rsidRPr="005D5D74">
              <w:rPr>
                <w:rFonts w:ascii="Times New Roman" w:hAnsi="Times New Roman" w:cs="Times New Roman"/>
                <w:iCs/>
                <w:sz w:val="20"/>
                <w:szCs w:val="20"/>
                <w:lang w:val="ro-MD"/>
              </w:rPr>
              <w:t>50</w:t>
            </w:r>
            <w:r w:rsidRPr="005D5D74">
              <w:rPr>
                <w:rFonts w:ascii="Times New Roman" w:hAnsi="Times New Roman" w:cs="Times New Roman"/>
                <w:iCs/>
                <w:sz w:val="20"/>
                <w:szCs w:val="20"/>
                <w:vertAlign w:val="superscript"/>
                <w:lang w:val="ro-MD"/>
              </w:rPr>
              <w:t>1</w:t>
            </w:r>
            <w:r w:rsidRPr="005D5D74">
              <w:rPr>
                <w:rFonts w:ascii="Times New Roman" w:hAnsi="Times New Roman" w:cs="Times New Roman"/>
                <w:iCs/>
                <w:sz w:val="20"/>
                <w:szCs w:val="20"/>
                <w:lang w:val="ro-MD"/>
              </w:rPr>
              <w:t xml:space="preserve">. </w:t>
            </w:r>
            <w:r w:rsidRPr="005D5D74">
              <w:rPr>
                <w:rFonts w:ascii="Times New Roman" w:hAnsi="Times New Roman" w:cs="Times New Roman"/>
                <w:iCs/>
                <w:sz w:val="20"/>
                <w:szCs w:val="20"/>
                <w:lang w:val="ro-RO"/>
              </w:rPr>
              <w:t xml:space="preserve">Autoritatea contractantă, în cazul achizițiilor de valoare mică a căror valoare </w:t>
            </w:r>
            <w:r w:rsidRPr="005D5D74">
              <w:rPr>
                <w:rFonts w:ascii="Times New Roman" w:hAnsi="Times New Roman" w:cs="Times New Roman"/>
                <w:iCs/>
                <w:sz w:val="20"/>
                <w:szCs w:val="20"/>
                <w:lang w:val="ro-MD"/>
              </w:rPr>
              <w:t xml:space="preserve">depășește </w:t>
            </w:r>
            <w:r w:rsidRPr="005D5D74">
              <w:rPr>
                <w:rFonts w:ascii="Times New Roman" w:hAnsi="Times New Roman" w:cs="Times New Roman"/>
                <w:iCs/>
                <w:sz w:val="20"/>
                <w:szCs w:val="20"/>
                <w:lang w:val="ro-RO"/>
              </w:rPr>
              <w:t>pragurile stabilite la pct. 7</w:t>
            </w:r>
            <w:r w:rsidRPr="005D5D74">
              <w:rPr>
                <w:rFonts w:ascii="Times New Roman" w:hAnsi="Times New Roman" w:cs="Times New Roman"/>
                <w:iCs/>
                <w:sz w:val="20"/>
                <w:szCs w:val="20"/>
                <w:vertAlign w:val="superscript"/>
                <w:lang w:val="ro-RO"/>
              </w:rPr>
              <w:t>1</w:t>
            </w:r>
            <w:r w:rsidRPr="005D5D74">
              <w:rPr>
                <w:rFonts w:ascii="Times New Roman" w:hAnsi="Times New Roman" w:cs="Times New Roman"/>
                <w:iCs/>
                <w:sz w:val="20"/>
                <w:szCs w:val="20"/>
                <w:lang w:val="ro-MD"/>
              </w:rPr>
              <w:t>, poate solicita garanția pentru ofertă și garanția de bună execuție a contractului. În anunțul de participare aceasta va indica, după caz, pentru fiecare garanție, cerințele față de emitent, forma, cuantumul și alte condiții de bază ale garanției pentru ofertă, precum și cerințele față de operatorul economic care depune garanția pentru ofertă și/sau garanția de bună execuție a contractului.”.</w:t>
            </w:r>
          </w:p>
          <w:p w14:paraId="14977729" w14:textId="51C81BE1" w:rsidR="005D5D74" w:rsidRPr="005D5D74" w:rsidRDefault="005D5D74" w:rsidP="005F53EF">
            <w:pPr>
              <w:tabs>
                <w:tab w:val="left" w:pos="8505"/>
              </w:tabs>
              <w:jc w:val="both"/>
              <w:rPr>
                <w:rFonts w:ascii="Times New Roman" w:hAnsi="Times New Roman" w:cs="Times New Roman"/>
                <w:iCs/>
                <w:sz w:val="20"/>
                <w:szCs w:val="20"/>
                <w:lang w:val="ro-MD"/>
              </w:rPr>
            </w:pPr>
          </w:p>
        </w:tc>
      </w:tr>
      <w:tr w:rsidR="00B51C3C" w:rsidRPr="00760BD0" w14:paraId="5BBBDE93" w14:textId="77777777" w:rsidTr="00A919EA">
        <w:tc>
          <w:tcPr>
            <w:tcW w:w="3397" w:type="dxa"/>
          </w:tcPr>
          <w:p w14:paraId="40F3517E" w14:textId="77777777" w:rsidR="00B51C3C" w:rsidRPr="00311701" w:rsidRDefault="00B51C3C" w:rsidP="005F53EF">
            <w:pPr>
              <w:tabs>
                <w:tab w:val="left" w:pos="8505"/>
              </w:tabs>
              <w:jc w:val="both"/>
              <w:rPr>
                <w:rFonts w:ascii="Times New Roman" w:hAnsi="Times New Roman" w:cs="Times New Roman"/>
                <w:b/>
                <w:sz w:val="20"/>
                <w:szCs w:val="20"/>
                <w:lang w:val="ro-RO"/>
              </w:rPr>
            </w:pPr>
            <w:r w:rsidRPr="00311701">
              <w:rPr>
                <w:rFonts w:ascii="Times New Roman" w:hAnsi="Times New Roman" w:cs="Times New Roman"/>
                <w:b/>
                <w:sz w:val="20"/>
                <w:szCs w:val="20"/>
                <w:lang w:val="ro-RO"/>
              </w:rPr>
              <w:lastRenderedPageBreak/>
              <w:t>În contextul proiectului</w:t>
            </w:r>
          </w:p>
          <w:p w14:paraId="7A682FDF" w14:textId="21F06EAD" w:rsidR="00B51C3C" w:rsidRPr="00311701" w:rsidRDefault="00B51C3C" w:rsidP="00A416B0">
            <w:pPr>
              <w:tabs>
                <w:tab w:val="left" w:pos="8505"/>
              </w:tabs>
              <w:jc w:val="both"/>
              <w:rPr>
                <w:rFonts w:ascii="Times New Roman" w:hAnsi="Times New Roman" w:cs="Times New Roman"/>
                <w:b/>
                <w:sz w:val="20"/>
                <w:szCs w:val="20"/>
                <w:lang w:val="ro-RO"/>
              </w:rPr>
            </w:pPr>
          </w:p>
        </w:tc>
        <w:tc>
          <w:tcPr>
            <w:tcW w:w="2977" w:type="dxa"/>
          </w:tcPr>
          <w:p w14:paraId="0A017261" w14:textId="77777777" w:rsidR="00B51C3C" w:rsidRPr="005F53EF" w:rsidRDefault="00B51C3C" w:rsidP="005F53EF">
            <w:pPr>
              <w:tabs>
                <w:tab w:val="left" w:pos="8505"/>
              </w:tabs>
              <w:jc w:val="center"/>
              <w:rPr>
                <w:rFonts w:ascii="Times New Roman" w:hAnsi="Times New Roman" w:cs="Times New Roman"/>
                <w:b/>
                <w:sz w:val="20"/>
                <w:szCs w:val="20"/>
              </w:rPr>
            </w:pPr>
          </w:p>
        </w:tc>
        <w:tc>
          <w:tcPr>
            <w:tcW w:w="533" w:type="dxa"/>
          </w:tcPr>
          <w:p w14:paraId="37DFCB7F" w14:textId="77777777" w:rsidR="00B51C3C" w:rsidRDefault="00B51C3C" w:rsidP="005F53E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p w14:paraId="748DAA28" w14:textId="28B482B6" w:rsidR="00B51C3C" w:rsidRDefault="00B51C3C" w:rsidP="00A416B0">
            <w:pPr>
              <w:tabs>
                <w:tab w:val="left" w:pos="8505"/>
              </w:tabs>
              <w:jc w:val="center"/>
              <w:rPr>
                <w:rFonts w:ascii="Times New Roman" w:hAnsi="Times New Roman" w:cs="Times New Roman"/>
                <w:b/>
                <w:sz w:val="20"/>
                <w:szCs w:val="20"/>
                <w:lang w:val="ro-RO"/>
              </w:rPr>
            </w:pPr>
          </w:p>
        </w:tc>
        <w:tc>
          <w:tcPr>
            <w:tcW w:w="3402" w:type="dxa"/>
          </w:tcPr>
          <w:p w14:paraId="7210F426" w14:textId="77777777" w:rsidR="00B51C3C" w:rsidRPr="00863A23" w:rsidRDefault="00B51C3C" w:rsidP="00F612A2">
            <w:pPr>
              <w:tabs>
                <w:tab w:val="left" w:pos="8505"/>
              </w:tabs>
              <w:jc w:val="both"/>
              <w:rPr>
                <w:rFonts w:ascii="Times New Roman" w:hAnsi="Times New Roman" w:cs="Times New Roman"/>
                <w:bCs/>
                <w:iCs/>
                <w:sz w:val="20"/>
                <w:szCs w:val="20"/>
                <w:lang w:val="it-IT"/>
              </w:rPr>
            </w:pPr>
            <w:r w:rsidRPr="00863A23">
              <w:rPr>
                <w:rFonts w:ascii="Times New Roman" w:hAnsi="Times New Roman" w:cs="Times New Roman"/>
                <w:bCs/>
                <w:iCs/>
                <w:sz w:val="20"/>
                <w:szCs w:val="20"/>
                <w:lang w:val="it-IT"/>
              </w:rPr>
              <w:t>Potrivit proiectului, Regulamentul cu privire la achizițiile publice de valoare</w:t>
            </w:r>
          </w:p>
          <w:p w14:paraId="335C96E5" w14:textId="3A0D491D" w:rsidR="00B51C3C" w:rsidRPr="00863A23" w:rsidRDefault="00B51C3C" w:rsidP="00F612A2">
            <w:pPr>
              <w:tabs>
                <w:tab w:val="left" w:pos="8505"/>
              </w:tabs>
              <w:jc w:val="both"/>
              <w:rPr>
                <w:rFonts w:ascii="Times New Roman" w:hAnsi="Times New Roman" w:cs="Times New Roman"/>
                <w:bCs/>
                <w:iCs/>
                <w:sz w:val="20"/>
                <w:szCs w:val="20"/>
                <w:lang w:val="it-IT"/>
              </w:rPr>
            </w:pPr>
            <w:r w:rsidRPr="00863A23">
              <w:rPr>
                <w:rFonts w:ascii="Times New Roman" w:hAnsi="Times New Roman" w:cs="Times New Roman"/>
                <w:bCs/>
                <w:iCs/>
                <w:sz w:val="20"/>
                <w:szCs w:val="20"/>
                <w:lang w:val="it-IT"/>
              </w:rPr>
              <w:t>mică, aprobat prin Hotărârea Guvernului nr. 870/2022, urmează a fi completat cu un volum mare de documente, suplimentar față de ceea ce reglementează cadrul normativ actual și practica obișnuită pentru achiziții de valoare mică. Astfel, pe lângă documentele utile și justificate ca anunțul de participare, obligatoriu pentru transparență, precum și formularul de propunere tehnică și propunere financiară care sunt necesare pentru evaluarea ofertelor și compararea prețurilor și specificațiilor, apar unele documente problematice și excesive ca graficul de execuție a lucrărilor,</w:t>
            </w:r>
            <w:r w:rsidRPr="00863A23">
              <w:rPr>
                <w:rFonts w:ascii="Times New Roman" w:hAnsi="Times New Roman" w:cs="Times New Roman"/>
                <w:sz w:val="28"/>
                <w:szCs w:val="28"/>
                <w:lang w:val="it-IT"/>
              </w:rPr>
              <w:t xml:space="preserve"> </w:t>
            </w:r>
            <w:r w:rsidRPr="00863A23">
              <w:rPr>
                <w:rFonts w:ascii="Times New Roman" w:hAnsi="Times New Roman" w:cs="Times New Roman"/>
                <w:bCs/>
                <w:iCs/>
                <w:sz w:val="20"/>
                <w:szCs w:val="20"/>
                <w:lang w:val="it-IT"/>
              </w:rPr>
              <w:t>graficul de execuție a documentației de proiect, formularul de deviz unificat și graficul de mobilizare a muncitorilor. Achizițiile de valoare mică trebuie să fie rapide și flexibile. Formularele detaliate transformă procedura într-una aproape de licitațiile mari, crescând birocrația inutilă. Pentru majoritatea achizițiilor mici sunt suficiente bunurile și serviciile care respectă standardele tehnice. Graficele și devizele detaliate sunt necesare doar pentru proiecte mari. Cerințele excesive pot determina respingerea ofertelor corecte, dacă formularele sunt incomplete sau greu de completat.</w:t>
            </w:r>
          </w:p>
          <w:p w14:paraId="0215A19E" w14:textId="77777777" w:rsidR="00B51C3C" w:rsidRPr="00863A23" w:rsidRDefault="00B51C3C" w:rsidP="00F612A2">
            <w:pPr>
              <w:tabs>
                <w:tab w:val="left" w:pos="8505"/>
              </w:tabs>
              <w:jc w:val="both"/>
              <w:rPr>
                <w:rFonts w:ascii="Times New Roman" w:hAnsi="Times New Roman" w:cs="Times New Roman"/>
                <w:bCs/>
                <w:iCs/>
                <w:sz w:val="20"/>
                <w:szCs w:val="20"/>
                <w:lang w:val="it-IT"/>
              </w:rPr>
            </w:pPr>
            <w:r w:rsidRPr="00863A23">
              <w:rPr>
                <w:rFonts w:ascii="Times New Roman" w:hAnsi="Times New Roman" w:cs="Times New Roman"/>
                <w:bCs/>
                <w:iCs/>
                <w:sz w:val="20"/>
                <w:szCs w:val="20"/>
                <w:lang w:val="it-IT"/>
              </w:rPr>
              <w:lastRenderedPageBreak/>
              <w:t>Considerăm că, aceste documente, nu sunt strict necesare în cadrul achizițiilor</w:t>
            </w:r>
          </w:p>
          <w:p w14:paraId="071C125C" w14:textId="77777777" w:rsidR="00B51C3C" w:rsidRPr="00863A23" w:rsidRDefault="00B51C3C" w:rsidP="00F612A2">
            <w:pPr>
              <w:tabs>
                <w:tab w:val="left" w:pos="8505"/>
              </w:tabs>
              <w:jc w:val="both"/>
              <w:rPr>
                <w:rFonts w:ascii="Times New Roman" w:hAnsi="Times New Roman" w:cs="Times New Roman"/>
                <w:bCs/>
                <w:iCs/>
                <w:sz w:val="20"/>
                <w:szCs w:val="20"/>
                <w:lang w:val="it-IT"/>
              </w:rPr>
            </w:pPr>
            <w:r w:rsidRPr="00863A23">
              <w:rPr>
                <w:rFonts w:ascii="Times New Roman" w:hAnsi="Times New Roman" w:cs="Times New Roman"/>
                <w:bCs/>
                <w:iCs/>
                <w:sz w:val="20"/>
                <w:szCs w:val="20"/>
                <w:lang w:val="it-IT"/>
              </w:rPr>
              <w:t>de valoare mică și pot fi contra-productive. Se propune ca, în proiect, obligatorii să rămână doar anunțul de participare, propunerea tehnică, propunerea financiară și anunțul de atribuire. Alte documente (grafic, deviz, mobilizare) să fie opționale, la discreția autorității contractante, în funcție de specificul achiziției și complexitatea bunurilor sau serviciilor. Autoritățile trebuie să poată achiziționa rapid bunuri și servicii care respectă standardele tehnice, fără documentație inutilă care să încetinească procedura.</w:t>
            </w:r>
          </w:p>
          <w:p w14:paraId="5AF8FB82" w14:textId="77777777" w:rsidR="00B51C3C" w:rsidRPr="00863A23" w:rsidRDefault="00B51C3C" w:rsidP="00F612A2">
            <w:pPr>
              <w:tabs>
                <w:tab w:val="left" w:pos="8505"/>
              </w:tabs>
              <w:jc w:val="both"/>
              <w:rPr>
                <w:rFonts w:ascii="Times New Roman" w:hAnsi="Times New Roman" w:cs="Times New Roman"/>
                <w:bCs/>
                <w:iCs/>
                <w:sz w:val="20"/>
                <w:szCs w:val="20"/>
                <w:lang w:val="it-IT"/>
              </w:rPr>
            </w:pPr>
            <w:r w:rsidRPr="00863A23">
              <w:rPr>
                <w:rFonts w:ascii="Times New Roman" w:hAnsi="Times New Roman" w:cs="Times New Roman"/>
                <w:bCs/>
                <w:iCs/>
                <w:sz w:val="20"/>
                <w:szCs w:val="20"/>
                <w:lang w:val="it-IT"/>
              </w:rPr>
              <w:t>Conform notei de fundamentare, scopul declarat al formularelor standardizate este de a uniformiza documentația și de a facilita comparabilitatea ofertelor. Totuși, considerăm că impunerea acestora ca obligatorii pentru achizițiile de valoare mica generează efecte contrare: crește birocrația, încetinește procedura și poate reduce competitivitatea, descurajând participarea IMM-urilor sau a ofertanților mici.</w:t>
            </w:r>
          </w:p>
          <w:p w14:paraId="79C5C633" w14:textId="1CD58AE3" w:rsidR="00B51C3C" w:rsidRPr="00863A23" w:rsidRDefault="00B51C3C" w:rsidP="00A416B0">
            <w:pPr>
              <w:tabs>
                <w:tab w:val="left" w:pos="8505"/>
              </w:tabs>
              <w:jc w:val="both"/>
              <w:rPr>
                <w:rFonts w:ascii="Times New Roman" w:hAnsi="Times New Roman" w:cs="Times New Roman"/>
                <w:bCs/>
                <w:iCs/>
                <w:sz w:val="20"/>
                <w:szCs w:val="20"/>
                <w:lang w:val="it-IT"/>
              </w:rPr>
            </w:pPr>
            <w:r w:rsidRPr="00863A23">
              <w:rPr>
                <w:rFonts w:ascii="Times New Roman" w:hAnsi="Times New Roman" w:cs="Times New Roman"/>
                <w:bCs/>
                <w:iCs/>
                <w:sz w:val="20"/>
                <w:szCs w:val="20"/>
                <w:lang w:val="it-IT"/>
              </w:rPr>
              <w:t>Prin urmare, formularele suplimentare, precum graficele de execuție a lucrărilor sau devizele detaliate ar trebui să fie opționale, lăsând autorităților contractante libertatea de a le solicita doar acolo unde complexitatea achiziției o impune. Aceasta garantează atât respectarea standardelor tehnice, cât și menținerea accesului larg al ofertanților, conform principiilor de eficiență și proportionalitate în achizițiile publice.</w:t>
            </w:r>
          </w:p>
        </w:tc>
        <w:tc>
          <w:tcPr>
            <w:tcW w:w="3436" w:type="dxa"/>
          </w:tcPr>
          <w:p w14:paraId="7C27F655" w14:textId="77777777" w:rsidR="00D6238C" w:rsidRPr="00D6238C" w:rsidRDefault="00D6238C" w:rsidP="00D6238C">
            <w:pPr>
              <w:tabs>
                <w:tab w:val="left" w:pos="8505"/>
              </w:tabs>
              <w:jc w:val="both"/>
              <w:rPr>
                <w:rFonts w:ascii="Times New Roman" w:hAnsi="Times New Roman" w:cs="Times New Roman"/>
                <w:b/>
                <w:iCs/>
                <w:sz w:val="20"/>
                <w:szCs w:val="20"/>
                <w:lang w:val="ro-RO"/>
              </w:rPr>
            </w:pPr>
            <w:r w:rsidRPr="00D6238C">
              <w:rPr>
                <w:rFonts w:ascii="Times New Roman" w:hAnsi="Times New Roman" w:cs="Times New Roman"/>
                <w:b/>
                <w:iCs/>
                <w:sz w:val="20"/>
                <w:szCs w:val="20"/>
                <w:lang w:val="ro-RO"/>
              </w:rPr>
              <w:lastRenderedPageBreak/>
              <w:t>Nu se acceptă</w:t>
            </w:r>
          </w:p>
          <w:p w14:paraId="33519487" w14:textId="242226C6" w:rsidR="00B51C3C" w:rsidRPr="005D5D74" w:rsidRDefault="00D6238C" w:rsidP="00D6238C">
            <w:pPr>
              <w:tabs>
                <w:tab w:val="left" w:pos="8505"/>
              </w:tabs>
              <w:jc w:val="both"/>
              <w:rPr>
                <w:rFonts w:ascii="Times New Roman" w:hAnsi="Times New Roman" w:cs="Times New Roman"/>
                <w:iCs/>
                <w:sz w:val="20"/>
                <w:szCs w:val="20"/>
                <w:lang w:val="ro-RO"/>
              </w:rPr>
            </w:pPr>
            <w:r w:rsidRPr="00D6238C">
              <w:rPr>
                <w:rFonts w:ascii="Times New Roman" w:hAnsi="Times New Roman" w:cs="Times New Roman"/>
                <w:iCs/>
                <w:sz w:val="20"/>
                <w:szCs w:val="20"/>
                <w:lang w:val="ro-RO"/>
              </w:rPr>
              <w:t>Propunerea contravine prevederilor  Ordinului ministrului finanțelor nr. 115/2021 cu privire la aprobarea Documentaţiei standard pentru realizarea achiziţiilor publice de bunuri şi servicii, cât și, Ordinului ministrului finanțelor nr. 69/2021 cu privire la aprobarea Documentaţiei standard pentru realizarea achiziţiilor publice de lucrări, care aprobă Documentațiile standard cu un set de anexe obligatorii, instrumente indispensabile pentru asigurarea uniformității, transparenței, comparabilității ofertelor și auditabilității procedurilor. Facilitatea de simplificare reglementată se referă exclusiv la adaptarea conținutului formularelor în funcție de complexitatea achiziției, nu la eliminarea documentelor esențiale. Pentru achizițiile de valoare mică ce depășesc pragurile stabilite la pct. 7</w:t>
            </w:r>
            <w:r w:rsidRPr="00D6238C">
              <w:rPr>
                <w:rFonts w:ascii="Times New Roman" w:hAnsi="Times New Roman" w:cs="Times New Roman"/>
                <w:iCs/>
                <w:sz w:val="20"/>
                <w:szCs w:val="20"/>
                <w:vertAlign w:val="superscript"/>
                <w:lang w:val="ro-RO"/>
              </w:rPr>
              <w:t>1</w:t>
            </w:r>
            <w:r w:rsidRPr="00D6238C">
              <w:rPr>
                <w:rFonts w:ascii="Times New Roman" w:hAnsi="Times New Roman" w:cs="Times New Roman"/>
                <w:iCs/>
                <w:sz w:val="20"/>
                <w:szCs w:val="20"/>
                <w:lang w:val="ro-RO"/>
              </w:rPr>
              <w:t xml:space="preserve">, complexitatea și riscurile financiare impun menținerea formularelor standard pentru a garanta evaluarea obiectivă, gestionarea eficientă a riscurilor și prevenirea litigiilor. Renunțarea la aceste cerințe ar genera discrepanțe în prezentarea ofertelor, ar îngreuna activitatea de evaluare și ar crește riscul de subiectivism. Autoritățile contractante au dreptul de a adapta conținutul formularelor la specificul </w:t>
            </w:r>
            <w:r w:rsidRPr="00D6238C">
              <w:rPr>
                <w:rFonts w:ascii="Times New Roman" w:hAnsi="Times New Roman" w:cs="Times New Roman"/>
                <w:iCs/>
                <w:sz w:val="20"/>
                <w:szCs w:val="20"/>
                <w:lang w:val="ro-RO"/>
              </w:rPr>
              <w:lastRenderedPageBreak/>
              <w:t>procedurii, însă structura documentației trebuie să respecte standardele normative pentru a proteja concurența și fondurile publice.</w:t>
            </w:r>
          </w:p>
        </w:tc>
      </w:tr>
      <w:tr w:rsidR="00F612A2" w:rsidRPr="00F612A2" w14:paraId="4DAF89E3" w14:textId="77777777" w:rsidTr="00A919EA">
        <w:tc>
          <w:tcPr>
            <w:tcW w:w="3397" w:type="dxa"/>
          </w:tcPr>
          <w:p w14:paraId="34D8AD03" w14:textId="2C705F27" w:rsidR="00F612A2" w:rsidRDefault="00311701" w:rsidP="005F53EF">
            <w:pPr>
              <w:tabs>
                <w:tab w:val="left" w:pos="8505"/>
              </w:tabs>
              <w:jc w:val="both"/>
              <w:rPr>
                <w:rFonts w:ascii="Times New Roman" w:hAnsi="Times New Roman" w:cs="Times New Roman"/>
                <w:sz w:val="20"/>
                <w:szCs w:val="20"/>
                <w:lang w:val="ro-RO"/>
              </w:rPr>
            </w:pPr>
            <w:r w:rsidRPr="00311701">
              <w:rPr>
                <w:rFonts w:ascii="Times New Roman" w:hAnsi="Times New Roman" w:cs="Times New Roman"/>
                <w:b/>
                <w:sz w:val="20"/>
                <w:szCs w:val="20"/>
                <w:lang w:val="ro-RO"/>
              </w:rPr>
              <w:lastRenderedPageBreak/>
              <w:t>În contextul proiectului</w:t>
            </w:r>
          </w:p>
        </w:tc>
        <w:tc>
          <w:tcPr>
            <w:tcW w:w="2977" w:type="dxa"/>
          </w:tcPr>
          <w:p w14:paraId="7772113F" w14:textId="77777777" w:rsidR="00F612A2" w:rsidRPr="005F53EF" w:rsidRDefault="00F612A2" w:rsidP="005F53EF">
            <w:pPr>
              <w:tabs>
                <w:tab w:val="left" w:pos="8505"/>
              </w:tabs>
              <w:jc w:val="center"/>
              <w:rPr>
                <w:rFonts w:ascii="Times New Roman" w:hAnsi="Times New Roman" w:cs="Times New Roman"/>
                <w:b/>
                <w:sz w:val="20"/>
                <w:szCs w:val="20"/>
              </w:rPr>
            </w:pPr>
          </w:p>
        </w:tc>
        <w:tc>
          <w:tcPr>
            <w:tcW w:w="533" w:type="dxa"/>
          </w:tcPr>
          <w:p w14:paraId="6E0C90D3" w14:textId="64BF9EB0" w:rsidR="00F612A2" w:rsidRDefault="00B51C3C" w:rsidP="005F53E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731CE111" w14:textId="15DC478B" w:rsidR="00F612A2" w:rsidRPr="00863A23" w:rsidRDefault="00F612A2" w:rsidP="00F612A2">
            <w:pPr>
              <w:tabs>
                <w:tab w:val="left" w:pos="8505"/>
              </w:tabs>
              <w:jc w:val="both"/>
              <w:rPr>
                <w:rFonts w:ascii="Times New Roman" w:hAnsi="Times New Roman" w:cs="Times New Roman"/>
                <w:bCs/>
                <w:iCs/>
                <w:sz w:val="20"/>
                <w:szCs w:val="20"/>
                <w:lang w:val="it-IT"/>
              </w:rPr>
            </w:pPr>
            <w:r w:rsidRPr="00863A23">
              <w:rPr>
                <w:rFonts w:ascii="Times New Roman" w:hAnsi="Times New Roman" w:cs="Times New Roman"/>
                <w:bCs/>
                <w:iCs/>
                <w:sz w:val="20"/>
                <w:szCs w:val="20"/>
                <w:lang w:val="it-IT"/>
              </w:rPr>
              <w:t xml:space="preserve">În contextul celor notate, Agenția Geodezie, Cartografie și Cadastru susține proiectul, cu rezerva luării în </w:t>
            </w:r>
            <w:r w:rsidRPr="00863A23">
              <w:rPr>
                <w:rFonts w:ascii="Times New Roman" w:hAnsi="Times New Roman" w:cs="Times New Roman"/>
                <w:bCs/>
                <w:iCs/>
                <w:sz w:val="20"/>
                <w:szCs w:val="20"/>
                <w:lang w:val="it-IT"/>
              </w:rPr>
              <w:lastRenderedPageBreak/>
              <w:t>considerare a propunerilor formulate în prezentul aviz.</w:t>
            </w:r>
          </w:p>
        </w:tc>
        <w:tc>
          <w:tcPr>
            <w:tcW w:w="3436" w:type="dxa"/>
          </w:tcPr>
          <w:p w14:paraId="35F3311A" w14:textId="000966F5" w:rsidR="00F612A2" w:rsidRDefault="00F612A2" w:rsidP="005F53EF">
            <w:pPr>
              <w:tabs>
                <w:tab w:val="left" w:pos="8505"/>
              </w:tabs>
              <w:jc w:val="both"/>
              <w:rPr>
                <w:rFonts w:ascii="Times New Roman" w:hAnsi="Times New Roman" w:cs="Times New Roman"/>
                <w:i/>
                <w:iCs/>
                <w:sz w:val="20"/>
                <w:szCs w:val="20"/>
                <w:lang w:val="ro-RO"/>
              </w:rPr>
            </w:pPr>
            <w:r>
              <w:rPr>
                <w:rFonts w:ascii="Times New Roman" w:hAnsi="Times New Roman" w:cs="Times New Roman"/>
                <w:b/>
                <w:sz w:val="20"/>
                <w:szCs w:val="20"/>
                <w:lang w:val="ro-RO"/>
              </w:rPr>
              <w:lastRenderedPageBreak/>
              <w:t>Se ia act</w:t>
            </w:r>
          </w:p>
        </w:tc>
      </w:tr>
      <w:tr w:rsidR="005F53EF" w:rsidRPr="00760BD0" w14:paraId="67794A9A" w14:textId="77777777" w:rsidTr="00A919EA">
        <w:tc>
          <w:tcPr>
            <w:tcW w:w="3397" w:type="dxa"/>
          </w:tcPr>
          <w:p w14:paraId="459093D7" w14:textId="77777777" w:rsidR="005F53EF" w:rsidRDefault="005F53EF" w:rsidP="005F53EF">
            <w:pPr>
              <w:tabs>
                <w:tab w:val="left" w:pos="8505"/>
              </w:tabs>
              <w:jc w:val="both"/>
              <w:rPr>
                <w:rFonts w:ascii="Times New Roman" w:hAnsi="Times New Roman" w:cs="Times New Roman"/>
                <w:sz w:val="20"/>
                <w:szCs w:val="20"/>
                <w:lang w:val="ro-RO"/>
              </w:rPr>
            </w:pPr>
          </w:p>
        </w:tc>
        <w:tc>
          <w:tcPr>
            <w:tcW w:w="2977" w:type="dxa"/>
          </w:tcPr>
          <w:p w14:paraId="13D36DD2" w14:textId="2072FA1B" w:rsidR="00F612A2" w:rsidRPr="00863A23" w:rsidRDefault="00F612A2" w:rsidP="00F612A2">
            <w:pPr>
              <w:tabs>
                <w:tab w:val="left" w:pos="8505"/>
              </w:tabs>
              <w:jc w:val="center"/>
              <w:rPr>
                <w:rFonts w:ascii="Times New Roman" w:hAnsi="Times New Roman" w:cs="Times New Roman"/>
                <w:b/>
                <w:sz w:val="20"/>
                <w:szCs w:val="20"/>
                <w:lang w:val="it-IT"/>
              </w:rPr>
            </w:pPr>
            <w:r w:rsidRPr="00863A23">
              <w:rPr>
                <w:rFonts w:ascii="Times New Roman" w:hAnsi="Times New Roman" w:cs="Times New Roman"/>
                <w:b/>
                <w:sz w:val="20"/>
                <w:szCs w:val="20"/>
                <w:lang w:val="it-IT"/>
              </w:rPr>
              <w:t xml:space="preserve"> Ministerul Culturii </w:t>
            </w:r>
            <w:r w:rsidR="005F53EF" w:rsidRPr="005F53EF">
              <w:rPr>
                <w:rFonts w:ascii="Times New Roman" w:hAnsi="Times New Roman" w:cs="Times New Roman"/>
                <w:b/>
                <w:sz w:val="20"/>
                <w:szCs w:val="20"/>
                <w:lang w:val="ro-RO"/>
              </w:rPr>
              <w:t xml:space="preserve">(scrisoarea nr. </w:t>
            </w:r>
            <w:r w:rsidRPr="00863A23">
              <w:rPr>
                <w:rFonts w:ascii="Times New Roman" w:hAnsi="Times New Roman" w:cs="Times New Roman"/>
                <w:b/>
                <w:sz w:val="20"/>
                <w:szCs w:val="20"/>
                <w:lang w:val="it-IT"/>
              </w:rPr>
              <w:t xml:space="preserve">09-09/1141 </w:t>
            </w:r>
            <w:r w:rsidR="005F53EF" w:rsidRPr="00863A23">
              <w:rPr>
                <w:rFonts w:ascii="Times New Roman" w:hAnsi="Times New Roman" w:cs="Times New Roman"/>
                <w:b/>
                <w:sz w:val="20"/>
                <w:szCs w:val="20"/>
                <w:lang w:val="it-IT"/>
              </w:rPr>
              <w:t xml:space="preserve">din </w:t>
            </w:r>
            <w:r w:rsidRPr="00863A23">
              <w:rPr>
                <w:rFonts w:ascii="Times New Roman" w:hAnsi="Times New Roman" w:cs="Times New Roman"/>
                <w:color w:val="000000"/>
                <w:sz w:val="24"/>
                <w:szCs w:val="24"/>
                <w:lang w:val="it-IT"/>
              </w:rPr>
              <w:t xml:space="preserve"> </w:t>
            </w:r>
          </w:p>
          <w:p w14:paraId="5684890E" w14:textId="3128D22E" w:rsidR="005F53EF" w:rsidRPr="00863A23" w:rsidRDefault="00F612A2" w:rsidP="00F612A2">
            <w:pPr>
              <w:tabs>
                <w:tab w:val="left" w:pos="8505"/>
              </w:tabs>
              <w:jc w:val="center"/>
              <w:rPr>
                <w:rFonts w:ascii="Times New Roman" w:hAnsi="Times New Roman" w:cs="Times New Roman"/>
                <w:b/>
                <w:sz w:val="20"/>
                <w:szCs w:val="20"/>
                <w:lang w:val="it-IT"/>
              </w:rPr>
            </w:pPr>
            <w:r w:rsidRPr="00863A23">
              <w:rPr>
                <w:rFonts w:ascii="Times New Roman" w:hAnsi="Times New Roman" w:cs="Times New Roman"/>
                <w:b/>
                <w:sz w:val="20"/>
                <w:szCs w:val="20"/>
                <w:lang w:val="it-IT"/>
              </w:rPr>
              <w:t xml:space="preserve"> 14 aprilie 2026 </w:t>
            </w:r>
            <w:r w:rsidR="005F53EF" w:rsidRPr="005F53EF">
              <w:rPr>
                <w:rFonts w:ascii="Times New Roman" w:hAnsi="Times New Roman" w:cs="Times New Roman"/>
                <w:b/>
                <w:sz w:val="20"/>
                <w:szCs w:val="20"/>
                <w:lang w:val="ro-RO"/>
              </w:rPr>
              <w:t>)</w:t>
            </w:r>
          </w:p>
        </w:tc>
        <w:tc>
          <w:tcPr>
            <w:tcW w:w="533" w:type="dxa"/>
          </w:tcPr>
          <w:p w14:paraId="358AB1C8" w14:textId="77777777" w:rsidR="005F53EF" w:rsidRDefault="005F53EF" w:rsidP="005F53EF">
            <w:pPr>
              <w:tabs>
                <w:tab w:val="left" w:pos="8505"/>
              </w:tabs>
              <w:jc w:val="center"/>
              <w:rPr>
                <w:rFonts w:ascii="Times New Roman" w:hAnsi="Times New Roman" w:cs="Times New Roman"/>
                <w:b/>
                <w:sz w:val="20"/>
                <w:szCs w:val="20"/>
                <w:lang w:val="ro-RO"/>
              </w:rPr>
            </w:pPr>
          </w:p>
        </w:tc>
        <w:tc>
          <w:tcPr>
            <w:tcW w:w="3402" w:type="dxa"/>
          </w:tcPr>
          <w:p w14:paraId="24D31B60" w14:textId="77777777" w:rsidR="005F53EF" w:rsidRDefault="005F53EF" w:rsidP="005F53EF">
            <w:pPr>
              <w:tabs>
                <w:tab w:val="left" w:pos="8505"/>
              </w:tabs>
              <w:jc w:val="both"/>
              <w:rPr>
                <w:rFonts w:ascii="Times New Roman" w:hAnsi="Times New Roman" w:cs="Times New Roman"/>
                <w:sz w:val="20"/>
                <w:szCs w:val="20"/>
                <w:lang w:val="ro-RO"/>
              </w:rPr>
            </w:pPr>
          </w:p>
        </w:tc>
        <w:tc>
          <w:tcPr>
            <w:tcW w:w="3436" w:type="dxa"/>
          </w:tcPr>
          <w:p w14:paraId="51CE03EC" w14:textId="77777777" w:rsidR="005F53EF" w:rsidRDefault="005F53EF" w:rsidP="005F53EF">
            <w:pPr>
              <w:tabs>
                <w:tab w:val="left" w:pos="8505"/>
              </w:tabs>
              <w:jc w:val="both"/>
              <w:rPr>
                <w:rFonts w:ascii="Times New Roman" w:hAnsi="Times New Roman" w:cs="Times New Roman"/>
                <w:b/>
                <w:sz w:val="20"/>
                <w:szCs w:val="20"/>
                <w:lang w:val="ro-RO"/>
              </w:rPr>
            </w:pPr>
          </w:p>
        </w:tc>
      </w:tr>
      <w:tr w:rsidR="00F612A2" w14:paraId="73955FC2" w14:textId="77777777" w:rsidTr="00A919EA">
        <w:tc>
          <w:tcPr>
            <w:tcW w:w="3397" w:type="dxa"/>
          </w:tcPr>
          <w:p w14:paraId="7F2F011E" w14:textId="6D63FEFF" w:rsidR="00F612A2" w:rsidRDefault="00F612A2" w:rsidP="00F612A2">
            <w:pPr>
              <w:tabs>
                <w:tab w:val="left" w:pos="8505"/>
              </w:tabs>
              <w:jc w:val="both"/>
              <w:rPr>
                <w:rFonts w:ascii="Times New Roman" w:hAnsi="Times New Roman" w:cs="Times New Roman"/>
                <w:sz w:val="20"/>
                <w:szCs w:val="20"/>
                <w:lang w:val="ro-RO"/>
              </w:rPr>
            </w:pPr>
          </w:p>
        </w:tc>
        <w:tc>
          <w:tcPr>
            <w:tcW w:w="2977" w:type="dxa"/>
          </w:tcPr>
          <w:p w14:paraId="494ACBC4" w14:textId="77777777" w:rsidR="00F612A2" w:rsidRPr="00863A23" w:rsidRDefault="00F612A2" w:rsidP="00F612A2">
            <w:pPr>
              <w:tabs>
                <w:tab w:val="left" w:pos="8505"/>
              </w:tabs>
              <w:jc w:val="center"/>
              <w:rPr>
                <w:rFonts w:ascii="Times New Roman" w:hAnsi="Times New Roman" w:cs="Times New Roman"/>
                <w:b/>
                <w:sz w:val="20"/>
                <w:szCs w:val="20"/>
                <w:lang w:val="it-IT"/>
              </w:rPr>
            </w:pPr>
          </w:p>
        </w:tc>
        <w:tc>
          <w:tcPr>
            <w:tcW w:w="533" w:type="dxa"/>
          </w:tcPr>
          <w:p w14:paraId="5577FF62" w14:textId="35DEBAE5" w:rsidR="00F612A2" w:rsidRDefault="00F612A2" w:rsidP="00F612A2">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778D42FE" w14:textId="308D8998" w:rsidR="00F612A2" w:rsidRDefault="00F612A2" w:rsidP="00F612A2">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Lipsa de obiecții și propuneri</w:t>
            </w:r>
          </w:p>
        </w:tc>
        <w:tc>
          <w:tcPr>
            <w:tcW w:w="3436" w:type="dxa"/>
          </w:tcPr>
          <w:p w14:paraId="014FF5CD" w14:textId="1315772E" w:rsidR="00F612A2" w:rsidRDefault="00F612A2" w:rsidP="00F612A2">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5F53EF" w:rsidRPr="00760BD0" w14:paraId="343B9EB0" w14:textId="77777777" w:rsidTr="00A919EA">
        <w:tc>
          <w:tcPr>
            <w:tcW w:w="3397" w:type="dxa"/>
          </w:tcPr>
          <w:p w14:paraId="17ACE157" w14:textId="77777777" w:rsidR="005F53EF" w:rsidRDefault="005F53EF">
            <w:pPr>
              <w:tabs>
                <w:tab w:val="left" w:pos="8505"/>
              </w:tabs>
              <w:jc w:val="both"/>
              <w:rPr>
                <w:rFonts w:ascii="Times New Roman" w:hAnsi="Times New Roman" w:cs="Times New Roman"/>
                <w:sz w:val="20"/>
                <w:szCs w:val="20"/>
                <w:lang w:val="ro-RO"/>
              </w:rPr>
            </w:pPr>
          </w:p>
        </w:tc>
        <w:tc>
          <w:tcPr>
            <w:tcW w:w="2977" w:type="dxa"/>
          </w:tcPr>
          <w:p w14:paraId="60B7840B" w14:textId="268F530C" w:rsidR="005F53EF" w:rsidRDefault="00F612A2" w:rsidP="005F53E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Cancelaria de Stat</w:t>
            </w:r>
            <w:r w:rsidR="005F53EF">
              <w:rPr>
                <w:rFonts w:ascii="Times New Roman" w:hAnsi="Times New Roman" w:cs="Times New Roman"/>
                <w:b/>
                <w:sz w:val="20"/>
                <w:szCs w:val="20"/>
                <w:lang w:val="ro-RO"/>
              </w:rPr>
              <w:t xml:space="preserve"> (scrisoarea  </w:t>
            </w:r>
          </w:p>
          <w:p w14:paraId="5E4D8EC3" w14:textId="6DD21820" w:rsidR="005F53EF" w:rsidRPr="003D0729" w:rsidRDefault="005F53EF" w:rsidP="00264EE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 xml:space="preserve">nr. </w:t>
            </w:r>
            <w:r w:rsidR="00264EE4" w:rsidRPr="00863A23">
              <w:rPr>
                <w:lang w:val="it-IT"/>
              </w:rPr>
              <w:t xml:space="preserve"> </w:t>
            </w:r>
            <w:r w:rsidR="00F612A2" w:rsidRPr="00F612A2">
              <w:rPr>
                <w:rFonts w:ascii="Times New Roman" w:hAnsi="Times New Roman" w:cs="Times New Roman"/>
                <w:b/>
                <w:sz w:val="20"/>
                <w:szCs w:val="20"/>
                <w:lang w:val="ro-RO"/>
              </w:rPr>
              <w:t>30-69-4264</w:t>
            </w:r>
            <w:r w:rsidR="00F612A2">
              <w:rPr>
                <w:rFonts w:ascii="Times New Roman" w:hAnsi="Times New Roman" w:cs="Times New Roman"/>
                <w:b/>
                <w:sz w:val="20"/>
                <w:szCs w:val="20"/>
                <w:lang w:val="ro-RO"/>
              </w:rPr>
              <w:t xml:space="preserve"> </w:t>
            </w:r>
            <w:r>
              <w:rPr>
                <w:rFonts w:ascii="Times New Roman" w:hAnsi="Times New Roman" w:cs="Times New Roman"/>
                <w:b/>
                <w:sz w:val="20"/>
                <w:szCs w:val="20"/>
                <w:lang w:val="ro-RO"/>
              </w:rPr>
              <w:t xml:space="preserve">din </w:t>
            </w:r>
            <w:r w:rsidR="001F26C0" w:rsidRPr="00863A23">
              <w:rPr>
                <w:rFonts w:ascii="Times New Roman" w:hAnsi="Times New Roman" w:cs="Times New Roman"/>
                <w:b/>
                <w:sz w:val="20"/>
                <w:szCs w:val="20"/>
                <w:lang w:val="it-IT"/>
              </w:rPr>
              <w:t>14 aprilie 2026</w:t>
            </w:r>
            <w:r>
              <w:rPr>
                <w:rFonts w:ascii="Times New Roman" w:hAnsi="Times New Roman" w:cs="Times New Roman"/>
                <w:b/>
                <w:sz w:val="20"/>
                <w:szCs w:val="20"/>
                <w:lang w:val="ro-RO"/>
              </w:rPr>
              <w:t>)</w:t>
            </w:r>
          </w:p>
        </w:tc>
        <w:tc>
          <w:tcPr>
            <w:tcW w:w="533" w:type="dxa"/>
          </w:tcPr>
          <w:p w14:paraId="606AA59B" w14:textId="77777777" w:rsidR="005F53EF" w:rsidRDefault="005F53EF">
            <w:pPr>
              <w:tabs>
                <w:tab w:val="left" w:pos="8505"/>
              </w:tabs>
              <w:jc w:val="center"/>
              <w:rPr>
                <w:rFonts w:ascii="Times New Roman" w:hAnsi="Times New Roman" w:cs="Times New Roman"/>
                <w:b/>
                <w:sz w:val="20"/>
                <w:szCs w:val="20"/>
                <w:lang w:val="ro-RO"/>
              </w:rPr>
            </w:pPr>
          </w:p>
        </w:tc>
        <w:tc>
          <w:tcPr>
            <w:tcW w:w="3402" w:type="dxa"/>
          </w:tcPr>
          <w:p w14:paraId="7660122F" w14:textId="77777777" w:rsidR="005F53EF" w:rsidRDefault="005F53EF">
            <w:pPr>
              <w:tabs>
                <w:tab w:val="left" w:pos="8505"/>
              </w:tabs>
              <w:jc w:val="both"/>
              <w:rPr>
                <w:rFonts w:ascii="Times New Roman" w:hAnsi="Times New Roman" w:cs="Times New Roman"/>
                <w:bCs/>
                <w:iCs/>
                <w:sz w:val="20"/>
                <w:szCs w:val="20"/>
                <w:lang w:val="ro-RO"/>
              </w:rPr>
            </w:pPr>
          </w:p>
        </w:tc>
        <w:tc>
          <w:tcPr>
            <w:tcW w:w="3436" w:type="dxa"/>
          </w:tcPr>
          <w:p w14:paraId="5EA67DF9" w14:textId="77777777" w:rsidR="005F53EF" w:rsidRDefault="005F53EF">
            <w:pPr>
              <w:tabs>
                <w:tab w:val="left" w:pos="8505"/>
              </w:tabs>
              <w:jc w:val="both"/>
              <w:rPr>
                <w:rFonts w:ascii="Times New Roman" w:hAnsi="Times New Roman" w:cs="Times New Roman"/>
                <w:i/>
                <w:iCs/>
                <w:sz w:val="20"/>
                <w:szCs w:val="20"/>
                <w:lang w:val="ro-RO"/>
              </w:rPr>
            </w:pPr>
          </w:p>
        </w:tc>
      </w:tr>
      <w:tr w:rsidR="00C67B27" w:rsidRPr="00760BD0" w14:paraId="4FB397D7" w14:textId="77777777" w:rsidTr="00A919EA">
        <w:tc>
          <w:tcPr>
            <w:tcW w:w="3397" w:type="dxa"/>
          </w:tcPr>
          <w:p w14:paraId="2A2CC4A9" w14:textId="53B1E8CD" w:rsidR="00C67B27" w:rsidRDefault="003C79D2" w:rsidP="00166C41">
            <w:pPr>
              <w:tabs>
                <w:tab w:val="left" w:pos="8505"/>
              </w:tabs>
              <w:jc w:val="both"/>
              <w:rPr>
                <w:rFonts w:ascii="Times New Roman" w:hAnsi="Times New Roman" w:cs="Times New Roman"/>
                <w:b/>
                <w:sz w:val="20"/>
                <w:szCs w:val="20"/>
                <w:lang w:val="ro-RO"/>
              </w:rPr>
            </w:pPr>
            <w:r w:rsidRPr="003C79D2">
              <w:rPr>
                <w:rFonts w:ascii="Times New Roman" w:hAnsi="Times New Roman" w:cs="Times New Roman"/>
                <w:b/>
                <w:sz w:val="20"/>
                <w:szCs w:val="20"/>
                <w:lang w:val="ro-RO"/>
              </w:rPr>
              <w:t>În contextul proiectului</w:t>
            </w:r>
          </w:p>
        </w:tc>
        <w:tc>
          <w:tcPr>
            <w:tcW w:w="2977" w:type="dxa"/>
          </w:tcPr>
          <w:p w14:paraId="128159E5" w14:textId="77777777" w:rsidR="00C67B27" w:rsidRDefault="00C67B27">
            <w:pPr>
              <w:tabs>
                <w:tab w:val="left" w:pos="8505"/>
              </w:tabs>
              <w:jc w:val="center"/>
              <w:rPr>
                <w:rFonts w:ascii="Times New Roman" w:hAnsi="Times New Roman" w:cs="Times New Roman"/>
                <w:b/>
                <w:sz w:val="20"/>
                <w:szCs w:val="20"/>
                <w:lang w:val="ro-RO"/>
              </w:rPr>
            </w:pPr>
          </w:p>
        </w:tc>
        <w:tc>
          <w:tcPr>
            <w:tcW w:w="533" w:type="dxa"/>
          </w:tcPr>
          <w:p w14:paraId="07625925" w14:textId="77777777" w:rsidR="00C67B27" w:rsidRDefault="005A0956">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77E84DE6" w14:textId="6AEC4EF7" w:rsidR="00C67B27" w:rsidRDefault="001F26C0" w:rsidP="003D0729">
            <w:pPr>
              <w:tabs>
                <w:tab w:val="left" w:pos="8505"/>
              </w:tabs>
              <w:jc w:val="both"/>
              <w:rPr>
                <w:rFonts w:ascii="Times New Roman" w:hAnsi="Times New Roman" w:cs="Times New Roman"/>
                <w:bCs/>
                <w:iCs/>
                <w:sz w:val="20"/>
                <w:szCs w:val="20"/>
                <w:lang w:val="ro-RO"/>
              </w:rPr>
            </w:pPr>
            <w:r w:rsidRPr="001F26C0">
              <w:rPr>
                <w:rFonts w:ascii="Times New Roman" w:hAnsi="Times New Roman" w:cs="Times New Roman"/>
                <w:bCs/>
                <w:iCs/>
                <w:sz w:val="20"/>
                <w:szCs w:val="20"/>
                <w:lang w:val="ro-RO"/>
              </w:rPr>
              <w:t>În ceea ce privește corelarea normativă, se constată că proiectul substituie, în mod extensiv, referințele la Legea nr. 131/2015 cu Legea nr. 325/2025 (pct. 1.3, 1.4, 1.7 etc.), se recomandă completarea proiectului prin verificarea și uniformizarea tuturor trimiterilor normative, inclusiv introducerea expresă, acolo unde este relevant, a referințelor la Legea nr. 74/2020 privind achizițiile sectoriale cât și revizuirea formulărilor de tipul „achiziții publice/sectoriale”, astfel încât utilizarea acestora să fie consecventă pe tot parcursul textului.</w:t>
            </w:r>
          </w:p>
        </w:tc>
        <w:tc>
          <w:tcPr>
            <w:tcW w:w="3436" w:type="dxa"/>
          </w:tcPr>
          <w:p w14:paraId="3EC3F71D" w14:textId="2F40876F" w:rsidR="00D37399" w:rsidRPr="00863A23" w:rsidRDefault="00D37399" w:rsidP="00D37399">
            <w:pPr>
              <w:tabs>
                <w:tab w:val="left" w:pos="8505"/>
              </w:tabs>
              <w:jc w:val="both"/>
              <w:rPr>
                <w:rFonts w:ascii="Times New Roman" w:hAnsi="Times New Roman" w:cs="Times New Roman"/>
                <w:b/>
                <w:iCs/>
                <w:sz w:val="20"/>
                <w:szCs w:val="20"/>
                <w:lang w:val="ro-RO"/>
              </w:rPr>
            </w:pPr>
            <w:r w:rsidRPr="00863A23">
              <w:rPr>
                <w:rFonts w:ascii="Times New Roman" w:hAnsi="Times New Roman" w:cs="Times New Roman"/>
                <w:b/>
                <w:iCs/>
                <w:sz w:val="20"/>
                <w:szCs w:val="20"/>
                <w:lang w:val="ro-RO"/>
              </w:rPr>
              <w:t>Se acceptă</w:t>
            </w:r>
          </w:p>
          <w:p w14:paraId="436ED4EE" w14:textId="4859F976" w:rsidR="00D37399" w:rsidRPr="00863A23" w:rsidRDefault="00D37399" w:rsidP="00D37399">
            <w:pPr>
              <w:tabs>
                <w:tab w:val="left" w:pos="8505"/>
              </w:tabs>
              <w:jc w:val="both"/>
              <w:rPr>
                <w:rFonts w:ascii="Times New Roman" w:hAnsi="Times New Roman" w:cs="Times New Roman"/>
                <w:iCs/>
                <w:sz w:val="20"/>
                <w:szCs w:val="20"/>
                <w:lang w:val="ro-RO"/>
              </w:rPr>
            </w:pPr>
            <w:r w:rsidRPr="00863A23">
              <w:rPr>
                <w:rFonts w:ascii="Times New Roman" w:hAnsi="Times New Roman" w:cs="Times New Roman"/>
                <w:iCs/>
                <w:sz w:val="20"/>
                <w:szCs w:val="20"/>
                <w:lang w:val="ro-RO"/>
              </w:rPr>
              <w:t>Propunerea este pertinentă și a fost acceptată, întrucât asigurarea coerenței legislative și a uniformizării trimiterilor normative este esențială pentru aplicabilitatea corectă a Regulamentului atât în cazul autorităților contractante, cât și al entităților contractante din sectoarele speciale.</w:t>
            </w:r>
          </w:p>
          <w:p w14:paraId="0DEB8023" w14:textId="77777777" w:rsidR="00D37399" w:rsidRPr="00863A23" w:rsidRDefault="00D37399" w:rsidP="00D37399">
            <w:pPr>
              <w:tabs>
                <w:tab w:val="left" w:pos="8505"/>
              </w:tabs>
              <w:jc w:val="both"/>
              <w:rPr>
                <w:rFonts w:ascii="Times New Roman" w:hAnsi="Times New Roman" w:cs="Times New Roman"/>
                <w:iCs/>
                <w:sz w:val="20"/>
                <w:szCs w:val="20"/>
                <w:lang w:val="ro-RO"/>
              </w:rPr>
            </w:pPr>
            <w:r w:rsidRPr="00863A23">
              <w:rPr>
                <w:rFonts w:ascii="Times New Roman" w:hAnsi="Times New Roman" w:cs="Times New Roman"/>
                <w:iCs/>
                <w:sz w:val="20"/>
                <w:szCs w:val="20"/>
                <w:lang w:val="ro-RO"/>
              </w:rPr>
              <w:t>În urma analizei și verificării exhaustive a proiectului, s-au operat următoarele ajustări pentru a răspunde recomandărilor:</w:t>
            </w:r>
          </w:p>
          <w:p w14:paraId="1E9F71BE" w14:textId="47CBB298" w:rsidR="00D37399" w:rsidRPr="009302D4" w:rsidRDefault="00D37399" w:rsidP="00D37399">
            <w:pPr>
              <w:numPr>
                <w:ilvl w:val="0"/>
                <w:numId w:val="22"/>
              </w:numPr>
              <w:tabs>
                <w:tab w:val="clear" w:pos="720"/>
                <w:tab w:val="num" w:pos="360"/>
                <w:tab w:val="left" w:pos="8505"/>
              </w:tabs>
              <w:ind w:left="73" w:firstLine="0"/>
              <w:jc w:val="both"/>
              <w:rPr>
                <w:rFonts w:ascii="Times New Roman" w:hAnsi="Times New Roman" w:cs="Times New Roman"/>
                <w:iCs/>
                <w:sz w:val="20"/>
                <w:szCs w:val="20"/>
                <w:lang w:val="ro-RO"/>
              </w:rPr>
            </w:pPr>
            <w:r w:rsidRPr="009302D4">
              <w:rPr>
                <w:rFonts w:ascii="Times New Roman" w:hAnsi="Times New Roman" w:cs="Times New Roman"/>
                <w:bCs/>
                <w:iCs/>
                <w:sz w:val="20"/>
                <w:szCs w:val="20"/>
                <w:lang w:val="ro-RO"/>
              </w:rPr>
              <w:t>Integrarea referințelor la Legea nr. 74/2020:</w:t>
            </w:r>
            <w:r w:rsidRPr="009302D4">
              <w:rPr>
                <w:rFonts w:ascii="Times New Roman" w:hAnsi="Times New Roman" w:cs="Times New Roman"/>
                <w:iCs/>
                <w:sz w:val="20"/>
                <w:szCs w:val="20"/>
                <w:lang w:val="ro-RO"/>
              </w:rPr>
              <w:t> Au fost verificate și completate trimiterile normative pentru a include expres </w:t>
            </w:r>
            <w:r w:rsidRPr="009302D4">
              <w:rPr>
                <w:rFonts w:ascii="Times New Roman" w:hAnsi="Times New Roman" w:cs="Times New Roman"/>
                <w:bCs/>
                <w:iCs/>
                <w:sz w:val="20"/>
                <w:szCs w:val="20"/>
                <w:lang w:val="ro-RO"/>
              </w:rPr>
              <w:t>Legea nr. 74/2020</w:t>
            </w:r>
            <w:r w:rsidRPr="009302D4">
              <w:rPr>
                <w:rFonts w:ascii="Times New Roman" w:hAnsi="Times New Roman" w:cs="Times New Roman"/>
                <w:iCs/>
                <w:sz w:val="20"/>
                <w:szCs w:val="20"/>
                <w:lang w:val="ro-RO"/>
              </w:rPr>
              <w:t> privind achizițiile în sectoarele energeticii, apei, transporturilor și serviciilor poștale acolo unde este relevant, asigurând astfel baza legală explicită pentru proc</w:t>
            </w:r>
            <w:r w:rsidR="00454CE0">
              <w:rPr>
                <w:rFonts w:ascii="Times New Roman" w:hAnsi="Times New Roman" w:cs="Times New Roman"/>
                <w:iCs/>
                <w:sz w:val="20"/>
                <w:szCs w:val="20"/>
                <w:lang w:val="ro-RO"/>
              </w:rPr>
              <w:t>edurile sectoriale.</w:t>
            </w:r>
          </w:p>
          <w:p w14:paraId="65DB543F" w14:textId="77777777" w:rsidR="00D37399" w:rsidRPr="00863A23" w:rsidRDefault="00D37399" w:rsidP="00D37399">
            <w:pPr>
              <w:numPr>
                <w:ilvl w:val="0"/>
                <w:numId w:val="22"/>
              </w:numPr>
              <w:tabs>
                <w:tab w:val="clear" w:pos="720"/>
                <w:tab w:val="num" w:pos="360"/>
                <w:tab w:val="left" w:pos="8505"/>
              </w:tabs>
              <w:ind w:left="73" w:firstLine="0"/>
              <w:jc w:val="both"/>
              <w:rPr>
                <w:rFonts w:ascii="Times New Roman" w:hAnsi="Times New Roman" w:cs="Times New Roman"/>
                <w:iCs/>
                <w:sz w:val="20"/>
                <w:szCs w:val="20"/>
                <w:lang w:val="it-IT"/>
              </w:rPr>
            </w:pPr>
            <w:r w:rsidRPr="00863A23">
              <w:rPr>
                <w:rFonts w:ascii="Times New Roman" w:hAnsi="Times New Roman" w:cs="Times New Roman"/>
                <w:bCs/>
                <w:iCs/>
                <w:sz w:val="20"/>
                <w:szCs w:val="20"/>
                <w:lang w:val="it-IT"/>
              </w:rPr>
              <w:t>Uniformizarea terminologiei:</w:t>
            </w:r>
            <w:r w:rsidRPr="00863A23">
              <w:rPr>
                <w:rFonts w:ascii="Times New Roman" w:hAnsi="Times New Roman" w:cs="Times New Roman"/>
                <w:iCs/>
                <w:sz w:val="20"/>
                <w:szCs w:val="20"/>
                <w:lang w:val="it-IT"/>
              </w:rPr>
              <w:t> S-a revizuit textul pe tot parcursul Regulamentului pentru a utiliza consecvent sintagmele </w:t>
            </w:r>
            <w:r w:rsidRPr="00863A23">
              <w:rPr>
                <w:rFonts w:ascii="Times New Roman" w:hAnsi="Times New Roman" w:cs="Times New Roman"/>
                <w:bCs/>
                <w:iCs/>
                <w:sz w:val="20"/>
                <w:szCs w:val="20"/>
                <w:lang w:val="it-IT"/>
              </w:rPr>
              <w:t>„achiziții publice/sectoriale"</w:t>
            </w:r>
            <w:r w:rsidRPr="00863A23">
              <w:rPr>
                <w:rFonts w:ascii="Times New Roman" w:hAnsi="Times New Roman" w:cs="Times New Roman"/>
                <w:iCs/>
                <w:sz w:val="20"/>
                <w:szCs w:val="20"/>
                <w:lang w:val="it-IT"/>
              </w:rPr>
              <w:t> și </w:t>
            </w:r>
            <w:r w:rsidRPr="00863A23">
              <w:rPr>
                <w:rFonts w:ascii="Times New Roman" w:hAnsi="Times New Roman" w:cs="Times New Roman"/>
                <w:bCs/>
                <w:iCs/>
                <w:sz w:val="20"/>
                <w:szCs w:val="20"/>
                <w:lang w:val="it-IT"/>
              </w:rPr>
              <w:t>„autoritate/entitate contractantă"</w:t>
            </w:r>
            <w:r w:rsidRPr="00863A23">
              <w:rPr>
                <w:rFonts w:ascii="Times New Roman" w:hAnsi="Times New Roman" w:cs="Times New Roman"/>
                <w:iCs/>
                <w:sz w:val="20"/>
                <w:szCs w:val="20"/>
                <w:lang w:val="it-IT"/>
              </w:rPr>
              <w:t>, eliminând orice inconsistență și garantând că prevederile acoperă în mod nediscriminatoriu ambele regimuri de achiziții.</w:t>
            </w:r>
          </w:p>
          <w:p w14:paraId="2A3BE701" w14:textId="77777777" w:rsidR="00D37399" w:rsidRPr="00863A23" w:rsidRDefault="00D37399" w:rsidP="00D37399">
            <w:pPr>
              <w:numPr>
                <w:ilvl w:val="0"/>
                <w:numId w:val="22"/>
              </w:numPr>
              <w:tabs>
                <w:tab w:val="clear" w:pos="720"/>
                <w:tab w:val="num" w:pos="360"/>
                <w:tab w:val="left" w:pos="8505"/>
              </w:tabs>
              <w:ind w:left="73" w:firstLine="0"/>
              <w:jc w:val="both"/>
              <w:rPr>
                <w:rFonts w:ascii="Times New Roman" w:hAnsi="Times New Roman" w:cs="Times New Roman"/>
                <w:iCs/>
                <w:sz w:val="20"/>
                <w:szCs w:val="20"/>
                <w:lang w:val="it-IT"/>
              </w:rPr>
            </w:pPr>
            <w:r w:rsidRPr="00863A23">
              <w:rPr>
                <w:rFonts w:ascii="Times New Roman" w:hAnsi="Times New Roman" w:cs="Times New Roman"/>
                <w:bCs/>
                <w:iCs/>
                <w:sz w:val="20"/>
                <w:szCs w:val="20"/>
                <w:lang w:val="it-IT"/>
              </w:rPr>
              <w:t>Securitate juridică:</w:t>
            </w:r>
            <w:r w:rsidRPr="00863A23">
              <w:rPr>
                <w:rFonts w:ascii="Times New Roman" w:hAnsi="Times New Roman" w:cs="Times New Roman"/>
                <w:iCs/>
                <w:sz w:val="20"/>
                <w:szCs w:val="20"/>
                <w:lang w:val="it-IT"/>
              </w:rPr>
              <w:t xml:space="preserve"> Aceste corelări previn riscul de interpretări eronate sau </w:t>
            </w:r>
            <w:r w:rsidRPr="00863A23">
              <w:rPr>
                <w:rFonts w:ascii="Times New Roman" w:hAnsi="Times New Roman" w:cs="Times New Roman"/>
                <w:iCs/>
                <w:sz w:val="20"/>
                <w:szCs w:val="20"/>
                <w:lang w:val="it-IT"/>
              </w:rPr>
              <w:lastRenderedPageBreak/>
              <w:t>de lacune normative, asigurând alinierea deplină la noul cadru legislativ și respectarea principiului legalității pentru toți subiecții implicați.</w:t>
            </w:r>
          </w:p>
          <w:p w14:paraId="1E2D6CCC" w14:textId="72AD7B91" w:rsidR="00C67B27" w:rsidRPr="00863A23" w:rsidRDefault="00D6238C" w:rsidP="00D6238C">
            <w:pPr>
              <w:tabs>
                <w:tab w:val="left" w:pos="8505"/>
              </w:tabs>
              <w:jc w:val="both"/>
              <w:rPr>
                <w:rFonts w:ascii="Times New Roman" w:hAnsi="Times New Roman" w:cs="Times New Roman"/>
                <w:iCs/>
                <w:sz w:val="20"/>
                <w:szCs w:val="20"/>
                <w:lang w:val="it-IT"/>
              </w:rPr>
            </w:pPr>
            <w:r w:rsidRPr="00863A23">
              <w:rPr>
                <w:rFonts w:ascii="Times New Roman" w:hAnsi="Times New Roman" w:cs="Times New Roman"/>
                <w:iCs/>
                <w:sz w:val="20"/>
                <w:szCs w:val="20"/>
                <w:lang w:val="it-IT"/>
              </w:rPr>
              <w:t>Prin urmare, proiectul a fost verificat, asigurându-se o corelare normativă riguroasă care consolidează claritatea și predictibilitatea cadrului de reglementare.</w:t>
            </w:r>
          </w:p>
        </w:tc>
      </w:tr>
      <w:tr w:rsidR="003D0729" w:rsidRPr="00760BD0" w14:paraId="04D34517" w14:textId="77777777" w:rsidTr="00A919EA">
        <w:tc>
          <w:tcPr>
            <w:tcW w:w="3397" w:type="dxa"/>
          </w:tcPr>
          <w:p w14:paraId="339FC489" w14:textId="13139399" w:rsidR="00C3303F" w:rsidRPr="00C3303F" w:rsidRDefault="00C3303F" w:rsidP="00C3303F">
            <w:pPr>
              <w:tabs>
                <w:tab w:val="left" w:pos="8505"/>
              </w:tabs>
              <w:jc w:val="both"/>
              <w:rPr>
                <w:rFonts w:ascii="Times New Roman" w:hAnsi="Times New Roman" w:cs="Times New Roman"/>
                <w:sz w:val="20"/>
                <w:szCs w:val="20"/>
                <w:lang w:val="ro-RO"/>
              </w:rPr>
            </w:pPr>
            <w:r w:rsidRPr="00C3303F">
              <w:rPr>
                <w:rFonts w:ascii="Times New Roman" w:hAnsi="Times New Roman" w:cs="Times New Roman"/>
                <w:b/>
                <w:sz w:val="20"/>
                <w:szCs w:val="20"/>
                <w:lang w:val="ro-RO"/>
              </w:rPr>
              <w:lastRenderedPageBreak/>
              <w:t>1.5.</w:t>
            </w:r>
            <w:r>
              <w:rPr>
                <w:rFonts w:ascii="Times New Roman" w:hAnsi="Times New Roman" w:cs="Times New Roman"/>
                <w:b/>
                <w:sz w:val="20"/>
                <w:szCs w:val="20"/>
                <w:lang w:val="ro-RO"/>
              </w:rPr>
              <w:t xml:space="preserve"> </w:t>
            </w:r>
            <w:r w:rsidRPr="00C3303F">
              <w:rPr>
                <w:rFonts w:ascii="Times New Roman" w:hAnsi="Times New Roman" w:cs="Times New Roman"/>
                <w:sz w:val="20"/>
                <w:szCs w:val="20"/>
                <w:lang w:val="ro-RO"/>
              </w:rPr>
              <w:t>Se introduce punctul 7</w:t>
            </w:r>
            <w:r>
              <w:rPr>
                <w:rFonts w:ascii="Times New Roman" w:hAnsi="Times New Roman" w:cs="Times New Roman"/>
                <w:sz w:val="20"/>
                <w:szCs w:val="20"/>
                <w:vertAlign w:val="superscript"/>
                <w:lang w:val="ro-RO"/>
              </w:rPr>
              <w:t>1</w:t>
            </w:r>
            <w:r w:rsidRPr="00C3303F">
              <w:rPr>
                <w:rFonts w:ascii="Times New Roman" w:hAnsi="Times New Roman" w:cs="Times New Roman"/>
                <w:sz w:val="20"/>
                <w:szCs w:val="20"/>
                <w:lang w:val="ro-RO"/>
              </w:rPr>
              <w:t xml:space="preserve"> cu următorul cuprins:</w:t>
            </w:r>
          </w:p>
          <w:p w14:paraId="134396E3" w14:textId="18D154BE" w:rsidR="00C3303F" w:rsidRPr="00C3303F" w:rsidRDefault="00C3303F" w:rsidP="00C3303F">
            <w:pPr>
              <w:tabs>
                <w:tab w:val="left" w:pos="8505"/>
              </w:tabs>
              <w:jc w:val="both"/>
              <w:rPr>
                <w:rFonts w:ascii="Times New Roman" w:hAnsi="Times New Roman" w:cs="Times New Roman"/>
                <w:sz w:val="20"/>
                <w:szCs w:val="20"/>
                <w:lang w:val="ro-RO"/>
              </w:rPr>
            </w:pPr>
            <w:r w:rsidRPr="00C3303F">
              <w:rPr>
                <w:rFonts w:ascii="Times New Roman" w:hAnsi="Times New Roman" w:cs="Times New Roman"/>
                <w:sz w:val="20"/>
                <w:szCs w:val="20"/>
                <w:lang w:val="ro-RO"/>
              </w:rPr>
              <w:t>„7</w:t>
            </w:r>
            <w:r>
              <w:rPr>
                <w:rFonts w:ascii="Times New Roman" w:hAnsi="Times New Roman" w:cs="Times New Roman"/>
                <w:sz w:val="20"/>
                <w:szCs w:val="20"/>
                <w:vertAlign w:val="superscript"/>
                <w:lang w:val="ro-RO"/>
              </w:rPr>
              <w:t>1</w:t>
            </w:r>
            <w:r w:rsidRPr="00C3303F">
              <w:rPr>
                <w:rFonts w:ascii="Times New Roman" w:hAnsi="Times New Roman" w:cs="Times New Roman"/>
                <w:sz w:val="20"/>
                <w:szCs w:val="20"/>
                <w:lang w:val="ro-RO"/>
              </w:rPr>
              <w:t>. Prezentul Regulament prevede particularități privind contractele de achiziții publice, a căror valoare, fără taxa pe valoarea adăugată, este egală cu sau mai mare decât următoarele praguri:</w:t>
            </w:r>
          </w:p>
          <w:p w14:paraId="23003126" w14:textId="77777777" w:rsidR="00C3303F" w:rsidRPr="00C3303F" w:rsidRDefault="00C3303F" w:rsidP="00C3303F">
            <w:pPr>
              <w:tabs>
                <w:tab w:val="left" w:pos="8505"/>
              </w:tabs>
              <w:jc w:val="both"/>
              <w:rPr>
                <w:rFonts w:ascii="Times New Roman" w:hAnsi="Times New Roman" w:cs="Times New Roman"/>
                <w:sz w:val="20"/>
                <w:szCs w:val="20"/>
                <w:lang w:val="ro-RO"/>
              </w:rPr>
            </w:pPr>
            <w:r w:rsidRPr="00C3303F">
              <w:rPr>
                <w:rFonts w:ascii="Times New Roman" w:hAnsi="Times New Roman" w:cs="Times New Roman"/>
                <w:sz w:val="20"/>
                <w:szCs w:val="20"/>
                <w:lang w:val="ro-RO"/>
              </w:rPr>
              <w:t>a) pentru contractele de achiziții publice de bunuri și servicii – 300 000 MDL;</w:t>
            </w:r>
          </w:p>
          <w:p w14:paraId="596A3880" w14:textId="77777777" w:rsidR="00C3303F" w:rsidRPr="00C3303F" w:rsidRDefault="00C3303F" w:rsidP="00C3303F">
            <w:pPr>
              <w:tabs>
                <w:tab w:val="left" w:pos="8505"/>
              </w:tabs>
              <w:jc w:val="both"/>
              <w:rPr>
                <w:rFonts w:ascii="Times New Roman" w:hAnsi="Times New Roman" w:cs="Times New Roman"/>
                <w:sz w:val="20"/>
                <w:szCs w:val="20"/>
                <w:lang w:val="ro-RO"/>
              </w:rPr>
            </w:pPr>
            <w:r w:rsidRPr="00C3303F">
              <w:rPr>
                <w:rFonts w:ascii="Times New Roman" w:hAnsi="Times New Roman" w:cs="Times New Roman"/>
                <w:sz w:val="20"/>
                <w:szCs w:val="20"/>
                <w:lang w:val="ro-RO"/>
              </w:rPr>
              <w:t>b) pentru contractele de achiziții publice de lucrări – 375 000 MDL;</w:t>
            </w:r>
          </w:p>
          <w:p w14:paraId="37D4E2C1" w14:textId="5B065B18" w:rsidR="003D0729" w:rsidRDefault="00C3303F" w:rsidP="00C3303F">
            <w:pPr>
              <w:tabs>
                <w:tab w:val="left" w:pos="8505"/>
              </w:tabs>
              <w:jc w:val="both"/>
              <w:rPr>
                <w:rFonts w:ascii="Times New Roman" w:hAnsi="Times New Roman" w:cs="Times New Roman"/>
                <w:b/>
                <w:sz w:val="20"/>
                <w:szCs w:val="20"/>
                <w:lang w:val="ro-RO"/>
              </w:rPr>
            </w:pPr>
            <w:r w:rsidRPr="00C3303F">
              <w:rPr>
                <w:rFonts w:ascii="Times New Roman" w:hAnsi="Times New Roman" w:cs="Times New Roman"/>
                <w:sz w:val="20"/>
                <w:szCs w:val="20"/>
                <w:lang w:val="ro-RO"/>
              </w:rPr>
              <w:t>c) pentru contractele de achiziții publice care au ca obiect servicii sociale și alte servicii specifice enumerate în anexa nr. 2 din Legea nr. 325/2025 privind achizițiile publice – 600 000 MDL.”</w:t>
            </w:r>
          </w:p>
        </w:tc>
        <w:tc>
          <w:tcPr>
            <w:tcW w:w="2977" w:type="dxa"/>
          </w:tcPr>
          <w:p w14:paraId="7D0BE32C" w14:textId="77777777" w:rsidR="003D0729" w:rsidRDefault="003D0729">
            <w:pPr>
              <w:tabs>
                <w:tab w:val="left" w:pos="8505"/>
              </w:tabs>
              <w:jc w:val="center"/>
              <w:rPr>
                <w:rFonts w:ascii="Times New Roman" w:hAnsi="Times New Roman" w:cs="Times New Roman"/>
                <w:b/>
                <w:sz w:val="20"/>
                <w:szCs w:val="20"/>
                <w:lang w:val="ro-RO"/>
              </w:rPr>
            </w:pPr>
          </w:p>
        </w:tc>
        <w:tc>
          <w:tcPr>
            <w:tcW w:w="533" w:type="dxa"/>
          </w:tcPr>
          <w:p w14:paraId="4C16FFC0" w14:textId="77777777" w:rsidR="003D0729" w:rsidRDefault="003D0729">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224F93F5" w14:textId="77467A31" w:rsidR="003D0729" w:rsidRPr="003D0729" w:rsidRDefault="001F26C0" w:rsidP="001F26C0">
            <w:pPr>
              <w:tabs>
                <w:tab w:val="left" w:pos="8505"/>
              </w:tabs>
              <w:jc w:val="both"/>
              <w:rPr>
                <w:rFonts w:ascii="Times New Roman" w:hAnsi="Times New Roman" w:cs="Times New Roman"/>
                <w:sz w:val="20"/>
                <w:szCs w:val="20"/>
                <w:lang w:val="ro-RO"/>
              </w:rPr>
            </w:pPr>
            <w:r w:rsidRPr="00863A23">
              <w:rPr>
                <w:rFonts w:ascii="Times New Roman" w:hAnsi="Times New Roman" w:cs="Times New Roman"/>
                <w:sz w:val="20"/>
                <w:szCs w:val="20"/>
                <w:lang w:val="it-IT"/>
              </w:rPr>
              <w:t xml:space="preserve"> Referitor la pct. 1.5 cu referire la introducerea pct. 7¹, deși măsura este justificată, formularea actuală este insuficient corelată cu cadrul general, se recomandă ajustarea textului prin completarea pct. 7¹, după cum urmează: „Aplicarea pragurilor prevăzute la prezentul punct se realizează cu respectarea prevederilor Legii nr. 325/2025 privind achizițiile publice și fără a aduce atingere regulilor privind alegerea procedurii de atribuire aplicabile.”, cât și clarificarea expresă că aceste praguri nu pot fi utilizate pentru fragmentarea artificială a achizițiilor.</w:t>
            </w:r>
          </w:p>
        </w:tc>
        <w:tc>
          <w:tcPr>
            <w:tcW w:w="3436" w:type="dxa"/>
          </w:tcPr>
          <w:p w14:paraId="00C4073C" w14:textId="1BA31204" w:rsidR="00C3303F" w:rsidRPr="00863A23" w:rsidRDefault="00C3303F" w:rsidP="00696CA3">
            <w:pPr>
              <w:tabs>
                <w:tab w:val="left" w:pos="8505"/>
              </w:tabs>
              <w:jc w:val="both"/>
              <w:rPr>
                <w:rFonts w:ascii="Times New Roman" w:hAnsi="Times New Roman" w:cs="Times New Roman"/>
                <w:b/>
                <w:sz w:val="20"/>
                <w:szCs w:val="20"/>
                <w:lang w:val="it-IT"/>
              </w:rPr>
            </w:pPr>
            <w:r w:rsidRPr="00863A23">
              <w:rPr>
                <w:rFonts w:ascii="Times New Roman" w:hAnsi="Times New Roman" w:cs="Times New Roman"/>
                <w:b/>
                <w:sz w:val="20"/>
                <w:szCs w:val="20"/>
                <w:lang w:val="it-IT"/>
              </w:rPr>
              <w:t>Se acceptă</w:t>
            </w:r>
          </w:p>
          <w:p w14:paraId="32230713" w14:textId="17245063" w:rsidR="003D0729" w:rsidRPr="00C3303F" w:rsidRDefault="00C3303F" w:rsidP="00696CA3">
            <w:pPr>
              <w:tabs>
                <w:tab w:val="left" w:pos="8505"/>
              </w:tabs>
              <w:jc w:val="both"/>
              <w:rPr>
                <w:rFonts w:ascii="Times New Roman" w:hAnsi="Times New Roman" w:cs="Times New Roman"/>
                <w:sz w:val="20"/>
                <w:szCs w:val="20"/>
                <w:lang w:val="ro-RO"/>
              </w:rPr>
            </w:pPr>
            <w:r w:rsidRPr="00863A23">
              <w:rPr>
                <w:rFonts w:ascii="Times New Roman" w:hAnsi="Times New Roman" w:cs="Times New Roman"/>
                <w:sz w:val="20"/>
                <w:szCs w:val="20"/>
                <w:lang w:val="it-IT"/>
              </w:rPr>
              <w:t>Propunerea este fondată și a fost acceptată integral.</w:t>
            </w:r>
          </w:p>
        </w:tc>
      </w:tr>
      <w:tr w:rsidR="003D0729" w:rsidRPr="00760BD0" w14:paraId="7F9AE11A" w14:textId="77777777" w:rsidTr="00A919EA">
        <w:tc>
          <w:tcPr>
            <w:tcW w:w="3397" w:type="dxa"/>
          </w:tcPr>
          <w:p w14:paraId="6AB735CA" w14:textId="52FFE070" w:rsidR="00C3303F" w:rsidRPr="00C3303F" w:rsidRDefault="00C3303F" w:rsidP="00C3303F">
            <w:pPr>
              <w:tabs>
                <w:tab w:val="left" w:pos="8505"/>
              </w:tabs>
              <w:jc w:val="both"/>
              <w:rPr>
                <w:rFonts w:ascii="Times New Roman" w:hAnsi="Times New Roman" w:cs="Times New Roman"/>
                <w:sz w:val="20"/>
                <w:szCs w:val="20"/>
                <w:lang w:val="ro-RO"/>
              </w:rPr>
            </w:pPr>
            <w:r w:rsidRPr="00C3303F">
              <w:rPr>
                <w:rFonts w:ascii="Times New Roman" w:hAnsi="Times New Roman" w:cs="Times New Roman"/>
                <w:b/>
                <w:sz w:val="20"/>
                <w:szCs w:val="20"/>
                <w:lang w:val="ro-RO"/>
              </w:rPr>
              <w:t>1.8.</w:t>
            </w:r>
            <w:r>
              <w:rPr>
                <w:rFonts w:ascii="Times New Roman" w:hAnsi="Times New Roman" w:cs="Times New Roman"/>
                <w:b/>
                <w:sz w:val="20"/>
                <w:szCs w:val="20"/>
                <w:lang w:val="ro-RO"/>
              </w:rPr>
              <w:t xml:space="preserve"> </w:t>
            </w:r>
            <w:r w:rsidRPr="00C3303F">
              <w:rPr>
                <w:rFonts w:ascii="Times New Roman" w:hAnsi="Times New Roman" w:cs="Times New Roman"/>
                <w:sz w:val="20"/>
                <w:szCs w:val="20"/>
                <w:lang w:val="ro-RO"/>
              </w:rPr>
              <w:t>Punctul 13 va avea următorul cuprins:</w:t>
            </w:r>
          </w:p>
          <w:p w14:paraId="380E2706" w14:textId="11977115" w:rsidR="003D0729" w:rsidRDefault="00C3303F" w:rsidP="00C3303F">
            <w:pPr>
              <w:tabs>
                <w:tab w:val="left" w:pos="8505"/>
              </w:tabs>
              <w:jc w:val="both"/>
              <w:rPr>
                <w:rFonts w:ascii="Times New Roman" w:hAnsi="Times New Roman" w:cs="Times New Roman"/>
                <w:b/>
                <w:sz w:val="20"/>
                <w:szCs w:val="20"/>
                <w:lang w:val="ro-RO"/>
              </w:rPr>
            </w:pPr>
            <w:r w:rsidRPr="00C3303F">
              <w:rPr>
                <w:rFonts w:ascii="Times New Roman" w:hAnsi="Times New Roman" w:cs="Times New Roman"/>
                <w:sz w:val="20"/>
                <w:szCs w:val="20"/>
                <w:lang w:val="ro-RO"/>
              </w:rPr>
              <w:t>„13. Achizițiile publice de valoare mică, inclusiv cele prevăzute la pct. 4 și 5, se realizează de către autoritatea/entitatea contractantă în baza planului anual/provizoriu de achiziții sau din motive de urgență, ca urmare a apariției unor necesități neplanificate sau evenimente imprevizibile, în conformitate cu prevederile privind modul de planificare a achizițiilor publice/sectoriale.”.</w:t>
            </w:r>
          </w:p>
        </w:tc>
        <w:tc>
          <w:tcPr>
            <w:tcW w:w="2977" w:type="dxa"/>
          </w:tcPr>
          <w:p w14:paraId="11FBD657" w14:textId="77777777" w:rsidR="003D0729" w:rsidRDefault="003D0729">
            <w:pPr>
              <w:tabs>
                <w:tab w:val="left" w:pos="8505"/>
              </w:tabs>
              <w:jc w:val="center"/>
              <w:rPr>
                <w:rFonts w:ascii="Times New Roman" w:hAnsi="Times New Roman" w:cs="Times New Roman"/>
                <w:b/>
                <w:sz w:val="20"/>
                <w:szCs w:val="20"/>
                <w:lang w:val="ro-RO"/>
              </w:rPr>
            </w:pPr>
          </w:p>
        </w:tc>
        <w:tc>
          <w:tcPr>
            <w:tcW w:w="533" w:type="dxa"/>
          </w:tcPr>
          <w:p w14:paraId="055A9430" w14:textId="77777777" w:rsidR="003D0729" w:rsidRDefault="003D0729">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628D42BC" w14:textId="41CFD625" w:rsidR="003D0729" w:rsidRPr="003D0729" w:rsidRDefault="001F26C0" w:rsidP="001F26C0">
            <w:pPr>
              <w:tabs>
                <w:tab w:val="left" w:pos="8505"/>
              </w:tabs>
              <w:jc w:val="both"/>
              <w:rPr>
                <w:rFonts w:ascii="Times New Roman" w:hAnsi="Times New Roman" w:cs="Times New Roman"/>
                <w:sz w:val="20"/>
                <w:szCs w:val="20"/>
                <w:lang w:val="ro-RO"/>
              </w:rPr>
            </w:pPr>
            <w:r w:rsidRPr="00863A23">
              <w:rPr>
                <w:rFonts w:ascii="Times New Roman" w:hAnsi="Times New Roman" w:cs="Times New Roman"/>
                <w:sz w:val="20"/>
                <w:szCs w:val="20"/>
                <w:lang w:val="ro-RO"/>
              </w:rPr>
              <w:t xml:space="preserve"> În ceea ce privește pct. 1.8 privind modificarea pct.13, formularea actuală este generală și susceptibilă de interpretări, astfel, se recomandă reformularea pct. 13, prin completarea cu textul „în baza unor circumstanțe obiective, imprevizibile și justificate corespunzător” cât și introducerea obligației de documentare a situațiilor de urgență în dosarul achiziției.</w:t>
            </w:r>
          </w:p>
        </w:tc>
        <w:tc>
          <w:tcPr>
            <w:tcW w:w="3436" w:type="dxa"/>
          </w:tcPr>
          <w:p w14:paraId="34BFEEC9" w14:textId="77777777" w:rsidR="00F9367D" w:rsidRPr="00863A23" w:rsidRDefault="00F9367D" w:rsidP="00F9367D">
            <w:pPr>
              <w:tabs>
                <w:tab w:val="left" w:pos="8505"/>
              </w:tabs>
              <w:jc w:val="both"/>
              <w:rPr>
                <w:rFonts w:ascii="Times New Roman" w:hAnsi="Times New Roman" w:cs="Times New Roman"/>
                <w:b/>
                <w:bCs/>
                <w:sz w:val="20"/>
                <w:szCs w:val="20"/>
                <w:lang w:val="ro-RO"/>
              </w:rPr>
            </w:pPr>
            <w:r w:rsidRPr="00863A23">
              <w:rPr>
                <w:rFonts w:ascii="Times New Roman" w:hAnsi="Times New Roman" w:cs="Times New Roman"/>
                <w:b/>
                <w:bCs/>
                <w:sz w:val="20"/>
                <w:szCs w:val="20"/>
                <w:lang w:val="ro-RO"/>
              </w:rPr>
              <w:t>Se acceptă</w:t>
            </w:r>
          </w:p>
          <w:p w14:paraId="78521274" w14:textId="7224A2FD" w:rsidR="003D0729" w:rsidRPr="00863A23" w:rsidRDefault="00F9367D" w:rsidP="00F57A2F">
            <w:pPr>
              <w:tabs>
                <w:tab w:val="left" w:pos="8505"/>
              </w:tabs>
              <w:jc w:val="both"/>
              <w:rPr>
                <w:rFonts w:ascii="Times New Roman" w:hAnsi="Times New Roman" w:cs="Times New Roman"/>
                <w:sz w:val="20"/>
                <w:szCs w:val="20"/>
                <w:lang w:val="ro-RO"/>
              </w:rPr>
            </w:pPr>
            <w:r w:rsidRPr="00863A23">
              <w:rPr>
                <w:rFonts w:ascii="Times New Roman" w:hAnsi="Times New Roman" w:cs="Times New Roman"/>
                <w:bCs/>
                <w:sz w:val="20"/>
                <w:szCs w:val="20"/>
                <w:lang w:val="ro-RO"/>
              </w:rPr>
              <w:t xml:space="preserve">Propunerea se acceptă, cu integrarea textului sugerat în punctul 13, astfel încât achizițiile de urgență să fie posibile doar în cazuri reale, imprevizibile și documentate corespunzător. </w:t>
            </w:r>
          </w:p>
        </w:tc>
      </w:tr>
      <w:tr w:rsidR="001F26C0" w:rsidRPr="009957C6" w14:paraId="6ABE3E00" w14:textId="77777777" w:rsidTr="00A919EA">
        <w:tc>
          <w:tcPr>
            <w:tcW w:w="3397" w:type="dxa"/>
          </w:tcPr>
          <w:p w14:paraId="41D357EC" w14:textId="4FC72D53" w:rsidR="00F9367D" w:rsidRPr="00F9367D" w:rsidRDefault="00F9367D" w:rsidP="00F9367D">
            <w:pPr>
              <w:tabs>
                <w:tab w:val="left" w:pos="8505"/>
              </w:tabs>
              <w:jc w:val="both"/>
              <w:rPr>
                <w:rFonts w:ascii="Times New Roman" w:hAnsi="Times New Roman" w:cs="Times New Roman"/>
                <w:sz w:val="20"/>
                <w:szCs w:val="20"/>
                <w:lang w:val="ro-RO"/>
              </w:rPr>
            </w:pPr>
            <w:r w:rsidRPr="00F9367D">
              <w:rPr>
                <w:rFonts w:ascii="Times New Roman" w:hAnsi="Times New Roman" w:cs="Times New Roman"/>
                <w:b/>
                <w:sz w:val="20"/>
                <w:szCs w:val="20"/>
                <w:lang w:val="ro-RO"/>
              </w:rPr>
              <w:t>1.9.</w:t>
            </w:r>
            <w:r>
              <w:rPr>
                <w:rFonts w:ascii="Times New Roman" w:hAnsi="Times New Roman" w:cs="Times New Roman"/>
                <w:b/>
                <w:sz w:val="20"/>
                <w:szCs w:val="20"/>
                <w:lang w:val="ro-RO"/>
              </w:rPr>
              <w:t xml:space="preserve"> </w:t>
            </w:r>
            <w:r w:rsidRPr="00F9367D">
              <w:rPr>
                <w:rFonts w:ascii="Times New Roman" w:hAnsi="Times New Roman" w:cs="Times New Roman"/>
                <w:sz w:val="20"/>
                <w:szCs w:val="20"/>
                <w:lang w:val="ro-RO"/>
              </w:rPr>
              <w:t>Punctul 14 se completează cu subpunctele 9) și 10) cu următorul cuprins:</w:t>
            </w:r>
          </w:p>
          <w:p w14:paraId="63E0CE9A" w14:textId="77777777" w:rsidR="00F9367D" w:rsidRPr="00F9367D" w:rsidRDefault="00F9367D" w:rsidP="00F9367D">
            <w:pPr>
              <w:tabs>
                <w:tab w:val="left" w:pos="8505"/>
              </w:tabs>
              <w:jc w:val="both"/>
              <w:rPr>
                <w:rFonts w:ascii="Times New Roman" w:hAnsi="Times New Roman" w:cs="Times New Roman"/>
                <w:sz w:val="20"/>
                <w:szCs w:val="20"/>
                <w:lang w:val="ro-RO"/>
              </w:rPr>
            </w:pPr>
            <w:r w:rsidRPr="00F9367D">
              <w:rPr>
                <w:rFonts w:ascii="Times New Roman" w:hAnsi="Times New Roman" w:cs="Times New Roman"/>
                <w:sz w:val="20"/>
                <w:szCs w:val="20"/>
                <w:lang w:val="ro-RO"/>
              </w:rPr>
              <w:t xml:space="preserve">„9) achizițiile de drepturi de utilizare a produselor software standardizate și a </w:t>
            </w:r>
            <w:r w:rsidRPr="00F9367D">
              <w:rPr>
                <w:rFonts w:ascii="Times New Roman" w:hAnsi="Times New Roman" w:cs="Times New Roman"/>
                <w:sz w:val="20"/>
                <w:szCs w:val="20"/>
                <w:lang w:val="ro-RO"/>
              </w:rPr>
              <w:lastRenderedPageBreak/>
              <w:t>soluțiilor de securitate informatică, furnizate pe bază de licență, atunci când drepturile de distribuție sau utilizare sunt deținute în mod exclusiv de titularul dreptului sau de distribuitori autorizați și nu există o alternativă concurențială reală;</w:t>
            </w:r>
          </w:p>
          <w:p w14:paraId="4262C9EE" w14:textId="672359C2" w:rsidR="00F9367D" w:rsidRPr="00F9367D" w:rsidRDefault="00F9367D" w:rsidP="00F9367D">
            <w:pPr>
              <w:tabs>
                <w:tab w:val="left" w:pos="8505"/>
              </w:tabs>
              <w:jc w:val="both"/>
              <w:rPr>
                <w:rFonts w:ascii="Times New Roman" w:hAnsi="Times New Roman" w:cs="Times New Roman"/>
                <w:sz w:val="20"/>
                <w:szCs w:val="20"/>
                <w:lang w:val="ro-RO"/>
              </w:rPr>
            </w:pPr>
            <w:r w:rsidRPr="00F9367D">
              <w:rPr>
                <w:rFonts w:ascii="Times New Roman" w:hAnsi="Times New Roman" w:cs="Times New Roman"/>
                <w:sz w:val="20"/>
                <w:szCs w:val="20"/>
                <w:lang w:val="ro-RO"/>
              </w:rPr>
              <w:t>10) achizițiile de spațiu publicitar digital realizate direct de la operatorii platformelor digitale, în condiții contractuale standardizate, atunci când serviciul poate fi furnizat exclusiv prin infrastructura tehnică a platformei respective și nu există o alternativă concurențială reală.”.</w:t>
            </w:r>
          </w:p>
          <w:p w14:paraId="62E97D16" w14:textId="77777777" w:rsidR="00F9367D" w:rsidRPr="00F9367D" w:rsidRDefault="00F9367D" w:rsidP="00F9367D">
            <w:pPr>
              <w:tabs>
                <w:tab w:val="left" w:pos="8505"/>
              </w:tabs>
              <w:jc w:val="both"/>
              <w:rPr>
                <w:rFonts w:ascii="Times New Roman" w:hAnsi="Times New Roman" w:cs="Times New Roman"/>
                <w:b/>
                <w:sz w:val="20"/>
                <w:szCs w:val="20"/>
                <w:lang w:val="ro-RO"/>
              </w:rPr>
            </w:pPr>
          </w:p>
          <w:p w14:paraId="327095BA" w14:textId="683017E0" w:rsidR="00F9367D" w:rsidRPr="00F9367D" w:rsidRDefault="00F9367D" w:rsidP="00F9367D">
            <w:pPr>
              <w:tabs>
                <w:tab w:val="left" w:pos="8505"/>
              </w:tabs>
              <w:jc w:val="both"/>
              <w:rPr>
                <w:rFonts w:ascii="Times New Roman" w:hAnsi="Times New Roman" w:cs="Times New Roman"/>
                <w:sz w:val="20"/>
                <w:szCs w:val="20"/>
                <w:lang w:val="ro-RO"/>
              </w:rPr>
            </w:pPr>
            <w:r w:rsidRPr="00F9367D">
              <w:rPr>
                <w:rFonts w:ascii="Times New Roman" w:hAnsi="Times New Roman" w:cs="Times New Roman"/>
                <w:b/>
                <w:sz w:val="20"/>
                <w:szCs w:val="20"/>
                <w:lang w:val="ro-RO"/>
              </w:rPr>
              <w:t>1.10.</w:t>
            </w:r>
            <w:r>
              <w:rPr>
                <w:rFonts w:ascii="Times New Roman" w:hAnsi="Times New Roman" w:cs="Times New Roman"/>
                <w:b/>
                <w:sz w:val="20"/>
                <w:szCs w:val="20"/>
                <w:lang w:val="ro-RO"/>
              </w:rPr>
              <w:t xml:space="preserve"> </w:t>
            </w:r>
            <w:r w:rsidRPr="00F9367D">
              <w:rPr>
                <w:rFonts w:ascii="Times New Roman" w:hAnsi="Times New Roman" w:cs="Times New Roman"/>
                <w:sz w:val="20"/>
                <w:szCs w:val="20"/>
                <w:lang w:val="ro-RO"/>
              </w:rPr>
              <w:t>Se introduce punctul 14</w:t>
            </w:r>
            <w:r>
              <w:rPr>
                <w:rFonts w:ascii="Times New Roman" w:hAnsi="Times New Roman" w:cs="Times New Roman"/>
                <w:sz w:val="20"/>
                <w:szCs w:val="20"/>
                <w:vertAlign w:val="superscript"/>
                <w:lang w:val="ro-RO"/>
              </w:rPr>
              <w:t>1</w:t>
            </w:r>
            <w:r w:rsidRPr="00F9367D">
              <w:rPr>
                <w:rFonts w:ascii="Times New Roman" w:hAnsi="Times New Roman" w:cs="Times New Roman"/>
                <w:sz w:val="20"/>
                <w:szCs w:val="20"/>
                <w:lang w:val="ro-RO"/>
              </w:rPr>
              <w:t xml:space="preserve"> cu următorul cuprins: </w:t>
            </w:r>
          </w:p>
          <w:p w14:paraId="242CC728" w14:textId="125F12E4" w:rsidR="00F9367D" w:rsidRPr="00F9367D" w:rsidRDefault="00F9367D" w:rsidP="00F9367D">
            <w:pPr>
              <w:tabs>
                <w:tab w:val="left" w:pos="8505"/>
              </w:tabs>
              <w:jc w:val="both"/>
              <w:rPr>
                <w:rFonts w:ascii="Times New Roman" w:hAnsi="Times New Roman" w:cs="Times New Roman"/>
                <w:sz w:val="20"/>
                <w:szCs w:val="20"/>
                <w:lang w:val="ro-RO"/>
              </w:rPr>
            </w:pPr>
            <w:r w:rsidRPr="00F9367D">
              <w:rPr>
                <w:rFonts w:ascii="Times New Roman" w:hAnsi="Times New Roman" w:cs="Times New Roman"/>
                <w:sz w:val="20"/>
                <w:szCs w:val="20"/>
                <w:lang w:val="ro-RO"/>
              </w:rPr>
              <w:t>„14</w:t>
            </w:r>
            <w:r>
              <w:rPr>
                <w:rFonts w:ascii="Times New Roman" w:hAnsi="Times New Roman" w:cs="Times New Roman"/>
                <w:sz w:val="20"/>
                <w:szCs w:val="20"/>
                <w:vertAlign w:val="superscript"/>
                <w:lang w:val="ro-RO"/>
              </w:rPr>
              <w:t>1</w:t>
            </w:r>
            <w:r w:rsidRPr="00F9367D">
              <w:rPr>
                <w:rFonts w:ascii="Times New Roman" w:hAnsi="Times New Roman" w:cs="Times New Roman"/>
                <w:sz w:val="20"/>
                <w:szCs w:val="20"/>
                <w:lang w:val="ro-RO"/>
              </w:rPr>
              <w:t>. În sensul subpct. 9), prin produse software standardizate se înțeleg aplicații informatice comerciale furnizate pe bază de licență, destinate utilizării generale, care nu presupun dezvoltare sau adaptare substanțială pentru necesitățile specifice ale autorității/entității contractante. Prin soluții de securitate informatică se înțeleg aplicații sau servicii destinate asigurării protecției sistemelor informatice, rețelelor și datelor împotriva riscurilor cibernetice.</w:t>
            </w:r>
          </w:p>
          <w:p w14:paraId="72224403" w14:textId="64E1010D" w:rsidR="001F26C0" w:rsidRDefault="00F9367D" w:rsidP="00F9367D">
            <w:pPr>
              <w:tabs>
                <w:tab w:val="left" w:pos="8505"/>
              </w:tabs>
              <w:jc w:val="both"/>
              <w:rPr>
                <w:rFonts w:ascii="Times New Roman" w:hAnsi="Times New Roman" w:cs="Times New Roman"/>
                <w:b/>
                <w:sz w:val="20"/>
                <w:szCs w:val="20"/>
                <w:lang w:val="ro-RO"/>
              </w:rPr>
            </w:pPr>
            <w:r w:rsidRPr="00F9367D">
              <w:rPr>
                <w:rFonts w:ascii="Times New Roman" w:hAnsi="Times New Roman" w:cs="Times New Roman"/>
                <w:sz w:val="20"/>
                <w:szCs w:val="20"/>
                <w:lang w:val="ro-RO"/>
              </w:rPr>
              <w:t>În sensul subpct. 10), prin spațiu publicitar digital se înțelege serviciul de afișare a mesajelor promoționale prin intermediul sistemelor informatice gestionate de operatorii platformelor digitale, în baza unor condiții generale prestabilite și fără posibilitatea negocierii individuale a clauzelor contractuale.”.</w:t>
            </w:r>
          </w:p>
        </w:tc>
        <w:tc>
          <w:tcPr>
            <w:tcW w:w="2977" w:type="dxa"/>
          </w:tcPr>
          <w:p w14:paraId="27981948" w14:textId="77777777" w:rsidR="001F26C0" w:rsidRDefault="001F26C0">
            <w:pPr>
              <w:tabs>
                <w:tab w:val="left" w:pos="8505"/>
              </w:tabs>
              <w:jc w:val="center"/>
              <w:rPr>
                <w:rFonts w:ascii="Times New Roman" w:hAnsi="Times New Roman" w:cs="Times New Roman"/>
                <w:b/>
                <w:sz w:val="20"/>
                <w:szCs w:val="20"/>
                <w:lang w:val="ro-RO"/>
              </w:rPr>
            </w:pPr>
          </w:p>
        </w:tc>
        <w:tc>
          <w:tcPr>
            <w:tcW w:w="533" w:type="dxa"/>
          </w:tcPr>
          <w:p w14:paraId="110EB21B" w14:textId="3A385359" w:rsidR="001F26C0" w:rsidRDefault="001F26C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4</w:t>
            </w:r>
          </w:p>
        </w:tc>
        <w:tc>
          <w:tcPr>
            <w:tcW w:w="3402" w:type="dxa"/>
          </w:tcPr>
          <w:p w14:paraId="7BD36C34" w14:textId="3E3A9F73" w:rsidR="001F26C0" w:rsidRPr="00863A23" w:rsidRDefault="001F26C0" w:rsidP="001F26C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ro-RO"/>
              </w:rPr>
              <w:t xml:space="preserve"> Referitor la pct. 1.9 și 1.10, prevederile sunt oportune, însă insuficient delimitate, prin urmare recomandăm ajustarea textului pct. 14 subpct. 9) și 10), prin completarea cu textul „ în baza </w:t>
            </w:r>
            <w:r w:rsidRPr="00863A23">
              <w:rPr>
                <w:rFonts w:ascii="Times New Roman" w:hAnsi="Times New Roman" w:cs="Times New Roman"/>
                <w:sz w:val="20"/>
                <w:szCs w:val="20"/>
                <w:lang w:val="ro-RO"/>
              </w:rPr>
              <w:lastRenderedPageBreak/>
              <w:t xml:space="preserve">unei note justificative întocmite de autoritatea contractantă, care demonstrează lipsa unei alternative concurențiale reale”. </w:t>
            </w:r>
            <w:r w:rsidRPr="00863A23">
              <w:rPr>
                <w:rFonts w:ascii="Times New Roman" w:hAnsi="Times New Roman" w:cs="Times New Roman"/>
                <w:sz w:val="20"/>
                <w:szCs w:val="20"/>
                <w:lang w:val="it-IT"/>
              </w:rPr>
              <w:t>De asemenea completarea definițiilor la pct. 14¹ cu criterii orientative de exemplu exclusivitate tehnică, drepturi de autor, infrastructură proprie.</w:t>
            </w:r>
          </w:p>
        </w:tc>
        <w:tc>
          <w:tcPr>
            <w:tcW w:w="3436" w:type="dxa"/>
          </w:tcPr>
          <w:p w14:paraId="751CB0BF" w14:textId="77777777" w:rsidR="003759D2" w:rsidRPr="003759D2" w:rsidRDefault="003759D2" w:rsidP="003759D2">
            <w:pPr>
              <w:tabs>
                <w:tab w:val="left" w:pos="8505"/>
              </w:tabs>
              <w:jc w:val="both"/>
              <w:rPr>
                <w:rFonts w:ascii="Times New Roman" w:hAnsi="Times New Roman" w:cs="Times New Roman"/>
                <w:b/>
                <w:bCs/>
                <w:sz w:val="20"/>
                <w:szCs w:val="20"/>
              </w:rPr>
            </w:pPr>
            <w:r w:rsidRPr="003759D2">
              <w:rPr>
                <w:rFonts w:ascii="Times New Roman" w:hAnsi="Times New Roman" w:cs="Times New Roman"/>
                <w:b/>
                <w:bCs/>
                <w:sz w:val="20"/>
                <w:szCs w:val="20"/>
              </w:rPr>
              <w:lastRenderedPageBreak/>
              <w:t>Se acceptă</w:t>
            </w:r>
          </w:p>
          <w:p w14:paraId="70F3DFBD" w14:textId="54E11046" w:rsidR="001E264E" w:rsidRPr="00863A23" w:rsidRDefault="001E264E" w:rsidP="00F57A2F">
            <w:pPr>
              <w:tabs>
                <w:tab w:val="left" w:pos="8505"/>
              </w:tabs>
              <w:jc w:val="both"/>
              <w:rPr>
                <w:rFonts w:ascii="Times New Roman" w:hAnsi="Times New Roman" w:cs="Times New Roman"/>
                <w:sz w:val="20"/>
                <w:szCs w:val="20"/>
                <w:lang w:val="it-IT"/>
              </w:rPr>
            </w:pPr>
            <w:r>
              <w:rPr>
                <w:rFonts w:ascii="Times New Roman" w:hAnsi="Times New Roman" w:cs="Times New Roman"/>
                <w:sz w:val="20"/>
                <w:szCs w:val="20"/>
              </w:rPr>
              <w:t>Textul</w:t>
            </w:r>
            <w:r w:rsidRPr="001E264E">
              <w:rPr>
                <w:rFonts w:ascii="Times New Roman" w:hAnsi="Times New Roman" w:cs="Times New Roman"/>
                <w:sz w:val="20"/>
                <w:szCs w:val="20"/>
              </w:rPr>
              <w:t xml:space="preserve"> pct. 14 subpct. </w:t>
            </w:r>
            <w:r w:rsidRPr="00863A23">
              <w:rPr>
                <w:rFonts w:ascii="Times New Roman" w:hAnsi="Times New Roman" w:cs="Times New Roman"/>
                <w:sz w:val="20"/>
                <w:szCs w:val="20"/>
                <w:lang w:val="it-IT"/>
              </w:rPr>
              <w:t xml:space="preserve">9) și 10) a fost ajustat, prin completarea cu textul „ în baza unei note justificative întocmite de autoritatea contractantă, care </w:t>
            </w:r>
            <w:r w:rsidRPr="00863A23">
              <w:rPr>
                <w:rFonts w:ascii="Times New Roman" w:hAnsi="Times New Roman" w:cs="Times New Roman"/>
                <w:sz w:val="20"/>
                <w:szCs w:val="20"/>
                <w:lang w:val="it-IT"/>
              </w:rPr>
              <w:lastRenderedPageBreak/>
              <w:t>demonstrează lipsa unei alternative concurențiale reale”.</w:t>
            </w:r>
          </w:p>
          <w:p w14:paraId="074B8B7B" w14:textId="77777777" w:rsidR="001F26C0" w:rsidRPr="009302D4" w:rsidRDefault="003759D2" w:rsidP="00F57A2F">
            <w:pPr>
              <w:tabs>
                <w:tab w:val="left" w:pos="8505"/>
              </w:tabs>
              <w:jc w:val="both"/>
              <w:rPr>
                <w:rFonts w:ascii="Times New Roman" w:hAnsi="Times New Roman" w:cs="Times New Roman"/>
                <w:sz w:val="20"/>
                <w:szCs w:val="20"/>
                <w:lang w:val="it-IT"/>
              </w:rPr>
            </w:pPr>
            <w:r w:rsidRPr="009302D4">
              <w:rPr>
                <w:rFonts w:ascii="Times New Roman" w:hAnsi="Times New Roman" w:cs="Times New Roman"/>
                <w:sz w:val="20"/>
                <w:szCs w:val="20"/>
                <w:lang w:val="it-IT"/>
              </w:rPr>
              <w:t>Proiectul a fost ajustat pentru a include cerința notei justificative și criteriile clarificatoare, asigurând un echilibru optim între flexibilitatea necesară pentru achizițiile specifice (software, publicitate digitală) și protecția concurenței și a fondurilor publice.</w:t>
            </w:r>
          </w:p>
          <w:p w14:paraId="78EB0225" w14:textId="3FCD3FA6" w:rsidR="001E264E" w:rsidRPr="003759D2" w:rsidRDefault="001E264E" w:rsidP="001E264E">
            <w:pPr>
              <w:tabs>
                <w:tab w:val="left" w:pos="8505"/>
              </w:tabs>
              <w:jc w:val="both"/>
              <w:rPr>
                <w:rFonts w:ascii="Times New Roman" w:hAnsi="Times New Roman" w:cs="Times New Roman"/>
                <w:sz w:val="20"/>
                <w:szCs w:val="20"/>
              </w:rPr>
            </w:pPr>
            <w:r w:rsidRPr="001E264E">
              <w:rPr>
                <w:rFonts w:ascii="Times New Roman" w:hAnsi="Times New Roman" w:cs="Times New Roman"/>
                <w:sz w:val="20"/>
                <w:szCs w:val="20"/>
              </w:rPr>
              <w:t>De asemenea</w:t>
            </w:r>
            <w:r>
              <w:rPr>
                <w:rFonts w:ascii="Times New Roman" w:hAnsi="Times New Roman" w:cs="Times New Roman"/>
                <w:sz w:val="20"/>
                <w:szCs w:val="20"/>
              </w:rPr>
              <w:t xml:space="preserve"> a fost</w:t>
            </w:r>
            <w:r w:rsidRPr="001E264E">
              <w:rPr>
                <w:rFonts w:ascii="Times New Roman" w:hAnsi="Times New Roman" w:cs="Times New Roman"/>
                <w:sz w:val="20"/>
                <w:szCs w:val="20"/>
              </w:rPr>
              <w:t xml:space="preserve"> </w:t>
            </w:r>
            <w:r>
              <w:rPr>
                <w:rFonts w:ascii="Times New Roman" w:hAnsi="Times New Roman" w:cs="Times New Roman"/>
                <w:sz w:val="20"/>
                <w:szCs w:val="20"/>
              </w:rPr>
              <w:t>completat</w:t>
            </w:r>
            <w:r w:rsidRPr="001E264E">
              <w:rPr>
                <w:rFonts w:ascii="Times New Roman" w:hAnsi="Times New Roman" w:cs="Times New Roman"/>
                <w:sz w:val="20"/>
                <w:szCs w:val="20"/>
              </w:rPr>
              <w:t xml:space="preserve"> pct. 14¹ cu criterii orientative</w:t>
            </w:r>
            <w:r>
              <w:rPr>
                <w:rFonts w:ascii="Times New Roman" w:hAnsi="Times New Roman" w:cs="Times New Roman"/>
                <w:sz w:val="20"/>
                <w:szCs w:val="20"/>
              </w:rPr>
              <w:t>,</w:t>
            </w:r>
            <w:r w:rsidRPr="001E264E">
              <w:rPr>
                <w:rFonts w:ascii="Times New Roman" w:hAnsi="Times New Roman" w:cs="Times New Roman"/>
                <w:sz w:val="20"/>
                <w:szCs w:val="20"/>
              </w:rPr>
              <w:t xml:space="preserve"> exclusivitate tehnică, drepturi de autor, infrastructură proprie.</w:t>
            </w:r>
          </w:p>
        </w:tc>
      </w:tr>
      <w:tr w:rsidR="001F26C0" w:rsidRPr="00760BD0" w14:paraId="66EC2D99" w14:textId="77777777" w:rsidTr="00A919EA">
        <w:tc>
          <w:tcPr>
            <w:tcW w:w="3397" w:type="dxa"/>
          </w:tcPr>
          <w:p w14:paraId="15A8563D" w14:textId="64E29BFC" w:rsidR="001E264E" w:rsidRPr="001E264E" w:rsidRDefault="001E264E" w:rsidP="001E264E">
            <w:pPr>
              <w:tabs>
                <w:tab w:val="left" w:pos="8505"/>
              </w:tabs>
              <w:jc w:val="both"/>
              <w:rPr>
                <w:rFonts w:ascii="Times New Roman" w:hAnsi="Times New Roman" w:cs="Times New Roman"/>
                <w:sz w:val="20"/>
                <w:szCs w:val="20"/>
                <w:lang w:val="ro-RO"/>
              </w:rPr>
            </w:pPr>
            <w:r w:rsidRPr="001E264E">
              <w:rPr>
                <w:rFonts w:ascii="Times New Roman" w:hAnsi="Times New Roman" w:cs="Times New Roman"/>
                <w:b/>
                <w:sz w:val="20"/>
                <w:szCs w:val="20"/>
                <w:lang w:val="ro-RO"/>
              </w:rPr>
              <w:lastRenderedPageBreak/>
              <w:t>1.15.</w:t>
            </w:r>
            <w:r>
              <w:rPr>
                <w:rFonts w:ascii="Times New Roman" w:hAnsi="Times New Roman" w:cs="Times New Roman"/>
                <w:b/>
                <w:sz w:val="20"/>
                <w:szCs w:val="20"/>
                <w:lang w:val="ro-RO"/>
              </w:rPr>
              <w:t xml:space="preserve"> </w:t>
            </w:r>
            <w:r w:rsidRPr="001E264E">
              <w:rPr>
                <w:rFonts w:ascii="Times New Roman" w:hAnsi="Times New Roman" w:cs="Times New Roman"/>
                <w:sz w:val="20"/>
                <w:szCs w:val="20"/>
                <w:lang w:val="ro-RO"/>
              </w:rPr>
              <w:t>Se introduce punctul 21</w:t>
            </w:r>
            <w:r>
              <w:rPr>
                <w:rFonts w:ascii="Times New Roman" w:hAnsi="Times New Roman" w:cs="Times New Roman"/>
                <w:sz w:val="20"/>
                <w:szCs w:val="20"/>
                <w:vertAlign w:val="superscript"/>
                <w:lang w:val="ro-RO"/>
              </w:rPr>
              <w:t>1</w:t>
            </w:r>
            <w:r w:rsidRPr="001E264E">
              <w:rPr>
                <w:rFonts w:ascii="Times New Roman" w:hAnsi="Times New Roman" w:cs="Times New Roman"/>
                <w:sz w:val="20"/>
                <w:szCs w:val="20"/>
                <w:lang w:val="ro-RO"/>
              </w:rPr>
              <w:t xml:space="preserve"> cu următorul cuprins:</w:t>
            </w:r>
          </w:p>
          <w:p w14:paraId="15EFFFDC" w14:textId="34222DB0" w:rsidR="001F26C0" w:rsidRDefault="001E264E" w:rsidP="004D12F9">
            <w:pPr>
              <w:tabs>
                <w:tab w:val="left" w:pos="8505"/>
              </w:tabs>
              <w:jc w:val="both"/>
              <w:rPr>
                <w:rFonts w:ascii="Times New Roman" w:hAnsi="Times New Roman" w:cs="Times New Roman"/>
                <w:b/>
                <w:sz w:val="20"/>
                <w:szCs w:val="20"/>
                <w:lang w:val="ro-RO"/>
              </w:rPr>
            </w:pPr>
            <w:r w:rsidRPr="001E264E">
              <w:rPr>
                <w:rFonts w:ascii="Times New Roman" w:hAnsi="Times New Roman" w:cs="Times New Roman"/>
                <w:sz w:val="20"/>
                <w:szCs w:val="20"/>
                <w:lang w:val="ro-RO"/>
              </w:rPr>
              <w:lastRenderedPageBreak/>
              <w:t>„21</w:t>
            </w:r>
            <w:r>
              <w:rPr>
                <w:rFonts w:ascii="Times New Roman" w:hAnsi="Times New Roman" w:cs="Times New Roman"/>
                <w:sz w:val="20"/>
                <w:szCs w:val="20"/>
                <w:vertAlign w:val="superscript"/>
                <w:lang w:val="ro-RO"/>
              </w:rPr>
              <w:t>1</w:t>
            </w:r>
            <w:r w:rsidRPr="001E264E">
              <w:rPr>
                <w:rFonts w:ascii="Times New Roman" w:hAnsi="Times New Roman" w:cs="Times New Roman"/>
                <w:sz w:val="20"/>
                <w:szCs w:val="20"/>
                <w:lang w:val="ro-RO"/>
              </w:rPr>
              <w:t>. Autoritatea contractantă, în cazul achizițiilor de valoare mică a căror valoare depășește pragurile stabilite la pct. 7</w:t>
            </w:r>
            <w:r>
              <w:rPr>
                <w:rFonts w:ascii="Times New Roman" w:hAnsi="Times New Roman" w:cs="Times New Roman"/>
                <w:sz w:val="20"/>
                <w:szCs w:val="20"/>
                <w:vertAlign w:val="superscript"/>
                <w:lang w:val="ro-RO"/>
              </w:rPr>
              <w:t>1</w:t>
            </w:r>
            <w:r w:rsidRPr="001E264E">
              <w:rPr>
                <w:rFonts w:ascii="Times New Roman" w:hAnsi="Times New Roman" w:cs="Times New Roman"/>
                <w:sz w:val="20"/>
                <w:szCs w:val="20"/>
                <w:lang w:val="ro-RO"/>
              </w:rPr>
              <w:t>, publică anunțul de participare în SI „RSAP”, în conformitate cu modelul stabilit în anexa nr. 1</w:t>
            </w:r>
            <w:r w:rsidR="004D12F9">
              <w:rPr>
                <w:rFonts w:ascii="Times New Roman" w:hAnsi="Times New Roman" w:cs="Times New Roman"/>
                <w:sz w:val="20"/>
                <w:szCs w:val="20"/>
                <w:vertAlign w:val="superscript"/>
                <w:lang w:val="ro-RO"/>
              </w:rPr>
              <w:t>1</w:t>
            </w:r>
            <w:r w:rsidRPr="001E264E">
              <w:rPr>
                <w:rFonts w:ascii="Times New Roman" w:hAnsi="Times New Roman" w:cs="Times New Roman"/>
                <w:sz w:val="20"/>
                <w:szCs w:val="20"/>
                <w:lang w:val="ro-RO"/>
              </w:rPr>
              <w:t xml:space="preserve"> la prezentul Regulament, cu excepția cazurilor prevăzute la pct. 14.”.</w:t>
            </w:r>
            <w:r w:rsidR="004D12F9">
              <w:rPr>
                <w:rFonts w:ascii="Times New Roman" w:hAnsi="Times New Roman" w:cs="Times New Roman"/>
                <w:sz w:val="20"/>
                <w:szCs w:val="20"/>
                <w:lang w:val="ro-RO"/>
              </w:rPr>
              <w:t xml:space="preserve"> </w:t>
            </w:r>
          </w:p>
        </w:tc>
        <w:tc>
          <w:tcPr>
            <w:tcW w:w="2977" w:type="dxa"/>
          </w:tcPr>
          <w:p w14:paraId="3337549E" w14:textId="77777777" w:rsidR="001F26C0" w:rsidRDefault="001F26C0">
            <w:pPr>
              <w:tabs>
                <w:tab w:val="left" w:pos="8505"/>
              </w:tabs>
              <w:jc w:val="center"/>
              <w:rPr>
                <w:rFonts w:ascii="Times New Roman" w:hAnsi="Times New Roman" w:cs="Times New Roman"/>
                <w:b/>
                <w:sz w:val="20"/>
                <w:szCs w:val="20"/>
                <w:lang w:val="ro-RO"/>
              </w:rPr>
            </w:pPr>
          </w:p>
        </w:tc>
        <w:tc>
          <w:tcPr>
            <w:tcW w:w="533" w:type="dxa"/>
          </w:tcPr>
          <w:p w14:paraId="6CB605FD" w14:textId="61CDD15F" w:rsidR="001F26C0" w:rsidRDefault="001F26C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5</w:t>
            </w:r>
          </w:p>
        </w:tc>
        <w:tc>
          <w:tcPr>
            <w:tcW w:w="3402" w:type="dxa"/>
          </w:tcPr>
          <w:p w14:paraId="1E10BDE3" w14:textId="650F2336" w:rsidR="001F26C0" w:rsidRPr="00863A23" w:rsidRDefault="001F26C0" w:rsidP="001F26C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La pct. 1.15 privind introducerea pct. 21¹, este necesară clarificarea raportului cu excepțiile, astfel, se propune </w:t>
            </w:r>
            <w:r w:rsidRPr="00863A23">
              <w:rPr>
                <w:rFonts w:ascii="Times New Roman" w:hAnsi="Times New Roman" w:cs="Times New Roman"/>
                <w:sz w:val="20"/>
                <w:szCs w:val="20"/>
                <w:lang w:val="it-IT"/>
              </w:rPr>
              <w:lastRenderedPageBreak/>
              <w:t>completarea pct. 21¹, prin introducerea unei teze finale de tipul: „Prevederile prezentului punct nu se aplică în cazurile prevăzute la pct. 14, care vor fi justificate corespunzător de autoritatea contractantă.”</w:t>
            </w:r>
          </w:p>
        </w:tc>
        <w:tc>
          <w:tcPr>
            <w:tcW w:w="3436" w:type="dxa"/>
          </w:tcPr>
          <w:p w14:paraId="090BD564" w14:textId="036592DC" w:rsidR="001F26C0" w:rsidRPr="00863A23" w:rsidRDefault="004D12F9" w:rsidP="00F57A2F">
            <w:pPr>
              <w:tabs>
                <w:tab w:val="left" w:pos="8505"/>
              </w:tabs>
              <w:jc w:val="both"/>
              <w:rPr>
                <w:rFonts w:ascii="Times New Roman" w:hAnsi="Times New Roman" w:cs="Times New Roman"/>
                <w:b/>
                <w:bCs/>
                <w:sz w:val="20"/>
                <w:szCs w:val="20"/>
                <w:lang w:val="it-IT"/>
              </w:rPr>
            </w:pPr>
            <w:r w:rsidRPr="00863A23">
              <w:rPr>
                <w:rFonts w:ascii="Times New Roman" w:hAnsi="Times New Roman" w:cs="Times New Roman"/>
                <w:b/>
                <w:bCs/>
                <w:sz w:val="20"/>
                <w:szCs w:val="20"/>
                <w:lang w:val="it-IT"/>
              </w:rPr>
              <w:lastRenderedPageBreak/>
              <w:t>Nu s</w:t>
            </w:r>
            <w:r w:rsidR="00C15804" w:rsidRPr="00863A23">
              <w:rPr>
                <w:rFonts w:ascii="Times New Roman" w:hAnsi="Times New Roman" w:cs="Times New Roman"/>
                <w:b/>
                <w:bCs/>
                <w:sz w:val="20"/>
                <w:szCs w:val="20"/>
                <w:lang w:val="it-IT"/>
              </w:rPr>
              <w:t>e acceptă</w:t>
            </w:r>
          </w:p>
          <w:p w14:paraId="71864064" w14:textId="77777777" w:rsidR="00C15804" w:rsidRPr="00863A23" w:rsidRDefault="00C15804" w:rsidP="00C15804">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Propunerea este analizată sub aspectul tehnicii legislative și al necesității de a </w:t>
            </w:r>
            <w:r w:rsidRPr="00863A23">
              <w:rPr>
                <w:rFonts w:ascii="Times New Roman" w:hAnsi="Times New Roman" w:cs="Times New Roman"/>
                <w:sz w:val="20"/>
                <w:szCs w:val="20"/>
                <w:lang w:val="it-IT"/>
              </w:rPr>
              <w:lastRenderedPageBreak/>
              <w:t>asigura claritatea și rigoarea procedurală.</w:t>
            </w:r>
          </w:p>
          <w:p w14:paraId="18738094" w14:textId="4D65624E" w:rsidR="00C15804" w:rsidRPr="00863A23" w:rsidRDefault="00C15804" w:rsidP="00C15804">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Textul actual al pct. 21¹ conține deja sintagma „cu excepția</w:t>
            </w:r>
            <w:r w:rsidR="00AD597B">
              <w:rPr>
                <w:rFonts w:ascii="Times New Roman" w:hAnsi="Times New Roman" w:cs="Times New Roman"/>
                <w:sz w:val="20"/>
                <w:szCs w:val="20"/>
                <w:lang w:val="it-IT"/>
              </w:rPr>
              <w:t xml:space="preserve"> cazurilor prevăzute la pct. 14”</w:t>
            </w:r>
            <w:r w:rsidRPr="00863A23">
              <w:rPr>
                <w:rFonts w:ascii="Times New Roman" w:hAnsi="Times New Roman" w:cs="Times New Roman"/>
                <w:sz w:val="20"/>
                <w:szCs w:val="20"/>
                <w:lang w:val="it-IT"/>
              </w:rPr>
              <w:t>, care delimitează în mod expres și suficient sfera de aplicare a obligației de publicare. Introducerea unei teze suplimentare care să reitereze neaplicabilitatea prevederilor pentru aceleași cazuri ar crea o redundanță normativă, afectând concizia și calitatea redactării actului. În tehnica legislativă, odată stabilită excepția, nu este necesară repetarea efectului de neaplicare.</w:t>
            </w:r>
          </w:p>
          <w:p w14:paraId="1B4085BE" w14:textId="7AE92A09" w:rsidR="00C15804" w:rsidRPr="00863A23" w:rsidRDefault="00C15804" w:rsidP="00C15804">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Se reține și se validează obiectivul propunerii privind necesitatea justificării temeinice a excepțiilor. Această cerință este asigurată prin corelarea cu prevederile pct. 14, care, în urma modificărilor acceptate, includ obligația întocmirii notei justificative pentru demonstrarea lipsei alternativei concurențiale și a încadrării în excepție. Astfel, autoritatea contractantă are deja obligația de a documenta și justifica corespunzător în dosarul achiziției orice abatere de la regula publicării, fără a fi necesară inserarea repetitivă a acestei cerințe în pct. 21¹.</w:t>
            </w:r>
          </w:p>
          <w:p w14:paraId="0351746D" w14:textId="5ACF2E24" w:rsidR="00C15804" w:rsidRPr="00863A23" w:rsidRDefault="00C15804" w:rsidP="00C15804">
            <w:pPr>
              <w:tabs>
                <w:tab w:val="left" w:pos="8505"/>
              </w:tabs>
              <w:jc w:val="both"/>
              <w:rPr>
                <w:rFonts w:ascii="Times New Roman" w:hAnsi="Times New Roman" w:cs="Times New Roman"/>
                <w:b/>
                <w:sz w:val="20"/>
                <w:szCs w:val="20"/>
                <w:lang w:val="it-IT"/>
              </w:rPr>
            </w:pPr>
            <w:r w:rsidRPr="00863A23">
              <w:rPr>
                <w:rFonts w:ascii="Times New Roman" w:hAnsi="Times New Roman" w:cs="Times New Roman"/>
                <w:sz w:val="20"/>
                <w:szCs w:val="20"/>
                <w:lang w:val="it-IT"/>
              </w:rPr>
              <w:t>Prin urmare, proiectul răspunde integral scopului propunerii de a garanta trasabilitatea și fundamentarea deciziilor, menținând în același timp o structură normativă coerentă și lipsită de repetiții inutile. Excepțiile de la publicare rămân strict condiționate de respectarea procedurilor de justificare prevăzute la pct. 14 și de principiile generale ale achizițiilor publice.</w:t>
            </w:r>
          </w:p>
        </w:tc>
      </w:tr>
      <w:tr w:rsidR="001F26C0" w:rsidRPr="00274D20" w14:paraId="52128F12" w14:textId="77777777" w:rsidTr="00A919EA">
        <w:tc>
          <w:tcPr>
            <w:tcW w:w="3397" w:type="dxa"/>
          </w:tcPr>
          <w:p w14:paraId="3AFA2954" w14:textId="2220504F" w:rsidR="00C15804" w:rsidRPr="00C15804" w:rsidRDefault="00C15804" w:rsidP="00C15804">
            <w:pPr>
              <w:tabs>
                <w:tab w:val="left" w:pos="8505"/>
              </w:tabs>
              <w:jc w:val="both"/>
              <w:rPr>
                <w:rFonts w:ascii="Times New Roman" w:hAnsi="Times New Roman" w:cs="Times New Roman"/>
                <w:sz w:val="20"/>
                <w:szCs w:val="20"/>
                <w:lang w:val="ro-RO"/>
              </w:rPr>
            </w:pPr>
            <w:r w:rsidRPr="00C15804">
              <w:rPr>
                <w:rFonts w:ascii="Times New Roman" w:hAnsi="Times New Roman" w:cs="Times New Roman"/>
                <w:b/>
                <w:sz w:val="20"/>
                <w:szCs w:val="20"/>
                <w:lang w:val="ro-RO"/>
              </w:rPr>
              <w:lastRenderedPageBreak/>
              <w:t>1.18.</w:t>
            </w:r>
            <w:r>
              <w:rPr>
                <w:rFonts w:ascii="Times New Roman" w:hAnsi="Times New Roman" w:cs="Times New Roman"/>
                <w:b/>
                <w:sz w:val="20"/>
                <w:szCs w:val="20"/>
                <w:lang w:val="ro-RO"/>
              </w:rPr>
              <w:t xml:space="preserve"> </w:t>
            </w:r>
            <w:r w:rsidRPr="00C15804">
              <w:rPr>
                <w:rFonts w:ascii="Times New Roman" w:hAnsi="Times New Roman" w:cs="Times New Roman"/>
                <w:sz w:val="20"/>
                <w:szCs w:val="20"/>
                <w:lang w:val="ro-RO"/>
              </w:rPr>
              <w:t>Punctul 27 va avea următorul cuprins:</w:t>
            </w:r>
          </w:p>
          <w:p w14:paraId="2A103E21" w14:textId="77777777" w:rsidR="00C15804" w:rsidRPr="00C15804" w:rsidRDefault="00C15804" w:rsidP="00C15804">
            <w:pPr>
              <w:tabs>
                <w:tab w:val="left" w:pos="8505"/>
              </w:tabs>
              <w:jc w:val="both"/>
              <w:rPr>
                <w:rFonts w:ascii="Times New Roman" w:hAnsi="Times New Roman" w:cs="Times New Roman"/>
                <w:sz w:val="20"/>
                <w:szCs w:val="20"/>
                <w:lang w:val="ro-RO"/>
              </w:rPr>
            </w:pPr>
            <w:r w:rsidRPr="00C15804">
              <w:rPr>
                <w:rFonts w:ascii="Times New Roman" w:hAnsi="Times New Roman" w:cs="Times New Roman"/>
                <w:sz w:val="20"/>
                <w:szCs w:val="20"/>
                <w:lang w:val="ro-RO"/>
              </w:rPr>
              <w:t xml:space="preserve">„27. Autoritatea/entitatea contractantă poate utiliza, după caz, formularele </w:t>
            </w:r>
            <w:r w:rsidRPr="00C15804">
              <w:rPr>
                <w:rFonts w:ascii="Times New Roman" w:hAnsi="Times New Roman" w:cs="Times New Roman"/>
                <w:sz w:val="20"/>
                <w:szCs w:val="20"/>
                <w:lang w:val="ro-RO"/>
              </w:rPr>
              <w:lastRenderedPageBreak/>
              <w:t xml:space="preserve">aprobate prin actele normative de implementare a Legii nr. 325/2025 privind achizițiile publice și ale Legii nr. 74/2020 privind achizițiile în sectoarele energeticii, apei, transporturilor și serviciilor poștale, având dreptul de a le adapta și simplifica în funcție de specificul achiziției de valoare mică.”. </w:t>
            </w:r>
          </w:p>
          <w:p w14:paraId="4C2C3DD2" w14:textId="77777777" w:rsidR="00C15804" w:rsidRPr="00C15804" w:rsidRDefault="00C15804" w:rsidP="00C15804">
            <w:pPr>
              <w:tabs>
                <w:tab w:val="left" w:pos="8505"/>
              </w:tabs>
              <w:jc w:val="both"/>
              <w:rPr>
                <w:rFonts w:ascii="Times New Roman" w:hAnsi="Times New Roman" w:cs="Times New Roman"/>
                <w:b/>
                <w:sz w:val="20"/>
                <w:szCs w:val="20"/>
                <w:lang w:val="ro-RO"/>
              </w:rPr>
            </w:pPr>
          </w:p>
          <w:p w14:paraId="584C8637" w14:textId="4A00892F" w:rsidR="00C15804" w:rsidRPr="00C15804" w:rsidRDefault="00C15804" w:rsidP="00C15804">
            <w:pPr>
              <w:tabs>
                <w:tab w:val="left" w:pos="8505"/>
              </w:tabs>
              <w:jc w:val="both"/>
              <w:rPr>
                <w:rFonts w:ascii="Times New Roman" w:hAnsi="Times New Roman" w:cs="Times New Roman"/>
                <w:sz w:val="20"/>
                <w:szCs w:val="20"/>
                <w:lang w:val="ro-RO"/>
              </w:rPr>
            </w:pPr>
            <w:r w:rsidRPr="00C15804">
              <w:rPr>
                <w:rFonts w:ascii="Times New Roman" w:hAnsi="Times New Roman" w:cs="Times New Roman"/>
                <w:b/>
                <w:sz w:val="20"/>
                <w:szCs w:val="20"/>
                <w:lang w:val="ro-RO"/>
              </w:rPr>
              <w:t>1.19.</w:t>
            </w:r>
            <w:r>
              <w:rPr>
                <w:rFonts w:ascii="Times New Roman" w:hAnsi="Times New Roman" w:cs="Times New Roman"/>
                <w:b/>
                <w:sz w:val="20"/>
                <w:szCs w:val="20"/>
                <w:lang w:val="ro-RO"/>
              </w:rPr>
              <w:t xml:space="preserve"> </w:t>
            </w:r>
            <w:r w:rsidRPr="00C15804">
              <w:rPr>
                <w:rFonts w:ascii="Times New Roman" w:hAnsi="Times New Roman" w:cs="Times New Roman"/>
                <w:sz w:val="20"/>
                <w:szCs w:val="20"/>
                <w:lang w:val="ro-RO"/>
              </w:rPr>
              <w:t>Se introduc punctele 27</w:t>
            </w:r>
            <w:r>
              <w:rPr>
                <w:rFonts w:ascii="Times New Roman" w:hAnsi="Times New Roman" w:cs="Times New Roman"/>
                <w:sz w:val="20"/>
                <w:szCs w:val="20"/>
                <w:vertAlign w:val="superscript"/>
                <w:lang w:val="ro-RO"/>
              </w:rPr>
              <w:t>1</w:t>
            </w:r>
            <w:r w:rsidRPr="00C15804">
              <w:rPr>
                <w:rFonts w:ascii="Times New Roman" w:hAnsi="Times New Roman" w:cs="Times New Roman"/>
                <w:sz w:val="20"/>
                <w:szCs w:val="20"/>
                <w:lang w:val="ro-RO"/>
              </w:rPr>
              <w:t xml:space="preserve"> și 27</w:t>
            </w:r>
            <w:r>
              <w:rPr>
                <w:rFonts w:ascii="Times New Roman" w:hAnsi="Times New Roman" w:cs="Times New Roman"/>
                <w:sz w:val="20"/>
                <w:szCs w:val="20"/>
                <w:vertAlign w:val="superscript"/>
                <w:lang w:val="ro-RO"/>
              </w:rPr>
              <w:t>2</w:t>
            </w:r>
            <w:r w:rsidRPr="00C15804">
              <w:rPr>
                <w:rFonts w:ascii="Times New Roman" w:hAnsi="Times New Roman" w:cs="Times New Roman"/>
                <w:sz w:val="20"/>
                <w:szCs w:val="20"/>
                <w:lang w:val="ro-RO"/>
              </w:rPr>
              <w:t xml:space="preserve"> cu următorul cuprins:</w:t>
            </w:r>
          </w:p>
          <w:p w14:paraId="0AC5DF86" w14:textId="23160DBF" w:rsidR="00C15804" w:rsidRPr="00C15804" w:rsidRDefault="00C15804" w:rsidP="00C15804">
            <w:pPr>
              <w:tabs>
                <w:tab w:val="left" w:pos="8505"/>
              </w:tabs>
              <w:jc w:val="both"/>
              <w:rPr>
                <w:rFonts w:ascii="Times New Roman" w:hAnsi="Times New Roman" w:cs="Times New Roman"/>
                <w:sz w:val="20"/>
                <w:szCs w:val="20"/>
                <w:lang w:val="ro-RO"/>
              </w:rPr>
            </w:pPr>
            <w:r w:rsidRPr="00C15804">
              <w:rPr>
                <w:rFonts w:ascii="Times New Roman" w:hAnsi="Times New Roman" w:cs="Times New Roman"/>
                <w:sz w:val="20"/>
                <w:szCs w:val="20"/>
                <w:lang w:val="ro-RO"/>
              </w:rPr>
              <w:t>„27</w:t>
            </w:r>
            <w:r>
              <w:rPr>
                <w:rFonts w:ascii="Times New Roman" w:hAnsi="Times New Roman" w:cs="Times New Roman"/>
                <w:sz w:val="20"/>
                <w:szCs w:val="20"/>
                <w:vertAlign w:val="superscript"/>
                <w:lang w:val="ro-RO"/>
              </w:rPr>
              <w:t>1</w:t>
            </w:r>
            <w:r w:rsidRPr="00C15804">
              <w:rPr>
                <w:rFonts w:ascii="Times New Roman" w:hAnsi="Times New Roman" w:cs="Times New Roman"/>
                <w:sz w:val="20"/>
                <w:szCs w:val="20"/>
                <w:lang w:val="ro-RO"/>
              </w:rPr>
              <w:t>. Autoritatea contractantă, pentru achizițiile de valoare mică a căror valoare, fără taxa pe valoarea adăugată, depășește pragurile prevăzute la pct. 7</w:t>
            </w:r>
            <w:r>
              <w:rPr>
                <w:rFonts w:ascii="Times New Roman" w:hAnsi="Times New Roman" w:cs="Times New Roman"/>
                <w:sz w:val="20"/>
                <w:szCs w:val="20"/>
                <w:vertAlign w:val="superscript"/>
                <w:lang w:val="ro-RO"/>
              </w:rPr>
              <w:t>1</w:t>
            </w:r>
            <w:r w:rsidRPr="00C15804">
              <w:rPr>
                <w:rFonts w:ascii="Times New Roman" w:hAnsi="Times New Roman" w:cs="Times New Roman"/>
                <w:sz w:val="20"/>
                <w:szCs w:val="20"/>
                <w:lang w:val="ro-RO"/>
              </w:rPr>
              <w:t xml:space="preserve"> lit. a) și c), utilizează în mod obligatoriu formularele, propunerea tehnică și propunerea financiară, conform anexelor nr. 2</w:t>
            </w:r>
            <w:r>
              <w:rPr>
                <w:rFonts w:ascii="Times New Roman" w:hAnsi="Times New Roman" w:cs="Times New Roman"/>
                <w:sz w:val="20"/>
                <w:szCs w:val="20"/>
                <w:vertAlign w:val="superscript"/>
                <w:lang w:val="ro-RO"/>
              </w:rPr>
              <w:t>1</w:t>
            </w:r>
            <w:r w:rsidRPr="00C15804">
              <w:rPr>
                <w:rFonts w:ascii="Times New Roman" w:hAnsi="Times New Roman" w:cs="Times New Roman"/>
                <w:sz w:val="20"/>
                <w:szCs w:val="20"/>
                <w:lang w:val="ro-RO"/>
              </w:rPr>
              <w:t>, nr. 2</w:t>
            </w:r>
            <w:r>
              <w:rPr>
                <w:rFonts w:ascii="Times New Roman" w:hAnsi="Times New Roman" w:cs="Times New Roman"/>
                <w:sz w:val="20"/>
                <w:szCs w:val="20"/>
                <w:vertAlign w:val="superscript"/>
                <w:lang w:val="ro-RO"/>
              </w:rPr>
              <w:t>2</w:t>
            </w:r>
            <w:r w:rsidRPr="00C15804">
              <w:rPr>
                <w:rFonts w:ascii="Times New Roman" w:hAnsi="Times New Roman" w:cs="Times New Roman"/>
                <w:sz w:val="20"/>
                <w:szCs w:val="20"/>
                <w:lang w:val="ro-RO"/>
              </w:rPr>
              <w:t>.</w:t>
            </w:r>
          </w:p>
          <w:p w14:paraId="1D3DD4F0" w14:textId="78F64C58" w:rsidR="001F26C0" w:rsidRDefault="00C15804" w:rsidP="00C15804">
            <w:pPr>
              <w:tabs>
                <w:tab w:val="left" w:pos="8505"/>
              </w:tabs>
              <w:jc w:val="both"/>
              <w:rPr>
                <w:rFonts w:ascii="Times New Roman" w:hAnsi="Times New Roman" w:cs="Times New Roman"/>
                <w:b/>
                <w:sz w:val="20"/>
                <w:szCs w:val="20"/>
                <w:lang w:val="ro-RO"/>
              </w:rPr>
            </w:pPr>
            <w:r w:rsidRPr="00C15804">
              <w:rPr>
                <w:rFonts w:ascii="Times New Roman" w:hAnsi="Times New Roman" w:cs="Times New Roman"/>
                <w:sz w:val="20"/>
                <w:szCs w:val="20"/>
                <w:lang w:val="ro-RO"/>
              </w:rPr>
              <w:t xml:space="preserve"> 27</w:t>
            </w:r>
            <w:r w:rsidR="003D570B">
              <w:rPr>
                <w:rFonts w:ascii="Times New Roman" w:hAnsi="Times New Roman" w:cs="Times New Roman"/>
                <w:sz w:val="20"/>
                <w:szCs w:val="20"/>
                <w:vertAlign w:val="superscript"/>
                <w:lang w:val="ro-RO"/>
              </w:rPr>
              <w:t>2</w:t>
            </w:r>
            <w:r w:rsidR="003D570B" w:rsidRPr="00C15804">
              <w:rPr>
                <w:rFonts w:ascii="Times New Roman" w:hAnsi="Times New Roman" w:cs="Times New Roman"/>
                <w:sz w:val="20"/>
                <w:szCs w:val="20"/>
                <w:lang w:val="ro-RO"/>
              </w:rPr>
              <w:t>.</w:t>
            </w:r>
            <w:r w:rsidRPr="00C15804">
              <w:rPr>
                <w:rFonts w:ascii="Times New Roman" w:hAnsi="Times New Roman" w:cs="Times New Roman"/>
                <w:sz w:val="20"/>
                <w:szCs w:val="20"/>
                <w:lang w:val="ro-RO"/>
              </w:rPr>
              <w:t xml:space="preserve"> Autoritatea contractantă, pentru achizițiile de valoare mică a căror valoare, fără taxa pe valoarea adăugată, depășește pragul prevăzut la pct. 7</w:t>
            </w:r>
            <w:r>
              <w:rPr>
                <w:rFonts w:ascii="Times New Roman" w:hAnsi="Times New Roman" w:cs="Times New Roman"/>
                <w:sz w:val="20"/>
                <w:szCs w:val="20"/>
                <w:vertAlign w:val="superscript"/>
                <w:lang w:val="ro-RO"/>
              </w:rPr>
              <w:t>1</w:t>
            </w:r>
            <w:r w:rsidRPr="00C15804">
              <w:rPr>
                <w:rFonts w:ascii="Times New Roman" w:hAnsi="Times New Roman" w:cs="Times New Roman"/>
                <w:sz w:val="20"/>
                <w:szCs w:val="20"/>
                <w:lang w:val="ro-RO"/>
              </w:rPr>
              <w:t xml:space="preserve"> lit. b), elaborează propunerea financiară/devizul de ofertă în conformitate cu reglementările normative în domeniul construcțiilor. La elaborarea documentației aferente, autoritatea contractantă utilizează în mod obligatoriu formularele graficul de executare a lucrărilor, graficul de executare a documentației de proiect, formularul de deviz unificat și graficul de mobilizare a muncitorilor, conform anexelor nr. 2</w:t>
            </w:r>
            <w:r>
              <w:rPr>
                <w:rFonts w:ascii="Times New Roman" w:hAnsi="Times New Roman" w:cs="Times New Roman"/>
                <w:sz w:val="20"/>
                <w:szCs w:val="20"/>
                <w:vertAlign w:val="superscript"/>
                <w:lang w:val="ro-RO"/>
              </w:rPr>
              <w:t>3</w:t>
            </w:r>
            <w:r w:rsidRPr="00C15804">
              <w:rPr>
                <w:rFonts w:ascii="Times New Roman" w:hAnsi="Times New Roman" w:cs="Times New Roman"/>
                <w:sz w:val="20"/>
                <w:szCs w:val="20"/>
                <w:lang w:val="ro-RO"/>
              </w:rPr>
              <w:t>, nr. 2</w:t>
            </w:r>
            <w:r>
              <w:rPr>
                <w:rFonts w:ascii="Times New Roman" w:hAnsi="Times New Roman" w:cs="Times New Roman"/>
                <w:sz w:val="20"/>
                <w:szCs w:val="20"/>
                <w:vertAlign w:val="superscript"/>
                <w:lang w:val="ro-RO"/>
              </w:rPr>
              <w:t>4</w:t>
            </w:r>
            <w:r w:rsidRPr="00C15804">
              <w:rPr>
                <w:rFonts w:ascii="Times New Roman" w:hAnsi="Times New Roman" w:cs="Times New Roman"/>
                <w:sz w:val="20"/>
                <w:szCs w:val="20"/>
                <w:lang w:val="ro-RO"/>
              </w:rPr>
              <w:t>,  nr. 2</w:t>
            </w:r>
            <w:r>
              <w:rPr>
                <w:rFonts w:ascii="Times New Roman" w:hAnsi="Times New Roman" w:cs="Times New Roman"/>
                <w:sz w:val="20"/>
                <w:szCs w:val="20"/>
                <w:vertAlign w:val="superscript"/>
                <w:lang w:val="ro-RO"/>
              </w:rPr>
              <w:t>5</w:t>
            </w:r>
            <w:r w:rsidRPr="00C15804">
              <w:rPr>
                <w:rFonts w:ascii="Times New Roman" w:hAnsi="Times New Roman" w:cs="Times New Roman"/>
                <w:sz w:val="20"/>
                <w:szCs w:val="20"/>
                <w:lang w:val="ro-RO"/>
              </w:rPr>
              <w:t xml:space="preserve"> și nr. 2</w:t>
            </w:r>
            <w:r>
              <w:rPr>
                <w:rFonts w:ascii="Times New Roman" w:hAnsi="Times New Roman" w:cs="Times New Roman"/>
                <w:sz w:val="20"/>
                <w:szCs w:val="20"/>
                <w:vertAlign w:val="superscript"/>
                <w:lang w:val="ro-RO"/>
              </w:rPr>
              <w:t>6</w:t>
            </w:r>
            <w:r w:rsidRPr="00C15804">
              <w:rPr>
                <w:rFonts w:ascii="Times New Roman" w:hAnsi="Times New Roman" w:cs="Times New Roman"/>
                <w:sz w:val="20"/>
                <w:szCs w:val="20"/>
                <w:lang w:val="ro-RO"/>
              </w:rPr>
              <w:t>.”.</w:t>
            </w:r>
          </w:p>
        </w:tc>
        <w:tc>
          <w:tcPr>
            <w:tcW w:w="2977" w:type="dxa"/>
          </w:tcPr>
          <w:p w14:paraId="681EB242" w14:textId="77777777" w:rsidR="001F26C0" w:rsidRDefault="001F26C0">
            <w:pPr>
              <w:tabs>
                <w:tab w:val="left" w:pos="8505"/>
              </w:tabs>
              <w:jc w:val="center"/>
              <w:rPr>
                <w:rFonts w:ascii="Times New Roman" w:hAnsi="Times New Roman" w:cs="Times New Roman"/>
                <w:b/>
                <w:sz w:val="20"/>
                <w:szCs w:val="20"/>
                <w:lang w:val="ro-RO"/>
              </w:rPr>
            </w:pPr>
          </w:p>
        </w:tc>
        <w:tc>
          <w:tcPr>
            <w:tcW w:w="533" w:type="dxa"/>
          </w:tcPr>
          <w:p w14:paraId="7CA97B38" w14:textId="6377CA2F" w:rsidR="001F26C0" w:rsidRDefault="001F26C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6</w:t>
            </w:r>
          </w:p>
        </w:tc>
        <w:tc>
          <w:tcPr>
            <w:tcW w:w="3402" w:type="dxa"/>
          </w:tcPr>
          <w:p w14:paraId="0CE90D1B" w14:textId="35073E86" w:rsidR="001F26C0" w:rsidRPr="00863A23" w:rsidRDefault="001F26C0" w:rsidP="001F26C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Pct. 1.18–1.19, ținem să informăm că se constată un risc de rigidizare excesivă, prin urmare se recomandă ajustarea pct. 27, 27¹ și 27², prin introducerea unei </w:t>
            </w:r>
            <w:r w:rsidRPr="00863A23">
              <w:rPr>
                <w:rFonts w:ascii="Times New Roman" w:hAnsi="Times New Roman" w:cs="Times New Roman"/>
                <w:sz w:val="20"/>
                <w:szCs w:val="20"/>
                <w:lang w:val="it-IT"/>
              </w:rPr>
              <w:lastRenderedPageBreak/>
              <w:t xml:space="preserve">prevederi de flexibilitate și anume </w:t>
            </w:r>
            <w:r w:rsidRPr="00863A23">
              <w:rPr>
                <w:rFonts w:ascii="Times New Roman" w:hAnsi="Times New Roman" w:cs="Times New Roman"/>
                <w:i/>
                <w:iCs/>
                <w:sz w:val="20"/>
                <w:szCs w:val="20"/>
                <w:lang w:val="it-IT"/>
              </w:rPr>
              <w:t>„Autoritatea contractantă poate adapta formularele în funcție de specificul achiziției, fără a afecta conținutul minim obligatoriu”</w:t>
            </w:r>
            <w:r w:rsidRPr="00863A23">
              <w:rPr>
                <w:rFonts w:ascii="Times New Roman" w:hAnsi="Times New Roman" w:cs="Times New Roman"/>
                <w:sz w:val="20"/>
                <w:szCs w:val="20"/>
                <w:lang w:val="it-IT"/>
              </w:rPr>
              <w:t>, cât și se propune autorului delimitarea clară a cazurilor în care utilizarea este obligatorie.</w:t>
            </w:r>
          </w:p>
        </w:tc>
        <w:tc>
          <w:tcPr>
            <w:tcW w:w="3436" w:type="dxa"/>
          </w:tcPr>
          <w:p w14:paraId="0B6200D0" w14:textId="5CE5F3BF" w:rsidR="00743902" w:rsidRPr="00863A23" w:rsidRDefault="00671382" w:rsidP="00D60954">
            <w:pPr>
              <w:tabs>
                <w:tab w:val="left" w:pos="8505"/>
              </w:tabs>
              <w:jc w:val="both"/>
              <w:rPr>
                <w:rFonts w:ascii="Times New Roman" w:hAnsi="Times New Roman" w:cs="Times New Roman"/>
                <w:b/>
                <w:sz w:val="20"/>
                <w:szCs w:val="20"/>
                <w:lang w:val="it-IT"/>
              </w:rPr>
            </w:pPr>
            <w:r w:rsidRPr="00863A23">
              <w:rPr>
                <w:rFonts w:ascii="Times New Roman" w:hAnsi="Times New Roman" w:cs="Times New Roman"/>
                <w:b/>
                <w:sz w:val="20"/>
                <w:szCs w:val="20"/>
                <w:lang w:val="it-IT"/>
              </w:rPr>
              <w:lastRenderedPageBreak/>
              <w:t xml:space="preserve">Nu se acceptă </w:t>
            </w:r>
          </w:p>
          <w:p w14:paraId="65056FC7" w14:textId="77777777" w:rsidR="00671382" w:rsidRPr="00863A23" w:rsidRDefault="00671382" w:rsidP="00671382">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Propunerea nu poate fi acceptată, întrucât introducerea flexibilității de adaptare a formularelor obligatorii </w:t>
            </w:r>
            <w:r w:rsidRPr="00863A23">
              <w:rPr>
                <w:rFonts w:ascii="Times New Roman" w:hAnsi="Times New Roman" w:cs="Times New Roman"/>
                <w:sz w:val="20"/>
                <w:szCs w:val="20"/>
                <w:lang w:val="it-IT"/>
              </w:rPr>
              <w:lastRenderedPageBreak/>
              <w:t>contravine obiectivului strategic de digitalizare și standardizare a procedurilor, iar delimitarea cazurilor de obligativitate este deja realizată explicit în textul proiectului.</w:t>
            </w:r>
          </w:p>
          <w:p w14:paraId="76769452" w14:textId="77777777" w:rsidR="00671382" w:rsidRPr="00863A23" w:rsidRDefault="00671382" w:rsidP="00671382">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Argumentele detaliate sunt următoarele:</w:t>
            </w:r>
          </w:p>
          <w:p w14:paraId="2B8B9DFF" w14:textId="70DA2FB9" w:rsidR="00671382" w:rsidRPr="00863A23" w:rsidRDefault="00671382" w:rsidP="00671382">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Formularele prevăzute la punctele 27¹ și 27² (conform anexelor nr. 2</w:t>
            </w:r>
            <w:r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–2</w:t>
            </w:r>
            <w:r w:rsidRPr="00863A23">
              <w:rPr>
                <w:rFonts w:ascii="Times New Roman" w:hAnsi="Times New Roman" w:cs="Times New Roman"/>
                <w:sz w:val="20"/>
                <w:szCs w:val="20"/>
                <w:vertAlign w:val="superscript"/>
                <w:lang w:val="it-IT"/>
              </w:rPr>
              <w:t>6</w:t>
            </w:r>
            <w:r w:rsidRPr="00863A23">
              <w:rPr>
                <w:rFonts w:ascii="Times New Roman" w:hAnsi="Times New Roman" w:cs="Times New Roman"/>
                <w:sz w:val="20"/>
                <w:szCs w:val="20"/>
                <w:lang w:val="it-IT"/>
              </w:rPr>
              <w:t>) urmează a fi digitalizate și integrate în Sistemul Informațional „RSAP”. Funcționarea eficientă a sistemului electronic impune utilizarea unor formate standardizate și structurate, care să permită prelucrarea automată a datelor, comparabilitatea obiectivă a ofertelor, verificarea conformității prin instrumente digitale și generarea corectă a rapoartelor statistice. Permiterea adaptării acestor formulare de către autoritățile contractante ar crea inconsistențe tehnice, ar compromite integritatea datelor în sistem și ar anula beneficiile digitalizării, îngreunând sau chiar blocând fluxurile automatizate de evaluare și atribuire.</w:t>
            </w:r>
          </w:p>
          <w:p w14:paraId="72660A9C" w14:textId="53D1A990" w:rsidR="00671382" w:rsidRPr="00863A23" w:rsidRDefault="00671382" w:rsidP="00671382">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„Rigidizarea” semnalată este, în realitate, o măsură necesară de standardizare aplicabilă doar achizițiilor ce depășesc pragurile semnificative stabilite la pct. 7</w:t>
            </w:r>
            <w:r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Pentru aceste valori, riscurile financiare și complexitatea justifică pe deplin utilizarea unor formulare uniforme, care asigură transparența, auditabilitatea și egalitatea de tratament. Menținerea unor formate fixe previne subiectivismul și erorile de completare, protejând atât autoritatea contractantă, cât și operatorii economici.</w:t>
            </w:r>
          </w:p>
          <w:p w14:paraId="78539D81" w14:textId="4988FE5B" w:rsidR="00671382" w:rsidRPr="00863A23" w:rsidRDefault="00671382" w:rsidP="00671382">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 Punctul 27 din proiect păstrează deja dreptul autorității contractante de a adapta și simplifica formularele pentru achizițiile care nu se încadrează în cazurile obligatorii de la pct. 27¹ și 27² </w:t>
            </w:r>
            <w:r w:rsidRPr="00863A23">
              <w:rPr>
                <w:rFonts w:ascii="Times New Roman" w:hAnsi="Times New Roman" w:cs="Times New Roman"/>
                <w:sz w:val="20"/>
                <w:szCs w:val="20"/>
                <w:lang w:val="it-IT"/>
              </w:rPr>
              <w:lastRenderedPageBreak/>
              <w:t>(respectiv, pentru valori sub praguri sau pentru alte tipuri de documente). Astfel, proiectul oferă flexibilitatea necesară acolo unde riscurile sunt reduse și digitalizarea nu impune constrângeri stricte, menținând totodată rigoarea necesară pentru procedurile de valori mai mari.</w:t>
            </w:r>
          </w:p>
          <w:p w14:paraId="19B3A73C" w14:textId="5E0CA562" w:rsidR="00671382" w:rsidRPr="00863A23" w:rsidRDefault="00671382" w:rsidP="00671382">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Solicitarea privind delimitarea cazurilor în care utilizarea este obligatorie este redundantă, întrucât punctele 27¹ și 27² fac trimitere expresă și neechivocă la pragurile valorice și tipurile de contracte prevăzute la pct. 7</w:t>
            </w:r>
            <w:r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xml:space="preserve"> lit. a), b) și c). Această structură delimitează precis sfera de aplicare a obligației, fără a necesita precizări suplimentare.</w:t>
            </w:r>
          </w:p>
          <w:p w14:paraId="63A87EBA" w14:textId="6A44F949" w:rsidR="001F26C0" w:rsidRPr="00863A23" w:rsidRDefault="00671382" w:rsidP="00671382">
            <w:pPr>
              <w:tabs>
                <w:tab w:val="left" w:pos="8505"/>
              </w:tabs>
              <w:jc w:val="both"/>
              <w:rPr>
                <w:rFonts w:ascii="Times New Roman" w:hAnsi="Times New Roman" w:cs="Times New Roman"/>
                <w:b/>
                <w:sz w:val="20"/>
                <w:szCs w:val="20"/>
                <w:lang w:val="it-IT"/>
              </w:rPr>
            </w:pPr>
            <w:r w:rsidRPr="00863A23">
              <w:rPr>
                <w:rFonts w:ascii="Times New Roman" w:hAnsi="Times New Roman" w:cs="Times New Roman"/>
                <w:sz w:val="20"/>
                <w:szCs w:val="20"/>
                <w:lang w:val="it-IT"/>
              </w:rPr>
              <w:t>Prin urmare, respingerea propunerii se întemeiază pe necesitatea de a asigura compatibilitatea deplină cu infrastructura digitală a SI „RSAP”, pe cerințele de standardizare a datelor și pe menținerea unui echilibru optim între flexibilitate (pentru valori mici) și rigoare procedurală (pentru valori ce depășesc pragurile), în concordanță cu direcțiile de modernizare a achizițiilor publice.</w:t>
            </w:r>
          </w:p>
        </w:tc>
      </w:tr>
      <w:tr w:rsidR="001F26C0" w:rsidRPr="009957C6" w14:paraId="6F9346E9" w14:textId="77777777" w:rsidTr="00A919EA">
        <w:tc>
          <w:tcPr>
            <w:tcW w:w="3397" w:type="dxa"/>
          </w:tcPr>
          <w:p w14:paraId="5B9693C6" w14:textId="2D17C67C" w:rsidR="00743902" w:rsidRPr="00743902" w:rsidRDefault="00743902" w:rsidP="00743902">
            <w:pPr>
              <w:tabs>
                <w:tab w:val="left" w:pos="8505"/>
              </w:tabs>
              <w:jc w:val="both"/>
              <w:rPr>
                <w:rFonts w:ascii="Times New Roman" w:hAnsi="Times New Roman" w:cs="Times New Roman"/>
                <w:b/>
                <w:sz w:val="20"/>
                <w:szCs w:val="20"/>
                <w:lang w:val="ro-RO"/>
              </w:rPr>
            </w:pPr>
            <w:r w:rsidRPr="00743902">
              <w:rPr>
                <w:rFonts w:ascii="Times New Roman" w:hAnsi="Times New Roman" w:cs="Times New Roman"/>
                <w:b/>
                <w:sz w:val="20"/>
                <w:szCs w:val="20"/>
                <w:lang w:val="ro-RO"/>
              </w:rPr>
              <w:lastRenderedPageBreak/>
              <w:t>1.20.</w:t>
            </w:r>
            <w:r>
              <w:rPr>
                <w:rFonts w:ascii="Times New Roman" w:hAnsi="Times New Roman" w:cs="Times New Roman"/>
                <w:b/>
                <w:sz w:val="20"/>
                <w:szCs w:val="20"/>
                <w:lang w:val="ro-RO"/>
              </w:rPr>
              <w:t xml:space="preserve"> </w:t>
            </w:r>
            <w:r w:rsidRPr="00743902">
              <w:rPr>
                <w:rFonts w:ascii="Times New Roman" w:hAnsi="Times New Roman" w:cs="Times New Roman"/>
                <w:sz w:val="20"/>
                <w:szCs w:val="20"/>
                <w:lang w:val="ro-RO"/>
              </w:rPr>
              <w:t>La punctul 29 se introduce textul „Pentru procedurile de achiziții cu termene extinse de depunere a ofertelor (7 zile sau 12 zile lucrătoare), termenul de solicitare a clarificărilor este de minimum 3 zile lucrătoare de la data publicării anunțului.”.</w:t>
            </w:r>
          </w:p>
          <w:p w14:paraId="3AB00712" w14:textId="77777777" w:rsidR="00743902" w:rsidRPr="00743902" w:rsidRDefault="00743902" w:rsidP="00743902">
            <w:pPr>
              <w:tabs>
                <w:tab w:val="left" w:pos="8505"/>
              </w:tabs>
              <w:jc w:val="both"/>
              <w:rPr>
                <w:rFonts w:ascii="Times New Roman" w:hAnsi="Times New Roman" w:cs="Times New Roman"/>
                <w:b/>
                <w:sz w:val="20"/>
                <w:szCs w:val="20"/>
                <w:lang w:val="ro-RO"/>
              </w:rPr>
            </w:pPr>
          </w:p>
          <w:p w14:paraId="0E0C05D9" w14:textId="758B4D5D" w:rsidR="00743902" w:rsidRPr="00743902" w:rsidRDefault="00743902" w:rsidP="00743902">
            <w:pPr>
              <w:tabs>
                <w:tab w:val="left" w:pos="8505"/>
              </w:tabs>
              <w:jc w:val="both"/>
              <w:rPr>
                <w:rFonts w:ascii="Times New Roman" w:hAnsi="Times New Roman" w:cs="Times New Roman"/>
                <w:sz w:val="20"/>
                <w:szCs w:val="20"/>
                <w:lang w:val="ro-RO"/>
              </w:rPr>
            </w:pPr>
            <w:r w:rsidRPr="00743902">
              <w:rPr>
                <w:rFonts w:ascii="Times New Roman" w:hAnsi="Times New Roman" w:cs="Times New Roman"/>
                <w:b/>
                <w:sz w:val="20"/>
                <w:szCs w:val="20"/>
                <w:lang w:val="ro-RO"/>
              </w:rPr>
              <w:t xml:space="preserve">1.21. </w:t>
            </w:r>
            <w:r w:rsidRPr="00743902">
              <w:rPr>
                <w:rFonts w:ascii="Times New Roman" w:hAnsi="Times New Roman" w:cs="Times New Roman"/>
                <w:sz w:val="20"/>
                <w:szCs w:val="20"/>
                <w:lang w:val="ro-RO"/>
              </w:rPr>
              <w:t>Se introduce punctul 34</w:t>
            </w:r>
            <w:r>
              <w:rPr>
                <w:rFonts w:ascii="Times New Roman" w:hAnsi="Times New Roman" w:cs="Times New Roman"/>
                <w:sz w:val="20"/>
                <w:szCs w:val="20"/>
                <w:vertAlign w:val="superscript"/>
                <w:lang w:val="ro-RO"/>
              </w:rPr>
              <w:t>1</w:t>
            </w:r>
            <w:r w:rsidRPr="00743902">
              <w:rPr>
                <w:rFonts w:ascii="Times New Roman" w:hAnsi="Times New Roman" w:cs="Times New Roman"/>
                <w:sz w:val="20"/>
                <w:szCs w:val="20"/>
                <w:lang w:val="ro-RO"/>
              </w:rPr>
              <w:t xml:space="preserve">, cu următorul cuprins: </w:t>
            </w:r>
          </w:p>
          <w:p w14:paraId="7E49142B" w14:textId="06ECF4EB" w:rsidR="00743902" w:rsidRPr="00743902" w:rsidRDefault="00743902" w:rsidP="00743902">
            <w:pPr>
              <w:tabs>
                <w:tab w:val="left" w:pos="8505"/>
              </w:tabs>
              <w:jc w:val="both"/>
              <w:rPr>
                <w:rFonts w:ascii="Times New Roman" w:hAnsi="Times New Roman" w:cs="Times New Roman"/>
                <w:sz w:val="20"/>
                <w:szCs w:val="20"/>
                <w:lang w:val="ro-RO"/>
              </w:rPr>
            </w:pPr>
            <w:r w:rsidRPr="00743902">
              <w:rPr>
                <w:rFonts w:ascii="Times New Roman" w:hAnsi="Times New Roman" w:cs="Times New Roman"/>
                <w:sz w:val="20"/>
                <w:szCs w:val="20"/>
                <w:lang w:val="ro-RO"/>
              </w:rPr>
              <w:t xml:space="preserve"> „34</w:t>
            </w:r>
            <w:r>
              <w:rPr>
                <w:rFonts w:ascii="Times New Roman" w:hAnsi="Times New Roman" w:cs="Times New Roman"/>
                <w:sz w:val="20"/>
                <w:szCs w:val="20"/>
                <w:vertAlign w:val="superscript"/>
                <w:lang w:val="ro-RO"/>
              </w:rPr>
              <w:t>1</w:t>
            </w:r>
            <w:r w:rsidRPr="00743902">
              <w:rPr>
                <w:rFonts w:ascii="Times New Roman" w:hAnsi="Times New Roman" w:cs="Times New Roman"/>
                <w:sz w:val="20"/>
                <w:szCs w:val="20"/>
                <w:lang w:val="ro-RO"/>
              </w:rPr>
              <w:t>. În cazul achizițiilor de valoare mică a căror valoare, fără taxa pe valoarea adăugată, depășește pragurile prevăzute la pct. 7</w:t>
            </w:r>
            <w:r>
              <w:rPr>
                <w:rFonts w:ascii="Times New Roman" w:hAnsi="Times New Roman" w:cs="Times New Roman"/>
                <w:sz w:val="20"/>
                <w:szCs w:val="20"/>
                <w:vertAlign w:val="superscript"/>
                <w:lang w:val="ro-RO"/>
              </w:rPr>
              <w:t>1</w:t>
            </w:r>
            <w:r w:rsidRPr="00743902">
              <w:rPr>
                <w:rFonts w:ascii="Times New Roman" w:hAnsi="Times New Roman" w:cs="Times New Roman"/>
                <w:sz w:val="20"/>
                <w:szCs w:val="20"/>
                <w:lang w:val="ro-RO"/>
              </w:rPr>
              <w:t xml:space="preserve">, autoritățile </w:t>
            </w:r>
            <w:r w:rsidRPr="00743902">
              <w:rPr>
                <w:rFonts w:ascii="Times New Roman" w:hAnsi="Times New Roman" w:cs="Times New Roman"/>
                <w:sz w:val="20"/>
                <w:szCs w:val="20"/>
                <w:lang w:val="ro-RO"/>
              </w:rPr>
              <w:lastRenderedPageBreak/>
              <w:t xml:space="preserve">contractante vor stabili următoarele termene minime pentru depunerea ofertelor: </w:t>
            </w:r>
          </w:p>
          <w:p w14:paraId="5497BA9E" w14:textId="789AB00B" w:rsidR="00743902" w:rsidRPr="00743902" w:rsidRDefault="00743902" w:rsidP="00743902">
            <w:pPr>
              <w:tabs>
                <w:tab w:val="left" w:pos="8505"/>
              </w:tabs>
              <w:jc w:val="both"/>
              <w:rPr>
                <w:rFonts w:ascii="Times New Roman" w:hAnsi="Times New Roman" w:cs="Times New Roman"/>
                <w:sz w:val="20"/>
                <w:szCs w:val="20"/>
                <w:lang w:val="ro-RO"/>
              </w:rPr>
            </w:pPr>
            <w:r w:rsidRPr="00743902">
              <w:rPr>
                <w:rFonts w:ascii="Times New Roman" w:hAnsi="Times New Roman" w:cs="Times New Roman"/>
                <w:sz w:val="20"/>
                <w:szCs w:val="20"/>
                <w:lang w:val="ro-RO"/>
              </w:rPr>
              <w:t>a) 7 zile lucrătoare – pentru achizițiile de bunuri și servicii;</w:t>
            </w:r>
          </w:p>
          <w:p w14:paraId="1CEA6329" w14:textId="53989E9B" w:rsidR="001F26C0" w:rsidRDefault="00743902" w:rsidP="00743902">
            <w:pPr>
              <w:tabs>
                <w:tab w:val="left" w:pos="8505"/>
              </w:tabs>
              <w:jc w:val="both"/>
              <w:rPr>
                <w:rFonts w:ascii="Times New Roman" w:hAnsi="Times New Roman" w:cs="Times New Roman"/>
                <w:b/>
                <w:sz w:val="20"/>
                <w:szCs w:val="20"/>
                <w:lang w:val="ro-RO"/>
              </w:rPr>
            </w:pPr>
            <w:r w:rsidRPr="00743902">
              <w:rPr>
                <w:rFonts w:ascii="Times New Roman" w:hAnsi="Times New Roman" w:cs="Times New Roman"/>
                <w:sz w:val="20"/>
                <w:szCs w:val="20"/>
                <w:lang w:val="ro-RO"/>
              </w:rPr>
              <w:t>b) 12 zile lucrătoare – pentru achizițiile de lucrări.”</w:t>
            </w:r>
          </w:p>
        </w:tc>
        <w:tc>
          <w:tcPr>
            <w:tcW w:w="2977" w:type="dxa"/>
          </w:tcPr>
          <w:p w14:paraId="66EAE027" w14:textId="77777777" w:rsidR="001F26C0" w:rsidRDefault="001F26C0">
            <w:pPr>
              <w:tabs>
                <w:tab w:val="left" w:pos="8505"/>
              </w:tabs>
              <w:jc w:val="center"/>
              <w:rPr>
                <w:rFonts w:ascii="Times New Roman" w:hAnsi="Times New Roman" w:cs="Times New Roman"/>
                <w:b/>
                <w:sz w:val="20"/>
                <w:szCs w:val="20"/>
                <w:lang w:val="ro-RO"/>
              </w:rPr>
            </w:pPr>
          </w:p>
        </w:tc>
        <w:tc>
          <w:tcPr>
            <w:tcW w:w="533" w:type="dxa"/>
          </w:tcPr>
          <w:p w14:paraId="5BA62437" w14:textId="6D0D390A" w:rsidR="001F26C0" w:rsidRDefault="001F26C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7</w:t>
            </w:r>
          </w:p>
        </w:tc>
        <w:tc>
          <w:tcPr>
            <w:tcW w:w="3402" w:type="dxa"/>
          </w:tcPr>
          <w:p w14:paraId="0FC828FA" w14:textId="59458DA7" w:rsidR="001F26C0" w:rsidRPr="00863A23" w:rsidRDefault="001F26C0" w:rsidP="001F26C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În ceea ce privește pct. 1.20 și 1.21, deși necesare, acestea pot afecta operativitatea, se recomandă completarea pct. 34¹, cu modalitatea expresă după cum urmează </w:t>
            </w:r>
            <w:r w:rsidRPr="00863A23">
              <w:rPr>
                <w:rFonts w:ascii="Times New Roman" w:hAnsi="Times New Roman" w:cs="Times New Roman"/>
                <w:i/>
                <w:iCs/>
                <w:sz w:val="20"/>
                <w:szCs w:val="20"/>
                <w:lang w:val="it-IT"/>
              </w:rPr>
              <w:t>„Prin excepție, în cazuri temeinic justificate, autoritatea contractantă poate stabili termene mai scurte, cu indicarea motivelor în documentația de atribuire.”.</w:t>
            </w:r>
          </w:p>
        </w:tc>
        <w:tc>
          <w:tcPr>
            <w:tcW w:w="3436" w:type="dxa"/>
          </w:tcPr>
          <w:p w14:paraId="36694A5F" w14:textId="398A2C52" w:rsidR="009B050A" w:rsidRPr="009302D4" w:rsidRDefault="009B050A" w:rsidP="009B050A">
            <w:pPr>
              <w:tabs>
                <w:tab w:val="left" w:pos="8505"/>
              </w:tabs>
              <w:jc w:val="both"/>
              <w:rPr>
                <w:rFonts w:ascii="Times New Roman" w:hAnsi="Times New Roman" w:cs="Times New Roman"/>
                <w:b/>
                <w:sz w:val="20"/>
                <w:szCs w:val="20"/>
                <w:lang w:val="it-IT"/>
              </w:rPr>
            </w:pPr>
            <w:r w:rsidRPr="009302D4">
              <w:rPr>
                <w:rFonts w:ascii="Times New Roman" w:hAnsi="Times New Roman" w:cs="Times New Roman"/>
                <w:b/>
                <w:sz w:val="20"/>
                <w:szCs w:val="20"/>
                <w:lang w:val="it-IT"/>
              </w:rPr>
              <w:t>Nu se acceptă</w:t>
            </w:r>
          </w:p>
          <w:p w14:paraId="22F840FA" w14:textId="1545EB87" w:rsidR="009B050A" w:rsidRPr="00863A23" w:rsidRDefault="009B050A" w:rsidP="009B050A">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Propunerea de a introduce posibilitatea reducerii termenelor minime de depunere a ofertelor nu poate fi acceptată, iar analiza comparativă cu cadrul normativ existent confirmă justețea și caracterul proporțional al termenelor prevăzute în proiect.</w:t>
            </w:r>
          </w:p>
          <w:p w14:paraId="6C47454D" w14:textId="32EC986F" w:rsidR="009B050A" w:rsidRPr="00863A23" w:rsidRDefault="009B050A" w:rsidP="009B050A">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Argumentele detaliate, inclusiv corelarea cu Hotărârea de Guvern nr. 987/2018 pentru aprobarea Regulamentului privind achiziția bunurilor și serviciilor prin cererea ofertelor de prețuri, sunt următoarele:</w:t>
            </w:r>
          </w:p>
          <w:p w14:paraId="34B33B45" w14:textId="1287F250" w:rsidR="009B050A" w:rsidRPr="00863A23" w:rsidRDefault="009B050A" w:rsidP="009B050A">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lastRenderedPageBreak/>
              <w:t>- Alinierea la standardele normative minimale: Analiza prevederilor din Hotărârea de Guvern nr. 987/2018 (pct. 23), care stabilește termene de „cel puțin 7 zile pentru bu</w:t>
            </w:r>
            <w:r w:rsidR="00AD597B">
              <w:rPr>
                <w:rFonts w:ascii="Times New Roman" w:hAnsi="Times New Roman" w:cs="Times New Roman"/>
                <w:sz w:val="20"/>
                <w:szCs w:val="20"/>
                <w:lang w:val="it-IT"/>
              </w:rPr>
              <w:t>nuri și 12 zile pentru servicii”</w:t>
            </w:r>
            <w:r w:rsidRPr="00863A23">
              <w:rPr>
                <w:rFonts w:ascii="Times New Roman" w:hAnsi="Times New Roman" w:cs="Times New Roman"/>
                <w:sz w:val="20"/>
                <w:szCs w:val="20"/>
                <w:lang w:val="it-IT"/>
              </w:rPr>
              <w:t>, demonstrează că termenele propuse în proiect sunt deja calibrate la limitele minimale recunoscute pentru procedurile simplificate. Proiectul prevede 7 zile lucrătoare pentru bunuri și servicii și 12 zile lucrătoare pentru lucrări, asigurând astfel o coerență deplină cu practicile legislative și standardele de eficiență consacrate. Aceste termene reprezintă pragul minim necesar pentru a garanta o concurență reală, permițând operatorilor economici să pregătească oferte conforme.</w:t>
            </w:r>
          </w:p>
          <w:p w14:paraId="1B49815D" w14:textId="24AAE895" w:rsidR="009B050A" w:rsidRPr="00863A23" w:rsidRDefault="009B050A" w:rsidP="009B050A">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Optimizarea deja realizată pentru servicii: Este de remarcat faptul că proiectul oferă deja o flexibilitate sporită pentru servicii, stabilind un termen de 7 zile lucrătoare, comparativ cu cele 12 zile prevăzute în procedura cererii ofertelor de prețuri. Această reducere este justificată de specificul achizițiilor de valoare mică și de necesitatea celerității. Permiterea unei reduceri suplimentare prin excepție ar coborî sub standardele minimale de transparență și ar risca să transforme procedura într-una pur formală, lipsită de competiție efectivă.</w:t>
            </w:r>
          </w:p>
          <w:p w14:paraId="57BE3DF3" w14:textId="588B9940" w:rsidR="009B050A" w:rsidRPr="00863A23" w:rsidRDefault="009B050A" w:rsidP="009B050A">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 Riscul de denaturare a concurenței: Introducerea unei clauze care să permită scurtarea termenelor, chiar și pe baza unei justificări, creează un risc semnificativ de restricționare artificială a accesului operatorilor economici. Termenele excesiv de scurte pot favoriza operatorii cu informații privilegiate sau pot descuraja participarea, conducând la oferte necompetitive. Menținerea </w:t>
            </w:r>
            <w:r w:rsidRPr="00863A23">
              <w:rPr>
                <w:rFonts w:ascii="Times New Roman" w:hAnsi="Times New Roman" w:cs="Times New Roman"/>
                <w:sz w:val="20"/>
                <w:szCs w:val="20"/>
                <w:lang w:val="it-IT"/>
              </w:rPr>
              <w:lastRenderedPageBreak/>
              <w:t>termenelor fixe și predictibile este esențială pentru a asigura egalitatea de tratament și pentru a preveni subiectivismul în stabilirea calendarului procedurii.</w:t>
            </w:r>
          </w:p>
          <w:p w14:paraId="29EB41BD" w14:textId="45201C7A" w:rsidR="009B050A" w:rsidRPr="00863A23" w:rsidRDefault="009B050A" w:rsidP="009B050A">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Reglementarea distinctă a situațiilor de urgență: Necesitatea de operativitate în cazuri excepționale este deja acoperită de pct. 13 din Regulament, care permite realizarea achizițiilor din motive de urgență, ca urmare a unor necesități neplanificate sau evenimente imprevizibile. Dacă autoritatea/entitatea contractantă se confruntă cu o situație care impune termene extrem de reduse, aceasta trebuie să invoce temeiul urgenței conform pct. 13, și nu să deroge de la termenele minime ale procedurii standard. Această separare asigură faptul că derogările sunt utilizate doar în cazuri justificate și documentate corespunzător, fără a slăbi garanțiile procedurale în cazurile obișnuite.</w:t>
            </w:r>
          </w:p>
          <w:p w14:paraId="0CD8ADE1" w14:textId="2CC04BA4" w:rsidR="001F26C0" w:rsidRPr="00557B7C" w:rsidRDefault="009B050A" w:rsidP="009B050A">
            <w:pPr>
              <w:tabs>
                <w:tab w:val="left" w:pos="8505"/>
              </w:tabs>
              <w:jc w:val="both"/>
              <w:rPr>
                <w:rFonts w:ascii="Times New Roman" w:hAnsi="Times New Roman" w:cs="Times New Roman"/>
                <w:b/>
                <w:sz w:val="20"/>
                <w:szCs w:val="20"/>
              </w:rPr>
            </w:pPr>
            <w:r w:rsidRPr="00863A23">
              <w:rPr>
                <w:rFonts w:ascii="Times New Roman" w:hAnsi="Times New Roman" w:cs="Times New Roman"/>
                <w:sz w:val="20"/>
                <w:szCs w:val="20"/>
                <w:lang w:val="it-IT"/>
              </w:rPr>
              <w:t xml:space="preserve">Prin urmare, menținerea termenelor de 7 și 12 zile lucrătoare este imperativă pentru a asigura un echilibru optim între celeritate și concurență, proiectul fiind deja aliniat la cele mai bune practici și la standardele normative în vigoare. </w:t>
            </w:r>
            <w:r w:rsidRPr="009B050A">
              <w:rPr>
                <w:rFonts w:ascii="Times New Roman" w:hAnsi="Times New Roman" w:cs="Times New Roman"/>
                <w:sz w:val="20"/>
                <w:szCs w:val="20"/>
              </w:rPr>
              <w:t>Orice reducere suplimentară ar afecta integritatea procesului și ar contraveni principiilor achizițiilor publice.</w:t>
            </w:r>
          </w:p>
        </w:tc>
      </w:tr>
      <w:tr w:rsidR="001F26C0" w:rsidRPr="00760BD0" w14:paraId="62629DA4" w14:textId="77777777" w:rsidTr="00A919EA">
        <w:tc>
          <w:tcPr>
            <w:tcW w:w="3397" w:type="dxa"/>
          </w:tcPr>
          <w:p w14:paraId="3E0EA2D3" w14:textId="77777777" w:rsidR="009E4D8F" w:rsidRPr="00311701" w:rsidRDefault="009E4D8F" w:rsidP="009E4D8F">
            <w:pPr>
              <w:tabs>
                <w:tab w:val="left" w:pos="8505"/>
              </w:tabs>
              <w:jc w:val="both"/>
              <w:rPr>
                <w:rFonts w:ascii="Times New Roman" w:hAnsi="Times New Roman" w:cs="Times New Roman"/>
                <w:sz w:val="20"/>
                <w:szCs w:val="20"/>
                <w:lang w:val="ro-RO"/>
              </w:rPr>
            </w:pPr>
            <w:r w:rsidRPr="00311701">
              <w:rPr>
                <w:rFonts w:ascii="Times New Roman" w:hAnsi="Times New Roman" w:cs="Times New Roman"/>
                <w:b/>
                <w:sz w:val="20"/>
                <w:szCs w:val="20"/>
                <w:lang w:val="ro-RO"/>
              </w:rPr>
              <w:lastRenderedPageBreak/>
              <w:t>1.22.</w:t>
            </w:r>
            <w:r>
              <w:rPr>
                <w:rFonts w:ascii="Times New Roman" w:hAnsi="Times New Roman" w:cs="Times New Roman"/>
                <w:sz w:val="20"/>
                <w:szCs w:val="20"/>
                <w:lang w:val="ro-RO"/>
              </w:rPr>
              <w:t xml:space="preserve"> </w:t>
            </w:r>
            <w:r w:rsidRPr="00311701">
              <w:rPr>
                <w:rFonts w:ascii="Times New Roman" w:hAnsi="Times New Roman" w:cs="Times New Roman"/>
                <w:sz w:val="20"/>
                <w:szCs w:val="20"/>
                <w:lang w:val="ro-RO"/>
              </w:rPr>
              <w:t>Se introduce punctul 50</w:t>
            </w:r>
            <w:r>
              <w:rPr>
                <w:rFonts w:ascii="Times New Roman" w:hAnsi="Times New Roman" w:cs="Times New Roman"/>
                <w:sz w:val="20"/>
                <w:szCs w:val="20"/>
                <w:vertAlign w:val="superscript"/>
                <w:lang w:val="ro-RO"/>
              </w:rPr>
              <w:t>1</w:t>
            </w:r>
            <w:r w:rsidRPr="00311701">
              <w:rPr>
                <w:rFonts w:ascii="Times New Roman" w:hAnsi="Times New Roman" w:cs="Times New Roman"/>
                <w:sz w:val="20"/>
                <w:szCs w:val="20"/>
                <w:lang w:val="ro-RO"/>
              </w:rPr>
              <w:t>, cu următorul cuprins:</w:t>
            </w:r>
          </w:p>
          <w:p w14:paraId="621F6827" w14:textId="528954D0" w:rsidR="001F26C0" w:rsidRDefault="009E4D8F" w:rsidP="009E4D8F">
            <w:pPr>
              <w:tabs>
                <w:tab w:val="left" w:pos="8505"/>
              </w:tabs>
              <w:jc w:val="both"/>
              <w:rPr>
                <w:rFonts w:ascii="Times New Roman" w:hAnsi="Times New Roman" w:cs="Times New Roman"/>
                <w:b/>
                <w:sz w:val="20"/>
                <w:szCs w:val="20"/>
                <w:lang w:val="ro-RO"/>
              </w:rPr>
            </w:pPr>
            <w:r w:rsidRPr="00311701">
              <w:rPr>
                <w:rFonts w:ascii="Times New Roman" w:hAnsi="Times New Roman" w:cs="Times New Roman"/>
                <w:sz w:val="20"/>
                <w:szCs w:val="20"/>
                <w:lang w:val="ro-RO"/>
              </w:rPr>
              <w:t>„50</w:t>
            </w:r>
            <w:r>
              <w:rPr>
                <w:rFonts w:ascii="Times New Roman" w:hAnsi="Times New Roman" w:cs="Times New Roman"/>
                <w:sz w:val="20"/>
                <w:szCs w:val="20"/>
                <w:vertAlign w:val="superscript"/>
                <w:lang w:val="ro-RO"/>
              </w:rPr>
              <w:t>1</w:t>
            </w:r>
            <w:r w:rsidRPr="00311701">
              <w:rPr>
                <w:rFonts w:ascii="Times New Roman" w:hAnsi="Times New Roman" w:cs="Times New Roman"/>
                <w:sz w:val="20"/>
                <w:szCs w:val="20"/>
                <w:lang w:val="ro-RO"/>
              </w:rPr>
              <w:t xml:space="preserve">. Autoritatea/entitatea contractantă poate solicita garanția pentru ofertă și garanția de bună execuție a contractului. În anunțul de participare aceasta va indica, după caz, pentru fiecare garanție, cerințele față de emitent, forma, cuantumul și alte condiții de bază ale garanției pentru ofertă, precum și cerințele față de operatorul economic </w:t>
            </w:r>
            <w:r w:rsidRPr="00311701">
              <w:rPr>
                <w:rFonts w:ascii="Times New Roman" w:hAnsi="Times New Roman" w:cs="Times New Roman"/>
                <w:sz w:val="20"/>
                <w:szCs w:val="20"/>
                <w:lang w:val="ro-RO"/>
              </w:rPr>
              <w:lastRenderedPageBreak/>
              <w:t>care depune garanția pentru ofertă și/sau garanția de bună execuție a contractului.”.</w:t>
            </w:r>
          </w:p>
        </w:tc>
        <w:tc>
          <w:tcPr>
            <w:tcW w:w="2977" w:type="dxa"/>
          </w:tcPr>
          <w:p w14:paraId="69EB9B93" w14:textId="77777777" w:rsidR="001F26C0" w:rsidRDefault="001F26C0">
            <w:pPr>
              <w:tabs>
                <w:tab w:val="left" w:pos="8505"/>
              </w:tabs>
              <w:jc w:val="center"/>
              <w:rPr>
                <w:rFonts w:ascii="Times New Roman" w:hAnsi="Times New Roman" w:cs="Times New Roman"/>
                <w:b/>
                <w:sz w:val="20"/>
                <w:szCs w:val="20"/>
                <w:lang w:val="ro-RO"/>
              </w:rPr>
            </w:pPr>
          </w:p>
        </w:tc>
        <w:tc>
          <w:tcPr>
            <w:tcW w:w="533" w:type="dxa"/>
          </w:tcPr>
          <w:p w14:paraId="0EBC3677" w14:textId="205E23FC" w:rsidR="001F26C0" w:rsidRDefault="001F26C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8</w:t>
            </w:r>
          </w:p>
        </w:tc>
        <w:tc>
          <w:tcPr>
            <w:tcW w:w="3402" w:type="dxa"/>
          </w:tcPr>
          <w:p w14:paraId="65822176" w14:textId="6FC20402" w:rsidR="001F26C0" w:rsidRPr="00863A23" w:rsidRDefault="001F26C0" w:rsidP="001F26C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Referitor la pct. 1.22, formularea actuală nu este suficient de clară sub aspectul caracterului opțional, se propune că reformularea pct. 50¹, a fi revizuită prin introducerea expresă a caracterului opțional potrivit căruia „Autoritatea contractantă poate solicita, în mod justificat și proporțional”, consecvent recomandăm completarea prezentului punct cu criterii minime de </w:t>
            </w:r>
            <w:r w:rsidRPr="00863A23">
              <w:rPr>
                <w:rFonts w:ascii="Times New Roman" w:hAnsi="Times New Roman" w:cs="Times New Roman"/>
                <w:sz w:val="20"/>
                <w:szCs w:val="20"/>
                <w:lang w:val="it-IT"/>
              </w:rPr>
              <w:lastRenderedPageBreak/>
              <w:t>proporționalitate drept exemplu raportare la valoarea contractului.</w:t>
            </w:r>
          </w:p>
        </w:tc>
        <w:tc>
          <w:tcPr>
            <w:tcW w:w="3436" w:type="dxa"/>
          </w:tcPr>
          <w:p w14:paraId="1128DAD6" w14:textId="075D5EB5" w:rsidR="001F26C0" w:rsidRPr="00863A23" w:rsidRDefault="00E84812" w:rsidP="00F57A2F">
            <w:pPr>
              <w:tabs>
                <w:tab w:val="left" w:pos="8505"/>
              </w:tabs>
              <w:jc w:val="both"/>
              <w:rPr>
                <w:rFonts w:ascii="Times New Roman" w:hAnsi="Times New Roman" w:cs="Times New Roman"/>
                <w:b/>
                <w:sz w:val="20"/>
                <w:szCs w:val="20"/>
                <w:lang w:val="it-IT"/>
              </w:rPr>
            </w:pPr>
            <w:r w:rsidRPr="00863A23">
              <w:rPr>
                <w:rFonts w:ascii="Times New Roman" w:hAnsi="Times New Roman" w:cs="Times New Roman"/>
                <w:b/>
                <w:sz w:val="20"/>
                <w:szCs w:val="20"/>
                <w:lang w:val="it-IT"/>
              </w:rPr>
              <w:lastRenderedPageBreak/>
              <w:t>Se acceptă</w:t>
            </w:r>
          </w:p>
          <w:p w14:paraId="6633EF87" w14:textId="77777777" w:rsidR="00E84812" w:rsidRPr="00863A23" w:rsidRDefault="00E84812" w:rsidP="00F57A2F">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Propunerea este analizată favorabil sub aspectul necesității de a consolida aplicarea principiilor proporționalității, nediscriminării și accesului echitabil al operatorilor economici, în special al IMM-urilor, în concordanță cu Legea nr. 325/2025.</w:t>
            </w:r>
          </w:p>
          <w:p w14:paraId="7F4C291B" w14:textId="77777777" w:rsidR="00E84812" w:rsidRPr="00863A23" w:rsidRDefault="001C21EF" w:rsidP="001C21EF">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Sintagma </w:t>
            </w:r>
            <w:r w:rsidRPr="00863A23">
              <w:rPr>
                <w:rFonts w:ascii="Times New Roman" w:hAnsi="Times New Roman" w:cs="Times New Roman"/>
                <w:bCs/>
                <w:i/>
                <w:sz w:val="20"/>
                <w:szCs w:val="20"/>
                <w:lang w:val="it-IT"/>
              </w:rPr>
              <w:t xml:space="preserve">„poate solicita” </w:t>
            </w:r>
            <w:r w:rsidRPr="00863A23">
              <w:rPr>
                <w:rFonts w:ascii="Times New Roman" w:hAnsi="Times New Roman" w:cs="Times New Roman"/>
                <w:sz w:val="20"/>
                <w:szCs w:val="20"/>
                <w:lang w:val="it-IT"/>
              </w:rPr>
              <w:t>din textul actual al pct. 50</w:t>
            </w:r>
            <w:r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xml:space="preserve"> stabilește deja, în mod neechivoc și conform tehnicii </w:t>
            </w:r>
            <w:r w:rsidRPr="00863A23">
              <w:rPr>
                <w:rFonts w:ascii="Times New Roman" w:hAnsi="Times New Roman" w:cs="Times New Roman"/>
                <w:sz w:val="20"/>
                <w:szCs w:val="20"/>
                <w:lang w:val="it-IT"/>
              </w:rPr>
              <w:lastRenderedPageBreak/>
              <w:t>legislative, caracterul discreționar și opțional al garanțiilor. Termenul „poate” conferă autorității contractante dreptul de a decide, fără a impune o obligație, astfel că reiterarea expresă a caracterului opțional ar fi redundantă.</w:t>
            </w:r>
          </w:p>
          <w:p w14:paraId="064C1E4B" w14:textId="77777777" w:rsidR="001C21EF" w:rsidRPr="00863A23" w:rsidRDefault="001C21EF" w:rsidP="001C21EF">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Se acceptă completarea textului cu cerința expresă ca solicitarea garanțiilor să se realizeze „în mod justificat și proportional”. Această completare este oportună deoarece consolidează cadrul decizional, obligând autoritatea contractantă să fundamenteze necesitatea garanției în raport cu riscurile identificate și să evite impunerea unor sarcini financiare sau administrative disproporționate, care ar putea restricționa nejustificat competiția.</w:t>
            </w:r>
          </w:p>
          <w:p w14:paraId="0F803E79" w14:textId="77777777" w:rsidR="001C21EF" w:rsidRPr="00863A23" w:rsidRDefault="007A0F33" w:rsidP="001C21EF">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Se acceptă integrarea criteriilor obiective pentru stabilirea garanțiilor. Pct. 50</w:t>
            </w:r>
            <w:r w:rsidRPr="00863A23">
              <w:rPr>
                <w:rFonts w:ascii="Times New Roman" w:hAnsi="Times New Roman" w:cs="Times New Roman"/>
                <w:sz w:val="20"/>
                <w:szCs w:val="20"/>
                <w:vertAlign w:val="superscript"/>
                <w:lang w:val="it-IT"/>
              </w:rPr>
              <w:t xml:space="preserve">1 </w:t>
            </w:r>
            <w:r w:rsidRPr="00863A23">
              <w:rPr>
                <w:rFonts w:ascii="Times New Roman" w:hAnsi="Times New Roman" w:cs="Times New Roman"/>
                <w:sz w:val="20"/>
                <w:szCs w:val="20"/>
                <w:lang w:val="it-IT"/>
              </w:rPr>
              <w:t>a fost reformulate după cum urmează:</w:t>
            </w:r>
          </w:p>
          <w:p w14:paraId="4C4A887A" w14:textId="57269483" w:rsidR="007A0F33" w:rsidRPr="007A0F33" w:rsidRDefault="007A0F33" w:rsidP="001C21EF">
            <w:pPr>
              <w:tabs>
                <w:tab w:val="left" w:pos="8505"/>
              </w:tabs>
              <w:jc w:val="both"/>
              <w:rPr>
                <w:rFonts w:ascii="Times New Roman" w:hAnsi="Times New Roman" w:cs="Times New Roman"/>
                <w:sz w:val="20"/>
                <w:szCs w:val="20"/>
                <w:lang w:val="ro-MD"/>
              </w:rPr>
            </w:pPr>
            <w:r w:rsidRPr="00863A23">
              <w:rPr>
                <w:rFonts w:ascii="Times New Roman" w:hAnsi="Times New Roman" w:cs="Times New Roman"/>
                <w:sz w:val="20"/>
                <w:szCs w:val="20"/>
                <w:lang w:val="it-IT"/>
              </w:rPr>
              <w:t>„</w:t>
            </w:r>
            <w:r w:rsidRPr="007A0F33">
              <w:rPr>
                <w:rFonts w:ascii="Times New Roman" w:hAnsi="Times New Roman" w:cs="Times New Roman"/>
                <w:sz w:val="20"/>
                <w:szCs w:val="20"/>
                <w:lang w:val="ro-MD"/>
              </w:rPr>
              <w:t>50</w:t>
            </w:r>
            <w:r w:rsidRPr="007A0F33">
              <w:rPr>
                <w:rFonts w:ascii="Times New Roman" w:hAnsi="Times New Roman" w:cs="Times New Roman"/>
                <w:sz w:val="20"/>
                <w:szCs w:val="20"/>
                <w:vertAlign w:val="superscript"/>
                <w:lang w:val="ro-MD"/>
              </w:rPr>
              <w:t>1</w:t>
            </w:r>
            <w:r w:rsidRPr="007A0F33">
              <w:rPr>
                <w:rFonts w:ascii="Times New Roman" w:hAnsi="Times New Roman" w:cs="Times New Roman"/>
                <w:sz w:val="20"/>
                <w:szCs w:val="20"/>
                <w:lang w:val="ro-MD"/>
              </w:rPr>
              <w:t xml:space="preserve">. </w:t>
            </w:r>
            <w:r w:rsidRPr="007A0F33">
              <w:rPr>
                <w:rFonts w:ascii="Times New Roman" w:hAnsi="Times New Roman" w:cs="Times New Roman"/>
                <w:sz w:val="20"/>
                <w:szCs w:val="20"/>
                <w:lang w:val="ro-RO"/>
              </w:rPr>
              <w:t xml:space="preserve">Autoritatea contractantă, în cazul achizițiilor de valoare mică a căror valoare </w:t>
            </w:r>
            <w:r w:rsidRPr="007A0F33">
              <w:rPr>
                <w:rFonts w:ascii="Times New Roman" w:hAnsi="Times New Roman" w:cs="Times New Roman"/>
                <w:sz w:val="20"/>
                <w:szCs w:val="20"/>
                <w:lang w:val="ro-MD"/>
              </w:rPr>
              <w:t xml:space="preserve">depășește </w:t>
            </w:r>
            <w:r w:rsidRPr="007A0F33">
              <w:rPr>
                <w:rFonts w:ascii="Times New Roman" w:hAnsi="Times New Roman" w:cs="Times New Roman"/>
                <w:sz w:val="20"/>
                <w:szCs w:val="20"/>
                <w:lang w:val="ro-RO"/>
              </w:rPr>
              <w:t>pragurile stabilite la pct. 7</w:t>
            </w:r>
            <w:r w:rsidRPr="007A0F33">
              <w:rPr>
                <w:rFonts w:ascii="Times New Roman" w:hAnsi="Times New Roman" w:cs="Times New Roman"/>
                <w:sz w:val="20"/>
                <w:szCs w:val="20"/>
                <w:vertAlign w:val="superscript"/>
                <w:lang w:val="ro-RO"/>
              </w:rPr>
              <w:t>1</w:t>
            </w:r>
            <w:r w:rsidRPr="007A0F33">
              <w:rPr>
                <w:rFonts w:ascii="Times New Roman" w:hAnsi="Times New Roman" w:cs="Times New Roman"/>
                <w:sz w:val="20"/>
                <w:szCs w:val="20"/>
                <w:lang w:val="ro-MD"/>
              </w:rPr>
              <w:t>, poate solicita garanția pentru ofertă și garanția de bună execuție a contractului, cu respectarea principiului proporționalității și doar dacă este justificată de valoarea, complexitatea și riscurile achiziției. În anunțul de participare aceasta va indica, după caz, pentru fiecare garanție, cerințele față de emitent, forma, cuantumul și alte condiții de bază ale garanției pentru ofertă, precum și cerințele față de operatorul economic care depune garanția pentru ofertă și/sau garanția de bună execuție a contractului.”.</w:t>
            </w:r>
          </w:p>
        </w:tc>
      </w:tr>
      <w:tr w:rsidR="001F26C0" w:rsidRPr="00760BD0" w14:paraId="4F89F067" w14:textId="77777777" w:rsidTr="00A919EA">
        <w:tc>
          <w:tcPr>
            <w:tcW w:w="3397" w:type="dxa"/>
          </w:tcPr>
          <w:p w14:paraId="393E9E3F" w14:textId="74FA1A11" w:rsidR="007A0F33" w:rsidRPr="007A0F33" w:rsidRDefault="007A0F33" w:rsidP="007A0F33">
            <w:pPr>
              <w:tabs>
                <w:tab w:val="left" w:pos="8505"/>
              </w:tabs>
              <w:jc w:val="both"/>
              <w:rPr>
                <w:rFonts w:ascii="Times New Roman" w:hAnsi="Times New Roman" w:cs="Times New Roman"/>
                <w:sz w:val="20"/>
                <w:szCs w:val="20"/>
                <w:lang w:val="ro-RO"/>
              </w:rPr>
            </w:pPr>
            <w:r w:rsidRPr="007A0F33">
              <w:rPr>
                <w:rFonts w:ascii="Times New Roman" w:hAnsi="Times New Roman" w:cs="Times New Roman"/>
                <w:b/>
                <w:sz w:val="20"/>
                <w:szCs w:val="20"/>
                <w:lang w:val="ro-RO"/>
              </w:rPr>
              <w:lastRenderedPageBreak/>
              <w:t>1.24.</w:t>
            </w:r>
            <w:r>
              <w:rPr>
                <w:rFonts w:ascii="Times New Roman" w:hAnsi="Times New Roman" w:cs="Times New Roman"/>
                <w:b/>
                <w:sz w:val="20"/>
                <w:szCs w:val="20"/>
                <w:lang w:val="ro-RO"/>
              </w:rPr>
              <w:t xml:space="preserve"> </w:t>
            </w:r>
            <w:r w:rsidRPr="007A0F33">
              <w:rPr>
                <w:rFonts w:ascii="Times New Roman" w:hAnsi="Times New Roman" w:cs="Times New Roman"/>
                <w:sz w:val="20"/>
                <w:szCs w:val="20"/>
                <w:lang w:val="ro-RO"/>
              </w:rPr>
              <w:t>Se introduce punctul 52</w:t>
            </w:r>
            <w:r>
              <w:rPr>
                <w:rFonts w:ascii="Times New Roman" w:hAnsi="Times New Roman" w:cs="Times New Roman"/>
                <w:sz w:val="20"/>
                <w:szCs w:val="20"/>
                <w:vertAlign w:val="superscript"/>
                <w:lang w:val="ro-RO"/>
              </w:rPr>
              <w:t>1</w:t>
            </w:r>
            <w:r w:rsidRPr="007A0F33">
              <w:rPr>
                <w:rFonts w:ascii="Times New Roman" w:hAnsi="Times New Roman" w:cs="Times New Roman"/>
                <w:sz w:val="20"/>
                <w:szCs w:val="20"/>
                <w:lang w:val="ro-RO"/>
              </w:rPr>
              <w:t>, cu următorul cuprins:</w:t>
            </w:r>
          </w:p>
          <w:p w14:paraId="3E2004AD" w14:textId="507A2945" w:rsidR="001F26C0" w:rsidRDefault="007A0F33" w:rsidP="007A0F33">
            <w:pPr>
              <w:tabs>
                <w:tab w:val="left" w:pos="8505"/>
              </w:tabs>
              <w:jc w:val="both"/>
              <w:rPr>
                <w:rFonts w:ascii="Times New Roman" w:hAnsi="Times New Roman" w:cs="Times New Roman"/>
                <w:b/>
                <w:sz w:val="20"/>
                <w:szCs w:val="20"/>
                <w:lang w:val="ro-RO"/>
              </w:rPr>
            </w:pPr>
            <w:r w:rsidRPr="007A0F33">
              <w:rPr>
                <w:rFonts w:ascii="Times New Roman" w:hAnsi="Times New Roman" w:cs="Times New Roman"/>
                <w:sz w:val="20"/>
                <w:szCs w:val="20"/>
                <w:lang w:val="ro-RO"/>
              </w:rPr>
              <w:lastRenderedPageBreak/>
              <w:t>„52</w:t>
            </w:r>
            <w:r>
              <w:rPr>
                <w:rFonts w:ascii="Times New Roman" w:hAnsi="Times New Roman" w:cs="Times New Roman"/>
                <w:sz w:val="20"/>
                <w:szCs w:val="20"/>
                <w:vertAlign w:val="superscript"/>
                <w:lang w:val="ro-RO"/>
              </w:rPr>
              <w:t>1</w:t>
            </w:r>
            <w:r w:rsidRPr="007A0F33">
              <w:rPr>
                <w:rFonts w:ascii="Times New Roman" w:hAnsi="Times New Roman" w:cs="Times New Roman"/>
                <w:sz w:val="20"/>
                <w:szCs w:val="20"/>
                <w:lang w:val="ro-RO"/>
              </w:rPr>
              <w:t>. Prin derogare de la pct. 52,  pentru achizițiile de valoare mică a căror valoare, fără taxa pe valoarea adăugată, depășește pragurile prevăzute la pct. 7</w:t>
            </w:r>
            <w:r>
              <w:rPr>
                <w:rFonts w:ascii="Times New Roman" w:hAnsi="Times New Roman" w:cs="Times New Roman"/>
                <w:sz w:val="20"/>
                <w:szCs w:val="20"/>
                <w:vertAlign w:val="superscript"/>
                <w:lang w:val="ro-RO"/>
              </w:rPr>
              <w:t>1</w:t>
            </w:r>
            <w:r w:rsidRPr="007A0F33">
              <w:rPr>
                <w:rFonts w:ascii="Times New Roman" w:hAnsi="Times New Roman" w:cs="Times New Roman"/>
                <w:sz w:val="20"/>
                <w:szCs w:val="20"/>
                <w:lang w:val="ro-RO"/>
              </w:rPr>
              <w:t>, autoritatea contractantă are obligația de a solicita depunerea de către ofertant a Documentului unic de achiziții european.”.</w:t>
            </w:r>
          </w:p>
        </w:tc>
        <w:tc>
          <w:tcPr>
            <w:tcW w:w="2977" w:type="dxa"/>
          </w:tcPr>
          <w:p w14:paraId="6D603DC2" w14:textId="77777777" w:rsidR="001F26C0" w:rsidRDefault="001F26C0">
            <w:pPr>
              <w:tabs>
                <w:tab w:val="left" w:pos="8505"/>
              </w:tabs>
              <w:jc w:val="center"/>
              <w:rPr>
                <w:rFonts w:ascii="Times New Roman" w:hAnsi="Times New Roman" w:cs="Times New Roman"/>
                <w:b/>
                <w:sz w:val="20"/>
                <w:szCs w:val="20"/>
                <w:lang w:val="ro-RO"/>
              </w:rPr>
            </w:pPr>
          </w:p>
        </w:tc>
        <w:tc>
          <w:tcPr>
            <w:tcW w:w="533" w:type="dxa"/>
          </w:tcPr>
          <w:p w14:paraId="202E1E4F" w14:textId="0930EF9D" w:rsidR="001F26C0" w:rsidRDefault="001F26C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9</w:t>
            </w:r>
          </w:p>
        </w:tc>
        <w:tc>
          <w:tcPr>
            <w:tcW w:w="3402" w:type="dxa"/>
          </w:tcPr>
          <w:p w14:paraId="244D86A8" w14:textId="7FB677BD" w:rsidR="001F26C0" w:rsidRPr="00863A23" w:rsidRDefault="001F26C0" w:rsidP="001F26C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În ceea ce privește pct. 1.24, se constată riscul supraîncărcării procedurilor simplificate, prin urmare se recomandă </w:t>
            </w:r>
            <w:r w:rsidRPr="00863A23">
              <w:rPr>
                <w:rFonts w:ascii="Times New Roman" w:hAnsi="Times New Roman" w:cs="Times New Roman"/>
                <w:sz w:val="20"/>
                <w:szCs w:val="20"/>
                <w:lang w:val="it-IT"/>
              </w:rPr>
              <w:lastRenderedPageBreak/>
              <w:t>ajustarea pct. 52¹, prin limitarea aplicării la achizițiile care depășesc un anumit prag superior sau introducerea unei alternative simplificate pentru achizițiile de valoare redusă.</w:t>
            </w:r>
          </w:p>
        </w:tc>
        <w:tc>
          <w:tcPr>
            <w:tcW w:w="3436" w:type="dxa"/>
          </w:tcPr>
          <w:p w14:paraId="139EFCFF" w14:textId="533F09AA" w:rsidR="00A416B0" w:rsidRPr="00863A23" w:rsidRDefault="00A416B0" w:rsidP="00A416B0">
            <w:pPr>
              <w:tabs>
                <w:tab w:val="left" w:pos="8505"/>
              </w:tabs>
              <w:jc w:val="both"/>
              <w:rPr>
                <w:rFonts w:ascii="Times New Roman" w:hAnsi="Times New Roman" w:cs="Times New Roman"/>
                <w:b/>
                <w:sz w:val="20"/>
                <w:szCs w:val="20"/>
                <w:lang w:val="it-IT"/>
              </w:rPr>
            </w:pPr>
            <w:r w:rsidRPr="00863A23">
              <w:rPr>
                <w:rFonts w:ascii="Times New Roman" w:hAnsi="Times New Roman" w:cs="Times New Roman"/>
                <w:b/>
                <w:sz w:val="20"/>
                <w:szCs w:val="20"/>
                <w:lang w:val="it-IT"/>
              </w:rPr>
              <w:lastRenderedPageBreak/>
              <w:t>Nu se acceptă</w:t>
            </w:r>
          </w:p>
          <w:p w14:paraId="3DD89823" w14:textId="52715DD0" w:rsidR="00A416B0" w:rsidRPr="00863A23" w:rsidRDefault="00A416B0" w:rsidP="00A416B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Propunerea nu este fondată, întrucât utilizarea Documentului Unic de </w:t>
            </w:r>
            <w:r w:rsidRPr="00863A23">
              <w:rPr>
                <w:rFonts w:ascii="Times New Roman" w:hAnsi="Times New Roman" w:cs="Times New Roman"/>
                <w:sz w:val="20"/>
                <w:szCs w:val="20"/>
                <w:lang w:val="it-IT"/>
              </w:rPr>
              <w:lastRenderedPageBreak/>
              <w:t>Achiziții European (DUAE) pentru achizițiile ce depășesc pragurile de la pct. 7</w:t>
            </w:r>
            <w:r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xml:space="preserve"> reprezintă o măsură de simplificare și standardizare, nu de supraîncărcare, fiind pe deplin justificată de valoarea și riscurile asociate acestor contracte.</w:t>
            </w:r>
          </w:p>
          <w:p w14:paraId="7EDFB104" w14:textId="77777777" w:rsidR="00A416B0" w:rsidRPr="00863A23" w:rsidRDefault="00A416B0" w:rsidP="00A416B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Argumentele detaliate sunt următoarele:</w:t>
            </w:r>
          </w:p>
          <w:p w14:paraId="42D9F248" w14:textId="0F38AD97" w:rsidR="00A416B0" w:rsidRPr="00863A23" w:rsidRDefault="00A416B0" w:rsidP="00A416B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DUAE este o declarație pe propria răspundere care înlocuiește necesitatea prezentării certificatelor și documentelor doveditoare în faza de depunere a ofertelor. Prin urmare, solicitarea DUAE reduce sarcina administrativă pentru operatorii economici, facilitând participarea prin eliminarea costurilor și timpului necesar obținerii documentelor preliminare. Operatorii trebuie să prezinte documentele justificative doar dacă sunt declarați câștigători, ceea ce optimizează efortul pentru toți participanții.</w:t>
            </w:r>
          </w:p>
          <w:p w14:paraId="699E8BF8" w14:textId="27A966FC" w:rsidR="00A416B0" w:rsidRPr="00863A23" w:rsidRDefault="00A416B0" w:rsidP="00A416B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Obligația de a solicita DUAE este deja limitată strict la achizițiile a căror valoare depășește pragurile semnificative stabilite la pct. 7</w:t>
            </w:r>
            <w:r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xml:space="preserve"> (300.000 MDL pentru bunuri/servicii, 375.000 MDL pentru lucrări). Aceste valori justifică aplicarea unui mecanism standardizat de verificare a calificării. Pentru achizițiile sub aceste praguri, regulamentul permite proceduri simplificate, astfel că filtrul de proporționalitate este deja operațional. Introducerea unui prag superior suplimentar ar crea o zonă gri nejustificată, unde contracte de valori considerabile ar fi exceptate de la standardele minime de transparență și verificare.</w:t>
            </w:r>
          </w:p>
          <w:p w14:paraId="196BEB0A" w14:textId="6108C594" w:rsidR="00A416B0" w:rsidRPr="00863A23" w:rsidRDefault="00A416B0" w:rsidP="00A416B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Prevederile HG nr. 987/2018 (pct. 14) subliniază importanța corelării criteriilor </w:t>
            </w:r>
            <w:r w:rsidRPr="00863A23">
              <w:rPr>
                <w:rFonts w:ascii="Times New Roman" w:hAnsi="Times New Roman" w:cs="Times New Roman"/>
                <w:sz w:val="20"/>
                <w:szCs w:val="20"/>
                <w:lang w:val="it-IT"/>
              </w:rPr>
              <w:lastRenderedPageBreak/>
              <w:t>de calificare cu DUAE, confirmând rolul acestuia ca instrument central pentru armonizarea și eficientizarea procesului de calificare. Utilizarea DUAE asigură alinierea la practicile europene și la cerințele Legii nr. 325/2025, garantând un tratament unitar și predictibil.</w:t>
            </w:r>
          </w:p>
          <w:p w14:paraId="04D1E4A6" w14:textId="27C5EA1D" w:rsidR="00A416B0" w:rsidRPr="00863A23" w:rsidRDefault="00A416B0" w:rsidP="00A416B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Introducerea unei „alternative simplificate” sau a unui formular paralel ar genera fragmentare normativă, ar crește riscul de erori și ar îngreuna activitatea autorităților contractante și a operatorilor economici, care ar trebui să gestioneze formate diferite. DUAE este un formular standard, digital și flexibil, care poate fi completat selectiv în funcție de criteriile solicitate, oferind deja adaptabilitatea necesară fără a compromite rigoarea.</w:t>
            </w:r>
          </w:p>
          <w:p w14:paraId="4D339939" w14:textId="7F8D50FA" w:rsidR="001F26C0" w:rsidRPr="00863A23" w:rsidRDefault="00A416B0" w:rsidP="00A416B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Prin urmare, menținerea obligației de utilizare a DUAE peste pragurile de la pct. 7</w:t>
            </w:r>
            <w:r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xml:space="preserve"> este esențială pentru a asigura eficiența, transparența și nediscriminarea, proiectul răspunzând deja principiului proporționalității prin delimitarea clară a cazurilor de aplicare. Orice derogare suplimentară ar slăbi mecanismele de control și ar contraveni obiectivului de modernizare și standardizare a achizițiilor publice.</w:t>
            </w:r>
          </w:p>
        </w:tc>
      </w:tr>
      <w:tr w:rsidR="001F26C0" w:rsidRPr="00760BD0" w14:paraId="0A1CE01A" w14:textId="77777777" w:rsidTr="00A919EA">
        <w:tc>
          <w:tcPr>
            <w:tcW w:w="3397" w:type="dxa"/>
          </w:tcPr>
          <w:p w14:paraId="368DA2EA" w14:textId="4813AEB0" w:rsidR="00A416B0" w:rsidRPr="00A416B0" w:rsidRDefault="00A416B0" w:rsidP="00A416B0">
            <w:pPr>
              <w:tabs>
                <w:tab w:val="left" w:pos="8505"/>
              </w:tabs>
              <w:jc w:val="both"/>
              <w:rPr>
                <w:rFonts w:ascii="Times New Roman" w:hAnsi="Times New Roman" w:cs="Times New Roman"/>
                <w:sz w:val="20"/>
                <w:szCs w:val="20"/>
                <w:lang w:val="ro-RO"/>
              </w:rPr>
            </w:pPr>
            <w:r w:rsidRPr="00A416B0">
              <w:rPr>
                <w:rFonts w:ascii="Times New Roman" w:hAnsi="Times New Roman" w:cs="Times New Roman"/>
                <w:b/>
                <w:sz w:val="20"/>
                <w:szCs w:val="20"/>
                <w:lang w:val="ro-RO"/>
              </w:rPr>
              <w:lastRenderedPageBreak/>
              <w:t xml:space="preserve">1.29. </w:t>
            </w:r>
            <w:r w:rsidRPr="00A416B0">
              <w:rPr>
                <w:rFonts w:ascii="Times New Roman" w:hAnsi="Times New Roman" w:cs="Times New Roman"/>
                <w:sz w:val="20"/>
                <w:szCs w:val="20"/>
                <w:lang w:val="ro-RO"/>
              </w:rPr>
              <w:t>Se introduc punctele 57</w:t>
            </w:r>
            <w:r>
              <w:rPr>
                <w:rFonts w:ascii="Times New Roman" w:hAnsi="Times New Roman" w:cs="Times New Roman"/>
                <w:sz w:val="20"/>
                <w:szCs w:val="20"/>
                <w:vertAlign w:val="superscript"/>
                <w:lang w:val="ro-RO"/>
              </w:rPr>
              <w:t>1</w:t>
            </w:r>
            <w:r w:rsidRPr="00A416B0">
              <w:rPr>
                <w:rFonts w:ascii="Times New Roman" w:hAnsi="Times New Roman" w:cs="Times New Roman"/>
                <w:sz w:val="20"/>
                <w:szCs w:val="20"/>
                <w:lang w:val="ro-RO"/>
              </w:rPr>
              <w:t xml:space="preserve"> și 57</w:t>
            </w:r>
            <w:r>
              <w:rPr>
                <w:rFonts w:ascii="Times New Roman" w:hAnsi="Times New Roman" w:cs="Times New Roman"/>
                <w:sz w:val="20"/>
                <w:szCs w:val="20"/>
                <w:vertAlign w:val="superscript"/>
                <w:lang w:val="ro-RO"/>
              </w:rPr>
              <w:t>2</w:t>
            </w:r>
            <w:r w:rsidRPr="00A416B0">
              <w:rPr>
                <w:rFonts w:ascii="Times New Roman" w:hAnsi="Times New Roman" w:cs="Times New Roman"/>
                <w:sz w:val="20"/>
                <w:szCs w:val="20"/>
                <w:lang w:val="ro-RO"/>
              </w:rPr>
              <w:t xml:space="preserve"> cu următorul cuprins:</w:t>
            </w:r>
          </w:p>
          <w:p w14:paraId="72AFAE54" w14:textId="74D37BB7" w:rsidR="00A416B0" w:rsidRPr="00A416B0" w:rsidRDefault="00A416B0" w:rsidP="00A416B0">
            <w:pPr>
              <w:tabs>
                <w:tab w:val="left" w:pos="8505"/>
              </w:tabs>
              <w:jc w:val="both"/>
              <w:rPr>
                <w:rFonts w:ascii="Times New Roman" w:hAnsi="Times New Roman" w:cs="Times New Roman"/>
                <w:sz w:val="20"/>
                <w:szCs w:val="20"/>
                <w:lang w:val="ro-RO"/>
              </w:rPr>
            </w:pPr>
            <w:r w:rsidRPr="00A416B0">
              <w:rPr>
                <w:rFonts w:ascii="Times New Roman" w:hAnsi="Times New Roman" w:cs="Times New Roman"/>
                <w:sz w:val="20"/>
                <w:szCs w:val="20"/>
                <w:lang w:val="ro-RO"/>
              </w:rPr>
              <w:t>„57</w:t>
            </w:r>
            <w:r>
              <w:rPr>
                <w:rFonts w:ascii="Times New Roman" w:hAnsi="Times New Roman" w:cs="Times New Roman"/>
                <w:sz w:val="20"/>
                <w:szCs w:val="20"/>
                <w:vertAlign w:val="superscript"/>
                <w:lang w:val="ro-RO"/>
              </w:rPr>
              <w:t>1</w:t>
            </w:r>
            <w:r w:rsidRPr="00A416B0">
              <w:rPr>
                <w:rFonts w:ascii="Times New Roman" w:hAnsi="Times New Roman" w:cs="Times New Roman"/>
                <w:sz w:val="20"/>
                <w:szCs w:val="20"/>
                <w:lang w:val="ro-RO"/>
              </w:rPr>
              <w:t xml:space="preserve">. Prin derogare de la prevederile pct. 57, pentru achizițiile prevăzute la pct. 14 subpct. 9) și 10), angajamentul juridic poate fi asumat în baza facturii, a confirmării electronice a comenzii sau a altui document echivalent emis de furnizor, care constituie temei pentru înregistrarea angajamentului bugetar. </w:t>
            </w:r>
          </w:p>
          <w:p w14:paraId="5529B731" w14:textId="22FE7C07" w:rsidR="001F26C0" w:rsidRDefault="00A416B0" w:rsidP="00A416B0">
            <w:pPr>
              <w:tabs>
                <w:tab w:val="left" w:pos="8505"/>
              </w:tabs>
              <w:jc w:val="both"/>
              <w:rPr>
                <w:rFonts w:ascii="Times New Roman" w:hAnsi="Times New Roman" w:cs="Times New Roman"/>
                <w:b/>
                <w:sz w:val="20"/>
                <w:szCs w:val="20"/>
                <w:lang w:val="ro-RO"/>
              </w:rPr>
            </w:pPr>
            <w:r w:rsidRPr="00A416B0">
              <w:rPr>
                <w:rFonts w:ascii="Times New Roman" w:hAnsi="Times New Roman" w:cs="Times New Roman"/>
                <w:sz w:val="20"/>
                <w:szCs w:val="20"/>
                <w:lang w:val="ro-RO"/>
              </w:rPr>
              <w:t xml:space="preserve"> 57</w:t>
            </w:r>
            <w:r>
              <w:rPr>
                <w:rFonts w:ascii="Times New Roman" w:hAnsi="Times New Roman" w:cs="Times New Roman"/>
                <w:sz w:val="20"/>
                <w:szCs w:val="20"/>
                <w:vertAlign w:val="superscript"/>
                <w:lang w:val="ro-RO"/>
              </w:rPr>
              <w:t>2</w:t>
            </w:r>
            <w:r w:rsidRPr="00A416B0">
              <w:rPr>
                <w:rFonts w:ascii="Times New Roman" w:hAnsi="Times New Roman" w:cs="Times New Roman"/>
                <w:sz w:val="20"/>
                <w:szCs w:val="20"/>
                <w:lang w:val="ro-RO"/>
              </w:rPr>
              <w:t>. Prevederile pct. 57</w:t>
            </w:r>
            <w:r>
              <w:rPr>
                <w:rFonts w:ascii="Times New Roman" w:hAnsi="Times New Roman" w:cs="Times New Roman"/>
                <w:sz w:val="20"/>
                <w:szCs w:val="20"/>
                <w:vertAlign w:val="superscript"/>
                <w:lang w:val="ro-RO"/>
              </w:rPr>
              <w:t>1</w:t>
            </w:r>
            <w:r w:rsidRPr="00A416B0">
              <w:rPr>
                <w:rFonts w:ascii="Times New Roman" w:hAnsi="Times New Roman" w:cs="Times New Roman"/>
                <w:sz w:val="20"/>
                <w:szCs w:val="20"/>
                <w:lang w:val="ro-RO"/>
              </w:rPr>
              <w:t xml:space="preserve"> se aplică în mod corespunzător și în cazul achiziției biletelor de transport aerian direct de la </w:t>
            </w:r>
            <w:r w:rsidRPr="00A416B0">
              <w:rPr>
                <w:rFonts w:ascii="Times New Roman" w:hAnsi="Times New Roman" w:cs="Times New Roman"/>
                <w:sz w:val="20"/>
                <w:szCs w:val="20"/>
                <w:lang w:val="ro-RO"/>
              </w:rPr>
              <w:lastRenderedPageBreak/>
              <w:t>operatorul aerian, în contextul delegărilor peste hotare, în interes de serviciu, ale conducătorilor de rang înalt ai autorităților administrației publice centrale, atunci când plata se efectuează prin intermediul cardului de plată de serviciu (business), autorizat de Ministerul Finanțelor, în situații temeinic justificate, inclusiv în circumstanțe excepționale.”.</w:t>
            </w:r>
          </w:p>
        </w:tc>
        <w:tc>
          <w:tcPr>
            <w:tcW w:w="2977" w:type="dxa"/>
          </w:tcPr>
          <w:p w14:paraId="3C65BF39" w14:textId="77777777" w:rsidR="001F26C0" w:rsidRDefault="001F26C0">
            <w:pPr>
              <w:tabs>
                <w:tab w:val="left" w:pos="8505"/>
              </w:tabs>
              <w:jc w:val="center"/>
              <w:rPr>
                <w:rFonts w:ascii="Times New Roman" w:hAnsi="Times New Roman" w:cs="Times New Roman"/>
                <w:b/>
                <w:sz w:val="20"/>
                <w:szCs w:val="20"/>
                <w:lang w:val="ro-RO"/>
              </w:rPr>
            </w:pPr>
          </w:p>
        </w:tc>
        <w:tc>
          <w:tcPr>
            <w:tcW w:w="533" w:type="dxa"/>
          </w:tcPr>
          <w:p w14:paraId="2665C12E" w14:textId="124B0948" w:rsidR="001F26C0" w:rsidRDefault="001F26C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10</w:t>
            </w:r>
          </w:p>
        </w:tc>
        <w:tc>
          <w:tcPr>
            <w:tcW w:w="3402" w:type="dxa"/>
          </w:tcPr>
          <w:p w14:paraId="28B0C287" w14:textId="4D2F60AC" w:rsidR="001F26C0" w:rsidRPr="00863A23" w:rsidRDefault="001F26C0" w:rsidP="001F26C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Referitor la pct. 1.29, prevederile sunt utile, dar necesită consolidare, astfel, recomandăm completarea pct. 57¹ și 57², prin introducerea obligației </w:t>
            </w:r>
            <w:r w:rsidR="00E324EB" w:rsidRPr="00863A23">
              <w:rPr>
                <w:rFonts w:ascii="Times New Roman" w:hAnsi="Times New Roman" w:cs="Times New Roman"/>
                <w:sz w:val="20"/>
                <w:szCs w:val="20"/>
                <w:lang w:val="it-IT"/>
              </w:rPr>
              <w:t>de asigurare a trasabilității „</w:t>
            </w:r>
            <w:r w:rsidRPr="00863A23">
              <w:rPr>
                <w:rFonts w:ascii="Times New Roman" w:hAnsi="Times New Roman" w:cs="Times New Roman"/>
                <w:sz w:val="20"/>
                <w:szCs w:val="20"/>
                <w:lang w:val="it-IT"/>
              </w:rPr>
              <w:t>cu condiția asigurării trasabilității operațiunilor și a respectării regulilor de evidență contabilă și control financiar” cât și prin clarificarea noțiunii de „situații temeinic justificate”.</w:t>
            </w:r>
          </w:p>
        </w:tc>
        <w:tc>
          <w:tcPr>
            <w:tcW w:w="3436" w:type="dxa"/>
          </w:tcPr>
          <w:p w14:paraId="3821B42F" w14:textId="4BD2359B" w:rsidR="00E324EB" w:rsidRPr="00863A23" w:rsidRDefault="00E324EB" w:rsidP="00F57A2F">
            <w:pPr>
              <w:tabs>
                <w:tab w:val="left" w:pos="8505"/>
              </w:tabs>
              <w:jc w:val="both"/>
              <w:rPr>
                <w:rFonts w:ascii="Times New Roman" w:hAnsi="Times New Roman" w:cs="Times New Roman"/>
                <w:b/>
                <w:sz w:val="20"/>
                <w:szCs w:val="20"/>
                <w:lang w:val="it-IT"/>
              </w:rPr>
            </w:pPr>
            <w:r w:rsidRPr="00863A23">
              <w:rPr>
                <w:rFonts w:ascii="Times New Roman" w:hAnsi="Times New Roman" w:cs="Times New Roman"/>
                <w:b/>
                <w:sz w:val="20"/>
                <w:szCs w:val="20"/>
                <w:lang w:val="it-IT"/>
              </w:rPr>
              <w:t>Se acceptă</w:t>
            </w:r>
          </w:p>
          <w:p w14:paraId="3D6F6652" w14:textId="77777777" w:rsidR="001F26C0" w:rsidRPr="00863A23" w:rsidRDefault="00E324EB" w:rsidP="00F57A2F">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Propunerea este fondată și a fost acceptată integral, întrucât consolidarea cadrului derogatoriu prin cerințe exprese de trasabilitate și clarificarea condițiilor de aplicare este esențială pentru a asigura responsabilitatea financiară, auditabilitatea și prevenirea riscurilor de utilizare abuzivă a excepțiilor.</w:t>
            </w:r>
          </w:p>
          <w:p w14:paraId="4D508904" w14:textId="77777777" w:rsidR="00E324EB" w:rsidRPr="00E324EB" w:rsidRDefault="00E324EB" w:rsidP="00E324EB">
            <w:pPr>
              <w:tabs>
                <w:tab w:val="left" w:pos="8505"/>
              </w:tabs>
              <w:jc w:val="both"/>
              <w:rPr>
                <w:rFonts w:ascii="Times New Roman" w:hAnsi="Times New Roman" w:cs="Times New Roman"/>
                <w:sz w:val="20"/>
                <w:szCs w:val="20"/>
              </w:rPr>
            </w:pPr>
            <w:r w:rsidRPr="00E324EB">
              <w:rPr>
                <w:rFonts w:ascii="Times New Roman" w:hAnsi="Times New Roman" w:cs="Times New Roman"/>
                <w:sz w:val="20"/>
                <w:szCs w:val="20"/>
              </w:rPr>
              <w:t>Astfel, s-au integrat următoarele ajustări în textul proiectului:</w:t>
            </w:r>
          </w:p>
          <w:p w14:paraId="510B28C9" w14:textId="16E5F728" w:rsidR="00E324EB" w:rsidRPr="00863A23" w:rsidRDefault="00E324EB" w:rsidP="00E324EB">
            <w:pPr>
              <w:tabs>
                <w:tab w:val="left" w:pos="8505"/>
              </w:tabs>
              <w:jc w:val="both"/>
              <w:rPr>
                <w:rFonts w:ascii="Times New Roman" w:hAnsi="Times New Roman" w:cs="Times New Roman"/>
                <w:sz w:val="20"/>
                <w:szCs w:val="20"/>
                <w:lang w:val="it-IT"/>
              </w:rPr>
            </w:pPr>
            <w:r w:rsidRPr="00E324EB">
              <w:rPr>
                <w:rFonts w:ascii="Times New Roman" w:hAnsi="Times New Roman" w:cs="Times New Roman"/>
                <w:sz w:val="20"/>
                <w:szCs w:val="20"/>
              </w:rPr>
              <w:t>Completarea punctelor 57¹ și 57²</w:t>
            </w:r>
            <w:r>
              <w:rPr>
                <w:rFonts w:ascii="Times New Roman" w:hAnsi="Times New Roman" w:cs="Times New Roman"/>
                <w:sz w:val="20"/>
                <w:szCs w:val="20"/>
              </w:rPr>
              <w:t>,</w:t>
            </w:r>
            <w:r w:rsidRPr="00E324EB">
              <w:rPr>
                <w:rFonts w:ascii="Times New Roman" w:hAnsi="Times New Roman" w:cs="Times New Roman"/>
                <w:sz w:val="20"/>
                <w:szCs w:val="20"/>
              </w:rPr>
              <w:t xml:space="preserve"> prin introducerea obligației de asigurare a </w:t>
            </w:r>
            <w:r w:rsidRPr="00E324EB">
              <w:rPr>
                <w:rFonts w:ascii="Times New Roman" w:hAnsi="Times New Roman" w:cs="Times New Roman"/>
                <w:sz w:val="20"/>
                <w:szCs w:val="20"/>
              </w:rPr>
              <w:lastRenderedPageBreak/>
              <w:t xml:space="preserve">trasabilității „cu condiția asigurării trasabilității operațiunilor și a respectării regulilor de evidență </w:t>
            </w:r>
            <w:r>
              <w:rPr>
                <w:rFonts w:ascii="Times New Roman" w:hAnsi="Times New Roman" w:cs="Times New Roman"/>
                <w:sz w:val="20"/>
                <w:szCs w:val="20"/>
              </w:rPr>
              <w:t>contabilă și control financiar”</w:t>
            </w:r>
            <w:r w:rsidRPr="00E324EB">
              <w:rPr>
                <w:rFonts w:ascii="Times New Roman" w:hAnsi="Times New Roman" w:cs="Times New Roman"/>
                <w:sz w:val="20"/>
                <w:szCs w:val="20"/>
              </w:rPr>
              <w:t xml:space="preserve">. Aceasta subliniază faptul că simplificarea formală a angajamentului juridic (prin factură sau confirmare electronică) nu exonerează autoritatea contractantă de obligațiile fundamentale privind gestionarea riguroasă a fondurilor publice. </w:t>
            </w:r>
            <w:r w:rsidRPr="00863A23">
              <w:rPr>
                <w:rFonts w:ascii="Times New Roman" w:hAnsi="Times New Roman" w:cs="Times New Roman"/>
                <w:sz w:val="20"/>
                <w:szCs w:val="20"/>
                <w:lang w:val="it-IT"/>
              </w:rPr>
              <w:t>Prevederea garantează că toate operațiunile rămân verificabile și conforme cu standardele de control intern și legislația financiar-bugetară.</w:t>
            </w:r>
          </w:p>
          <w:p w14:paraId="20236D17" w14:textId="115A0C64" w:rsidR="004F36A0" w:rsidRPr="00863A23" w:rsidRDefault="00E324EB" w:rsidP="00E324EB">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S-a acceptat necesitatea clarificării noțiuni</w:t>
            </w:r>
            <w:r w:rsidR="004F36A0" w:rsidRPr="00863A23">
              <w:rPr>
                <w:rFonts w:ascii="Times New Roman" w:hAnsi="Times New Roman" w:cs="Times New Roman"/>
                <w:sz w:val="20"/>
                <w:szCs w:val="20"/>
                <w:lang w:val="it-IT"/>
              </w:rPr>
              <w:t>i de</w:t>
            </w:r>
            <w:r w:rsidRPr="00863A23">
              <w:rPr>
                <w:rFonts w:ascii="Times New Roman" w:hAnsi="Times New Roman" w:cs="Times New Roman"/>
                <w:sz w:val="20"/>
                <w:szCs w:val="20"/>
                <w:lang w:val="it-IT"/>
              </w:rPr>
              <w:t xml:space="preserve"> </w:t>
            </w:r>
            <w:r w:rsidR="004F36A0" w:rsidRPr="00863A23">
              <w:rPr>
                <w:rFonts w:ascii="Times New Roman" w:hAnsi="Times New Roman" w:cs="Times New Roman"/>
                <w:sz w:val="20"/>
                <w:szCs w:val="20"/>
                <w:lang w:val="it-IT"/>
              </w:rPr>
              <w:t xml:space="preserve">„situații temeinic justificate” </w:t>
            </w:r>
            <w:r w:rsidRPr="00863A23">
              <w:rPr>
                <w:rFonts w:ascii="Times New Roman" w:hAnsi="Times New Roman" w:cs="Times New Roman"/>
                <w:sz w:val="20"/>
                <w:szCs w:val="20"/>
                <w:lang w:val="it-IT"/>
              </w:rPr>
              <w:t>pentru a elimina ambiguitățile și a preveni interpretările subiective. Textul a fost amendat pentru a preciza că situațiile temeinic justificate se referă la necesitatea obiectivă a delegației, urgența deplasării, indisponibilitatea biletelor prin canale intermediare sau condițiile comerciale specifice ale operatorului aerian care impun achiziția directă. Această delimitare asigură că derogarea este utilizată restrictiv, doar atunci când este imperios necesar pentru îndeplinirea interesului de serviciu, și nu ca o practică discreționară.</w:t>
            </w:r>
          </w:p>
        </w:tc>
      </w:tr>
      <w:tr w:rsidR="001F26C0" w:rsidRPr="00760BD0" w14:paraId="704173DA" w14:textId="77777777" w:rsidTr="00A919EA">
        <w:tc>
          <w:tcPr>
            <w:tcW w:w="3397" w:type="dxa"/>
          </w:tcPr>
          <w:p w14:paraId="7FDDD313" w14:textId="716A3BC4" w:rsidR="001F26C0" w:rsidRDefault="004F36A0" w:rsidP="00557B7C">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În contextul proiectului</w:t>
            </w:r>
          </w:p>
        </w:tc>
        <w:tc>
          <w:tcPr>
            <w:tcW w:w="2977" w:type="dxa"/>
          </w:tcPr>
          <w:p w14:paraId="7BF782F3" w14:textId="77777777" w:rsidR="001F26C0" w:rsidRDefault="001F26C0">
            <w:pPr>
              <w:tabs>
                <w:tab w:val="left" w:pos="8505"/>
              </w:tabs>
              <w:jc w:val="center"/>
              <w:rPr>
                <w:rFonts w:ascii="Times New Roman" w:hAnsi="Times New Roman" w:cs="Times New Roman"/>
                <w:b/>
                <w:sz w:val="20"/>
                <w:szCs w:val="20"/>
                <w:lang w:val="ro-RO"/>
              </w:rPr>
            </w:pPr>
          </w:p>
        </w:tc>
        <w:tc>
          <w:tcPr>
            <w:tcW w:w="533" w:type="dxa"/>
          </w:tcPr>
          <w:p w14:paraId="616798A4" w14:textId="6F5D67CD" w:rsidR="001F26C0" w:rsidRDefault="001F26C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11</w:t>
            </w:r>
          </w:p>
        </w:tc>
        <w:tc>
          <w:tcPr>
            <w:tcW w:w="3402" w:type="dxa"/>
          </w:tcPr>
          <w:p w14:paraId="5E57A8DD" w14:textId="6EE21C21" w:rsidR="001F26C0" w:rsidRPr="00863A23" w:rsidRDefault="001F26C0" w:rsidP="001F26C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Sub aspectul tehnicii legislative, se recomandă uniformizarea terminologiei utilizate în special a noțiunilor „autoritate” și „entitate contractantă”, eliminarea formulărilor ambigue, precum și corelarea riguroasă a prevederilor de bază cu anexele introduse.</w:t>
            </w:r>
          </w:p>
        </w:tc>
        <w:tc>
          <w:tcPr>
            <w:tcW w:w="3436" w:type="dxa"/>
          </w:tcPr>
          <w:p w14:paraId="3963D9F4" w14:textId="2DC60B33" w:rsidR="000D2638" w:rsidRPr="00863A23" w:rsidRDefault="000D2638" w:rsidP="000D2638">
            <w:pPr>
              <w:tabs>
                <w:tab w:val="left" w:pos="8505"/>
              </w:tabs>
              <w:jc w:val="both"/>
              <w:rPr>
                <w:rFonts w:ascii="Times New Roman" w:hAnsi="Times New Roman" w:cs="Times New Roman"/>
                <w:b/>
                <w:sz w:val="20"/>
                <w:szCs w:val="20"/>
                <w:lang w:val="it-IT"/>
              </w:rPr>
            </w:pPr>
            <w:r w:rsidRPr="00863A23">
              <w:rPr>
                <w:rFonts w:ascii="Times New Roman" w:hAnsi="Times New Roman" w:cs="Times New Roman"/>
                <w:b/>
                <w:sz w:val="20"/>
                <w:szCs w:val="20"/>
                <w:lang w:val="it-IT"/>
              </w:rPr>
              <w:t>Se acceptă</w:t>
            </w:r>
          </w:p>
          <w:p w14:paraId="7A1D2869" w14:textId="16BF065D" w:rsidR="000D2638" w:rsidRPr="00863A23" w:rsidRDefault="000D2638" w:rsidP="000D2638">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Propunerea a fost acceptată și a condus la o verificare exhaustivă a proiectului pe tot parcursul textului, în vederea asigurării uniformizării terminologiei și a corelării riguroase a prevederilor.</w:t>
            </w:r>
          </w:p>
          <w:p w14:paraId="7421BE25" w14:textId="77777777" w:rsidR="000D2638" w:rsidRPr="00863A23" w:rsidRDefault="000D2638" w:rsidP="000D2638">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În urma analizei detaliate, s-a constatat că proiectul este corect reglementat sub aspectul tehnicii legislative, utilizarea noțiunilor fiind adecvată și diferențiată în funcție de sfera de aplicare a fiecărei norme:</w:t>
            </w:r>
          </w:p>
          <w:p w14:paraId="09962C25" w14:textId="3EC150D5" w:rsidR="000D2638" w:rsidRPr="00863A23" w:rsidRDefault="000D2638" w:rsidP="000D2638">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lastRenderedPageBreak/>
              <w:t>- Sintagma „autoritate/entitate contractantă” este utilizată în mod consecvent în toate punctele care reglementează prevederi cu aplicabilitate generală, asigurând astfel acoperirea uniformă a ambelor categorii de subiecți și evitarea oricăror lacune.</w:t>
            </w:r>
          </w:p>
          <w:p w14:paraId="612842EF" w14:textId="1822AE05" w:rsidR="000D2638" w:rsidRPr="00863A23" w:rsidRDefault="000D2638" w:rsidP="000D2638">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S-a confirmat că punctele în care apar distinct noțiunile de „autoritate contractantă” sau „entitate contractantă” reglementează aspecte specifice doar uneia dintre aceste categorii, delimitarea fiind necesară și conformă cu cadrul legal incident și cu competențele specifice fiecărui tip de subiect.</w:t>
            </w:r>
          </w:p>
          <w:p w14:paraId="63F60598" w14:textId="609CAD34" w:rsidR="001F26C0" w:rsidRPr="00863A23" w:rsidRDefault="000D2638" w:rsidP="000D2638">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Prin urmare, verificarea a validat că terminologia este utilizată corect, clar și coerent, proiectul reflectând o reglementare riguroasă care respectă specificul fiecărei proceduri și nu prezintă ambiguități sau inconsistențe. Acceptarea propunerii se materializează prin confirmarea calității redactării și a corectitudinii tehnice a textului în urma analizei efectuate.</w:t>
            </w:r>
          </w:p>
        </w:tc>
      </w:tr>
      <w:tr w:rsidR="001F26C0" w:rsidRPr="009957C6" w14:paraId="37CD06B0" w14:textId="77777777" w:rsidTr="00A919EA">
        <w:tc>
          <w:tcPr>
            <w:tcW w:w="3397" w:type="dxa"/>
          </w:tcPr>
          <w:p w14:paraId="284D3C5D" w14:textId="5375DB1D" w:rsidR="001F26C0" w:rsidRDefault="000D2638" w:rsidP="00557B7C">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În contextul proiectului</w:t>
            </w:r>
          </w:p>
        </w:tc>
        <w:tc>
          <w:tcPr>
            <w:tcW w:w="2977" w:type="dxa"/>
          </w:tcPr>
          <w:p w14:paraId="36118DFC" w14:textId="77777777" w:rsidR="001F26C0" w:rsidRDefault="001F26C0">
            <w:pPr>
              <w:tabs>
                <w:tab w:val="left" w:pos="8505"/>
              </w:tabs>
              <w:jc w:val="center"/>
              <w:rPr>
                <w:rFonts w:ascii="Times New Roman" w:hAnsi="Times New Roman" w:cs="Times New Roman"/>
                <w:b/>
                <w:sz w:val="20"/>
                <w:szCs w:val="20"/>
                <w:lang w:val="ro-RO"/>
              </w:rPr>
            </w:pPr>
          </w:p>
        </w:tc>
        <w:tc>
          <w:tcPr>
            <w:tcW w:w="533" w:type="dxa"/>
          </w:tcPr>
          <w:p w14:paraId="5A80B9FD" w14:textId="14E57993" w:rsidR="001F26C0" w:rsidRDefault="001F26C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12</w:t>
            </w:r>
          </w:p>
        </w:tc>
        <w:tc>
          <w:tcPr>
            <w:tcW w:w="3402" w:type="dxa"/>
          </w:tcPr>
          <w:p w14:paraId="176BF6A7" w14:textId="5CB24F83" w:rsidR="001F26C0" w:rsidRPr="00863A23" w:rsidRDefault="001F26C0" w:rsidP="001F26C0">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În contextul celor expuse, </w:t>
            </w:r>
            <w:r w:rsidRPr="00863A23">
              <w:rPr>
                <w:rFonts w:ascii="Times New Roman" w:hAnsi="Times New Roman" w:cs="Times New Roman"/>
                <w:b/>
                <w:bCs/>
                <w:sz w:val="20"/>
                <w:szCs w:val="20"/>
                <w:lang w:val="it-IT"/>
              </w:rPr>
              <w:t>se susține proiectul supus avizării</w:t>
            </w:r>
            <w:r w:rsidRPr="00863A23">
              <w:rPr>
                <w:rFonts w:ascii="Times New Roman" w:hAnsi="Times New Roman" w:cs="Times New Roman"/>
                <w:sz w:val="20"/>
                <w:szCs w:val="20"/>
                <w:lang w:val="it-IT"/>
              </w:rPr>
              <w:t>, întrucât contribuie la modernizarea cadrului normativ în domeniul achizițiilor publice de valoare mică. Prin urmare, propunerile prezentate supra, sunt relevante, în vederea asigurării unei reglementări clare, coerente și previzibile, care să permită aplicarea uniformă și eficientă în practică, cu respectarea principiilor transparenței, concurenței și proporționalității.</w:t>
            </w:r>
          </w:p>
        </w:tc>
        <w:tc>
          <w:tcPr>
            <w:tcW w:w="3436" w:type="dxa"/>
          </w:tcPr>
          <w:p w14:paraId="23E2330C" w14:textId="0FC7584D" w:rsidR="001F26C0" w:rsidRPr="00557B7C" w:rsidRDefault="001F26C0" w:rsidP="00F57A2F">
            <w:pPr>
              <w:tabs>
                <w:tab w:val="left" w:pos="8505"/>
              </w:tabs>
              <w:jc w:val="both"/>
              <w:rPr>
                <w:rFonts w:ascii="Times New Roman" w:hAnsi="Times New Roman" w:cs="Times New Roman"/>
                <w:b/>
                <w:sz w:val="20"/>
                <w:szCs w:val="20"/>
              </w:rPr>
            </w:pPr>
            <w:r w:rsidRPr="001F26C0">
              <w:rPr>
                <w:rFonts w:ascii="Times New Roman" w:hAnsi="Times New Roman" w:cs="Times New Roman"/>
                <w:b/>
                <w:sz w:val="20"/>
                <w:szCs w:val="20"/>
                <w:lang w:val="ro-RO"/>
              </w:rPr>
              <w:t>Se ia act</w:t>
            </w:r>
          </w:p>
        </w:tc>
      </w:tr>
      <w:tr w:rsidR="00B437BF" w:rsidRPr="009957C6" w14:paraId="48CCAEFD" w14:textId="77777777" w:rsidTr="00A919EA">
        <w:trPr>
          <w:trHeight w:val="416"/>
        </w:trPr>
        <w:tc>
          <w:tcPr>
            <w:tcW w:w="3397" w:type="dxa"/>
          </w:tcPr>
          <w:p w14:paraId="40186913" w14:textId="77777777" w:rsidR="00B437BF" w:rsidRDefault="00B437BF" w:rsidP="00B437BF">
            <w:pPr>
              <w:tabs>
                <w:tab w:val="left" w:pos="8505"/>
              </w:tabs>
              <w:jc w:val="both"/>
              <w:rPr>
                <w:rFonts w:ascii="Times New Roman" w:hAnsi="Times New Roman" w:cs="Times New Roman"/>
                <w:b/>
                <w:sz w:val="20"/>
                <w:szCs w:val="20"/>
                <w:lang w:val="ro-RO"/>
              </w:rPr>
            </w:pPr>
          </w:p>
        </w:tc>
        <w:tc>
          <w:tcPr>
            <w:tcW w:w="2977" w:type="dxa"/>
          </w:tcPr>
          <w:p w14:paraId="763293BF" w14:textId="1D57D39C" w:rsidR="000F65DA" w:rsidRPr="000F65DA" w:rsidRDefault="000F65DA" w:rsidP="000F65DA">
            <w:pPr>
              <w:tabs>
                <w:tab w:val="left" w:pos="8505"/>
              </w:tabs>
              <w:jc w:val="center"/>
              <w:rPr>
                <w:rFonts w:ascii="Times New Roman" w:hAnsi="Times New Roman" w:cs="Times New Roman"/>
                <w:b/>
                <w:color w:val="000000" w:themeColor="text1"/>
                <w:sz w:val="20"/>
                <w:szCs w:val="20"/>
              </w:rPr>
            </w:pPr>
            <w:r w:rsidRPr="000F65DA">
              <w:rPr>
                <w:rFonts w:ascii="Times New Roman" w:hAnsi="Times New Roman" w:cs="Times New Roman"/>
                <w:b/>
                <w:color w:val="000000" w:themeColor="text1"/>
                <w:sz w:val="20"/>
                <w:szCs w:val="20"/>
              </w:rPr>
              <w:t xml:space="preserve"> Biroul Național de Statistică </w:t>
            </w:r>
            <w:r>
              <w:rPr>
                <w:rFonts w:ascii="Times New Roman" w:hAnsi="Times New Roman" w:cs="Times New Roman"/>
                <w:b/>
                <w:color w:val="000000" w:themeColor="text1"/>
                <w:sz w:val="20"/>
                <w:szCs w:val="20"/>
                <w:lang w:val="ro-RO"/>
              </w:rPr>
              <w:t>(scrisoarea nr.</w:t>
            </w:r>
            <w:r w:rsidRPr="000F65DA">
              <w:rPr>
                <w:rFonts w:ascii="Times New Roman" w:hAnsi="Times New Roman" w:cs="Times New Roman"/>
                <w:b/>
                <w:color w:val="000000" w:themeColor="text1"/>
                <w:sz w:val="20"/>
                <w:szCs w:val="20"/>
              </w:rPr>
              <w:t xml:space="preserve"> 25/1-13/18 </w:t>
            </w:r>
            <w:r w:rsidR="00B437BF" w:rsidRPr="005239B1">
              <w:rPr>
                <w:rFonts w:ascii="Times New Roman" w:hAnsi="Times New Roman" w:cs="Times New Roman"/>
                <w:b/>
                <w:color w:val="000000" w:themeColor="text1"/>
                <w:sz w:val="20"/>
                <w:szCs w:val="20"/>
                <w:lang w:val="ro-RO"/>
              </w:rPr>
              <w:t xml:space="preserve">din </w:t>
            </w:r>
            <w:r w:rsidRPr="000F65DA">
              <w:rPr>
                <w:rFonts w:ascii="Times New Roman" w:hAnsi="Times New Roman" w:cs="Times New Roman"/>
                <w:color w:val="000000"/>
                <w:sz w:val="24"/>
                <w:szCs w:val="24"/>
              </w:rPr>
              <w:t xml:space="preserve"> </w:t>
            </w:r>
          </w:p>
          <w:p w14:paraId="0383E396" w14:textId="0D5AEEB1" w:rsidR="00B437BF" w:rsidRPr="00264EE4" w:rsidRDefault="000F65DA" w:rsidP="000F65DA">
            <w:pPr>
              <w:tabs>
                <w:tab w:val="left" w:pos="8505"/>
              </w:tabs>
              <w:jc w:val="center"/>
              <w:rPr>
                <w:rFonts w:ascii="Times New Roman" w:hAnsi="Times New Roman" w:cs="Times New Roman"/>
                <w:b/>
                <w:color w:val="000000" w:themeColor="text1"/>
                <w:sz w:val="20"/>
                <w:szCs w:val="20"/>
                <w:highlight w:val="yellow"/>
                <w:lang w:val="ro-RO"/>
              </w:rPr>
            </w:pPr>
            <w:r w:rsidRPr="000F65DA">
              <w:rPr>
                <w:rFonts w:ascii="Times New Roman" w:hAnsi="Times New Roman" w:cs="Times New Roman"/>
                <w:b/>
                <w:color w:val="000000" w:themeColor="text1"/>
                <w:sz w:val="20"/>
                <w:szCs w:val="20"/>
              </w:rPr>
              <w:t xml:space="preserve"> 15.04.2026 </w:t>
            </w:r>
            <w:r w:rsidR="00B437BF" w:rsidRPr="005239B1">
              <w:rPr>
                <w:rFonts w:ascii="Times New Roman" w:hAnsi="Times New Roman" w:cs="Times New Roman"/>
                <w:b/>
                <w:color w:val="000000" w:themeColor="text1"/>
                <w:sz w:val="20"/>
                <w:szCs w:val="20"/>
                <w:lang w:val="ro-RO"/>
              </w:rPr>
              <w:t>)</w:t>
            </w:r>
          </w:p>
        </w:tc>
        <w:tc>
          <w:tcPr>
            <w:tcW w:w="533" w:type="dxa"/>
          </w:tcPr>
          <w:p w14:paraId="75BE9142" w14:textId="77777777" w:rsidR="00B437BF" w:rsidRDefault="00B437BF" w:rsidP="00B437BF">
            <w:pPr>
              <w:tabs>
                <w:tab w:val="left" w:pos="8505"/>
              </w:tabs>
              <w:jc w:val="center"/>
              <w:rPr>
                <w:rFonts w:ascii="Times New Roman" w:hAnsi="Times New Roman" w:cs="Times New Roman"/>
                <w:b/>
                <w:sz w:val="20"/>
                <w:szCs w:val="20"/>
                <w:lang w:val="ro-RO"/>
              </w:rPr>
            </w:pPr>
          </w:p>
        </w:tc>
        <w:tc>
          <w:tcPr>
            <w:tcW w:w="3402" w:type="dxa"/>
          </w:tcPr>
          <w:p w14:paraId="2AD791C8" w14:textId="77777777" w:rsidR="00B437BF" w:rsidRDefault="00B437BF" w:rsidP="00B437BF">
            <w:pPr>
              <w:tabs>
                <w:tab w:val="left" w:pos="8505"/>
              </w:tabs>
              <w:jc w:val="both"/>
              <w:rPr>
                <w:rFonts w:ascii="Times New Roman" w:hAnsi="Times New Roman" w:cs="Times New Roman"/>
                <w:bCs/>
                <w:iCs/>
                <w:sz w:val="20"/>
                <w:szCs w:val="20"/>
                <w:lang w:val="ro-RO"/>
              </w:rPr>
            </w:pPr>
          </w:p>
        </w:tc>
        <w:tc>
          <w:tcPr>
            <w:tcW w:w="3436" w:type="dxa"/>
          </w:tcPr>
          <w:p w14:paraId="2B00626D" w14:textId="77777777" w:rsidR="00B437BF" w:rsidRDefault="00B437BF" w:rsidP="00B437BF">
            <w:pPr>
              <w:tabs>
                <w:tab w:val="left" w:pos="8505"/>
              </w:tabs>
              <w:jc w:val="both"/>
              <w:rPr>
                <w:rFonts w:ascii="Times New Roman" w:hAnsi="Times New Roman" w:cs="Times New Roman"/>
                <w:sz w:val="20"/>
                <w:szCs w:val="20"/>
                <w:lang w:val="ro-RO"/>
              </w:rPr>
            </w:pPr>
          </w:p>
        </w:tc>
      </w:tr>
      <w:tr w:rsidR="000F65DA" w14:paraId="5B10BDA9" w14:textId="77777777" w:rsidTr="00A919EA">
        <w:trPr>
          <w:trHeight w:val="416"/>
        </w:trPr>
        <w:tc>
          <w:tcPr>
            <w:tcW w:w="3397" w:type="dxa"/>
          </w:tcPr>
          <w:p w14:paraId="6F61ED02" w14:textId="77777777" w:rsidR="000F65DA" w:rsidRPr="00557B7C" w:rsidRDefault="000F65DA" w:rsidP="000F65DA">
            <w:pPr>
              <w:tabs>
                <w:tab w:val="left" w:pos="8505"/>
              </w:tabs>
              <w:jc w:val="both"/>
              <w:rPr>
                <w:rFonts w:ascii="Times New Roman" w:hAnsi="Times New Roman" w:cs="Times New Roman"/>
                <w:b/>
                <w:sz w:val="20"/>
                <w:szCs w:val="20"/>
                <w:lang w:val="it-IT"/>
              </w:rPr>
            </w:pPr>
          </w:p>
        </w:tc>
        <w:tc>
          <w:tcPr>
            <w:tcW w:w="2977" w:type="dxa"/>
          </w:tcPr>
          <w:p w14:paraId="1ACE6269" w14:textId="77777777" w:rsidR="000F65DA" w:rsidRPr="0095743C" w:rsidRDefault="000F65DA" w:rsidP="000F65DA">
            <w:pPr>
              <w:tabs>
                <w:tab w:val="left" w:pos="8505"/>
              </w:tabs>
              <w:jc w:val="center"/>
              <w:rPr>
                <w:rFonts w:ascii="Times New Roman" w:hAnsi="Times New Roman" w:cs="Times New Roman"/>
                <w:b/>
                <w:color w:val="000000" w:themeColor="text1"/>
                <w:sz w:val="20"/>
                <w:szCs w:val="20"/>
                <w:lang w:val="ro-RO"/>
              </w:rPr>
            </w:pPr>
          </w:p>
        </w:tc>
        <w:tc>
          <w:tcPr>
            <w:tcW w:w="533" w:type="dxa"/>
          </w:tcPr>
          <w:p w14:paraId="7AA21335" w14:textId="77777777" w:rsidR="000F65DA" w:rsidRDefault="000F65DA" w:rsidP="000F65DA">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36C7D9E1" w14:textId="3192E807" w:rsidR="000F65DA" w:rsidRDefault="000F65DA" w:rsidP="000F65DA">
            <w:pPr>
              <w:jc w:val="both"/>
              <w:rPr>
                <w:rFonts w:ascii="Times New Roman" w:hAnsi="Times New Roman" w:cs="Times New Roman"/>
                <w:sz w:val="20"/>
                <w:szCs w:val="20"/>
                <w:lang w:val="ro-RO"/>
              </w:rPr>
            </w:pPr>
            <w:r>
              <w:rPr>
                <w:rFonts w:ascii="Times New Roman" w:hAnsi="Times New Roman" w:cs="Times New Roman"/>
                <w:sz w:val="20"/>
                <w:szCs w:val="20"/>
                <w:lang w:val="ro-RO"/>
              </w:rPr>
              <w:t>Lipsa de obiecții și propuneri</w:t>
            </w:r>
          </w:p>
        </w:tc>
        <w:tc>
          <w:tcPr>
            <w:tcW w:w="3436" w:type="dxa"/>
          </w:tcPr>
          <w:p w14:paraId="2BFE6FB8" w14:textId="6BDC1A4D" w:rsidR="000F65DA" w:rsidRPr="00F57A2F" w:rsidRDefault="000F65DA" w:rsidP="000F65DA">
            <w:pPr>
              <w:tabs>
                <w:tab w:val="left" w:pos="8505"/>
              </w:tabs>
              <w:jc w:val="both"/>
              <w:rPr>
                <w:rFonts w:ascii="Times New Roman" w:hAnsi="Times New Roman" w:cs="Times New Roman"/>
                <w:b/>
                <w:sz w:val="20"/>
                <w:szCs w:val="20"/>
              </w:rPr>
            </w:pPr>
            <w:r>
              <w:rPr>
                <w:rFonts w:ascii="Times New Roman" w:hAnsi="Times New Roman" w:cs="Times New Roman"/>
                <w:b/>
                <w:sz w:val="20"/>
                <w:szCs w:val="20"/>
                <w:lang w:val="ro-RO"/>
              </w:rPr>
              <w:t>Se ia act</w:t>
            </w:r>
          </w:p>
        </w:tc>
      </w:tr>
      <w:tr w:rsidR="00B437BF" w:rsidRPr="009957C6" w14:paraId="108998FE" w14:textId="77777777" w:rsidTr="00A919EA">
        <w:trPr>
          <w:trHeight w:val="416"/>
        </w:trPr>
        <w:tc>
          <w:tcPr>
            <w:tcW w:w="3397" w:type="dxa"/>
          </w:tcPr>
          <w:p w14:paraId="2C48D1BD" w14:textId="77777777" w:rsidR="00B437BF" w:rsidRDefault="00B437BF" w:rsidP="00B437BF">
            <w:pPr>
              <w:tabs>
                <w:tab w:val="left" w:pos="8505"/>
              </w:tabs>
              <w:jc w:val="both"/>
              <w:rPr>
                <w:rFonts w:ascii="Times New Roman" w:hAnsi="Times New Roman" w:cs="Times New Roman"/>
                <w:b/>
                <w:sz w:val="20"/>
                <w:szCs w:val="20"/>
                <w:lang w:val="ro-RO"/>
              </w:rPr>
            </w:pPr>
          </w:p>
        </w:tc>
        <w:tc>
          <w:tcPr>
            <w:tcW w:w="2977" w:type="dxa"/>
          </w:tcPr>
          <w:p w14:paraId="16257E0D" w14:textId="61FEDFC0" w:rsidR="00625531" w:rsidRPr="00863A23" w:rsidRDefault="00625531" w:rsidP="00625531">
            <w:pPr>
              <w:tabs>
                <w:tab w:val="left" w:pos="8505"/>
              </w:tabs>
              <w:jc w:val="center"/>
              <w:rPr>
                <w:rFonts w:ascii="Times New Roman" w:hAnsi="Times New Roman" w:cs="Times New Roman"/>
                <w:b/>
                <w:color w:val="000000" w:themeColor="text1"/>
                <w:sz w:val="20"/>
                <w:szCs w:val="20"/>
                <w:lang w:val="it-IT"/>
              </w:rPr>
            </w:pPr>
            <w:r w:rsidRPr="00625531">
              <w:rPr>
                <w:rFonts w:ascii="Times New Roman" w:hAnsi="Times New Roman" w:cs="Times New Roman"/>
                <w:b/>
                <w:color w:val="000000" w:themeColor="text1"/>
                <w:sz w:val="20"/>
                <w:szCs w:val="20"/>
                <w:lang w:val="ro-RO"/>
              </w:rPr>
              <w:t>Ministerul Afacerilor Interne</w:t>
            </w:r>
            <w:r>
              <w:rPr>
                <w:rFonts w:ascii="Times New Roman" w:hAnsi="Times New Roman" w:cs="Times New Roman"/>
                <w:b/>
                <w:color w:val="000000" w:themeColor="text1"/>
                <w:sz w:val="20"/>
                <w:szCs w:val="20"/>
                <w:lang w:val="ro-RO"/>
              </w:rPr>
              <w:t xml:space="preserve"> </w:t>
            </w:r>
            <w:r w:rsidR="00B437BF" w:rsidRPr="00625531">
              <w:rPr>
                <w:rFonts w:ascii="Times New Roman" w:hAnsi="Times New Roman" w:cs="Times New Roman"/>
                <w:b/>
                <w:color w:val="000000" w:themeColor="text1"/>
                <w:sz w:val="20"/>
                <w:szCs w:val="20"/>
                <w:lang w:val="ro-RO"/>
              </w:rPr>
              <w:t>(scrisoarea nr</w:t>
            </w:r>
            <w:r w:rsidR="000F65DA">
              <w:rPr>
                <w:rFonts w:ascii="Times New Roman" w:hAnsi="Times New Roman" w:cs="Times New Roman"/>
                <w:b/>
                <w:color w:val="000000" w:themeColor="text1"/>
                <w:sz w:val="20"/>
                <w:szCs w:val="20"/>
                <w:lang w:val="ro-RO"/>
              </w:rPr>
              <w:t>.</w:t>
            </w:r>
          </w:p>
          <w:p w14:paraId="0B723C8C" w14:textId="69DA476F" w:rsidR="00B437BF" w:rsidRPr="0095743C" w:rsidRDefault="00625531" w:rsidP="000F65DA">
            <w:pPr>
              <w:tabs>
                <w:tab w:val="left" w:pos="8505"/>
              </w:tabs>
              <w:jc w:val="center"/>
              <w:rPr>
                <w:rFonts w:ascii="Times New Roman" w:hAnsi="Times New Roman" w:cs="Times New Roman"/>
                <w:b/>
                <w:color w:val="000000" w:themeColor="text1"/>
                <w:sz w:val="20"/>
                <w:szCs w:val="20"/>
                <w:lang w:val="ro-RO"/>
              </w:rPr>
            </w:pPr>
            <w:r w:rsidRPr="00863A23">
              <w:rPr>
                <w:rFonts w:ascii="Times New Roman" w:hAnsi="Times New Roman" w:cs="Times New Roman"/>
                <w:b/>
                <w:color w:val="000000" w:themeColor="text1"/>
                <w:sz w:val="20"/>
                <w:szCs w:val="20"/>
                <w:lang w:val="it-IT"/>
              </w:rPr>
              <w:t xml:space="preserve"> </w:t>
            </w:r>
            <w:r w:rsidR="000F65DA" w:rsidRPr="000F65DA">
              <w:rPr>
                <w:rFonts w:ascii="Times New Roman" w:hAnsi="Times New Roman" w:cs="Times New Roman"/>
                <w:b/>
                <w:color w:val="000000" w:themeColor="text1"/>
                <w:sz w:val="20"/>
                <w:szCs w:val="20"/>
              </w:rPr>
              <w:t>16/1541</w:t>
            </w:r>
            <w:r w:rsidR="000F65DA">
              <w:rPr>
                <w:rFonts w:ascii="Times New Roman" w:hAnsi="Times New Roman" w:cs="Times New Roman"/>
                <w:b/>
                <w:color w:val="000000" w:themeColor="text1"/>
                <w:sz w:val="20"/>
                <w:szCs w:val="20"/>
              </w:rPr>
              <w:t xml:space="preserve"> </w:t>
            </w:r>
            <w:r w:rsidR="00B437BF" w:rsidRPr="00625531">
              <w:rPr>
                <w:rFonts w:ascii="Times New Roman" w:hAnsi="Times New Roman" w:cs="Times New Roman"/>
                <w:b/>
                <w:color w:val="000000" w:themeColor="text1"/>
                <w:sz w:val="20"/>
                <w:szCs w:val="20"/>
                <w:lang w:val="ro-RO"/>
              </w:rPr>
              <w:t>din</w:t>
            </w:r>
            <w:r w:rsidR="000F65DA">
              <w:rPr>
                <w:rFonts w:ascii="Times New Roman" w:hAnsi="Times New Roman" w:cs="Times New Roman"/>
                <w:b/>
                <w:color w:val="000000" w:themeColor="text1"/>
                <w:sz w:val="20"/>
                <w:szCs w:val="20"/>
                <w:lang w:val="ro-RO"/>
              </w:rPr>
              <w:t xml:space="preserve"> </w:t>
            </w:r>
            <w:r w:rsidR="000F65DA" w:rsidRPr="000F65DA">
              <w:rPr>
                <w:rFonts w:ascii="Times New Roman" w:hAnsi="Times New Roman" w:cs="Times New Roman"/>
                <w:b/>
                <w:color w:val="000000" w:themeColor="text1"/>
                <w:sz w:val="20"/>
                <w:szCs w:val="20"/>
              </w:rPr>
              <w:t xml:space="preserve">17.04.2026 </w:t>
            </w:r>
            <w:r w:rsidR="00B437BF" w:rsidRPr="00625531">
              <w:rPr>
                <w:rFonts w:ascii="Times New Roman" w:hAnsi="Times New Roman" w:cs="Times New Roman"/>
                <w:b/>
                <w:color w:val="000000" w:themeColor="text1"/>
                <w:sz w:val="20"/>
                <w:szCs w:val="20"/>
                <w:lang w:val="ro-RO"/>
              </w:rPr>
              <w:t>)</w:t>
            </w:r>
          </w:p>
        </w:tc>
        <w:tc>
          <w:tcPr>
            <w:tcW w:w="533" w:type="dxa"/>
          </w:tcPr>
          <w:p w14:paraId="38897E9C" w14:textId="77777777" w:rsidR="00B437BF" w:rsidRDefault="00B437BF" w:rsidP="00B437BF">
            <w:pPr>
              <w:tabs>
                <w:tab w:val="left" w:pos="8505"/>
              </w:tabs>
              <w:jc w:val="center"/>
              <w:rPr>
                <w:rFonts w:ascii="Times New Roman" w:hAnsi="Times New Roman" w:cs="Times New Roman"/>
                <w:b/>
                <w:sz w:val="20"/>
                <w:szCs w:val="20"/>
                <w:lang w:val="ro-RO"/>
              </w:rPr>
            </w:pPr>
          </w:p>
        </w:tc>
        <w:tc>
          <w:tcPr>
            <w:tcW w:w="3402" w:type="dxa"/>
          </w:tcPr>
          <w:p w14:paraId="0DCAEB0C" w14:textId="77777777" w:rsidR="00B437BF" w:rsidRDefault="00B437BF" w:rsidP="00B437BF">
            <w:pPr>
              <w:jc w:val="both"/>
              <w:rPr>
                <w:rFonts w:ascii="Times New Roman" w:hAnsi="Times New Roman" w:cs="Times New Roman"/>
                <w:sz w:val="20"/>
                <w:szCs w:val="20"/>
                <w:lang w:val="ro-RO"/>
              </w:rPr>
            </w:pPr>
          </w:p>
        </w:tc>
        <w:tc>
          <w:tcPr>
            <w:tcW w:w="3436" w:type="dxa"/>
          </w:tcPr>
          <w:p w14:paraId="3CA7E85A" w14:textId="77777777" w:rsidR="00B437BF" w:rsidRDefault="00B437BF" w:rsidP="00B437BF">
            <w:pPr>
              <w:tabs>
                <w:tab w:val="left" w:pos="8505"/>
              </w:tabs>
              <w:jc w:val="both"/>
              <w:rPr>
                <w:rFonts w:ascii="Times New Roman" w:hAnsi="Times New Roman" w:cs="Times New Roman"/>
                <w:b/>
                <w:sz w:val="20"/>
                <w:szCs w:val="20"/>
                <w:lang w:val="ro-RO"/>
              </w:rPr>
            </w:pPr>
          </w:p>
        </w:tc>
      </w:tr>
      <w:tr w:rsidR="00B437BF" w:rsidRPr="009302D4" w14:paraId="10F8146A" w14:textId="77777777" w:rsidTr="00A919EA">
        <w:trPr>
          <w:trHeight w:val="416"/>
        </w:trPr>
        <w:tc>
          <w:tcPr>
            <w:tcW w:w="3397" w:type="dxa"/>
          </w:tcPr>
          <w:p w14:paraId="5E043983" w14:textId="1B48BD09" w:rsidR="000D2638" w:rsidRPr="000D2638" w:rsidRDefault="000D2638" w:rsidP="000D2638">
            <w:pPr>
              <w:tabs>
                <w:tab w:val="left" w:pos="8505"/>
              </w:tabs>
              <w:jc w:val="both"/>
              <w:rPr>
                <w:rFonts w:ascii="Times New Roman" w:hAnsi="Times New Roman" w:cs="Times New Roman"/>
                <w:sz w:val="20"/>
                <w:szCs w:val="20"/>
                <w:lang w:val="ro-RO"/>
              </w:rPr>
            </w:pPr>
            <w:r w:rsidRPr="000D2638">
              <w:rPr>
                <w:rFonts w:ascii="Times New Roman" w:hAnsi="Times New Roman" w:cs="Times New Roman"/>
                <w:sz w:val="20"/>
                <w:szCs w:val="20"/>
                <w:lang w:val="ro-RO"/>
              </w:rPr>
              <w:t>În temeiul art. 6 lit. h) din Legea nr.</w:t>
            </w:r>
            <w:r>
              <w:rPr>
                <w:rFonts w:ascii="Times New Roman" w:hAnsi="Times New Roman" w:cs="Times New Roman"/>
                <w:sz w:val="20"/>
                <w:szCs w:val="20"/>
                <w:lang w:val="ro-RO"/>
              </w:rPr>
              <w:t xml:space="preserve"> </w:t>
            </w:r>
            <w:r w:rsidRPr="000D2638">
              <w:rPr>
                <w:rFonts w:ascii="Times New Roman" w:hAnsi="Times New Roman" w:cs="Times New Roman"/>
                <w:sz w:val="20"/>
                <w:szCs w:val="20"/>
                <w:lang w:val="ro-RO"/>
              </w:rPr>
              <w:t>136/2017 cu privire la Guvern (Monitorul Oficial al Republicii Moldova, 2017, nr. 252, art. 412), cu modificările ulterioare, Guvernul HOTĂRĂŞTE:</w:t>
            </w:r>
          </w:p>
          <w:p w14:paraId="09BF0904" w14:textId="43580DF3" w:rsidR="00B437BF" w:rsidRPr="00F93901" w:rsidRDefault="00B437BF" w:rsidP="00B437BF">
            <w:pPr>
              <w:tabs>
                <w:tab w:val="left" w:pos="8505"/>
              </w:tabs>
              <w:jc w:val="both"/>
              <w:rPr>
                <w:rFonts w:ascii="Times New Roman" w:hAnsi="Times New Roman" w:cs="Times New Roman"/>
                <w:bCs/>
                <w:sz w:val="20"/>
                <w:szCs w:val="20"/>
                <w:lang w:val="ro-RO"/>
              </w:rPr>
            </w:pPr>
          </w:p>
        </w:tc>
        <w:tc>
          <w:tcPr>
            <w:tcW w:w="2977" w:type="dxa"/>
          </w:tcPr>
          <w:p w14:paraId="00C98F89"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33" w:type="dxa"/>
          </w:tcPr>
          <w:p w14:paraId="4F942D45"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41F1F1DA" w14:textId="77777777" w:rsidR="00231688" w:rsidRPr="00863A23" w:rsidRDefault="00231688" w:rsidP="00231688">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 În ceea ce privește temeiul legal de adoptare al proiectului, se constată că autorul proiectului a fundamentat emiterea actului normativ exclusiv pe prevederile art. 6 lit. h) din Legea nr. 136/2017 cu privire la Guvern, normă care reglementează competența generală a Guvernului de a adopta acte normative. </w:t>
            </w:r>
          </w:p>
          <w:p w14:paraId="79D81973" w14:textId="77777777" w:rsidR="00231688" w:rsidRPr="00863A23" w:rsidRDefault="00231688" w:rsidP="00231688">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Potrivit exigențelor de tehnică legislativă, precum și indicațiilor metodologice elaborate de Ministerul Justiției al Republicii Moldova, temeiul juridic de adoptare trebuie să reflecte temeiul juridic concret pentru emiterea prezentului act normativ, iar referințele la alte norme ale actelor normative care nu constituie temei juridic de adoptare a actului elaborat (nu constituie temei juridic pentru obiectul de reglementare al proiectului), nu se vor indica în clauza de adoptare. </w:t>
            </w:r>
          </w:p>
          <w:p w14:paraId="72554823" w14:textId="77777777" w:rsidR="00231688" w:rsidRPr="00863A23" w:rsidRDefault="00231688" w:rsidP="00231688">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Totodată, din analiza conținutului proiectului și a notei de fundamentare rezultă că acesta are ca finalitate inclusiv punerea în aplicare și dezvoltarea cadrului normativ instituit prin Legea nr. 325/2025 privind achizițiile publice. În acest context, considerăm că devine incidentă la această speță dispoziția art. 1 alin. (4) din legea menționată, potrivit căreia contractele de achiziții publice a căror valoare estimată, fără taxa pe valoarea adăugată, nu depășește pragurile menționate la alin. (1) sunt atribuite în condițiile și potrivit procedurilor reglementate de Guvern. </w:t>
            </w:r>
          </w:p>
          <w:p w14:paraId="4CBD4E31" w14:textId="77777777" w:rsidR="00231688" w:rsidRPr="00863A23" w:rsidRDefault="00231688" w:rsidP="00231688">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Astfel, această normă are caracter de conferire expresă a competenței </w:t>
            </w:r>
            <w:r w:rsidRPr="00863A23">
              <w:rPr>
                <w:rFonts w:ascii="Times New Roman" w:hAnsi="Times New Roman" w:cs="Times New Roman"/>
                <w:sz w:val="20"/>
                <w:szCs w:val="20"/>
                <w:lang w:val="it-IT"/>
              </w:rPr>
              <w:lastRenderedPageBreak/>
              <w:t xml:space="preserve">Guvernului de a reglementa, prin acte normative subsecvente, procedurile aplicabile achizițiilor publice de valoare mică. Prin urmare, reținem că aceasta constituie temeiul juridic material direct al proiectului examinat, întrucât argumentează intervenția normativă și determină necesitatea adoptării unor reglementări secundare corespunzătoare. </w:t>
            </w:r>
          </w:p>
          <w:p w14:paraId="156D81CC" w14:textId="77777777" w:rsidR="00231688" w:rsidRPr="00863A23" w:rsidRDefault="00231688" w:rsidP="00231688">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În același timp, se reține că invocarea exclusivă a unei norme cu caracter general, fără corelarea acesteia cu dispoziția specială aplicabilă domeniului reglementat, nu corespunde pe deplin cerințelor de fundamentare a actului normativ și nu reflectă în mod adecvat raportul de subordonare dintre actul normativ primar și cel subsecvent. </w:t>
            </w:r>
          </w:p>
          <w:p w14:paraId="25193A57" w14:textId="77777777" w:rsidR="00231688" w:rsidRPr="00863A23" w:rsidRDefault="00231688" w:rsidP="00231688">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Suplimentar, faptul că Legea nr. 325/2025 privind achizițiile publice urmează să intre în vigoare la data de 1 ianuarie 2027 nu constituie, în opinia noastră, un impediment pentru invocarea acesteia în temeiul prezentului proiect, în condițiile în care, actul normativ remis spre examinare prevede aceeași dată de intrare în vigoare (cu excepția pct. 8 pct. 9 și pct. 29), fiind astfel asigurată conformarea temporală necesară aplicării coerente a cadrului normativ. </w:t>
            </w:r>
          </w:p>
          <w:p w14:paraId="02999A3F" w14:textId="53DFDD2B" w:rsidR="00B437BF" w:rsidRDefault="00231688" w:rsidP="00231688">
            <w:pPr>
              <w:jc w:val="both"/>
              <w:rPr>
                <w:rFonts w:ascii="Times New Roman" w:hAnsi="Times New Roman" w:cs="Times New Roman"/>
                <w:sz w:val="20"/>
                <w:szCs w:val="20"/>
                <w:lang w:val="ro-RO"/>
              </w:rPr>
            </w:pPr>
            <w:r w:rsidRPr="00863A23">
              <w:rPr>
                <w:rFonts w:ascii="Times New Roman" w:hAnsi="Times New Roman" w:cs="Times New Roman"/>
                <w:sz w:val="20"/>
                <w:szCs w:val="20"/>
                <w:lang w:val="it-IT"/>
              </w:rPr>
              <w:t>Așadar, propunem autorului completarea temeiului legal de adoptare al proiectului prin indicarea expresă a art. 1 alin. (4) din Legea nr. 325/2025 privind achizițiile publice (publicată la 12.02.2026 în Monitorul Oficial al Republicii Moldova nr. 76-79 art. 39), alături de norma generală de competență, în vederea asigurării unui temei juridic complet, corect și conform exigențelor de tehnică legislativă.</w:t>
            </w:r>
          </w:p>
        </w:tc>
        <w:tc>
          <w:tcPr>
            <w:tcW w:w="3436" w:type="dxa"/>
          </w:tcPr>
          <w:p w14:paraId="6D58DEC5" w14:textId="72B602A4" w:rsidR="00B437BF" w:rsidRDefault="004B09A8"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S</w:t>
            </w:r>
            <w:r w:rsidR="000D2638" w:rsidRPr="000D2638">
              <w:rPr>
                <w:rFonts w:ascii="Times New Roman" w:hAnsi="Times New Roman" w:cs="Times New Roman"/>
                <w:b/>
                <w:sz w:val="20"/>
                <w:szCs w:val="20"/>
                <w:lang w:val="ro-RO"/>
              </w:rPr>
              <w:t>e acceptă</w:t>
            </w:r>
          </w:p>
          <w:p w14:paraId="7E9187FC" w14:textId="7270B532" w:rsidR="00B40417" w:rsidRDefault="004B09A8" w:rsidP="00B437B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T</w:t>
            </w:r>
            <w:r w:rsidRPr="004B09A8">
              <w:rPr>
                <w:rFonts w:ascii="Times New Roman" w:hAnsi="Times New Roman" w:cs="Times New Roman"/>
                <w:sz w:val="20"/>
                <w:szCs w:val="20"/>
                <w:lang w:val="ro-RO"/>
              </w:rPr>
              <w:t>emeiul legal de adoptare al proiectului</w:t>
            </w:r>
            <w:r w:rsidRPr="00863A23">
              <w:rPr>
                <w:rFonts w:ascii="Times New Roman" w:hAnsi="Times New Roman" w:cs="Times New Roman"/>
                <w:sz w:val="20"/>
                <w:szCs w:val="20"/>
                <w:lang w:val="ro-RO"/>
              </w:rPr>
              <w:t xml:space="preserve"> </w:t>
            </w:r>
            <w:r>
              <w:rPr>
                <w:rFonts w:ascii="Times New Roman" w:hAnsi="Times New Roman" w:cs="Times New Roman"/>
                <w:sz w:val="20"/>
                <w:szCs w:val="20"/>
                <w:lang w:val="ro-RO"/>
              </w:rPr>
              <w:t>a fost modificat dupǎ cum urmeazǎ</w:t>
            </w:r>
            <w:r w:rsidR="00B40417">
              <w:rPr>
                <w:rFonts w:ascii="Times New Roman" w:hAnsi="Times New Roman" w:cs="Times New Roman"/>
                <w:sz w:val="20"/>
                <w:szCs w:val="20"/>
                <w:lang w:val="ro-RO"/>
              </w:rPr>
              <w:t>:</w:t>
            </w:r>
          </w:p>
          <w:p w14:paraId="3494FFAD" w14:textId="14849B67" w:rsidR="00B40417" w:rsidRPr="006A1212" w:rsidRDefault="00B40417" w:rsidP="00B40417">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w:t>
            </w:r>
            <w:r w:rsidRPr="00B40417">
              <w:rPr>
                <w:lang w:val="ro-RO"/>
              </w:rPr>
              <w:t xml:space="preserve"> </w:t>
            </w:r>
            <w:r w:rsidRPr="00B40417">
              <w:rPr>
                <w:rFonts w:ascii="Times New Roman" w:hAnsi="Times New Roman" w:cs="Times New Roman"/>
                <w:sz w:val="20"/>
                <w:szCs w:val="20"/>
                <w:lang w:val="ro-RO"/>
              </w:rPr>
              <w:t>În temeiul art. 6 lit. h) din Legea nr. 136/2017 cu privire la Guvern (Monitorul Oficial al Republicii Moldova, 2017, nr. 252, art. 412), cu modificările ulterioare, art. 1 alin. (4) din Legea nr. 325/2025 privind achizițiile publice (Monitorul Oficial al Republicii Moldova, 2026, nr. 76-79 art. 39), Guvernul HOTĂRĂŞTE:</w:t>
            </w:r>
            <w:r>
              <w:rPr>
                <w:rFonts w:ascii="Times New Roman" w:hAnsi="Times New Roman" w:cs="Times New Roman"/>
                <w:sz w:val="20"/>
                <w:szCs w:val="20"/>
                <w:lang w:val="ro-RO"/>
              </w:rPr>
              <w:t>”</w:t>
            </w:r>
          </w:p>
          <w:p w14:paraId="59BF0A39" w14:textId="301AC71C" w:rsidR="006A1212" w:rsidRPr="006A1212" w:rsidRDefault="006A1212" w:rsidP="00B437BF">
            <w:pPr>
              <w:tabs>
                <w:tab w:val="left" w:pos="8505"/>
              </w:tabs>
              <w:jc w:val="both"/>
              <w:rPr>
                <w:rFonts w:ascii="Times New Roman" w:hAnsi="Times New Roman" w:cs="Times New Roman"/>
                <w:sz w:val="20"/>
                <w:szCs w:val="20"/>
                <w:lang w:val="ro-RO"/>
              </w:rPr>
            </w:pPr>
          </w:p>
        </w:tc>
      </w:tr>
      <w:tr w:rsidR="00625531" w:rsidRPr="00274D20" w14:paraId="3D0A4BCC" w14:textId="77777777" w:rsidTr="00A919EA">
        <w:trPr>
          <w:trHeight w:val="416"/>
        </w:trPr>
        <w:tc>
          <w:tcPr>
            <w:tcW w:w="3397" w:type="dxa"/>
          </w:tcPr>
          <w:p w14:paraId="5A2932ED" w14:textId="1B7E37BF" w:rsidR="00625531" w:rsidRDefault="000D2638"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În contextul proiectului</w:t>
            </w:r>
          </w:p>
        </w:tc>
        <w:tc>
          <w:tcPr>
            <w:tcW w:w="2977" w:type="dxa"/>
          </w:tcPr>
          <w:p w14:paraId="79938F47" w14:textId="77777777" w:rsidR="00625531" w:rsidRDefault="00625531" w:rsidP="00B437BF">
            <w:pPr>
              <w:tabs>
                <w:tab w:val="left" w:pos="8505"/>
              </w:tabs>
              <w:jc w:val="center"/>
              <w:rPr>
                <w:rFonts w:ascii="Times New Roman" w:hAnsi="Times New Roman" w:cs="Times New Roman"/>
                <w:b/>
                <w:color w:val="000000" w:themeColor="text1"/>
                <w:sz w:val="20"/>
                <w:szCs w:val="20"/>
                <w:lang w:val="ro-RO"/>
              </w:rPr>
            </w:pPr>
          </w:p>
        </w:tc>
        <w:tc>
          <w:tcPr>
            <w:tcW w:w="533" w:type="dxa"/>
          </w:tcPr>
          <w:p w14:paraId="2CEC8730" w14:textId="3213547A" w:rsidR="00625531" w:rsidRDefault="00625531"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706D7111" w14:textId="2EC95C15" w:rsidR="00231688" w:rsidRPr="00863A23" w:rsidRDefault="00231688" w:rsidP="00231688">
            <w:pPr>
              <w:jc w:val="both"/>
              <w:rPr>
                <w:rFonts w:ascii="Times New Roman" w:hAnsi="Times New Roman" w:cs="Times New Roman"/>
                <w:sz w:val="20"/>
                <w:szCs w:val="20"/>
                <w:lang w:val="ro-RO"/>
              </w:rPr>
            </w:pPr>
            <w:r w:rsidRPr="00231688">
              <w:rPr>
                <w:rFonts w:ascii="Times New Roman" w:hAnsi="Times New Roman" w:cs="Times New Roman"/>
                <w:sz w:val="20"/>
                <w:szCs w:val="20"/>
                <w:lang w:val="ro-RO"/>
              </w:rPr>
              <w:t>Totodată, se remarcă faptul că proiectul nu conține reglementări asupra achizițiilor publice de valoarea mică ce depășesc pragurile stabilite la pct.6 și 7 din Regulamentul actual, și până la care praguri se propune a fi instituite după modificări.</w:t>
            </w:r>
            <w:r w:rsidR="004F36A0">
              <w:rPr>
                <w:rFonts w:ascii="Times New Roman" w:hAnsi="Times New Roman" w:cs="Times New Roman"/>
                <w:sz w:val="20"/>
                <w:szCs w:val="20"/>
                <w:lang w:val="ro-RO"/>
              </w:rPr>
              <w:t xml:space="preserve"> </w:t>
            </w:r>
            <w:r w:rsidRPr="00863A23">
              <w:rPr>
                <w:rFonts w:ascii="Times New Roman" w:hAnsi="Times New Roman" w:cs="Times New Roman"/>
                <w:sz w:val="20"/>
                <w:szCs w:val="20"/>
                <w:lang w:val="ro-RO"/>
              </w:rPr>
              <w:t>În același timp, proiectul prevede completarea Regulamentului cu un nou punct 7</w:t>
            </w:r>
            <w:r w:rsidRPr="00863A23">
              <w:rPr>
                <w:rFonts w:ascii="Times New Roman" w:hAnsi="Times New Roman" w:cs="Times New Roman"/>
                <w:sz w:val="20"/>
                <w:szCs w:val="20"/>
                <w:vertAlign w:val="superscript"/>
                <w:lang w:val="ro-RO"/>
              </w:rPr>
              <w:t>1</w:t>
            </w:r>
            <w:r w:rsidRPr="00863A23">
              <w:rPr>
                <w:rFonts w:ascii="Times New Roman" w:hAnsi="Times New Roman" w:cs="Times New Roman"/>
                <w:sz w:val="20"/>
                <w:szCs w:val="20"/>
                <w:lang w:val="ro-RO"/>
              </w:rPr>
              <w:t xml:space="preserve"> care să reglementeze particularitățile privind contractele de achiziții publice, a căror valoare, fără taxa pe valoare adăugată, este egală cu sau mai mare decât pragurile indicate, și anume 300 000 pentru bunuri și servicii, 375 000 pentru lucrări și respectiv 600 000 pentru achizițiile indicate în anexa nr.2 a Legii nr.325/2025 privind achizițiile publice. </w:t>
            </w:r>
          </w:p>
          <w:p w14:paraId="090B019A" w14:textId="31979363" w:rsidR="00625531" w:rsidRPr="00625531" w:rsidRDefault="00231688" w:rsidP="00231688">
            <w:pPr>
              <w:jc w:val="both"/>
              <w:rPr>
                <w:rFonts w:ascii="Times New Roman" w:hAnsi="Times New Roman" w:cs="Times New Roman"/>
                <w:sz w:val="20"/>
                <w:szCs w:val="20"/>
                <w:lang w:val="ro-RO"/>
              </w:rPr>
            </w:pPr>
            <w:r w:rsidRPr="00863A23">
              <w:rPr>
                <w:rFonts w:ascii="Times New Roman" w:hAnsi="Times New Roman" w:cs="Times New Roman"/>
                <w:sz w:val="20"/>
                <w:szCs w:val="20"/>
                <w:lang w:val="it-IT"/>
              </w:rPr>
              <w:t>În acest context, se relevă existența unui vid de reglementare pentru achizițiile publice de valoare mică la pragurile prevăzute la pct. 6 și 7 din Regulamentul în vigoare și cele propuse la pct. 7¹ din proiect.</w:t>
            </w:r>
          </w:p>
        </w:tc>
        <w:tc>
          <w:tcPr>
            <w:tcW w:w="3436" w:type="dxa"/>
          </w:tcPr>
          <w:p w14:paraId="795826F7" w14:textId="7ED1A907" w:rsidR="003B536D" w:rsidRPr="00863A23" w:rsidRDefault="003B536D" w:rsidP="00BF6483">
            <w:pPr>
              <w:tabs>
                <w:tab w:val="left" w:pos="8505"/>
              </w:tabs>
              <w:jc w:val="both"/>
              <w:rPr>
                <w:rFonts w:ascii="Times New Roman" w:hAnsi="Times New Roman" w:cs="Times New Roman"/>
                <w:b/>
                <w:sz w:val="20"/>
                <w:szCs w:val="20"/>
                <w:lang w:val="it-IT"/>
              </w:rPr>
            </w:pPr>
            <w:r w:rsidRPr="00863A23">
              <w:rPr>
                <w:rFonts w:ascii="Times New Roman" w:hAnsi="Times New Roman" w:cs="Times New Roman"/>
                <w:b/>
                <w:sz w:val="20"/>
                <w:szCs w:val="20"/>
                <w:lang w:val="it-IT"/>
              </w:rPr>
              <w:t>Nu se acceptă</w:t>
            </w:r>
          </w:p>
          <w:p w14:paraId="4AD5B503" w14:textId="1E17C23B" w:rsidR="00DF53C1" w:rsidRPr="00863A23" w:rsidRDefault="00DF53C1" w:rsidP="00DF53C1">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Propunerea nu este fondată, întrucât se bazează pe o interpretare care nu ține cont de arhitectura coerentă a Regulamentului și de natura complementară a prevederilor. Analiza coroborată a punctului 2, a excepțiilor de la utilizarea SI „RSAP” (pct. 14, inclusiv referința la pct. 4-7) și a noului punct 7</w:t>
            </w:r>
            <w:r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xml:space="preserve"> demonstrează că proiectul asigură o reglementare completă, proporțională și lipsită de viduri normative.</w:t>
            </w:r>
          </w:p>
          <w:p w14:paraId="7B297B99" w14:textId="77777777" w:rsidR="00DF53C1" w:rsidRPr="00863A23" w:rsidRDefault="00DF53C1" w:rsidP="00DF53C1">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Argumentele detaliate sunt următoarele:</w:t>
            </w:r>
          </w:p>
          <w:p w14:paraId="2A2B0660" w14:textId="6F54B312" w:rsidR="00DF53C1" w:rsidRPr="00863A23" w:rsidRDefault="00DF53C1" w:rsidP="00DF53C1">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Punctul 2 din HG nr. 870/2022 definește sfera generală a achizițiilor de valoare mică, raportându-se la pragurile superioare stabilite de legislația primară. Prin proiect, acest punct este actualizat pentru a face trimitere la Legea nr. 325/2025, asigurând astfel alinierea la noul cadru legal.</w:t>
            </w:r>
          </w:p>
          <w:p w14:paraId="4FA0592E" w14:textId="2EB79FB7" w:rsidR="00DF53C1" w:rsidRPr="00863A23" w:rsidRDefault="00DF53C1" w:rsidP="00DF53C1">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Punctul 7</w:t>
            </w:r>
            <w:r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xml:space="preserve"> nu redefinește sfera de aplicare și nici nu exclude anumite valori din reglementare. Acesta introduce un regim diferențiat de „particularități” (cerințe sporite de transparență, formulare obligatorii, termene extinse) care se aplică suplimentar regulilor generale, doar pentru contractele a căror valoare depășește anumite praguri de risc (300.000 MDL, 375.000 MDL, 600.000 MDL).</w:t>
            </w:r>
          </w:p>
          <w:p w14:paraId="558A1E6A" w14:textId="52B9320C" w:rsidR="00DF53C1" w:rsidRPr="00863A23" w:rsidRDefault="00DF53C1" w:rsidP="00DF53C1">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Astfel, structura este ierarhică și continuă: toate contractele sub pragurile legii sunt achiziții de valoare mică (pct. 2); dintre acestea, cele cu valori mai mari sunt supuse și particularităților de la pct. 7</w:t>
            </w:r>
            <w:r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pentru a asigura o rigoare proporțională cu valoarea și complexitatea.</w:t>
            </w:r>
          </w:p>
          <w:p w14:paraId="789632C1" w14:textId="528D68E6" w:rsidR="00DF53C1" w:rsidRPr="00863A23" w:rsidRDefault="00DF53C1" w:rsidP="00DF53C1">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Regulamentul acoperă fără soluții de continuitate toate intervalele valorice:</w:t>
            </w:r>
          </w:p>
          <w:p w14:paraId="3525FC51" w14:textId="77777777" w:rsidR="00DF53C1" w:rsidRPr="00863A23" w:rsidRDefault="00DF53C1" w:rsidP="00DF53C1">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lastRenderedPageBreak/>
              <w:t>Pentru valori foarte mici: Se aplică excepțiile de la pct. 14, inclusiv posibilitatea încheierii de contracte directe în limitele stabilite la pct. 4-7. Aceste prevederi rămân în vigoare și permit achiziții rapide, cu respectarea principiilor generale.</w:t>
            </w:r>
          </w:p>
          <w:p w14:paraId="0D4D7FFA" w14:textId="152A242A" w:rsidR="00DF53C1" w:rsidRPr="00863A23" w:rsidRDefault="00DF53C1" w:rsidP="00DF53C1">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Pentru valori intermediare (peste limitele contractelor directe și sub pragurile pct. 7</w:t>
            </w:r>
            <w:r w:rsidR="00174B97"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xml:space="preserve">): Se aplică regulile generale ale Regulamentului. Autoritatea contractantă are </w:t>
            </w:r>
            <w:r w:rsidR="00174B97" w:rsidRPr="00863A23">
              <w:rPr>
                <w:rFonts w:ascii="Times New Roman" w:hAnsi="Times New Roman" w:cs="Times New Roman"/>
                <w:sz w:val="20"/>
                <w:szCs w:val="20"/>
                <w:lang w:val="it-IT"/>
              </w:rPr>
              <w:t>obligația de a utiliza SI „RSAP”</w:t>
            </w:r>
            <w:r w:rsidRPr="00863A23">
              <w:rPr>
                <w:rFonts w:ascii="Times New Roman" w:hAnsi="Times New Roman" w:cs="Times New Roman"/>
                <w:sz w:val="20"/>
                <w:szCs w:val="20"/>
                <w:lang w:val="it-IT"/>
              </w:rPr>
              <w:t xml:space="preserve"> (conform pct. 14), asigurând competiția și transparența, dar fără a fi supusă particularităților administrative sporite de la pct. 7</w:t>
            </w:r>
            <w:r w:rsidR="00174B97"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Acest interval este pe deplin reglementat de dispozițiile generale privind procedura, criteriile și documentația.</w:t>
            </w:r>
          </w:p>
          <w:p w14:paraId="71335769" w14:textId="7CABEA68" w:rsidR="00DF53C1" w:rsidRPr="00863A23" w:rsidRDefault="00DF53C1" w:rsidP="00DF53C1">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Pentru valori ce depășesc pragurile pct. 7</w:t>
            </w:r>
            <w:r w:rsidR="00174B97"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Se aplică regulile generale, completate cu particularitățile obligatorii (publicare anunț, formulare standard, termene minime extinse etc.), așa cum rezultă și din corelarea cu pct. 21¹ și pct. 27¹-27² din proiect.</w:t>
            </w:r>
          </w:p>
          <w:p w14:paraId="59AD3CD2" w14:textId="74F3399E" w:rsidR="00DF53C1" w:rsidRPr="00863A23" w:rsidRDefault="00DF53C1" w:rsidP="00DF53C1">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Prin urmare, nu există niciun „vid" între limitele contractelor directe și pragurile pct. 7</w:t>
            </w:r>
            <w:r w:rsidR="00174B97"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Dimpotrivă, această structură reflectă o abordare modernă și proporțională: simplificare pentru valori mici, rigoare sporită pentru valori semnificative.</w:t>
            </w:r>
          </w:p>
          <w:p w14:paraId="27AA6C2B" w14:textId="7779B5CF" w:rsidR="00DF53C1" w:rsidRPr="00863A23" w:rsidRDefault="00DF53C1" w:rsidP="00DF53C1">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Proiectul consolidează cadrul normativ prin introducerea unor mecanisme de control proporționale cu riscurile financiare. Punctul 7</w:t>
            </w:r>
            <w:r w:rsidR="00174B97"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xml:space="preserve"> completează reglementarea existentă fără a o contrazice, asigurând că achizițiile de valori mai mari beneficiază de garanții procedurale suplimentare, în timp ce achizițiile de valori reduse păstrează flexibilitatea necesară. Invocarea unei </w:t>
            </w:r>
            <w:r w:rsidRPr="00863A23">
              <w:rPr>
                <w:rFonts w:ascii="Times New Roman" w:hAnsi="Times New Roman" w:cs="Times New Roman"/>
                <w:sz w:val="20"/>
                <w:szCs w:val="20"/>
                <w:lang w:val="it-IT"/>
              </w:rPr>
              <w:lastRenderedPageBreak/>
              <w:t xml:space="preserve">neconcordanțe sau a unui vid rezultă din </w:t>
            </w:r>
            <w:r w:rsidR="00174B97" w:rsidRPr="00863A23">
              <w:rPr>
                <w:rFonts w:ascii="Times New Roman" w:hAnsi="Times New Roman" w:cs="Times New Roman"/>
                <w:sz w:val="20"/>
                <w:szCs w:val="20"/>
                <w:lang w:val="it-IT"/>
              </w:rPr>
              <w:t>confundarea „particularităților”</w:t>
            </w:r>
            <w:r w:rsidRPr="00863A23">
              <w:rPr>
                <w:rFonts w:ascii="Times New Roman" w:hAnsi="Times New Roman" w:cs="Times New Roman"/>
                <w:sz w:val="20"/>
                <w:szCs w:val="20"/>
                <w:lang w:val="it-IT"/>
              </w:rPr>
              <w:t xml:space="preserve"> cu „totali</w:t>
            </w:r>
            <w:r w:rsidR="00174B97" w:rsidRPr="00863A23">
              <w:rPr>
                <w:rFonts w:ascii="Times New Roman" w:hAnsi="Times New Roman" w:cs="Times New Roman"/>
                <w:sz w:val="20"/>
                <w:szCs w:val="20"/>
                <w:lang w:val="it-IT"/>
              </w:rPr>
              <w:t>tatea reglementării”</w:t>
            </w:r>
            <w:r w:rsidRPr="00863A23">
              <w:rPr>
                <w:rFonts w:ascii="Times New Roman" w:hAnsi="Times New Roman" w:cs="Times New Roman"/>
                <w:sz w:val="20"/>
                <w:szCs w:val="20"/>
                <w:lang w:val="it-IT"/>
              </w:rPr>
              <w:t>, aspect infirmat de analiza sistemică a actului.</w:t>
            </w:r>
          </w:p>
          <w:p w14:paraId="0649172A" w14:textId="50047015" w:rsidR="0088390B" w:rsidRPr="00863A23" w:rsidRDefault="00DF53C1" w:rsidP="00DF53C1">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Prin urmare, menținerea proiectului în forma propusă este imperativă pentru a asigura securitatea juridică, proporționalitatea procedurilor și alinierea la standardele Legii nr. 325/2025, cadrul fiind complet și funcțional pentru toate categoriile de valori.</w:t>
            </w:r>
          </w:p>
        </w:tc>
      </w:tr>
      <w:tr w:rsidR="00B437BF" w:rsidRPr="00760BD0" w14:paraId="52845128" w14:textId="77777777" w:rsidTr="00A919EA">
        <w:trPr>
          <w:trHeight w:val="416"/>
        </w:trPr>
        <w:tc>
          <w:tcPr>
            <w:tcW w:w="3397" w:type="dxa"/>
          </w:tcPr>
          <w:p w14:paraId="1833D99D" w14:textId="77777777" w:rsidR="00B437BF" w:rsidRDefault="00B437BF" w:rsidP="00B437BF">
            <w:pPr>
              <w:tabs>
                <w:tab w:val="left" w:pos="8505"/>
              </w:tabs>
              <w:jc w:val="both"/>
              <w:rPr>
                <w:rFonts w:ascii="Times New Roman" w:hAnsi="Times New Roman" w:cs="Times New Roman"/>
                <w:b/>
                <w:sz w:val="20"/>
                <w:szCs w:val="20"/>
                <w:lang w:val="ro-RO"/>
              </w:rPr>
            </w:pPr>
          </w:p>
        </w:tc>
        <w:tc>
          <w:tcPr>
            <w:tcW w:w="2977" w:type="dxa"/>
          </w:tcPr>
          <w:p w14:paraId="12805BEC" w14:textId="77777777" w:rsidR="00231688" w:rsidRPr="00863A23" w:rsidRDefault="00231688" w:rsidP="00231688">
            <w:pPr>
              <w:tabs>
                <w:tab w:val="left" w:pos="8505"/>
              </w:tabs>
              <w:jc w:val="center"/>
              <w:rPr>
                <w:rFonts w:ascii="Times New Roman" w:hAnsi="Times New Roman" w:cs="Times New Roman"/>
                <w:b/>
                <w:color w:val="000000" w:themeColor="text1"/>
                <w:sz w:val="20"/>
                <w:szCs w:val="20"/>
                <w:lang w:val="it-IT"/>
              </w:rPr>
            </w:pPr>
            <w:r w:rsidRPr="00231688">
              <w:rPr>
                <w:rFonts w:ascii="Times New Roman" w:hAnsi="Times New Roman" w:cs="Times New Roman"/>
                <w:b/>
                <w:color w:val="000000" w:themeColor="text1"/>
                <w:sz w:val="20"/>
                <w:szCs w:val="20"/>
                <w:lang w:val="ro-RO"/>
              </w:rPr>
              <w:t>Ministerul Mediului</w:t>
            </w:r>
            <w:r>
              <w:rPr>
                <w:rFonts w:ascii="Times New Roman" w:hAnsi="Times New Roman" w:cs="Times New Roman"/>
                <w:b/>
                <w:color w:val="000000" w:themeColor="text1"/>
                <w:sz w:val="20"/>
                <w:szCs w:val="20"/>
                <w:lang w:val="ro-RO"/>
              </w:rPr>
              <w:t xml:space="preserve"> </w:t>
            </w:r>
            <w:r w:rsidR="00B437BF" w:rsidRPr="00154388">
              <w:rPr>
                <w:rFonts w:ascii="Times New Roman" w:hAnsi="Times New Roman" w:cs="Times New Roman"/>
                <w:b/>
                <w:color w:val="000000" w:themeColor="text1"/>
                <w:sz w:val="20"/>
                <w:szCs w:val="20"/>
                <w:lang w:val="ro-RO"/>
              </w:rPr>
              <w:t>(scrisoarea nr.</w:t>
            </w:r>
            <w:r>
              <w:rPr>
                <w:rFonts w:ascii="Times New Roman" w:hAnsi="Times New Roman" w:cs="Times New Roman"/>
                <w:b/>
                <w:color w:val="000000" w:themeColor="text1"/>
                <w:sz w:val="20"/>
                <w:szCs w:val="20"/>
                <w:lang w:val="ro-RO"/>
              </w:rPr>
              <w:t xml:space="preserve"> </w:t>
            </w:r>
            <w:r w:rsidRPr="00863A23">
              <w:rPr>
                <w:rFonts w:ascii="Times New Roman" w:hAnsi="Times New Roman" w:cs="Times New Roman"/>
                <w:b/>
                <w:color w:val="000000" w:themeColor="text1"/>
                <w:sz w:val="20"/>
                <w:szCs w:val="20"/>
                <w:lang w:val="it-IT"/>
              </w:rPr>
              <w:t xml:space="preserve">11-07/1276 </w:t>
            </w:r>
            <w:r w:rsidR="00B437BF" w:rsidRPr="00154388">
              <w:rPr>
                <w:rFonts w:ascii="Times New Roman" w:hAnsi="Times New Roman" w:cs="Times New Roman"/>
                <w:b/>
                <w:color w:val="000000" w:themeColor="text1"/>
                <w:sz w:val="20"/>
                <w:szCs w:val="20"/>
                <w:lang w:val="ro-RO"/>
              </w:rPr>
              <w:t xml:space="preserve">din </w:t>
            </w:r>
          </w:p>
          <w:p w14:paraId="061DAE49" w14:textId="6598A353" w:rsidR="00B437BF" w:rsidRDefault="00231688" w:rsidP="00231688">
            <w:pPr>
              <w:tabs>
                <w:tab w:val="left" w:pos="8505"/>
              </w:tabs>
              <w:jc w:val="center"/>
              <w:rPr>
                <w:rFonts w:ascii="Times New Roman" w:hAnsi="Times New Roman" w:cs="Times New Roman"/>
                <w:b/>
                <w:color w:val="000000" w:themeColor="text1"/>
                <w:sz w:val="20"/>
                <w:szCs w:val="20"/>
                <w:lang w:val="ro-RO"/>
              </w:rPr>
            </w:pPr>
            <w:r w:rsidRPr="00863A23">
              <w:rPr>
                <w:rFonts w:ascii="Times New Roman" w:hAnsi="Times New Roman" w:cs="Times New Roman"/>
                <w:b/>
                <w:color w:val="000000" w:themeColor="text1"/>
                <w:sz w:val="20"/>
                <w:szCs w:val="20"/>
                <w:lang w:val="it-IT"/>
              </w:rPr>
              <w:t xml:space="preserve"> 17 aprilie 2026</w:t>
            </w:r>
            <w:r w:rsidR="00B437BF" w:rsidRPr="00154388">
              <w:rPr>
                <w:rFonts w:ascii="Times New Roman" w:hAnsi="Times New Roman" w:cs="Times New Roman"/>
                <w:b/>
                <w:color w:val="000000" w:themeColor="text1"/>
                <w:sz w:val="20"/>
                <w:szCs w:val="20"/>
                <w:lang w:val="ro-RO"/>
              </w:rPr>
              <w:t>)</w:t>
            </w:r>
          </w:p>
        </w:tc>
        <w:tc>
          <w:tcPr>
            <w:tcW w:w="533" w:type="dxa"/>
          </w:tcPr>
          <w:p w14:paraId="3BB3CC82" w14:textId="77777777" w:rsidR="00B437BF" w:rsidRDefault="00B437BF" w:rsidP="00B437BF">
            <w:pPr>
              <w:tabs>
                <w:tab w:val="left" w:pos="8505"/>
              </w:tabs>
              <w:jc w:val="center"/>
              <w:rPr>
                <w:rFonts w:ascii="Times New Roman" w:hAnsi="Times New Roman" w:cs="Times New Roman"/>
                <w:b/>
                <w:sz w:val="20"/>
                <w:szCs w:val="20"/>
                <w:lang w:val="ro-RO"/>
              </w:rPr>
            </w:pPr>
          </w:p>
        </w:tc>
        <w:tc>
          <w:tcPr>
            <w:tcW w:w="3402" w:type="dxa"/>
          </w:tcPr>
          <w:p w14:paraId="7BB97495" w14:textId="77777777" w:rsidR="00B437BF" w:rsidRDefault="00B437BF" w:rsidP="00B437BF">
            <w:pPr>
              <w:rPr>
                <w:rFonts w:ascii="Times New Roman" w:hAnsi="Times New Roman" w:cs="Times New Roman"/>
                <w:sz w:val="20"/>
                <w:szCs w:val="20"/>
                <w:lang w:val="ro-RO"/>
              </w:rPr>
            </w:pPr>
          </w:p>
        </w:tc>
        <w:tc>
          <w:tcPr>
            <w:tcW w:w="3436" w:type="dxa"/>
          </w:tcPr>
          <w:p w14:paraId="14BA84C6" w14:textId="77777777" w:rsidR="00B437BF" w:rsidRDefault="00B437BF" w:rsidP="00B437BF">
            <w:pPr>
              <w:tabs>
                <w:tab w:val="left" w:pos="8505"/>
              </w:tabs>
              <w:jc w:val="both"/>
              <w:rPr>
                <w:rFonts w:ascii="Times New Roman" w:hAnsi="Times New Roman" w:cs="Times New Roman"/>
                <w:b/>
                <w:sz w:val="20"/>
                <w:szCs w:val="20"/>
                <w:lang w:val="ro-RO"/>
              </w:rPr>
            </w:pPr>
          </w:p>
        </w:tc>
      </w:tr>
      <w:tr w:rsidR="001F2700" w:rsidRPr="009957C6" w14:paraId="445E90F6" w14:textId="77777777" w:rsidTr="00A919EA">
        <w:trPr>
          <w:trHeight w:val="416"/>
        </w:trPr>
        <w:tc>
          <w:tcPr>
            <w:tcW w:w="3397" w:type="dxa"/>
          </w:tcPr>
          <w:p w14:paraId="35F6EBB7" w14:textId="77777777" w:rsidR="001F2700" w:rsidRDefault="001F2700" w:rsidP="001F2700">
            <w:pPr>
              <w:tabs>
                <w:tab w:val="left" w:pos="8505"/>
              </w:tabs>
              <w:jc w:val="both"/>
              <w:rPr>
                <w:rFonts w:ascii="Times New Roman" w:hAnsi="Times New Roman" w:cs="Times New Roman"/>
                <w:b/>
                <w:sz w:val="20"/>
                <w:szCs w:val="20"/>
                <w:lang w:val="ro-RO"/>
              </w:rPr>
            </w:pPr>
          </w:p>
        </w:tc>
        <w:tc>
          <w:tcPr>
            <w:tcW w:w="2977" w:type="dxa"/>
          </w:tcPr>
          <w:p w14:paraId="5CBD8D0B" w14:textId="77777777" w:rsidR="001F2700" w:rsidRPr="00154388" w:rsidRDefault="001F2700" w:rsidP="001F2700">
            <w:pPr>
              <w:tabs>
                <w:tab w:val="left" w:pos="8505"/>
              </w:tabs>
              <w:jc w:val="center"/>
              <w:rPr>
                <w:rFonts w:ascii="Times New Roman" w:hAnsi="Times New Roman" w:cs="Times New Roman"/>
                <w:b/>
                <w:color w:val="000000" w:themeColor="text1"/>
                <w:sz w:val="20"/>
                <w:szCs w:val="20"/>
                <w:lang w:val="ro-RO"/>
              </w:rPr>
            </w:pPr>
          </w:p>
        </w:tc>
        <w:tc>
          <w:tcPr>
            <w:tcW w:w="533" w:type="dxa"/>
          </w:tcPr>
          <w:p w14:paraId="6ED8B65C" w14:textId="3EB248DF" w:rsidR="001F2700" w:rsidRDefault="001F2700" w:rsidP="001F270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0AD8DFAF" w14:textId="58A25D90" w:rsidR="001F2700" w:rsidRDefault="001F2700" w:rsidP="001F2700">
            <w:pPr>
              <w:rPr>
                <w:rFonts w:ascii="Times New Roman" w:hAnsi="Times New Roman" w:cs="Times New Roman"/>
                <w:sz w:val="20"/>
                <w:szCs w:val="20"/>
                <w:lang w:val="ro-RO"/>
              </w:rPr>
            </w:pPr>
            <w:r>
              <w:rPr>
                <w:rFonts w:ascii="Times New Roman" w:hAnsi="Times New Roman" w:cs="Times New Roman"/>
                <w:sz w:val="20"/>
                <w:szCs w:val="20"/>
                <w:lang w:val="ro-RO"/>
              </w:rPr>
              <w:t>Lipsa de obiecții și propuneri</w:t>
            </w:r>
          </w:p>
        </w:tc>
        <w:tc>
          <w:tcPr>
            <w:tcW w:w="3436" w:type="dxa"/>
          </w:tcPr>
          <w:p w14:paraId="3D0A0495" w14:textId="67EC533F" w:rsidR="001F2700" w:rsidRDefault="001F2700" w:rsidP="001F2700">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231688" w:rsidRPr="00760BD0" w14:paraId="51E7EF66" w14:textId="77777777" w:rsidTr="00A919EA">
        <w:trPr>
          <w:trHeight w:val="416"/>
        </w:trPr>
        <w:tc>
          <w:tcPr>
            <w:tcW w:w="3397" w:type="dxa"/>
          </w:tcPr>
          <w:p w14:paraId="383E9880" w14:textId="77777777" w:rsidR="00231688" w:rsidRDefault="00231688" w:rsidP="001F2700">
            <w:pPr>
              <w:tabs>
                <w:tab w:val="left" w:pos="8505"/>
              </w:tabs>
              <w:jc w:val="both"/>
              <w:rPr>
                <w:rFonts w:ascii="Times New Roman" w:hAnsi="Times New Roman" w:cs="Times New Roman"/>
                <w:b/>
                <w:sz w:val="20"/>
                <w:szCs w:val="20"/>
                <w:lang w:val="ro-RO"/>
              </w:rPr>
            </w:pPr>
          </w:p>
        </w:tc>
        <w:tc>
          <w:tcPr>
            <w:tcW w:w="2977" w:type="dxa"/>
          </w:tcPr>
          <w:p w14:paraId="546D45F5" w14:textId="51968F55" w:rsidR="00231688" w:rsidRPr="00154388" w:rsidRDefault="00231688" w:rsidP="00231688">
            <w:pPr>
              <w:tabs>
                <w:tab w:val="left" w:pos="8505"/>
              </w:tabs>
              <w:jc w:val="center"/>
              <w:rPr>
                <w:rFonts w:ascii="Times New Roman" w:hAnsi="Times New Roman" w:cs="Times New Roman"/>
                <w:b/>
                <w:color w:val="000000" w:themeColor="text1"/>
                <w:sz w:val="20"/>
                <w:szCs w:val="20"/>
                <w:lang w:val="ro-RO"/>
              </w:rPr>
            </w:pPr>
            <w:r>
              <w:rPr>
                <w:rFonts w:ascii="Times New Roman" w:hAnsi="Times New Roman" w:cs="Times New Roman"/>
                <w:b/>
                <w:color w:val="000000" w:themeColor="text1"/>
                <w:sz w:val="20"/>
                <w:szCs w:val="20"/>
                <w:lang w:val="ro-RO"/>
              </w:rPr>
              <w:t>Ministerul Sănătății (</w:t>
            </w:r>
            <w:r w:rsidRPr="00154388">
              <w:rPr>
                <w:rFonts w:ascii="Times New Roman" w:hAnsi="Times New Roman" w:cs="Times New Roman"/>
                <w:b/>
                <w:color w:val="000000" w:themeColor="text1"/>
                <w:sz w:val="20"/>
                <w:szCs w:val="20"/>
                <w:lang w:val="ro-RO"/>
              </w:rPr>
              <w:t>scrisoarea nr.</w:t>
            </w:r>
            <w:r>
              <w:rPr>
                <w:rFonts w:ascii="Times New Roman" w:hAnsi="Times New Roman" w:cs="Times New Roman"/>
                <w:b/>
                <w:color w:val="000000" w:themeColor="text1"/>
                <w:sz w:val="20"/>
                <w:szCs w:val="20"/>
                <w:lang w:val="ro-RO"/>
              </w:rPr>
              <w:t xml:space="preserve"> </w:t>
            </w:r>
            <w:r w:rsidRPr="00863A23">
              <w:rPr>
                <w:rFonts w:ascii="Times New Roman" w:hAnsi="Times New Roman" w:cs="Times New Roman"/>
                <w:b/>
                <w:color w:val="000000" w:themeColor="text1"/>
                <w:sz w:val="20"/>
                <w:szCs w:val="20"/>
                <w:lang w:val="it-IT"/>
              </w:rPr>
              <w:t>11-07/1276 din 17.04.2026)</w:t>
            </w:r>
          </w:p>
        </w:tc>
        <w:tc>
          <w:tcPr>
            <w:tcW w:w="533" w:type="dxa"/>
          </w:tcPr>
          <w:p w14:paraId="7F21B193" w14:textId="77777777" w:rsidR="00231688" w:rsidRDefault="00231688" w:rsidP="001F2700">
            <w:pPr>
              <w:tabs>
                <w:tab w:val="left" w:pos="8505"/>
              </w:tabs>
              <w:jc w:val="center"/>
              <w:rPr>
                <w:rFonts w:ascii="Times New Roman" w:hAnsi="Times New Roman" w:cs="Times New Roman"/>
                <w:b/>
                <w:sz w:val="20"/>
                <w:szCs w:val="20"/>
                <w:lang w:val="ro-RO"/>
              </w:rPr>
            </w:pPr>
          </w:p>
        </w:tc>
        <w:tc>
          <w:tcPr>
            <w:tcW w:w="3402" w:type="dxa"/>
          </w:tcPr>
          <w:p w14:paraId="4AA651FB" w14:textId="77777777" w:rsidR="00231688" w:rsidRDefault="00231688" w:rsidP="001F2700">
            <w:pPr>
              <w:rPr>
                <w:rFonts w:ascii="Times New Roman" w:hAnsi="Times New Roman" w:cs="Times New Roman"/>
                <w:sz w:val="20"/>
                <w:szCs w:val="20"/>
                <w:lang w:val="ro-RO"/>
              </w:rPr>
            </w:pPr>
          </w:p>
        </w:tc>
        <w:tc>
          <w:tcPr>
            <w:tcW w:w="3436" w:type="dxa"/>
          </w:tcPr>
          <w:p w14:paraId="69A3F481" w14:textId="77777777" w:rsidR="00231688" w:rsidRDefault="00231688" w:rsidP="001F2700">
            <w:pPr>
              <w:tabs>
                <w:tab w:val="left" w:pos="8505"/>
              </w:tabs>
              <w:jc w:val="both"/>
              <w:rPr>
                <w:rFonts w:ascii="Times New Roman" w:hAnsi="Times New Roman" w:cs="Times New Roman"/>
                <w:b/>
                <w:sz w:val="20"/>
                <w:szCs w:val="20"/>
                <w:lang w:val="ro-RO"/>
              </w:rPr>
            </w:pPr>
          </w:p>
        </w:tc>
      </w:tr>
      <w:tr w:rsidR="00231688" w:rsidRPr="00760BD0" w14:paraId="035CA1DF" w14:textId="77777777" w:rsidTr="00A919EA">
        <w:trPr>
          <w:trHeight w:val="416"/>
        </w:trPr>
        <w:tc>
          <w:tcPr>
            <w:tcW w:w="3397" w:type="dxa"/>
          </w:tcPr>
          <w:p w14:paraId="7CD8F47D" w14:textId="7111C65A" w:rsidR="008D2E00" w:rsidRDefault="008D2E00" w:rsidP="001F2700">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HG 870/2022</w:t>
            </w:r>
          </w:p>
          <w:p w14:paraId="7A0A8E29" w14:textId="55FA4293" w:rsidR="00231688" w:rsidRDefault="008D2E00" w:rsidP="001F2700">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 xml:space="preserve">Pct. </w:t>
            </w:r>
            <w:r w:rsidRPr="008D2E00">
              <w:rPr>
                <w:rFonts w:ascii="Times New Roman" w:hAnsi="Times New Roman" w:cs="Times New Roman"/>
                <w:b/>
                <w:sz w:val="20"/>
                <w:szCs w:val="20"/>
                <w:lang w:val="ro-RO"/>
              </w:rPr>
              <w:t xml:space="preserve">8. </w:t>
            </w:r>
            <w:r w:rsidRPr="008D2E00">
              <w:rPr>
                <w:rFonts w:ascii="Times New Roman" w:hAnsi="Times New Roman" w:cs="Times New Roman"/>
                <w:sz w:val="20"/>
                <w:szCs w:val="20"/>
                <w:lang w:val="ro-RO"/>
              </w:rPr>
              <w:t>La realizarea achizițiilor publice de valoare mică, autoritatea/entitatea contractantă asigură atât utilizarea eficientă a resurselor financiare, cât și transparența, obiectivitatea și imparțialitatea procesului de achiziție şi încrederea publică faţă de acesta.</w:t>
            </w:r>
          </w:p>
        </w:tc>
        <w:tc>
          <w:tcPr>
            <w:tcW w:w="2977" w:type="dxa"/>
          </w:tcPr>
          <w:p w14:paraId="01FCC045" w14:textId="77777777" w:rsidR="00231688" w:rsidRPr="00154388" w:rsidRDefault="00231688" w:rsidP="001F2700">
            <w:pPr>
              <w:tabs>
                <w:tab w:val="left" w:pos="8505"/>
              </w:tabs>
              <w:jc w:val="center"/>
              <w:rPr>
                <w:rFonts w:ascii="Times New Roman" w:hAnsi="Times New Roman" w:cs="Times New Roman"/>
                <w:b/>
                <w:color w:val="000000" w:themeColor="text1"/>
                <w:sz w:val="20"/>
                <w:szCs w:val="20"/>
                <w:lang w:val="ro-RO"/>
              </w:rPr>
            </w:pPr>
          </w:p>
        </w:tc>
        <w:tc>
          <w:tcPr>
            <w:tcW w:w="533" w:type="dxa"/>
          </w:tcPr>
          <w:p w14:paraId="5868D6D4" w14:textId="707C9D83" w:rsidR="00231688" w:rsidRDefault="00231688" w:rsidP="001F270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490672F6" w14:textId="0FB49976" w:rsidR="00231688" w:rsidRDefault="00231688" w:rsidP="00231688">
            <w:pPr>
              <w:jc w:val="both"/>
              <w:rPr>
                <w:rFonts w:ascii="Times New Roman" w:hAnsi="Times New Roman" w:cs="Times New Roman"/>
                <w:sz w:val="20"/>
                <w:szCs w:val="20"/>
                <w:lang w:val="ro-RO"/>
              </w:rPr>
            </w:pPr>
            <w:r w:rsidRPr="00231688">
              <w:rPr>
                <w:rFonts w:ascii="Times New Roman" w:hAnsi="Times New Roman" w:cs="Times New Roman"/>
                <w:sz w:val="20"/>
                <w:szCs w:val="20"/>
                <w:lang w:val="ro-RO"/>
              </w:rPr>
              <w:t xml:space="preserve">Pct. 8 va avea următorul cuprins: „8. La realizarea achizițiilor publice de valoare mică, autoritatea/entitatea contractantă asigură utilizarea eficientă a resurselor financiare, respectarea principiilor transparenței, obiectivității, imparțialității, tratamentului egal, nediscriminării și proporționalității, precum și încrederea publică față de procesul de achiziție.” Propunerea are ca scop alinierea prevederilor Regulamentului la principiile fundamentale ale achizițiilor publice stabilite la art. 17 alin. (1) din Legea nr. 325/2025 privind achizițiile publice, potrivit căruia autoritatea contractantă tratează operatorii economici în mod egal, fără discriminare și acționează într-un mod transparent și proporțional. Totodată, completarea este în concordanță cu prevederile art. 17 alin. (2) din aceeași lege, care interzice restrângerea artificială a concurenței, precum și cu necesitatea asigurării unui </w:t>
            </w:r>
            <w:r w:rsidRPr="00231688">
              <w:rPr>
                <w:rFonts w:ascii="Times New Roman" w:hAnsi="Times New Roman" w:cs="Times New Roman"/>
                <w:sz w:val="20"/>
                <w:szCs w:val="20"/>
                <w:lang w:val="ro-RO"/>
              </w:rPr>
              <w:lastRenderedPageBreak/>
              <w:t>cadru normativ coerent și uniform aplicabil tuturor procedurilor de achiziții publice, inclusiv celor de valoare mică.</w:t>
            </w:r>
          </w:p>
        </w:tc>
        <w:tc>
          <w:tcPr>
            <w:tcW w:w="3436" w:type="dxa"/>
          </w:tcPr>
          <w:p w14:paraId="3A7D4AB5" w14:textId="28FE8D93" w:rsidR="008D2E00" w:rsidRPr="008D2E00" w:rsidRDefault="00127C76" w:rsidP="0088390B">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S</w:t>
            </w:r>
            <w:r w:rsidR="008D2E00" w:rsidRPr="008D2E00">
              <w:rPr>
                <w:rFonts w:ascii="Times New Roman" w:hAnsi="Times New Roman" w:cs="Times New Roman"/>
                <w:b/>
                <w:sz w:val="20"/>
                <w:szCs w:val="20"/>
                <w:lang w:val="ro-RO"/>
              </w:rPr>
              <w:t>e acceptă</w:t>
            </w:r>
          </w:p>
          <w:p w14:paraId="38ACF5C5" w14:textId="77777777" w:rsidR="009817A2" w:rsidRDefault="009817A2" w:rsidP="0088390B">
            <w:pPr>
              <w:tabs>
                <w:tab w:val="left" w:pos="8505"/>
              </w:tabs>
              <w:jc w:val="both"/>
              <w:rPr>
                <w:rFonts w:ascii="Times New Roman" w:hAnsi="Times New Roman" w:cs="Times New Roman"/>
                <w:sz w:val="20"/>
                <w:szCs w:val="20"/>
                <w:lang w:val="ro-RO"/>
              </w:rPr>
            </w:pPr>
            <w:r w:rsidRPr="009817A2">
              <w:rPr>
                <w:rFonts w:ascii="Times New Roman" w:hAnsi="Times New Roman" w:cs="Times New Roman"/>
                <w:sz w:val="20"/>
                <w:szCs w:val="20"/>
                <w:lang w:val="ro-RO"/>
              </w:rPr>
              <w:t xml:space="preserve">Pct. 8 va avea următorul cuprins: </w:t>
            </w:r>
          </w:p>
          <w:p w14:paraId="17752016" w14:textId="6B3A73EC" w:rsidR="00231688" w:rsidRPr="0088390B" w:rsidRDefault="009817A2" w:rsidP="0088390B">
            <w:pPr>
              <w:tabs>
                <w:tab w:val="left" w:pos="8505"/>
              </w:tabs>
              <w:jc w:val="both"/>
              <w:rPr>
                <w:rFonts w:ascii="Times New Roman" w:hAnsi="Times New Roman" w:cs="Times New Roman"/>
                <w:sz w:val="20"/>
                <w:szCs w:val="20"/>
                <w:lang w:val="ro-RO"/>
              </w:rPr>
            </w:pPr>
            <w:r w:rsidRPr="009817A2">
              <w:rPr>
                <w:rFonts w:ascii="Times New Roman" w:hAnsi="Times New Roman" w:cs="Times New Roman"/>
                <w:sz w:val="20"/>
                <w:szCs w:val="20"/>
                <w:lang w:val="ro-RO"/>
              </w:rPr>
              <w:t>„</w:t>
            </w:r>
            <w:r w:rsidR="00127C76" w:rsidRPr="00127C76">
              <w:rPr>
                <w:rFonts w:ascii="Times New Roman" w:hAnsi="Times New Roman" w:cs="Times New Roman"/>
                <w:sz w:val="20"/>
                <w:szCs w:val="20"/>
                <w:lang w:val="ro-RO"/>
              </w:rPr>
              <w:t>8. La realizarea achizițiilor publice de valoare mică, autoritatea/entitatea contractantă asigură utilizarea eficientă a resurselor financiare, respectarea principiilor transparenței, obiectivității, imparțialității, tratamentului egal, nediscriminării și proporționalității, precum și încrederea publică față de procesul de achiziție.</w:t>
            </w:r>
            <w:r>
              <w:rPr>
                <w:rFonts w:ascii="Times New Roman" w:hAnsi="Times New Roman" w:cs="Times New Roman"/>
                <w:sz w:val="20"/>
                <w:szCs w:val="20"/>
                <w:lang w:val="ro-RO"/>
              </w:rPr>
              <w:t>”</w:t>
            </w:r>
          </w:p>
        </w:tc>
      </w:tr>
      <w:tr w:rsidR="00231688" w:rsidRPr="00760BD0" w14:paraId="5009B461" w14:textId="77777777" w:rsidTr="00A919EA">
        <w:trPr>
          <w:trHeight w:val="416"/>
        </w:trPr>
        <w:tc>
          <w:tcPr>
            <w:tcW w:w="3397" w:type="dxa"/>
          </w:tcPr>
          <w:p w14:paraId="46D26315" w14:textId="77777777" w:rsidR="005F56DA" w:rsidRPr="005F56DA" w:rsidRDefault="005F56DA" w:rsidP="005F56DA">
            <w:pPr>
              <w:tabs>
                <w:tab w:val="left" w:pos="8505"/>
              </w:tabs>
              <w:jc w:val="both"/>
              <w:rPr>
                <w:rFonts w:ascii="Times New Roman" w:hAnsi="Times New Roman" w:cs="Times New Roman"/>
                <w:b/>
                <w:sz w:val="20"/>
                <w:szCs w:val="20"/>
                <w:lang w:val="ro-RO"/>
              </w:rPr>
            </w:pPr>
            <w:r w:rsidRPr="005F56DA">
              <w:rPr>
                <w:rFonts w:ascii="Times New Roman" w:hAnsi="Times New Roman" w:cs="Times New Roman"/>
                <w:b/>
                <w:sz w:val="20"/>
                <w:szCs w:val="20"/>
                <w:lang w:val="ro-RO"/>
              </w:rPr>
              <w:lastRenderedPageBreak/>
              <w:t>HG 870/2022</w:t>
            </w:r>
          </w:p>
          <w:p w14:paraId="7652AB7A" w14:textId="102FF63F" w:rsidR="00231688" w:rsidRDefault="005F56DA" w:rsidP="005F56DA">
            <w:pPr>
              <w:tabs>
                <w:tab w:val="left" w:pos="8505"/>
              </w:tabs>
              <w:jc w:val="both"/>
              <w:rPr>
                <w:rFonts w:ascii="Times New Roman" w:hAnsi="Times New Roman" w:cs="Times New Roman"/>
                <w:b/>
                <w:sz w:val="20"/>
                <w:szCs w:val="20"/>
                <w:lang w:val="ro-RO"/>
              </w:rPr>
            </w:pPr>
            <w:r w:rsidRPr="005F56DA">
              <w:rPr>
                <w:rFonts w:ascii="Times New Roman" w:hAnsi="Times New Roman" w:cs="Times New Roman"/>
                <w:b/>
                <w:sz w:val="20"/>
                <w:szCs w:val="20"/>
                <w:lang w:val="ro-RO"/>
              </w:rPr>
              <w:t xml:space="preserve">Pct. </w:t>
            </w:r>
            <w:r w:rsidRPr="00863A23">
              <w:rPr>
                <w:rFonts w:ascii="Times New Roman" w:hAnsi="Times New Roman" w:cs="Times New Roman"/>
                <w:b/>
                <w:sz w:val="20"/>
                <w:szCs w:val="20"/>
                <w:lang w:val="it-IT"/>
              </w:rPr>
              <w:t xml:space="preserve">15. </w:t>
            </w:r>
            <w:r w:rsidRPr="00863A23">
              <w:rPr>
                <w:rFonts w:ascii="Times New Roman" w:hAnsi="Times New Roman" w:cs="Times New Roman"/>
                <w:sz w:val="20"/>
                <w:szCs w:val="20"/>
                <w:lang w:val="it-IT"/>
              </w:rPr>
              <w:t>Calcularea valorii estimate a unui contract de achiziție publică de valoare mică se efectuează în conformitate cu normele generale stabilite în actele normative cu incidență în domeniul achizițiilor publice. În cazul divizării pe loturi, valoarea estimată a achiziției se determină pentru fiecare lot în parte.</w:t>
            </w:r>
          </w:p>
        </w:tc>
        <w:tc>
          <w:tcPr>
            <w:tcW w:w="2977" w:type="dxa"/>
          </w:tcPr>
          <w:p w14:paraId="5C895C35" w14:textId="77777777" w:rsidR="00231688" w:rsidRPr="00154388" w:rsidRDefault="00231688" w:rsidP="001F2700">
            <w:pPr>
              <w:tabs>
                <w:tab w:val="left" w:pos="8505"/>
              </w:tabs>
              <w:jc w:val="center"/>
              <w:rPr>
                <w:rFonts w:ascii="Times New Roman" w:hAnsi="Times New Roman" w:cs="Times New Roman"/>
                <w:b/>
                <w:color w:val="000000" w:themeColor="text1"/>
                <w:sz w:val="20"/>
                <w:szCs w:val="20"/>
                <w:lang w:val="ro-RO"/>
              </w:rPr>
            </w:pPr>
          </w:p>
        </w:tc>
        <w:tc>
          <w:tcPr>
            <w:tcW w:w="533" w:type="dxa"/>
          </w:tcPr>
          <w:p w14:paraId="1CA344E2" w14:textId="6FFE7F65" w:rsidR="00231688" w:rsidRDefault="00231688" w:rsidP="001F270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3E964D98" w14:textId="41BABF9A" w:rsidR="00231688" w:rsidRDefault="00231688" w:rsidP="00231688">
            <w:pPr>
              <w:jc w:val="both"/>
              <w:rPr>
                <w:rFonts w:ascii="Times New Roman" w:hAnsi="Times New Roman" w:cs="Times New Roman"/>
                <w:sz w:val="20"/>
                <w:szCs w:val="20"/>
                <w:lang w:val="ro-RO"/>
              </w:rPr>
            </w:pPr>
            <w:r w:rsidRPr="00231688">
              <w:rPr>
                <w:rFonts w:ascii="Times New Roman" w:hAnsi="Times New Roman" w:cs="Times New Roman"/>
                <w:sz w:val="20"/>
                <w:szCs w:val="20"/>
                <w:lang w:val="ro-RO"/>
              </w:rPr>
              <w:t>Pct. 15 va avea următorul cuprins: „15. Calcularea valorii estimate a unui contract de achiziție publică de valoare mică se efectuează în baza valorii totale ce urmează a fi plătită, fără taxa pe valoarea adăugată, luând în considerare toate costurile aferente, inclusiv eventualele opțiuni și extinderi ale contractului. În cazul împărțirii achiziției pe loturi, valoarea estimată se determină pentru fiecare lot, cu respectarea interdicției de divizare a achiziției în scopul evitării aplicării procedurilor de achiziție publică.” Propunerea are ca scop alinierea prevederilor Regulamentului la dispozițiile art. 4 alin. (1) din Legea nr. 325/2025 privind achizițiile publice, potrivit căruia valoarea estimată a achiziției se determină în baza valorii totale ce urmează a fi plătită, fără TVA, incluzând toate formele de remunerare, opțiunile și eventualele extinderi ale contractului. Totodată, completarea reflectă prevederile art. 4 alin. (3) din aceeași lege, care interzice utilizarea unor metode de calcul al valorii estimate în scopul evitării aplicării cadrului normativ, inclusiv prin divizarea artificială a achizițiilor.</w:t>
            </w:r>
          </w:p>
        </w:tc>
        <w:tc>
          <w:tcPr>
            <w:tcW w:w="3436" w:type="dxa"/>
          </w:tcPr>
          <w:p w14:paraId="1E31D55A" w14:textId="5E308B43" w:rsidR="005F56DA" w:rsidRPr="005F56DA" w:rsidRDefault="005F56DA" w:rsidP="001C66B3">
            <w:pPr>
              <w:tabs>
                <w:tab w:val="left" w:pos="8505"/>
              </w:tabs>
              <w:jc w:val="both"/>
              <w:rPr>
                <w:rFonts w:ascii="Times New Roman" w:hAnsi="Times New Roman" w:cs="Times New Roman"/>
                <w:b/>
                <w:sz w:val="20"/>
                <w:szCs w:val="20"/>
                <w:lang w:val="ro-RO"/>
              </w:rPr>
            </w:pPr>
            <w:r w:rsidRPr="005F56DA">
              <w:rPr>
                <w:rFonts w:ascii="Times New Roman" w:hAnsi="Times New Roman" w:cs="Times New Roman"/>
                <w:b/>
                <w:sz w:val="20"/>
                <w:szCs w:val="20"/>
                <w:lang w:val="ro-RO"/>
              </w:rPr>
              <w:t>Nu se acceptă</w:t>
            </w:r>
          </w:p>
          <w:p w14:paraId="1786D3DE" w14:textId="22973751" w:rsidR="001C66B3" w:rsidRPr="001C66B3" w:rsidRDefault="001C66B3" w:rsidP="001C66B3">
            <w:pPr>
              <w:tabs>
                <w:tab w:val="left" w:pos="8505"/>
              </w:tabs>
              <w:jc w:val="both"/>
              <w:rPr>
                <w:rFonts w:ascii="Times New Roman" w:hAnsi="Times New Roman" w:cs="Times New Roman"/>
                <w:sz w:val="20"/>
                <w:szCs w:val="20"/>
                <w:lang w:val="ro-RO"/>
              </w:rPr>
            </w:pPr>
            <w:r w:rsidRPr="001C66B3">
              <w:rPr>
                <w:rFonts w:ascii="Times New Roman" w:hAnsi="Times New Roman" w:cs="Times New Roman"/>
                <w:sz w:val="20"/>
                <w:szCs w:val="20"/>
                <w:lang w:val="ro-RO"/>
              </w:rPr>
              <w:t>Propunerea nu poate fi acceptată, întrucât textul actual al punctului 15 este corect, suficient și respectă exigențele de tehnică legislativă, asigurând o corelare eficientă cu legislația primară fără a crea redundanțe normative.</w:t>
            </w:r>
          </w:p>
          <w:p w14:paraId="4147F17B" w14:textId="77777777" w:rsidR="001C66B3" w:rsidRPr="001C66B3" w:rsidRDefault="001C66B3" w:rsidP="001C66B3">
            <w:pPr>
              <w:tabs>
                <w:tab w:val="left" w:pos="8505"/>
              </w:tabs>
              <w:jc w:val="both"/>
              <w:rPr>
                <w:rFonts w:ascii="Times New Roman" w:hAnsi="Times New Roman" w:cs="Times New Roman"/>
                <w:sz w:val="20"/>
                <w:szCs w:val="20"/>
                <w:lang w:val="ro-RO"/>
              </w:rPr>
            </w:pPr>
            <w:r w:rsidRPr="001C66B3">
              <w:rPr>
                <w:rFonts w:ascii="Times New Roman" w:hAnsi="Times New Roman" w:cs="Times New Roman"/>
                <w:sz w:val="20"/>
                <w:szCs w:val="20"/>
                <w:lang w:val="ro-RO"/>
              </w:rPr>
              <w:t>Argumentele detaliate sunt următoarele:</w:t>
            </w:r>
          </w:p>
          <w:p w14:paraId="482CC0A0" w14:textId="0C6B468E" w:rsidR="001C66B3" w:rsidRPr="001C66B3" w:rsidRDefault="005F56DA" w:rsidP="001C66B3">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w:t>
            </w:r>
            <w:r w:rsidR="001C66B3" w:rsidRPr="001C66B3">
              <w:rPr>
                <w:rFonts w:ascii="Times New Roman" w:hAnsi="Times New Roman" w:cs="Times New Roman"/>
                <w:sz w:val="20"/>
                <w:szCs w:val="20"/>
                <w:lang w:val="ro-RO"/>
              </w:rPr>
              <w:t xml:space="preserve"> Formularea actuală, care prevede că calcularea valorii estimate se efectuează „în conformitate cu normele generale stabilite în actele normative cu incidență în domeniul achizițiilor p</w:t>
            </w:r>
            <w:r>
              <w:rPr>
                <w:rFonts w:ascii="Times New Roman" w:hAnsi="Times New Roman" w:cs="Times New Roman"/>
                <w:sz w:val="20"/>
                <w:szCs w:val="20"/>
                <w:lang w:val="ro-RO"/>
              </w:rPr>
              <w:t>ublice”</w:t>
            </w:r>
            <w:r w:rsidR="001C66B3" w:rsidRPr="001C66B3">
              <w:rPr>
                <w:rFonts w:ascii="Times New Roman" w:hAnsi="Times New Roman" w:cs="Times New Roman"/>
                <w:sz w:val="20"/>
                <w:szCs w:val="20"/>
                <w:lang w:val="ro-RO"/>
              </w:rPr>
              <w:t>, este o clauză de referință optimă. Odată cu intrarea în vigoare a Legii nr. 325/2025, aceste norme generale sunt cele prevăzute la art. 4 din lege, care reglementează exhaustiv metoda de calcul (valoarea totală, fără TVA, includerea opțiunilor și extinderilor). Trimiterea din Regulament asigură aplicarea directă și automată a prevederilor legii, fără a fi necesară reproducerea acestora în actul secundar.</w:t>
            </w:r>
          </w:p>
          <w:p w14:paraId="66176F65" w14:textId="3D5D35A2" w:rsidR="001C66B3" w:rsidRPr="001C66B3" w:rsidRDefault="005F56DA" w:rsidP="001C66B3">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w:t>
            </w:r>
            <w:r w:rsidR="001C66B3" w:rsidRPr="001C66B3">
              <w:rPr>
                <w:rFonts w:ascii="Times New Roman" w:hAnsi="Times New Roman" w:cs="Times New Roman"/>
                <w:sz w:val="20"/>
                <w:szCs w:val="20"/>
                <w:lang w:val="ro-RO"/>
              </w:rPr>
              <w:t xml:space="preserve"> Potrivit principiilor de tehnică legislativă, actele normative subsecvente trebuie să se concentreze pe particularitățile procedurale și să evite reproducerea mecanică a dispozițiilor din legea cadru. Art. 4 alin. (1) și (3) din Legea nr. 325/2025 stabilesc deja imperativ regulile de calcul și interzicerea divizării artificiale. Inserarea acelorași reguli în Regulament ar constitui o dublare inutilă a textului legislativ, contrară principiului economiei de mijloace juridice și al conciziei. Respectarea acestor reguli </w:t>
            </w:r>
            <w:r w:rsidR="001C66B3" w:rsidRPr="001C66B3">
              <w:rPr>
                <w:rFonts w:ascii="Times New Roman" w:hAnsi="Times New Roman" w:cs="Times New Roman"/>
                <w:sz w:val="20"/>
                <w:szCs w:val="20"/>
                <w:lang w:val="ro-RO"/>
              </w:rPr>
              <w:lastRenderedPageBreak/>
              <w:t>este obligatorie ope legis, indiferent de reiterarea lor în HG.</w:t>
            </w:r>
          </w:p>
          <w:p w14:paraId="6759A909" w14:textId="7E79BD40" w:rsidR="001C66B3" w:rsidRPr="001C66B3" w:rsidRDefault="005F56DA" w:rsidP="001C66B3">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w:t>
            </w:r>
            <w:r w:rsidR="001C66B3" w:rsidRPr="001C66B3">
              <w:rPr>
                <w:rFonts w:ascii="Times New Roman" w:hAnsi="Times New Roman" w:cs="Times New Roman"/>
                <w:sz w:val="20"/>
                <w:szCs w:val="20"/>
                <w:lang w:val="ro-RO"/>
              </w:rPr>
              <w:t xml:space="preserve"> Interdicția de a diviza achiziția în scopul eludării procedurilor este o normă fundamentală prevăzută expres în Legea nr. 325/2025. Această interdicție se aplică tuturor achizițiilor publice, inclusiv celor de valoare mică. Completarea punctului 15 cu această mențiune nu aduce un plus de securitate juridică, ci doar aglomerează textul cu o prevedere care este deja clară și obligatorie în baza legii primare.</w:t>
            </w:r>
          </w:p>
          <w:p w14:paraId="7A99E8F5" w14:textId="2A490612" w:rsidR="001C66B3" w:rsidRPr="001C66B3" w:rsidRDefault="005F56DA" w:rsidP="001C66B3">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1C66B3" w:rsidRPr="001C66B3">
              <w:rPr>
                <w:rFonts w:ascii="Times New Roman" w:hAnsi="Times New Roman" w:cs="Times New Roman"/>
                <w:sz w:val="20"/>
                <w:szCs w:val="20"/>
                <w:lang w:val="ro-RO"/>
              </w:rPr>
              <w:t>Aspectul privind actualizarea terminolo</w:t>
            </w:r>
            <w:r>
              <w:rPr>
                <w:rFonts w:ascii="Times New Roman" w:hAnsi="Times New Roman" w:cs="Times New Roman"/>
                <w:sz w:val="20"/>
                <w:szCs w:val="20"/>
                <w:lang w:val="ro-RO"/>
              </w:rPr>
              <w:t>giei de la „divizarea pe loturi”</w:t>
            </w:r>
            <w:r w:rsidR="001C66B3" w:rsidRPr="001C66B3">
              <w:rPr>
                <w:rFonts w:ascii="Times New Roman" w:hAnsi="Times New Roman" w:cs="Times New Roman"/>
                <w:sz w:val="20"/>
                <w:szCs w:val="20"/>
                <w:lang w:val="ro-RO"/>
              </w:rPr>
              <w:t xml:space="preserve"> la „împărțirea achiziției pe loturi" este deja soluționat prin punctul 1.11 din proiect, care prevede substituirea acestei sintagme pe tot parcursul textului Regulamentului. Prin urmare, nu este necesară reformularea punctului 15 pentru a corecta terminologia, aceasta fiind actualizată unitar prin dispoziția generală de modificare.</w:t>
            </w:r>
          </w:p>
          <w:p w14:paraId="272BA29A" w14:textId="5A2DD1D3" w:rsidR="00231688" w:rsidRPr="001C66B3" w:rsidRDefault="001C66B3" w:rsidP="001C66B3">
            <w:pPr>
              <w:tabs>
                <w:tab w:val="left" w:pos="8505"/>
              </w:tabs>
              <w:jc w:val="both"/>
              <w:rPr>
                <w:rFonts w:ascii="Times New Roman" w:hAnsi="Times New Roman" w:cs="Times New Roman"/>
                <w:sz w:val="20"/>
                <w:szCs w:val="20"/>
                <w:lang w:val="ro-RO"/>
              </w:rPr>
            </w:pPr>
            <w:r w:rsidRPr="001C66B3">
              <w:rPr>
                <w:rFonts w:ascii="Times New Roman" w:hAnsi="Times New Roman" w:cs="Times New Roman"/>
                <w:sz w:val="20"/>
                <w:szCs w:val="20"/>
                <w:lang w:val="ro-RO"/>
              </w:rPr>
              <w:t>Prin urmare, menținerea textului actual este justificată de necesitatea de a păstra concizia Regulamentului și de a respecta ierarhia normativă, cadrul legal fiind complet și coerent prin aplicarea coroborată a punctului 15 cu prevederile art. 4 din Legea nr. 325/2025.</w:t>
            </w:r>
          </w:p>
        </w:tc>
      </w:tr>
      <w:tr w:rsidR="00231688" w:rsidRPr="00760BD0" w14:paraId="463D635D" w14:textId="77777777" w:rsidTr="00A919EA">
        <w:trPr>
          <w:trHeight w:val="416"/>
        </w:trPr>
        <w:tc>
          <w:tcPr>
            <w:tcW w:w="3397" w:type="dxa"/>
          </w:tcPr>
          <w:p w14:paraId="2DA138B8" w14:textId="45A32E84" w:rsidR="005F56DA" w:rsidRPr="00863A23" w:rsidRDefault="005F56DA" w:rsidP="005F56DA">
            <w:pPr>
              <w:tabs>
                <w:tab w:val="left" w:pos="8505"/>
              </w:tabs>
              <w:jc w:val="both"/>
              <w:rPr>
                <w:rFonts w:ascii="Times New Roman" w:hAnsi="Times New Roman" w:cs="Times New Roman"/>
                <w:sz w:val="20"/>
                <w:szCs w:val="20"/>
                <w:lang w:val="it-IT"/>
              </w:rPr>
            </w:pPr>
            <w:r w:rsidRPr="00863A23">
              <w:rPr>
                <w:rFonts w:ascii="Times New Roman" w:hAnsi="Times New Roman" w:cs="Times New Roman"/>
                <w:b/>
                <w:sz w:val="20"/>
                <w:szCs w:val="20"/>
                <w:lang w:val="it-IT"/>
              </w:rPr>
              <w:lastRenderedPageBreak/>
              <w:t xml:space="preserve">1.8. </w:t>
            </w:r>
            <w:r w:rsidRPr="00863A23">
              <w:rPr>
                <w:rFonts w:ascii="Times New Roman" w:hAnsi="Times New Roman" w:cs="Times New Roman"/>
                <w:sz w:val="20"/>
                <w:szCs w:val="20"/>
                <w:lang w:val="it-IT"/>
              </w:rPr>
              <w:t>Punctul 13 va avea următorul cuprins:</w:t>
            </w:r>
          </w:p>
          <w:p w14:paraId="0BF2AC0B" w14:textId="44890862" w:rsidR="00231688" w:rsidRPr="00863A23" w:rsidRDefault="005F56DA" w:rsidP="004976AE">
            <w:pPr>
              <w:tabs>
                <w:tab w:val="left" w:pos="8505"/>
              </w:tabs>
              <w:jc w:val="both"/>
              <w:rPr>
                <w:rFonts w:ascii="Times New Roman" w:hAnsi="Times New Roman" w:cs="Times New Roman"/>
                <w:b/>
                <w:sz w:val="20"/>
                <w:szCs w:val="20"/>
                <w:lang w:val="it-IT"/>
              </w:rPr>
            </w:pPr>
            <w:r w:rsidRPr="00863A23">
              <w:rPr>
                <w:rFonts w:ascii="Times New Roman" w:hAnsi="Times New Roman" w:cs="Times New Roman"/>
                <w:sz w:val="20"/>
                <w:szCs w:val="20"/>
                <w:lang w:val="it-IT"/>
              </w:rPr>
              <w:t xml:space="preserve">„13. Achizițiile publice de valoare mică, inclusiv cele prevăzute la pct. 4 și 5, se realizează de către autoritatea/entitatea contractantă în baza planului anual/provizoriu de achiziții sau din motive de urgență, ca urmare a apariției unor necesități neplanificate sau evenimente imprevizibile, în conformitate cu prevederile privind </w:t>
            </w:r>
            <w:r w:rsidRPr="00863A23">
              <w:rPr>
                <w:rFonts w:ascii="Times New Roman" w:hAnsi="Times New Roman" w:cs="Times New Roman"/>
                <w:sz w:val="20"/>
                <w:szCs w:val="20"/>
                <w:lang w:val="it-IT"/>
              </w:rPr>
              <w:lastRenderedPageBreak/>
              <w:t>modul de planificare a achizițiilor publice/sectoriale.”.</w:t>
            </w:r>
          </w:p>
        </w:tc>
        <w:tc>
          <w:tcPr>
            <w:tcW w:w="2977" w:type="dxa"/>
          </w:tcPr>
          <w:p w14:paraId="77BEE521" w14:textId="77777777" w:rsidR="00231688" w:rsidRPr="00154388" w:rsidRDefault="00231688" w:rsidP="001F2700">
            <w:pPr>
              <w:tabs>
                <w:tab w:val="left" w:pos="8505"/>
              </w:tabs>
              <w:jc w:val="center"/>
              <w:rPr>
                <w:rFonts w:ascii="Times New Roman" w:hAnsi="Times New Roman" w:cs="Times New Roman"/>
                <w:b/>
                <w:color w:val="000000" w:themeColor="text1"/>
                <w:sz w:val="20"/>
                <w:szCs w:val="20"/>
                <w:lang w:val="ro-RO"/>
              </w:rPr>
            </w:pPr>
          </w:p>
        </w:tc>
        <w:tc>
          <w:tcPr>
            <w:tcW w:w="533" w:type="dxa"/>
          </w:tcPr>
          <w:p w14:paraId="71691999" w14:textId="75C0BF6E" w:rsidR="00231688" w:rsidRDefault="00231688" w:rsidP="001F270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1B0B5AE6" w14:textId="77777777" w:rsidR="00231688" w:rsidRPr="00863A23" w:rsidRDefault="00231688" w:rsidP="00231688">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Pct. 13 va avea următorul cuprins: </w:t>
            </w:r>
          </w:p>
          <w:p w14:paraId="1DAAD8B0" w14:textId="77777777" w:rsidR="00231688" w:rsidRPr="00863A23" w:rsidRDefault="00231688" w:rsidP="00231688">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„13. Achizițiile publice de valoare mică, inclusiv cele prevăzute la pct. 4 și 5, se realizează de către autoritatea/entitatea contractantă în baza planului anual sau provizoriu de achiziții, iar în cazuri justificate – din motive de urgență, ca urmare a apariției unor necesități neplanificate sau evenimente imprevizibile, în condițiile reglementărilor privind planificarea achizițiilor publice.” </w:t>
            </w:r>
          </w:p>
          <w:p w14:paraId="6807F119" w14:textId="3E479514" w:rsidR="00231688" w:rsidRPr="00231688" w:rsidRDefault="00231688" w:rsidP="00231688">
            <w:pPr>
              <w:jc w:val="both"/>
              <w:rPr>
                <w:rFonts w:ascii="Times New Roman" w:hAnsi="Times New Roman" w:cs="Times New Roman"/>
                <w:sz w:val="20"/>
                <w:szCs w:val="20"/>
                <w:lang w:val="ro-RO"/>
              </w:rPr>
            </w:pPr>
            <w:r w:rsidRPr="00863A23">
              <w:rPr>
                <w:rFonts w:ascii="Times New Roman" w:hAnsi="Times New Roman" w:cs="Times New Roman"/>
                <w:sz w:val="20"/>
                <w:szCs w:val="20"/>
                <w:lang w:val="it-IT"/>
              </w:rPr>
              <w:lastRenderedPageBreak/>
              <w:t>Propunerea are ca scop alinierea prevederilor Regulamentului la dispozițiile art. 4 alin. (20) din Legea nr. 325/2025 privind achizițiile publice, potrivit cărora modul de planificare a achizițiilor publice se stabilește prin reglementări adoptate de Guvern. Totodată, completarea clarifică cadrul de realizare a achizițiilor de valoare mică, menținând caracterul planificat al acestora și delimitând situațiile excepționale justificate de urgență.</w:t>
            </w:r>
          </w:p>
        </w:tc>
        <w:tc>
          <w:tcPr>
            <w:tcW w:w="3436" w:type="dxa"/>
          </w:tcPr>
          <w:p w14:paraId="346B92E8" w14:textId="79868313" w:rsidR="005F56DA" w:rsidRPr="005F56DA" w:rsidRDefault="005F56DA" w:rsidP="005F56DA">
            <w:pPr>
              <w:tabs>
                <w:tab w:val="left" w:pos="8505"/>
              </w:tabs>
              <w:jc w:val="both"/>
              <w:rPr>
                <w:rFonts w:ascii="Times New Roman" w:hAnsi="Times New Roman" w:cs="Times New Roman"/>
                <w:b/>
                <w:sz w:val="20"/>
                <w:szCs w:val="20"/>
                <w:lang w:val="ro-RO"/>
              </w:rPr>
            </w:pPr>
            <w:r w:rsidRPr="005F56DA">
              <w:rPr>
                <w:rFonts w:ascii="Times New Roman" w:hAnsi="Times New Roman" w:cs="Times New Roman"/>
                <w:b/>
                <w:sz w:val="20"/>
                <w:szCs w:val="20"/>
                <w:lang w:val="ro-RO"/>
              </w:rPr>
              <w:lastRenderedPageBreak/>
              <w:t>Nu se acceptă</w:t>
            </w:r>
          </w:p>
          <w:p w14:paraId="791CADC0" w14:textId="77777777" w:rsidR="004976AE" w:rsidRDefault="004976AE" w:rsidP="004976AE">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Pct. 13 a fost reformulat în urma avizului Cancelariei de Stat și va avea următorul cuprins:</w:t>
            </w:r>
          </w:p>
          <w:p w14:paraId="5ED05A2F" w14:textId="6D433E49" w:rsidR="004976AE" w:rsidRPr="005F56DA" w:rsidRDefault="004976AE" w:rsidP="004976AE">
            <w:pPr>
              <w:tabs>
                <w:tab w:val="left" w:pos="8505"/>
              </w:tabs>
              <w:jc w:val="both"/>
              <w:rPr>
                <w:rFonts w:ascii="Times New Roman" w:hAnsi="Times New Roman" w:cs="Times New Roman"/>
                <w:sz w:val="20"/>
                <w:szCs w:val="20"/>
                <w:lang w:val="ro-RO"/>
              </w:rPr>
            </w:pPr>
            <w:r w:rsidRPr="004976AE">
              <w:rPr>
                <w:rFonts w:ascii="Times New Roman" w:hAnsi="Times New Roman" w:cs="Times New Roman"/>
                <w:sz w:val="20"/>
                <w:szCs w:val="20"/>
                <w:lang w:val="ro-RO"/>
              </w:rPr>
              <w:t xml:space="preserve">13. Achizițiile publice de valoare mică, inclusiv cele prevăzute la pct. 4 și 5, se realizează de către autoritatea/entitatea contractantă în baza planului anual/provizoriu de achiziții sau din motive de urgență, ca urmare a apariției unor necesități neplanificate sau evenimente imprevizibile, în </w:t>
            </w:r>
            <w:r w:rsidRPr="004976AE">
              <w:rPr>
                <w:rFonts w:ascii="Times New Roman" w:hAnsi="Times New Roman" w:cs="Times New Roman"/>
                <w:sz w:val="20"/>
                <w:szCs w:val="20"/>
                <w:lang w:val="ro-RO"/>
              </w:rPr>
              <w:lastRenderedPageBreak/>
              <w:t xml:space="preserve">conformitate cu prevederile privind modul de planificare a achizițiilor publice/sectoriale, </w:t>
            </w:r>
            <w:r w:rsidRPr="004976AE">
              <w:rPr>
                <w:rFonts w:ascii="Times New Roman" w:hAnsi="Times New Roman" w:cs="Times New Roman"/>
                <w:sz w:val="20"/>
                <w:szCs w:val="20"/>
                <w:lang w:val="it-IT"/>
              </w:rPr>
              <w:t>în baza unor circumstanțe obiective, imprevizibile, justificate și documentate în mod corespunzător</w:t>
            </w:r>
            <w:r w:rsidRPr="004976AE">
              <w:rPr>
                <w:rFonts w:ascii="Times New Roman" w:hAnsi="Times New Roman" w:cs="Times New Roman"/>
                <w:sz w:val="20"/>
                <w:szCs w:val="20"/>
                <w:lang w:val="ro-RO"/>
              </w:rPr>
              <w:t>.</w:t>
            </w:r>
          </w:p>
          <w:p w14:paraId="13B9494A" w14:textId="7506F259" w:rsidR="00231688" w:rsidRPr="005F56DA" w:rsidRDefault="00231688" w:rsidP="005F56DA">
            <w:pPr>
              <w:tabs>
                <w:tab w:val="left" w:pos="8505"/>
              </w:tabs>
              <w:jc w:val="both"/>
              <w:rPr>
                <w:rFonts w:ascii="Times New Roman" w:hAnsi="Times New Roman" w:cs="Times New Roman"/>
                <w:sz w:val="20"/>
                <w:szCs w:val="20"/>
                <w:lang w:val="ro-RO"/>
              </w:rPr>
            </w:pPr>
          </w:p>
        </w:tc>
      </w:tr>
      <w:tr w:rsidR="00231688" w:rsidRPr="00760BD0" w14:paraId="24AA2D99" w14:textId="77777777" w:rsidTr="00A919EA">
        <w:trPr>
          <w:trHeight w:val="416"/>
        </w:trPr>
        <w:tc>
          <w:tcPr>
            <w:tcW w:w="3397" w:type="dxa"/>
          </w:tcPr>
          <w:p w14:paraId="42B7D793" w14:textId="77777777" w:rsidR="005F56DA" w:rsidRPr="005F56DA" w:rsidRDefault="005F56DA" w:rsidP="005F56DA">
            <w:pPr>
              <w:tabs>
                <w:tab w:val="left" w:pos="8505"/>
              </w:tabs>
              <w:jc w:val="both"/>
              <w:rPr>
                <w:rFonts w:ascii="Times New Roman" w:hAnsi="Times New Roman" w:cs="Times New Roman"/>
                <w:b/>
                <w:bCs/>
                <w:sz w:val="20"/>
                <w:szCs w:val="20"/>
                <w:lang w:val="ro-RO"/>
              </w:rPr>
            </w:pPr>
            <w:r w:rsidRPr="005F56DA">
              <w:rPr>
                <w:rFonts w:ascii="Times New Roman" w:hAnsi="Times New Roman" w:cs="Times New Roman"/>
                <w:b/>
                <w:bCs/>
                <w:sz w:val="20"/>
                <w:szCs w:val="20"/>
                <w:lang w:val="ro-RO"/>
              </w:rPr>
              <w:lastRenderedPageBreak/>
              <w:t>HG 870/2022</w:t>
            </w:r>
          </w:p>
          <w:p w14:paraId="471E20E8" w14:textId="21D5FCEB" w:rsidR="005F56DA" w:rsidRPr="00863A23" w:rsidRDefault="005F56DA" w:rsidP="005F56DA">
            <w:pPr>
              <w:tabs>
                <w:tab w:val="left" w:pos="8505"/>
              </w:tabs>
              <w:jc w:val="both"/>
              <w:rPr>
                <w:rFonts w:ascii="Times New Roman" w:hAnsi="Times New Roman" w:cs="Times New Roman"/>
                <w:sz w:val="20"/>
                <w:szCs w:val="20"/>
                <w:lang w:val="it-IT"/>
              </w:rPr>
            </w:pPr>
            <w:r w:rsidRPr="005F56DA">
              <w:rPr>
                <w:rFonts w:ascii="Times New Roman" w:hAnsi="Times New Roman" w:cs="Times New Roman"/>
                <w:b/>
                <w:bCs/>
                <w:sz w:val="20"/>
                <w:szCs w:val="20"/>
                <w:lang w:val="ro-RO"/>
              </w:rPr>
              <w:t>Pct.</w:t>
            </w:r>
            <w:r w:rsidRPr="00863A23">
              <w:rPr>
                <w:rFonts w:ascii="Times New Roman" w:hAnsi="Times New Roman" w:cs="Times New Roman"/>
                <w:b/>
                <w:bCs/>
                <w:sz w:val="20"/>
                <w:szCs w:val="20"/>
                <w:lang w:val="it-IT"/>
              </w:rPr>
              <w:t>14</w:t>
            </w:r>
            <w:r w:rsidRPr="00863A23">
              <w:rPr>
                <w:rFonts w:ascii="Times New Roman" w:hAnsi="Times New Roman" w:cs="Times New Roman"/>
                <w:bCs/>
                <w:sz w:val="20"/>
                <w:szCs w:val="20"/>
                <w:lang w:val="it-IT"/>
              </w:rPr>
              <w:t>.</w:t>
            </w:r>
            <w:r w:rsidRPr="00863A23">
              <w:rPr>
                <w:rFonts w:ascii="Times New Roman" w:hAnsi="Times New Roman" w:cs="Times New Roman"/>
                <w:sz w:val="20"/>
                <w:szCs w:val="20"/>
                <w:lang w:val="it-IT"/>
              </w:rPr>
              <w:t> Autoritatea/entitatea contractantă este obligată să desfășoare achizițiile publice de valoare mică prin intermediul SIA „RSAP”, cu excepția următoarelor cazuri:</w:t>
            </w:r>
          </w:p>
          <w:p w14:paraId="69E13281" w14:textId="77777777" w:rsidR="005F56DA" w:rsidRPr="00863A23" w:rsidRDefault="005F56DA" w:rsidP="005F56DA">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1) achizițiile directe ale căror valori estimate sunt stabilite în pct. 4-7;</w:t>
            </w:r>
          </w:p>
          <w:p w14:paraId="7F5B70FA" w14:textId="77777777" w:rsidR="005F56DA" w:rsidRPr="00863A23" w:rsidRDefault="005F56DA" w:rsidP="005F56DA">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2) achizițiile de la persoanele fizice care nu au statut de întreprinzător;</w:t>
            </w:r>
          </w:p>
          <w:p w14:paraId="720A1928" w14:textId="77777777" w:rsidR="005F56DA" w:rsidRPr="00863A23" w:rsidRDefault="005F56DA" w:rsidP="005F56DA">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3) achizițiile de combustibil;</w:t>
            </w:r>
          </w:p>
          <w:p w14:paraId="08741AEE" w14:textId="77777777" w:rsidR="005F56DA" w:rsidRPr="00863A23" w:rsidRDefault="005F56DA" w:rsidP="005F56DA">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4) achizițiile serviciilor de proiectări;</w:t>
            </w:r>
          </w:p>
          <w:p w14:paraId="6939D8A0" w14:textId="77777777" w:rsidR="005F56DA" w:rsidRPr="00863A23" w:rsidRDefault="005F56DA" w:rsidP="005F56DA">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5) achizițiile în domeniul serviciilor publice de gospodărie comunală;</w:t>
            </w:r>
          </w:p>
          <w:p w14:paraId="6B386CDB" w14:textId="77777777" w:rsidR="005F56DA" w:rsidRPr="00863A23" w:rsidRDefault="005F56DA" w:rsidP="005F56DA">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6) un singur operator economic dispune de bunurile, serviciile și lucrările necesare sau un singur operator economic are drepturi exclusive asupra bunurilor, serviciilor, lucrărilor și nu există o altă alternativă;</w:t>
            </w:r>
          </w:p>
          <w:p w14:paraId="6EB4FBA0" w14:textId="77777777" w:rsidR="005F56DA" w:rsidRPr="00863A23" w:rsidRDefault="005F56DA" w:rsidP="005F56DA">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7) nicio ofertă sau nicio ofertă adecvată ori nicio candidatură nu a fost depusă ca răspuns la o procedură de atribuire a contractului de achiziție publică de valoare mică prin SIA „RSAP”, cu condiția să nu se modifice în mod substanțial condițiile inițiale ale achiziției (substanțiale se consideră modificările termenelor de livrare/prestare/executare, condițiilor de achitare, condiţiilor de </w:t>
            </w:r>
            <w:r w:rsidRPr="00863A23">
              <w:rPr>
                <w:rFonts w:ascii="Times New Roman" w:hAnsi="Times New Roman" w:cs="Times New Roman"/>
                <w:sz w:val="20"/>
                <w:szCs w:val="20"/>
                <w:lang w:val="it-IT"/>
              </w:rPr>
              <w:lastRenderedPageBreak/>
              <w:t>livrare/prestare/executare, cerinţelor faţă de calitate, cantitate, garanţii, alte condiţii esenţiale care schimbă echilibrul economic al achiziţiei în favoarea contractantului într-un mod care nu a fost prevăzut în condițiile achiziţiei iniţiale), iar lipsa concurenței nu este rezultatul unei restrângeri artificiale a parametrilor achiziției;</w:t>
            </w:r>
          </w:p>
          <w:p w14:paraId="79736DB0" w14:textId="7E03FDED" w:rsidR="00231688" w:rsidRPr="00863A23" w:rsidRDefault="005F56DA" w:rsidP="009E4D8F">
            <w:pPr>
              <w:tabs>
                <w:tab w:val="left" w:pos="8505"/>
              </w:tabs>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8) în cazurile strict necesare, din motive de maximă urgenţă ca urmare a unor evenimente imprevizibile pentru autoritatea/entitatea contractantă în cauză, nu se pot respecta termenele pentru procedura de achiziție de valoare mică prin SIA</w:t>
            </w:r>
            <w:r w:rsidR="009E4D8F" w:rsidRPr="00863A23">
              <w:rPr>
                <w:rFonts w:ascii="Times New Roman" w:hAnsi="Times New Roman" w:cs="Times New Roman"/>
                <w:sz w:val="20"/>
                <w:szCs w:val="20"/>
                <w:lang w:val="it-IT"/>
              </w:rPr>
              <w:t xml:space="preserve"> </w:t>
            </w:r>
            <w:r w:rsidRPr="00863A23">
              <w:rPr>
                <w:rFonts w:ascii="Times New Roman" w:hAnsi="Times New Roman" w:cs="Times New Roman"/>
                <w:sz w:val="20"/>
                <w:szCs w:val="20"/>
                <w:lang w:val="it-IT"/>
              </w:rPr>
              <w:t>,,RSAP”. Situaţiile invocate pentru a justifica maxima urgenţă nu trebuie să fie imputabile autorităţilor/entităților contractante. Decizia privind neutilizarea sistemului SIA ,,RSAP” pentru achiziția de valoare mică se adoptă cu majoritatea de voturi ale membrilor grupului de lucru și se consemnează printr</w:t>
            </w:r>
            <w:r w:rsidRPr="00863A23">
              <w:rPr>
                <w:rFonts w:ascii="Times New Roman" w:hAnsi="Times New Roman" w:cs="Times New Roman"/>
                <w:sz w:val="20"/>
                <w:szCs w:val="20"/>
                <w:lang w:val="it-IT"/>
              </w:rPr>
              <w:noBreakHyphen/>
              <w:t>un proces-verbal.</w:t>
            </w:r>
          </w:p>
        </w:tc>
        <w:tc>
          <w:tcPr>
            <w:tcW w:w="2977" w:type="dxa"/>
          </w:tcPr>
          <w:p w14:paraId="5C440401" w14:textId="77777777" w:rsidR="00231688" w:rsidRPr="00154388" w:rsidRDefault="00231688" w:rsidP="001F2700">
            <w:pPr>
              <w:tabs>
                <w:tab w:val="left" w:pos="8505"/>
              </w:tabs>
              <w:jc w:val="center"/>
              <w:rPr>
                <w:rFonts w:ascii="Times New Roman" w:hAnsi="Times New Roman" w:cs="Times New Roman"/>
                <w:b/>
                <w:color w:val="000000" w:themeColor="text1"/>
                <w:sz w:val="20"/>
                <w:szCs w:val="20"/>
                <w:lang w:val="ro-RO"/>
              </w:rPr>
            </w:pPr>
          </w:p>
        </w:tc>
        <w:tc>
          <w:tcPr>
            <w:tcW w:w="533" w:type="dxa"/>
          </w:tcPr>
          <w:p w14:paraId="385A7900" w14:textId="3E63715C" w:rsidR="00231688" w:rsidRDefault="00231688" w:rsidP="001F270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4</w:t>
            </w:r>
          </w:p>
        </w:tc>
        <w:tc>
          <w:tcPr>
            <w:tcW w:w="3402" w:type="dxa"/>
          </w:tcPr>
          <w:p w14:paraId="3BEE5800" w14:textId="77777777" w:rsidR="00231688" w:rsidRPr="00863A23" w:rsidRDefault="00231688" w:rsidP="00231688">
            <w:pPr>
              <w:jc w:val="both"/>
              <w:rPr>
                <w:rFonts w:ascii="Times New Roman" w:hAnsi="Times New Roman" w:cs="Times New Roman"/>
                <w:sz w:val="20"/>
                <w:szCs w:val="20"/>
                <w:lang w:val="ro-RO"/>
              </w:rPr>
            </w:pPr>
            <w:r w:rsidRPr="00863A23">
              <w:rPr>
                <w:rFonts w:ascii="Times New Roman" w:hAnsi="Times New Roman" w:cs="Times New Roman"/>
                <w:sz w:val="20"/>
                <w:szCs w:val="20"/>
                <w:lang w:val="ro-RO"/>
              </w:rPr>
              <w:t xml:space="preserve">Pct. 14 se completează cu subpunctul 11), cu următorul cuprins: </w:t>
            </w:r>
          </w:p>
          <w:p w14:paraId="41B2DEA7" w14:textId="77777777" w:rsidR="00231688" w:rsidRPr="00863A23" w:rsidRDefault="00231688" w:rsidP="00231688">
            <w:pPr>
              <w:jc w:val="both"/>
              <w:rPr>
                <w:rFonts w:ascii="Times New Roman" w:hAnsi="Times New Roman" w:cs="Times New Roman"/>
                <w:sz w:val="20"/>
                <w:szCs w:val="20"/>
                <w:lang w:val="ro-RO"/>
              </w:rPr>
            </w:pPr>
            <w:r w:rsidRPr="00863A23">
              <w:rPr>
                <w:rFonts w:ascii="Times New Roman" w:hAnsi="Times New Roman" w:cs="Times New Roman"/>
                <w:sz w:val="20"/>
                <w:szCs w:val="20"/>
                <w:lang w:val="ro-RO"/>
              </w:rPr>
              <w:t xml:space="preserve">„11) în cazul autorităților centrale de achiziții, pentru achizițiile de medicamente, dispozitive medicale și alte produse de sănătate, atunci când acestea sunt necesare pentru asigurarea continuității tratamentului sau pentru prevenirea riscurilor pentru sănătatea publică, iar desfășurarea procedurii prin SI „RSAP” nu poate fi realizată în termenele necesare, cu condiția justificării caracterului urgent și a imposibilității respectării termenelor procedurale.” </w:t>
            </w:r>
          </w:p>
          <w:p w14:paraId="01E0B84A" w14:textId="061480AB" w:rsidR="00231688" w:rsidRPr="00863A23" w:rsidRDefault="00231688" w:rsidP="00231688">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Propunerea are ca scop reglementarea unor situații specifice domeniului sănătății, în care este necesară intervenția rapidă pentru asigurarea continuității tratamentului și evitarea riscurilor pentru sănătatea pacienților. Aceasta este în concordanță cu prevederile art. 17 din Legea nr. 325/2025 privind achizițiile publice, care impun utilizarea proporțională și eficientă a fondurilor publice, precum și cu necesitatea adaptării procedurilor la situații obiective ce nu permit respectarea termenelor standard. Totodată, completarea se circumscrie situațiilor de urgență și lipsei </w:t>
            </w:r>
            <w:r w:rsidRPr="00863A23">
              <w:rPr>
                <w:rFonts w:ascii="Times New Roman" w:hAnsi="Times New Roman" w:cs="Times New Roman"/>
                <w:sz w:val="20"/>
                <w:szCs w:val="20"/>
                <w:lang w:val="it-IT"/>
              </w:rPr>
              <w:lastRenderedPageBreak/>
              <w:t>concurenței din motive obiective, deja recunoscute de cadrul normativ, fără a extinde în mod nejustificat excepțiile existente.</w:t>
            </w:r>
          </w:p>
        </w:tc>
        <w:tc>
          <w:tcPr>
            <w:tcW w:w="3436" w:type="dxa"/>
          </w:tcPr>
          <w:p w14:paraId="437B41F5" w14:textId="265230EF" w:rsidR="00AA032E" w:rsidRPr="00AA032E" w:rsidRDefault="00AA032E" w:rsidP="00AA032E">
            <w:pPr>
              <w:tabs>
                <w:tab w:val="left" w:pos="8505"/>
              </w:tabs>
              <w:jc w:val="both"/>
              <w:rPr>
                <w:rFonts w:ascii="Times New Roman" w:hAnsi="Times New Roman" w:cs="Times New Roman"/>
                <w:b/>
                <w:sz w:val="20"/>
                <w:szCs w:val="20"/>
                <w:lang w:val="ro-RO"/>
              </w:rPr>
            </w:pPr>
            <w:r w:rsidRPr="00AA032E">
              <w:rPr>
                <w:rFonts w:ascii="Times New Roman" w:hAnsi="Times New Roman" w:cs="Times New Roman"/>
                <w:b/>
                <w:sz w:val="20"/>
                <w:szCs w:val="20"/>
                <w:lang w:val="ro-RO"/>
              </w:rPr>
              <w:lastRenderedPageBreak/>
              <w:t>Nu se acceptă</w:t>
            </w:r>
          </w:p>
          <w:p w14:paraId="0104ED41" w14:textId="70713E98" w:rsidR="00AA032E" w:rsidRPr="00AA032E" w:rsidRDefault="00AA032E" w:rsidP="00AA032E">
            <w:pPr>
              <w:tabs>
                <w:tab w:val="left" w:pos="8505"/>
              </w:tabs>
              <w:jc w:val="both"/>
              <w:rPr>
                <w:rFonts w:ascii="Times New Roman" w:hAnsi="Times New Roman" w:cs="Times New Roman"/>
                <w:sz w:val="20"/>
                <w:szCs w:val="20"/>
                <w:lang w:val="ro-RO"/>
              </w:rPr>
            </w:pPr>
            <w:r w:rsidRPr="00AA032E">
              <w:rPr>
                <w:rFonts w:ascii="Times New Roman" w:hAnsi="Times New Roman" w:cs="Times New Roman"/>
                <w:sz w:val="20"/>
                <w:szCs w:val="20"/>
                <w:lang w:val="ro-RO"/>
              </w:rPr>
              <w:t>Propunerea nu poate fi acceptată, întrucât situațiile invocate sunt deja reglementate exhaustiv prin prevederile existente ale punctului 14, iar introducerea unei excepții specifice ar crea riscuri de interpretare abuzivă și ar contraveni principiilor de tehnică legislativă și digitalizare.</w:t>
            </w:r>
          </w:p>
          <w:p w14:paraId="0AB49BF2" w14:textId="77777777" w:rsidR="00AA032E" w:rsidRPr="00AA032E" w:rsidRDefault="00AA032E" w:rsidP="00AA032E">
            <w:pPr>
              <w:tabs>
                <w:tab w:val="left" w:pos="8505"/>
              </w:tabs>
              <w:jc w:val="both"/>
              <w:rPr>
                <w:rFonts w:ascii="Times New Roman" w:hAnsi="Times New Roman" w:cs="Times New Roman"/>
                <w:sz w:val="20"/>
                <w:szCs w:val="20"/>
                <w:lang w:val="ro-RO"/>
              </w:rPr>
            </w:pPr>
            <w:r w:rsidRPr="00AA032E">
              <w:rPr>
                <w:rFonts w:ascii="Times New Roman" w:hAnsi="Times New Roman" w:cs="Times New Roman"/>
                <w:sz w:val="20"/>
                <w:szCs w:val="20"/>
                <w:lang w:val="ro-RO"/>
              </w:rPr>
              <w:t>Argumentele detaliate sunt următoarele:</w:t>
            </w:r>
          </w:p>
          <w:p w14:paraId="23469204" w14:textId="632314BB" w:rsidR="00AA032E" w:rsidRPr="00AA032E" w:rsidRDefault="00AA032E" w:rsidP="00AA032E">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w:t>
            </w:r>
            <w:r w:rsidRPr="00AA032E">
              <w:rPr>
                <w:rFonts w:ascii="Times New Roman" w:hAnsi="Times New Roman" w:cs="Times New Roman"/>
                <w:sz w:val="20"/>
                <w:szCs w:val="20"/>
                <w:lang w:val="ro-RO"/>
              </w:rPr>
              <w:t xml:space="preserve"> Situațiile descrise în propunere (riscuri pentru sănătatea publică, necesitatea intervenției rapide) sunt deja acoperite de subpct. 8 al pct. 14, car</w:t>
            </w:r>
            <w:r w:rsidR="00AD597B">
              <w:rPr>
                <w:rFonts w:ascii="Times New Roman" w:hAnsi="Times New Roman" w:cs="Times New Roman"/>
                <w:sz w:val="20"/>
                <w:szCs w:val="20"/>
                <w:lang w:val="ro-RO"/>
              </w:rPr>
              <w:t>e permite neutilizarea SI „RSAP”</w:t>
            </w:r>
            <w:r w:rsidRPr="00AA032E">
              <w:rPr>
                <w:rFonts w:ascii="Times New Roman" w:hAnsi="Times New Roman" w:cs="Times New Roman"/>
                <w:sz w:val="20"/>
                <w:szCs w:val="20"/>
                <w:lang w:val="ro-RO"/>
              </w:rPr>
              <w:t xml:space="preserve"> în „cazurile strict necesare, din motive de maximă urgenţă ca urmare </w:t>
            </w:r>
            <w:r w:rsidR="00AD597B">
              <w:rPr>
                <w:rFonts w:ascii="Times New Roman" w:hAnsi="Times New Roman" w:cs="Times New Roman"/>
                <w:sz w:val="20"/>
                <w:szCs w:val="20"/>
                <w:lang w:val="ro-RO"/>
              </w:rPr>
              <w:t>a unor evenimente imprevizibile”</w:t>
            </w:r>
            <w:r w:rsidRPr="00AA032E">
              <w:rPr>
                <w:rFonts w:ascii="Times New Roman" w:hAnsi="Times New Roman" w:cs="Times New Roman"/>
                <w:sz w:val="20"/>
                <w:szCs w:val="20"/>
                <w:lang w:val="ro-RO"/>
              </w:rPr>
              <w:t>, atunci când nu se pot respecta termenele procedurale. Dacă apariția necesității de medicamente sau dispozitive medicale este cauzată de un eveniment imprevizibil (ex. epidemie subită, criză de aprovizionare neașteptată, defectare majoră a echipamentelor critice) și nu este imputabilă autorității, autoritatea centrală de achiziții poate invoca direct subpct. 8. Introducerea unui subpunct distinct este inutilă, deoarece nu aduce un temei juridic nou, ci doar dublează o situație deja reglementată.</w:t>
            </w:r>
          </w:p>
          <w:p w14:paraId="2545BA31" w14:textId="532E9A27" w:rsidR="00AA032E" w:rsidRPr="00AA032E" w:rsidRDefault="00AA032E" w:rsidP="00AA032E">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w:t>
            </w:r>
            <w:r w:rsidRPr="00AA032E">
              <w:rPr>
                <w:rFonts w:ascii="Times New Roman" w:hAnsi="Times New Roman" w:cs="Times New Roman"/>
                <w:sz w:val="20"/>
                <w:szCs w:val="20"/>
                <w:lang w:val="ro-RO"/>
              </w:rPr>
              <w:t xml:space="preserve"> Formularea propusă, care face referire la „asigura</w:t>
            </w:r>
            <w:r>
              <w:rPr>
                <w:rFonts w:ascii="Times New Roman" w:hAnsi="Times New Roman" w:cs="Times New Roman"/>
                <w:sz w:val="20"/>
                <w:szCs w:val="20"/>
                <w:lang w:val="ro-RO"/>
              </w:rPr>
              <w:t>rea continuității tratamentului”</w:t>
            </w:r>
            <w:r w:rsidRPr="00AA032E">
              <w:rPr>
                <w:rFonts w:ascii="Times New Roman" w:hAnsi="Times New Roman" w:cs="Times New Roman"/>
                <w:sz w:val="20"/>
                <w:szCs w:val="20"/>
                <w:lang w:val="ro-RO"/>
              </w:rPr>
              <w:t>, prezintă un risc semnificativ de interpretare extensivă. Continuitatea tratamentului este o necesitate permanentă și previzibilă, care trebuie asigurată prin planificare riguroasă și proceduri c</w:t>
            </w:r>
            <w:r>
              <w:rPr>
                <w:rFonts w:ascii="Times New Roman" w:hAnsi="Times New Roman" w:cs="Times New Roman"/>
                <w:sz w:val="20"/>
                <w:szCs w:val="20"/>
                <w:lang w:val="ro-RO"/>
              </w:rPr>
              <w:t>ompetitive derulate în SI „RSAP”</w:t>
            </w:r>
            <w:r w:rsidRPr="00AA032E">
              <w:rPr>
                <w:rFonts w:ascii="Times New Roman" w:hAnsi="Times New Roman" w:cs="Times New Roman"/>
                <w:sz w:val="20"/>
                <w:szCs w:val="20"/>
                <w:lang w:val="ro-RO"/>
              </w:rPr>
              <w:t>. Crearea unei excepții sp</w:t>
            </w:r>
            <w:r>
              <w:rPr>
                <w:rFonts w:ascii="Times New Roman" w:hAnsi="Times New Roman" w:cs="Times New Roman"/>
                <w:sz w:val="20"/>
                <w:szCs w:val="20"/>
                <w:lang w:val="ro-RO"/>
              </w:rPr>
              <w:t>ecifice bazate pe „continuitate”</w:t>
            </w:r>
            <w:r w:rsidRPr="00AA032E">
              <w:rPr>
                <w:rFonts w:ascii="Times New Roman" w:hAnsi="Times New Roman" w:cs="Times New Roman"/>
                <w:sz w:val="20"/>
                <w:szCs w:val="20"/>
                <w:lang w:val="ro-RO"/>
              </w:rPr>
              <w:t xml:space="preserve"> ar putea permite autorităților să justifice neutilizarea sistemului electronic chiar și în situații imputabile lor (ex. întârzieri în planificare, gestionare defectuoasă a stocurilor), invocând generic riscul pentru pacienți. Acest lucru ar slăbi disciplina procedurală și ar putea conduce la achiziții netransparente și neconcurențiale, contrar obiectivului de integritate și eficiență.</w:t>
            </w:r>
          </w:p>
          <w:p w14:paraId="71B04054" w14:textId="6A79FBAB" w:rsidR="00AA032E" w:rsidRPr="00AA032E" w:rsidRDefault="00AA032E" w:rsidP="00AA032E">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w:t>
            </w:r>
            <w:r w:rsidRPr="00AA032E">
              <w:rPr>
                <w:rFonts w:ascii="Times New Roman" w:hAnsi="Times New Roman" w:cs="Times New Roman"/>
                <w:sz w:val="20"/>
                <w:szCs w:val="20"/>
                <w:lang w:val="ro-RO"/>
              </w:rPr>
              <w:t xml:space="preserve"> Potrivit exigențelor de tehnică legislativă, se evită enumerarea exhaustivă a domeniilor sau cazurilor particulare atunci când există o normă generală aplicabilă. Extinderea listei de excepții cu prevederi sectoriale fragmentează cadrul normativ și creează inegalități de tratament între diferite sectoare de activitate. Mai mult, Legea nr. 325/2025 consolidează principiul digitalizării și al transparenței prin utilizarea sistemelor electronice. Acceptarea unor derogări specifice, care nu sunt strict necesare din punct de vedere juridic, ar contraveni spiritului legii și ar diminua eforturile de gen</w:t>
            </w:r>
            <w:r>
              <w:rPr>
                <w:rFonts w:ascii="Times New Roman" w:hAnsi="Times New Roman" w:cs="Times New Roman"/>
                <w:sz w:val="20"/>
                <w:szCs w:val="20"/>
                <w:lang w:val="ro-RO"/>
              </w:rPr>
              <w:t>eralizare a utilizării SI „RSAP”</w:t>
            </w:r>
            <w:r w:rsidRPr="00AA032E">
              <w:rPr>
                <w:rFonts w:ascii="Times New Roman" w:hAnsi="Times New Roman" w:cs="Times New Roman"/>
                <w:sz w:val="20"/>
                <w:szCs w:val="20"/>
                <w:lang w:val="ro-RO"/>
              </w:rPr>
              <w:t>.</w:t>
            </w:r>
          </w:p>
          <w:p w14:paraId="250AA6B5" w14:textId="751BFA66" w:rsidR="00231688" w:rsidRPr="00AA032E" w:rsidRDefault="00AA032E" w:rsidP="00AA032E">
            <w:pPr>
              <w:tabs>
                <w:tab w:val="left" w:pos="8505"/>
              </w:tabs>
              <w:jc w:val="both"/>
              <w:rPr>
                <w:rFonts w:ascii="Times New Roman" w:hAnsi="Times New Roman" w:cs="Times New Roman"/>
                <w:sz w:val="20"/>
                <w:szCs w:val="20"/>
                <w:lang w:val="ro-RO"/>
              </w:rPr>
            </w:pPr>
            <w:r w:rsidRPr="00AA032E">
              <w:rPr>
                <w:rFonts w:ascii="Times New Roman" w:hAnsi="Times New Roman" w:cs="Times New Roman"/>
                <w:sz w:val="20"/>
                <w:szCs w:val="20"/>
                <w:lang w:val="ro-RO"/>
              </w:rPr>
              <w:t xml:space="preserve">Cadrul normativ actual oferă deja instrumentele necesare pentru a gestiona situațiile de criză reală în domeniul sănătății prin subpct. 8, cu condiția respectării criteriilor stricte de </w:t>
            </w:r>
            <w:r w:rsidRPr="00AA032E">
              <w:rPr>
                <w:rFonts w:ascii="Times New Roman" w:hAnsi="Times New Roman" w:cs="Times New Roman"/>
                <w:sz w:val="20"/>
                <w:szCs w:val="20"/>
                <w:lang w:val="ro-RO"/>
              </w:rPr>
              <w:lastRenderedPageBreak/>
              <w:t>imprevizibilitate și neimputabilitate. Respingerea propunerii se întemeiază pe necesitatea de a preveni redundanța, de a menține rigoarea procedurală și de a evita crearea unor breșe care ar putea fi utilizate pentru a eluda competiția și transparența sub pretextul continuității. Autoritățile centrale de achiziții au obligația de a planifica achizițiile de medicamente și produse de sănătate astfel încât să asigure continuitatea prin proceduri standard, recurgând la excepții doar în cazuri de forță majoră sau urgență reală, deja reglementate.</w:t>
            </w:r>
          </w:p>
        </w:tc>
      </w:tr>
      <w:tr w:rsidR="007E7525" w:rsidRPr="00760BD0" w14:paraId="3A3A9875" w14:textId="77777777" w:rsidTr="00A919EA">
        <w:trPr>
          <w:trHeight w:val="416"/>
        </w:trPr>
        <w:tc>
          <w:tcPr>
            <w:tcW w:w="3397" w:type="dxa"/>
          </w:tcPr>
          <w:p w14:paraId="0AF96271" w14:textId="77777777" w:rsidR="009E4D8F" w:rsidRPr="00311701" w:rsidRDefault="009E4D8F" w:rsidP="009E4D8F">
            <w:pPr>
              <w:tabs>
                <w:tab w:val="left" w:pos="8505"/>
              </w:tabs>
              <w:jc w:val="both"/>
              <w:rPr>
                <w:rFonts w:ascii="Times New Roman" w:hAnsi="Times New Roman" w:cs="Times New Roman"/>
                <w:sz w:val="20"/>
                <w:szCs w:val="20"/>
                <w:lang w:val="ro-RO"/>
              </w:rPr>
            </w:pPr>
            <w:r w:rsidRPr="00311701">
              <w:rPr>
                <w:rFonts w:ascii="Times New Roman" w:hAnsi="Times New Roman" w:cs="Times New Roman"/>
                <w:b/>
                <w:sz w:val="20"/>
                <w:szCs w:val="20"/>
                <w:lang w:val="ro-RO"/>
              </w:rPr>
              <w:lastRenderedPageBreak/>
              <w:t>1.22.</w:t>
            </w:r>
            <w:r>
              <w:rPr>
                <w:rFonts w:ascii="Times New Roman" w:hAnsi="Times New Roman" w:cs="Times New Roman"/>
                <w:sz w:val="20"/>
                <w:szCs w:val="20"/>
                <w:lang w:val="ro-RO"/>
              </w:rPr>
              <w:t xml:space="preserve"> </w:t>
            </w:r>
            <w:r w:rsidRPr="00311701">
              <w:rPr>
                <w:rFonts w:ascii="Times New Roman" w:hAnsi="Times New Roman" w:cs="Times New Roman"/>
                <w:sz w:val="20"/>
                <w:szCs w:val="20"/>
                <w:lang w:val="ro-RO"/>
              </w:rPr>
              <w:t>Se introduce punctul 50</w:t>
            </w:r>
            <w:r>
              <w:rPr>
                <w:rFonts w:ascii="Times New Roman" w:hAnsi="Times New Roman" w:cs="Times New Roman"/>
                <w:sz w:val="20"/>
                <w:szCs w:val="20"/>
                <w:vertAlign w:val="superscript"/>
                <w:lang w:val="ro-RO"/>
              </w:rPr>
              <w:t>1</w:t>
            </w:r>
            <w:r w:rsidRPr="00311701">
              <w:rPr>
                <w:rFonts w:ascii="Times New Roman" w:hAnsi="Times New Roman" w:cs="Times New Roman"/>
                <w:sz w:val="20"/>
                <w:szCs w:val="20"/>
                <w:lang w:val="ro-RO"/>
              </w:rPr>
              <w:t>, cu următorul cuprins:</w:t>
            </w:r>
          </w:p>
          <w:p w14:paraId="678BC896" w14:textId="1C424C6A" w:rsidR="007E7525" w:rsidRDefault="009E4D8F" w:rsidP="009E4D8F">
            <w:pPr>
              <w:tabs>
                <w:tab w:val="left" w:pos="8505"/>
              </w:tabs>
              <w:jc w:val="both"/>
              <w:rPr>
                <w:rFonts w:ascii="Times New Roman" w:hAnsi="Times New Roman" w:cs="Times New Roman"/>
                <w:b/>
                <w:sz w:val="20"/>
                <w:szCs w:val="20"/>
                <w:lang w:val="ro-RO"/>
              </w:rPr>
            </w:pPr>
            <w:r w:rsidRPr="00311701">
              <w:rPr>
                <w:rFonts w:ascii="Times New Roman" w:hAnsi="Times New Roman" w:cs="Times New Roman"/>
                <w:sz w:val="20"/>
                <w:szCs w:val="20"/>
                <w:lang w:val="ro-RO"/>
              </w:rPr>
              <w:t>„50</w:t>
            </w:r>
            <w:r>
              <w:rPr>
                <w:rFonts w:ascii="Times New Roman" w:hAnsi="Times New Roman" w:cs="Times New Roman"/>
                <w:sz w:val="20"/>
                <w:szCs w:val="20"/>
                <w:vertAlign w:val="superscript"/>
                <w:lang w:val="ro-RO"/>
              </w:rPr>
              <w:t>1</w:t>
            </w:r>
            <w:r w:rsidRPr="00311701">
              <w:rPr>
                <w:rFonts w:ascii="Times New Roman" w:hAnsi="Times New Roman" w:cs="Times New Roman"/>
                <w:sz w:val="20"/>
                <w:szCs w:val="20"/>
                <w:lang w:val="ro-RO"/>
              </w:rPr>
              <w:t>. Autoritatea/entitatea contractantă poate solicita garanția pentru ofertă și garanția de bună execuție a contractului. În anunțul de participare aceasta va indica, după caz, pentru fiecare garanție, cerințele față de emitent, forma, cuantumul și alte condiții de bază ale garanției pentru ofertă, precum și cerințele față de operatorul economic care depune garanția pentru ofertă și/sau garanția de bună execuție a contractului.”.</w:t>
            </w:r>
          </w:p>
        </w:tc>
        <w:tc>
          <w:tcPr>
            <w:tcW w:w="2977" w:type="dxa"/>
          </w:tcPr>
          <w:p w14:paraId="789AFFED" w14:textId="77777777" w:rsidR="007E7525" w:rsidRPr="00154388" w:rsidRDefault="007E7525" w:rsidP="001F2700">
            <w:pPr>
              <w:tabs>
                <w:tab w:val="left" w:pos="8505"/>
              </w:tabs>
              <w:jc w:val="center"/>
              <w:rPr>
                <w:rFonts w:ascii="Times New Roman" w:hAnsi="Times New Roman" w:cs="Times New Roman"/>
                <w:b/>
                <w:color w:val="000000" w:themeColor="text1"/>
                <w:sz w:val="20"/>
                <w:szCs w:val="20"/>
                <w:lang w:val="ro-RO"/>
              </w:rPr>
            </w:pPr>
          </w:p>
        </w:tc>
        <w:tc>
          <w:tcPr>
            <w:tcW w:w="533" w:type="dxa"/>
          </w:tcPr>
          <w:p w14:paraId="6D591457" w14:textId="0DE7E3A6" w:rsidR="007E7525" w:rsidRDefault="007E7525" w:rsidP="001F270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5</w:t>
            </w:r>
          </w:p>
        </w:tc>
        <w:tc>
          <w:tcPr>
            <w:tcW w:w="3402" w:type="dxa"/>
          </w:tcPr>
          <w:p w14:paraId="3F29A1C0" w14:textId="77777777" w:rsidR="007E7525" w:rsidRPr="00863A23" w:rsidRDefault="007E7525" w:rsidP="007E7525">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Pct. 50¹ va avea următorul cuprins: </w:t>
            </w:r>
          </w:p>
          <w:p w14:paraId="3B2F13D3" w14:textId="77777777" w:rsidR="007E7525" w:rsidRPr="00863A23" w:rsidRDefault="007E7525" w:rsidP="007E7525">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„50¹. Autoritatea/entitatea contractantă poate solicita garanția pentru ofertă și garanția de bună execuție a contractului. În anunțul de participare aceasta va indica, după caz, pentru fiecare garanție, cerințele față de emitent, forma, cuantumul și alte condiții de bază ale garanției pentru ofertă, precum și cerințele față de operatorul economic care depune garanția pentru ofertă și/sau garanția de bună execuție a contractului. Garanția pentru ofertă se restituie operatorilor economici după finalizarea procedurii de atribuire. Garanția de bună execuție a contractului se restituie în termen de până la 15 zile de la data executării corespunzătoare a contractului de achiziție publică de bunuri sau servicii, iar în cazul contractelor de lucrări – în conformitate cu legislația aplicabilă în domeniul construcțiilor. </w:t>
            </w:r>
          </w:p>
          <w:p w14:paraId="0D6E4784" w14:textId="18184DA9" w:rsidR="007E7525" w:rsidRPr="00231688" w:rsidRDefault="007E7525" w:rsidP="007E7525">
            <w:pPr>
              <w:jc w:val="both"/>
              <w:rPr>
                <w:rFonts w:ascii="Times New Roman" w:hAnsi="Times New Roman" w:cs="Times New Roman"/>
                <w:sz w:val="20"/>
                <w:szCs w:val="20"/>
              </w:rPr>
            </w:pPr>
            <w:r w:rsidRPr="00863A23">
              <w:rPr>
                <w:rFonts w:ascii="Times New Roman" w:hAnsi="Times New Roman" w:cs="Times New Roman"/>
                <w:sz w:val="20"/>
                <w:szCs w:val="20"/>
                <w:lang w:val="it-IT"/>
              </w:rPr>
              <w:t xml:space="preserve">Propunerea are ca scop completarea prevederilor existente prin reglementarea expresă a termenului de restituire a garanției de bună execuție, în concordanță cu cadrul general stabilit de </w:t>
            </w:r>
            <w:r w:rsidRPr="00863A23">
              <w:rPr>
                <w:rFonts w:ascii="Times New Roman" w:hAnsi="Times New Roman" w:cs="Times New Roman"/>
                <w:sz w:val="20"/>
                <w:szCs w:val="20"/>
                <w:lang w:val="it-IT"/>
              </w:rPr>
              <w:lastRenderedPageBreak/>
              <w:t xml:space="preserve">art. 71 alin. </w:t>
            </w:r>
            <w:r w:rsidRPr="007E7525">
              <w:rPr>
                <w:rFonts w:ascii="Times New Roman" w:hAnsi="Times New Roman" w:cs="Times New Roman"/>
                <w:sz w:val="20"/>
                <w:szCs w:val="20"/>
              </w:rPr>
              <w:t>(13) din Legea nr. 325/2025 privind achizițiile publice.</w:t>
            </w:r>
          </w:p>
        </w:tc>
        <w:tc>
          <w:tcPr>
            <w:tcW w:w="3436" w:type="dxa"/>
          </w:tcPr>
          <w:p w14:paraId="3C6C6B19" w14:textId="77777777" w:rsidR="007E7525" w:rsidRPr="00B5246F" w:rsidRDefault="00B5246F" w:rsidP="001F2700">
            <w:pPr>
              <w:tabs>
                <w:tab w:val="left" w:pos="8505"/>
              </w:tabs>
              <w:jc w:val="both"/>
              <w:rPr>
                <w:rFonts w:ascii="Times New Roman" w:hAnsi="Times New Roman" w:cs="Times New Roman"/>
                <w:b/>
                <w:sz w:val="20"/>
                <w:szCs w:val="20"/>
                <w:lang w:val="ro-RO"/>
              </w:rPr>
            </w:pPr>
            <w:r w:rsidRPr="00B5246F">
              <w:rPr>
                <w:rFonts w:ascii="Times New Roman" w:hAnsi="Times New Roman" w:cs="Times New Roman"/>
                <w:b/>
                <w:sz w:val="20"/>
                <w:szCs w:val="20"/>
                <w:lang w:val="ro-RO"/>
              </w:rPr>
              <w:lastRenderedPageBreak/>
              <w:t>Se acceptă</w:t>
            </w:r>
          </w:p>
          <w:p w14:paraId="5554F28B" w14:textId="77777777" w:rsidR="00B5246F" w:rsidRDefault="00B5246F" w:rsidP="00B5246F">
            <w:pPr>
              <w:tabs>
                <w:tab w:val="left" w:pos="8505"/>
              </w:tabs>
              <w:jc w:val="both"/>
              <w:rPr>
                <w:rFonts w:ascii="Times New Roman" w:hAnsi="Times New Roman" w:cs="Times New Roman"/>
                <w:sz w:val="20"/>
                <w:szCs w:val="20"/>
                <w:lang w:val="ro-MD"/>
              </w:rPr>
            </w:pPr>
            <w:r>
              <w:rPr>
                <w:rFonts w:ascii="Times New Roman" w:hAnsi="Times New Roman" w:cs="Times New Roman"/>
                <w:sz w:val="20"/>
                <w:szCs w:val="20"/>
                <w:lang w:val="ro-MD"/>
              </w:rPr>
              <w:t>Punctul 50</w:t>
            </w:r>
            <w:r>
              <w:rPr>
                <w:rFonts w:ascii="Times New Roman" w:hAnsi="Times New Roman" w:cs="Times New Roman"/>
                <w:sz w:val="20"/>
                <w:szCs w:val="20"/>
                <w:vertAlign w:val="superscript"/>
                <w:lang w:val="ro-MD"/>
              </w:rPr>
              <w:t xml:space="preserve">1 </w:t>
            </w:r>
            <w:r>
              <w:rPr>
                <w:rFonts w:ascii="Times New Roman" w:hAnsi="Times New Roman" w:cs="Times New Roman"/>
                <w:sz w:val="20"/>
                <w:szCs w:val="20"/>
                <w:lang w:val="ro-MD"/>
              </w:rPr>
              <w:t>a fost reformulat după cum urmează:</w:t>
            </w:r>
          </w:p>
          <w:p w14:paraId="5ABA5ACF" w14:textId="44B7AC2C" w:rsidR="00B5246F" w:rsidRPr="00B5246F" w:rsidRDefault="00B5246F" w:rsidP="00B5246F">
            <w:pPr>
              <w:tabs>
                <w:tab w:val="left" w:pos="8505"/>
              </w:tabs>
              <w:jc w:val="both"/>
              <w:rPr>
                <w:rFonts w:ascii="Times New Roman" w:hAnsi="Times New Roman" w:cs="Times New Roman"/>
                <w:sz w:val="20"/>
                <w:szCs w:val="20"/>
                <w:lang w:val="ro-MD"/>
              </w:rPr>
            </w:pPr>
            <w:r>
              <w:rPr>
                <w:rFonts w:ascii="Times New Roman" w:hAnsi="Times New Roman" w:cs="Times New Roman"/>
                <w:sz w:val="20"/>
                <w:szCs w:val="20"/>
                <w:lang w:val="ro-MD"/>
              </w:rPr>
              <w:t xml:space="preserve"> </w:t>
            </w:r>
            <w:r w:rsidRPr="00B5246F">
              <w:rPr>
                <w:rFonts w:ascii="Times New Roman" w:hAnsi="Times New Roman" w:cs="Times New Roman"/>
                <w:sz w:val="20"/>
                <w:szCs w:val="20"/>
                <w:lang w:val="ro-MD"/>
              </w:rPr>
              <w:t>„50</w:t>
            </w:r>
            <w:r>
              <w:rPr>
                <w:rFonts w:ascii="Times New Roman" w:hAnsi="Times New Roman" w:cs="Times New Roman"/>
                <w:sz w:val="20"/>
                <w:szCs w:val="20"/>
                <w:vertAlign w:val="superscript"/>
                <w:lang w:val="ro-MD"/>
              </w:rPr>
              <w:t>1</w:t>
            </w:r>
            <w:r w:rsidRPr="00B5246F">
              <w:rPr>
                <w:rFonts w:ascii="Times New Roman" w:hAnsi="Times New Roman" w:cs="Times New Roman"/>
                <w:sz w:val="20"/>
                <w:szCs w:val="20"/>
                <w:lang w:val="ro-MD"/>
              </w:rPr>
              <w:t>. Autoritatea contractantă, în cazul achizițiilor de valoare mică a căror valoare depășește pragurile stabilite la pct. 7</w:t>
            </w:r>
            <w:r>
              <w:rPr>
                <w:rFonts w:ascii="Times New Roman" w:hAnsi="Times New Roman" w:cs="Times New Roman"/>
                <w:sz w:val="20"/>
                <w:szCs w:val="20"/>
                <w:vertAlign w:val="superscript"/>
                <w:lang w:val="ro-MD"/>
              </w:rPr>
              <w:t>1</w:t>
            </w:r>
            <w:r w:rsidRPr="00B5246F">
              <w:rPr>
                <w:rFonts w:ascii="Times New Roman" w:hAnsi="Times New Roman" w:cs="Times New Roman"/>
                <w:sz w:val="20"/>
                <w:szCs w:val="20"/>
                <w:lang w:val="ro-MD"/>
              </w:rPr>
              <w:t xml:space="preserve">, poate solicita garanția pentru ofertă și garanția de bună execuție a contractului, cu respectarea principiului proporționalității și doar dacă este justificată de valoarea, complexitatea și riscurile achiziției. În anunțul de participare aceasta va indica, după caz, pentru fiecare garanție, cerințele față de emitent, forma, cuantumul și alte condiții de bază ale garanției pentru ofertă, precum și cerințele față de operatorul economic care depune garanția pentru ofertă și/sau garanția de bună execuție a contractului. Garanția pentru ofertă se restituie operatorilor economici după finalizarea procedurii de atribuire. Garanția de bună execuție a contractului se restituie în termen de până la 15 zile de la data executării corespunzătoare a contractului de achiziție publică de bunuri sau servicii, iar în cazul contractelor de lucrări – în </w:t>
            </w:r>
            <w:r w:rsidRPr="00B5246F">
              <w:rPr>
                <w:rFonts w:ascii="Times New Roman" w:hAnsi="Times New Roman" w:cs="Times New Roman"/>
                <w:sz w:val="20"/>
                <w:szCs w:val="20"/>
                <w:lang w:val="ro-MD"/>
              </w:rPr>
              <w:lastRenderedPageBreak/>
              <w:t>conformitate cu legislația aplicabilă în domeniul construcțiilor.”.</w:t>
            </w:r>
          </w:p>
        </w:tc>
      </w:tr>
      <w:tr w:rsidR="007E7525" w:rsidRPr="00760BD0" w14:paraId="0B2A6550" w14:textId="77777777" w:rsidTr="00A919EA">
        <w:trPr>
          <w:trHeight w:val="416"/>
        </w:trPr>
        <w:tc>
          <w:tcPr>
            <w:tcW w:w="3397" w:type="dxa"/>
          </w:tcPr>
          <w:p w14:paraId="36744556" w14:textId="79F49FB5" w:rsidR="007E7525" w:rsidRDefault="00AA032E" w:rsidP="001F2700">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În contextul proiectului</w:t>
            </w:r>
          </w:p>
        </w:tc>
        <w:tc>
          <w:tcPr>
            <w:tcW w:w="2977" w:type="dxa"/>
          </w:tcPr>
          <w:p w14:paraId="2594B8A7" w14:textId="77777777" w:rsidR="007E7525" w:rsidRPr="00154388" w:rsidRDefault="007E7525" w:rsidP="001F2700">
            <w:pPr>
              <w:tabs>
                <w:tab w:val="left" w:pos="8505"/>
              </w:tabs>
              <w:jc w:val="center"/>
              <w:rPr>
                <w:rFonts w:ascii="Times New Roman" w:hAnsi="Times New Roman" w:cs="Times New Roman"/>
                <w:b/>
                <w:color w:val="000000" w:themeColor="text1"/>
                <w:sz w:val="20"/>
                <w:szCs w:val="20"/>
                <w:lang w:val="ro-RO"/>
              </w:rPr>
            </w:pPr>
          </w:p>
        </w:tc>
        <w:tc>
          <w:tcPr>
            <w:tcW w:w="533" w:type="dxa"/>
          </w:tcPr>
          <w:p w14:paraId="557CB249" w14:textId="190080ED" w:rsidR="007E7525" w:rsidRDefault="007E7525" w:rsidP="001F270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6</w:t>
            </w:r>
          </w:p>
        </w:tc>
        <w:tc>
          <w:tcPr>
            <w:tcW w:w="3402" w:type="dxa"/>
          </w:tcPr>
          <w:p w14:paraId="50FCC03B" w14:textId="4162990C" w:rsidR="005011C8" w:rsidRPr="009817A2" w:rsidRDefault="005011C8" w:rsidP="005011C8">
            <w:pPr>
              <w:jc w:val="both"/>
              <w:rPr>
                <w:rFonts w:ascii="Times New Roman" w:hAnsi="Times New Roman" w:cs="Times New Roman"/>
                <w:sz w:val="20"/>
                <w:szCs w:val="20"/>
                <w:lang w:val="it-IT"/>
              </w:rPr>
            </w:pPr>
            <w:r w:rsidRPr="009817A2">
              <w:rPr>
                <w:rFonts w:ascii="Times New Roman" w:hAnsi="Times New Roman" w:cs="Times New Roman"/>
                <w:sz w:val="20"/>
                <w:szCs w:val="20"/>
                <w:lang w:val="it-IT"/>
              </w:rPr>
              <w:t>Se completează cu pct. 71</w:t>
            </w:r>
            <w:r w:rsidR="00AA032E" w:rsidRPr="009817A2">
              <w:rPr>
                <w:rFonts w:ascii="Times New Roman" w:hAnsi="Times New Roman" w:cs="Times New Roman"/>
                <w:sz w:val="20"/>
                <w:szCs w:val="20"/>
                <w:vertAlign w:val="superscript"/>
                <w:lang w:val="it-IT"/>
              </w:rPr>
              <w:t>1</w:t>
            </w:r>
            <w:r w:rsidRPr="009817A2">
              <w:rPr>
                <w:rFonts w:ascii="Times New Roman" w:hAnsi="Times New Roman" w:cs="Times New Roman"/>
                <w:sz w:val="20"/>
                <w:szCs w:val="20"/>
                <w:lang w:val="it-IT"/>
              </w:rPr>
              <w:t xml:space="preserve"> următorul cuprins: </w:t>
            </w:r>
          </w:p>
          <w:p w14:paraId="2061F28E" w14:textId="77777777" w:rsidR="007E7525" w:rsidRPr="009817A2" w:rsidRDefault="005011C8" w:rsidP="005011C8">
            <w:pPr>
              <w:jc w:val="both"/>
              <w:rPr>
                <w:rFonts w:ascii="Times New Roman" w:hAnsi="Times New Roman" w:cs="Times New Roman"/>
                <w:sz w:val="20"/>
                <w:szCs w:val="20"/>
                <w:lang w:val="it-IT"/>
              </w:rPr>
            </w:pPr>
            <w:r w:rsidRPr="009817A2">
              <w:rPr>
                <w:rFonts w:ascii="Times New Roman" w:hAnsi="Times New Roman" w:cs="Times New Roman"/>
                <w:sz w:val="20"/>
                <w:szCs w:val="20"/>
                <w:lang w:val="it-IT"/>
              </w:rPr>
              <w:t>„71¹. Autoritățile centrale de achiziții pot desfășura achiziții publice de valoare mică în numele și pentru autoritățile contractante beneficiare, inclusiv prin agregarea necesităților acestora, cu respectarea prezentului Regulament.”</w:t>
            </w:r>
          </w:p>
          <w:p w14:paraId="2BD08FA2" w14:textId="37138AB8" w:rsidR="005011C8" w:rsidRPr="009817A2" w:rsidRDefault="005011C8" w:rsidP="005011C8">
            <w:pPr>
              <w:jc w:val="both"/>
              <w:rPr>
                <w:rFonts w:ascii="Times New Roman" w:hAnsi="Times New Roman" w:cs="Times New Roman"/>
                <w:sz w:val="20"/>
                <w:szCs w:val="20"/>
                <w:lang w:val="it-IT"/>
              </w:rPr>
            </w:pPr>
            <w:r w:rsidRPr="009817A2">
              <w:rPr>
                <w:rFonts w:ascii="Times New Roman" w:hAnsi="Times New Roman" w:cs="Times New Roman"/>
                <w:sz w:val="20"/>
                <w:szCs w:val="20"/>
                <w:lang w:val="it-IT"/>
              </w:rPr>
              <w:t>Propunerea are ca scop clarificarea rolului autorităților centrale de achiziții în cadrul realizării achizițiilor publice de valoare mică, în vederea asigurării unei aplicări unitare a cadrului normativ. Totodată, completarea urmărește eliminarea eventualelor interpretări divergente privind competența acestor autorități de a desfășura achiziții de valoare mică în numele și pentru autoritățile contractante beneficiare, inclusiv în contextul centralizării și agregării necesităților</w:t>
            </w:r>
          </w:p>
        </w:tc>
        <w:tc>
          <w:tcPr>
            <w:tcW w:w="3436" w:type="dxa"/>
          </w:tcPr>
          <w:p w14:paraId="3AF3A60A" w14:textId="77777777" w:rsidR="007E7525" w:rsidRDefault="009817A2" w:rsidP="001F2700">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26A9D9F3" w14:textId="71303E2B" w:rsidR="009817A2" w:rsidRPr="009817A2" w:rsidRDefault="009817A2" w:rsidP="009817A2">
            <w:pPr>
              <w:tabs>
                <w:tab w:val="left" w:pos="8505"/>
              </w:tabs>
              <w:jc w:val="both"/>
              <w:rPr>
                <w:rFonts w:ascii="Times New Roman" w:hAnsi="Times New Roman" w:cs="Times New Roman"/>
                <w:sz w:val="20"/>
                <w:szCs w:val="20"/>
                <w:lang w:val="it-IT"/>
              </w:rPr>
            </w:pPr>
            <w:r w:rsidRPr="009817A2">
              <w:rPr>
                <w:rFonts w:ascii="Times New Roman" w:hAnsi="Times New Roman" w:cs="Times New Roman"/>
                <w:sz w:val="20"/>
                <w:szCs w:val="20"/>
                <w:lang w:val="ro-RO"/>
              </w:rPr>
              <w:t xml:space="preserve">A fost introdus </w:t>
            </w:r>
            <w:r w:rsidRPr="009817A2">
              <w:rPr>
                <w:rFonts w:ascii="Times New Roman" w:hAnsi="Times New Roman" w:cs="Times New Roman"/>
                <w:sz w:val="20"/>
                <w:szCs w:val="20"/>
                <w:lang w:val="it-IT"/>
              </w:rPr>
              <w:t>pct. 71</w:t>
            </w:r>
            <w:r w:rsidRPr="009817A2">
              <w:rPr>
                <w:rFonts w:ascii="Times New Roman" w:hAnsi="Times New Roman" w:cs="Times New Roman"/>
                <w:sz w:val="20"/>
                <w:szCs w:val="20"/>
                <w:vertAlign w:val="superscript"/>
                <w:lang w:val="it-IT"/>
              </w:rPr>
              <w:t>1</w:t>
            </w:r>
            <w:r w:rsidRPr="009817A2">
              <w:rPr>
                <w:rFonts w:ascii="Times New Roman" w:hAnsi="Times New Roman" w:cs="Times New Roman"/>
                <w:sz w:val="20"/>
                <w:szCs w:val="20"/>
                <w:lang w:val="it-IT"/>
              </w:rPr>
              <w:t xml:space="preserve"> următorul cuprins: </w:t>
            </w:r>
          </w:p>
          <w:p w14:paraId="5D1B0DE0" w14:textId="77777777" w:rsidR="009817A2" w:rsidRPr="009817A2" w:rsidRDefault="009817A2" w:rsidP="009817A2">
            <w:pPr>
              <w:tabs>
                <w:tab w:val="left" w:pos="8505"/>
              </w:tabs>
              <w:jc w:val="both"/>
              <w:rPr>
                <w:rFonts w:ascii="Times New Roman" w:hAnsi="Times New Roman" w:cs="Times New Roman"/>
                <w:sz w:val="20"/>
                <w:szCs w:val="20"/>
                <w:lang w:val="it-IT"/>
              </w:rPr>
            </w:pPr>
            <w:r w:rsidRPr="009817A2">
              <w:rPr>
                <w:rFonts w:ascii="Times New Roman" w:hAnsi="Times New Roman" w:cs="Times New Roman"/>
                <w:sz w:val="20"/>
                <w:szCs w:val="20"/>
                <w:lang w:val="it-IT"/>
              </w:rPr>
              <w:t>„71¹. Autoritățile centrale de achiziții pot desfășura achiziții publice de valoare mică în numele și pentru autoritățile contractante beneficiare, inclusiv prin agregarea necesităților acestora, cu respectarea prezentului Regulament.”</w:t>
            </w:r>
          </w:p>
          <w:p w14:paraId="7B231004" w14:textId="708F8629" w:rsidR="009817A2" w:rsidRPr="009817A2" w:rsidRDefault="009817A2" w:rsidP="001F2700">
            <w:pPr>
              <w:tabs>
                <w:tab w:val="left" w:pos="8505"/>
              </w:tabs>
              <w:jc w:val="both"/>
              <w:rPr>
                <w:rFonts w:ascii="Times New Roman" w:hAnsi="Times New Roman" w:cs="Times New Roman"/>
                <w:b/>
                <w:sz w:val="20"/>
                <w:szCs w:val="20"/>
                <w:lang w:val="it-IT"/>
              </w:rPr>
            </w:pPr>
          </w:p>
        </w:tc>
      </w:tr>
      <w:tr w:rsidR="005011C8" w:rsidRPr="009957C6" w14:paraId="15F30C7E" w14:textId="77777777" w:rsidTr="00A919EA">
        <w:trPr>
          <w:trHeight w:val="416"/>
        </w:trPr>
        <w:tc>
          <w:tcPr>
            <w:tcW w:w="3397" w:type="dxa"/>
          </w:tcPr>
          <w:p w14:paraId="59943E3C" w14:textId="77777777" w:rsidR="005011C8" w:rsidRDefault="005011C8" w:rsidP="001F2700">
            <w:pPr>
              <w:tabs>
                <w:tab w:val="left" w:pos="8505"/>
              </w:tabs>
              <w:jc w:val="both"/>
              <w:rPr>
                <w:rFonts w:ascii="Times New Roman" w:hAnsi="Times New Roman" w:cs="Times New Roman"/>
                <w:b/>
                <w:sz w:val="20"/>
                <w:szCs w:val="20"/>
                <w:lang w:val="ro-RO"/>
              </w:rPr>
            </w:pPr>
          </w:p>
        </w:tc>
        <w:tc>
          <w:tcPr>
            <w:tcW w:w="2977" w:type="dxa"/>
          </w:tcPr>
          <w:p w14:paraId="3E2162D7" w14:textId="352DA587" w:rsidR="005011C8" w:rsidRPr="00863A23" w:rsidRDefault="005011C8" w:rsidP="005011C8">
            <w:pPr>
              <w:tabs>
                <w:tab w:val="left" w:pos="8505"/>
              </w:tabs>
              <w:jc w:val="center"/>
              <w:rPr>
                <w:rFonts w:ascii="Times New Roman" w:hAnsi="Times New Roman" w:cs="Times New Roman"/>
                <w:b/>
                <w:color w:val="000000" w:themeColor="text1"/>
                <w:sz w:val="20"/>
                <w:szCs w:val="20"/>
                <w:lang w:val="it-IT"/>
              </w:rPr>
            </w:pPr>
            <w:r w:rsidRPr="005011C8">
              <w:rPr>
                <w:rFonts w:ascii="Times New Roman" w:hAnsi="Times New Roman" w:cs="Times New Roman"/>
                <w:b/>
                <w:color w:val="000000" w:themeColor="text1"/>
                <w:sz w:val="20"/>
                <w:szCs w:val="20"/>
                <w:lang w:val="ro-RO"/>
              </w:rPr>
              <w:t>Agenția Națională pentru Siguranța Alimentelor</w:t>
            </w:r>
            <w:r>
              <w:rPr>
                <w:rFonts w:ascii="Times New Roman" w:hAnsi="Times New Roman" w:cs="Times New Roman"/>
                <w:b/>
                <w:color w:val="000000" w:themeColor="text1"/>
                <w:sz w:val="20"/>
                <w:szCs w:val="20"/>
                <w:lang w:val="ro-RO"/>
              </w:rPr>
              <w:t xml:space="preserve"> (</w:t>
            </w:r>
            <w:r w:rsidRPr="005011C8">
              <w:rPr>
                <w:rFonts w:ascii="Times New Roman" w:hAnsi="Times New Roman" w:cs="Times New Roman"/>
                <w:b/>
                <w:color w:val="000000" w:themeColor="text1"/>
                <w:sz w:val="20"/>
                <w:szCs w:val="20"/>
                <w:lang w:val="ro-RO"/>
              </w:rPr>
              <w:t xml:space="preserve">scrisoarea nr. </w:t>
            </w:r>
            <w:r w:rsidRPr="00863A23">
              <w:rPr>
                <w:rFonts w:ascii="Times New Roman" w:hAnsi="Times New Roman" w:cs="Times New Roman"/>
                <w:color w:val="000000"/>
                <w:sz w:val="24"/>
                <w:szCs w:val="24"/>
                <w:lang w:val="it-IT"/>
              </w:rPr>
              <w:t xml:space="preserve"> </w:t>
            </w:r>
          </w:p>
          <w:p w14:paraId="27245AF1" w14:textId="1DBA7999" w:rsidR="005011C8" w:rsidRPr="00154388" w:rsidRDefault="005011C8" w:rsidP="005011C8">
            <w:pPr>
              <w:tabs>
                <w:tab w:val="left" w:pos="8505"/>
              </w:tabs>
              <w:jc w:val="center"/>
              <w:rPr>
                <w:rFonts w:ascii="Times New Roman" w:hAnsi="Times New Roman" w:cs="Times New Roman"/>
                <w:b/>
                <w:color w:val="000000" w:themeColor="text1"/>
                <w:sz w:val="20"/>
                <w:szCs w:val="20"/>
                <w:lang w:val="ro-RO"/>
              </w:rPr>
            </w:pPr>
            <w:r w:rsidRPr="00863A23">
              <w:rPr>
                <w:rFonts w:ascii="Times New Roman" w:hAnsi="Times New Roman" w:cs="Times New Roman"/>
                <w:b/>
                <w:color w:val="000000" w:themeColor="text1"/>
                <w:sz w:val="20"/>
                <w:szCs w:val="20"/>
                <w:lang w:val="it-IT"/>
              </w:rPr>
              <w:t xml:space="preserve"> </w:t>
            </w:r>
            <w:r w:rsidRPr="005011C8">
              <w:rPr>
                <w:rFonts w:ascii="Times New Roman" w:hAnsi="Times New Roman" w:cs="Times New Roman"/>
                <w:b/>
                <w:bCs/>
                <w:color w:val="000000" w:themeColor="text1"/>
                <w:sz w:val="20"/>
                <w:szCs w:val="20"/>
              </w:rPr>
              <w:t xml:space="preserve">15 – 1996 </w:t>
            </w:r>
            <w:r w:rsidRPr="005011C8">
              <w:rPr>
                <w:rFonts w:ascii="Times New Roman" w:hAnsi="Times New Roman" w:cs="Times New Roman"/>
                <w:b/>
                <w:color w:val="000000" w:themeColor="text1"/>
                <w:sz w:val="20"/>
                <w:szCs w:val="20"/>
              </w:rPr>
              <w:t>din 1</w:t>
            </w:r>
            <w:r>
              <w:rPr>
                <w:rFonts w:ascii="Times New Roman" w:hAnsi="Times New Roman" w:cs="Times New Roman"/>
                <w:b/>
                <w:color w:val="000000" w:themeColor="text1"/>
                <w:sz w:val="20"/>
                <w:szCs w:val="20"/>
              </w:rPr>
              <w:t>0</w:t>
            </w:r>
            <w:r w:rsidRPr="005011C8">
              <w:rPr>
                <w:rFonts w:ascii="Times New Roman" w:hAnsi="Times New Roman" w:cs="Times New Roman"/>
                <w:b/>
                <w:color w:val="000000" w:themeColor="text1"/>
                <w:sz w:val="20"/>
                <w:szCs w:val="20"/>
              </w:rPr>
              <w:t>.04.2026)</w:t>
            </w:r>
          </w:p>
        </w:tc>
        <w:tc>
          <w:tcPr>
            <w:tcW w:w="533" w:type="dxa"/>
          </w:tcPr>
          <w:p w14:paraId="38C18C8B" w14:textId="77777777" w:rsidR="005011C8" w:rsidRDefault="005011C8" w:rsidP="001F2700">
            <w:pPr>
              <w:tabs>
                <w:tab w:val="left" w:pos="8505"/>
              </w:tabs>
              <w:jc w:val="center"/>
              <w:rPr>
                <w:rFonts w:ascii="Times New Roman" w:hAnsi="Times New Roman" w:cs="Times New Roman"/>
                <w:b/>
                <w:sz w:val="20"/>
                <w:szCs w:val="20"/>
                <w:lang w:val="ro-RO"/>
              </w:rPr>
            </w:pPr>
          </w:p>
        </w:tc>
        <w:tc>
          <w:tcPr>
            <w:tcW w:w="3402" w:type="dxa"/>
          </w:tcPr>
          <w:p w14:paraId="743984CA" w14:textId="77777777" w:rsidR="005011C8" w:rsidRPr="005011C8" w:rsidRDefault="005011C8" w:rsidP="005011C8">
            <w:pPr>
              <w:jc w:val="both"/>
              <w:rPr>
                <w:rFonts w:ascii="Times New Roman" w:hAnsi="Times New Roman" w:cs="Times New Roman"/>
                <w:sz w:val="20"/>
                <w:szCs w:val="20"/>
              </w:rPr>
            </w:pPr>
          </w:p>
        </w:tc>
        <w:tc>
          <w:tcPr>
            <w:tcW w:w="3436" w:type="dxa"/>
          </w:tcPr>
          <w:p w14:paraId="5DA8207C" w14:textId="77777777" w:rsidR="005011C8" w:rsidRDefault="005011C8" w:rsidP="001F2700">
            <w:pPr>
              <w:tabs>
                <w:tab w:val="left" w:pos="8505"/>
              </w:tabs>
              <w:jc w:val="both"/>
              <w:rPr>
                <w:rFonts w:ascii="Times New Roman" w:hAnsi="Times New Roman" w:cs="Times New Roman"/>
                <w:b/>
                <w:sz w:val="20"/>
                <w:szCs w:val="20"/>
                <w:lang w:val="ro-RO"/>
              </w:rPr>
            </w:pPr>
          </w:p>
        </w:tc>
      </w:tr>
      <w:tr w:rsidR="005011C8" w:rsidRPr="009957C6" w14:paraId="5AC9A8E0" w14:textId="77777777" w:rsidTr="00A919EA">
        <w:trPr>
          <w:trHeight w:val="416"/>
        </w:trPr>
        <w:tc>
          <w:tcPr>
            <w:tcW w:w="3397" w:type="dxa"/>
          </w:tcPr>
          <w:p w14:paraId="7C7FBB42" w14:textId="77777777" w:rsidR="005011C8" w:rsidRDefault="005011C8" w:rsidP="005011C8">
            <w:pPr>
              <w:tabs>
                <w:tab w:val="left" w:pos="8505"/>
              </w:tabs>
              <w:jc w:val="both"/>
              <w:rPr>
                <w:rFonts w:ascii="Times New Roman" w:hAnsi="Times New Roman" w:cs="Times New Roman"/>
                <w:b/>
                <w:sz w:val="20"/>
                <w:szCs w:val="20"/>
                <w:lang w:val="ro-RO"/>
              </w:rPr>
            </w:pPr>
          </w:p>
        </w:tc>
        <w:tc>
          <w:tcPr>
            <w:tcW w:w="2977" w:type="dxa"/>
          </w:tcPr>
          <w:p w14:paraId="4B3FBE59" w14:textId="77777777" w:rsidR="005011C8" w:rsidRPr="00154388" w:rsidRDefault="005011C8" w:rsidP="005011C8">
            <w:pPr>
              <w:tabs>
                <w:tab w:val="left" w:pos="8505"/>
              </w:tabs>
              <w:jc w:val="center"/>
              <w:rPr>
                <w:rFonts w:ascii="Times New Roman" w:hAnsi="Times New Roman" w:cs="Times New Roman"/>
                <w:b/>
                <w:color w:val="000000" w:themeColor="text1"/>
                <w:sz w:val="20"/>
                <w:szCs w:val="20"/>
                <w:lang w:val="ro-RO"/>
              </w:rPr>
            </w:pPr>
          </w:p>
        </w:tc>
        <w:tc>
          <w:tcPr>
            <w:tcW w:w="533" w:type="dxa"/>
          </w:tcPr>
          <w:p w14:paraId="67764169" w14:textId="0771599B" w:rsidR="005011C8" w:rsidRDefault="005011C8" w:rsidP="005011C8">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3EB83442" w14:textId="22874FAD" w:rsidR="005011C8" w:rsidRPr="00863A23" w:rsidRDefault="005011C8" w:rsidP="005011C8">
            <w:pPr>
              <w:jc w:val="both"/>
              <w:rPr>
                <w:rFonts w:ascii="Times New Roman" w:hAnsi="Times New Roman" w:cs="Times New Roman"/>
                <w:sz w:val="20"/>
                <w:szCs w:val="20"/>
                <w:lang w:val="it-IT"/>
              </w:rPr>
            </w:pPr>
            <w:r>
              <w:rPr>
                <w:rFonts w:ascii="Times New Roman" w:hAnsi="Times New Roman" w:cs="Times New Roman"/>
                <w:sz w:val="20"/>
                <w:szCs w:val="20"/>
                <w:lang w:val="ro-RO"/>
              </w:rPr>
              <w:t>Lipsa de obiecții și propuneri</w:t>
            </w:r>
          </w:p>
        </w:tc>
        <w:tc>
          <w:tcPr>
            <w:tcW w:w="3436" w:type="dxa"/>
          </w:tcPr>
          <w:p w14:paraId="3BB99D05" w14:textId="3C085473" w:rsidR="005011C8" w:rsidRDefault="005011C8" w:rsidP="005011C8">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8D2E00" w:rsidRPr="00760BD0" w14:paraId="46294EC3" w14:textId="77777777" w:rsidTr="00A919EA">
        <w:trPr>
          <w:trHeight w:val="416"/>
        </w:trPr>
        <w:tc>
          <w:tcPr>
            <w:tcW w:w="3397" w:type="dxa"/>
          </w:tcPr>
          <w:p w14:paraId="342D537E" w14:textId="77777777" w:rsidR="008D2E00" w:rsidRDefault="008D2E00" w:rsidP="005011C8">
            <w:pPr>
              <w:tabs>
                <w:tab w:val="left" w:pos="8505"/>
              </w:tabs>
              <w:jc w:val="both"/>
              <w:rPr>
                <w:rFonts w:ascii="Times New Roman" w:hAnsi="Times New Roman" w:cs="Times New Roman"/>
                <w:b/>
                <w:sz w:val="20"/>
                <w:szCs w:val="20"/>
                <w:lang w:val="ro-RO"/>
              </w:rPr>
            </w:pPr>
          </w:p>
        </w:tc>
        <w:tc>
          <w:tcPr>
            <w:tcW w:w="2977" w:type="dxa"/>
          </w:tcPr>
          <w:p w14:paraId="49E8DAAB" w14:textId="7DF02862" w:rsidR="008D2E00" w:rsidRPr="00154388" w:rsidRDefault="008D2E00" w:rsidP="008D2E00">
            <w:pPr>
              <w:tabs>
                <w:tab w:val="left" w:pos="8505"/>
              </w:tabs>
              <w:jc w:val="center"/>
              <w:rPr>
                <w:rFonts w:ascii="Times New Roman" w:hAnsi="Times New Roman" w:cs="Times New Roman"/>
                <w:b/>
                <w:color w:val="000000" w:themeColor="text1"/>
                <w:sz w:val="20"/>
                <w:szCs w:val="20"/>
                <w:lang w:val="ro-RO"/>
              </w:rPr>
            </w:pPr>
            <w:r>
              <w:rPr>
                <w:rFonts w:ascii="Times New Roman" w:hAnsi="Times New Roman" w:cs="Times New Roman"/>
                <w:b/>
                <w:color w:val="000000" w:themeColor="text1"/>
                <w:sz w:val="20"/>
                <w:szCs w:val="20"/>
                <w:lang w:val="ro-RO"/>
              </w:rPr>
              <w:t xml:space="preserve">Ministerul Apărării </w:t>
            </w:r>
            <w:r w:rsidRPr="008D2E00">
              <w:rPr>
                <w:rFonts w:ascii="Times New Roman" w:hAnsi="Times New Roman" w:cs="Times New Roman"/>
                <w:b/>
                <w:color w:val="000000" w:themeColor="text1"/>
                <w:sz w:val="20"/>
                <w:szCs w:val="20"/>
                <w:lang w:val="ro-RO"/>
              </w:rPr>
              <w:t>(scrisoarea nr.</w:t>
            </w:r>
            <w:r>
              <w:rPr>
                <w:rFonts w:ascii="Times New Roman" w:hAnsi="Times New Roman" w:cs="Times New Roman"/>
                <w:b/>
                <w:color w:val="000000" w:themeColor="text1"/>
                <w:sz w:val="20"/>
                <w:szCs w:val="20"/>
                <w:lang w:val="ro-RO"/>
              </w:rPr>
              <w:t xml:space="preserve"> 11/629</w:t>
            </w:r>
            <w:r w:rsidRPr="008D2E00">
              <w:rPr>
                <w:rFonts w:ascii="Times New Roman" w:hAnsi="Times New Roman" w:cs="Times New Roman"/>
                <w:b/>
                <w:color w:val="000000" w:themeColor="text1"/>
                <w:sz w:val="20"/>
                <w:szCs w:val="20"/>
                <w:lang w:val="ro-RO"/>
              </w:rPr>
              <w:t xml:space="preserve"> din 1</w:t>
            </w:r>
            <w:r>
              <w:rPr>
                <w:rFonts w:ascii="Times New Roman" w:hAnsi="Times New Roman" w:cs="Times New Roman"/>
                <w:b/>
                <w:color w:val="000000" w:themeColor="text1"/>
                <w:sz w:val="20"/>
                <w:szCs w:val="20"/>
                <w:lang w:val="ro-RO"/>
              </w:rPr>
              <w:t>7</w:t>
            </w:r>
            <w:r w:rsidRPr="008D2E00">
              <w:rPr>
                <w:rFonts w:ascii="Times New Roman" w:hAnsi="Times New Roman" w:cs="Times New Roman"/>
                <w:b/>
                <w:color w:val="000000" w:themeColor="text1"/>
                <w:sz w:val="20"/>
                <w:szCs w:val="20"/>
                <w:lang w:val="ro-RO"/>
              </w:rPr>
              <w:t>.04.2026)</w:t>
            </w:r>
          </w:p>
        </w:tc>
        <w:tc>
          <w:tcPr>
            <w:tcW w:w="533" w:type="dxa"/>
          </w:tcPr>
          <w:p w14:paraId="0519C06B" w14:textId="77777777" w:rsidR="008D2E00" w:rsidRDefault="008D2E00" w:rsidP="005011C8">
            <w:pPr>
              <w:tabs>
                <w:tab w:val="left" w:pos="8505"/>
              </w:tabs>
              <w:jc w:val="center"/>
              <w:rPr>
                <w:rFonts w:ascii="Times New Roman" w:hAnsi="Times New Roman" w:cs="Times New Roman"/>
                <w:b/>
                <w:sz w:val="20"/>
                <w:szCs w:val="20"/>
                <w:lang w:val="ro-RO"/>
              </w:rPr>
            </w:pPr>
          </w:p>
        </w:tc>
        <w:tc>
          <w:tcPr>
            <w:tcW w:w="3402" w:type="dxa"/>
          </w:tcPr>
          <w:p w14:paraId="47F78ABC" w14:textId="77777777" w:rsidR="008D2E00" w:rsidRDefault="008D2E00" w:rsidP="005011C8">
            <w:pPr>
              <w:jc w:val="both"/>
              <w:rPr>
                <w:rFonts w:ascii="Times New Roman" w:hAnsi="Times New Roman" w:cs="Times New Roman"/>
                <w:sz w:val="20"/>
                <w:szCs w:val="20"/>
                <w:lang w:val="ro-RO"/>
              </w:rPr>
            </w:pPr>
          </w:p>
        </w:tc>
        <w:tc>
          <w:tcPr>
            <w:tcW w:w="3436" w:type="dxa"/>
          </w:tcPr>
          <w:p w14:paraId="7E921B2B" w14:textId="77777777" w:rsidR="008D2E00" w:rsidRDefault="008D2E00" w:rsidP="005011C8">
            <w:pPr>
              <w:tabs>
                <w:tab w:val="left" w:pos="8505"/>
              </w:tabs>
              <w:jc w:val="both"/>
              <w:rPr>
                <w:rFonts w:ascii="Times New Roman" w:hAnsi="Times New Roman" w:cs="Times New Roman"/>
                <w:b/>
                <w:sz w:val="20"/>
                <w:szCs w:val="20"/>
                <w:lang w:val="ro-RO"/>
              </w:rPr>
            </w:pPr>
          </w:p>
        </w:tc>
      </w:tr>
      <w:tr w:rsidR="008D2E00" w:rsidRPr="009957C6" w14:paraId="29F55FC2" w14:textId="77777777" w:rsidTr="00A919EA">
        <w:trPr>
          <w:trHeight w:val="416"/>
        </w:trPr>
        <w:tc>
          <w:tcPr>
            <w:tcW w:w="3397" w:type="dxa"/>
          </w:tcPr>
          <w:p w14:paraId="46123395" w14:textId="77777777" w:rsidR="008D2E00" w:rsidRDefault="008D2E00" w:rsidP="008D2E00">
            <w:pPr>
              <w:tabs>
                <w:tab w:val="left" w:pos="8505"/>
              </w:tabs>
              <w:jc w:val="both"/>
              <w:rPr>
                <w:rFonts w:ascii="Times New Roman" w:hAnsi="Times New Roman" w:cs="Times New Roman"/>
                <w:b/>
                <w:sz w:val="20"/>
                <w:szCs w:val="20"/>
                <w:lang w:val="ro-RO"/>
              </w:rPr>
            </w:pPr>
          </w:p>
        </w:tc>
        <w:tc>
          <w:tcPr>
            <w:tcW w:w="2977" w:type="dxa"/>
          </w:tcPr>
          <w:p w14:paraId="4351BD36" w14:textId="77777777" w:rsidR="008D2E00" w:rsidRPr="00154388" w:rsidRDefault="008D2E00" w:rsidP="008D2E00">
            <w:pPr>
              <w:tabs>
                <w:tab w:val="left" w:pos="8505"/>
              </w:tabs>
              <w:jc w:val="center"/>
              <w:rPr>
                <w:rFonts w:ascii="Times New Roman" w:hAnsi="Times New Roman" w:cs="Times New Roman"/>
                <w:b/>
                <w:color w:val="000000" w:themeColor="text1"/>
                <w:sz w:val="20"/>
                <w:szCs w:val="20"/>
                <w:lang w:val="ro-RO"/>
              </w:rPr>
            </w:pPr>
          </w:p>
        </w:tc>
        <w:tc>
          <w:tcPr>
            <w:tcW w:w="533" w:type="dxa"/>
          </w:tcPr>
          <w:p w14:paraId="31D4918A" w14:textId="31DDEDC9" w:rsidR="008D2E00" w:rsidRDefault="008D2E00" w:rsidP="008D2E0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42E03B91" w14:textId="29F81289" w:rsidR="008D2E00" w:rsidRDefault="008D2E00" w:rsidP="008D2E00">
            <w:pPr>
              <w:jc w:val="both"/>
              <w:rPr>
                <w:rFonts w:ascii="Times New Roman" w:hAnsi="Times New Roman" w:cs="Times New Roman"/>
                <w:sz w:val="20"/>
                <w:szCs w:val="20"/>
                <w:lang w:val="ro-RO"/>
              </w:rPr>
            </w:pPr>
            <w:r>
              <w:rPr>
                <w:rFonts w:ascii="Times New Roman" w:hAnsi="Times New Roman" w:cs="Times New Roman"/>
                <w:sz w:val="20"/>
                <w:szCs w:val="20"/>
                <w:lang w:val="ro-RO"/>
              </w:rPr>
              <w:t>Lipsa de obiecții și propuneri</w:t>
            </w:r>
          </w:p>
        </w:tc>
        <w:tc>
          <w:tcPr>
            <w:tcW w:w="3436" w:type="dxa"/>
          </w:tcPr>
          <w:p w14:paraId="2F59FAC0" w14:textId="2CEBD56E" w:rsidR="008D2E00" w:rsidRDefault="008D2E00" w:rsidP="008D2E00">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8D2E00" w:rsidRPr="009957C6" w14:paraId="5ADF3F81" w14:textId="77777777" w:rsidTr="00A919EA">
        <w:trPr>
          <w:trHeight w:val="416"/>
        </w:trPr>
        <w:tc>
          <w:tcPr>
            <w:tcW w:w="3397" w:type="dxa"/>
          </w:tcPr>
          <w:p w14:paraId="279DFE68" w14:textId="77777777" w:rsidR="008D2E00" w:rsidRDefault="008D2E00" w:rsidP="008D2E00">
            <w:pPr>
              <w:tabs>
                <w:tab w:val="left" w:pos="8505"/>
              </w:tabs>
              <w:jc w:val="both"/>
              <w:rPr>
                <w:rFonts w:ascii="Times New Roman" w:hAnsi="Times New Roman" w:cs="Times New Roman"/>
                <w:b/>
                <w:sz w:val="20"/>
                <w:szCs w:val="20"/>
                <w:lang w:val="ro-RO"/>
              </w:rPr>
            </w:pPr>
          </w:p>
        </w:tc>
        <w:tc>
          <w:tcPr>
            <w:tcW w:w="2977" w:type="dxa"/>
          </w:tcPr>
          <w:p w14:paraId="448C7899" w14:textId="77777777" w:rsidR="008D2E00" w:rsidRPr="008D2E00" w:rsidRDefault="008D2E00" w:rsidP="008D2E00">
            <w:pPr>
              <w:tabs>
                <w:tab w:val="left" w:pos="8505"/>
              </w:tabs>
              <w:jc w:val="center"/>
              <w:rPr>
                <w:rFonts w:ascii="Times New Roman" w:hAnsi="Times New Roman" w:cs="Times New Roman"/>
                <w:b/>
                <w:color w:val="000000" w:themeColor="text1"/>
                <w:sz w:val="20"/>
                <w:szCs w:val="20"/>
                <w:lang w:val="ro-RO"/>
              </w:rPr>
            </w:pPr>
            <w:r w:rsidRPr="008D2E00">
              <w:rPr>
                <w:rFonts w:ascii="Times New Roman" w:hAnsi="Times New Roman" w:cs="Times New Roman"/>
                <w:b/>
                <w:color w:val="000000" w:themeColor="text1"/>
                <w:sz w:val="20"/>
                <w:szCs w:val="20"/>
                <w:lang w:val="ro-RO"/>
              </w:rPr>
              <w:t>Ministerul Muncii și Protecției Sociale</w:t>
            </w:r>
            <w:r>
              <w:rPr>
                <w:rFonts w:ascii="Times New Roman" w:hAnsi="Times New Roman" w:cs="Times New Roman"/>
                <w:b/>
                <w:color w:val="000000" w:themeColor="text1"/>
                <w:sz w:val="20"/>
                <w:szCs w:val="20"/>
                <w:lang w:val="ro-RO"/>
              </w:rPr>
              <w:t xml:space="preserve"> </w:t>
            </w:r>
            <w:r w:rsidRPr="008D2E00">
              <w:rPr>
                <w:rFonts w:ascii="Times New Roman" w:hAnsi="Times New Roman" w:cs="Times New Roman"/>
                <w:b/>
                <w:color w:val="000000" w:themeColor="text1"/>
                <w:sz w:val="20"/>
                <w:szCs w:val="20"/>
                <w:lang w:val="ro-RO"/>
              </w:rPr>
              <w:t xml:space="preserve">(scrisoarea nr.  </w:t>
            </w:r>
          </w:p>
          <w:p w14:paraId="7335934D" w14:textId="1B404298" w:rsidR="008D2E00" w:rsidRPr="00154388" w:rsidRDefault="008D2E00" w:rsidP="008D2E00">
            <w:pPr>
              <w:tabs>
                <w:tab w:val="left" w:pos="8505"/>
              </w:tabs>
              <w:jc w:val="center"/>
              <w:rPr>
                <w:rFonts w:ascii="Times New Roman" w:hAnsi="Times New Roman" w:cs="Times New Roman"/>
                <w:b/>
                <w:color w:val="000000" w:themeColor="text1"/>
                <w:sz w:val="20"/>
                <w:szCs w:val="20"/>
                <w:lang w:val="ro-RO"/>
              </w:rPr>
            </w:pPr>
            <w:r w:rsidRPr="008D2E00">
              <w:rPr>
                <w:rFonts w:ascii="Times New Roman" w:hAnsi="Times New Roman" w:cs="Times New Roman"/>
                <w:b/>
                <w:color w:val="000000" w:themeColor="text1"/>
                <w:sz w:val="20"/>
                <w:szCs w:val="20"/>
                <w:lang w:val="ro-RO"/>
              </w:rPr>
              <w:t xml:space="preserve"> 21/2130</w:t>
            </w:r>
            <w:r>
              <w:rPr>
                <w:rFonts w:ascii="Times New Roman" w:hAnsi="Times New Roman" w:cs="Times New Roman"/>
                <w:b/>
                <w:color w:val="000000" w:themeColor="text1"/>
                <w:sz w:val="20"/>
                <w:szCs w:val="20"/>
                <w:lang w:val="ro-RO"/>
              </w:rPr>
              <w:t xml:space="preserve"> </w:t>
            </w:r>
            <w:r w:rsidRPr="008D2E00">
              <w:rPr>
                <w:rFonts w:ascii="Times New Roman" w:hAnsi="Times New Roman" w:cs="Times New Roman"/>
                <w:b/>
                <w:color w:val="000000" w:themeColor="text1"/>
                <w:sz w:val="20"/>
                <w:szCs w:val="20"/>
                <w:lang w:val="ro-RO"/>
              </w:rPr>
              <w:t xml:space="preserve">din </w:t>
            </w:r>
            <w:r>
              <w:rPr>
                <w:rFonts w:ascii="Times New Roman" w:hAnsi="Times New Roman" w:cs="Times New Roman"/>
                <w:b/>
                <w:color w:val="000000" w:themeColor="text1"/>
                <w:sz w:val="20"/>
                <w:szCs w:val="20"/>
                <w:lang w:val="ro-RO"/>
              </w:rPr>
              <w:t>2</w:t>
            </w:r>
            <w:r w:rsidRPr="008D2E00">
              <w:rPr>
                <w:rFonts w:ascii="Times New Roman" w:hAnsi="Times New Roman" w:cs="Times New Roman"/>
                <w:b/>
                <w:color w:val="000000" w:themeColor="text1"/>
                <w:sz w:val="20"/>
                <w:szCs w:val="20"/>
                <w:lang w:val="ro-RO"/>
              </w:rPr>
              <w:t>1.04.2026)</w:t>
            </w:r>
          </w:p>
        </w:tc>
        <w:tc>
          <w:tcPr>
            <w:tcW w:w="533" w:type="dxa"/>
          </w:tcPr>
          <w:p w14:paraId="6960E1AA" w14:textId="77777777" w:rsidR="008D2E00" w:rsidRDefault="008D2E00" w:rsidP="008D2E00">
            <w:pPr>
              <w:tabs>
                <w:tab w:val="left" w:pos="8505"/>
              </w:tabs>
              <w:jc w:val="center"/>
              <w:rPr>
                <w:rFonts w:ascii="Times New Roman" w:hAnsi="Times New Roman" w:cs="Times New Roman"/>
                <w:b/>
                <w:sz w:val="20"/>
                <w:szCs w:val="20"/>
                <w:lang w:val="ro-RO"/>
              </w:rPr>
            </w:pPr>
          </w:p>
        </w:tc>
        <w:tc>
          <w:tcPr>
            <w:tcW w:w="3402" w:type="dxa"/>
          </w:tcPr>
          <w:p w14:paraId="44BE17CA" w14:textId="77777777" w:rsidR="008D2E00" w:rsidRDefault="008D2E00" w:rsidP="008D2E00">
            <w:pPr>
              <w:jc w:val="both"/>
              <w:rPr>
                <w:rFonts w:ascii="Times New Roman" w:hAnsi="Times New Roman" w:cs="Times New Roman"/>
                <w:sz w:val="20"/>
                <w:szCs w:val="20"/>
                <w:lang w:val="ro-RO"/>
              </w:rPr>
            </w:pPr>
          </w:p>
        </w:tc>
        <w:tc>
          <w:tcPr>
            <w:tcW w:w="3436" w:type="dxa"/>
          </w:tcPr>
          <w:p w14:paraId="4BA382D7" w14:textId="77777777" w:rsidR="008D2E00" w:rsidRDefault="008D2E00" w:rsidP="008D2E00">
            <w:pPr>
              <w:tabs>
                <w:tab w:val="left" w:pos="8505"/>
              </w:tabs>
              <w:jc w:val="both"/>
              <w:rPr>
                <w:rFonts w:ascii="Times New Roman" w:hAnsi="Times New Roman" w:cs="Times New Roman"/>
                <w:b/>
                <w:sz w:val="20"/>
                <w:szCs w:val="20"/>
                <w:lang w:val="ro-RO"/>
              </w:rPr>
            </w:pPr>
          </w:p>
        </w:tc>
      </w:tr>
      <w:tr w:rsidR="008D2E00" w:rsidRPr="009957C6" w14:paraId="5B3E2961" w14:textId="77777777" w:rsidTr="00A919EA">
        <w:trPr>
          <w:trHeight w:val="416"/>
        </w:trPr>
        <w:tc>
          <w:tcPr>
            <w:tcW w:w="3397" w:type="dxa"/>
          </w:tcPr>
          <w:p w14:paraId="51C9A9D1" w14:textId="77777777" w:rsidR="008D2E00" w:rsidRDefault="008D2E00" w:rsidP="008D2E00">
            <w:pPr>
              <w:tabs>
                <w:tab w:val="left" w:pos="8505"/>
              </w:tabs>
              <w:jc w:val="both"/>
              <w:rPr>
                <w:rFonts w:ascii="Times New Roman" w:hAnsi="Times New Roman" w:cs="Times New Roman"/>
                <w:b/>
                <w:sz w:val="20"/>
                <w:szCs w:val="20"/>
                <w:lang w:val="ro-RO"/>
              </w:rPr>
            </w:pPr>
          </w:p>
        </w:tc>
        <w:tc>
          <w:tcPr>
            <w:tcW w:w="2977" w:type="dxa"/>
          </w:tcPr>
          <w:p w14:paraId="4084A27C" w14:textId="77777777" w:rsidR="008D2E00" w:rsidRPr="00154388" w:rsidRDefault="008D2E00" w:rsidP="008D2E00">
            <w:pPr>
              <w:tabs>
                <w:tab w:val="left" w:pos="8505"/>
              </w:tabs>
              <w:jc w:val="center"/>
              <w:rPr>
                <w:rFonts w:ascii="Times New Roman" w:hAnsi="Times New Roman" w:cs="Times New Roman"/>
                <w:b/>
                <w:color w:val="000000" w:themeColor="text1"/>
                <w:sz w:val="20"/>
                <w:szCs w:val="20"/>
                <w:lang w:val="ro-RO"/>
              </w:rPr>
            </w:pPr>
          </w:p>
        </w:tc>
        <w:tc>
          <w:tcPr>
            <w:tcW w:w="533" w:type="dxa"/>
          </w:tcPr>
          <w:p w14:paraId="3B5A5241" w14:textId="1BE45884" w:rsidR="008D2E00" w:rsidRDefault="008D2E00" w:rsidP="008D2E0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13124DF9" w14:textId="2224803E" w:rsidR="008D2E00" w:rsidRDefault="008D2E00" w:rsidP="008D2E00">
            <w:pPr>
              <w:jc w:val="both"/>
              <w:rPr>
                <w:rFonts w:ascii="Times New Roman" w:hAnsi="Times New Roman" w:cs="Times New Roman"/>
                <w:sz w:val="20"/>
                <w:szCs w:val="20"/>
                <w:lang w:val="ro-RO"/>
              </w:rPr>
            </w:pPr>
            <w:r>
              <w:rPr>
                <w:rFonts w:ascii="Times New Roman" w:hAnsi="Times New Roman" w:cs="Times New Roman"/>
                <w:sz w:val="20"/>
                <w:szCs w:val="20"/>
                <w:lang w:val="ro-RO"/>
              </w:rPr>
              <w:t>Lipsa de obiecții și propuneri</w:t>
            </w:r>
          </w:p>
        </w:tc>
        <w:tc>
          <w:tcPr>
            <w:tcW w:w="3436" w:type="dxa"/>
          </w:tcPr>
          <w:p w14:paraId="40461270" w14:textId="6D589E84" w:rsidR="008D2E00" w:rsidRDefault="008D2E00" w:rsidP="008D2E00">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E5165A" w:rsidRPr="009957C6" w14:paraId="25BDAB80" w14:textId="77777777" w:rsidTr="00A919EA">
        <w:trPr>
          <w:trHeight w:val="416"/>
        </w:trPr>
        <w:tc>
          <w:tcPr>
            <w:tcW w:w="3397" w:type="dxa"/>
          </w:tcPr>
          <w:p w14:paraId="5CCFBFF9" w14:textId="77777777" w:rsidR="00E5165A" w:rsidRDefault="00E5165A" w:rsidP="008D2E00">
            <w:pPr>
              <w:tabs>
                <w:tab w:val="left" w:pos="8505"/>
              </w:tabs>
              <w:jc w:val="both"/>
              <w:rPr>
                <w:rFonts w:ascii="Times New Roman" w:hAnsi="Times New Roman" w:cs="Times New Roman"/>
                <w:b/>
                <w:sz w:val="20"/>
                <w:szCs w:val="20"/>
                <w:lang w:val="ro-RO"/>
              </w:rPr>
            </w:pPr>
          </w:p>
        </w:tc>
        <w:tc>
          <w:tcPr>
            <w:tcW w:w="2977" w:type="dxa"/>
          </w:tcPr>
          <w:p w14:paraId="79025A16" w14:textId="77777777" w:rsidR="00E5165A" w:rsidRPr="00E5165A" w:rsidRDefault="00E5165A" w:rsidP="00E5165A">
            <w:pPr>
              <w:tabs>
                <w:tab w:val="left" w:pos="8505"/>
              </w:tabs>
              <w:jc w:val="center"/>
              <w:rPr>
                <w:rFonts w:ascii="Times New Roman" w:hAnsi="Times New Roman" w:cs="Times New Roman"/>
                <w:b/>
                <w:color w:val="000000" w:themeColor="text1"/>
                <w:sz w:val="20"/>
                <w:szCs w:val="20"/>
                <w:lang w:val="ro-RO"/>
              </w:rPr>
            </w:pPr>
            <w:r w:rsidRPr="00863A23">
              <w:rPr>
                <w:rFonts w:ascii="Times New Roman" w:hAnsi="Times New Roman" w:cs="Times New Roman"/>
                <w:b/>
                <w:color w:val="000000" w:themeColor="text1"/>
                <w:sz w:val="20"/>
                <w:szCs w:val="20"/>
                <w:lang w:val="it-IT"/>
              </w:rPr>
              <w:t xml:space="preserve">Ministerul Educației și Cercetării </w:t>
            </w:r>
            <w:r w:rsidRPr="00E5165A">
              <w:rPr>
                <w:rFonts w:ascii="Times New Roman" w:hAnsi="Times New Roman" w:cs="Times New Roman"/>
                <w:b/>
                <w:color w:val="000000" w:themeColor="text1"/>
                <w:sz w:val="20"/>
                <w:szCs w:val="20"/>
                <w:lang w:val="ro-RO"/>
              </w:rPr>
              <w:t xml:space="preserve">(scrisoarea nr.  </w:t>
            </w:r>
          </w:p>
          <w:p w14:paraId="29048CA0" w14:textId="7FD2DA40" w:rsidR="00E5165A" w:rsidRPr="00154388" w:rsidRDefault="00E5165A" w:rsidP="00E5165A">
            <w:pPr>
              <w:tabs>
                <w:tab w:val="left" w:pos="8505"/>
              </w:tabs>
              <w:jc w:val="center"/>
              <w:rPr>
                <w:rFonts w:ascii="Times New Roman" w:hAnsi="Times New Roman" w:cs="Times New Roman"/>
                <w:b/>
                <w:color w:val="000000" w:themeColor="text1"/>
                <w:sz w:val="20"/>
                <w:szCs w:val="20"/>
                <w:lang w:val="ro-RO"/>
              </w:rPr>
            </w:pPr>
            <w:r w:rsidRPr="00E5165A">
              <w:rPr>
                <w:rFonts w:ascii="Times New Roman" w:hAnsi="Times New Roman" w:cs="Times New Roman"/>
                <w:b/>
                <w:color w:val="000000" w:themeColor="text1"/>
                <w:sz w:val="20"/>
                <w:szCs w:val="20"/>
                <w:lang w:val="ro-RO"/>
              </w:rPr>
              <w:t xml:space="preserve"> </w:t>
            </w:r>
            <w:r w:rsidRPr="00E5165A">
              <w:rPr>
                <w:rFonts w:ascii="Times New Roman" w:hAnsi="Times New Roman" w:cs="Times New Roman"/>
                <w:b/>
                <w:color w:val="000000" w:themeColor="text1"/>
                <w:sz w:val="20"/>
                <w:szCs w:val="20"/>
              </w:rPr>
              <w:t>01/78/26</w:t>
            </w:r>
            <w:r w:rsidRPr="00E5165A">
              <w:rPr>
                <w:rFonts w:ascii="Times New Roman" w:hAnsi="Times New Roman" w:cs="Times New Roman"/>
                <w:b/>
                <w:color w:val="000000" w:themeColor="text1"/>
                <w:sz w:val="20"/>
                <w:szCs w:val="20"/>
                <w:lang w:val="ro-RO"/>
              </w:rPr>
              <w:t xml:space="preserve"> din 1</w:t>
            </w:r>
            <w:r>
              <w:rPr>
                <w:rFonts w:ascii="Times New Roman" w:hAnsi="Times New Roman" w:cs="Times New Roman"/>
                <w:b/>
                <w:color w:val="000000" w:themeColor="text1"/>
                <w:sz w:val="20"/>
                <w:szCs w:val="20"/>
                <w:lang w:val="ro-RO"/>
              </w:rPr>
              <w:t>6</w:t>
            </w:r>
            <w:r w:rsidRPr="00E5165A">
              <w:rPr>
                <w:rFonts w:ascii="Times New Roman" w:hAnsi="Times New Roman" w:cs="Times New Roman"/>
                <w:b/>
                <w:color w:val="000000" w:themeColor="text1"/>
                <w:sz w:val="20"/>
                <w:szCs w:val="20"/>
                <w:lang w:val="ro-RO"/>
              </w:rPr>
              <w:t>.04.2026)</w:t>
            </w:r>
          </w:p>
        </w:tc>
        <w:tc>
          <w:tcPr>
            <w:tcW w:w="533" w:type="dxa"/>
          </w:tcPr>
          <w:p w14:paraId="2E938F72" w14:textId="77777777" w:rsidR="00E5165A" w:rsidRDefault="00E5165A" w:rsidP="008D2E00">
            <w:pPr>
              <w:tabs>
                <w:tab w:val="left" w:pos="8505"/>
              </w:tabs>
              <w:jc w:val="center"/>
              <w:rPr>
                <w:rFonts w:ascii="Times New Roman" w:hAnsi="Times New Roman" w:cs="Times New Roman"/>
                <w:b/>
                <w:sz w:val="20"/>
                <w:szCs w:val="20"/>
                <w:lang w:val="ro-RO"/>
              </w:rPr>
            </w:pPr>
          </w:p>
        </w:tc>
        <w:tc>
          <w:tcPr>
            <w:tcW w:w="3402" w:type="dxa"/>
          </w:tcPr>
          <w:p w14:paraId="6DF2E087" w14:textId="77777777" w:rsidR="00E5165A" w:rsidRDefault="00E5165A" w:rsidP="008D2E00">
            <w:pPr>
              <w:jc w:val="both"/>
              <w:rPr>
                <w:rFonts w:ascii="Times New Roman" w:hAnsi="Times New Roman" w:cs="Times New Roman"/>
                <w:sz w:val="20"/>
                <w:szCs w:val="20"/>
                <w:lang w:val="ro-RO"/>
              </w:rPr>
            </w:pPr>
          </w:p>
        </w:tc>
        <w:tc>
          <w:tcPr>
            <w:tcW w:w="3436" w:type="dxa"/>
          </w:tcPr>
          <w:p w14:paraId="199C8C43" w14:textId="77777777" w:rsidR="00E5165A" w:rsidRDefault="00E5165A" w:rsidP="008D2E00">
            <w:pPr>
              <w:tabs>
                <w:tab w:val="left" w:pos="8505"/>
              </w:tabs>
              <w:jc w:val="both"/>
              <w:rPr>
                <w:rFonts w:ascii="Times New Roman" w:hAnsi="Times New Roman" w:cs="Times New Roman"/>
                <w:b/>
                <w:sz w:val="20"/>
                <w:szCs w:val="20"/>
                <w:lang w:val="ro-RO"/>
              </w:rPr>
            </w:pPr>
          </w:p>
        </w:tc>
      </w:tr>
      <w:tr w:rsidR="00E5165A" w:rsidRPr="009957C6" w14:paraId="5760F550" w14:textId="77777777" w:rsidTr="00A919EA">
        <w:trPr>
          <w:trHeight w:val="416"/>
        </w:trPr>
        <w:tc>
          <w:tcPr>
            <w:tcW w:w="3397" w:type="dxa"/>
          </w:tcPr>
          <w:p w14:paraId="187B702F" w14:textId="77777777" w:rsidR="00E5165A" w:rsidRDefault="00E5165A" w:rsidP="00E5165A">
            <w:pPr>
              <w:tabs>
                <w:tab w:val="left" w:pos="8505"/>
              </w:tabs>
              <w:jc w:val="both"/>
              <w:rPr>
                <w:rFonts w:ascii="Times New Roman" w:hAnsi="Times New Roman" w:cs="Times New Roman"/>
                <w:b/>
                <w:sz w:val="20"/>
                <w:szCs w:val="20"/>
                <w:lang w:val="ro-RO"/>
              </w:rPr>
            </w:pPr>
          </w:p>
        </w:tc>
        <w:tc>
          <w:tcPr>
            <w:tcW w:w="2977" w:type="dxa"/>
          </w:tcPr>
          <w:p w14:paraId="528B6B67" w14:textId="77777777" w:rsidR="00E5165A" w:rsidRPr="00154388" w:rsidRDefault="00E5165A" w:rsidP="00E5165A">
            <w:pPr>
              <w:tabs>
                <w:tab w:val="left" w:pos="8505"/>
              </w:tabs>
              <w:jc w:val="center"/>
              <w:rPr>
                <w:rFonts w:ascii="Times New Roman" w:hAnsi="Times New Roman" w:cs="Times New Roman"/>
                <w:b/>
                <w:color w:val="000000" w:themeColor="text1"/>
                <w:sz w:val="20"/>
                <w:szCs w:val="20"/>
                <w:lang w:val="ro-RO"/>
              </w:rPr>
            </w:pPr>
          </w:p>
        </w:tc>
        <w:tc>
          <w:tcPr>
            <w:tcW w:w="533" w:type="dxa"/>
          </w:tcPr>
          <w:p w14:paraId="49A42E53" w14:textId="588E2A65" w:rsidR="00E5165A" w:rsidRDefault="00E5165A" w:rsidP="00E5165A">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3A92132C" w14:textId="60FD3E27" w:rsidR="00E5165A" w:rsidRDefault="00E5165A" w:rsidP="00E5165A">
            <w:pPr>
              <w:jc w:val="both"/>
              <w:rPr>
                <w:rFonts w:ascii="Times New Roman" w:hAnsi="Times New Roman" w:cs="Times New Roman"/>
                <w:sz w:val="20"/>
                <w:szCs w:val="20"/>
                <w:lang w:val="ro-RO"/>
              </w:rPr>
            </w:pPr>
            <w:r>
              <w:rPr>
                <w:rFonts w:ascii="Times New Roman" w:hAnsi="Times New Roman" w:cs="Times New Roman"/>
                <w:sz w:val="20"/>
                <w:szCs w:val="20"/>
                <w:lang w:val="ro-RO"/>
              </w:rPr>
              <w:t>Lipsa de obiecții și propuneri</w:t>
            </w:r>
          </w:p>
        </w:tc>
        <w:tc>
          <w:tcPr>
            <w:tcW w:w="3436" w:type="dxa"/>
          </w:tcPr>
          <w:p w14:paraId="10F663D7" w14:textId="6E4659B9" w:rsidR="00E5165A" w:rsidRDefault="00E5165A" w:rsidP="00E5165A">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2574BA" w:rsidRPr="00760BD0" w14:paraId="4CFDAB8E" w14:textId="77777777" w:rsidTr="00A919EA">
        <w:trPr>
          <w:trHeight w:val="416"/>
        </w:trPr>
        <w:tc>
          <w:tcPr>
            <w:tcW w:w="3397" w:type="dxa"/>
          </w:tcPr>
          <w:p w14:paraId="68088A5F" w14:textId="77777777" w:rsidR="002574BA" w:rsidRDefault="002574BA" w:rsidP="00E5165A">
            <w:pPr>
              <w:tabs>
                <w:tab w:val="left" w:pos="8505"/>
              </w:tabs>
              <w:jc w:val="both"/>
              <w:rPr>
                <w:rFonts w:ascii="Times New Roman" w:hAnsi="Times New Roman" w:cs="Times New Roman"/>
                <w:b/>
                <w:sz w:val="20"/>
                <w:szCs w:val="20"/>
                <w:lang w:val="ro-RO"/>
              </w:rPr>
            </w:pPr>
          </w:p>
        </w:tc>
        <w:tc>
          <w:tcPr>
            <w:tcW w:w="2977" w:type="dxa"/>
          </w:tcPr>
          <w:p w14:paraId="2AB147DD" w14:textId="09F57F65" w:rsidR="002574BA" w:rsidRPr="00154388" w:rsidRDefault="002574BA" w:rsidP="002574BA">
            <w:pPr>
              <w:tabs>
                <w:tab w:val="left" w:pos="8505"/>
              </w:tabs>
              <w:jc w:val="center"/>
              <w:rPr>
                <w:rFonts w:ascii="Times New Roman" w:hAnsi="Times New Roman" w:cs="Times New Roman"/>
                <w:b/>
                <w:color w:val="000000" w:themeColor="text1"/>
                <w:sz w:val="20"/>
                <w:szCs w:val="20"/>
                <w:lang w:val="ro-RO"/>
              </w:rPr>
            </w:pPr>
            <w:r>
              <w:rPr>
                <w:rFonts w:ascii="Times New Roman" w:hAnsi="Times New Roman" w:cs="Times New Roman"/>
                <w:b/>
                <w:color w:val="000000" w:themeColor="text1"/>
                <w:sz w:val="20"/>
                <w:szCs w:val="20"/>
                <w:lang w:val="ro-RO"/>
              </w:rPr>
              <w:t xml:space="preserve">Ministerul Energiei (scrisoarea nr. </w:t>
            </w:r>
            <w:r w:rsidRPr="00863A23">
              <w:rPr>
                <w:rFonts w:ascii="Times New Roman" w:hAnsi="Times New Roman" w:cs="Times New Roman"/>
                <w:b/>
                <w:color w:val="000000" w:themeColor="text1"/>
                <w:sz w:val="20"/>
                <w:szCs w:val="20"/>
                <w:lang w:val="it-IT"/>
              </w:rPr>
              <w:t>10-1004</w:t>
            </w:r>
            <w:r w:rsidRPr="002574BA">
              <w:rPr>
                <w:rFonts w:ascii="Times New Roman" w:hAnsi="Times New Roman" w:cs="Times New Roman"/>
                <w:b/>
                <w:color w:val="000000" w:themeColor="text1"/>
                <w:sz w:val="20"/>
                <w:szCs w:val="20"/>
                <w:lang w:val="ro-RO"/>
              </w:rPr>
              <w:t xml:space="preserve"> din </w:t>
            </w:r>
            <w:r>
              <w:rPr>
                <w:rFonts w:ascii="Times New Roman" w:hAnsi="Times New Roman" w:cs="Times New Roman"/>
                <w:b/>
                <w:color w:val="000000" w:themeColor="text1"/>
                <w:sz w:val="20"/>
                <w:szCs w:val="20"/>
                <w:lang w:val="ro-RO"/>
              </w:rPr>
              <w:t xml:space="preserve">22 aprilie </w:t>
            </w:r>
            <w:r w:rsidRPr="002574BA">
              <w:rPr>
                <w:rFonts w:ascii="Times New Roman" w:hAnsi="Times New Roman" w:cs="Times New Roman"/>
                <w:b/>
                <w:color w:val="000000" w:themeColor="text1"/>
                <w:sz w:val="20"/>
                <w:szCs w:val="20"/>
                <w:lang w:val="ro-RO"/>
              </w:rPr>
              <w:t>2026)</w:t>
            </w:r>
          </w:p>
        </w:tc>
        <w:tc>
          <w:tcPr>
            <w:tcW w:w="533" w:type="dxa"/>
          </w:tcPr>
          <w:p w14:paraId="6E1EAB98" w14:textId="77777777" w:rsidR="002574BA" w:rsidRDefault="002574BA" w:rsidP="00E5165A">
            <w:pPr>
              <w:tabs>
                <w:tab w:val="left" w:pos="8505"/>
              </w:tabs>
              <w:jc w:val="center"/>
              <w:rPr>
                <w:rFonts w:ascii="Times New Roman" w:hAnsi="Times New Roman" w:cs="Times New Roman"/>
                <w:b/>
                <w:sz w:val="20"/>
                <w:szCs w:val="20"/>
                <w:lang w:val="ro-RO"/>
              </w:rPr>
            </w:pPr>
          </w:p>
        </w:tc>
        <w:tc>
          <w:tcPr>
            <w:tcW w:w="3402" w:type="dxa"/>
          </w:tcPr>
          <w:p w14:paraId="29A9DCE8" w14:textId="77777777" w:rsidR="002574BA" w:rsidRDefault="002574BA" w:rsidP="00E5165A">
            <w:pPr>
              <w:jc w:val="both"/>
              <w:rPr>
                <w:rFonts w:ascii="Times New Roman" w:hAnsi="Times New Roman" w:cs="Times New Roman"/>
                <w:sz w:val="20"/>
                <w:szCs w:val="20"/>
                <w:lang w:val="ro-RO"/>
              </w:rPr>
            </w:pPr>
          </w:p>
        </w:tc>
        <w:tc>
          <w:tcPr>
            <w:tcW w:w="3436" w:type="dxa"/>
          </w:tcPr>
          <w:p w14:paraId="748C7F54" w14:textId="77777777" w:rsidR="002574BA" w:rsidRDefault="002574BA" w:rsidP="00E5165A">
            <w:pPr>
              <w:tabs>
                <w:tab w:val="left" w:pos="8505"/>
              </w:tabs>
              <w:jc w:val="both"/>
              <w:rPr>
                <w:rFonts w:ascii="Times New Roman" w:hAnsi="Times New Roman" w:cs="Times New Roman"/>
                <w:b/>
                <w:sz w:val="20"/>
                <w:szCs w:val="20"/>
                <w:lang w:val="ro-RO"/>
              </w:rPr>
            </w:pPr>
          </w:p>
        </w:tc>
      </w:tr>
      <w:tr w:rsidR="002574BA" w:rsidRPr="00760BD0" w14:paraId="11A2D1BE" w14:textId="77777777" w:rsidTr="00A919EA">
        <w:trPr>
          <w:trHeight w:val="416"/>
        </w:trPr>
        <w:tc>
          <w:tcPr>
            <w:tcW w:w="3397" w:type="dxa"/>
          </w:tcPr>
          <w:p w14:paraId="6A04406C" w14:textId="545A2C6C" w:rsidR="00AF625C" w:rsidRPr="00AF625C" w:rsidRDefault="00AF625C" w:rsidP="00AF625C">
            <w:pPr>
              <w:tabs>
                <w:tab w:val="left" w:pos="8505"/>
              </w:tabs>
              <w:jc w:val="both"/>
              <w:rPr>
                <w:rFonts w:ascii="Times New Roman" w:hAnsi="Times New Roman" w:cs="Times New Roman"/>
                <w:sz w:val="20"/>
                <w:szCs w:val="20"/>
                <w:lang w:val="ro-MD"/>
              </w:rPr>
            </w:pPr>
            <w:r w:rsidRPr="00AF625C">
              <w:rPr>
                <w:rFonts w:ascii="Times New Roman" w:hAnsi="Times New Roman" w:cs="Times New Roman"/>
                <w:b/>
                <w:sz w:val="20"/>
                <w:szCs w:val="20"/>
                <w:lang w:val="ro-MD"/>
              </w:rPr>
              <w:t>1.5.</w:t>
            </w:r>
            <w:r>
              <w:rPr>
                <w:rFonts w:ascii="Times New Roman" w:hAnsi="Times New Roman" w:cs="Times New Roman"/>
                <w:b/>
                <w:sz w:val="20"/>
                <w:szCs w:val="20"/>
                <w:lang w:val="ro-MD"/>
              </w:rPr>
              <w:t xml:space="preserve"> </w:t>
            </w:r>
            <w:r w:rsidRPr="00AF625C">
              <w:rPr>
                <w:rFonts w:ascii="Times New Roman" w:hAnsi="Times New Roman" w:cs="Times New Roman"/>
                <w:sz w:val="20"/>
                <w:szCs w:val="20"/>
                <w:lang w:val="ro-MD"/>
              </w:rPr>
              <w:t>Se introduce punctul 7</w:t>
            </w:r>
            <w:r>
              <w:rPr>
                <w:rFonts w:ascii="Times New Roman" w:hAnsi="Times New Roman" w:cs="Times New Roman"/>
                <w:sz w:val="20"/>
                <w:szCs w:val="20"/>
                <w:vertAlign w:val="superscript"/>
                <w:lang w:val="ro-MD"/>
              </w:rPr>
              <w:t>1</w:t>
            </w:r>
            <w:r w:rsidRPr="00AF625C">
              <w:rPr>
                <w:rFonts w:ascii="Times New Roman" w:hAnsi="Times New Roman" w:cs="Times New Roman"/>
                <w:sz w:val="20"/>
                <w:szCs w:val="20"/>
                <w:lang w:val="ro-MD"/>
              </w:rPr>
              <w:t xml:space="preserve"> cu următorul cuprins:</w:t>
            </w:r>
          </w:p>
          <w:p w14:paraId="40285F41" w14:textId="23A8C34E" w:rsidR="00AF625C" w:rsidRPr="00AF625C" w:rsidRDefault="00AF625C" w:rsidP="00AF625C">
            <w:pPr>
              <w:tabs>
                <w:tab w:val="left" w:pos="8505"/>
              </w:tabs>
              <w:jc w:val="both"/>
              <w:rPr>
                <w:rFonts w:ascii="Times New Roman" w:hAnsi="Times New Roman" w:cs="Times New Roman"/>
                <w:sz w:val="20"/>
                <w:szCs w:val="20"/>
                <w:lang w:val="ro-MD"/>
              </w:rPr>
            </w:pPr>
            <w:r w:rsidRPr="00AF625C">
              <w:rPr>
                <w:rFonts w:ascii="Times New Roman" w:hAnsi="Times New Roman" w:cs="Times New Roman"/>
                <w:sz w:val="20"/>
                <w:szCs w:val="20"/>
                <w:lang w:val="ro-MD"/>
              </w:rPr>
              <w:t>„7</w:t>
            </w:r>
            <w:r>
              <w:rPr>
                <w:rFonts w:ascii="Times New Roman" w:hAnsi="Times New Roman" w:cs="Times New Roman"/>
                <w:sz w:val="20"/>
                <w:szCs w:val="20"/>
                <w:vertAlign w:val="superscript"/>
                <w:lang w:val="ro-MD"/>
              </w:rPr>
              <w:t>1</w:t>
            </w:r>
            <w:r w:rsidRPr="00AF625C">
              <w:rPr>
                <w:rFonts w:ascii="Times New Roman" w:hAnsi="Times New Roman" w:cs="Times New Roman"/>
                <w:sz w:val="20"/>
                <w:szCs w:val="20"/>
                <w:lang w:val="ro-MD"/>
              </w:rPr>
              <w:t>. Prezentul Regulament prevede particularități privind contractele de achiziții publice, a căror valoare, fără taxa pe valoarea adăugată, este egală cu sau mai mare decât următoarele praguri:</w:t>
            </w:r>
          </w:p>
          <w:p w14:paraId="67DB094B" w14:textId="77777777" w:rsidR="00AF625C" w:rsidRPr="00AF625C" w:rsidRDefault="00AF625C" w:rsidP="00AF625C">
            <w:pPr>
              <w:tabs>
                <w:tab w:val="left" w:pos="8505"/>
              </w:tabs>
              <w:jc w:val="both"/>
              <w:rPr>
                <w:rFonts w:ascii="Times New Roman" w:hAnsi="Times New Roman" w:cs="Times New Roman"/>
                <w:sz w:val="20"/>
                <w:szCs w:val="20"/>
                <w:lang w:val="ro-MD"/>
              </w:rPr>
            </w:pPr>
            <w:r w:rsidRPr="00AF625C">
              <w:rPr>
                <w:rFonts w:ascii="Times New Roman" w:hAnsi="Times New Roman" w:cs="Times New Roman"/>
                <w:sz w:val="20"/>
                <w:szCs w:val="20"/>
                <w:lang w:val="ro-MD"/>
              </w:rPr>
              <w:t>a) pentru contractele de achiziții publice de bunuri și servicii – 300 000 MDL;</w:t>
            </w:r>
          </w:p>
          <w:p w14:paraId="5900636D" w14:textId="77777777" w:rsidR="00AF625C" w:rsidRPr="00AF625C" w:rsidRDefault="00AF625C" w:rsidP="00AF625C">
            <w:pPr>
              <w:tabs>
                <w:tab w:val="left" w:pos="8505"/>
              </w:tabs>
              <w:jc w:val="both"/>
              <w:rPr>
                <w:rFonts w:ascii="Times New Roman" w:hAnsi="Times New Roman" w:cs="Times New Roman"/>
                <w:sz w:val="20"/>
                <w:szCs w:val="20"/>
                <w:lang w:val="ro-MD"/>
              </w:rPr>
            </w:pPr>
            <w:r w:rsidRPr="00AF625C">
              <w:rPr>
                <w:rFonts w:ascii="Times New Roman" w:hAnsi="Times New Roman" w:cs="Times New Roman"/>
                <w:sz w:val="20"/>
                <w:szCs w:val="20"/>
                <w:lang w:val="ro-MD"/>
              </w:rPr>
              <w:t>b) pentru contractele de achiziții publice de lucrări – 375 000 MDL;</w:t>
            </w:r>
          </w:p>
          <w:p w14:paraId="20BC0A64" w14:textId="7EF33CFD" w:rsidR="002574BA" w:rsidRPr="00AF625C" w:rsidRDefault="00AF625C" w:rsidP="00AF625C">
            <w:pPr>
              <w:tabs>
                <w:tab w:val="left" w:pos="8505"/>
              </w:tabs>
              <w:jc w:val="both"/>
              <w:rPr>
                <w:rFonts w:ascii="Times New Roman" w:hAnsi="Times New Roman" w:cs="Times New Roman"/>
                <w:b/>
                <w:sz w:val="20"/>
                <w:szCs w:val="20"/>
                <w:lang w:val="ro-MD"/>
              </w:rPr>
            </w:pPr>
            <w:r w:rsidRPr="00AF625C">
              <w:rPr>
                <w:rFonts w:ascii="Times New Roman" w:hAnsi="Times New Roman" w:cs="Times New Roman"/>
                <w:sz w:val="20"/>
                <w:szCs w:val="20"/>
                <w:lang w:val="ro-MD"/>
              </w:rPr>
              <w:t>c) pentru contractele de achiziții publice care au ca obiect servicii sociale și alte servicii specifice enumerate în anexa nr. 2 din Legea nr. 325/2025 privind achizițiile publice – 600 000 MDL.</w:t>
            </w:r>
          </w:p>
        </w:tc>
        <w:tc>
          <w:tcPr>
            <w:tcW w:w="2977" w:type="dxa"/>
          </w:tcPr>
          <w:p w14:paraId="68E75B51" w14:textId="77777777" w:rsidR="002574BA" w:rsidRPr="00154388" w:rsidRDefault="002574BA" w:rsidP="00E5165A">
            <w:pPr>
              <w:tabs>
                <w:tab w:val="left" w:pos="8505"/>
              </w:tabs>
              <w:jc w:val="center"/>
              <w:rPr>
                <w:rFonts w:ascii="Times New Roman" w:hAnsi="Times New Roman" w:cs="Times New Roman"/>
                <w:b/>
                <w:color w:val="000000" w:themeColor="text1"/>
                <w:sz w:val="20"/>
                <w:szCs w:val="20"/>
                <w:lang w:val="ro-RO"/>
              </w:rPr>
            </w:pPr>
          </w:p>
        </w:tc>
        <w:tc>
          <w:tcPr>
            <w:tcW w:w="533" w:type="dxa"/>
          </w:tcPr>
          <w:p w14:paraId="0EA72D16" w14:textId="28D269F5" w:rsidR="002574BA" w:rsidRDefault="004F1188" w:rsidP="00E5165A">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1A3D68D4" w14:textId="5CFD76F4" w:rsidR="006A6626" w:rsidRPr="00863A23" w:rsidRDefault="006A6626" w:rsidP="006A6626">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 La pct. 1.5. se constată o neconcordanță între pragurile valorice pentru contractele de achiziții publice directe și cele supuse procedurilor de achiziții publice, prevăzute la pct. 7 din actul normativ în vigoare și punctul 7</w:t>
            </w:r>
            <w:r w:rsidR="00AF625C"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xml:space="preserve"> din proiectul de modificare. Astfel, se identifică suprapuneri și contradicții de reglementare care generează incertitudine juridică în aplicare, după cum urmează: </w:t>
            </w:r>
          </w:p>
          <w:p w14:paraId="1D12E811" w14:textId="7028B030" w:rsidR="006A6626" w:rsidRPr="006A6626" w:rsidRDefault="006A6626" w:rsidP="00AF625C">
            <w:pPr>
              <w:numPr>
                <w:ilvl w:val="0"/>
                <w:numId w:val="23"/>
              </w:numPr>
              <w:tabs>
                <w:tab w:val="left" w:pos="164"/>
              </w:tabs>
              <w:jc w:val="both"/>
              <w:rPr>
                <w:rFonts w:ascii="Times New Roman" w:hAnsi="Times New Roman" w:cs="Times New Roman"/>
                <w:sz w:val="20"/>
                <w:szCs w:val="20"/>
              </w:rPr>
            </w:pPr>
            <w:r w:rsidRPr="006A6626">
              <w:rPr>
                <w:rFonts w:ascii="Times New Roman" w:hAnsi="Times New Roman" w:cs="Times New Roman"/>
                <w:b/>
                <w:bCs/>
                <w:sz w:val="20"/>
                <w:szCs w:val="20"/>
              </w:rPr>
              <w:t>Bunuri și servicii:</w:t>
            </w:r>
          </w:p>
          <w:p w14:paraId="795D9C2E" w14:textId="77777777" w:rsidR="006A6626" w:rsidRPr="00863A23" w:rsidRDefault="006A6626" w:rsidP="006A6626">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Reglementarea în vigoare permite atribuirea contractelor prin achiziție directă până la pragul de 400 000 MDL. În același timp, proiectul de modificare prevede că de la pragul de 300 000 MDL devin incidente procedurile de achiziții publice. Astfel, în intervalul 300 000–400 000 MDL există o suprapunere normativă, întrucât același interval este simultan susceptibil atât de regim de achiziție directă, cât și de aplicare a procedurilor competitive. </w:t>
            </w:r>
          </w:p>
          <w:p w14:paraId="2D60B00A" w14:textId="52F00448" w:rsidR="006A6626" w:rsidRPr="00863A23" w:rsidRDefault="006A6626" w:rsidP="006A6626">
            <w:pPr>
              <w:tabs>
                <w:tab w:val="left" w:pos="151"/>
              </w:tabs>
              <w:jc w:val="both"/>
              <w:rPr>
                <w:rFonts w:ascii="Times New Roman" w:hAnsi="Times New Roman" w:cs="Times New Roman"/>
                <w:sz w:val="20"/>
                <w:szCs w:val="20"/>
                <w:lang w:val="it-IT"/>
              </w:rPr>
            </w:pPr>
            <w:r w:rsidRPr="00863A23">
              <w:rPr>
                <w:rFonts w:ascii="Times New Roman" w:hAnsi="Times New Roman" w:cs="Times New Roman"/>
                <w:b/>
                <w:bCs/>
                <w:sz w:val="20"/>
                <w:szCs w:val="20"/>
                <w:lang w:val="it-IT"/>
              </w:rPr>
              <w:t xml:space="preserve">2. Lucrări: </w:t>
            </w:r>
          </w:p>
          <w:p w14:paraId="714E316B" w14:textId="77777777" w:rsidR="006A6626" w:rsidRPr="00863A23" w:rsidRDefault="006A6626" w:rsidP="006A6626">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Reglementarea actuală permite achiziții directe până la pragul de 1 000 000 MDL, în timp ce proiectul introduce un prag de aplicare a procedurilor de achiziții publice începând de la 375 000 MDL. Rezultă astfel o contradicție normativă pentru intervalul 375 000–1 000 000 MDL, în care nu este clar dacă se aplică regimul achiziției directe sau cel al procedurilor de achiziții publice. </w:t>
            </w:r>
          </w:p>
          <w:p w14:paraId="0086CB0E" w14:textId="78114D0B" w:rsidR="006A6626" w:rsidRPr="00863A23" w:rsidRDefault="006A6626" w:rsidP="006A6626">
            <w:pPr>
              <w:tabs>
                <w:tab w:val="left" w:pos="189"/>
              </w:tabs>
              <w:jc w:val="both"/>
              <w:rPr>
                <w:rFonts w:ascii="Times New Roman" w:hAnsi="Times New Roman" w:cs="Times New Roman"/>
                <w:sz w:val="20"/>
                <w:szCs w:val="20"/>
                <w:lang w:val="it-IT"/>
              </w:rPr>
            </w:pPr>
            <w:r w:rsidRPr="00863A23">
              <w:rPr>
                <w:rFonts w:ascii="Times New Roman" w:hAnsi="Times New Roman" w:cs="Times New Roman"/>
                <w:b/>
                <w:bCs/>
                <w:sz w:val="20"/>
                <w:szCs w:val="20"/>
                <w:lang w:val="it-IT"/>
              </w:rPr>
              <w:t xml:space="preserve">3. Servicii sociale și alte servicii specifice: </w:t>
            </w:r>
          </w:p>
          <w:p w14:paraId="77C7A83D" w14:textId="77777777" w:rsidR="002574BA" w:rsidRPr="00863A23" w:rsidRDefault="006A6626" w:rsidP="006A6626">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Potrivit reglementării în vigoare, achizițiile directe sunt permise până la </w:t>
            </w:r>
            <w:r w:rsidRPr="00863A23">
              <w:rPr>
                <w:rFonts w:ascii="Times New Roman" w:hAnsi="Times New Roman" w:cs="Times New Roman"/>
                <w:sz w:val="20"/>
                <w:szCs w:val="20"/>
                <w:lang w:val="it-IT"/>
              </w:rPr>
              <w:lastRenderedPageBreak/>
              <w:t>pragul de 500 000 MDL, în timp ce proiectul de modificare stabilește un prag de 600 000 MDL pentru aplicarea procedurilor de achiziții publice. Această diferență generează un interval de incertitudine juridică (500 000–600 000 MDL), în care nu este determinat în mod clar regimul juridic aplicabil.</w:t>
            </w:r>
          </w:p>
          <w:p w14:paraId="3E7965BB" w14:textId="20F18ED3" w:rsidR="006A6626" w:rsidRDefault="006A6626" w:rsidP="006A6626">
            <w:pPr>
              <w:jc w:val="both"/>
              <w:rPr>
                <w:rFonts w:ascii="Times New Roman" w:hAnsi="Times New Roman" w:cs="Times New Roman"/>
                <w:sz w:val="20"/>
                <w:szCs w:val="20"/>
                <w:lang w:val="ro-RO"/>
              </w:rPr>
            </w:pPr>
            <w:r w:rsidRPr="00863A23">
              <w:rPr>
                <w:rFonts w:ascii="Times New Roman" w:hAnsi="Times New Roman" w:cs="Times New Roman"/>
                <w:sz w:val="20"/>
                <w:szCs w:val="20"/>
                <w:lang w:val="it-IT"/>
              </w:rPr>
              <w:t xml:space="preserve"> Rezumând cele expuse, suprapunerile și discrepanțele dintre pragurile valorice stabilite de actul normativ în vigoare și cele propuse prin proiect creează neclarități de interpretare și aplicare, fiind necesară armonizarea acestora pentru asigurarea securității juridice și a aplicării unitare a regimului achizițiilor publice.</w:t>
            </w:r>
          </w:p>
        </w:tc>
        <w:tc>
          <w:tcPr>
            <w:tcW w:w="3436" w:type="dxa"/>
          </w:tcPr>
          <w:p w14:paraId="4DB1BF89" w14:textId="77777777" w:rsidR="002574BA" w:rsidRDefault="0074674B" w:rsidP="00E5165A">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Nu se acceptă</w:t>
            </w:r>
          </w:p>
          <w:p w14:paraId="54B20651" w14:textId="360C4519" w:rsidR="0074674B" w:rsidRPr="006553C5" w:rsidRDefault="0074674B" w:rsidP="0074674B">
            <w:pPr>
              <w:tabs>
                <w:tab w:val="left" w:pos="8505"/>
              </w:tabs>
              <w:jc w:val="both"/>
              <w:rPr>
                <w:rFonts w:ascii="Times New Roman" w:hAnsi="Times New Roman" w:cs="Times New Roman"/>
                <w:sz w:val="20"/>
                <w:szCs w:val="20"/>
                <w:lang w:val="ro-RO"/>
              </w:rPr>
            </w:pPr>
            <w:r w:rsidRPr="006553C5">
              <w:rPr>
                <w:rFonts w:ascii="Times New Roman" w:hAnsi="Times New Roman" w:cs="Times New Roman"/>
                <w:sz w:val="20"/>
                <w:szCs w:val="20"/>
                <w:lang w:val="ro-RO"/>
              </w:rPr>
              <w:t>Propunerea nu este fondată, întrucât se bazează pe o interpretare eronată a sferei de aplicare a noilor prevederi, ignorând distincția clară pe care proiectul o menține între regimul achizițiilor publice și cel al achizițiilor sectoriale. Analiza coroborată a textului proiectului și a structurii Regulamentului demonstrează că nu există nicio suprapunere, contradicție sau incertitudine juridică.</w:t>
            </w:r>
            <w:r w:rsidR="006553C5">
              <w:rPr>
                <w:rFonts w:ascii="Times New Roman" w:hAnsi="Times New Roman" w:cs="Times New Roman"/>
                <w:sz w:val="20"/>
                <w:szCs w:val="20"/>
                <w:lang w:val="ro-RO"/>
              </w:rPr>
              <w:t xml:space="preserve"> </w:t>
            </w:r>
          </w:p>
          <w:p w14:paraId="4CA9305C" w14:textId="77777777" w:rsidR="0074674B" w:rsidRPr="006553C5" w:rsidRDefault="0074674B" w:rsidP="0074674B">
            <w:pPr>
              <w:tabs>
                <w:tab w:val="left" w:pos="8505"/>
              </w:tabs>
              <w:jc w:val="both"/>
              <w:rPr>
                <w:rFonts w:ascii="Times New Roman" w:hAnsi="Times New Roman" w:cs="Times New Roman"/>
                <w:sz w:val="20"/>
                <w:szCs w:val="20"/>
                <w:lang w:val="ro-RO"/>
              </w:rPr>
            </w:pPr>
            <w:r w:rsidRPr="006553C5">
              <w:rPr>
                <w:rFonts w:ascii="Times New Roman" w:hAnsi="Times New Roman" w:cs="Times New Roman"/>
                <w:sz w:val="20"/>
                <w:szCs w:val="20"/>
                <w:lang w:val="ro-RO"/>
              </w:rPr>
              <w:t>Argumentele detaliate sunt următoarele:</w:t>
            </w:r>
          </w:p>
          <w:p w14:paraId="389981B8" w14:textId="3B0B1196" w:rsidR="0074674B" w:rsidRPr="006553C5" w:rsidRDefault="006553C5" w:rsidP="0074674B">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4674B" w:rsidRPr="006553C5">
              <w:rPr>
                <w:rFonts w:ascii="Times New Roman" w:hAnsi="Times New Roman" w:cs="Times New Roman"/>
                <w:sz w:val="20"/>
                <w:szCs w:val="20"/>
                <w:lang w:val="ro-RO"/>
              </w:rPr>
              <w:t>Delimitarea strictă a sferei de aplicare (Achiziții publice vs. Achiziții sectoriale)</w:t>
            </w:r>
            <w:r>
              <w:rPr>
                <w:rFonts w:ascii="Times New Roman" w:hAnsi="Times New Roman" w:cs="Times New Roman"/>
                <w:sz w:val="20"/>
                <w:szCs w:val="20"/>
                <w:lang w:val="ro-RO"/>
              </w:rPr>
              <w:t xml:space="preserve">: </w:t>
            </w:r>
          </w:p>
          <w:p w14:paraId="7412324D" w14:textId="3BC8692E" w:rsidR="0074674B" w:rsidRPr="006553C5" w:rsidRDefault="0074674B" w:rsidP="0074674B">
            <w:pPr>
              <w:tabs>
                <w:tab w:val="left" w:pos="8505"/>
              </w:tabs>
              <w:jc w:val="both"/>
              <w:rPr>
                <w:rFonts w:ascii="Times New Roman" w:hAnsi="Times New Roman" w:cs="Times New Roman"/>
                <w:sz w:val="20"/>
                <w:szCs w:val="20"/>
                <w:lang w:val="ro-RO"/>
              </w:rPr>
            </w:pPr>
            <w:r w:rsidRPr="006553C5">
              <w:rPr>
                <w:rFonts w:ascii="Times New Roman" w:hAnsi="Times New Roman" w:cs="Times New Roman"/>
                <w:sz w:val="20"/>
                <w:szCs w:val="20"/>
                <w:lang w:val="ro-RO"/>
              </w:rPr>
              <w:t>Punctul 7</w:t>
            </w:r>
            <w:r w:rsidR="006553C5">
              <w:rPr>
                <w:rFonts w:ascii="Times New Roman" w:hAnsi="Times New Roman" w:cs="Times New Roman"/>
                <w:sz w:val="20"/>
                <w:szCs w:val="20"/>
                <w:vertAlign w:val="superscript"/>
                <w:lang w:val="ro-RO"/>
              </w:rPr>
              <w:t>1</w:t>
            </w:r>
            <w:r w:rsidRPr="006553C5">
              <w:rPr>
                <w:rFonts w:ascii="Times New Roman" w:hAnsi="Times New Roman" w:cs="Times New Roman"/>
                <w:sz w:val="20"/>
                <w:szCs w:val="20"/>
                <w:lang w:val="ro-RO"/>
              </w:rPr>
              <w:t xml:space="preserve"> introdus prin proiect reglementează particularități privind „c</w:t>
            </w:r>
            <w:r w:rsidR="006553C5">
              <w:rPr>
                <w:rFonts w:ascii="Times New Roman" w:hAnsi="Times New Roman" w:cs="Times New Roman"/>
                <w:sz w:val="20"/>
                <w:szCs w:val="20"/>
                <w:lang w:val="ro-RO"/>
              </w:rPr>
              <w:t>ontractele de achiziții publice”</w:t>
            </w:r>
            <w:r w:rsidRPr="006553C5">
              <w:rPr>
                <w:rFonts w:ascii="Times New Roman" w:hAnsi="Times New Roman" w:cs="Times New Roman"/>
                <w:sz w:val="20"/>
                <w:szCs w:val="20"/>
                <w:lang w:val="ro-RO"/>
              </w:rPr>
              <w:t>. În terminologia legislativă a Republicii Moldova, această sintagmă vizează exclusiv procedurile derulate de autoritățile contractante, în temeiul Legii nr. 325/2025. Textul punctului 7</w:t>
            </w:r>
            <w:r w:rsidR="006553C5">
              <w:rPr>
                <w:rFonts w:ascii="Times New Roman" w:hAnsi="Times New Roman" w:cs="Times New Roman"/>
                <w:sz w:val="20"/>
                <w:szCs w:val="20"/>
                <w:vertAlign w:val="superscript"/>
                <w:lang w:val="ro-RO"/>
              </w:rPr>
              <w:t>1</w:t>
            </w:r>
            <w:r w:rsidRPr="006553C5">
              <w:rPr>
                <w:rFonts w:ascii="Times New Roman" w:hAnsi="Times New Roman" w:cs="Times New Roman"/>
                <w:sz w:val="20"/>
                <w:szCs w:val="20"/>
                <w:lang w:val="ro-RO"/>
              </w:rPr>
              <w:t xml:space="preserve"> nu include</w:t>
            </w:r>
            <w:r w:rsidR="006553C5">
              <w:rPr>
                <w:rFonts w:ascii="Times New Roman" w:hAnsi="Times New Roman" w:cs="Times New Roman"/>
                <w:sz w:val="20"/>
                <w:szCs w:val="20"/>
                <w:lang w:val="ro-RO"/>
              </w:rPr>
              <w:t xml:space="preserve"> sintagma „contracte sectoriale”</w:t>
            </w:r>
            <w:r w:rsidRPr="006553C5">
              <w:rPr>
                <w:rFonts w:ascii="Times New Roman" w:hAnsi="Times New Roman" w:cs="Times New Roman"/>
                <w:sz w:val="20"/>
                <w:szCs w:val="20"/>
                <w:lang w:val="ro-RO"/>
              </w:rPr>
              <w:t xml:space="preserve"> și nu face referire la entitățile contractante.</w:t>
            </w:r>
          </w:p>
          <w:p w14:paraId="7920B898" w14:textId="73762932" w:rsidR="0074674B" w:rsidRPr="006553C5" w:rsidRDefault="0074674B" w:rsidP="0074674B">
            <w:pPr>
              <w:tabs>
                <w:tab w:val="left" w:pos="8505"/>
              </w:tabs>
              <w:jc w:val="both"/>
              <w:rPr>
                <w:rFonts w:ascii="Times New Roman" w:hAnsi="Times New Roman" w:cs="Times New Roman"/>
                <w:sz w:val="20"/>
                <w:szCs w:val="20"/>
                <w:lang w:val="ro-RO"/>
              </w:rPr>
            </w:pPr>
            <w:r w:rsidRPr="006553C5">
              <w:rPr>
                <w:rFonts w:ascii="Times New Roman" w:hAnsi="Times New Roman" w:cs="Times New Roman"/>
                <w:sz w:val="20"/>
                <w:szCs w:val="20"/>
                <w:lang w:val="ro-RO"/>
              </w:rPr>
              <w:t xml:space="preserve">Punctul 7 din Regulamentul în vigoare reglementează </w:t>
            </w:r>
            <w:r w:rsidR="006553C5">
              <w:rPr>
                <w:rFonts w:ascii="Times New Roman" w:hAnsi="Times New Roman" w:cs="Times New Roman"/>
                <w:sz w:val="20"/>
                <w:szCs w:val="20"/>
                <w:lang w:val="ro-RO"/>
              </w:rPr>
              <w:t>dreptul „entității contractante”</w:t>
            </w:r>
            <w:r w:rsidRPr="006553C5">
              <w:rPr>
                <w:rFonts w:ascii="Times New Roman" w:hAnsi="Times New Roman" w:cs="Times New Roman"/>
                <w:sz w:val="20"/>
                <w:szCs w:val="20"/>
                <w:lang w:val="ro-RO"/>
              </w:rPr>
              <w:t xml:space="preserve"> de a încheia contracte directe, vizând achizițiile din sectoarele speciale (energie, apă, transporturi, servicii poștale), guvernate de Legea nr. 74/2020.</w:t>
            </w:r>
          </w:p>
          <w:p w14:paraId="77568C89" w14:textId="3DFA5054" w:rsidR="0074674B" w:rsidRPr="006553C5" w:rsidRDefault="0074674B" w:rsidP="0074674B">
            <w:pPr>
              <w:tabs>
                <w:tab w:val="left" w:pos="8505"/>
              </w:tabs>
              <w:jc w:val="both"/>
              <w:rPr>
                <w:rFonts w:ascii="Times New Roman" w:hAnsi="Times New Roman" w:cs="Times New Roman"/>
                <w:sz w:val="20"/>
                <w:szCs w:val="20"/>
                <w:lang w:val="ro-RO"/>
              </w:rPr>
            </w:pPr>
            <w:r w:rsidRPr="006553C5">
              <w:rPr>
                <w:rFonts w:ascii="Times New Roman" w:hAnsi="Times New Roman" w:cs="Times New Roman"/>
                <w:sz w:val="20"/>
                <w:szCs w:val="20"/>
                <w:lang w:val="ro-RO"/>
              </w:rPr>
              <w:t>Prin urmare, cele două prevederi se adresează unor categorii distincte de subiecți și unor regimuri juridice diferite. Pragurile de la pct. 7</w:t>
            </w:r>
            <w:r w:rsidR="006553C5">
              <w:rPr>
                <w:rFonts w:ascii="Times New Roman" w:hAnsi="Times New Roman" w:cs="Times New Roman"/>
                <w:sz w:val="20"/>
                <w:szCs w:val="20"/>
                <w:vertAlign w:val="superscript"/>
                <w:lang w:val="ro-RO"/>
              </w:rPr>
              <w:t>1</w:t>
            </w:r>
            <w:r w:rsidRPr="006553C5">
              <w:rPr>
                <w:rFonts w:ascii="Times New Roman" w:hAnsi="Times New Roman" w:cs="Times New Roman"/>
                <w:sz w:val="20"/>
                <w:szCs w:val="20"/>
                <w:lang w:val="ro-RO"/>
              </w:rPr>
              <w:t xml:space="preserve"> sunt incidente doar pentru autoritățile </w:t>
            </w:r>
            <w:r w:rsidRPr="006553C5">
              <w:rPr>
                <w:rFonts w:ascii="Times New Roman" w:hAnsi="Times New Roman" w:cs="Times New Roman"/>
                <w:sz w:val="20"/>
                <w:szCs w:val="20"/>
                <w:lang w:val="ro-RO"/>
              </w:rPr>
              <w:lastRenderedPageBreak/>
              <w:t>contractante, în timp ce pragurile de la pct. 7 rămân aplicabile entităților contractante. Nu există o suprapunere normativă, deoarece normele nu vizează aceiași destinatari.</w:t>
            </w:r>
          </w:p>
          <w:p w14:paraId="7C990F5F" w14:textId="675BCF53" w:rsidR="0074674B" w:rsidRPr="006553C5" w:rsidRDefault="006553C5" w:rsidP="0074674B">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4674B" w:rsidRPr="006553C5">
              <w:rPr>
                <w:rFonts w:ascii="Times New Roman" w:hAnsi="Times New Roman" w:cs="Times New Roman"/>
                <w:sz w:val="20"/>
                <w:szCs w:val="20"/>
                <w:lang w:val="ro-RO"/>
              </w:rPr>
              <w:t>Proiectul de modificare operează, în mod explicit, comp</w:t>
            </w:r>
            <w:r>
              <w:rPr>
                <w:rFonts w:ascii="Times New Roman" w:hAnsi="Times New Roman" w:cs="Times New Roman"/>
                <w:sz w:val="20"/>
                <w:szCs w:val="20"/>
                <w:lang w:val="ro-RO"/>
              </w:rPr>
              <w:t>letări cu sintagma „/sectoriale”</w:t>
            </w:r>
            <w:r w:rsidR="0074674B" w:rsidRPr="006553C5">
              <w:rPr>
                <w:rFonts w:ascii="Times New Roman" w:hAnsi="Times New Roman" w:cs="Times New Roman"/>
                <w:sz w:val="20"/>
                <w:szCs w:val="20"/>
                <w:lang w:val="ro-RO"/>
              </w:rPr>
              <w:t xml:space="preserve"> sau „a</w:t>
            </w:r>
            <w:r>
              <w:rPr>
                <w:rFonts w:ascii="Times New Roman" w:hAnsi="Times New Roman" w:cs="Times New Roman"/>
                <w:sz w:val="20"/>
                <w:szCs w:val="20"/>
                <w:lang w:val="ro-RO"/>
              </w:rPr>
              <w:t xml:space="preserve">utoritate/entitate contractantă” </w:t>
            </w:r>
            <w:r w:rsidR="0074674B" w:rsidRPr="006553C5">
              <w:rPr>
                <w:rFonts w:ascii="Times New Roman" w:hAnsi="Times New Roman" w:cs="Times New Roman"/>
                <w:sz w:val="20"/>
                <w:szCs w:val="20"/>
                <w:lang w:val="ro-RO"/>
              </w:rPr>
              <w:t>în punctele unde se dorește extinderea aplicabilității asupra ambelor regimuri (a se vedea pct. 1.6, pct. 1.32, pct. 1.13 din proiect).</w:t>
            </w:r>
          </w:p>
          <w:p w14:paraId="16EFA321" w14:textId="16BE39BF" w:rsidR="0074674B" w:rsidRPr="006553C5" w:rsidRDefault="0074674B" w:rsidP="0074674B">
            <w:pPr>
              <w:tabs>
                <w:tab w:val="left" w:pos="8505"/>
              </w:tabs>
              <w:jc w:val="both"/>
              <w:rPr>
                <w:rFonts w:ascii="Times New Roman" w:hAnsi="Times New Roman" w:cs="Times New Roman"/>
                <w:sz w:val="20"/>
                <w:szCs w:val="20"/>
                <w:lang w:val="ro-RO"/>
              </w:rPr>
            </w:pPr>
            <w:r w:rsidRPr="006553C5">
              <w:rPr>
                <w:rFonts w:ascii="Times New Roman" w:hAnsi="Times New Roman" w:cs="Times New Roman"/>
                <w:sz w:val="20"/>
                <w:szCs w:val="20"/>
                <w:lang w:val="ro-RO"/>
              </w:rPr>
              <w:t>Faptul că la pct. 7</w:t>
            </w:r>
            <w:r w:rsidR="006553C5">
              <w:rPr>
                <w:rFonts w:ascii="Times New Roman" w:hAnsi="Times New Roman" w:cs="Times New Roman"/>
                <w:sz w:val="20"/>
                <w:szCs w:val="20"/>
                <w:vertAlign w:val="superscript"/>
                <w:lang w:val="ro-RO"/>
              </w:rPr>
              <w:t>1</w:t>
            </w:r>
            <w:r w:rsidRPr="006553C5">
              <w:rPr>
                <w:rFonts w:ascii="Times New Roman" w:hAnsi="Times New Roman" w:cs="Times New Roman"/>
                <w:sz w:val="20"/>
                <w:szCs w:val="20"/>
                <w:lang w:val="ro-RO"/>
              </w:rPr>
              <w:t xml:space="preserve"> nu a</w:t>
            </w:r>
            <w:r w:rsidR="006553C5">
              <w:rPr>
                <w:rFonts w:ascii="Times New Roman" w:hAnsi="Times New Roman" w:cs="Times New Roman"/>
                <w:sz w:val="20"/>
                <w:szCs w:val="20"/>
                <w:lang w:val="ro-RO"/>
              </w:rPr>
              <w:t xml:space="preserve"> fost</w:t>
            </w:r>
            <w:r w:rsidRPr="006553C5">
              <w:rPr>
                <w:rFonts w:ascii="Times New Roman" w:hAnsi="Times New Roman" w:cs="Times New Roman"/>
                <w:sz w:val="20"/>
                <w:szCs w:val="20"/>
                <w:lang w:val="ro-RO"/>
              </w:rPr>
              <w:t xml:space="preserve"> operat</w:t>
            </w:r>
            <w:r w:rsidR="006553C5">
              <w:rPr>
                <w:rFonts w:ascii="Times New Roman" w:hAnsi="Times New Roman" w:cs="Times New Roman"/>
                <w:sz w:val="20"/>
                <w:szCs w:val="20"/>
                <w:lang w:val="ro-RO"/>
              </w:rPr>
              <w:t>ă</w:t>
            </w:r>
            <w:r w:rsidRPr="006553C5">
              <w:rPr>
                <w:rFonts w:ascii="Times New Roman" w:hAnsi="Times New Roman" w:cs="Times New Roman"/>
                <w:sz w:val="20"/>
                <w:szCs w:val="20"/>
                <w:lang w:val="ro-RO"/>
              </w:rPr>
              <w:t xml:space="preserve"> o astfel de completare și a </w:t>
            </w:r>
            <w:r w:rsidR="006553C5">
              <w:rPr>
                <w:rFonts w:ascii="Times New Roman" w:hAnsi="Times New Roman" w:cs="Times New Roman"/>
                <w:sz w:val="20"/>
                <w:szCs w:val="20"/>
                <w:lang w:val="ro-RO"/>
              </w:rPr>
              <w:t xml:space="preserve">fost </w:t>
            </w:r>
            <w:r w:rsidRPr="006553C5">
              <w:rPr>
                <w:rFonts w:ascii="Times New Roman" w:hAnsi="Times New Roman" w:cs="Times New Roman"/>
                <w:sz w:val="20"/>
                <w:szCs w:val="20"/>
                <w:lang w:val="ro-RO"/>
              </w:rPr>
              <w:t>păstrat</w:t>
            </w:r>
            <w:r w:rsidR="006553C5">
              <w:rPr>
                <w:rFonts w:ascii="Times New Roman" w:hAnsi="Times New Roman" w:cs="Times New Roman"/>
                <w:sz w:val="20"/>
                <w:szCs w:val="20"/>
                <w:lang w:val="ro-RO"/>
              </w:rPr>
              <w:t>ă</w:t>
            </w:r>
            <w:r w:rsidRPr="006553C5">
              <w:rPr>
                <w:rFonts w:ascii="Times New Roman" w:hAnsi="Times New Roman" w:cs="Times New Roman"/>
                <w:sz w:val="20"/>
                <w:szCs w:val="20"/>
                <w:lang w:val="ro-RO"/>
              </w:rPr>
              <w:t xml:space="preserve"> formularea restrictivă „c</w:t>
            </w:r>
            <w:r w:rsidR="006553C5">
              <w:rPr>
                <w:rFonts w:ascii="Times New Roman" w:hAnsi="Times New Roman" w:cs="Times New Roman"/>
                <w:sz w:val="20"/>
                <w:szCs w:val="20"/>
                <w:lang w:val="ro-RO"/>
              </w:rPr>
              <w:t>ontractele de achiziții publice”</w:t>
            </w:r>
            <w:r w:rsidRPr="006553C5">
              <w:rPr>
                <w:rFonts w:ascii="Times New Roman" w:hAnsi="Times New Roman" w:cs="Times New Roman"/>
                <w:sz w:val="20"/>
                <w:szCs w:val="20"/>
                <w:lang w:val="ro-RO"/>
              </w:rPr>
              <w:t xml:space="preserve"> demonstrează fără echivoc intenția de a limita aplicarea acestor particularități doar la sfera achizițiilor publice. Această abordare este coerentă cu necesitatea de a alinia pragurile pentru autorități</w:t>
            </w:r>
            <w:r w:rsidR="006553C5">
              <w:rPr>
                <w:rFonts w:ascii="Times New Roman" w:hAnsi="Times New Roman" w:cs="Times New Roman"/>
                <w:sz w:val="20"/>
                <w:szCs w:val="20"/>
                <w:lang w:val="ro-RO"/>
              </w:rPr>
              <w:t>le contractante</w:t>
            </w:r>
            <w:r w:rsidRPr="006553C5">
              <w:rPr>
                <w:rFonts w:ascii="Times New Roman" w:hAnsi="Times New Roman" w:cs="Times New Roman"/>
                <w:sz w:val="20"/>
                <w:szCs w:val="20"/>
                <w:lang w:val="ro-RO"/>
              </w:rPr>
              <w:t xml:space="preserve"> la noile prevederi ale Legii nr. 325/2025, fără a afecta regimul entităților, care depinde de evoluția Legii nr. 74/2020.</w:t>
            </w:r>
          </w:p>
          <w:p w14:paraId="36296A01" w14:textId="3CF68C41" w:rsidR="0074674B" w:rsidRPr="006553C5" w:rsidRDefault="006553C5" w:rsidP="0074674B">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4674B" w:rsidRPr="006553C5">
              <w:rPr>
                <w:rFonts w:ascii="Times New Roman" w:hAnsi="Times New Roman" w:cs="Times New Roman"/>
                <w:sz w:val="20"/>
                <w:szCs w:val="20"/>
                <w:lang w:val="ro-RO"/>
              </w:rPr>
              <w:t>Invocarea unor intervale de incertitudine (ex. 300.000–400.000 MDL) rezultă din alăturarea artificială a unor norme care funcționează pe paliere separate. Pentru o entitate contractantă, pragul de 300.000 MDL de la pct. 7</w:t>
            </w:r>
            <w:r>
              <w:rPr>
                <w:rFonts w:ascii="Times New Roman" w:hAnsi="Times New Roman" w:cs="Times New Roman"/>
                <w:sz w:val="20"/>
                <w:szCs w:val="20"/>
                <w:vertAlign w:val="superscript"/>
                <w:lang w:val="ro-RO"/>
              </w:rPr>
              <w:t>1</w:t>
            </w:r>
            <w:r w:rsidR="0074674B" w:rsidRPr="006553C5">
              <w:rPr>
                <w:rFonts w:ascii="Times New Roman" w:hAnsi="Times New Roman" w:cs="Times New Roman"/>
                <w:sz w:val="20"/>
                <w:szCs w:val="20"/>
                <w:lang w:val="ro-RO"/>
              </w:rPr>
              <w:t xml:space="preserve"> este irelevant, aceasta continuând să aplice regulile de la pct. 7 (până la 400.000 MDL pentru bunuri/servicii). Pentru o autoritate contractantă, pragul de la pct. 7 nu este incident, aceasta raportându-se la pct. 6 și la noile particularități de la pct. 7</w:t>
            </w:r>
            <w:r>
              <w:rPr>
                <w:rFonts w:ascii="Times New Roman" w:hAnsi="Times New Roman" w:cs="Times New Roman"/>
                <w:sz w:val="20"/>
                <w:szCs w:val="20"/>
                <w:vertAlign w:val="superscript"/>
                <w:lang w:val="ro-RO"/>
              </w:rPr>
              <w:t>1</w:t>
            </w:r>
            <w:r w:rsidR="0074674B" w:rsidRPr="006553C5">
              <w:rPr>
                <w:rFonts w:ascii="Times New Roman" w:hAnsi="Times New Roman" w:cs="Times New Roman"/>
                <w:sz w:val="20"/>
                <w:szCs w:val="20"/>
                <w:lang w:val="ro-RO"/>
              </w:rPr>
              <w:t>.</w:t>
            </w:r>
          </w:p>
          <w:p w14:paraId="6DD47550" w14:textId="77777777" w:rsidR="0074674B" w:rsidRPr="006553C5" w:rsidRDefault="0074674B" w:rsidP="0074674B">
            <w:pPr>
              <w:tabs>
                <w:tab w:val="left" w:pos="8505"/>
              </w:tabs>
              <w:jc w:val="both"/>
              <w:rPr>
                <w:rFonts w:ascii="Times New Roman" w:hAnsi="Times New Roman" w:cs="Times New Roman"/>
                <w:sz w:val="20"/>
                <w:szCs w:val="20"/>
                <w:lang w:val="ro-RO"/>
              </w:rPr>
            </w:pPr>
            <w:r w:rsidRPr="006553C5">
              <w:rPr>
                <w:rFonts w:ascii="Times New Roman" w:hAnsi="Times New Roman" w:cs="Times New Roman"/>
                <w:sz w:val="20"/>
                <w:szCs w:val="20"/>
                <w:lang w:val="ro-RO"/>
              </w:rPr>
              <w:t>Astfel, fiecare subiect își identifică în mod clar și neechivoc regimul aplicabil în funcție de statutul său și de valoarea achiziției, fără riscul unor interpretări conflictuale.</w:t>
            </w:r>
          </w:p>
          <w:p w14:paraId="0AA8437C" w14:textId="2481E143" w:rsidR="0074674B" w:rsidRPr="006553C5" w:rsidRDefault="0074674B" w:rsidP="0074674B">
            <w:pPr>
              <w:tabs>
                <w:tab w:val="left" w:pos="8505"/>
              </w:tabs>
              <w:jc w:val="both"/>
              <w:rPr>
                <w:rFonts w:ascii="Times New Roman" w:hAnsi="Times New Roman" w:cs="Times New Roman"/>
                <w:sz w:val="20"/>
                <w:szCs w:val="20"/>
                <w:lang w:val="ro-RO"/>
              </w:rPr>
            </w:pPr>
            <w:r w:rsidRPr="006553C5">
              <w:rPr>
                <w:rFonts w:ascii="Times New Roman" w:hAnsi="Times New Roman" w:cs="Times New Roman"/>
                <w:sz w:val="20"/>
                <w:szCs w:val="20"/>
                <w:lang w:val="ro-RO"/>
              </w:rPr>
              <w:lastRenderedPageBreak/>
              <w:t>Proiectul asigură securitatea juridică prin menținerea distincției dintre cele două regimuri de achiziții. Punctul 7</w:t>
            </w:r>
            <w:r w:rsidR="006553C5">
              <w:rPr>
                <w:rFonts w:ascii="Times New Roman" w:hAnsi="Times New Roman" w:cs="Times New Roman"/>
                <w:sz w:val="20"/>
                <w:szCs w:val="20"/>
                <w:vertAlign w:val="superscript"/>
                <w:lang w:val="ro-RO"/>
              </w:rPr>
              <w:t>1</w:t>
            </w:r>
            <w:r w:rsidRPr="006553C5">
              <w:rPr>
                <w:rFonts w:ascii="Times New Roman" w:hAnsi="Times New Roman" w:cs="Times New Roman"/>
                <w:sz w:val="20"/>
                <w:szCs w:val="20"/>
                <w:lang w:val="ro-RO"/>
              </w:rPr>
              <w:t xml:space="preserve"> aduce clarificări și particularități necesare pentru autoritățile contractante, în concordanță cu Legea nr. 325/2025, fără a modifica sau a intra în conflict cu drepturile entităților contractante prevăzute la pct. 7. Orice armonizare a regimului sectorial va fi realizată ulterior, în corelare cu modificările legislative primare aferente Legii nr. 74/2020.</w:t>
            </w:r>
          </w:p>
          <w:p w14:paraId="52408E60" w14:textId="0A0D4484" w:rsidR="0074674B" w:rsidRDefault="0074674B" w:rsidP="0074674B">
            <w:pPr>
              <w:tabs>
                <w:tab w:val="left" w:pos="8505"/>
              </w:tabs>
              <w:jc w:val="both"/>
              <w:rPr>
                <w:rFonts w:ascii="Times New Roman" w:hAnsi="Times New Roman" w:cs="Times New Roman"/>
                <w:b/>
                <w:sz w:val="20"/>
                <w:szCs w:val="20"/>
                <w:lang w:val="ro-RO"/>
              </w:rPr>
            </w:pPr>
            <w:r w:rsidRPr="006553C5">
              <w:rPr>
                <w:rFonts w:ascii="Times New Roman" w:hAnsi="Times New Roman" w:cs="Times New Roman"/>
                <w:sz w:val="20"/>
                <w:szCs w:val="20"/>
                <w:lang w:val="ro-RO"/>
              </w:rPr>
              <w:t xml:space="preserve">Prin urmare, obiecția privind neconcordanța pragurilor este respinsă ca fiind nefondată, proiectul fiind corect elaborat din perspectiva delimitării sferelor de aplicare și a </w:t>
            </w:r>
            <w:r w:rsidR="006553C5" w:rsidRPr="006553C5">
              <w:rPr>
                <w:rFonts w:ascii="Times New Roman" w:hAnsi="Times New Roman" w:cs="Times New Roman"/>
                <w:sz w:val="20"/>
                <w:szCs w:val="20"/>
                <w:lang w:val="ro-RO"/>
              </w:rPr>
              <w:t>tehnicii legislative.</w:t>
            </w:r>
            <w:r w:rsidR="006553C5">
              <w:rPr>
                <w:rFonts w:ascii="Times New Roman" w:hAnsi="Times New Roman" w:cs="Times New Roman"/>
                <w:sz w:val="20"/>
                <w:szCs w:val="20"/>
                <w:lang w:val="ro-RO"/>
              </w:rPr>
              <w:t xml:space="preserve"> </w:t>
            </w:r>
          </w:p>
        </w:tc>
      </w:tr>
      <w:tr w:rsidR="004F1188" w:rsidRPr="00760BD0" w14:paraId="61B2BD62" w14:textId="77777777" w:rsidTr="00A919EA">
        <w:trPr>
          <w:trHeight w:val="416"/>
        </w:trPr>
        <w:tc>
          <w:tcPr>
            <w:tcW w:w="3397" w:type="dxa"/>
          </w:tcPr>
          <w:p w14:paraId="6EBB56E1" w14:textId="77777777" w:rsidR="009E4D8F" w:rsidRPr="00F9367D" w:rsidRDefault="009E4D8F" w:rsidP="009E4D8F">
            <w:pPr>
              <w:tabs>
                <w:tab w:val="left" w:pos="8505"/>
              </w:tabs>
              <w:jc w:val="both"/>
              <w:rPr>
                <w:rFonts w:ascii="Times New Roman" w:hAnsi="Times New Roman" w:cs="Times New Roman"/>
                <w:sz w:val="20"/>
                <w:szCs w:val="20"/>
                <w:lang w:val="ro-RO"/>
              </w:rPr>
            </w:pPr>
            <w:r w:rsidRPr="00F9367D">
              <w:rPr>
                <w:rFonts w:ascii="Times New Roman" w:hAnsi="Times New Roman" w:cs="Times New Roman"/>
                <w:b/>
                <w:sz w:val="20"/>
                <w:szCs w:val="20"/>
                <w:lang w:val="ro-RO"/>
              </w:rPr>
              <w:lastRenderedPageBreak/>
              <w:t>1.10.</w:t>
            </w:r>
            <w:r>
              <w:rPr>
                <w:rFonts w:ascii="Times New Roman" w:hAnsi="Times New Roman" w:cs="Times New Roman"/>
                <w:b/>
                <w:sz w:val="20"/>
                <w:szCs w:val="20"/>
                <w:lang w:val="ro-RO"/>
              </w:rPr>
              <w:t xml:space="preserve"> </w:t>
            </w:r>
            <w:r w:rsidRPr="00F9367D">
              <w:rPr>
                <w:rFonts w:ascii="Times New Roman" w:hAnsi="Times New Roman" w:cs="Times New Roman"/>
                <w:sz w:val="20"/>
                <w:szCs w:val="20"/>
                <w:lang w:val="ro-RO"/>
              </w:rPr>
              <w:t>Se introduce punctul 14</w:t>
            </w:r>
            <w:r>
              <w:rPr>
                <w:rFonts w:ascii="Times New Roman" w:hAnsi="Times New Roman" w:cs="Times New Roman"/>
                <w:sz w:val="20"/>
                <w:szCs w:val="20"/>
                <w:vertAlign w:val="superscript"/>
                <w:lang w:val="ro-RO"/>
              </w:rPr>
              <w:t>1</w:t>
            </w:r>
            <w:r w:rsidRPr="00F9367D">
              <w:rPr>
                <w:rFonts w:ascii="Times New Roman" w:hAnsi="Times New Roman" w:cs="Times New Roman"/>
                <w:sz w:val="20"/>
                <w:szCs w:val="20"/>
                <w:lang w:val="ro-RO"/>
              </w:rPr>
              <w:t xml:space="preserve"> cu următorul cuprins: </w:t>
            </w:r>
          </w:p>
          <w:p w14:paraId="2400F2A5" w14:textId="77777777" w:rsidR="009E4D8F" w:rsidRPr="00F9367D" w:rsidRDefault="009E4D8F" w:rsidP="009E4D8F">
            <w:pPr>
              <w:tabs>
                <w:tab w:val="left" w:pos="8505"/>
              </w:tabs>
              <w:jc w:val="both"/>
              <w:rPr>
                <w:rFonts w:ascii="Times New Roman" w:hAnsi="Times New Roman" w:cs="Times New Roman"/>
                <w:sz w:val="20"/>
                <w:szCs w:val="20"/>
                <w:lang w:val="ro-RO"/>
              </w:rPr>
            </w:pPr>
            <w:r w:rsidRPr="00F9367D">
              <w:rPr>
                <w:rFonts w:ascii="Times New Roman" w:hAnsi="Times New Roman" w:cs="Times New Roman"/>
                <w:sz w:val="20"/>
                <w:szCs w:val="20"/>
                <w:lang w:val="ro-RO"/>
              </w:rPr>
              <w:t>„14</w:t>
            </w:r>
            <w:r>
              <w:rPr>
                <w:rFonts w:ascii="Times New Roman" w:hAnsi="Times New Roman" w:cs="Times New Roman"/>
                <w:sz w:val="20"/>
                <w:szCs w:val="20"/>
                <w:vertAlign w:val="superscript"/>
                <w:lang w:val="ro-RO"/>
              </w:rPr>
              <w:t>1</w:t>
            </w:r>
            <w:r w:rsidRPr="00F9367D">
              <w:rPr>
                <w:rFonts w:ascii="Times New Roman" w:hAnsi="Times New Roman" w:cs="Times New Roman"/>
                <w:sz w:val="20"/>
                <w:szCs w:val="20"/>
                <w:lang w:val="ro-RO"/>
              </w:rPr>
              <w:t>. În sensul subpct. 9), prin produse software standardizate se înțeleg aplicații informatice comerciale furnizate pe bază de licență, destinate utilizării generale, care nu presupun dezvoltare sau adaptare substanțială pentru necesitățile specifice ale autorității/entității contractante. Prin soluții de securitate informatică se înțeleg aplicații sau servicii destinate asigurării protecției sistemelor informatice, rețelelor și datelor împotriva riscurilor cibernetice.</w:t>
            </w:r>
          </w:p>
          <w:p w14:paraId="231C7A0C" w14:textId="536975FD" w:rsidR="004F1188" w:rsidRDefault="009E4D8F" w:rsidP="009E4D8F">
            <w:pPr>
              <w:tabs>
                <w:tab w:val="left" w:pos="8505"/>
              </w:tabs>
              <w:jc w:val="both"/>
              <w:rPr>
                <w:rFonts w:ascii="Times New Roman" w:hAnsi="Times New Roman" w:cs="Times New Roman"/>
                <w:b/>
                <w:sz w:val="20"/>
                <w:szCs w:val="20"/>
                <w:lang w:val="ro-RO"/>
              </w:rPr>
            </w:pPr>
            <w:r w:rsidRPr="00F9367D">
              <w:rPr>
                <w:rFonts w:ascii="Times New Roman" w:hAnsi="Times New Roman" w:cs="Times New Roman"/>
                <w:sz w:val="20"/>
                <w:szCs w:val="20"/>
                <w:lang w:val="ro-RO"/>
              </w:rPr>
              <w:t>În sensul subpct. 10), prin spațiu publicitar digital se înțelege serviciul de afișare a mesajelor promoționale prin intermediul sistemelor informatice gestionate de operatorii platformelor digitale, în baza unor condiții generale prestabilite și fără posibilitatea negocierii individuale a clauzelor contractuale.”.</w:t>
            </w:r>
          </w:p>
        </w:tc>
        <w:tc>
          <w:tcPr>
            <w:tcW w:w="2977" w:type="dxa"/>
          </w:tcPr>
          <w:p w14:paraId="1682E34C" w14:textId="77777777" w:rsidR="004F1188" w:rsidRPr="00154388" w:rsidRDefault="004F1188" w:rsidP="00E5165A">
            <w:pPr>
              <w:tabs>
                <w:tab w:val="left" w:pos="8505"/>
              </w:tabs>
              <w:jc w:val="center"/>
              <w:rPr>
                <w:rFonts w:ascii="Times New Roman" w:hAnsi="Times New Roman" w:cs="Times New Roman"/>
                <w:b/>
                <w:color w:val="000000" w:themeColor="text1"/>
                <w:sz w:val="20"/>
                <w:szCs w:val="20"/>
                <w:lang w:val="ro-RO"/>
              </w:rPr>
            </w:pPr>
          </w:p>
        </w:tc>
        <w:tc>
          <w:tcPr>
            <w:tcW w:w="533" w:type="dxa"/>
          </w:tcPr>
          <w:p w14:paraId="36569248" w14:textId="25A5EC2A" w:rsidR="004F1188" w:rsidRDefault="004F1188" w:rsidP="00E5165A">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3236AC6C" w14:textId="6AEF79AE" w:rsidR="004F1188" w:rsidRDefault="006A6626" w:rsidP="00E5165A">
            <w:pPr>
              <w:jc w:val="both"/>
              <w:rPr>
                <w:rFonts w:ascii="Times New Roman" w:hAnsi="Times New Roman" w:cs="Times New Roman"/>
                <w:sz w:val="20"/>
                <w:szCs w:val="20"/>
                <w:lang w:val="ro-RO"/>
              </w:rPr>
            </w:pPr>
            <w:r w:rsidRPr="006A6626">
              <w:rPr>
                <w:rFonts w:ascii="Times New Roman" w:hAnsi="Times New Roman" w:cs="Times New Roman"/>
                <w:sz w:val="20"/>
                <w:szCs w:val="20"/>
                <w:lang w:val="ro-RO"/>
              </w:rPr>
              <w:t>La pct. 1.10 textele ”subpct. 9)” și ” subpct. 10)” se propun a fi completate cu sintagma ”al pct. 14”.</w:t>
            </w:r>
          </w:p>
        </w:tc>
        <w:tc>
          <w:tcPr>
            <w:tcW w:w="3436" w:type="dxa"/>
          </w:tcPr>
          <w:p w14:paraId="64BC1404" w14:textId="77777777" w:rsidR="004F1188" w:rsidRDefault="009E4D8F" w:rsidP="00E5165A">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76818405" w14:textId="3D192115" w:rsidR="009E4D8F" w:rsidRPr="009E4D8F" w:rsidRDefault="009E4D8F" w:rsidP="00E5165A">
            <w:pPr>
              <w:tabs>
                <w:tab w:val="left" w:pos="8505"/>
              </w:tabs>
              <w:jc w:val="both"/>
              <w:rPr>
                <w:rFonts w:ascii="Times New Roman" w:hAnsi="Times New Roman" w:cs="Times New Roman"/>
                <w:sz w:val="20"/>
                <w:szCs w:val="20"/>
                <w:lang w:val="ro-RO"/>
              </w:rPr>
            </w:pPr>
            <w:r w:rsidRPr="009E4D8F">
              <w:rPr>
                <w:rFonts w:ascii="Times New Roman" w:hAnsi="Times New Roman" w:cs="Times New Roman"/>
                <w:sz w:val="20"/>
                <w:szCs w:val="20"/>
                <w:lang w:val="ro-RO"/>
              </w:rPr>
              <w:t>Au fost operate modificările propuse.</w:t>
            </w:r>
          </w:p>
        </w:tc>
      </w:tr>
      <w:tr w:rsidR="006A6626" w:rsidRPr="00760BD0" w14:paraId="06319BE5" w14:textId="77777777" w:rsidTr="00A919EA">
        <w:trPr>
          <w:trHeight w:val="416"/>
        </w:trPr>
        <w:tc>
          <w:tcPr>
            <w:tcW w:w="3397" w:type="dxa"/>
          </w:tcPr>
          <w:p w14:paraId="7CA85E40" w14:textId="77777777" w:rsidR="009E4D8F" w:rsidRPr="00311701" w:rsidRDefault="009E4D8F" w:rsidP="009E4D8F">
            <w:pPr>
              <w:tabs>
                <w:tab w:val="left" w:pos="8505"/>
              </w:tabs>
              <w:jc w:val="both"/>
              <w:rPr>
                <w:rFonts w:ascii="Times New Roman" w:hAnsi="Times New Roman" w:cs="Times New Roman"/>
                <w:sz w:val="20"/>
                <w:szCs w:val="20"/>
                <w:lang w:val="ro-RO"/>
              </w:rPr>
            </w:pPr>
            <w:r w:rsidRPr="00311701">
              <w:rPr>
                <w:rFonts w:ascii="Times New Roman" w:hAnsi="Times New Roman" w:cs="Times New Roman"/>
                <w:b/>
                <w:sz w:val="20"/>
                <w:szCs w:val="20"/>
                <w:lang w:val="ro-RO"/>
              </w:rPr>
              <w:lastRenderedPageBreak/>
              <w:t>1.22.</w:t>
            </w:r>
            <w:r>
              <w:rPr>
                <w:rFonts w:ascii="Times New Roman" w:hAnsi="Times New Roman" w:cs="Times New Roman"/>
                <w:sz w:val="20"/>
                <w:szCs w:val="20"/>
                <w:lang w:val="ro-RO"/>
              </w:rPr>
              <w:t xml:space="preserve"> </w:t>
            </w:r>
            <w:r w:rsidRPr="00311701">
              <w:rPr>
                <w:rFonts w:ascii="Times New Roman" w:hAnsi="Times New Roman" w:cs="Times New Roman"/>
                <w:sz w:val="20"/>
                <w:szCs w:val="20"/>
                <w:lang w:val="ro-RO"/>
              </w:rPr>
              <w:t>Se introduce punctul 50</w:t>
            </w:r>
            <w:r>
              <w:rPr>
                <w:rFonts w:ascii="Times New Roman" w:hAnsi="Times New Roman" w:cs="Times New Roman"/>
                <w:sz w:val="20"/>
                <w:szCs w:val="20"/>
                <w:vertAlign w:val="superscript"/>
                <w:lang w:val="ro-RO"/>
              </w:rPr>
              <w:t>1</w:t>
            </w:r>
            <w:r w:rsidRPr="00311701">
              <w:rPr>
                <w:rFonts w:ascii="Times New Roman" w:hAnsi="Times New Roman" w:cs="Times New Roman"/>
                <w:sz w:val="20"/>
                <w:szCs w:val="20"/>
                <w:lang w:val="ro-RO"/>
              </w:rPr>
              <w:t>, cu următorul cuprins:</w:t>
            </w:r>
          </w:p>
          <w:p w14:paraId="0FFCE50E" w14:textId="263E60B7" w:rsidR="006A6626" w:rsidRDefault="009E4D8F" w:rsidP="009E4D8F">
            <w:pPr>
              <w:tabs>
                <w:tab w:val="left" w:pos="8505"/>
              </w:tabs>
              <w:jc w:val="both"/>
              <w:rPr>
                <w:rFonts w:ascii="Times New Roman" w:hAnsi="Times New Roman" w:cs="Times New Roman"/>
                <w:b/>
                <w:sz w:val="20"/>
                <w:szCs w:val="20"/>
                <w:lang w:val="ro-RO"/>
              </w:rPr>
            </w:pPr>
            <w:r w:rsidRPr="00311701">
              <w:rPr>
                <w:rFonts w:ascii="Times New Roman" w:hAnsi="Times New Roman" w:cs="Times New Roman"/>
                <w:sz w:val="20"/>
                <w:szCs w:val="20"/>
                <w:lang w:val="ro-RO"/>
              </w:rPr>
              <w:t>„50</w:t>
            </w:r>
            <w:r>
              <w:rPr>
                <w:rFonts w:ascii="Times New Roman" w:hAnsi="Times New Roman" w:cs="Times New Roman"/>
                <w:sz w:val="20"/>
                <w:szCs w:val="20"/>
                <w:vertAlign w:val="superscript"/>
                <w:lang w:val="ro-RO"/>
              </w:rPr>
              <w:t>1</w:t>
            </w:r>
            <w:r w:rsidRPr="00311701">
              <w:rPr>
                <w:rFonts w:ascii="Times New Roman" w:hAnsi="Times New Roman" w:cs="Times New Roman"/>
                <w:sz w:val="20"/>
                <w:szCs w:val="20"/>
                <w:lang w:val="ro-RO"/>
              </w:rPr>
              <w:t>. Autoritatea/entitatea contractantă poate solicita garanția pentru ofertă și garanția de bună execuție a contractului. În anunțul de participare aceasta va indica, după caz, pentru fiecare garanție, cerințele față de emitent, forma, cuantumul și alte condiții de bază ale garanției pentru ofertă, precum și cerințele față de operatorul economic care depune garanția pentru ofertă și/sau garanția de bună execuție a contractului.”.</w:t>
            </w:r>
            <w:r>
              <w:rPr>
                <w:rFonts w:ascii="Times New Roman" w:hAnsi="Times New Roman" w:cs="Times New Roman"/>
                <w:sz w:val="20"/>
                <w:szCs w:val="20"/>
                <w:lang w:val="ro-RO"/>
              </w:rPr>
              <w:t xml:space="preserve"> </w:t>
            </w:r>
          </w:p>
        </w:tc>
        <w:tc>
          <w:tcPr>
            <w:tcW w:w="2977" w:type="dxa"/>
          </w:tcPr>
          <w:p w14:paraId="73EC0BF2" w14:textId="77777777" w:rsidR="006A6626" w:rsidRPr="00154388" w:rsidRDefault="006A6626" w:rsidP="00E5165A">
            <w:pPr>
              <w:tabs>
                <w:tab w:val="left" w:pos="8505"/>
              </w:tabs>
              <w:jc w:val="center"/>
              <w:rPr>
                <w:rFonts w:ascii="Times New Roman" w:hAnsi="Times New Roman" w:cs="Times New Roman"/>
                <w:b/>
                <w:color w:val="000000" w:themeColor="text1"/>
                <w:sz w:val="20"/>
                <w:szCs w:val="20"/>
                <w:lang w:val="ro-RO"/>
              </w:rPr>
            </w:pPr>
          </w:p>
        </w:tc>
        <w:tc>
          <w:tcPr>
            <w:tcW w:w="533" w:type="dxa"/>
          </w:tcPr>
          <w:p w14:paraId="41933627" w14:textId="54F7425E" w:rsidR="006A6626" w:rsidRDefault="006A6626" w:rsidP="00E5165A">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7D3B9CBF" w14:textId="67AEF298" w:rsidR="006A6626" w:rsidRPr="00863A23" w:rsidRDefault="006A6626" w:rsidP="006A6626">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La punctul 1.22 redacția punctului 50</w:t>
            </w:r>
            <w:r w:rsidR="009E4D8F" w:rsidRPr="00863A23">
              <w:rPr>
                <w:rFonts w:ascii="Times New Roman" w:hAnsi="Times New Roman" w:cs="Times New Roman"/>
                <w:sz w:val="20"/>
                <w:szCs w:val="20"/>
                <w:vertAlign w:val="superscript"/>
                <w:lang w:val="it-IT"/>
              </w:rPr>
              <w:t>1</w:t>
            </w:r>
            <w:r w:rsidRPr="00863A23">
              <w:rPr>
                <w:rFonts w:ascii="Times New Roman" w:hAnsi="Times New Roman" w:cs="Times New Roman"/>
                <w:sz w:val="20"/>
                <w:szCs w:val="20"/>
                <w:lang w:val="it-IT"/>
              </w:rPr>
              <w:t xml:space="preserve"> prevede posibilitatea ca autoritatea/entitatea contractantă să solicite garanția pentru ofertă și garanția de bună execuție a contractului, însă nu indică limitele maxime ale acestor garanții. </w:t>
            </w:r>
          </w:p>
          <w:p w14:paraId="47915E18" w14:textId="72F94B5D" w:rsidR="006A6626" w:rsidRPr="006A6626" w:rsidRDefault="006A6626" w:rsidP="006A6626">
            <w:pPr>
              <w:jc w:val="both"/>
              <w:rPr>
                <w:rFonts w:ascii="Times New Roman" w:hAnsi="Times New Roman" w:cs="Times New Roman"/>
                <w:sz w:val="20"/>
                <w:szCs w:val="20"/>
                <w:lang w:val="ro-RO"/>
              </w:rPr>
            </w:pPr>
            <w:r w:rsidRPr="00863A23">
              <w:rPr>
                <w:rFonts w:ascii="Times New Roman" w:hAnsi="Times New Roman" w:cs="Times New Roman"/>
                <w:sz w:val="20"/>
                <w:szCs w:val="20"/>
                <w:lang w:val="it-IT"/>
              </w:rPr>
              <w:t>Astfel, pentru asigurarea coerenței legislative și evitarea interpretărilor neuniforme, se propune completarea textului cu mențiunea expresă a pragurilor prevăzute de Legea nr. 325/2025 privind achizițiile publice.</w:t>
            </w:r>
          </w:p>
        </w:tc>
        <w:tc>
          <w:tcPr>
            <w:tcW w:w="3436" w:type="dxa"/>
          </w:tcPr>
          <w:p w14:paraId="7A573305" w14:textId="77777777" w:rsidR="006A6626" w:rsidRDefault="009E4D8F" w:rsidP="00E5165A">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2A714A2B" w14:textId="77777777" w:rsidR="00CA6E1F" w:rsidRPr="00863A23" w:rsidRDefault="009E4D8F" w:rsidP="009E4D8F">
            <w:pPr>
              <w:tabs>
                <w:tab w:val="left" w:pos="8505"/>
              </w:tabs>
              <w:jc w:val="both"/>
              <w:rPr>
                <w:rFonts w:ascii="Times New Roman" w:hAnsi="Times New Roman" w:cs="Times New Roman"/>
                <w:sz w:val="20"/>
                <w:szCs w:val="20"/>
                <w:lang w:val="ro-RO"/>
              </w:rPr>
            </w:pPr>
            <w:r w:rsidRPr="00863A23">
              <w:rPr>
                <w:rFonts w:ascii="Times New Roman" w:hAnsi="Times New Roman" w:cs="Times New Roman"/>
                <w:sz w:val="20"/>
                <w:szCs w:val="20"/>
                <w:lang w:val="ro-RO"/>
              </w:rPr>
              <w:t xml:space="preserve">Punctul 1.22 a fost reformulat în urma propunerilor din avizele Agenției Geodezie, Cartografie și Cadastru, Cancelariei de Stat și Ministerului Sănătății </w:t>
            </w:r>
            <w:r w:rsidR="00CA6E1F" w:rsidRPr="00863A23">
              <w:rPr>
                <w:rFonts w:ascii="Times New Roman" w:hAnsi="Times New Roman" w:cs="Times New Roman"/>
                <w:sz w:val="20"/>
                <w:szCs w:val="20"/>
                <w:lang w:val="ro-RO"/>
              </w:rPr>
              <w:t>și va avea următorul cuprins:</w:t>
            </w:r>
          </w:p>
          <w:p w14:paraId="2ED39616" w14:textId="0BF22C20" w:rsidR="009E4D8F" w:rsidRPr="00CA6E1F" w:rsidRDefault="00CA6E1F" w:rsidP="009E4D8F">
            <w:pPr>
              <w:tabs>
                <w:tab w:val="left" w:pos="8505"/>
              </w:tabs>
              <w:jc w:val="both"/>
              <w:rPr>
                <w:rFonts w:ascii="Times New Roman" w:hAnsi="Times New Roman" w:cs="Times New Roman"/>
                <w:sz w:val="20"/>
                <w:szCs w:val="20"/>
                <w:lang w:val="ro-MD"/>
              </w:rPr>
            </w:pPr>
            <w:r w:rsidRPr="00863A23">
              <w:rPr>
                <w:rFonts w:ascii="Times New Roman" w:hAnsi="Times New Roman" w:cs="Times New Roman"/>
                <w:sz w:val="20"/>
                <w:szCs w:val="20"/>
                <w:lang w:val="ro-RO"/>
              </w:rPr>
              <w:t>„</w:t>
            </w:r>
            <w:r w:rsidRPr="00CA6E1F">
              <w:rPr>
                <w:rFonts w:ascii="Times New Roman" w:hAnsi="Times New Roman" w:cs="Times New Roman"/>
                <w:sz w:val="20"/>
                <w:szCs w:val="20"/>
                <w:lang w:val="ro-MD"/>
              </w:rPr>
              <w:t>50</w:t>
            </w:r>
            <w:r w:rsidRPr="00CA6E1F">
              <w:rPr>
                <w:rFonts w:ascii="Times New Roman" w:hAnsi="Times New Roman" w:cs="Times New Roman"/>
                <w:sz w:val="20"/>
                <w:szCs w:val="20"/>
                <w:vertAlign w:val="superscript"/>
                <w:lang w:val="ro-MD"/>
              </w:rPr>
              <w:t>1</w:t>
            </w:r>
            <w:r w:rsidRPr="00CA6E1F">
              <w:rPr>
                <w:rFonts w:ascii="Times New Roman" w:hAnsi="Times New Roman" w:cs="Times New Roman"/>
                <w:sz w:val="20"/>
                <w:szCs w:val="20"/>
                <w:lang w:val="ro-MD"/>
              </w:rPr>
              <w:t>.</w:t>
            </w:r>
            <w:r w:rsidR="009A5C03" w:rsidRPr="009A5C03">
              <w:rPr>
                <w:rFonts w:ascii="Times New Roman" w:hAnsi="Times New Roman" w:cs="Times New Roman"/>
                <w:sz w:val="20"/>
                <w:szCs w:val="20"/>
                <w:lang w:val="ro-RO"/>
              </w:rPr>
              <w:t xml:space="preserve"> Autoritatea contractantă, în cazul achizițiilor de valoare mică a căror valoare depășește pragurile stabilite la pct. 7</w:t>
            </w:r>
            <w:r w:rsidR="009A5C03">
              <w:rPr>
                <w:rFonts w:ascii="Times New Roman" w:hAnsi="Times New Roman" w:cs="Times New Roman"/>
                <w:sz w:val="20"/>
                <w:szCs w:val="20"/>
                <w:vertAlign w:val="superscript"/>
                <w:lang w:val="ro-RO"/>
              </w:rPr>
              <w:t>1</w:t>
            </w:r>
            <w:r w:rsidR="009A5C03" w:rsidRPr="009A5C03">
              <w:rPr>
                <w:rFonts w:ascii="Times New Roman" w:hAnsi="Times New Roman" w:cs="Times New Roman"/>
                <w:sz w:val="20"/>
                <w:szCs w:val="20"/>
                <w:lang w:val="ro-RO"/>
              </w:rPr>
              <w:t>, poate solicita garanția pentru ofertă,</w:t>
            </w:r>
            <w:r w:rsidR="009A5C03">
              <w:rPr>
                <w:rFonts w:ascii="Times New Roman" w:hAnsi="Times New Roman" w:cs="Times New Roman"/>
                <w:sz w:val="20"/>
                <w:szCs w:val="20"/>
                <w:lang w:val="ro-RO"/>
              </w:rPr>
              <w:t xml:space="preserve"> </w:t>
            </w:r>
            <w:r w:rsidR="009A5C03" w:rsidRPr="009A5C03">
              <w:rPr>
                <w:rFonts w:ascii="Times New Roman" w:hAnsi="Times New Roman" w:cs="Times New Roman"/>
                <w:sz w:val="20"/>
                <w:szCs w:val="20"/>
                <w:lang w:val="ro-RO"/>
              </w:rPr>
              <w:t>cuantumul garanției pentru ofertă, nu va depăși 2 % din valoarea estimată a ofertei, fără taxa pe valoarea adăugată și garanția de bună execuție a contractului, cuantumul garanției de bună execuție a contractului, nu trebuie să depășească 10 % din valoarea totală a contractului de achiziție publică, cu respectarea principiului proporționalității și doar dacă este justificată de valoarea, complexitatea și riscurile achiziției. În anunțul de participare aceasta va indica, după caz, pentru fiecare garanție, cerințele față de emitent, forma, cuantumul și alte condiții de bază ale garanției pentru ofertă, precum și cerințele față de operatorul economic care depune garanția pentru ofertă și/sau garanția de bună execuție a contractului. Garanția pentru ofertă se restituie operatorilor economici după finalizarea procedurii de atribuire. Garanția de bună execuție a contractului se restituie în termen de până la 15 zile de la data finalizării integrale a contractului de achiziție publică de bunuri sau servicii, iar în cazul contractelor de lucrări – în conformitate cu prevederile Codului Urbanismului și Construcțiilor nr. 434/2023</w:t>
            </w:r>
            <w:r w:rsidRPr="00CA6E1F">
              <w:rPr>
                <w:rFonts w:ascii="Times New Roman" w:hAnsi="Times New Roman" w:cs="Times New Roman"/>
                <w:sz w:val="20"/>
                <w:szCs w:val="20"/>
                <w:lang w:val="ro-MD"/>
              </w:rPr>
              <w:t>.”.</w:t>
            </w:r>
          </w:p>
        </w:tc>
      </w:tr>
      <w:tr w:rsidR="006A6626" w:rsidRPr="00760BD0" w14:paraId="5E9B37A2" w14:textId="77777777" w:rsidTr="00A919EA">
        <w:trPr>
          <w:trHeight w:val="416"/>
        </w:trPr>
        <w:tc>
          <w:tcPr>
            <w:tcW w:w="3397" w:type="dxa"/>
          </w:tcPr>
          <w:p w14:paraId="27D63F69" w14:textId="77777777" w:rsidR="00CA6E1F" w:rsidRPr="00CA6E1F" w:rsidRDefault="00CA6E1F" w:rsidP="00CA6E1F">
            <w:pPr>
              <w:tabs>
                <w:tab w:val="left" w:pos="8505"/>
              </w:tabs>
              <w:jc w:val="both"/>
              <w:rPr>
                <w:rFonts w:ascii="Times New Roman" w:hAnsi="Times New Roman" w:cs="Times New Roman"/>
                <w:b/>
                <w:sz w:val="20"/>
                <w:szCs w:val="20"/>
                <w:lang w:val="ro-RO"/>
              </w:rPr>
            </w:pPr>
            <w:r w:rsidRPr="00CA6E1F">
              <w:rPr>
                <w:rFonts w:ascii="Times New Roman" w:hAnsi="Times New Roman" w:cs="Times New Roman"/>
                <w:b/>
                <w:sz w:val="20"/>
                <w:szCs w:val="20"/>
                <w:lang w:val="ro-RO"/>
              </w:rPr>
              <w:t xml:space="preserve">1.30. </w:t>
            </w:r>
            <w:r w:rsidRPr="00CA6E1F">
              <w:rPr>
                <w:rFonts w:ascii="Times New Roman" w:hAnsi="Times New Roman" w:cs="Times New Roman"/>
                <w:sz w:val="20"/>
                <w:szCs w:val="20"/>
                <w:lang w:val="ro-RO"/>
              </w:rPr>
              <w:t>Punctul 60 se abrogă.</w:t>
            </w:r>
          </w:p>
          <w:p w14:paraId="688C0C9C" w14:textId="77777777" w:rsidR="006A6626" w:rsidRDefault="006A6626" w:rsidP="00E5165A">
            <w:pPr>
              <w:tabs>
                <w:tab w:val="left" w:pos="8505"/>
              </w:tabs>
              <w:jc w:val="both"/>
              <w:rPr>
                <w:rFonts w:ascii="Times New Roman" w:hAnsi="Times New Roman" w:cs="Times New Roman"/>
                <w:b/>
                <w:sz w:val="20"/>
                <w:szCs w:val="20"/>
                <w:lang w:val="ro-RO"/>
              </w:rPr>
            </w:pPr>
          </w:p>
        </w:tc>
        <w:tc>
          <w:tcPr>
            <w:tcW w:w="2977" w:type="dxa"/>
          </w:tcPr>
          <w:p w14:paraId="5FCCB767" w14:textId="77777777" w:rsidR="006A6626" w:rsidRPr="00154388" w:rsidRDefault="006A6626" w:rsidP="00E5165A">
            <w:pPr>
              <w:tabs>
                <w:tab w:val="left" w:pos="8505"/>
              </w:tabs>
              <w:jc w:val="center"/>
              <w:rPr>
                <w:rFonts w:ascii="Times New Roman" w:hAnsi="Times New Roman" w:cs="Times New Roman"/>
                <w:b/>
                <w:color w:val="000000" w:themeColor="text1"/>
                <w:sz w:val="20"/>
                <w:szCs w:val="20"/>
                <w:lang w:val="ro-RO"/>
              </w:rPr>
            </w:pPr>
          </w:p>
        </w:tc>
        <w:tc>
          <w:tcPr>
            <w:tcW w:w="533" w:type="dxa"/>
          </w:tcPr>
          <w:p w14:paraId="4BA4D87D" w14:textId="61E40282" w:rsidR="006A6626" w:rsidRDefault="006A6626" w:rsidP="00E5165A">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4</w:t>
            </w:r>
          </w:p>
        </w:tc>
        <w:tc>
          <w:tcPr>
            <w:tcW w:w="3402" w:type="dxa"/>
          </w:tcPr>
          <w:p w14:paraId="265F9532" w14:textId="77777777" w:rsidR="006A6626" w:rsidRPr="009A5C03" w:rsidRDefault="006A6626" w:rsidP="006A6626">
            <w:pPr>
              <w:jc w:val="both"/>
              <w:rPr>
                <w:rFonts w:ascii="Times New Roman" w:hAnsi="Times New Roman" w:cs="Times New Roman"/>
                <w:sz w:val="20"/>
                <w:szCs w:val="20"/>
                <w:lang w:val="it-IT"/>
              </w:rPr>
            </w:pPr>
            <w:r w:rsidRPr="009A5C03">
              <w:rPr>
                <w:rFonts w:ascii="Times New Roman" w:hAnsi="Times New Roman" w:cs="Times New Roman"/>
                <w:sz w:val="20"/>
                <w:szCs w:val="20"/>
                <w:lang w:val="it-IT"/>
              </w:rPr>
              <w:t xml:space="preserve">La pct 1.30 punctul 60 este propus spre abrogare. În acest context, eliminarea </w:t>
            </w:r>
            <w:r w:rsidRPr="009A5C03">
              <w:rPr>
                <w:rFonts w:ascii="Times New Roman" w:hAnsi="Times New Roman" w:cs="Times New Roman"/>
                <w:sz w:val="20"/>
                <w:szCs w:val="20"/>
                <w:lang w:val="it-IT"/>
              </w:rPr>
              <w:lastRenderedPageBreak/>
              <w:t xml:space="preserve">obligației de înregistrare a contractelor de achiziții publice de valoare mică la trezoreriile regionale ale Ministerului Finanțelor generează o lipsă de claritate cu privire la mecanismul de control administrativ și la modalitatea de verificare a finalizării procedurilor de achiziție. </w:t>
            </w:r>
          </w:p>
          <w:p w14:paraId="3BEB776E" w14:textId="77777777" w:rsidR="006A6626" w:rsidRPr="009A5C03" w:rsidRDefault="006A6626" w:rsidP="006A6626">
            <w:pPr>
              <w:jc w:val="both"/>
              <w:rPr>
                <w:rFonts w:ascii="Times New Roman" w:hAnsi="Times New Roman" w:cs="Times New Roman"/>
                <w:sz w:val="20"/>
                <w:szCs w:val="20"/>
                <w:lang w:val="it-IT"/>
              </w:rPr>
            </w:pPr>
            <w:r w:rsidRPr="009A5C03">
              <w:rPr>
                <w:rFonts w:ascii="Times New Roman" w:hAnsi="Times New Roman" w:cs="Times New Roman"/>
                <w:sz w:val="20"/>
                <w:szCs w:val="20"/>
                <w:lang w:val="it-IT"/>
              </w:rPr>
              <w:t xml:space="preserve">Totodată, abrogarea în forma propusă nu oferă suficiente garanții privind asigurarea unui control ex-post și nici nu clarifică modul în care se confirmă respectarea procedurilor legale de către autoritățile contractante în derularea achizițiilor de valoare mică. </w:t>
            </w:r>
          </w:p>
          <w:p w14:paraId="0E1206BC" w14:textId="53518FC0" w:rsidR="006A6626" w:rsidRPr="009A5C03" w:rsidRDefault="006A6626" w:rsidP="006A6626">
            <w:pPr>
              <w:jc w:val="both"/>
              <w:rPr>
                <w:rFonts w:ascii="Times New Roman" w:hAnsi="Times New Roman" w:cs="Times New Roman"/>
                <w:sz w:val="20"/>
                <w:szCs w:val="20"/>
                <w:lang w:val="it-IT"/>
              </w:rPr>
            </w:pPr>
            <w:r w:rsidRPr="009A5C03">
              <w:rPr>
                <w:rFonts w:ascii="Times New Roman" w:hAnsi="Times New Roman" w:cs="Times New Roman"/>
                <w:sz w:val="20"/>
                <w:szCs w:val="20"/>
                <w:lang w:val="it-IT"/>
              </w:rPr>
              <w:t>În consecință, se recomandă clarificarea expresă a mecanismului alternativ de evidență și control aplicabil acestor contracte, în vederea menținerii transparenței și a securității juridice în procesul de achiziții publice.</w:t>
            </w:r>
          </w:p>
        </w:tc>
        <w:tc>
          <w:tcPr>
            <w:tcW w:w="3436" w:type="dxa"/>
          </w:tcPr>
          <w:p w14:paraId="5406450F" w14:textId="3BA37983" w:rsidR="00FA51BB" w:rsidRPr="00FA51BB" w:rsidRDefault="00FA51BB" w:rsidP="00E5165A">
            <w:pPr>
              <w:tabs>
                <w:tab w:val="left" w:pos="8505"/>
              </w:tabs>
              <w:jc w:val="both"/>
              <w:rPr>
                <w:rFonts w:ascii="Times New Roman" w:hAnsi="Times New Roman" w:cs="Times New Roman"/>
                <w:b/>
                <w:sz w:val="20"/>
                <w:szCs w:val="20"/>
                <w:lang w:val="it-IT"/>
              </w:rPr>
            </w:pPr>
            <w:r w:rsidRPr="00FA51BB">
              <w:rPr>
                <w:rFonts w:ascii="Times New Roman" w:hAnsi="Times New Roman" w:cs="Times New Roman"/>
                <w:b/>
                <w:sz w:val="20"/>
                <w:szCs w:val="20"/>
                <w:lang w:val="it-IT"/>
              </w:rPr>
              <w:lastRenderedPageBreak/>
              <w:t>Nu se acceptǎ</w:t>
            </w:r>
          </w:p>
          <w:p w14:paraId="7D8BDAB7" w14:textId="77777777" w:rsidR="006A6626" w:rsidRDefault="00FA51BB" w:rsidP="00E5165A">
            <w:pPr>
              <w:tabs>
                <w:tab w:val="left" w:pos="8505"/>
              </w:tabs>
              <w:jc w:val="both"/>
              <w:rPr>
                <w:rFonts w:ascii="Times New Roman" w:hAnsi="Times New Roman" w:cs="Times New Roman"/>
                <w:bCs/>
                <w:sz w:val="20"/>
                <w:szCs w:val="20"/>
                <w:lang w:val="it-IT"/>
              </w:rPr>
            </w:pPr>
            <w:r w:rsidRPr="00FA51BB">
              <w:rPr>
                <w:rFonts w:ascii="Times New Roman" w:hAnsi="Times New Roman" w:cs="Times New Roman"/>
                <w:bCs/>
                <w:sz w:val="20"/>
                <w:szCs w:val="20"/>
                <w:lang w:val="it-IT"/>
              </w:rPr>
              <w:lastRenderedPageBreak/>
              <w:t>Orice modificare substantivă a obligației de înregistrare la trezorerie, fie introducerea acesteia fie anularea, poate fi realizată doar prin modificarea Legii nr 181/2014, așa cum s-a menționat</w:t>
            </w:r>
            <w:r>
              <w:rPr>
                <w:rFonts w:ascii="Times New Roman" w:hAnsi="Times New Roman" w:cs="Times New Roman"/>
                <w:bCs/>
                <w:sz w:val="20"/>
                <w:szCs w:val="20"/>
                <w:lang w:val="it-IT"/>
              </w:rPr>
              <w:t xml:space="preserve"> şi în procesul de elaborare a Legii nr. 325/2025 privind achizițiile publice</w:t>
            </w:r>
            <w:r w:rsidRPr="00FA51BB">
              <w:rPr>
                <w:rFonts w:ascii="Times New Roman" w:hAnsi="Times New Roman" w:cs="Times New Roman"/>
                <w:bCs/>
                <w:sz w:val="20"/>
                <w:szCs w:val="20"/>
                <w:lang w:val="it-IT"/>
              </w:rPr>
              <w:t>.</w:t>
            </w:r>
          </w:p>
          <w:p w14:paraId="64990D2C" w14:textId="0370238C" w:rsidR="00FA51BB" w:rsidRPr="00FA51BB" w:rsidRDefault="00FA51BB" w:rsidP="00E5165A">
            <w:pPr>
              <w:tabs>
                <w:tab w:val="left" w:pos="8505"/>
              </w:tabs>
              <w:jc w:val="both"/>
              <w:rPr>
                <w:rFonts w:ascii="Times New Roman" w:hAnsi="Times New Roman" w:cs="Times New Roman"/>
                <w:bCs/>
                <w:sz w:val="20"/>
                <w:szCs w:val="20"/>
                <w:lang w:val="it-IT"/>
              </w:rPr>
            </w:pPr>
            <w:r w:rsidRPr="00FA51BB">
              <w:rPr>
                <w:rFonts w:ascii="Times New Roman" w:hAnsi="Times New Roman" w:cs="Times New Roman"/>
                <w:bCs/>
                <w:sz w:val="20"/>
                <w:szCs w:val="20"/>
                <w:lang w:val="it-IT"/>
              </w:rPr>
              <w:t>Astfel, propunerea respectivă urmează a fi înaintată pentru modificarea Legii nr. 181/2014 (sau a legii în vigoare care reglementează materia) și pentru stabilirea expresă a mecanismului alternativ de evidență și control aplicabil acestor contracte, în vederea menținerii unui cadru coerent, predictibil și controlabil din punct de vedere administrativ.</w:t>
            </w:r>
            <w:r>
              <w:rPr>
                <w:rFonts w:ascii="Times New Roman" w:hAnsi="Times New Roman" w:cs="Times New Roman"/>
                <w:bCs/>
                <w:sz w:val="20"/>
                <w:szCs w:val="20"/>
                <w:lang w:val="it-IT"/>
              </w:rPr>
              <w:t xml:space="preserve"> </w:t>
            </w:r>
          </w:p>
        </w:tc>
      </w:tr>
      <w:tr w:rsidR="006A6626" w:rsidRPr="00760BD0" w14:paraId="241914E8" w14:textId="77777777" w:rsidTr="00A919EA">
        <w:trPr>
          <w:trHeight w:val="416"/>
        </w:trPr>
        <w:tc>
          <w:tcPr>
            <w:tcW w:w="3397" w:type="dxa"/>
          </w:tcPr>
          <w:p w14:paraId="552DBB29" w14:textId="6CCA97F4" w:rsidR="006A6626" w:rsidRDefault="00CA6E1F" w:rsidP="00E5165A">
            <w:pPr>
              <w:tabs>
                <w:tab w:val="left" w:pos="8505"/>
              </w:tabs>
              <w:jc w:val="both"/>
              <w:rPr>
                <w:rFonts w:ascii="Times New Roman" w:hAnsi="Times New Roman" w:cs="Times New Roman"/>
                <w:b/>
                <w:sz w:val="20"/>
                <w:szCs w:val="20"/>
                <w:lang w:val="ro-RO"/>
              </w:rPr>
            </w:pPr>
            <w:r w:rsidRPr="00CA6E1F">
              <w:rPr>
                <w:rFonts w:ascii="Times New Roman" w:hAnsi="Times New Roman" w:cs="Times New Roman"/>
                <w:b/>
                <w:sz w:val="20"/>
                <w:szCs w:val="20"/>
                <w:lang w:val="ro-RO"/>
              </w:rPr>
              <w:lastRenderedPageBreak/>
              <w:t xml:space="preserve">2. </w:t>
            </w:r>
            <w:r w:rsidRPr="00CA6E1F">
              <w:rPr>
                <w:rFonts w:ascii="Times New Roman" w:hAnsi="Times New Roman" w:cs="Times New Roman"/>
                <w:sz w:val="20"/>
                <w:szCs w:val="20"/>
                <w:lang w:val="ro-RO"/>
              </w:rPr>
              <w:t>Prezenta hotărâre intră în vigoare la 1 ianuarie 2027, cu excepția punctelor 8), 9) și 29) care vor intra în vigoare la data publicării în Monitorul Oficial al Republicii Moldova.</w:t>
            </w:r>
          </w:p>
        </w:tc>
        <w:tc>
          <w:tcPr>
            <w:tcW w:w="2977" w:type="dxa"/>
          </w:tcPr>
          <w:p w14:paraId="5671E4BE" w14:textId="77777777" w:rsidR="006A6626" w:rsidRPr="00154388" w:rsidRDefault="006A6626" w:rsidP="00E5165A">
            <w:pPr>
              <w:tabs>
                <w:tab w:val="left" w:pos="8505"/>
              </w:tabs>
              <w:jc w:val="center"/>
              <w:rPr>
                <w:rFonts w:ascii="Times New Roman" w:hAnsi="Times New Roman" w:cs="Times New Roman"/>
                <w:b/>
                <w:color w:val="000000" w:themeColor="text1"/>
                <w:sz w:val="20"/>
                <w:szCs w:val="20"/>
                <w:lang w:val="ro-RO"/>
              </w:rPr>
            </w:pPr>
          </w:p>
        </w:tc>
        <w:tc>
          <w:tcPr>
            <w:tcW w:w="533" w:type="dxa"/>
          </w:tcPr>
          <w:p w14:paraId="6A61267C" w14:textId="3D50099D" w:rsidR="006A6626" w:rsidRDefault="006A6626" w:rsidP="00E5165A">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5</w:t>
            </w:r>
          </w:p>
        </w:tc>
        <w:tc>
          <w:tcPr>
            <w:tcW w:w="3402" w:type="dxa"/>
          </w:tcPr>
          <w:p w14:paraId="2C0E5E9B" w14:textId="7433CFDC" w:rsidR="006A6626" w:rsidRPr="006A6626" w:rsidRDefault="006A6626" w:rsidP="006A6626">
            <w:pPr>
              <w:jc w:val="both"/>
              <w:rPr>
                <w:rFonts w:ascii="Times New Roman" w:hAnsi="Times New Roman" w:cs="Times New Roman"/>
                <w:sz w:val="20"/>
                <w:szCs w:val="20"/>
              </w:rPr>
            </w:pPr>
            <w:r w:rsidRPr="00863A23">
              <w:rPr>
                <w:rFonts w:ascii="Times New Roman" w:hAnsi="Times New Roman" w:cs="Times New Roman"/>
                <w:sz w:val="20"/>
                <w:szCs w:val="20"/>
                <w:lang w:val="it-IT"/>
              </w:rPr>
              <w:t xml:space="preserve">La pct.2 punctele ”8), 9), 10) și 29)” se propun a fi modificate cu punctele ”1.8., 1.9., 1.10. </w:t>
            </w:r>
            <w:r w:rsidRPr="006A6626">
              <w:rPr>
                <w:rFonts w:ascii="Times New Roman" w:hAnsi="Times New Roman" w:cs="Times New Roman"/>
                <w:sz w:val="20"/>
                <w:szCs w:val="20"/>
              </w:rPr>
              <w:t>și 1.29”.</w:t>
            </w:r>
          </w:p>
        </w:tc>
        <w:tc>
          <w:tcPr>
            <w:tcW w:w="3436" w:type="dxa"/>
          </w:tcPr>
          <w:p w14:paraId="5335555D" w14:textId="77777777" w:rsidR="00B0459C" w:rsidRDefault="00B0459C" w:rsidP="00B0459C">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3E5027F1" w14:textId="4018BFD4" w:rsidR="006A6626" w:rsidRDefault="00B0459C" w:rsidP="00B0459C">
            <w:pPr>
              <w:tabs>
                <w:tab w:val="left" w:pos="8505"/>
              </w:tabs>
              <w:jc w:val="both"/>
              <w:rPr>
                <w:rFonts w:ascii="Times New Roman" w:hAnsi="Times New Roman" w:cs="Times New Roman"/>
                <w:b/>
                <w:sz w:val="20"/>
                <w:szCs w:val="20"/>
                <w:lang w:val="ro-RO"/>
              </w:rPr>
            </w:pPr>
            <w:r w:rsidRPr="009E4D8F">
              <w:rPr>
                <w:rFonts w:ascii="Times New Roman" w:hAnsi="Times New Roman" w:cs="Times New Roman"/>
                <w:sz w:val="20"/>
                <w:szCs w:val="20"/>
                <w:lang w:val="ro-RO"/>
              </w:rPr>
              <w:t>Au fost operate modificările propuse.</w:t>
            </w:r>
          </w:p>
        </w:tc>
      </w:tr>
      <w:tr w:rsidR="00C8539D" w:rsidRPr="00760BD0" w14:paraId="255B31C6" w14:textId="77777777" w:rsidTr="00A919EA">
        <w:trPr>
          <w:trHeight w:val="416"/>
        </w:trPr>
        <w:tc>
          <w:tcPr>
            <w:tcW w:w="3397" w:type="dxa"/>
          </w:tcPr>
          <w:p w14:paraId="738035C6" w14:textId="77777777" w:rsidR="00C8539D" w:rsidRDefault="00C8539D" w:rsidP="00E5165A">
            <w:pPr>
              <w:tabs>
                <w:tab w:val="left" w:pos="8505"/>
              </w:tabs>
              <w:jc w:val="both"/>
              <w:rPr>
                <w:rFonts w:ascii="Times New Roman" w:hAnsi="Times New Roman" w:cs="Times New Roman"/>
                <w:b/>
                <w:sz w:val="20"/>
                <w:szCs w:val="20"/>
                <w:lang w:val="ro-RO"/>
              </w:rPr>
            </w:pPr>
          </w:p>
        </w:tc>
        <w:tc>
          <w:tcPr>
            <w:tcW w:w="2977" w:type="dxa"/>
          </w:tcPr>
          <w:p w14:paraId="189BD6CE" w14:textId="42398EDB" w:rsidR="00C8539D" w:rsidRPr="00154388" w:rsidRDefault="00C8539D" w:rsidP="00C8539D">
            <w:pPr>
              <w:tabs>
                <w:tab w:val="left" w:pos="8505"/>
              </w:tabs>
              <w:jc w:val="center"/>
              <w:rPr>
                <w:rFonts w:ascii="Times New Roman" w:hAnsi="Times New Roman" w:cs="Times New Roman"/>
                <w:b/>
                <w:color w:val="000000" w:themeColor="text1"/>
                <w:sz w:val="20"/>
                <w:szCs w:val="20"/>
                <w:lang w:val="ro-RO"/>
              </w:rPr>
            </w:pPr>
            <w:r w:rsidRPr="00863A23">
              <w:rPr>
                <w:rFonts w:ascii="Times New Roman" w:hAnsi="Times New Roman" w:cs="Times New Roman"/>
                <w:b/>
                <w:color w:val="000000" w:themeColor="text1"/>
                <w:sz w:val="20"/>
                <w:szCs w:val="20"/>
                <w:lang w:val="it-IT"/>
              </w:rPr>
              <w:t xml:space="preserve">Casa Națională de Asigurări Sociale </w:t>
            </w:r>
            <w:r>
              <w:rPr>
                <w:rFonts w:ascii="Times New Roman" w:hAnsi="Times New Roman" w:cs="Times New Roman"/>
                <w:b/>
                <w:color w:val="000000" w:themeColor="text1"/>
                <w:sz w:val="20"/>
                <w:szCs w:val="20"/>
                <w:lang w:val="ro-RO"/>
              </w:rPr>
              <w:t xml:space="preserve">(scrisoarea nr. </w:t>
            </w:r>
            <w:r w:rsidRPr="00863A23">
              <w:rPr>
                <w:rFonts w:ascii="Times New Roman" w:hAnsi="Times New Roman" w:cs="Times New Roman"/>
                <w:b/>
                <w:color w:val="000000" w:themeColor="text1"/>
                <w:sz w:val="20"/>
                <w:szCs w:val="20"/>
                <w:lang w:val="it-IT"/>
              </w:rPr>
              <w:t xml:space="preserve">6434 </w:t>
            </w:r>
            <w:r w:rsidRPr="002574BA">
              <w:rPr>
                <w:rFonts w:ascii="Times New Roman" w:hAnsi="Times New Roman" w:cs="Times New Roman"/>
                <w:b/>
                <w:color w:val="000000" w:themeColor="text1"/>
                <w:sz w:val="20"/>
                <w:szCs w:val="20"/>
                <w:lang w:val="ro-RO"/>
              </w:rPr>
              <w:t xml:space="preserve">din </w:t>
            </w:r>
            <w:r>
              <w:rPr>
                <w:rFonts w:ascii="Times New Roman" w:hAnsi="Times New Roman" w:cs="Times New Roman"/>
                <w:b/>
                <w:color w:val="000000" w:themeColor="text1"/>
                <w:sz w:val="20"/>
                <w:szCs w:val="20"/>
                <w:lang w:val="ro-RO"/>
              </w:rPr>
              <w:t>22.04.</w:t>
            </w:r>
            <w:r w:rsidRPr="002574BA">
              <w:rPr>
                <w:rFonts w:ascii="Times New Roman" w:hAnsi="Times New Roman" w:cs="Times New Roman"/>
                <w:b/>
                <w:color w:val="000000" w:themeColor="text1"/>
                <w:sz w:val="20"/>
                <w:szCs w:val="20"/>
                <w:lang w:val="ro-RO"/>
              </w:rPr>
              <w:t>2026)</w:t>
            </w:r>
          </w:p>
        </w:tc>
        <w:tc>
          <w:tcPr>
            <w:tcW w:w="533" w:type="dxa"/>
          </w:tcPr>
          <w:p w14:paraId="2D8C69A4" w14:textId="77777777" w:rsidR="00C8539D" w:rsidRDefault="00C8539D" w:rsidP="00E5165A">
            <w:pPr>
              <w:tabs>
                <w:tab w:val="left" w:pos="8505"/>
              </w:tabs>
              <w:jc w:val="center"/>
              <w:rPr>
                <w:rFonts w:ascii="Times New Roman" w:hAnsi="Times New Roman" w:cs="Times New Roman"/>
                <w:b/>
                <w:sz w:val="20"/>
                <w:szCs w:val="20"/>
                <w:lang w:val="ro-RO"/>
              </w:rPr>
            </w:pPr>
          </w:p>
        </w:tc>
        <w:tc>
          <w:tcPr>
            <w:tcW w:w="3402" w:type="dxa"/>
          </w:tcPr>
          <w:p w14:paraId="7EBD7305" w14:textId="77777777" w:rsidR="00C8539D" w:rsidRPr="00863A23" w:rsidRDefault="00C8539D" w:rsidP="006A6626">
            <w:pPr>
              <w:jc w:val="both"/>
              <w:rPr>
                <w:rFonts w:ascii="Times New Roman" w:hAnsi="Times New Roman" w:cs="Times New Roman"/>
                <w:sz w:val="20"/>
                <w:szCs w:val="20"/>
                <w:lang w:val="it-IT"/>
              </w:rPr>
            </w:pPr>
          </w:p>
        </w:tc>
        <w:tc>
          <w:tcPr>
            <w:tcW w:w="3436" w:type="dxa"/>
          </w:tcPr>
          <w:p w14:paraId="44F27ABB" w14:textId="77777777" w:rsidR="00C8539D" w:rsidRDefault="00C8539D" w:rsidP="00E5165A">
            <w:pPr>
              <w:tabs>
                <w:tab w:val="left" w:pos="8505"/>
              </w:tabs>
              <w:jc w:val="both"/>
              <w:rPr>
                <w:rFonts w:ascii="Times New Roman" w:hAnsi="Times New Roman" w:cs="Times New Roman"/>
                <w:b/>
                <w:sz w:val="20"/>
                <w:szCs w:val="20"/>
                <w:lang w:val="ro-RO"/>
              </w:rPr>
            </w:pPr>
          </w:p>
        </w:tc>
      </w:tr>
      <w:tr w:rsidR="00C8539D" w:rsidRPr="009957C6" w14:paraId="7B60993D" w14:textId="77777777" w:rsidTr="00A919EA">
        <w:trPr>
          <w:trHeight w:val="416"/>
        </w:trPr>
        <w:tc>
          <w:tcPr>
            <w:tcW w:w="3397" w:type="dxa"/>
          </w:tcPr>
          <w:p w14:paraId="248A6BC6" w14:textId="77777777" w:rsidR="00C8539D" w:rsidRDefault="00C8539D" w:rsidP="00C8539D">
            <w:pPr>
              <w:tabs>
                <w:tab w:val="left" w:pos="8505"/>
              </w:tabs>
              <w:jc w:val="both"/>
              <w:rPr>
                <w:rFonts w:ascii="Times New Roman" w:hAnsi="Times New Roman" w:cs="Times New Roman"/>
                <w:b/>
                <w:sz w:val="20"/>
                <w:szCs w:val="20"/>
                <w:lang w:val="ro-RO"/>
              </w:rPr>
            </w:pPr>
          </w:p>
        </w:tc>
        <w:tc>
          <w:tcPr>
            <w:tcW w:w="2977" w:type="dxa"/>
          </w:tcPr>
          <w:p w14:paraId="6D555721" w14:textId="77777777" w:rsidR="00C8539D" w:rsidRPr="00154388" w:rsidRDefault="00C8539D" w:rsidP="00C8539D">
            <w:pPr>
              <w:tabs>
                <w:tab w:val="left" w:pos="8505"/>
              </w:tabs>
              <w:jc w:val="center"/>
              <w:rPr>
                <w:rFonts w:ascii="Times New Roman" w:hAnsi="Times New Roman" w:cs="Times New Roman"/>
                <w:b/>
                <w:color w:val="000000" w:themeColor="text1"/>
                <w:sz w:val="20"/>
                <w:szCs w:val="20"/>
                <w:lang w:val="ro-RO"/>
              </w:rPr>
            </w:pPr>
          </w:p>
        </w:tc>
        <w:tc>
          <w:tcPr>
            <w:tcW w:w="533" w:type="dxa"/>
          </w:tcPr>
          <w:p w14:paraId="7DFC82C6" w14:textId="3CEBA5F0" w:rsidR="00C8539D" w:rsidRDefault="00C8539D" w:rsidP="00C8539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5B31D473" w14:textId="346E3BEB" w:rsidR="00C8539D" w:rsidRPr="00863A23" w:rsidRDefault="00C8539D" w:rsidP="00C8539D">
            <w:pPr>
              <w:jc w:val="both"/>
              <w:rPr>
                <w:rFonts w:ascii="Times New Roman" w:hAnsi="Times New Roman" w:cs="Times New Roman"/>
                <w:sz w:val="20"/>
                <w:szCs w:val="20"/>
                <w:lang w:val="it-IT"/>
              </w:rPr>
            </w:pPr>
            <w:r>
              <w:rPr>
                <w:rFonts w:ascii="Times New Roman" w:hAnsi="Times New Roman" w:cs="Times New Roman"/>
                <w:sz w:val="20"/>
                <w:szCs w:val="20"/>
                <w:lang w:val="ro-RO"/>
              </w:rPr>
              <w:t>Lipsa de obiecții și propuneri</w:t>
            </w:r>
          </w:p>
        </w:tc>
        <w:tc>
          <w:tcPr>
            <w:tcW w:w="3436" w:type="dxa"/>
          </w:tcPr>
          <w:p w14:paraId="21B0169F" w14:textId="03FD762C" w:rsidR="00C8539D" w:rsidRDefault="00C8539D" w:rsidP="00C8539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D47E14" w:rsidRPr="00760BD0" w14:paraId="53FF1D34" w14:textId="77777777" w:rsidTr="00A919EA">
        <w:trPr>
          <w:trHeight w:val="416"/>
        </w:trPr>
        <w:tc>
          <w:tcPr>
            <w:tcW w:w="3397" w:type="dxa"/>
          </w:tcPr>
          <w:p w14:paraId="569AC917" w14:textId="77777777" w:rsidR="00D47E14" w:rsidRDefault="00D47E14" w:rsidP="00C8539D">
            <w:pPr>
              <w:tabs>
                <w:tab w:val="left" w:pos="8505"/>
              </w:tabs>
              <w:jc w:val="both"/>
              <w:rPr>
                <w:rFonts w:ascii="Times New Roman" w:hAnsi="Times New Roman" w:cs="Times New Roman"/>
                <w:b/>
                <w:sz w:val="20"/>
                <w:szCs w:val="20"/>
                <w:lang w:val="ro-RO"/>
              </w:rPr>
            </w:pPr>
          </w:p>
        </w:tc>
        <w:tc>
          <w:tcPr>
            <w:tcW w:w="2977" w:type="dxa"/>
          </w:tcPr>
          <w:p w14:paraId="0B216641" w14:textId="4616350B" w:rsidR="00D47E14" w:rsidRPr="00154388" w:rsidRDefault="00D47E14" w:rsidP="00D47E14">
            <w:pPr>
              <w:tabs>
                <w:tab w:val="left" w:pos="8505"/>
              </w:tabs>
              <w:jc w:val="center"/>
              <w:rPr>
                <w:rFonts w:ascii="Times New Roman" w:hAnsi="Times New Roman" w:cs="Times New Roman"/>
                <w:b/>
                <w:color w:val="000000" w:themeColor="text1"/>
                <w:sz w:val="20"/>
                <w:szCs w:val="20"/>
                <w:lang w:val="ro-RO"/>
              </w:rPr>
            </w:pPr>
            <w:r w:rsidRPr="00863A23">
              <w:rPr>
                <w:rFonts w:ascii="Times New Roman" w:hAnsi="Times New Roman" w:cs="Times New Roman"/>
                <w:b/>
                <w:color w:val="000000" w:themeColor="text1"/>
                <w:sz w:val="20"/>
                <w:szCs w:val="20"/>
                <w:lang w:val="it-IT"/>
              </w:rPr>
              <w:t xml:space="preserve">Compania Națională de Asigurări în Medicină </w:t>
            </w:r>
            <w:r>
              <w:rPr>
                <w:rFonts w:ascii="Times New Roman" w:hAnsi="Times New Roman" w:cs="Times New Roman"/>
                <w:b/>
                <w:color w:val="000000" w:themeColor="text1"/>
                <w:sz w:val="20"/>
                <w:szCs w:val="20"/>
                <w:lang w:val="ro-RO"/>
              </w:rPr>
              <w:t xml:space="preserve">(scrisoarea nr. </w:t>
            </w:r>
            <w:r w:rsidRPr="00863A23">
              <w:rPr>
                <w:rFonts w:ascii="Times New Roman" w:hAnsi="Times New Roman" w:cs="Times New Roman"/>
                <w:b/>
                <w:color w:val="000000" w:themeColor="text1"/>
                <w:sz w:val="20"/>
                <w:szCs w:val="20"/>
                <w:lang w:val="it-IT"/>
              </w:rPr>
              <w:t xml:space="preserve">01-08/1248 </w:t>
            </w:r>
            <w:r w:rsidRPr="002574BA">
              <w:rPr>
                <w:rFonts w:ascii="Times New Roman" w:hAnsi="Times New Roman" w:cs="Times New Roman"/>
                <w:b/>
                <w:color w:val="000000" w:themeColor="text1"/>
                <w:sz w:val="20"/>
                <w:szCs w:val="20"/>
                <w:lang w:val="ro-RO"/>
              </w:rPr>
              <w:t xml:space="preserve">din </w:t>
            </w:r>
            <w:r>
              <w:rPr>
                <w:rFonts w:ascii="Times New Roman" w:hAnsi="Times New Roman" w:cs="Times New Roman"/>
                <w:b/>
                <w:color w:val="000000" w:themeColor="text1"/>
                <w:sz w:val="20"/>
                <w:szCs w:val="20"/>
                <w:lang w:val="ro-RO"/>
              </w:rPr>
              <w:t>23.04.</w:t>
            </w:r>
            <w:r w:rsidRPr="002574BA">
              <w:rPr>
                <w:rFonts w:ascii="Times New Roman" w:hAnsi="Times New Roman" w:cs="Times New Roman"/>
                <w:b/>
                <w:color w:val="000000" w:themeColor="text1"/>
                <w:sz w:val="20"/>
                <w:szCs w:val="20"/>
                <w:lang w:val="ro-RO"/>
              </w:rPr>
              <w:t>2026)</w:t>
            </w:r>
          </w:p>
        </w:tc>
        <w:tc>
          <w:tcPr>
            <w:tcW w:w="533" w:type="dxa"/>
          </w:tcPr>
          <w:p w14:paraId="1B5C787F" w14:textId="77777777" w:rsidR="00D47E14" w:rsidRDefault="00D47E14" w:rsidP="00C8539D">
            <w:pPr>
              <w:tabs>
                <w:tab w:val="left" w:pos="8505"/>
              </w:tabs>
              <w:jc w:val="center"/>
              <w:rPr>
                <w:rFonts w:ascii="Times New Roman" w:hAnsi="Times New Roman" w:cs="Times New Roman"/>
                <w:b/>
                <w:sz w:val="20"/>
                <w:szCs w:val="20"/>
                <w:lang w:val="ro-RO"/>
              </w:rPr>
            </w:pPr>
          </w:p>
        </w:tc>
        <w:tc>
          <w:tcPr>
            <w:tcW w:w="3402" w:type="dxa"/>
          </w:tcPr>
          <w:p w14:paraId="45877268" w14:textId="77777777" w:rsidR="00D47E14" w:rsidRDefault="00D47E14" w:rsidP="00C8539D">
            <w:pPr>
              <w:jc w:val="both"/>
              <w:rPr>
                <w:rFonts w:ascii="Times New Roman" w:hAnsi="Times New Roman" w:cs="Times New Roman"/>
                <w:sz w:val="20"/>
                <w:szCs w:val="20"/>
                <w:lang w:val="ro-RO"/>
              </w:rPr>
            </w:pPr>
          </w:p>
        </w:tc>
        <w:tc>
          <w:tcPr>
            <w:tcW w:w="3436" w:type="dxa"/>
          </w:tcPr>
          <w:p w14:paraId="783CEA8D" w14:textId="77777777" w:rsidR="00D47E14" w:rsidRDefault="00D47E14" w:rsidP="00C8539D">
            <w:pPr>
              <w:tabs>
                <w:tab w:val="left" w:pos="8505"/>
              </w:tabs>
              <w:jc w:val="both"/>
              <w:rPr>
                <w:rFonts w:ascii="Times New Roman" w:hAnsi="Times New Roman" w:cs="Times New Roman"/>
                <w:b/>
                <w:sz w:val="20"/>
                <w:szCs w:val="20"/>
                <w:lang w:val="ro-RO"/>
              </w:rPr>
            </w:pPr>
          </w:p>
        </w:tc>
      </w:tr>
      <w:tr w:rsidR="00D47E14" w:rsidRPr="009957C6" w14:paraId="2C6C71C9" w14:textId="77777777" w:rsidTr="00A919EA">
        <w:trPr>
          <w:trHeight w:val="416"/>
        </w:trPr>
        <w:tc>
          <w:tcPr>
            <w:tcW w:w="3397" w:type="dxa"/>
          </w:tcPr>
          <w:p w14:paraId="644D11A4" w14:textId="77777777" w:rsidR="00D47E14" w:rsidRDefault="00D47E14" w:rsidP="00D47E14">
            <w:pPr>
              <w:tabs>
                <w:tab w:val="left" w:pos="8505"/>
              </w:tabs>
              <w:jc w:val="both"/>
              <w:rPr>
                <w:rFonts w:ascii="Times New Roman" w:hAnsi="Times New Roman" w:cs="Times New Roman"/>
                <w:b/>
                <w:sz w:val="20"/>
                <w:szCs w:val="20"/>
                <w:lang w:val="ro-RO"/>
              </w:rPr>
            </w:pPr>
          </w:p>
        </w:tc>
        <w:tc>
          <w:tcPr>
            <w:tcW w:w="2977" w:type="dxa"/>
          </w:tcPr>
          <w:p w14:paraId="7BAAA727" w14:textId="77777777" w:rsidR="00D47E14" w:rsidRPr="00154388" w:rsidRDefault="00D47E14" w:rsidP="00D47E14">
            <w:pPr>
              <w:tabs>
                <w:tab w:val="left" w:pos="8505"/>
              </w:tabs>
              <w:jc w:val="center"/>
              <w:rPr>
                <w:rFonts w:ascii="Times New Roman" w:hAnsi="Times New Roman" w:cs="Times New Roman"/>
                <w:b/>
                <w:color w:val="000000" w:themeColor="text1"/>
                <w:sz w:val="20"/>
                <w:szCs w:val="20"/>
                <w:lang w:val="ro-RO"/>
              </w:rPr>
            </w:pPr>
          </w:p>
        </w:tc>
        <w:tc>
          <w:tcPr>
            <w:tcW w:w="533" w:type="dxa"/>
          </w:tcPr>
          <w:p w14:paraId="5CDB768E" w14:textId="3BB1636F" w:rsidR="00D47E14" w:rsidRDefault="00D47E14" w:rsidP="00D47E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6A601B4C" w14:textId="09445BEB" w:rsidR="00D47E14" w:rsidRDefault="00D47E14" w:rsidP="00D47E14">
            <w:pPr>
              <w:jc w:val="both"/>
              <w:rPr>
                <w:rFonts w:ascii="Times New Roman" w:hAnsi="Times New Roman" w:cs="Times New Roman"/>
                <w:sz w:val="20"/>
                <w:szCs w:val="20"/>
                <w:lang w:val="ro-RO"/>
              </w:rPr>
            </w:pPr>
            <w:r>
              <w:rPr>
                <w:rFonts w:ascii="Times New Roman" w:hAnsi="Times New Roman" w:cs="Times New Roman"/>
                <w:sz w:val="20"/>
                <w:szCs w:val="20"/>
                <w:lang w:val="ro-RO"/>
              </w:rPr>
              <w:t>Lipsa de obiecții și propuneri</w:t>
            </w:r>
          </w:p>
        </w:tc>
        <w:tc>
          <w:tcPr>
            <w:tcW w:w="3436" w:type="dxa"/>
          </w:tcPr>
          <w:p w14:paraId="04041A2A" w14:textId="1E87046A" w:rsidR="00D47E14" w:rsidRDefault="00D47E14" w:rsidP="00D47E14">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20293F" w:rsidRPr="00760BD0" w14:paraId="32B86295" w14:textId="77777777" w:rsidTr="00A919EA">
        <w:trPr>
          <w:trHeight w:val="416"/>
        </w:trPr>
        <w:tc>
          <w:tcPr>
            <w:tcW w:w="3397" w:type="dxa"/>
          </w:tcPr>
          <w:p w14:paraId="67CB6186" w14:textId="77777777" w:rsidR="0020293F" w:rsidRDefault="0020293F" w:rsidP="00D47E14">
            <w:pPr>
              <w:tabs>
                <w:tab w:val="left" w:pos="8505"/>
              </w:tabs>
              <w:jc w:val="both"/>
              <w:rPr>
                <w:rFonts w:ascii="Times New Roman" w:hAnsi="Times New Roman" w:cs="Times New Roman"/>
                <w:b/>
                <w:sz w:val="20"/>
                <w:szCs w:val="20"/>
                <w:lang w:val="ro-RO"/>
              </w:rPr>
            </w:pPr>
          </w:p>
        </w:tc>
        <w:tc>
          <w:tcPr>
            <w:tcW w:w="2977" w:type="dxa"/>
          </w:tcPr>
          <w:p w14:paraId="00694A9E" w14:textId="23423B91" w:rsidR="0020293F" w:rsidRPr="00154388" w:rsidRDefault="0020293F" w:rsidP="0020293F">
            <w:pPr>
              <w:tabs>
                <w:tab w:val="left" w:pos="8505"/>
              </w:tabs>
              <w:jc w:val="center"/>
              <w:rPr>
                <w:rFonts w:ascii="Times New Roman" w:hAnsi="Times New Roman" w:cs="Times New Roman"/>
                <w:b/>
                <w:color w:val="000000" w:themeColor="text1"/>
                <w:sz w:val="20"/>
                <w:szCs w:val="20"/>
                <w:lang w:val="ro-RO"/>
              </w:rPr>
            </w:pPr>
            <w:r w:rsidRPr="00863A23">
              <w:rPr>
                <w:rFonts w:ascii="Times New Roman" w:hAnsi="Times New Roman" w:cs="Times New Roman"/>
                <w:b/>
                <w:color w:val="000000" w:themeColor="text1"/>
                <w:sz w:val="20"/>
                <w:szCs w:val="20"/>
                <w:lang w:val="it-IT"/>
              </w:rPr>
              <w:t xml:space="preserve">Centrul de armonizare a legislației </w:t>
            </w:r>
            <w:r w:rsidRPr="0020293F">
              <w:rPr>
                <w:rFonts w:ascii="Times New Roman" w:hAnsi="Times New Roman" w:cs="Times New Roman"/>
                <w:b/>
                <w:color w:val="000000" w:themeColor="text1"/>
                <w:sz w:val="20"/>
                <w:szCs w:val="20"/>
                <w:lang w:val="ro-RO"/>
              </w:rPr>
              <w:t xml:space="preserve">(scrisoarea nr. </w:t>
            </w:r>
            <w:r w:rsidRPr="00863A23">
              <w:rPr>
                <w:rFonts w:ascii="Times New Roman" w:hAnsi="Times New Roman" w:cs="Times New Roman"/>
                <w:b/>
                <w:color w:val="000000" w:themeColor="text1"/>
                <w:sz w:val="20"/>
                <w:szCs w:val="20"/>
                <w:lang w:val="it-IT"/>
              </w:rPr>
              <w:t xml:space="preserve">31/02-69-4579 </w:t>
            </w:r>
            <w:r w:rsidRPr="0020293F">
              <w:rPr>
                <w:rFonts w:ascii="Times New Roman" w:hAnsi="Times New Roman" w:cs="Times New Roman"/>
                <w:b/>
                <w:color w:val="000000" w:themeColor="text1"/>
                <w:sz w:val="20"/>
                <w:szCs w:val="20"/>
                <w:lang w:val="ro-RO"/>
              </w:rPr>
              <w:t>din 2</w:t>
            </w:r>
            <w:r>
              <w:rPr>
                <w:rFonts w:ascii="Times New Roman" w:hAnsi="Times New Roman" w:cs="Times New Roman"/>
                <w:b/>
                <w:color w:val="000000" w:themeColor="text1"/>
                <w:sz w:val="20"/>
                <w:szCs w:val="20"/>
                <w:lang w:val="ro-RO"/>
              </w:rPr>
              <w:t>2</w:t>
            </w:r>
            <w:r w:rsidRPr="0020293F">
              <w:rPr>
                <w:rFonts w:ascii="Times New Roman" w:hAnsi="Times New Roman" w:cs="Times New Roman"/>
                <w:b/>
                <w:color w:val="000000" w:themeColor="text1"/>
                <w:sz w:val="20"/>
                <w:szCs w:val="20"/>
                <w:lang w:val="ro-RO"/>
              </w:rPr>
              <w:t>.04.2026)</w:t>
            </w:r>
          </w:p>
        </w:tc>
        <w:tc>
          <w:tcPr>
            <w:tcW w:w="533" w:type="dxa"/>
          </w:tcPr>
          <w:p w14:paraId="62604951" w14:textId="77777777" w:rsidR="0020293F" w:rsidRDefault="0020293F" w:rsidP="00D47E14">
            <w:pPr>
              <w:tabs>
                <w:tab w:val="left" w:pos="8505"/>
              </w:tabs>
              <w:jc w:val="center"/>
              <w:rPr>
                <w:rFonts w:ascii="Times New Roman" w:hAnsi="Times New Roman" w:cs="Times New Roman"/>
                <w:b/>
                <w:sz w:val="20"/>
                <w:szCs w:val="20"/>
                <w:lang w:val="ro-RO"/>
              </w:rPr>
            </w:pPr>
          </w:p>
        </w:tc>
        <w:tc>
          <w:tcPr>
            <w:tcW w:w="3402" w:type="dxa"/>
          </w:tcPr>
          <w:p w14:paraId="22E991EE" w14:textId="77777777" w:rsidR="0020293F" w:rsidRDefault="0020293F" w:rsidP="00D47E14">
            <w:pPr>
              <w:jc w:val="both"/>
              <w:rPr>
                <w:rFonts w:ascii="Times New Roman" w:hAnsi="Times New Roman" w:cs="Times New Roman"/>
                <w:sz w:val="20"/>
                <w:szCs w:val="20"/>
                <w:lang w:val="ro-RO"/>
              </w:rPr>
            </w:pPr>
          </w:p>
        </w:tc>
        <w:tc>
          <w:tcPr>
            <w:tcW w:w="3436" w:type="dxa"/>
          </w:tcPr>
          <w:p w14:paraId="75900FBB" w14:textId="77777777" w:rsidR="0020293F" w:rsidRDefault="0020293F" w:rsidP="00D47E14">
            <w:pPr>
              <w:tabs>
                <w:tab w:val="left" w:pos="8505"/>
              </w:tabs>
              <w:jc w:val="both"/>
              <w:rPr>
                <w:rFonts w:ascii="Times New Roman" w:hAnsi="Times New Roman" w:cs="Times New Roman"/>
                <w:b/>
                <w:sz w:val="20"/>
                <w:szCs w:val="20"/>
                <w:lang w:val="ro-RO"/>
              </w:rPr>
            </w:pPr>
          </w:p>
        </w:tc>
      </w:tr>
      <w:tr w:rsidR="0020293F" w:rsidRPr="009957C6" w14:paraId="32570FE1" w14:textId="77777777" w:rsidTr="00A919EA">
        <w:trPr>
          <w:trHeight w:val="416"/>
        </w:trPr>
        <w:tc>
          <w:tcPr>
            <w:tcW w:w="3397" w:type="dxa"/>
          </w:tcPr>
          <w:p w14:paraId="3AABD669" w14:textId="4C8838CE" w:rsidR="0020293F" w:rsidRDefault="00B0459C" w:rsidP="00D47E14">
            <w:pPr>
              <w:tabs>
                <w:tab w:val="left" w:pos="8505"/>
              </w:tabs>
              <w:jc w:val="both"/>
              <w:rPr>
                <w:rFonts w:ascii="Times New Roman" w:hAnsi="Times New Roman" w:cs="Times New Roman"/>
                <w:b/>
                <w:sz w:val="20"/>
                <w:szCs w:val="20"/>
                <w:lang w:val="ro-RO"/>
              </w:rPr>
            </w:pPr>
            <w:r w:rsidRPr="00B0459C">
              <w:rPr>
                <w:rFonts w:ascii="Times New Roman" w:hAnsi="Times New Roman" w:cs="Times New Roman"/>
                <w:b/>
                <w:sz w:val="20"/>
                <w:szCs w:val="20"/>
                <w:lang w:val="ro-RO"/>
              </w:rPr>
              <w:t>În contextul proiectului</w:t>
            </w:r>
          </w:p>
        </w:tc>
        <w:tc>
          <w:tcPr>
            <w:tcW w:w="2977" w:type="dxa"/>
          </w:tcPr>
          <w:p w14:paraId="6D4D6045" w14:textId="77777777" w:rsidR="0020293F" w:rsidRPr="00154388" w:rsidRDefault="0020293F" w:rsidP="00D47E14">
            <w:pPr>
              <w:tabs>
                <w:tab w:val="left" w:pos="8505"/>
              </w:tabs>
              <w:jc w:val="center"/>
              <w:rPr>
                <w:rFonts w:ascii="Times New Roman" w:hAnsi="Times New Roman" w:cs="Times New Roman"/>
                <w:b/>
                <w:color w:val="000000" w:themeColor="text1"/>
                <w:sz w:val="20"/>
                <w:szCs w:val="20"/>
                <w:lang w:val="ro-RO"/>
              </w:rPr>
            </w:pPr>
          </w:p>
        </w:tc>
        <w:tc>
          <w:tcPr>
            <w:tcW w:w="533" w:type="dxa"/>
          </w:tcPr>
          <w:p w14:paraId="4C732702" w14:textId="06128423" w:rsidR="0020293F" w:rsidRDefault="00C0157E" w:rsidP="00D47E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78AC5FF3" w14:textId="5F250B67" w:rsidR="0020293F" w:rsidRDefault="00C0157E" w:rsidP="00D47E14">
            <w:pPr>
              <w:jc w:val="both"/>
              <w:rPr>
                <w:rFonts w:ascii="Times New Roman" w:hAnsi="Times New Roman" w:cs="Times New Roman"/>
                <w:sz w:val="20"/>
                <w:szCs w:val="20"/>
                <w:lang w:val="ro-RO"/>
              </w:rPr>
            </w:pPr>
            <w:r w:rsidRPr="00C0157E">
              <w:rPr>
                <w:rFonts w:ascii="Times New Roman" w:hAnsi="Times New Roman" w:cs="Times New Roman"/>
                <w:sz w:val="20"/>
                <w:szCs w:val="20"/>
              </w:rPr>
              <w:t xml:space="preserve">Proiectul menționat, inițiat în temeiul art. 90, alin. (3) lit. c) din Legea nr. 325/2025 privind achizițiile publice, are </w:t>
            </w:r>
            <w:r w:rsidRPr="00C0157E">
              <w:rPr>
                <w:rFonts w:ascii="Times New Roman" w:hAnsi="Times New Roman" w:cs="Times New Roman"/>
                <w:sz w:val="20"/>
                <w:szCs w:val="20"/>
              </w:rPr>
              <w:lastRenderedPageBreak/>
              <w:t>ca obiectiv actualizarea cadrului normativ secundar național privind achizițiile publice de valoare mică, în concordanță cu prevederile legale armonizate și revizuite din domeniul achizițiilor publice.</w:t>
            </w:r>
          </w:p>
        </w:tc>
        <w:tc>
          <w:tcPr>
            <w:tcW w:w="3436" w:type="dxa"/>
          </w:tcPr>
          <w:p w14:paraId="07E9E085" w14:textId="218DB04F" w:rsidR="0020293F" w:rsidRDefault="00B0459C" w:rsidP="00D47E14">
            <w:pPr>
              <w:tabs>
                <w:tab w:val="left" w:pos="8505"/>
              </w:tabs>
              <w:jc w:val="both"/>
              <w:rPr>
                <w:rFonts w:ascii="Times New Roman" w:hAnsi="Times New Roman" w:cs="Times New Roman"/>
                <w:b/>
                <w:sz w:val="20"/>
                <w:szCs w:val="20"/>
                <w:lang w:val="ro-RO"/>
              </w:rPr>
            </w:pPr>
            <w:r w:rsidRPr="00B0459C">
              <w:rPr>
                <w:rFonts w:ascii="Times New Roman" w:hAnsi="Times New Roman" w:cs="Times New Roman"/>
                <w:b/>
                <w:sz w:val="20"/>
                <w:szCs w:val="20"/>
                <w:lang w:val="ro-RO"/>
              </w:rPr>
              <w:lastRenderedPageBreak/>
              <w:t>Se ia act</w:t>
            </w:r>
          </w:p>
        </w:tc>
      </w:tr>
      <w:tr w:rsidR="00C0157E" w:rsidRPr="00274D20" w14:paraId="2CB89651" w14:textId="77777777" w:rsidTr="00A919EA">
        <w:trPr>
          <w:trHeight w:val="416"/>
        </w:trPr>
        <w:tc>
          <w:tcPr>
            <w:tcW w:w="3397" w:type="dxa"/>
          </w:tcPr>
          <w:p w14:paraId="0DA437D5" w14:textId="527FAB28" w:rsidR="00C0157E" w:rsidRDefault="00B0459C" w:rsidP="00D47E14">
            <w:pPr>
              <w:tabs>
                <w:tab w:val="left" w:pos="8505"/>
              </w:tabs>
              <w:jc w:val="both"/>
              <w:rPr>
                <w:rFonts w:ascii="Times New Roman" w:hAnsi="Times New Roman" w:cs="Times New Roman"/>
                <w:b/>
                <w:sz w:val="20"/>
                <w:szCs w:val="20"/>
                <w:lang w:val="ro-RO"/>
              </w:rPr>
            </w:pPr>
            <w:r w:rsidRPr="00B0459C">
              <w:rPr>
                <w:rFonts w:ascii="Times New Roman" w:hAnsi="Times New Roman" w:cs="Times New Roman"/>
                <w:b/>
                <w:sz w:val="20"/>
                <w:szCs w:val="20"/>
                <w:lang w:val="ro-RO"/>
              </w:rPr>
              <w:lastRenderedPageBreak/>
              <w:t>În contextul proiectului</w:t>
            </w:r>
          </w:p>
        </w:tc>
        <w:tc>
          <w:tcPr>
            <w:tcW w:w="2977" w:type="dxa"/>
          </w:tcPr>
          <w:p w14:paraId="6FFEA564" w14:textId="77777777" w:rsidR="00C0157E" w:rsidRPr="00154388" w:rsidRDefault="00C0157E" w:rsidP="00D47E14">
            <w:pPr>
              <w:tabs>
                <w:tab w:val="left" w:pos="8505"/>
              </w:tabs>
              <w:jc w:val="center"/>
              <w:rPr>
                <w:rFonts w:ascii="Times New Roman" w:hAnsi="Times New Roman" w:cs="Times New Roman"/>
                <w:b/>
                <w:color w:val="000000" w:themeColor="text1"/>
                <w:sz w:val="20"/>
                <w:szCs w:val="20"/>
                <w:lang w:val="ro-RO"/>
              </w:rPr>
            </w:pPr>
          </w:p>
        </w:tc>
        <w:tc>
          <w:tcPr>
            <w:tcW w:w="533" w:type="dxa"/>
          </w:tcPr>
          <w:p w14:paraId="171BE451" w14:textId="12F747CC" w:rsidR="00C0157E" w:rsidRDefault="00C0157E" w:rsidP="00D47E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1754F9C6" w14:textId="77777777" w:rsidR="00C0157E" w:rsidRPr="00863A23" w:rsidRDefault="00C0157E" w:rsidP="00D47E14">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Din punct de vedere al dreptului UE, prin prisma obiectului de reglementare, prezentul demers normativ se circumscrie reglementărilor statuate la nivelul UE, subsumate Capitolului 5 „Achiziții publice”.</w:t>
            </w:r>
          </w:p>
          <w:p w14:paraId="7BEBA5A0" w14:textId="77777777" w:rsidR="00C0157E" w:rsidRPr="00863A23" w:rsidRDefault="00C0157E" w:rsidP="00C0157E">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Din perspectiva proiectului examinat, la nivelul legislației europene, prezintă relevanță directă prevederile Comunicării interpretative a Comisiei privind legislația comunitară aplicabilă atribuirii contractelor care nu intră sau intră parțial sub incidența prevederilor Directivelor privind achizițiile publice 2006/C 179/02. </w:t>
            </w:r>
          </w:p>
          <w:p w14:paraId="2412BBFD" w14:textId="297CAB39" w:rsidR="00C0157E" w:rsidRDefault="00C0157E" w:rsidP="00C0157E">
            <w:pPr>
              <w:jc w:val="both"/>
              <w:rPr>
                <w:rFonts w:ascii="Times New Roman" w:hAnsi="Times New Roman" w:cs="Times New Roman"/>
                <w:sz w:val="20"/>
                <w:szCs w:val="20"/>
                <w:lang w:val="ro-RO"/>
              </w:rPr>
            </w:pPr>
            <w:r w:rsidRPr="00863A23">
              <w:rPr>
                <w:rFonts w:ascii="Times New Roman" w:hAnsi="Times New Roman" w:cs="Times New Roman"/>
                <w:sz w:val="20"/>
                <w:szCs w:val="20"/>
                <w:lang w:val="it-IT"/>
              </w:rPr>
              <w:t xml:space="preserve">Conform Comunicării UE, contractele sub pragurile stabilite de Directivele privind achizițiile publice nu sunt supuse cerințelor procedurale prevăzute de acestea. În consecință, atribuirea majorității contractelor atribuite de autoritățile contractante se desfășoară conform regulilor, politicilor și procedurilor naționale. Totodată, există o serie de cerințe importante ce necesită a fi luate în considerare la elaborarea normelor naționale în domeniul achizițiilor publice sub pragurile valorice stabilite de Directivele UE. Procesele de achiziții pentru contractele sub pragurile valorice stabilite de Directivele UE ar trebui să: fie eficiente și eficace, utilizând proceduri, termene și documente adaptate nevoilor și obiectivelor specifice ale achiziției; fie proporționale și să evite birocrația inutilă, pentru a nu impune sarcini sau </w:t>
            </w:r>
            <w:r w:rsidRPr="00863A23">
              <w:rPr>
                <w:rFonts w:ascii="Times New Roman" w:hAnsi="Times New Roman" w:cs="Times New Roman"/>
                <w:sz w:val="20"/>
                <w:szCs w:val="20"/>
                <w:lang w:val="it-IT"/>
              </w:rPr>
              <w:lastRenderedPageBreak/>
              <w:t>costuri administrative excesive autorității contractante sau operatorului economic, raportat la dimensiunea, valoarea și complexitatea contractului; asigure o concurență adecvată, întrucât concurența deschisă și echitabilă atrage o gamă mai largă de ofertanți, inclusiv întreprinderi mici și mijlocii sau companii nou-înființate, care pot fi interesate în special de contractele cu valoare redusă; fie transparente, deoarece transparența procesului sprijină concurența loială și contribuie la prevenirea corupției și favoritismului; respecte regulile și principiile TFUE și, acolo unde este relevant, standardele de bază dezvoltate de CJUE; utilizeze cât mai eficient fondurile publice, asigurând o alocare optimă a resurselor pentru atingerea rezultatelor urmărite. Totodată, având în vedere diversitatea economică, socială și administrativă, statele membre pot echilibra aceste principii și alte aspecte atunci când stabilesc modul de reglementare a atribuirii contractelor sub praguri.</w:t>
            </w:r>
          </w:p>
        </w:tc>
        <w:tc>
          <w:tcPr>
            <w:tcW w:w="3436" w:type="dxa"/>
          </w:tcPr>
          <w:p w14:paraId="0AC20131" w14:textId="4D18252D" w:rsidR="00A87D8E" w:rsidRDefault="00A87D8E" w:rsidP="00A87D8E">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 xml:space="preserve">Se </w:t>
            </w:r>
            <w:r w:rsidR="00F84E4C">
              <w:rPr>
                <w:rFonts w:ascii="Times New Roman" w:hAnsi="Times New Roman" w:cs="Times New Roman"/>
                <w:b/>
                <w:sz w:val="20"/>
                <w:szCs w:val="20"/>
                <w:lang w:val="ro-RO"/>
              </w:rPr>
              <w:t>ia act</w:t>
            </w:r>
          </w:p>
          <w:p w14:paraId="44869530" w14:textId="4AD5E514" w:rsidR="00A87D8E" w:rsidRPr="00A87D8E" w:rsidRDefault="00A87D8E" w:rsidP="00A87D8E">
            <w:pPr>
              <w:tabs>
                <w:tab w:val="left" w:pos="8505"/>
              </w:tabs>
              <w:jc w:val="both"/>
              <w:rPr>
                <w:rFonts w:ascii="Times New Roman" w:hAnsi="Times New Roman" w:cs="Times New Roman"/>
                <w:sz w:val="20"/>
                <w:szCs w:val="20"/>
                <w:lang w:val="ro-RO"/>
              </w:rPr>
            </w:pPr>
            <w:r w:rsidRPr="00A87D8E">
              <w:rPr>
                <w:rFonts w:ascii="Times New Roman" w:hAnsi="Times New Roman" w:cs="Times New Roman"/>
                <w:sz w:val="20"/>
                <w:szCs w:val="20"/>
                <w:lang w:val="ro-RO"/>
              </w:rPr>
              <w:t>Propunerea este pertinentă și a fost acceptată, întrucât confirmă alinierea proiectului la standardele și principiile Uniunii Europene aplicabile achizițiilor sub pragurile directivelor, așa cum sunt acestea detaliate în Comunicarea interpretativă a Comisiei 2006/C 179/02 și în jurisprudența CJUE. Proiectul de regulament a fost conceput tocmai pentru a asigura respectarea acestor exigențe, echilibrând eficiența procedurală cu rigoarea necesară protecției interesului public.</w:t>
            </w:r>
          </w:p>
          <w:p w14:paraId="423CD3FB" w14:textId="77777777" w:rsidR="00A87D8E" w:rsidRPr="00A87D8E" w:rsidRDefault="00A87D8E" w:rsidP="00A87D8E">
            <w:pPr>
              <w:tabs>
                <w:tab w:val="left" w:pos="8505"/>
              </w:tabs>
              <w:jc w:val="both"/>
              <w:rPr>
                <w:rFonts w:ascii="Times New Roman" w:hAnsi="Times New Roman" w:cs="Times New Roman"/>
                <w:sz w:val="20"/>
                <w:szCs w:val="20"/>
                <w:lang w:val="ro-RO"/>
              </w:rPr>
            </w:pPr>
            <w:r w:rsidRPr="00A87D8E">
              <w:rPr>
                <w:rFonts w:ascii="Times New Roman" w:hAnsi="Times New Roman" w:cs="Times New Roman"/>
                <w:sz w:val="20"/>
                <w:szCs w:val="20"/>
                <w:lang w:val="ro-RO"/>
              </w:rPr>
              <w:t>Argumentele detaliate privind conformitatea proiectului cu principiile UE sunt următoarele:</w:t>
            </w:r>
          </w:p>
          <w:p w14:paraId="4DB5BEF5" w14:textId="0D5EC93F" w:rsidR="00A87D8E" w:rsidRPr="00A87D8E" w:rsidRDefault="00A87D8E" w:rsidP="00A87D8E">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 </w:t>
            </w:r>
            <w:r w:rsidRPr="00A87D8E">
              <w:rPr>
                <w:rFonts w:ascii="Times New Roman" w:hAnsi="Times New Roman" w:cs="Times New Roman"/>
                <w:sz w:val="20"/>
                <w:szCs w:val="20"/>
                <w:lang w:val="ro-RO"/>
              </w:rPr>
              <w:t>Proporționalitate și reducerea birocrației: Introducerea punctului 7</w:t>
            </w:r>
            <w:r>
              <w:rPr>
                <w:rFonts w:ascii="Times New Roman" w:hAnsi="Times New Roman" w:cs="Times New Roman"/>
                <w:sz w:val="20"/>
                <w:szCs w:val="20"/>
                <w:vertAlign w:val="superscript"/>
                <w:lang w:val="ro-RO"/>
              </w:rPr>
              <w:t>1</w:t>
            </w:r>
            <w:r w:rsidRPr="00A87D8E">
              <w:rPr>
                <w:rFonts w:ascii="Times New Roman" w:hAnsi="Times New Roman" w:cs="Times New Roman"/>
                <w:sz w:val="20"/>
                <w:szCs w:val="20"/>
                <w:lang w:val="ro-RO"/>
              </w:rPr>
              <w:t>, care stabilește praguri valorice pentru aplicarea unor particularități procedurale, reflectă direct principiul proporționalității. Proiectul diferențiază cerințele în funcție de valoarea și complexitatea achiziției: pentru valori mai mici se aplică reguli simplificate, evitând sarcinile administrative excesive, iar pentru valori mai mari se impun garanții sporite de transparență și documentare. De asemenea, digitalizarea formularelor și abrogarea obligațiilor redundante reduc semnificativ birocrația, în concordanță cu recomandările UE.</w:t>
            </w:r>
          </w:p>
          <w:p w14:paraId="4D554DCF" w14:textId="7FBB9313" w:rsidR="00A87D8E" w:rsidRPr="00A87D8E" w:rsidRDefault="00A87D8E" w:rsidP="00A87D8E">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2. </w:t>
            </w:r>
            <w:r w:rsidRPr="00A87D8E">
              <w:rPr>
                <w:rFonts w:ascii="Times New Roman" w:hAnsi="Times New Roman" w:cs="Times New Roman"/>
                <w:sz w:val="20"/>
                <w:szCs w:val="20"/>
                <w:lang w:val="ro-RO"/>
              </w:rPr>
              <w:t>Transparență și concurență: Proiectul consolidează transparența prin obligativit</w:t>
            </w:r>
            <w:r w:rsidR="00AA7D34">
              <w:rPr>
                <w:rFonts w:ascii="Times New Roman" w:hAnsi="Times New Roman" w:cs="Times New Roman"/>
                <w:sz w:val="20"/>
                <w:szCs w:val="20"/>
                <w:lang w:val="ro-RO"/>
              </w:rPr>
              <w:t>atea utilizării SI „RSAP”</w:t>
            </w:r>
            <w:r w:rsidRPr="00A87D8E">
              <w:rPr>
                <w:rFonts w:ascii="Times New Roman" w:hAnsi="Times New Roman" w:cs="Times New Roman"/>
                <w:sz w:val="20"/>
                <w:szCs w:val="20"/>
                <w:lang w:val="ro-RO"/>
              </w:rPr>
              <w:t xml:space="preserve"> și a </w:t>
            </w:r>
            <w:r w:rsidRPr="00A87D8E">
              <w:rPr>
                <w:rFonts w:ascii="Times New Roman" w:hAnsi="Times New Roman" w:cs="Times New Roman"/>
                <w:sz w:val="20"/>
                <w:szCs w:val="20"/>
                <w:lang w:val="ro-RO"/>
              </w:rPr>
              <w:lastRenderedPageBreak/>
              <w:t>publicării anunțurilor pentru achizițiile ce depășesc pragurile de la pct. 7</w:t>
            </w:r>
            <w:r w:rsidR="00F84E4C">
              <w:rPr>
                <w:rFonts w:ascii="Times New Roman" w:hAnsi="Times New Roman" w:cs="Times New Roman"/>
                <w:sz w:val="20"/>
                <w:szCs w:val="20"/>
                <w:vertAlign w:val="superscript"/>
                <w:lang w:val="ro-RO"/>
              </w:rPr>
              <w:t>1</w:t>
            </w:r>
            <w:r w:rsidRPr="00A87D8E">
              <w:rPr>
                <w:rFonts w:ascii="Times New Roman" w:hAnsi="Times New Roman" w:cs="Times New Roman"/>
                <w:sz w:val="20"/>
                <w:szCs w:val="20"/>
                <w:lang w:val="ro-RO"/>
              </w:rPr>
              <w:t>, asigurând accesul egal la informații și prevenirea favoritismului. Limitarea strictă a cazurilor de excepție de la utilizarea sistemului electronic și interzicerea fragmentării artificiale a achizițiilor sunt măsuri care promovează o concurență adecvată și deschisă, facilitând participarea IMM-urilor.</w:t>
            </w:r>
            <w:r w:rsidR="00F84E4C">
              <w:rPr>
                <w:rFonts w:ascii="Times New Roman" w:hAnsi="Times New Roman" w:cs="Times New Roman"/>
                <w:sz w:val="20"/>
                <w:szCs w:val="20"/>
                <w:lang w:val="ro-RO"/>
              </w:rPr>
              <w:t xml:space="preserve"> </w:t>
            </w:r>
          </w:p>
          <w:p w14:paraId="22AE4083" w14:textId="6805DDD9" w:rsidR="00A87D8E" w:rsidRPr="00A87D8E" w:rsidRDefault="00AA7D34" w:rsidP="00A87D8E">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3. </w:t>
            </w:r>
            <w:r w:rsidR="00A87D8E" w:rsidRPr="00A87D8E">
              <w:rPr>
                <w:rFonts w:ascii="Times New Roman" w:hAnsi="Times New Roman" w:cs="Times New Roman"/>
                <w:sz w:val="20"/>
                <w:szCs w:val="20"/>
                <w:lang w:val="ro-RO"/>
              </w:rPr>
              <w:t>Eficiență și utilizarea optimă a fondurilor: Standardizarea procedurilor, utilizarea formularelor digitale și clarificarea regulilor de planificare și atribuire contribuie la creșterea eficienței procesului și la o alocare optimă a resurselor. Mecanismele de control sunt adaptate la un model bazat pe risc și pe verificări ex-post, menținând securitatea juridică fără a bloca operativitatea autorităților contractante.</w:t>
            </w:r>
          </w:p>
          <w:p w14:paraId="666A9195" w14:textId="1C05DDA6" w:rsidR="00A87D8E" w:rsidRPr="00A87D8E" w:rsidRDefault="0099407B" w:rsidP="00A87D8E">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4. </w:t>
            </w:r>
            <w:r w:rsidR="00A87D8E" w:rsidRPr="00A87D8E">
              <w:rPr>
                <w:rFonts w:ascii="Times New Roman" w:hAnsi="Times New Roman" w:cs="Times New Roman"/>
                <w:sz w:val="20"/>
                <w:szCs w:val="20"/>
                <w:lang w:val="ro-RO"/>
              </w:rPr>
              <w:t>Respectarea principiilor TFUE: Întregul cadru normativ propus este fundamentat pe principiile nediscriminării, tratamentului egal, recunoașterii reciproce și proporționalității, așa cum sunt acestea transpuse în Legea nr. 325/2025. Proiectul asigură coerența cu acquis-ul comunitar și cu angajamentele asumate în cadrul Acordului de Asociere, oferind totodată flexibilitatea necesară adaptării la contextul național, așa cum permite practica UE pentru contractele sub praguri.</w:t>
            </w:r>
          </w:p>
          <w:p w14:paraId="7DC2941A" w14:textId="779F13E6" w:rsidR="00C0157E" w:rsidRDefault="00A87D8E" w:rsidP="00A87D8E">
            <w:pPr>
              <w:tabs>
                <w:tab w:val="left" w:pos="8505"/>
              </w:tabs>
              <w:jc w:val="both"/>
              <w:rPr>
                <w:rFonts w:ascii="Times New Roman" w:hAnsi="Times New Roman" w:cs="Times New Roman"/>
                <w:b/>
                <w:sz w:val="20"/>
                <w:szCs w:val="20"/>
                <w:lang w:val="ro-RO"/>
              </w:rPr>
            </w:pPr>
            <w:r w:rsidRPr="00A87D8E">
              <w:rPr>
                <w:rFonts w:ascii="Times New Roman" w:hAnsi="Times New Roman" w:cs="Times New Roman"/>
                <w:sz w:val="20"/>
                <w:szCs w:val="20"/>
                <w:lang w:val="ro-RO"/>
              </w:rPr>
              <w:t xml:space="preserve">Prin urmare, proiectul răspunde integral obiectivelor invocate în propunere, asigurând un echilibru optim între simplitate, viteză și rigoare, în deplină concordanță cu bunele practici europene și cu necesitatea modernizării sistemului de achiziții publice. Acceptarea </w:t>
            </w:r>
            <w:r w:rsidRPr="00A87D8E">
              <w:rPr>
                <w:rFonts w:ascii="Times New Roman" w:hAnsi="Times New Roman" w:cs="Times New Roman"/>
                <w:sz w:val="20"/>
                <w:szCs w:val="20"/>
                <w:lang w:val="ro-RO"/>
              </w:rPr>
              <w:lastRenderedPageBreak/>
              <w:t>propunerii se materializează prin confirmarea faptului că soluțiile normative adoptate sunt conforme cu standardele UE și contribuie la consolidarea unui mediu concurențial transparent și eficient.</w:t>
            </w:r>
          </w:p>
        </w:tc>
      </w:tr>
      <w:tr w:rsidR="00C0157E" w:rsidRPr="009957C6" w14:paraId="2ABF29F6" w14:textId="77777777" w:rsidTr="00A919EA">
        <w:trPr>
          <w:trHeight w:val="416"/>
        </w:trPr>
        <w:tc>
          <w:tcPr>
            <w:tcW w:w="3397" w:type="dxa"/>
          </w:tcPr>
          <w:p w14:paraId="7EE45562" w14:textId="4413BC87" w:rsidR="00B0459C" w:rsidRPr="00B0459C" w:rsidRDefault="00B0459C" w:rsidP="00B0459C">
            <w:pPr>
              <w:tabs>
                <w:tab w:val="left" w:pos="8505"/>
              </w:tabs>
              <w:jc w:val="both"/>
              <w:rPr>
                <w:rFonts w:ascii="Times New Roman" w:hAnsi="Times New Roman" w:cs="Times New Roman"/>
                <w:sz w:val="20"/>
                <w:szCs w:val="20"/>
                <w:lang w:val="ro-RO"/>
              </w:rPr>
            </w:pPr>
            <w:r w:rsidRPr="00B0459C">
              <w:rPr>
                <w:rFonts w:ascii="Times New Roman" w:hAnsi="Times New Roman" w:cs="Times New Roman"/>
                <w:b/>
                <w:sz w:val="20"/>
                <w:szCs w:val="20"/>
                <w:lang w:val="ro-RO"/>
              </w:rPr>
              <w:lastRenderedPageBreak/>
              <w:t xml:space="preserve">1.5. </w:t>
            </w:r>
            <w:r w:rsidRPr="00B0459C">
              <w:rPr>
                <w:rFonts w:ascii="Times New Roman" w:hAnsi="Times New Roman" w:cs="Times New Roman"/>
                <w:sz w:val="20"/>
                <w:szCs w:val="20"/>
                <w:lang w:val="ro-RO"/>
              </w:rPr>
              <w:t>Se introduce punctul 7</w:t>
            </w:r>
            <w:r>
              <w:rPr>
                <w:rFonts w:ascii="Times New Roman" w:hAnsi="Times New Roman" w:cs="Times New Roman"/>
                <w:sz w:val="20"/>
                <w:szCs w:val="20"/>
                <w:vertAlign w:val="superscript"/>
                <w:lang w:val="ro-RO"/>
              </w:rPr>
              <w:t>1</w:t>
            </w:r>
            <w:r w:rsidRPr="00B0459C">
              <w:rPr>
                <w:rFonts w:ascii="Times New Roman" w:hAnsi="Times New Roman" w:cs="Times New Roman"/>
                <w:sz w:val="20"/>
                <w:szCs w:val="20"/>
                <w:lang w:val="ro-RO"/>
              </w:rPr>
              <w:t xml:space="preserve"> cu următorul cuprins:</w:t>
            </w:r>
          </w:p>
          <w:p w14:paraId="18AC87BE" w14:textId="03173545" w:rsidR="00B0459C" w:rsidRPr="00B0459C" w:rsidRDefault="00B0459C" w:rsidP="00B0459C">
            <w:pPr>
              <w:tabs>
                <w:tab w:val="left" w:pos="8505"/>
              </w:tabs>
              <w:jc w:val="both"/>
              <w:rPr>
                <w:rFonts w:ascii="Times New Roman" w:hAnsi="Times New Roman" w:cs="Times New Roman"/>
                <w:sz w:val="20"/>
                <w:szCs w:val="20"/>
                <w:lang w:val="ro-RO"/>
              </w:rPr>
            </w:pPr>
            <w:r w:rsidRPr="00B0459C">
              <w:rPr>
                <w:rFonts w:ascii="Times New Roman" w:hAnsi="Times New Roman" w:cs="Times New Roman"/>
                <w:sz w:val="20"/>
                <w:szCs w:val="20"/>
                <w:lang w:val="ro-RO"/>
              </w:rPr>
              <w:t>„7</w:t>
            </w:r>
            <w:r>
              <w:rPr>
                <w:rFonts w:ascii="Times New Roman" w:hAnsi="Times New Roman" w:cs="Times New Roman"/>
                <w:sz w:val="20"/>
                <w:szCs w:val="20"/>
                <w:vertAlign w:val="superscript"/>
                <w:lang w:val="ro-RO"/>
              </w:rPr>
              <w:t>1</w:t>
            </w:r>
            <w:r w:rsidRPr="00B0459C">
              <w:rPr>
                <w:rFonts w:ascii="Times New Roman" w:hAnsi="Times New Roman" w:cs="Times New Roman"/>
                <w:sz w:val="20"/>
                <w:szCs w:val="20"/>
                <w:lang w:val="ro-RO"/>
              </w:rPr>
              <w:t>. Prezentul Regulament prevede particularități privind contractele de achiziții publice, a căror valoare, fără taxa pe valoarea adăugată, este egală cu sau mai mare decât următoarele praguri:</w:t>
            </w:r>
          </w:p>
          <w:p w14:paraId="2DE0304F" w14:textId="77777777" w:rsidR="00B0459C" w:rsidRPr="00B0459C" w:rsidRDefault="00B0459C" w:rsidP="00B0459C">
            <w:pPr>
              <w:tabs>
                <w:tab w:val="left" w:pos="8505"/>
              </w:tabs>
              <w:jc w:val="both"/>
              <w:rPr>
                <w:rFonts w:ascii="Times New Roman" w:hAnsi="Times New Roman" w:cs="Times New Roman"/>
                <w:sz w:val="20"/>
                <w:szCs w:val="20"/>
                <w:lang w:val="ro-RO"/>
              </w:rPr>
            </w:pPr>
            <w:r w:rsidRPr="00B0459C">
              <w:rPr>
                <w:rFonts w:ascii="Times New Roman" w:hAnsi="Times New Roman" w:cs="Times New Roman"/>
                <w:sz w:val="20"/>
                <w:szCs w:val="20"/>
                <w:lang w:val="ro-RO"/>
              </w:rPr>
              <w:t>a) pentru contractele de achiziții publice de bunuri și servicii – 300 000 MDL;</w:t>
            </w:r>
          </w:p>
          <w:p w14:paraId="0CAA0797" w14:textId="77777777" w:rsidR="00B0459C" w:rsidRPr="00B0459C" w:rsidRDefault="00B0459C" w:rsidP="00B0459C">
            <w:pPr>
              <w:tabs>
                <w:tab w:val="left" w:pos="8505"/>
              </w:tabs>
              <w:jc w:val="both"/>
              <w:rPr>
                <w:rFonts w:ascii="Times New Roman" w:hAnsi="Times New Roman" w:cs="Times New Roman"/>
                <w:sz w:val="20"/>
                <w:szCs w:val="20"/>
                <w:lang w:val="ro-RO"/>
              </w:rPr>
            </w:pPr>
            <w:r w:rsidRPr="00B0459C">
              <w:rPr>
                <w:rFonts w:ascii="Times New Roman" w:hAnsi="Times New Roman" w:cs="Times New Roman"/>
                <w:sz w:val="20"/>
                <w:szCs w:val="20"/>
                <w:lang w:val="ro-RO"/>
              </w:rPr>
              <w:t>b) pentru contractele de achiziții publice de lucrări – 375 000 MDL;</w:t>
            </w:r>
          </w:p>
          <w:p w14:paraId="3B2A9873" w14:textId="71F1EADE" w:rsidR="00C0157E" w:rsidRDefault="00B0459C" w:rsidP="00B0459C">
            <w:pPr>
              <w:tabs>
                <w:tab w:val="left" w:pos="8505"/>
              </w:tabs>
              <w:jc w:val="both"/>
              <w:rPr>
                <w:rFonts w:ascii="Times New Roman" w:hAnsi="Times New Roman" w:cs="Times New Roman"/>
                <w:b/>
                <w:sz w:val="20"/>
                <w:szCs w:val="20"/>
                <w:lang w:val="ro-RO"/>
              </w:rPr>
            </w:pPr>
            <w:r w:rsidRPr="00B0459C">
              <w:rPr>
                <w:rFonts w:ascii="Times New Roman" w:hAnsi="Times New Roman" w:cs="Times New Roman"/>
                <w:sz w:val="20"/>
                <w:szCs w:val="20"/>
                <w:lang w:val="ro-RO"/>
              </w:rPr>
              <w:t>c) pentru contractele de achiziții publice care au ca obiect servicii sociale și alte servicii specifice enumerate în anexa nr. 2 din Legea nr. 325/2025 privind achizițiile publice – 600 000 MDL.</w:t>
            </w:r>
          </w:p>
        </w:tc>
        <w:tc>
          <w:tcPr>
            <w:tcW w:w="2977" w:type="dxa"/>
          </w:tcPr>
          <w:p w14:paraId="6C27411A" w14:textId="77777777" w:rsidR="00C0157E" w:rsidRPr="00154388" w:rsidRDefault="00C0157E" w:rsidP="00D47E14">
            <w:pPr>
              <w:tabs>
                <w:tab w:val="left" w:pos="8505"/>
              </w:tabs>
              <w:jc w:val="center"/>
              <w:rPr>
                <w:rFonts w:ascii="Times New Roman" w:hAnsi="Times New Roman" w:cs="Times New Roman"/>
                <w:b/>
                <w:color w:val="000000" w:themeColor="text1"/>
                <w:sz w:val="20"/>
                <w:szCs w:val="20"/>
                <w:lang w:val="ro-RO"/>
              </w:rPr>
            </w:pPr>
          </w:p>
        </w:tc>
        <w:tc>
          <w:tcPr>
            <w:tcW w:w="533" w:type="dxa"/>
          </w:tcPr>
          <w:p w14:paraId="38F96DAB" w14:textId="0B0CFF2C" w:rsidR="00C0157E" w:rsidRDefault="00C0157E" w:rsidP="00D47E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53F11043" w14:textId="6C6DA703" w:rsidR="00C0157E" w:rsidRPr="00863A23" w:rsidRDefault="00C0157E" w:rsidP="00D47E14">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Cu referire la pragurile noi introduse prin pct. 1.5 din proiectul de hotărâre. În contextul în care aceste modificări urmăresc introducerea unor particularități pentru contractele de achiziții aferente anumitor praguri valorice propuse prin proiect, ca urmare a modificărilor operate în Legea nr. 325/2025, se recomandă corelarea prevederilor nou-introduse cu cerințele stabilite la pct. 4–7 din Regulament. Această corelare este necesară pentru a elimina suprapunerile normative și pentru a clarifica regimul aplicabil achizițiilor, precum și procedurile corespunzătoare fiecărui interval de prag stabilit.</w:t>
            </w:r>
          </w:p>
        </w:tc>
        <w:tc>
          <w:tcPr>
            <w:tcW w:w="3436" w:type="dxa"/>
          </w:tcPr>
          <w:p w14:paraId="03CBAC64" w14:textId="515504F2" w:rsidR="0099407B" w:rsidRPr="0099407B" w:rsidRDefault="0099407B" w:rsidP="0099407B">
            <w:pPr>
              <w:tabs>
                <w:tab w:val="left" w:pos="8505"/>
              </w:tabs>
              <w:jc w:val="both"/>
              <w:rPr>
                <w:rFonts w:ascii="Times New Roman" w:hAnsi="Times New Roman" w:cs="Times New Roman"/>
                <w:b/>
                <w:sz w:val="20"/>
                <w:szCs w:val="20"/>
                <w:lang w:val="ro-RO"/>
              </w:rPr>
            </w:pPr>
            <w:r w:rsidRPr="0099407B">
              <w:rPr>
                <w:rFonts w:ascii="Times New Roman" w:hAnsi="Times New Roman" w:cs="Times New Roman"/>
                <w:b/>
                <w:sz w:val="20"/>
                <w:szCs w:val="20"/>
                <w:lang w:val="ro-RO"/>
              </w:rPr>
              <w:t>Nu se acceptă</w:t>
            </w:r>
          </w:p>
          <w:p w14:paraId="2B514016" w14:textId="69108EEE" w:rsidR="0099407B" w:rsidRPr="0099407B" w:rsidRDefault="0099407B" w:rsidP="0099407B">
            <w:pPr>
              <w:tabs>
                <w:tab w:val="left" w:pos="8505"/>
              </w:tabs>
              <w:jc w:val="both"/>
              <w:rPr>
                <w:rFonts w:ascii="Times New Roman" w:hAnsi="Times New Roman" w:cs="Times New Roman"/>
                <w:sz w:val="20"/>
                <w:szCs w:val="20"/>
                <w:lang w:val="ro-RO"/>
              </w:rPr>
            </w:pPr>
            <w:r w:rsidRPr="0099407B">
              <w:rPr>
                <w:rFonts w:ascii="Times New Roman" w:hAnsi="Times New Roman" w:cs="Times New Roman"/>
                <w:sz w:val="20"/>
                <w:szCs w:val="20"/>
                <w:lang w:val="ro-RO"/>
              </w:rPr>
              <w:t>Propunerea nu poate fi acceptată, întrucât se bazează pe o interpretare care nu distinge între natura complementară a prevederilor și pe o solicitare de modificare a unor puncte a căror revizuire este condiționată de factori legislativi externi. Analiza coroborată a punctului 7</w:t>
            </w:r>
            <w:r>
              <w:rPr>
                <w:rFonts w:ascii="Times New Roman" w:hAnsi="Times New Roman" w:cs="Times New Roman"/>
                <w:sz w:val="20"/>
                <w:szCs w:val="20"/>
                <w:vertAlign w:val="superscript"/>
                <w:lang w:val="ro-RO"/>
              </w:rPr>
              <w:t>1</w:t>
            </w:r>
            <w:r w:rsidRPr="0099407B">
              <w:rPr>
                <w:rFonts w:ascii="Times New Roman" w:hAnsi="Times New Roman" w:cs="Times New Roman"/>
                <w:sz w:val="20"/>
                <w:szCs w:val="20"/>
                <w:lang w:val="ro-RO"/>
              </w:rPr>
              <w:t xml:space="preserve"> și a punctelor 4–7 demonstrează că regulamentul este coeren</w:t>
            </w:r>
            <w:r>
              <w:rPr>
                <w:rFonts w:ascii="Times New Roman" w:hAnsi="Times New Roman" w:cs="Times New Roman"/>
                <w:sz w:val="20"/>
                <w:szCs w:val="20"/>
                <w:lang w:val="ro-RO"/>
              </w:rPr>
              <w:t>t, iar eventualele „suprapuneri”</w:t>
            </w:r>
            <w:r w:rsidRPr="0099407B">
              <w:rPr>
                <w:rFonts w:ascii="Times New Roman" w:hAnsi="Times New Roman" w:cs="Times New Roman"/>
                <w:sz w:val="20"/>
                <w:szCs w:val="20"/>
                <w:lang w:val="ro-RO"/>
              </w:rPr>
              <w:t xml:space="preserve"> invocate sunt doar aparente, rezultând din neînțelegerea arhitecturii normative.</w:t>
            </w:r>
          </w:p>
          <w:p w14:paraId="119F7011" w14:textId="77777777" w:rsidR="0099407B" w:rsidRPr="0099407B" w:rsidRDefault="0099407B" w:rsidP="0099407B">
            <w:pPr>
              <w:tabs>
                <w:tab w:val="left" w:pos="8505"/>
              </w:tabs>
              <w:jc w:val="both"/>
              <w:rPr>
                <w:rFonts w:ascii="Times New Roman" w:hAnsi="Times New Roman" w:cs="Times New Roman"/>
                <w:sz w:val="20"/>
                <w:szCs w:val="20"/>
                <w:lang w:val="ro-RO"/>
              </w:rPr>
            </w:pPr>
            <w:r w:rsidRPr="0099407B">
              <w:rPr>
                <w:rFonts w:ascii="Times New Roman" w:hAnsi="Times New Roman" w:cs="Times New Roman"/>
                <w:sz w:val="20"/>
                <w:szCs w:val="20"/>
                <w:lang w:val="ro-RO"/>
              </w:rPr>
              <w:t>Argumentele detaliate sunt următoarele:</w:t>
            </w:r>
          </w:p>
          <w:p w14:paraId="504A3B6F" w14:textId="12E79F1E" w:rsidR="0099407B" w:rsidRPr="0099407B" w:rsidRDefault="00DE7CB8" w:rsidP="0099407B">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 </w:t>
            </w:r>
            <w:r w:rsidR="0099407B" w:rsidRPr="0099407B">
              <w:rPr>
                <w:rFonts w:ascii="Times New Roman" w:hAnsi="Times New Roman" w:cs="Times New Roman"/>
                <w:sz w:val="20"/>
                <w:szCs w:val="20"/>
                <w:lang w:val="ro-RO"/>
              </w:rPr>
              <w:t>Caracterul complementar, nu contradictoriu, al reglementărilor:</w:t>
            </w:r>
          </w:p>
          <w:p w14:paraId="30BDEACE" w14:textId="77777777" w:rsidR="0099407B" w:rsidRPr="0099407B" w:rsidRDefault="0099407B" w:rsidP="0099407B">
            <w:pPr>
              <w:tabs>
                <w:tab w:val="left" w:pos="8505"/>
              </w:tabs>
              <w:jc w:val="both"/>
              <w:rPr>
                <w:rFonts w:ascii="Times New Roman" w:hAnsi="Times New Roman" w:cs="Times New Roman"/>
                <w:sz w:val="20"/>
                <w:szCs w:val="20"/>
                <w:lang w:val="ro-RO"/>
              </w:rPr>
            </w:pPr>
            <w:r w:rsidRPr="0099407B">
              <w:rPr>
                <w:rFonts w:ascii="Times New Roman" w:hAnsi="Times New Roman" w:cs="Times New Roman"/>
                <w:sz w:val="20"/>
                <w:szCs w:val="20"/>
                <w:lang w:val="ro-RO"/>
              </w:rPr>
              <w:t>Punctele 4–7 (în special pct. 6 și 7) reglementează dreptul de a încheia contracte directe, stabilind limitele valorice până la care autoritățile/entitățile pot achiziționa fără o procedură competitivă formalizată.</w:t>
            </w:r>
          </w:p>
          <w:p w14:paraId="00E5A16E" w14:textId="606FDF3F" w:rsidR="0099407B" w:rsidRPr="0099407B" w:rsidRDefault="0099407B" w:rsidP="0099407B">
            <w:pPr>
              <w:tabs>
                <w:tab w:val="left" w:pos="8505"/>
              </w:tabs>
              <w:jc w:val="both"/>
              <w:rPr>
                <w:rFonts w:ascii="Times New Roman" w:hAnsi="Times New Roman" w:cs="Times New Roman"/>
                <w:sz w:val="20"/>
                <w:szCs w:val="20"/>
                <w:lang w:val="ro-RO"/>
              </w:rPr>
            </w:pPr>
            <w:r w:rsidRPr="0099407B">
              <w:rPr>
                <w:rFonts w:ascii="Times New Roman" w:hAnsi="Times New Roman" w:cs="Times New Roman"/>
                <w:sz w:val="20"/>
                <w:szCs w:val="20"/>
                <w:lang w:val="ro-RO"/>
              </w:rPr>
              <w:t>Punctul 7</w:t>
            </w:r>
            <w:r w:rsidR="00DE7CB8">
              <w:rPr>
                <w:rFonts w:ascii="Times New Roman" w:hAnsi="Times New Roman" w:cs="Times New Roman"/>
                <w:sz w:val="20"/>
                <w:szCs w:val="20"/>
                <w:vertAlign w:val="superscript"/>
                <w:lang w:val="ro-RO"/>
              </w:rPr>
              <w:t>1</w:t>
            </w:r>
            <w:r w:rsidRPr="0099407B">
              <w:rPr>
                <w:rFonts w:ascii="Times New Roman" w:hAnsi="Times New Roman" w:cs="Times New Roman"/>
                <w:sz w:val="20"/>
                <w:szCs w:val="20"/>
                <w:lang w:val="ro-RO"/>
              </w:rPr>
              <w:t xml:space="preserve"> introduce particularități procedurale (cerințe sporite de transparență, formulare obligatorii, termene extinse) care se aplică contractelor ce depășesc anumite praguri de risc.</w:t>
            </w:r>
          </w:p>
          <w:p w14:paraId="046E9C1B" w14:textId="08557539" w:rsidR="0099407B" w:rsidRPr="0099407B" w:rsidRDefault="0099407B" w:rsidP="0099407B">
            <w:pPr>
              <w:tabs>
                <w:tab w:val="left" w:pos="8505"/>
              </w:tabs>
              <w:jc w:val="both"/>
              <w:rPr>
                <w:rFonts w:ascii="Times New Roman" w:hAnsi="Times New Roman" w:cs="Times New Roman"/>
                <w:sz w:val="20"/>
                <w:szCs w:val="20"/>
                <w:lang w:val="ro-RO"/>
              </w:rPr>
            </w:pPr>
            <w:r w:rsidRPr="0099407B">
              <w:rPr>
                <w:rFonts w:ascii="Times New Roman" w:hAnsi="Times New Roman" w:cs="Times New Roman"/>
                <w:sz w:val="20"/>
                <w:szCs w:val="20"/>
                <w:lang w:val="ro-RO"/>
              </w:rPr>
              <w:t xml:space="preserve">Aceste prevederi nu se exclud reciproc, ci funcționează ierarhic și complementar. Pentru contractele care se încadrează în limitele contractelor directe (pct. 4–7), autoritatea poate opta pentru această modalitate simplificată. Pentru contractele care depășesc aceste limite, se aplică procedura de achiziție de valoare mică; dacă valoarea depășește </w:t>
            </w:r>
            <w:r w:rsidRPr="0099407B">
              <w:rPr>
                <w:rFonts w:ascii="Times New Roman" w:hAnsi="Times New Roman" w:cs="Times New Roman"/>
                <w:sz w:val="20"/>
                <w:szCs w:val="20"/>
                <w:lang w:val="ro-RO"/>
              </w:rPr>
              <w:lastRenderedPageBreak/>
              <w:t>și pragurile de la pct. 7</w:t>
            </w:r>
            <w:r w:rsidR="00DE7CB8">
              <w:rPr>
                <w:rFonts w:ascii="Times New Roman" w:hAnsi="Times New Roman" w:cs="Times New Roman"/>
                <w:sz w:val="20"/>
                <w:szCs w:val="20"/>
                <w:vertAlign w:val="superscript"/>
                <w:lang w:val="ro-RO"/>
              </w:rPr>
              <w:t>1</w:t>
            </w:r>
            <w:r w:rsidRPr="0099407B">
              <w:rPr>
                <w:rFonts w:ascii="Times New Roman" w:hAnsi="Times New Roman" w:cs="Times New Roman"/>
                <w:sz w:val="20"/>
                <w:szCs w:val="20"/>
                <w:lang w:val="ro-RO"/>
              </w:rPr>
              <w:t>, procedura este supusă și particularităților respective. Nu există un conflict normativ, ci o delimitare clară a regimurilor în funcție de valoarea și modalitatea de atribuire aleasă.</w:t>
            </w:r>
          </w:p>
          <w:p w14:paraId="2267728E" w14:textId="332304D9" w:rsidR="0099407B" w:rsidRPr="0099407B" w:rsidRDefault="00DE7CB8" w:rsidP="0099407B">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2. </w:t>
            </w:r>
            <w:r w:rsidR="0099407B" w:rsidRPr="0099407B">
              <w:rPr>
                <w:rFonts w:ascii="Times New Roman" w:hAnsi="Times New Roman" w:cs="Times New Roman"/>
                <w:sz w:val="20"/>
                <w:szCs w:val="20"/>
                <w:lang w:val="ro-RO"/>
              </w:rPr>
              <w:t>Imposibilitatea modificării punctelor 6 și 7 în acest stadiu:</w:t>
            </w:r>
          </w:p>
          <w:p w14:paraId="761ADBB9" w14:textId="77777777" w:rsidR="0099407B" w:rsidRPr="0099407B" w:rsidRDefault="0099407B" w:rsidP="0099407B">
            <w:pPr>
              <w:tabs>
                <w:tab w:val="left" w:pos="8505"/>
              </w:tabs>
              <w:jc w:val="both"/>
              <w:rPr>
                <w:rFonts w:ascii="Times New Roman" w:hAnsi="Times New Roman" w:cs="Times New Roman"/>
                <w:sz w:val="20"/>
                <w:szCs w:val="20"/>
                <w:lang w:val="ro-RO"/>
              </w:rPr>
            </w:pPr>
            <w:r w:rsidRPr="0099407B">
              <w:rPr>
                <w:rFonts w:ascii="Times New Roman" w:hAnsi="Times New Roman" w:cs="Times New Roman"/>
                <w:sz w:val="20"/>
                <w:szCs w:val="20"/>
                <w:lang w:val="ro-RO"/>
              </w:rPr>
              <w:t>Așa cum s-a subliniat în analizele anterioare, orice intervenție asupra punctelor 6 și 7 este strict condiționată de adoptarea proiectului de lege pentru modificarea Legii nr. 74/2020. La momentul elaborării prezentului proiect, acest act legislativ primar nu a fost încă adoptat.</w:t>
            </w:r>
          </w:p>
          <w:p w14:paraId="7F6C4D5A" w14:textId="0D312313" w:rsidR="0099407B" w:rsidRPr="0099407B" w:rsidRDefault="00DE7CB8" w:rsidP="0099407B">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„Corelarea”</w:t>
            </w:r>
            <w:r w:rsidR="0099407B" w:rsidRPr="0099407B">
              <w:rPr>
                <w:rFonts w:ascii="Times New Roman" w:hAnsi="Times New Roman" w:cs="Times New Roman"/>
                <w:sz w:val="20"/>
                <w:szCs w:val="20"/>
                <w:lang w:val="ro-RO"/>
              </w:rPr>
              <w:t xml:space="preserve"> solicitată, dacă ar implica ajustarea limitelor sau a condițiilor de la pct. 6 și 7, ar fi prematură și lipsită de temei legal consolidat, riscând să creeze neconcordanțe cu cadrul primar sectorial. Menținerea acestor puncte în forma actuală până la actualizarea legislației sectoriale este o măsură de prudență legislativă necesară.</w:t>
            </w:r>
          </w:p>
          <w:p w14:paraId="78E06D5A" w14:textId="78F8EEA6" w:rsidR="0099407B" w:rsidRPr="0099407B" w:rsidRDefault="00DE7CB8" w:rsidP="0099407B">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3. </w:t>
            </w:r>
            <w:r w:rsidR="0099407B" w:rsidRPr="0099407B">
              <w:rPr>
                <w:rFonts w:ascii="Times New Roman" w:hAnsi="Times New Roman" w:cs="Times New Roman"/>
                <w:sz w:val="20"/>
                <w:szCs w:val="20"/>
                <w:lang w:val="ro-RO"/>
              </w:rPr>
              <w:t>Delimitarea sferei de aplicare prin terminologie:</w:t>
            </w:r>
          </w:p>
          <w:p w14:paraId="4E5DA4DF" w14:textId="4B381925" w:rsidR="0099407B" w:rsidRPr="0099407B" w:rsidRDefault="0099407B" w:rsidP="0099407B">
            <w:pPr>
              <w:tabs>
                <w:tab w:val="left" w:pos="8505"/>
              </w:tabs>
              <w:jc w:val="both"/>
              <w:rPr>
                <w:rFonts w:ascii="Times New Roman" w:hAnsi="Times New Roman" w:cs="Times New Roman"/>
                <w:sz w:val="20"/>
                <w:szCs w:val="20"/>
                <w:lang w:val="ro-RO"/>
              </w:rPr>
            </w:pPr>
            <w:r w:rsidRPr="0099407B">
              <w:rPr>
                <w:rFonts w:ascii="Times New Roman" w:hAnsi="Times New Roman" w:cs="Times New Roman"/>
                <w:sz w:val="20"/>
                <w:szCs w:val="20"/>
                <w:lang w:val="ro-RO"/>
              </w:rPr>
              <w:t>Punctul 7</w:t>
            </w:r>
            <w:r w:rsidR="00DE7CB8">
              <w:rPr>
                <w:rFonts w:ascii="Times New Roman" w:hAnsi="Times New Roman" w:cs="Times New Roman"/>
                <w:sz w:val="20"/>
                <w:szCs w:val="20"/>
                <w:vertAlign w:val="superscript"/>
                <w:lang w:val="ro-RO"/>
              </w:rPr>
              <w:t>1</w:t>
            </w:r>
            <w:r w:rsidRPr="0099407B">
              <w:rPr>
                <w:rFonts w:ascii="Times New Roman" w:hAnsi="Times New Roman" w:cs="Times New Roman"/>
                <w:sz w:val="20"/>
                <w:szCs w:val="20"/>
                <w:lang w:val="ro-RO"/>
              </w:rPr>
              <w:t xml:space="preserve"> vizează expres „contractele de achiziții publice</w:t>
            </w:r>
            <w:r w:rsidR="00DE7CB8">
              <w:rPr>
                <w:rFonts w:ascii="Times New Roman" w:hAnsi="Times New Roman" w:cs="Times New Roman"/>
                <w:sz w:val="20"/>
                <w:szCs w:val="20"/>
                <w:lang w:val="ro-RO"/>
              </w:rPr>
              <w:t>”</w:t>
            </w:r>
            <w:r w:rsidRPr="0099407B">
              <w:rPr>
                <w:rFonts w:ascii="Times New Roman" w:hAnsi="Times New Roman" w:cs="Times New Roman"/>
                <w:sz w:val="20"/>
                <w:szCs w:val="20"/>
                <w:lang w:val="ro-RO"/>
              </w:rPr>
              <w:t>, sintagmă care, în contextul legislației achizițiilor, se referă la procedurile derulate de autoritățile contractante. Punctul nu include referiri la „contractele sectoriale</w:t>
            </w:r>
            <w:r w:rsidR="00DE7CB8">
              <w:rPr>
                <w:rFonts w:ascii="Times New Roman" w:hAnsi="Times New Roman" w:cs="Times New Roman"/>
                <w:sz w:val="20"/>
                <w:szCs w:val="20"/>
                <w:lang w:val="ro-RO"/>
              </w:rPr>
              <w:t>”</w:t>
            </w:r>
            <w:r w:rsidRPr="0099407B">
              <w:rPr>
                <w:rFonts w:ascii="Times New Roman" w:hAnsi="Times New Roman" w:cs="Times New Roman"/>
                <w:sz w:val="20"/>
                <w:szCs w:val="20"/>
                <w:lang w:val="ro-RO"/>
              </w:rPr>
              <w:t xml:space="preserve"> sau la entitățile contractante.</w:t>
            </w:r>
          </w:p>
          <w:p w14:paraId="798ACBBC" w14:textId="76B44E15" w:rsidR="0099407B" w:rsidRPr="0099407B" w:rsidRDefault="0099407B" w:rsidP="0099407B">
            <w:pPr>
              <w:tabs>
                <w:tab w:val="left" w:pos="8505"/>
              </w:tabs>
              <w:jc w:val="both"/>
              <w:rPr>
                <w:rFonts w:ascii="Times New Roman" w:hAnsi="Times New Roman" w:cs="Times New Roman"/>
                <w:sz w:val="20"/>
                <w:szCs w:val="20"/>
                <w:lang w:val="ro-RO"/>
              </w:rPr>
            </w:pPr>
            <w:r w:rsidRPr="0099407B">
              <w:rPr>
                <w:rFonts w:ascii="Times New Roman" w:hAnsi="Times New Roman" w:cs="Times New Roman"/>
                <w:sz w:val="20"/>
                <w:szCs w:val="20"/>
                <w:lang w:val="ro-RO"/>
              </w:rPr>
              <w:t>Prin urmare, pragurile de la pct. 7</w:t>
            </w:r>
            <w:r w:rsidR="00DE7CB8">
              <w:rPr>
                <w:rFonts w:ascii="Times New Roman" w:hAnsi="Times New Roman" w:cs="Times New Roman"/>
                <w:sz w:val="20"/>
                <w:szCs w:val="20"/>
                <w:vertAlign w:val="superscript"/>
                <w:lang w:val="ro-RO"/>
              </w:rPr>
              <w:t>1</w:t>
            </w:r>
            <w:r w:rsidRPr="0099407B">
              <w:rPr>
                <w:rFonts w:ascii="Times New Roman" w:hAnsi="Times New Roman" w:cs="Times New Roman"/>
                <w:sz w:val="20"/>
                <w:szCs w:val="20"/>
                <w:lang w:val="ro-RO"/>
              </w:rPr>
              <w:t xml:space="preserve"> sunt incidente doar pentru autoritățile contractante, în timp ce punctul 7 rămâne aplicabil entităților contractante. Această delimitare terminologică elimină orice risc de suprapunere sau contradicție între regimul achizițiilor publice și cel al achizițiilor sectoriale.</w:t>
            </w:r>
          </w:p>
          <w:p w14:paraId="5CB6EB7F" w14:textId="0427CD72" w:rsidR="0099407B" w:rsidRPr="0099407B" w:rsidRDefault="00DE7CB8" w:rsidP="0099407B">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 xml:space="preserve">4. </w:t>
            </w:r>
            <w:r w:rsidR="0099407B" w:rsidRPr="0099407B">
              <w:rPr>
                <w:rFonts w:ascii="Times New Roman" w:hAnsi="Times New Roman" w:cs="Times New Roman"/>
                <w:sz w:val="20"/>
                <w:szCs w:val="20"/>
                <w:lang w:val="ro-RO"/>
              </w:rPr>
              <w:t>Corelarea procedurală este deja asigurată:</w:t>
            </w:r>
          </w:p>
          <w:p w14:paraId="61D3D43E" w14:textId="597CB4E7" w:rsidR="0099407B" w:rsidRPr="0099407B" w:rsidRDefault="0099407B" w:rsidP="0099407B">
            <w:pPr>
              <w:tabs>
                <w:tab w:val="left" w:pos="8505"/>
              </w:tabs>
              <w:jc w:val="both"/>
              <w:rPr>
                <w:rFonts w:ascii="Times New Roman" w:hAnsi="Times New Roman" w:cs="Times New Roman"/>
                <w:sz w:val="20"/>
                <w:szCs w:val="20"/>
                <w:lang w:val="ro-RO"/>
              </w:rPr>
            </w:pPr>
            <w:r w:rsidRPr="0099407B">
              <w:rPr>
                <w:rFonts w:ascii="Times New Roman" w:hAnsi="Times New Roman" w:cs="Times New Roman"/>
                <w:sz w:val="20"/>
                <w:szCs w:val="20"/>
                <w:lang w:val="ro-RO"/>
              </w:rPr>
              <w:t>Regulamentul conține deja mecanisme de corelare între particularități și excepții. De exemplu, obligațiile introduse pentru pragurile de la pct. 7</w:t>
            </w:r>
            <w:r w:rsidR="00DE7CB8">
              <w:rPr>
                <w:rFonts w:ascii="Times New Roman" w:hAnsi="Times New Roman" w:cs="Times New Roman"/>
                <w:sz w:val="20"/>
                <w:szCs w:val="20"/>
                <w:vertAlign w:val="superscript"/>
                <w:lang w:val="ro-RO"/>
              </w:rPr>
              <w:t>1</w:t>
            </w:r>
            <w:r w:rsidRPr="0099407B">
              <w:rPr>
                <w:rFonts w:ascii="Times New Roman" w:hAnsi="Times New Roman" w:cs="Times New Roman"/>
                <w:sz w:val="20"/>
                <w:szCs w:val="20"/>
                <w:lang w:val="ro-RO"/>
              </w:rPr>
              <w:t xml:space="preserve"> (precum publicarea anunțului sau utilizarea formularelor) sunt corelate cu pct. 14, care prevede excepțiile de la utilizarea SI „RSAP</w:t>
            </w:r>
            <w:r w:rsidR="00DE7CB8">
              <w:rPr>
                <w:rFonts w:ascii="Times New Roman" w:hAnsi="Times New Roman" w:cs="Times New Roman"/>
                <w:sz w:val="20"/>
                <w:szCs w:val="20"/>
                <w:lang w:val="ro-RO"/>
              </w:rPr>
              <w:t>”</w:t>
            </w:r>
            <w:r w:rsidRPr="0099407B">
              <w:rPr>
                <w:rFonts w:ascii="Times New Roman" w:hAnsi="Times New Roman" w:cs="Times New Roman"/>
                <w:sz w:val="20"/>
                <w:szCs w:val="20"/>
                <w:lang w:val="ro-RO"/>
              </w:rPr>
              <w:t>, inclusiv pentru contractele directe. Astfel, chiar dacă un contract s-ar încadra valoric la pct. 7</w:t>
            </w:r>
            <w:r w:rsidR="00DE7CB8">
              <w:rPr>
                <w:rFonts w:ascii="Times New Roman" w:hAnsi="Times New Roman" w:cs="Times New Roman"/>
                <w:sz w:val="20"/>
                <w:szCs w:val="20"/>
                <w:vertAlign w:val="superscript"/>
                <w:lang w:val="ro-RO"/>
              </w:rPr>
              <w:t>1</w:t>
            </w:r>
            <w:r w:rsidRPr="0099407B">
              <w:rPr>
                <w:rFonts w:ascii="Times New Roman" w:hAnsi="Times New Roman" w:cs="Times New Roman"/>
                <w:sz w:val="20"/>
                <w:szCs w:val="20"/>
                <w:lang w:val="ro-RO"/>
              </w:rPr>
              <w:t>, dar este atribuit prin contract direct în limitele pct. 4–7, excepțiile procedurale se aplică corespunzător, asigurând fluiditatea și logica aplicării normelor.</w:t>
            </w:r>
          </w:p>
          <w:p w14:paraId="4DFA5311" w14:textId="77777777" w:rsidR="007113D4" w:rsidRDefault="0099407B" w:rsidP="0099407B">
            <w:pPr>
              <w:tabs>
                <w:tab w:val="left" w:pos="8505"/>
              </w:tabs>
              <w:jc w:val="both"/>
              <w:rPr>
                <w:rFonts w:ascii="Times New Roman" w:hAnsi="Times New Roman" w:cs="Times New Roman"/>
                <w:sz w:val="20"/>
                <w:szCs w:val="20"/>
                <w:lang w:val="ro-RO"/>
              </w:rPr>
            </w:pPr>
            <w:r w:rsidRPr="0099407B">
              <w:rPr>
                <w:rFonts w:ascii="Times New Roman" w:hAnsi="Times New Roman" w:cs="Times New Roman"/>
                <w:sz w:val="20"/>
                <w:szCs w:val="20"/>
                <w:lang w:val="ro-RO"/>
              </w:rPr>
              <w:t xml:space="preserve">Prin urmare, proiectul asigură securitatea juridică și o structură normativă echilibrată. Respingerea propunerii se întemeiază pe faptul că nu există suprapuneri reale, ci o reglementare diferențiată și proporțională, iar modificarea punctelor 4–7 nu este fezabilă în prezent din cauza dependenței de legislația primară în curs </w:t>
            </w:r>
          </w:p>
          <w:p w14:paraId="6209BDB1" w14:textId="2B85FAFC" w:rsidR="00C0157E" w:rsidRPr="0099407B" w:rsidRDefault="0099407B" w:rsidP="0099407B">
            <w:pPr>
              <w:tabs>
                <w:tab w:val="left" w:pos="8505"/>
              </w:tabs>
              <w:jc w:val="both"/>
              <w:rPr>
                <w:rFonts w:ascii="Times New Roman" w:hAnsi="Times New Roman" w:cs="Times New Roman"/>
                <w:sz w:val="20"/>
                <w:szCs w:val="20"/>
                <w:lang w:val="ro-RO"/>
              </w:rPr>
            </w:pPr>
            <w:r w:rsidRPr="0099407B">
              <w:rPr>
                <w:rFonts w:ascii="Times New Roman" w:hAnsi="Times New Roman" w:cs="Times New Roman"/>
                <w:sz w:val="20"/>
                <w:szCs w:val="20"/>
                <w:lang w:val="ro-RO"/>
              </w:rPr>
              <w:t>de adoptare.</w:t>
            </w:r>
          </w:p>
        </w:tc>
      </w:tr>
      <w:tr w:rsidR="00C0157E" w:rsidRPr="00274D20" w14:paraId="374A0E48" w14:textId="77777777" w:rsidTr="00A919EA">
        <w:trPr>
          <w:trHeight w:val="416"/>
        </w:trPr>
        <w:tc>
          <w:tcPr>
            <w:tcW w:w="3397" w:type="dxa"/>
          </w:tcPr>
          <w:p w14:paraId="23375E51" w14:textId="3A83F698" w:rsidR="00C0157E" w:rsidRDefault="00EA2F9A" w:rsidP="00D47E14">
            <w:pPr>
              <w:tabs>
                <w:tab w:val="left" w:pos="8505"/>
              </w:tabs>
              <w:jc w:val="both"/>
              <w:rPr>
                <w:rFonts w:ascii="Times New Roman" w:hAnsi="Times New Roman" w:cs="Times New Roman"/>
                <w:b/>
                <w:sz w:val="20"/>
                <w:szCs w:val="20"/>
                <w:lang w:val="ro-RO"/>
              </w:rPr>
            </w:pPr>
            <w:r w:rsidRPr="00EA2F9A">
              <w:rPr>
                <w:rFonts w:ascii="Times New Roman" w:hAnsi="Times New Roman" w:cs="Times New Roman"/>
                <w:b/>
                <w:sz w:val="20"/>
                <w:szCs w:val="20"/>
                <w:lang w:val="ro-RO"/>
              </w:rPr>
              <w:lastRenderedPageBreak/>
              <w:t>În contextul proiectului</w:t>
            </w:r>
          </w:p>
        </w:tc>
        <w:tc>
          <w:tcPr>
            <w:tcW w:w="2977" w:type="dxa"/>
          </w:tcPr>
          <w:p w14:paraId="1E2A097E" w14:textId="77777777" w:rsidR="00C0157E" w:rsidRPr="00154388" w:rsidRDefault="00C0157E" w:rsidP="00D47E14">
            <w:pPr>
              <w:tabs>
                <w:tab w:val="left" w:pos="8505"/>
              </w:tabs>
              <w:jc w:val="center"/>
              <w:rPr>
                <w:rFonts w:ascii="Times New Roman" w:hAnsi="Times New Roman" w:cs="Times New Roman"/>
                <w:b/>
                <w:color w:val="000000" w:themeColor="text1"/>
                <w:sz w:val="20"/>
                <w:szCs w:val="20"/>
                <w:lang w:val="ro-RO"/>
              </w:rPr>
            </w:pPr>
          </w:p>
        </w:tc>
        <w:tc>
          <w:tcPr>
            <w:tcW w:w="533" w:type="dxa"/>
          </w:tcPr>
          <w:p w14:paraId="4DBAE5DD" w14:textId="032B6AA8" w:rsidR="00C0157E" w:rsidRDefault="00C0157E" w:rsidP="00D47E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4</w:t>
            </w:r>
          </w:p>
        </w:tc>
        <w:tc>
          <w:tcPr>
            <w:tcW w:w="3402" w:type="dxa"/>
          </w:tcPr>
          <w:p w14:paraId="161126E1" w14:textId="67216196" w:rsidR="00C0157E" w:rsidRPr="00863A23" w:rsidRDefault="00C0157E" w:rsidP="00D47E14">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Cu referire la actualizarea modelelor de formulare propuse prin pct. 1.33 și 1.35 din proiectul de hotărâre menționăm următoarele. Legea nr. 325/2025 prevede cerințe privind conținutul anunțului de participare, precum și a anunțului de atribuire, care sunt compatibile cu cerințele stabilite în Anexa V „Informații care trebuie incluse în anunțuri” din Directiva 2014/24/UE. În context, completările propuse la pct. 1.33 și pct. 1.35 din proiectul național vor fi revăzute și completate conform prevederilor legale naționale armonizate, care au asigurat transpunerea cerințelor din actele UE.</w:t>
            </w:r>
          </w:p>
        </w:tc>
        <w:tc>
          <w:tcPr>
            <w:tcW w:w="3436" w:type="dxa"/>
          </w:tcPr>
          <w:p w14:paraId="4936E531" w14:textId="3734ECAF" w:rsidR="007113D4" w:rsidRPr="007113D4" w:rsidRDefault="007113D4" w:rsidP="007113D4">
            <w:pPr>
              <w:tabs>
                <w:tab w:val="left" w:pos="8505"/>
              </w:tabs>
              <w:jc w:val="both"/>
              <w:rPr>
                <w:rFonts w:ascii="Times New Roman" w:hAnsi="Times New Roman" w:cs="Times New Roman"/>
                <w:b/>
                <w:sz w:val="20"/>
                <w:szCs w:val="20"/>
                <w:lang w:val="ro-RO"/>
              </w:rPr>
            </w:pPr>
            <w:r w:rsidRPr="007113D4">
              <w:rPr>
                <w:rFonts w:ascii="Times New Roman" w:hAnsi="Times New Roman" w:cs="Times New Roman"/>
                <w:b/>
                <w:sz w:val="20"/>
                <w:szCs w:val="20"/>
                <w:lang w:val="ro-RO"/>
              </w:rPr>
              <w:t>Se acceptă</w:t>
            </w:r>
          </w:p>
          <w:p w14:paraId="14B118C3" w14:textId="2FE04153" w:rsidR="007113D4" w:rsidRPr="007113D4" w:rsidRDefault="007113D4" w:rsidP="007113D4">
            <w:pPr>
              <w:tabs>
                <w:tab w:val="left" w:pos="8505"/>
              </w:tabs>
              <w:jc w:val="both"/>
              <w:rPr>
                <w:rFonts w:ascii="Times New Roman" w:hAnsi="Times New Roman" w:cs="Times New Roman"/>
                <w:sz w:val="20"/>
                <w:szCs w:val="20"/>
                <w:lang w:val="ro-RO"/>
              </w:rPr>
            </w:pPr>
            <w:r w:rsidRPr="007113D4">
              <w:rPr>
                <w:rFonts w:ascii="Times New Roman" w:hAnsi="Times New Roman" w:cs="Times New Roman"/>
                <w:sz w:val="20"/>
                <w:szCs w:val="20"/>
                <w:lang w:val="ro-RO"/>
              </w:rPr>
              <w:t>Propunerea este pertinentă și a fost acceptată, întrucât obiectivul de a asigura alinierea formularelor la prevederile Legii nr. 325/2025 și la standardele Uniunii Europene este integral reflectat în proiect, atât la nivel normativ, cât și prin soluțiile tehnice de implementare.</w:t>
            </w:r>
          </w:p>
          <w:p w14:paraId="402C1364" w14:textId="6A7A1791" w:rsidR="001E63DD" w:rsidRDefault="001E63DD" w:rsidP="007113D4">
            <w:pPr>
              <w:tabs>
                <w:tab w:val="left" w:pos="8505"/>
              </w:tabs>
              <w:jc w:val="both"/>
              <w:rPr>
                <w:rFonts w:ascii="Times New Roman" w:hAnsi="Times New Roman" w:cs="Times New Roman"/>
                <w:sz w:val="20"/>
                <w:szCs w:val="20"/>
                <w:lang w:val="ro-RO"/>
              </w:rPr>
            </w:pPr>
            <w:r w:rsidRPr="001E63DD">
              <w:rPr>
                <w:rFonts w:ascii="Times New Roman" w:hAnsi="Times New Roman" w:cs="Times New Roman"/>
                <w:sz w:val="20"/>
                <w:szCs w:val="20"/>
                <w:lang w:val="ro-RO"/>
              </w:rPr>
              <w:t>Formularele propuse pentru Anexa nr. 1</w:t>
            </w:r>
            <w:r>
              <w:rPr>
                <w:rFonts w:ascii="Times New Roman" w:hAnsi="Times New Roman" w:cs="Times New Roman"/>
                <w:sz w:val="20"/>
                <w:szCs w:val="20"/>
                <w:vertAlign w:val="superscript"/>
                <w:lang w:val="ro-RO"/>
              </w:rPr>
              <w:t>1</w:t>
            </w:r>
            <w:r w:rsidRPr="001E63DD">
              <w:rPr>
                <w:rFonts w:ascii="Times New Roman" w:hAnsi="Times New Roman" w:cs="Times New Roman"/>
                <w:sz w:val="20"/>
                <w:szCs w:val="20"/>
                <w:lang w:val="ro-RO"/>
              </w:rPr>
              <w:t xml:space="preserve"> (Anunț de participare) și Anexa nr. 4 (Anunț de atribuire) din Regulamentul privind achizițiile publice de valoare mică au fost revizuite și armonizate cu prevederile Legii nr. 325/2025 privind achizițiile publice, H</w:t>
            </w:r>
            <w:r>
              <w:rPr>
                <w:rFonts w:ascii="Times New Roman" w:hAnsi="Times New Roman" w:cs="Times New Roman"/>
                <w:sz w:val="20"/>
                <w:szCs w:val="20"/>
                <w:lang w:val="ro-RO"/>
              </w:rPr>
              <w:t xml:space="preserve">otǎrârii de </w:t>
            </w:r>
            <w:r w:rsidRPr="001E63DD">
              <w:rPr>
                <w:rFonts w:ascii="Times New Roman" w:hAnsi="Times New Roman" w:cs="Times New Roman"/>
                <w:sz w:val="20"/>
                <w:szCs w:val="20"/>
                <w:lang w:val="ro-RO"/>
              </w:rPr>
              <w:t>G</w:t>
            </w:r>
            <w:r>
              <w:rPr>
                <w:rFonts w:ascii="Times New Roman" w:hAnsi="Times New Roman" w:cs="Times New Roman"/>
                <w:sz w:val="20"/>
                <w:szCs w:val="20"/>
                <w:lang w:val="ro-RO"/>
              </w:rPr>
              <w:t>uvern</w:t>
            </w:r>
            <w:r w:rsidRPr="001E63DD">
              <w:rPr>
                <w:rFonts w:ascii="Times New Roman" w:hAnsi="Times New Roman" w:cs="Times New Roman"/>
                <w:sz w:val="20"/>
                <w:szCs w:val="20"/>
                <w:lang w:val="ro-RO"/>
              </w:rPr>
              <w:t xml:space="preserve"> nr. 610/2025 privind aprobarea </w:t>
            </w:r>
            <w:r w:rsidRPr="001E63DD">
              <w:rPr>
                <w:rFonts w:ascii="Times New Roman" w:hAnsi="Times New Roman" w:cs="Times New Roman"/>
                <w:sz w:val="20"/>
                <w:szCs w:val="20"/>
                <w:lang w:val="ro-RO"/>
              </w:rPr>
              <w:lastRenderedPageBreak/>
              <w:t>formularelor standard în domeniul achizițiilor publice și, implicit, cu cerințele Anexei V din Directiva 2014/24/UE. În acest sens, s‑au completat rubricile obligatorii privind identificarea autorității contractante, obiectul achiziției (CPV, loturi, valori estimate/atribuite), criteriile de selecție și atribuire (inclusiv factorii, ponderile și formula pentru raportul calitate‑preț/calitate‑cost), garanțiile, subcontractarea, depunerea electronică prin SI „RSAP”, termenele procedurale, precum și informațiile privind soluționarea litigiilor (menționând că Autoritatea Națională pentru Soluționarea Contestațiilor nu este competentă pentru achizițiile de valoare mică).</w:t>
            </w:r>
          </w:p>
          <w:p w14:paraId="05D94965" w14:textId="477DCCF1" w:rsidR="007113D4" w:rsidRPr="007113D4" w:rsidRDefault="007113D4" w:rsidP="007113D4">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2. </w:t>
            </w:r>
            <w:r w:rsidRPr="007113D4">
              <w:rPr>
                <w:rFonts w:ascii="Times New Roman" w:hAnsi="Times New Roman" w:cs="Times New Roman"/>
                <w:sz w:val="20"/>
                <w:szCs w:val="20"/>
                <w:lang w:val="ro-RO"/>
              </w:rPr>
              <w:t>Digitalizarea și</w:t>
            </w:r>
            <w:r>
              <w:rPr>
                <w:rFonts w:ascii="Times New Roman" w:hAnsi="Times New Roman" w:cs="Times New Roman"/>
                <w:sz w:val="20"/>
                <w:szCs w:val="20"/>
                <w:lang w:val="ro-RO"/>
              </w:rPr>
              <w:t xml:space="preserve"> implementarea în noul SI „RSAP”</w:t>
            </w:r>
            <w:r w:rsidRPr="007113D4">
              <w:rPr>
                <w:rFonts w:ascii="Times New Roman" w:hAnsi="Times New Roman" w:cs="Times New Roman"/>
                <w:sz w:val="20"/>
                <w:szCs w:val="20"/>
                <w:lang w:val="ro-RO"/>
              </w:rPr>
              <w:t>: Se precizează că toate formularele prevăzute de proiect vor fi supuse unui proces complet de digitalizare și vor fi integrate în noua versiune a</w:t>
            </w:r>
            <w:r>
              <w:rPr>
                <w:rFonts w:ascii="Times New Roman" w:hAnsi="Times New Roman" w:cs="Times New Roman"/>
                <w:sz w:val="20"/>
                <w:szCs w:val="20"/>
                <w:lang w:val="ro-RO"/>
              </w:rPr>
              <w:t xml:space="preserve"> Sistemului Informațional „RSAP”</w:t>
            </w:r>
            <w:r w:rsidRPr="007113D4">
              <w:rPr>
                <w:rFonts w:ascii="Times New Roman" w:hAnsi="Times New Roman" w:cs="Times New Roman"/>
                <w:sz w:val="20"/>
                <w:szCs w:val="20"/>
                <w:lang w:val="ro-RO"/>
              </w:rPr>
              <w:t>, care urmează a fi dezvoltat. Această integrare tehnică este esențială, deoarece noul sistem va incorpora structurile standardizate ale formularelor, asigurând astfel:</w:t>
            </w:r>
          </w:p>
          <w:p w14:paraId="7BE15565" w14:textId="77777777" w:rsidR="007113D4" w:rsidRPr="007113D4" w:rsidRDefault="007113D4" w:rsidP="007113D4">
            <w:pPr>
              <w:tabs>
                <w:tab w:val="left" w:pos="8505"/>
              </w:tabs>
              <w:jc w:val="both"/>
              <w:rPr>
                <w:rFonts w:ascii="Times New Roman" w:hAnsi="Times New Roman" w:cs="Times New Roman"/>
                <w:sz w:val="20"/>
                <w:szCs w:val="20"/>
                <w:lang w:val="ro-RO"/>
              </w:rPr>
            </w:pPr>
            <w:r w:rsidRPr="007113D4">
              <w:rPr>
                <w:rFonts w:ascii="Times New Roman" w:hAnsi="Times New Roman" w:cs="Times New Roman"/>
                <w:sz w:val="20"/>
                <w:szCs w:val="20"/>
                <w:lang w:val="ro-RO"/>
              </w:rPr>
              <w:t>Respectarea riguroasă și automată a cerințelor de conținut stabilite de legislația armonizată;</w:t>
            </w:r>
          </w:p>
          <w:p w14:paraId="0E95FC41" w14:textId="77777777" w:rsidR="007113D4" w:rsidRPr="007113D4" w:rsidRDefault="007113D4" w:rsidP="007113D4">
            <w:pPr>
              <w:tabs>
                <w:tab w:val="left" w:pos="8505"/>
              </w:tabs>
              <w:jc w:val="both"/>
              <w:rPr>
                <w:rFonts w:ascii="Times New Roman" w:hAnsi="Times New Roman" w:cs="Times New Roman"/>
                <w:sz w:val="20"/>
                <w:szCs w:val="20"/>
                <w:lang w:val="ro-RO"/>
              </w:rPr>
            </w:pPr>
            <w:r w:rsidRPr="007113D4">
              <w:rPr>
                <w:rFonts w:ascii="Times New Roman" w:hAnsi="Times New Roman" w:cs="Times New Roman"/>
                <w:sz w:val="20"/>
                <w:szCs w:val="20"/>
                <w:lang w:val="ro-RO"/>
              </w:rPr>
              <w:t>Uniformitatea aplicării și eliminarea riscurilor de eroare sau omisiune în completare;</w:t>
            </w:r>
          </w:p>
          <w:p w14:paraId="2AFB0722" w14:textId="77777777" w:rsidR="007113D4" w:rsidRPr="007113D4" w:rsidRDefault="007113D4" w:rsidP="007113D4">
            <w:pPr>
              <w:tabs>
                <w:tab w:val="left" w:pos="8505"/>
              </w:tabs>
              <w:jc w:val="both"/>
              <w:rPr>
                <w:rFonts w:ascii="Times New Roman" w:hAnsi="Times New Roman" w:cs="Times New Roman"/>
                <w:sz w:val="20"/>
                <w:szCs w:val="20"/>
                <w:lang w:val="ro-RO"/>
              </w:rPr>
            </w:pPr>
            <w:r w:rsidRPr="007113D4">
              <w:rPr>
                <w:rFonts w:ascii="Times New Roman" w:hAnsi="Times New Roman" w:cs="Times New Roman"/>
                <w:sz w:val="20"/>
                <w:szCs w:val="20"/>
                <w:lang w:val="ro-RO"/>
              </w:rPr>
              <w:t>Creșterea eficienței procedurilor prin prelucrarea electronică a datelor și asigurarea trasabilității.</w:t>
            </w:r>
          </w:p>
          <w:p w14:paraId="2B0D462E" w14:textId="4C086CA1" w:rsidR="00C0157E" w:rsidRDefault="007113D4" w:rsidP="007113D4">
            <w:pPr>
              <w:tabs>
                <w:tab w:val="left" w:pos="8505"/>
              </w:tabs>
              <w:jc w:val="both"/>
              <w:rPr>
                <w:rFonts w:ascii="Times New Roman" w:hAnsi="Times New Roman" w:cs="Times New Roman"/>
                <w:b/>
                <w:sz w:val="20"/>
                <w:szCs w:val="20"/>
                <w:lang w:val="ro-RO"/>
              </w:rPr>
            </w:pPr>
            <w:r w:rsidRPr="007113D4">
              <w:rPr>
                <w:rFonts w:ascii="Times New Roman" w:hAnsi="Times New Roman" w:cs="Times New Roman"/>
                <w:sz w:val="20"/>
                <w:szCs w:val="20"/>
                <w:lang w:val="ro-RO"/>
              </w:rPr>
              <w:t xml:space="preserve">Prin urmare, proiectul răspunde integral recomandării, asigurând că modelele de formulare sunt corecte și conforme cu cadrul normativ național și european, iar </w:t>
            </w:r>
            <w:r w:rsidRPr="007113D4">
              <w:rPr>
                <w:rFonts w:ascii="Times New Roman" w:hAnsi="Times New Roman" w:cs="Times New Roman"/>
                <w:sz w:val="20"/>
                <w:szCs w:val="20"/>
                <w:lang w:val="ro-RO"/>
              </w:rPr>
              <w:lastRenderedPageBreak/>
              <w:t>imp</w:t>
            </w:r>
            <w:r>
              <w:rPr>
                <w:rFonts w:ascii="Times New Roman" w:hAnsi="Times New Roman" w:cs="Times New Roman"/>
                <w:sz w:val="20"/>
                <w:szCs w:val="20"/>
                <w:lang w:val="ro-RO"/>
              </w:rPr>
              <w:t>lementarea lor în noul SI „RSAP”</w:t>
            </w:r>
            <w:r w:rsidRPr="007113D4">
              <w:rPr>
                <w:rFonts w:ascii="Times New Roman" w:hAnsi="Times New Roman" w:cs="Times New Roman"/>
                <w:sz w:val="20"/>
                <w:szCs w:val="20"/>
                <w:lang w:val="ro-RO"/>
              </w:rPr>
              <w:t xml:space="preserve"> va consolida securitatea juridică, transparența și modernizarea procesului de achiziții publice.</w:t>
            </w:r>
          </w:p>
        </w:tc>
      </w:tr>
      <w:tr w:rsidR="00C0157E" w:rsidRPr="00274D20" w14:paraId="2BD410C6" w14:textId="77777777" w:rsidTr="00A919EA">
        <w:trPr>
          <w:trHeight w:val="416"/>
        </w:trPr>
        <w:tc>
          <w:tcPr>
            <w:tcW w:w="3397" w:type="dxa"/>
          </w:tcPr>
          <w:p w14:paraId="1A41D7EF" w14:textId="77777777" w:rsidR="00EA2F9A" w:rsidRPr="00F9367D" w:rsidRDefault="00EA2F9A" w:rsidP="00EA2F9A">
            <w:pPr>
              <w:tabs>
                <w:tab w:val="left" w:pos="8505"/>
              </w:tabs>
              <w:jc w:val="both"/>
              <w:rPr>
                <w:rFonts w:ascii="Times New Roman" w:hAnsi="Times New Roman" w:cs="Times New Roman"/>
                <w:sz w:val="20"/>
                <w:szCs w:val="20"/>
                <w:lang w:val="ro-RO"/>
              </w:rPr>
            </w:pPr>
            <w:r w:rsidRPr="00F9367D">
              <w:rPr>
                <w:rFonts w:ascii="Times New Roman" w:hAnsi="Times New Roman" w:cs="Times New Roman"/>
                <w:b/>
                <w:sz w:val="20"/>
                <w:szCs w:val="20"/>
                <w:lang w:val="ro-RO"/>
              </w:rPr>
              <w:lastRenderedPageBreak/>
              <w:t>1.9.</w:t>
            </w:r>
            <w:r>
              <w:rPr>
                <w:rFonts w:ascii="Times New Roman" w:hAnsi="Times New Roman" w:cs="Times New Roman"/>
                <w:b/>
                <w:sz w:val="20"/>
                <w:szCs w:val="20"/>
                <w:lang w:val="ro-RO"/>
              </w:rPr>
              <w:t xml:space="preserve"> </w:t>
            </w:r>
            <w:r w:rsidRPr="00F9367D">
              <w:rPr>
                <w:rFonts w:ascii="Times New Roman" w:hAnsi="Times New Roman" w:cs="Times New Roman"/>
                <w:sz w:val="20"/>
                <w:szCs w:val="20"/>
                <w:lang w:val="ro-RO"/>
              </w:rPr>
              <w:t>Punctul 14 se completează cu subpunctele 9) și 10) cu următorul cuprins:</w:t>
            </w:r>
          </w:p>
          <w:p w14:paraId="6B059B07" w14:textId="77777777" w:rsidR="00EA2F9A" w:rsidRPr="00F9367D" w:rsidRDefault="00EA2F9A" w:rsidP="00EA2F9A">
            <w:pPr>
              <w:tabs>
                <w:tab w:val="left" w:pos="8505"/>
              </w:tabs>
              <w:jc w:val="both"/>
              <w:rPr>
                <w:rFonts w:ascii="Times New Roman" w:hAnsi="Times New Roman" w:cs="Times New Roman"/>
                <w:sz w:val="20"/>
                <w:szCs w:val="20"/>
                <w:lang w:val="ro-RO"/>
              </w:rPr>
            </w:pPr>
            <w:r w:rsidRPr="00F9367D">
              <w:rPr>
                <w:rFonts w:ascii="Times New Roman" w:hAnsi="Times New Roman" w:cs="Times New Roman"/>
                <w:sz w:val="20"/>
                <w:szCs w:val="20"/>
                <w:lang w:val="ro-RO"/>
              </w:rPr>
              <w:t>„9) achizițiile de drepturi de utilizare a produselor software standardizate și a soluțiilor de securitate informatică, furnizate pe bază de licență, atunci când drepturile de distribuție sau utilizare sunt deținute în mod exclusiv de titularul dreptului sau de distribuitori autorizați și nu există o alternativă concurențială reală;</w:t>
            </w:r>
          </w:p>
          <w:p w14:paraId="51194604" w14:textId="77777777" w:rsidR="00EA2F9A" w:rsidRPr="00F9367D" w:rsidRDefault="00EA2F9A" w:rsidP="00EA2F9A">
            <w:pPr>
              <w:tabs>
                <w:tab w:val="left" w:pos="8505"/>
              </w:tabs>
              <w:jc w:val="both"/>
              <w:rPr>
                <w:rFonts w:ascii="Times New Roman" w:hAnsi="Times New Roman" w:cs="Times New Roman"/>
                <w:sz w:val="20"/>
                <w:szCs w:val="20"/>
                <w:lang w:val="ro-RO"/>
              </w:rPr>
            </w:pPr>
            <w:r w:rsidRPr="00F9367D">
              <w:rPr>
                <w:rFonts w:ascii="Times New Roman" w:hAnsi="Times New Roman" w:cs="Times New Roman"/>
                <w:sz w:val="20"/>
                <w:szCs w:val="20"/>
                <w:lang w:val="ro-RO"/>
              </w:rPr>
              <w:t>10) achizițiile de spațiu publicitar digital realizate direct de la operatorii platformelor digitale, în condiții contractuale standardizate, atunci când serviciul poate fi furnizat exclusiv prin infrastructura tehnică a platformei respective și nu există o alternativă concurențială reală.”.</w:t>
            </w:r>
          </w:p>
          <w:p w14:paraId="447342FC" w14:textId="77777777" w:rsidR="00C0157E" w:rsidRDefault="00C0157E" w:rsidP="00D47E14">
            <w:pPr>
              <w:tabs>
                <w:tab w:val="left" w:pos="8505"/>
              </w:tabs>
              <w:jc w:val="both"/>
              <w:rPr>
                <w:rFonts w:ascii="Times New Roman" w:hAnsi="Times New Roman" w:cs="Times New Roman"/>
                <w:b/>
                <w:sz w:val="20"/>
                <w:szCs w:val="20"/>
                <w:lang w:val="ro-RO"/>
              </w:rPr>
            </w:pPr>
          </w:p>
        </w:tc>
        <w:tc>
          <w:tcPr>
            <w:tcW w:w="2977" w:type="dxa"/>
          </w:tcPr>
          <w:p w14:paraId="14DD95D1" w14:textId="77777777" w:rsidR="00C0157E" w:rsidRPr="00154388" w:rsidRDefault="00C0157E" w:rsidP="00D47E14">
            <w:pPr>
              <w:tabs>
                <w:tab w:val="left" w:pos="8505"/>
              </w:tabs>
              <w:jc w:val="center"/>
              <w:rPr>
                <w:rFonts w:ascii="Times New Roman" w:hAnsi="Times New Roman" w:cs="Times New Roman"/>
                <w:b/>
                <w:color w:val="000000" w:themeColor="text1"/>
                <w:sz w:val="20"/>
                <w:szCs w:val="20"/>
                <w:lang w:val="ro-RO"/>
              </w:rPr>
            </w:pPr>
          </w:p>
        </w:tc>
        <w:tc>
          <w:tcPr>
            <w:tcW w:w="533" w:type="dxa"/>
          </w:tcPr>
          <w:p w14:paraId="13C9255B" w14:textId="1371B24F" w:rsidR="00C0157E" w:rsidRDefault="00C0157E" w:rsidP="00D47E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5</w:t>
            </w:r>
          </w:p>
        </w:tc>
        <w:tc>
          <w:tcPr>
            <w:tcW w:w="3402" w:type="dxa"/>
          </w:tcPr>
          <w:p w14:paraId="22FDAE11" w14:textId="77777777" w:rsidR="00C0157E" w:rsidRPr="00863A23" w:rsidRDefault="00C0157E" w:rsidP="00D47E14">
            <w:pPr>
              <w:jc w:val="both"/>
              <w:rPr>
                <w:rFonts w:ascii="Times New Roman" w:hAnsi="Times New Roman" w:cs="Times New Roman"/>
                <w:sz w:val="20"/>
                <w:szCs w:val="20"/>
                <w:lang w:val="ro-RO"/>
              </w:rPr>
            </w:pPr>
            <w:r w:rsidRPr="00863A23">
              <w:rPr>
                <w:rFonts w:ascii="Times New Roman" w:hAnsi="Times New Roman" w:cs="Times New Roman"/>
                <w:sz w:val="20"/>
                <w:szCs w:val="20"/>
                <w:lang w:val="ro-RO"/>
              </w:rPr>
              <w:t>Cu referire la includerea unor excepții suplimentare la pct. 14 al Regulamentului (achizițiile de drepturi de utilizare a produselor software standardizate și a soluțiilor de securitate informatică furnizate pe bază de licență, achizițiile de spațiu publicitar digital furnizat direct de operatorii platformelor digitale, achiziția biletelor de transport aerian, în condiții excepționale, inclusiv prin cardul de plată de serviciu (business) menționăm următoarele.</w:t>
            </w:r>
          </w:p>
          <w:p w14:paraId="2C21EFB1" w14:textId="77777777" w:rsidR="00C0157E" w:rsidRPr="00863A23" w:rsidRDefault="00C0157E" w:rsidP="00D47E14">
            <w:pPr>
              <w:jc w:val="both"/>
              <w:rPr>
                <w:rFonts w:ascii="Times New Roman" w:hAnsi="Times New Roman" w:cs="Times New Roman"/>
                <w:sz w:val="20"/>
                <w:szCs w:val="20"/>
                <w:lang w:val="it-IT"/>
              </w:rPr>
            </w:pPr>
            <w:r w:rsidRPr="00863A23">
              <w:rPr>
                <w:rFonts w:ascii="Times New Roman" w:hAnsi="Times New Roman" w:cs="Times New Roman"/>
                <w:sz w:val="20"/>
                <w:szCs w:val="20"/>
                <w:lang w:val="ro-RO"/>
              </w:rPr>
              <w:t xml:space="preserve">Directivele privind achizițiile publice conțin derogări specifice care permit, în anumite condiții, desfășurarea procedurilor fără publicarea prealabilă a unui anunț (de ex. art. 31 și 32 din Directiva 2014/24/UE). </w:t>
            </w:r>
            <w:r w:rsidRPr="00863A23">
              <w:rPr>
                <w:rFonts w:ascii="Times New Roman" w:hAnsi="Times New Roman" w:cs="Times New Roman"/>
                <w:sz w:val="20"/>
                <w:szCs w:val="20"/>
                <w:lang w:val="it-IT"/>
              </w:rPr>
              <w:t>Cele mai importante cazuri privesc situațiile de urgență extremă generate de evenimente imprevizibile și contractele care, din motive tehnice sau artistice sau din considerente legate de protecția drepturilor exclusive, pot fi executate doar de un anumit operator economic.</w:t>
            </w:r>
          </w:p>
          <w:p w14:paraId="5DF8C8A2" w14:textId="1D9F26DE" w:rsidR="00C0157E" w:rsidRPr="00863A23" w:rsidRDefault="00C0157E" w:rsidP="00D47E14">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În</w:t>
            </w:r>
            <w:r w:rsidR="00EA2F9A" w:rsidRPr="00863A23">
              <w:rPr>
                <w:rFonts w:ascii="Times New Roman" w:hAnsi="Times New Roman" w:cs="Times New Roman"/>
                <w:sz w:val="20"/>
                <w:szCs w:val="20"/>
                <w:lang w:val="it-IT"/>
              </w:rPr>
              <w:t xml:space="preserve"> context, în viziunea Comisiei</w:t>
            </w:r>
            <w:r w:rsidRPr="00863A23">
              <w:rPr>
                <w:rFonts w:ascii="Times New Roman" w:hAnsi="Times New Roman" w:cs="Times New Roman"/>
                <w:sz w:val="20"/>
                <w:szCs w:val="20"/>
                <w:lang w:val="it-IT"/>
              </w:rPr>
              <w:t>, aceste derogări relevante pot fi aplicate și în cazul atribuirii contractelor care nu sunt acoperite de Directive. Prin urmare, entitățile contractante pot atribui astfel de contracte fără publicarea prealabilă a unui anunț, cu condiția respectării cerințelor prevăzute de Directive pentru una dintre derogări.</w:t>
            </w:r>
          </w:p>
          <w:p w14:paraId="26AAD0E7" w14:textId="0E354696" w:rsidR="00C0157E" w:rsidRPr="00863A23" w:rsidRDefault="00C0157E" w:rsidP="00D47E14">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 xml:space="preserve">Totodată, recomandăm introducerea obligației explicite de documentare a motivelor obiective care justifică inexistența alternativei concurențiale, </w:t>
            </w:r>
            <w:r w:rsidRPr="00863A23">
              <w:rPr>
                <w:rFonts w:ascii="Times New Roman" w:hAnsi="Times New Roman" w:cs="Times New Roman"/>
                <w:sz w:val="20"/>
                <w:szCs w:val="20"/>
                <w:lang w:val="it-IT"/>
              </w:rPr>
              <w:lastRenderedPageBreak/>
              <w:t>consemnate în documentația de achiziție.</w:t>
            </w:r>
          </w:p>
        </w:tc>
        <w:tc>
          <w:tcPr>
            <w:tcW w:w="3436" w:type="dxa"/>
          </w:tcPr>
          <w:p w14:paraId="711CD07E" w14:textId="3D5018B2" w:rsidR="00F77AAB" w:rsidRPr="00F77AAB" w:rsidRDefault="00F77AAB" w:rsidP="00F77AAB">
            <w:pPr>
              <w:tabs>
                <w:tab w:val="left" w:pos="8505"/>
              </w:tabs>
              <w:jc w:val="both"/>
              <w:rPr>
                <w:rFonts w:ascii="Times New Roman" w:hAnsi="Times New Roman" w:cs="Times New Roman"/>
                <w:b/>
                <w:sz w:val="20"/>
                <w:szCs w:val="20"/>
                <w:lang w:val="ro-RO"/>
              </w:rPr>
            </w:pPr>
            <w:r w:rsidRPr="00F77AAB">
              <w:rPr>
                <w:rFonts w:ascii="Times New Roman" w:hAnsi="Times New Roman" w:cs="Times New Roman"/>
                <w:b/>
                <w:sz w:val="20"/>
                <w:szCs w:val="20"/>
                <w:lang w:val="ro-RO"/>
              </w:rPr>
              <w:lastRenderedPageBreak/>
              <w:t>Se acceptă parțial</w:t>
            </w:r>
          </w:p>
          <w:p w14:paraId="626DCCCF" w14:textId="33EC25A1" w:rsidR="00F84E4C" w:rsidRPr="00F84E4C" w:rsidRDefault="00F84E4C" w:rsidP="00F84E4C">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În urma recepționǎrii</w:t>
            </w:r>
            <w:r w:rsidR="00864CEA">
              <w:rPr>
                <w:rFonts w:ascii="Times New Roman" w:hAnsi="Times New Roman" w:cs="Times New Roman"/>
                <w:sz w:val="20"/>
                <w:szCs w:val="20"/>
                <w:lang w:val="ro-RO"/>
              </w:rPr>
              <w:t>avizului de la Cancelaria de Stat punctele 14 şi 14</w:t>
            </w:r>
            <w:r w:rsidR="00864CEA">
              <w:rPr>
                <w:rFonts w:ascii="Times New Roman" w:hAnsi="Times New Roman" w:cs="Times New Roman"/>
                <w:sz w:val="20"/>
                <w:szCs w:val="20"/>
                <w:vertAlign w:val="superscript"/>
                <w:lang w:val="ro-RO"/>
              </w:rPr>
              <w:t xml:space="preserve">1 </w:t>
            </w:r>
            <w:r w:rsidR="00864CEA">
              <w:rPr>
                <w:rFonts w:ascii="Times New Roman" w:hAnsi="Times New Roman" w:cs="Times New Roman"/>
                <w:sz w:val="20"/>
                <w:szCs w:val="20"/>
                <w:lang w:val="ro-RO"/>
              </w:rPr>
              <w:t>au fost reformulate dupǎ cum urmeazǎ: „</w:t>
            </w:r>
            <w:r w:rsidRPr="00F84E4C">
              <w:rPr>
                <w:rFonts w:ascii="Times New Roman" w:hAnsi="Times New Roman" w:cs="Times New Roman"/>
                <w:sz w:val="20"/>
                <w:szCs w:val="20"/>
                <w:lang w:val="ro-RO"/>
              </w:rPr>
              <w:t>Punctul 14 se completează cu subpunctele 9) și 10) cu următorul cuprins:</w:t>
            </w:r>
          </w:p>
          <w:p w14:paraId="295719FC" w14:textId="77777777" w:rsidR="00F84E4C" w:rsidRPr="00F84E4C" w:rsidRDefault="00F84E4C" w:rsidP="00F84E4C">
            <w:pPr>
              <w:tabs>
                <w:tab w:val="left" w:pos="8505"/>
              </w:tabs>
              <w:jc w:val="both"/>
              <w:rPr>
                <w:rFonts w:ascii="Times New Roman" w:hAnsi="Times New Roman" w:cs="Times New Roman"/>
                <w:sz w:val="20"/>
                <w:szCs w:val="20"/>
                <w:lang w:val="ro-RO"/>
              </w:rPr>
            </w:pPr>
            <w:r w:rsidRPr="00F84E4C">
              <w:rPr>
                <w:rFonts w:ascii="Times New Roman" w:hAnsi="Times New Roman" w:cs="Times New Roman"/>
                <w:sz w:val="20"/>
                <w:szCs w:val="20"/>
                <w:lang w:val="ro-RO"/>
              </w:rPr>
              <w:t>„9) achizițiile de drepturi de utilizare a produselor software standardizate și a soluțiilor de securitate informatică, furnizate pe bază de licență, atunci când drepturile de distribuție sau utilizare sunt deținute în mod exclusiv de titularul dreptului sau de distribuitori autorizați și nu există o alternativă concurențială reală, în baza unei note justificative întocmite de autoritatea contractantă, care demonstrează lipsa unei alternative concurențiale reale;</w:t>
            </w:r>
          </w:p>
          <w:p w14:paraId="0D8CAAE5" w14:textId="6E384B83" w:rsidR="00F84E4C" w:rsidRPr="00F84E4C" w:rsidRDefault="00F84E4C" w:rsidP="00F84E4C">
            <w:pPr>
              <w:tabs>
                <w:tab w:val="left" w:pos="8505"/>
              </w:tabs>
              <w:jc w:val="both"/>
              <w:rPr>
                <w:rFonts w:ascii="Times New Roman" w:hAnsi="Times New Roman" w:cs="Times New Roman"/>
                <w:sz w:val="20"/>
                <w:szCs w:val="20"/>
                <w:lang w:val="ro-RO"/>
              </w:rPr>
            </w:pPr>
            <w:r w:rsidRPr="00F84E4C">
              <w:rPr>
                <w:rFonts w:ascii="Times New Roman" w:hAnsi="Times New Roman" w:cs="Times New Roman"/>
                <w:sz w:val="20"/>
                <w:szCs w:val="20"/>
                <w:lang w:val="ro-RO"/>
              </w:rPr>
              <w:t xml:space="preserve">10) achizițiile de spațiu publicitar digital realizate direct de la operatorii platformelor digitale, în condiții contractuale standardizate, atunci când serviciul poate fi furnizat exclusiv prin infrastructura tehnică a platformei respective și nu există o alternativă concurențială reală, în baza unei note justificative întocmite de autoritatea contractantă, prin care se demonstrează lipsa unei alternative concurențiale reale.”. </w:t>
            </w:r>
          </w:p>
          <w:p w14:paraId="6713BB41" w14:textId="6314F79D" w:rsidR="00F84E4C" w:rsidRPr="00F84E4C" w:rsidRDefault="00F84E4C" w:rsidP="00F84E4C">
            <w:pPr>
              <w:tabs>
                <w:tab w:val="left" w:pos="8505"/>
              </w:tabs>
              <w:jc w:val="both"/>
              <w:rPr>
                <w:rFonts w:ascii="Times New Roman" w:hAnsi="Times New Roman" w:cs="Times New Roman"/>
                <w:sz w:val="20"/>
                <w:szCs w:val="20"/>
                <w:lang w:val="it-IT"/>
              </w:rPr>
            </w:pPr>
            <w:r w:rsidRPr="00F84E4C">
              <w:rPr>
                <w:rFonts w:ascii="Times New Roman" w:hAnsi="Times New Roman" w:cs="Times New Roman"/>
                <w:sz w:val="20"/>
                <w:szCs w:val="20"/>
                <w:lang w:val="it-IT"/>
              </w:rPr>
              <w:t>14</w:t>
            </w:r>
            <w:r w:rsidR="00864CEA">
              <w:rPr>
                <w:rFonts w:ascii="Times New Roman" w:hAnsi="Times New Roman" w:cs="Times New Roman"/>
                <w:sz w:val="20"/>
                <w:szCs w:val="20"/>
                <w:vertAlign w:val="superscript"/>
                <w:lang w:val="it-IT"/>
              </w:rPr>
              <w:t>1</w:t>
            </w:r>
            <w:r w:rsidRPr="00F84E4C">
              <w:rPr>
                <w:rFonts w:ascii="Times New Roman" w:hAnsi="Times New Roman" w:cs="Times New Roman"/>
                <w:sz w:val="20"/>
                <w:szCs w:val="20"/>
                <w:lang w:val="it-IT"/>
              </w:rPr>
              <w:t xml:space="preserve">. În sensul subpct. 9) al pct. 14, prin produse software standardizate se înțeleg aplicații informatice comerciale furnizate pe bază de licență, protejate prin drepturi de proprietate intelectuală (drepturi de autor), destinate utilizării generale, care nu presupun dezvoltare sau adaptare substanțială pentru </w:t>
            </w:r>
            <w:r w:rsidRPr="00F84E4C">
              <w:rPr>
                <w:rFonts w:ascii="Times New Roman" w:hAnsi="Times New Roman" w:cs="Times New Roman"/>
                <w:sz w:val="20"/>
                <w:szCs w:val="20"/>
                <w:lang w:val="it-IT"/>
              </w:rPr>
              <w:lastRenderedPageBreak/>
              <w:t>necesitățile specifice ale autorității/entității contractante. Prin soluții de securitate informatică se înțeleg aplicații sau servicii destinate asigurării protecției sistemelor informatice, rețelelor și datelor împotriva riscurilor cibernetice, care pot prezenta caracteristici de exclusivitate tehnică.</w:t>
            </w:r>
          </w:p>
          <w:p w14:paraId="6CCD05E7" w14:textId="366C3F8A" w:rsidR="00F84E4C" w:rsidRPr="00864CEA" w:rsidRDefault="00F84E4C" w:rsidP="00F77AAB">
            <w:pPr>
              <w:tabs>
                <w:tab w:val="left" w:pos="8505"/>
              </w:tabs>
              <w:jc w:val="both"/>
              <w:rPr>
                <w:rFonts w:ascii="Times New Roman" w:hAnsi="Times New Roman" w:cs="Times New Roman"/>
                <w:sz w:val="20"/>
                <w:szCs w:val="20"/>
                <w:lang w:val="it-IT"/>
              </w:rPr>
            </w:pPr>
            <w:r w:rsidRPr="00F84E4C">
              <w:rPr>
                <w:rFonts w:ascii="Times New Roman" w:hAnsi="Times New Roman" w:cs="Times New Roman"/>
                <w:sz w:val="20"/>
                <w:szCs w:val="20"/>
                <w:lang w:val="it-IT"/>
              </w:rPr>
              <w:t>În sensul subpct. 10) al pct. 14, prin spațiu publicitar digital se înțelege serviciul de afișare a mesajelor promoționale prin intermediul sistemelor informatice gestionate de operatorii platformelor digitale care dețin infrastructura tehnică proprie, în baza unor condiții generale prestabilite și fără posibilitatea negocierii individuale a clauzelor contractuale.”.</w:t>
            </w:r>
          </w:p>
          <w:p w14:paraId="5F86359C" w14:textId="2F8A6EE5" w:rsidR="00F77AAB" w:rsidRPr="00F77AAB" w:rsidRDefault="00F77AAB" w:rsidP="00F77AAB">
            <w:pPr>
              <w:tabs>
                <w:tab w:val="left" w:pos="8505"/>
              </w:tabs>
              <w:jc w:val="both"/>
              <w:rPr>
                <w:rFonts w:ascii="Times New Roman" w:hAnsi="Times New Roman" w:cs="Times New Roman"/>
                <w:sz w:val="20"/>
                <w:szCs w:val="20"/>
                <w:lang w:val="ro-RO"/>
              </w:rPr>
            </w:pPr>
            <w:r w:rsidRPr="00F77AAB">
              <w:rPr>
                <w:rFonts w:ascii="Times New Roman" w:hAnsi="Times New Roman" w:cs="Times New Roman"/>
                <w:sz w:val="20"/>
                <w:szCs w:val="20"/>
                <w:lang w:val="ro-RO"/>
              </w:rPr>
              <w:t>Propunerea este analizată favorabil sub aspectul necesității de a consolida garanțiile procedurale prin documentarea riguroasă a excepțiilor, însă nu poate fi acceptată în integritate datorită unor imprecizii privind încadrarea juridică a unor cazuri și delimitarea normativă a prevederilor proiectului.</w:t>
            </w:r>
          </w:p>
          <w:p w14:paraId="7B03E420" w14:textId="77777777" w:rsidR="00F77AAB" w:rsidRPr="00F77AAB" w:rsidRDefault="00F77AAB" w:rsidP="00F77AAB">
            <w:pPr>
              <w:tabs>
                <w:tab w:val="left" w:pos="8505"/>
              </w:tabs>
              <w:jc w:val="both"/>
              <w:rPr>
                <w:rFonts w:ascii="Times New Roman" w:hAnsi="Times New Roman" w:cs="Times New Roman"/>
                <w:sz w:val="20"/>
                <w:szCs w:val="20"/>
                <w:lang w:val="ro-RO"/>
              </w:rPr>
            </w:pPr>
            <w:r w:rsidRPr="00F77AAB">
              <w:rPr>
                <w:rFonts w:ascii="Times New Roman" w:hAnsi="Times New Roman" w:cs="Times New Roman"/>
                <w:sz w:val="20"/>
                <w:szCs w:val="20"/>
                <w:lang w:val="ro-RO"/>
              </w:rPr>
              <w:t>1. Aspecte acceptate – Obligația de documentare și alinierea la principiile UE:</w:t>
            </w:r>
          </w:p>
          <w:p w14:paraId="5F539E41" w14:textId="09D43850" w:rsidR="00F77AAB" w:rsidRPr="00F77AAB" w:rsidRDefault="00F77AAB" w:rsidP="00F77AAB">
            <w:pPr>
              <w:tabs>
                <w:tab w:val="left" w:pos="8505"/>
              </w:tabs>
              <w:jc w:val="both"/>
              <w:rPr>
                <w:rFonts w:ascii="Times New Roman" w:hAnsi="Times New Roman" w:cs="Times New Roman"/>
                <w:sz w:val="20"/>
                <w:szCs w:val="20"/>
                <w:lang w:val="ro-RO"/>
              </w:rPr>
            </w:pPr>
            <w:r w:rsidRPr="00F77AAB">
              <w:rPr>
                <w:rFonts w:ascii="Times New Roman" w:hAnsi="Times New Roman" w:cs="Times New Roman"/>
                <w:sz w:val="20"/>
                <w:szCs w:val="20"/>
                <w:lang w:val="ro-RO"/>
              </w:rPr>
              <w:t>Se acceptă recomandarea de a introduce obligația explicită de documentare a motivelor obiective care justifică inexistența alternativei concurențiale. Această completare este imperativă pentru a asigura conformitatea cu Legea nr. 325/2025 și cu principiile fundamentale ale TFUE și ale Directivei 2014/24/UE.</w:t>
            </w:r>
          </w:p>
          <w:p w14:paraId="42E79E5D" w14:textId="687C8BAA" w:rsidR="00F77AAB" w:rsidRPr="00F77AAB" w:rsidRDefault="00F839DE" w:rsidP="00F77AAB">
            <w:pPr>
              <w:tabs>
                <w:tab w:val="left" w:pos="8505"/>
              </w:tabs>
              <w:jc w:val="both"/>
              <w:rPr>
                <w:rFonts w:ascii="Times New Roman" w:hAnsi="Times New Roman" w:cs="Times New Roman"/>
                <w:sz w:val="20"/>
                <w:szCs w:val="20"/>
                <w:lang w:val="ro-RO"/>
              </w:rPr>
            </w:pPr>
            <w:r w:rsidRPr="00F839DE">
              <w:rPr>
                <w:rFonts w:ascii="Times New Roman" w:hAnsi="Times New Roman" w:cs="Times New Roman"/>
                <w:sz w:val="20"/>
                <w:szCs w:val="20"/>
                <w:lang w:val="ro-RO"/>
              </w:rPr>
              <w:t xml:space="preserve">Excepțiile prevăzute la pct. 14 subpct. 9) și 10) corespund cazurilor de exclusivitate tehnică și drepturi </w:t>
            </w:r>
            <w:r w:rsidRPr="00F839DE">
              <w:rPr>
                <w:rFonts w:ascii="Times New Roman" w:hAnsi="Times New Roman" w:cs="Times New Roman"/>
                <w:sz w:val="20"/>
                <w:szCs w:val="20"/>
                <w:lang w:val="ro-RO"/>
              </w:rPr>
              <w:lastRenderedPageBreak/>
              <w:t>exclusive, reglementate la art. 32 alin. (2) lit. (b) din Directiva 2014/24/UE, care permit atribuirea fără publicare prealabilă atunci când concurența este absentă din motive obiective</w:t>
            </w:r>
            <w:r w:rsidR="00F77AAB" w:rsidRPr="00F77AAB">
              <w:rPr>
                <w:rFonts w:ascii="Times New Roman" w:hAnsi="Times New Roman" w:cs="Times New Roman"/>
                <w:sz w:val="20"/>
                <w:szCs w:val="20"/>
                <w:lang w:val="ro-RO"/>
              </w:rPr>
              <w:t>.</w:t>
            </w:r>
          </w:p>
          <w:p w14:paraId="4AB33A43" w14:textId="77777777" w:rsidR="00F77AAB" w:rsidRPr="00F77AAB" w:rsidRDefault="00F77AAB" w:rsidP="00F77AAB">
            <w:pPr>
              <w:tabs>
                <w:tab w:val="left" w:pos="8505"/>
              </w:tabs>
              <w:jc w:val="both"/>
              <w:rPr>
                <w:rFonts w:ascii="Times New Roman" w:hAnsi="Times New Roman" w:cs="Times New Roman"/>
                <w:sz w:val="20"/>
                <w:szCs w:val="20"/>
                <w:lang w:val="ro-RO"/>
              </w:rPr>
            </w:pPr>
            <w:r w:rsidRPr="00F77AAB">
              <w:rPr>
                <w:rFonts w:ascii="Times New Roman" w:hAnsi="Times New Roman" w:cs="Times New Roman"/>
                <w:sz w:val="20"/>
                <w:szCs w:val="20"/>
                <w:lang w:val="ro-RO"/>
              </w:rPr>
              <w:t>Proiectul a fost completat cu cerința expresă ca autoritatea contractantă să întocmească o notă justificativă în dosarul achiziției, prin care să demonstreze, pe baza unor criterii obiective (ex. drepturi de proprietate intelectuală, infrastructură tehnică unică), lipsa unei alternative concurențiale reale. Aceasta asigură trasabilitatea, previne aplicarea arbitrară a excepțiilor și răspunde standardelor de transparență și auditabilitate.</w:t>
            </w:r>
          </w:p>
          <w:p w14:paraId="58CF0C6E" w14:textId="77777777" w:rsidR="00F77AAB" w:rsidRPr="00F77AAB" w:rsidRDefault="00F77AAB" w:rsidP="00F77AAB">
            <w:pPr>
              <w:tabs>
                <w:tab w:val="left" w:pos="8505"/>
              </w:tabs>
              <w:jc w:val="both"/>
              <w:rPr>
                <w:rFonts w:ascii="Times New Roman" w:hAnsi="Times New Roman" w:cs="Times New Roman"/>
                <w:sz w:val="20"/>
                <w:szCs w:val="20"/>
                <w:lang w:val="ro-RO"/>
              </w:rPr>
            </w:pPr>
            <w:r w:rsidRPr="00F77AAB">
              <w:rPr>
                <w:rFonts w:ascii="Times New Roman" w:hAnsi="Times New Roman" w:cs="Times New Roman"/>
                <w:sz w:val="20"/>
                <w:szCs w:val="20"/>
                <w:lang w:val="ro-RO"/>
              </w:rPr>
              <w:t>2. Aspecte neacceptate sau clarificate – Delimitarea temeiurilor și a sferei de aplicare:</w:t>
            </w:r>
          </w:p>
          <w:p w14:paraId="5E16A684" w14:textId="71CE747C" w:rsidR="00F77AAB" w:rsidRPr="00F77AAB" w:rsidRDefault="00F77AAB" w:rsidP="00F77AAB">
            <w:pPr>
              <w:tabs>
                <w:tab w:val="left" w:pos="8505"/>
              </w:tabs>
              <w:jc w:val="both"/>
              <w:rPr>
                <w:rFonts w:ascii="Times New Roman" w:hAnsi="Times New Roman" w:cs="Times New Roman"/>
                <w:sz w:val="20"/>
                <w:szCs w:val="20"/>
                <w:lang w:val="ro-RO"/>
              </w:rPr>
            </w:pPr>
            <w:r w:rsidRPr="00F77AAB">
              <w:rPr>
                <w:rFonts w:ascii="Times New Roman" w:hAnsi="Times New Roman" w:cs="Times New Roman"/>
                <w:sz w:val="20"/>
                <w:szCs w:val="20"/>
                <w:lang w:val="ro-RO"/>
              </w:rPr>
              <w:t>Nu se acceptă integral încadrarea propusă de autorul observației, din următoarele considerente tehnice și legislative:</w:t>
            </w:r>
          </w:p>
          <w:p w14:paraId="25FF06B9" w14:textId="1E18C622" w:rsidR="00F77AAB" w:rsidRPr="00F77AAB" w:rsidRDefault="00F839DE" w:rsidP="00F77AAB">
            <w:pPr>
              <w:tabs>
                <w:tab w:val="left" w:pos="8505"/>
              </w:tabs>
              <w:jc w:val="both"/>
              <w:rPr>
                <w:rFonts w:ascii="Times New Roman" w:hAnsi="Times New Roman" w:cs="Times New Roman"/>
                <w:sz w:val="20"/>
                <w:szCs w:val="20"/>
                <w:lang w:val="ro-RO"/>
              </w:rPr>
            </w:pPr>
            <w:r w:rsidRPr="00F839DE">
              <w:rPr>
                <w:rFonts w:ascii="Times New Roman" w:hAnsi="Times New Roman" w:cs="Times New Roman"/>
                <w:sz w:val="20"/>
                <w:szCs w:val="20"/>
                <w:lang w:val="ro-RO"/>
              </w:rPr>
              <w:t>Distincția între exclusivitate și urgență: Propunerea face referire la derogările din Directivă, însă este necesară clarificarea temeiurilor juridice. Excepțiile de la pct. 14 subpct. 9) și 10) se întemeiază exclusiv pe lipsa alternativei concurențiale din motive tehnice sau de drepturi exclusive [art. 32 alin. (2) lit. (b)], nu pe urgență. Situațiile de urgență extremă sunt reglementate distinct la art. 32 alin. (2) lit. (c) din Directivă și, în Regulament, la pct. 14 subpct. 8) și pct. 13. Invocarea urgenței pentru achizițiile de software sau spațiu publicitar digital este nerelevantă, deoarece acestea sunt justificate de unicitatea sursei, nu de imposibilitatea respectării termenelor.</w:t>
            </w:r>
            <w:r>
              <w:rPr>
                <w:rFonts w:ascii="Times New Roman" w:hAnsi="Times New Roman" w:cs="Times New Roman"/>
                <w:sz w:val="20"/>
                <w:szCs w:val="20"/>
                <w:lang w:val="ro-RO"/>
              </w:rPr>
              <w:t xml:space="preserve"> </w:t>
            </w:r>
          </w:p>
          <w:p w14:paraId="43B1A8D8" w14:textId="02D581B3" w:rsidR="00F77AAB" w:rsidRPr="00F77AAB" w:rsidRDefault="00F77AAB" w:rsidP="00F77AAB">
            <w:pPr>
              <w:tabs>
                <w:tab w:val="left" w:pos="8505"/>
              </w:tabs>
              <w:jc w:val="both"/>
              <w:rPr>
                <w:rFonts w:ascii="Times New Roman" w:hAnsi="Times New Roman" w:cs="Times New Roman"/>
                <w:sz w:val="20"/>
                <w:szCs w:val="20"/>
                <w:lang w:val="ro-RO"/>
              </w:rPr>
            </w:pPr>
            <w:r w:rsidRPr="00F77AAB">
              <w:rPr>
                <w:rFonts w:ascii="Times New Roman" w:hAnsi="Times New Roman" w:cs="Times New Roman"/>
                <w:sz w:val="20"/>
                <w:szCs w:val="20"/>
                <w:lang w:val="ro-RO"/>
              </w:rPr>
              <w:lastRenderedPageBreak/>
              <w:t>Poziționarea achiziției biletelor de transport aerian: Propunerea include achiziția biletelor de transport aerian în analiza excepțiilor de la pct. 14. Totuși, proiectul reglementează acest caz la pct. 57</w:t>
            </w:r>
            <w:r>
              <w:rPr>
                <w:rFonts w:ascii="Times New Roman" w:hAnsi="Times New Roman" w:cs="Times New Roman"/>
                <w:sz w:val="20"/>
                <w:szCs w:val="20"/>
                <w:vertAlign w:val="superscript"/>
                <w:lang w:val="ro-RO"/>
              </w:rPr>
              <w:t>2</w:t>
            </w:r>
            <w:r w:rsidRPr="00F77AAB">
              <w:rPr>
                <w:rFonts w:ascii="Times New Roman" w:hAnsi="Times New Roman" w:cs="Times New Roman"/>
                <w:sz w:val="20"/>
                <w:szCs w:val="20"/>
                <w:lang w:val="ro-RO"/>
              </w:rPr>
              <w:t>, care vizează o derogare privind forma angajamentului juridic și modalitatea de plată (prin card de serviciu), și nu o exc</w:t>
            </w:r>
            <w:r>
              <w:rPr>
                <w:rFonts w:ascii="Times New Roman" w:hAnsi="Times New Roman" w:cs="Times New Roman"/>
                <w:sz w:val="20"/>
                <w:szCs w:val="20"/>
                <w:lang w:val="ro-RO"/>
              </w:rPr>
              <w:t>epție de la utilizarea SI „RSAP”</w:t>
            </w:r>
            <w:r w:rsidRPr="00F77AAB">
              <w:rPr>
                <w:rFonts w:ascii="Times New Roman" w:hAnsi="Times New Roman" w:cs="Times New Roman"/>
                <w:sz w:val="20"/>
                <w:szCs w:val="20"/>
                <w:lang w:val="ro-RO"/>
              </w:rPr>
              <w:t xml:space="preserve"> sau de la regulile de atribuire prevăzute la pct. 14. Prin urmare, corelarea biletelor de avion cu excepțiile de la pct. 14 este incorectă din punct de vedere al arhitecturii normative a proiectului.</w:t>
            </w:r>
          </w:p>
          <w:p w14:paraId="11A744CE" w14:textId="77777777" w:rsidR="00F77AAB" w:rsidRPr="00F77AAB" w:rsidRDefault="00F77AAB" w:rsidP="00F77AAB">
            <w:pPr>
              <w:tabs>
                <w:tab w:val="left" w:pos="8505"/>
              </w:tabs>
              <w:jc w:val="both"/>
              <w:rPr>
                <w:rFonts w:ascii="Times New Roman" w:hAnsi="Times New Roman" w:cs="Times New Roman"/>
                <w:sz w:val="20"/>
                <w:szCs w:val="20"/>
                <w:lang w:val="ro-RO"/>
              </w:rPr>
            </w:pPr>
            <w:r w:rsidRPr="00F77AAB">
              <w:rPr>
                <w:rFonts w:ascii="Times New Roman" w:hAnsi="Times New Roman" w:cs="Times New Roman"/>
                <w:sz w:val="20"/>
                <w:szCs w:val="20"/>
                <w:lang w:val="ro-RO"/>
              </w:rPr>
              <w:t>Proporționalitatea reglementării naționale: Deși directivele UE oferă cadrul de referință, Legea nr. 325/2025 și prezentul Regulament, aplicabil achizițiilor de valoare mică, exercită marja de apreciere națională permisă pentru contractele sub pragurile directivelor. Reglementarea este adaptată pentru a asigura o proporționalitate între rigoarea procedurală și sarcina administrativă, fără a impune condiții excesive, dar menținând exigențele esențiale de justificare și nediscriminare.</w:t>
            </w:r>
          </w:p>
          <w:p w14:paraId="021CF448" w14:textId="0B122F58" w:rsidR="00C0157E" w:rsidRPr="00F77AAB" w:rsidRDefault="00F77AAB" w:rsidP="00F77AAB">
            <w:pPr>
              <w:tabs>
                <w:tab w:val="left" w:pos="8505"/>
              </w:tabs>
              <w:jc w:val="both"/>
              <w:rPr>
                <w:rFonts w:ascii="Times New Roman" w:hAnsi="Times New Roman" w:cs="Times New Roman"/>
                <w:sz w:val="20"/>
                <w:szCs w:val="20"/>
                <w:lang w:val="ro-RO"/>
              </w:rPr>
            </w:pPr>
            <w:r w:rsidRPr="00F77AAB">
              <w:rPr>
                <w:rFonts w:ascii="Times New Roman" w:hAnsi="Times New Roman" w:cs="Times New Roman"/>
                <w:sz w:val="20"/>
                <w:szCs w:val="20"/>
                <w:lang w:val="ro-RO"/>
              </w:rPr>
              <w:t>Proiectul a fost ajustat pentru a integra cerința de documentare riguroasă a lipsei alternativei concurențiale, asigurând alinierea la standardele UE și la legislația națională. Totodată, se menține delimitarea corectă a temeiurilor juridice (exclusivitate vs. urgență) și a sferei de aplicare a excepțiilor, respingând încadrările eronate sau redundante sugerate în propunere.</w:t>
            </w:r>
          </w:p>
        </w:tc>
      </w:tr>
      <w:tr w:rsidR="00C0157E" w:rsidRPr="009957C6" w14:paraId="1286992B" w14:textId="77777777" w:rsidTr="00A919EA">
        <w:trPr>
          <w:trHeight w:val="416"/>
        </w:trPr>
        <w:tc>
          <w:tcPr>
            <w:tcW w:w="3397" w:type="dxa"/>
          </w:tcPr>
          <w:p w14:paraId="0F671E8A" w14:textId="5D980D63" w:rsidR="00C0157E" w:rsidRDefault="003D570B" w:rsidP="00D47E14">
            <w:pPr>
              <w:tabs>
                <w:tab w:val="left" w:pos="8505"/>
              </w:tabs>
              <w:jc w:val="both"/>
              <w:rPr>
                <w:rFonts w:ascii="Times New Roman" w:hAnsi="Times New Roman" w:cs="Times New Roman"/>
                <w:b/>
                <w:sz w:val="20"/>
                <w:szCs w:val="20"/>
                <w:lang w:val="ro-RO"/>
              </w:rPr>
            </w:pPr>
            <w:r w:rsidRPr="00060388">
              <w:rPr>
                <w:rFonts w:ascii="Times New Roman" w:hAnsi="Times New Roman" w:cs="Times New Roman"/>
                <w:b/>
                <w:sz w:val="20"/>
                <w:szCs w:val="20"/>
                <w:lang w:val="it-IT"/>
              </w:rPr>
              <w:lastRenderedPageBreak/>
              <w:t>În contextul proiectului</w:t>
            </w:r>
          </w:p>
        </w:tc>
        <w:tc>
          <w:tcPr>
            <w:tcW w:w="2977" w:type="dxa"/>
          </w:tcPr>
          <w:p w14:paraId="020B472A" w14:textId="77777777" w:rsidR="00C0157E" w:rsidRPr="00154388" w:rsidRDefault="00C0157E" w:rsidP="00D47E14">
            <w:pPr>
              <w:tabs>
                <w:tab w:val="left" w:pos="8505"/>
              </w:tabs>
              <w:jc w:val="center"/>
              <w:rPr>
                <w:rFonts w:ascii="Times New Roman" w:hAnsi="Times New Roman" w:cs="Times New Roman"/>
                <w:b/>
                <w:color w:val="000000" w:themeColor="text1"/>
                <w:sz w:val="20"/>
                <w:szCs w:val="20"/>
                <w:lang w:val="ro-RO"/>
              </w:rPr>
            </w:pPr>
          </w:p>
        </w:tc>
        <w:tc>
          <w:tcPr>
            <w:tcW w:w="533" w:type="dxa"/>
          </w:tcPr>
          <w:p w14:paraId="05B5BE20" w14:textId="7F4DC04B" w:rsidR="00C0157E" w:rsidRDefault="00C0157E" w:rsidP="00D47E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6</w:t>
            </w:r>
          </w:p>
        </w:tc>
        <w:tc>
          <w:tcPr>
            <w:tcW w:w="3402" w:type="dxa"/>
          </w:tcPr>
          <w:p w14:paraId="35D55BC4" w14:textId="77777777" w:rsidR="00C0157E" w:rsidRPr="00863A23" w:rsidRDefault="00C0157E" w:rsidP="00C0157E">
            <w:pPr>
              <w:jc w:val="both"/>
              <w:rPr>
                <w:rFonts w:ascii="Times New Roman" w:hAnsi="Times New Roman" w:cs="Times New Roman"/>
                <w:sz w:val="20"/>
                <w:szCs w:val="20"/>
                <w:lang w:val="it-IT"/>
              </w:rPr>
            </w:pPr>
            <w:r w:rsidRPr="00863A23">
              <w:rPr>
                <w:rFonts w:ascii="Times New Roman" w:hAnsi="Times New Roman" w:cs="Times New Roman"/>
                <w:sz w:val="20"/>
                <w:szCs w:val="20"/>
                <w:lang w:val="ro-RO"/>
              </w:rPr>
              <w:t xml:space="preserve">În final, evidențiem faptul că Legea nr. 325/2025 constituie un act normativ național care a asigurat transpunerea </w:t>
            </w:r>
            <w:r w:rsidRPr="00863A23">
              <w:rPr>
                <w:rFonts w:ascii="Times New Roman" w:hAnsi="Times New Roman" w:cs="Times New Roman"/>
                <w:sz w:val="20"/>
                <w:szCs w:val="20"/>
                <w:lang w:val="ro-RO"/>
              </w:rPr>
              <w:lastRenderedPageBreak/>
              <w:t xml:space="preserve">parțială a prevederilor Directivei 2014/24/UE. </w:t>
            </w:r>
            <w:r w:rsidRPr="00863A23">
              <w:rPr>
                <w:rFonts w:ascii="Times New Roman" w:hAnsi="Times New Roman" w:cs="Times New Roman"/>
                <w:sz w:val="20"/>
                <w:szCs w:val="20"/>
                <w:lang w:val="it-IT"/>
              </w:rPr>
              <w:t>În acest context, pentru a realiza armonizarea deplină a normelor naționale cu cele europene în domeniul achizițiilor publice, cadrul normativ secundar va asigura conformitatea cu dispozițiile cadrului normativ primar în domeniu.</w:t>
            </w:r>
          </w:p>
          <w:p w14:paraId="284B7705" w14:textId="070DC1ED" w:rsidR="00C0157E" w:rsidRPr="00863A23" w:rsidRDefault="00C0157E" w:rsidP="00C0157E">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În concluzie, ca urmare a expertizei de compatibilitate realizate, se va asigura revizuirea proiectului național prin prisma obiecțiilor enunțate.</w:t>
            </w:r>
          </w:p>
        </w:tc>
        <w:tc>
          <w:tcPr>
            <w:tcW w:w="3436" w:type="dxa"/>
          </w:tcPr>
          <w:p w14:paraId="7221B76C" w14:textId="7CCE15FD" w:rsidR="00C0157E" w:rsidRDefault="00EA2F9A" w:rsidP="00D47E14">
            <w:pPr>
              <w:tabs>
                <w:tab w:val="left" w:pos="8505"/>
              </w:tabs>
              <w:jc w:val="both"/>
              <w:rPr>
                <w:rFonts w:ascii="Times New Roman" w:hAnsi="Times New Roman" w:cs="Times New Roman"/>
                <w:b/>
                <w:sz w:val="20"/>
                <w:szCs w:val="20"/>
                <w:lang w:val="ro-RO"/>
              </w:rPr>
            </w:pPr>
            <w:r w:rsidRPr="00EA2F9A">
              <w:rPr>
                <w:rFonts w:ascii="Times New Roman" w:hAnsi="Times New Roman" w:cs="Times New Roman"/>
                <w:b/>
                <w:sz w:val="20"/>
                <w:szCs w:val="20"/>
                <w:lang w:val="ro-RO"/>
              </w:rPr>
              <w:lastRenderedPageBreak/>
              <w:t>Se ia act</w:t>
            </w:r>
          </w:p>
        </w:tc>
      </w:tr>
      <w:tr w:rsidR="00C0157E" w:rsidRPr="009957C6" w14:paraId="2B59B15E" w14:textId="77777777" w:rsidTr="00A919EA">
        <w:trPr>
          <w:trHeight w:val="416"/>
        </w:trPr>
        <w:tc>
          <w:tcPr>
            <w:tcW w:w="3397" w:type="dxa"/>
          </w:tcPr>
          <w:p w14:paraId="4A1BACC1" w14:textId="2D46782A" w:rsidR="00C0157E" w:rsidRDefault="003D570B" w:rsidP="00D47E14">
            <w:pPr>
              <w:tabs>
                <w:tab w:val="left" w:pos="8505"/>
              </w:tabs>
              <w:jc w:val="both"/>
              <w:rPr>
                <w:rFonts w:ascii="Times New Roman" w:hAnsi="Times New Roman" w:cs="Times New Roman"/>
                <w:b/>
                <w:sz w:val="20"/>
                <w:szCs w:val="20"/>
                <w:lang w:val="ro-RO"/>
              </w:rPr>
            </w:pPr>
            <w:r w:rsidRPr="00060388">
              <w:rPr>
                <w:rFonts w:ascii="Times New Roman" w:hAnsi="Times New Roman" w:cs="Times New Roman"/>
                <w:b/>
                <w:sz w:val="20"/>
                <w:szCs w:val="20"/>
                <w:lang w:val="it-IT"/>
              </w:rPr>
              <w:lastRenderedPageBreak/>
              <w:t>În contextul proiectului</w:t>
            </w:r>
          </w:p>
        </w:tc>
        <w:tc>
          <w:tcPr>
            <w:tcW w:w="2977" w:type="dxa"/>
          </w:tcPr>
          <w:p w14:paraId="22BF5523" w14:textId="77777777" w:rsidR="00C0157E" w:rsidRPr="00154388" w:rsidRDefault="00C0157E" w:rsidP="00D47E14">
            <w:pPr>
              <w:tabs>
                <w:tab w:val="left" w:pos="8505"/>
              </w:tabs>
              <w:jc w:val="center"/>
              <w:rPr>
                <w:rFonts w:ascii="Times New Roman" w:hAnsi="Times New Roman" w:cs="Times New Roman"/>
                <w:b/>
                <w:color w:val="000000" w:themeColor="text1"/>
                <w:sz w:val="20"/>
                <w:szCs w:val="20"/>
                <w:lang w:val="ro-RO"/>
              </w:rPr>
            </w:pPr>
          </w:p>
        </w:tc>
        <w:tc>
          <w:tcPr>
            <w:tcW w:w="533" w:type="dxa"/>
          </w:tcPr>
          <w:p w14:paraId="2131DE35" w14:textId="678DD4AD" w:rsidR="00C0157E" w:rsidRDefault="00C0157E" w:rsidP="00D47E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7</w:t>
            </w:r>
          </w:p>
        </w:tc>
        <w:tc>
          <w:tcPr>
            <w:tcW w:w="3402" w:type="dxa"/>
          </w:tcPr>
          <w:p w14:paraId="11265D77" w14:textId="426EBC6D" w:rsidR="00C0157E" w:rsidRPr="00863A23" w:rsidRDefault="00C0157E" w:rsidP="00C0157E">
            <w:pPr>
              <w:jc w:val="both"/>
              <w:rPr>
                <w:rFonts w:ascii="Times New Roman" w:hAnsi="Times New Roman" w:cs="Times New Roman"/>
                <w:sz w:val="20"/>
                <w:szCs w:val="20"/>
                <w:lang w:val="it-IT"/>
              </w:rPr>
            </w:pPr>
            <w:r w:rsidRPr="00863A23">
              <w:rPr>
                <w:rFonts w:ascii="Times New Roman" w:hAnsi="Times New Roman" w:cs="Times New Roman"/>
                <w:sz w:val="20"/>
                <w:szCs w:val="20"/>
                <w:lang w:val="it-IT"/>
              </w:rPr>
              <w:t>Facem mențiunea că analiza Centrului de armonizare a legislației nu are în vedere elementele de oportunitate ale soluțiilor juridice incluse în proiectul de act normativ, ci se referă strict la conformitatea acestora cu Dreptul UE aplicabil și obligațiile juridice asumate în lumina Acordului de Asociere RM – UE și Cadrului de negociere cu Uniunea Europeană.</w:t>
            </w:r>
          </w:p>
        </w:tc>
        <w:tc>
          <w:tcPr>
            <w:tcW w:w="3436" w:type="dxa"/>
          </w:tcPr>
          <w:p w14:paraId="07DC5947" w14:textId="0A6C4C77" w:rsidR="00C0157E" w:rsidRDefault="00EA2F9A" w:rsidP="00D47E14">
            <w:pPr>
              <w:tabs>
                <w:tab w:val="left" w:pos="8505"/>
              </w:tabs>
              <w:jc w:val="both"/>
              <w:rPr>
                <w:rFonts w:ascii="Times New Roman" w:hAnsi="Times New Roman" w:cs="Times New Roman"/>
                <w:b/>
                <w:sz w:val="20"/>
                <w:szCs w:val="20"/>
                <w:lang w:val="ro-RO"/>
              </w:rPr>
            </w:pPr>
            <w:r w:rsidRPr="00EA2F9A">
              <w:rPr>
                <w:rFonts w:ascii="Times New Roman" w:hAnsi="Times New Roman" w:cs="Times New Roman"/>
                <w:b/>
                <w:sz w:val="20"/>
                <w:szCs w:val="20"/>
                <w:lang w:val="ro-RO"/>
              </w:rPr>
              <w:t>Se ia act</w:t>
            </w:r>
          </w:p>
        </w:tc>
      </w:tr>
      <w:tr w:rsidR="00121250" w:rsidRPr="00274D20" w14:paraId="578DA9DC" w14:textId="77777777" w:rsidTr="00A919EA">
        <w:trPr>
          <w:trHeight w:val="416"/>
        </w:trPr>
        <w:tc>
          <w:tcPr>
            <w:tcW w:w="3397" w:type="dxa"/>
          </w:tcPr>
          <w:p w14:paraId="1C49F858" w14:textId="77777777" w:rsidR="00121250" w:rsidRPr="00121250" w:rsidRDefault="00121250" w:rsidP="00D47E14">
            <w:pPr>
              <w:tabs>
                <w:tab w:val="left" w:pos="8505"/>
              </w:tabs>
              <w:jc w:val="both"/>
              <w:rPr>
                <w:rFonts w:ascii="Times New Roman" w:hAnsi="Times New Roman" w:cs="Times New Roman"/>
                <w:b/>
                <w:sz w:val="20"/>
                <w:szCs w:val="20"/>
              </w:rPr>
            </w:pPr>
          </w:p>
        </w:tc>
        <w:tc>
          <w:tcPr>
            <w:tcW w:w="2977" w:type="dxa"/>
          </w:tcPr>
          <w:p w14:paraId="5CC9008A" w14:textId="21CB8AB8" w:rsidR="00121250" w:rsidRPr="00154388" w:rsidRDefault="00121250" w:rsidP="00D47E14">
            <w:pPr>
              <w:tabs>
                <w:tab w:val="left" w:pos="8505"/>
              </w:tabs>
              <w:jc w:val="center"/>
              <w:rPr>
                <w:rFonts w:ascii="Times New Roman" w:hAnsi="Times New Roman" w:cs="Times New Roman"/>
                <w:b/>
                <w:color w:val="000000" w:themeColor="text1"/>
                <w:sz w:val="20"/>
                <w:szCs w:val="20"/>
                <w:lang w:val="ro-RO"/>
              </w:rPr>
            </w:pPr>
            <w:r w:rsidRPr="00863A23">
              <w:rPr>
                <w:rFonts w:ascii="Times New Roman" w:hAnsi="Times New Roman" w:cs="Times New Roman"/>
                <w:b/>
                <w:color w:val="000000" w:themeColor="text1"/>
                <w:sz w:val="20"/>
                <w:szCs w:val="20"/>
                <w:lang w:val="it-IT"/>
              </w:rPr>
              <w:t xml:space="preserve">Ministerul Afacerilor Externe </w:t>
            </w:r>
            <w:r w:rsidRPr="00121250">
              <w:rPr>
                <w:rFonts w:ascii="Times New Roman" w:hAnsi="Times New Roman" w:cs="Times New Roman"/>
                <w:b/>
                <w:color w:val="000000" w:themeColor="text1"/>
                <w:sz w:val="20"/>
                <w:szCs w:val="20"/>
                <w:lang w:val="ro-RO"/>
              </w:rPr>
              <w:t xml:space="preserve">(scrisoarea nr. </w:t>
            </w:r>
            <w:r w:rsidRPr="00863A23">
              <w:rPr>
                <w:rFonts w:ascii="Times New Roman" w:hAnsi="Times New Roman" w:cs="Times New Roman"/>
                <w:b/>
                <w:color w:val="000000" w:themeColor="text1"/>
                <w:sz w:val="20"/>
                <w:szCs w:val="20"/>
                <w:lang w:val="it-IT"/>
              </w:rPr>
              <w:t xml:space="preserve">DI/3/041-4563 </w:t>
            </w:r>
            <w:r w:rsidRPr="00121250">
              <w:rPr>
                <w:rFonts w:ascii="Times New Roman" w:hAnsi="Times New Roman" w:cs="Times New Roman"/>
                <w:b/>
                <w:color w:val="000000" w:themeColor="text1"/>
                <w:sz w:val="20"/>
                <w:szCs w:val="20"/>
                <w:lang w:val="ro-RO"/>
              </w:rPr>
              <w:t xml:space="preserve">din </w:t>
            </w:r>
            <w:r w:rsidRPr="00863A23">
              <w:rPr>
                <w:rFonts w:ascii="Times New Roman" w:hAnsi="Times New Roman" w:cs="Times New Roman"/>
                <w:b/>
                <w:color w:val="000000" w:themeColor="text1"/>
                <w:sz w:val="20"/>
                <w:szCs w:val="20"/>
                <w:lang w:val="it-IT"/>
              </w:rPr>
              <w:t>22 aprilie 2026</w:t>
            </w:r>
            <w:r w:rsidRPr="00121250">
              <w:rPr>
                <w:rFonts w:ascii="Times New Roman" w:hAnsi="Times New Roman" w:cs="Times New Roman"/>
                <w:b/>
                <w:color w:val="000000" w:themeColor="text1"/>
                <w:sz w:val="20"/>
                <w:szCs w:val="20"/>
                <w:lang w:val="ro-RO"/>
              </w:rPr>
              <w:t>)</w:t>
            </w:r>
          </w:p>
        </w:tc>
        <w:tc>
          <w:tcPr>
            <w:tcW w:w="533" w:type="dxa"/>
          </w:tcPr>
          <w:p w14:paraId="26268D4B" w14:textId="77777777" w:rsidR="00121250" w:rsidRDefault="00121250" w:rsidP="00D47E14">
            <w:pPr>
              <w:tabs>
                <w:tab w:val="left" w:pos="8505"/>
              </w:tabs>
              <w:jc w:val="center"/>
              <w:rPr>
                <w:rFonts w:ascii="Times New Roman" w:hAnsi="Times New Roman" w:cs="Times New Roman"/>
                <w:b/>
                <w:sz w:val="20"/>
                <w:szCs w:val="20"/>
                <w:lang w:val="ro-RO"/>
              </w:rPr>
            </w:pPr>
          </w:p>
        </w:tc>
        <w:tc>
          <w:tcPr>
            <w:tcW w:w="3402" w:type="dxa"/>
          </w:tcPr>
          <w:p w14:paraId="300743F3" w14:textId="77777777" w:rsidR="00121250" w:rsidRPr="00863A23" w:rsidRDefault="00121250" w:rsidP="00C0157E">
            <w:pPr>
              <w:jc w:val="both"/>
              <w:rPr>
                <w:rFonts w:ascii="Times New Roman" w:hAnsi="Times New Roman" w:cs="Times New Roman"/>
                <w:sz w:val="20"/>
                <w:szCs w:val="20"/>
                <w:lang w:val="it-IT"/>
              </w:rPr>
            </w:pPr>
          </w:p>
        </w:tc>
        <w:tc>
          <w:tcPr>
            <w:tcW w:w="3436" w:type="dxa"/>
          </w:tcPr>
          <w:p w14:paraId="21C6829E" w14:textId="77777777" w:rsidR="00121250" w:rsidRDefault="00121250" w:rsidP="00D47E14">
            <w:pPr>
              <w:tabs>
                <w:tab w:val="left" w:pos="8505"/>
              </w:tabs>
              <w:jc w:val="both"/>
              <w:rPr>
                <w:rFonts w:ascii="Times New Roman" w:hAnsi="Times New Roman" w:cs="Times New Roman"/>
                <w:b/>
                <w:sz w:val="20"/>
                <w:szCs w:val="20"/>
                <w:lang w:val="ro-RO"/>
              </w:rPr>
            </w:pPr>
          </w:p>
        </w:tc>
      </w:tr>
      <w:tr w:rsidR="00121250" w:rsidRPr="009957C6" w14:paraId="0EF23338" w14:textId="77777777" w:rsidTr="00A919EA">
        <w:trPr>
          <w:trHeight w:val="416"/>
        </w:trPr>
        <w:tc>
          <w:tcPr>
            <w:tcW w:w="3397" w:type="dxa"/>
          </w:tcPr>
          <w:p w14:paraId="048CA4C3" w14:textId="77777777" w:rsidR="00121250" w:rsidRPr="00863A23" w:rsidRDefault="00121250" w:rsidP="00121250">
            <w:pPr>
              <w:tabs>
                <w:tab w:val="left" w:pos="8505"/>
              </w:tabs>
              <w:jc w:val="both"/>
              <w:rPr>
                <w:rFonts w:ascii="Times New Roman" w:hAnsi="Times New Roman" w:cs="Times New Roman"/>
                <w:b/>
                <w:sz w:val="20"/>
                <w:szCs w:val="20"/>
                <w:lang w:val="it-IT"/>
              </w:rPr>
            </w:pPr>
          </w:p>
        </w:tc>
        <w:tc>
          <w:tcPr>
            <w:tcW w:w="2977" w:type="dxa"/>
          </w:tcPr>
          <w:p w14:paraId="22998962" w14:textId="77777777" w:rsidR="00121250" w:rsidRPr="00154388" w:rsidRDefault="00121250" w:rsidP="00121250">
            <w:pPr>
              <w:tabs>
                <w:tab w:val="left" w:pos="8505"/>
              </w:tabs>
              <w:jc w:val="center"/>
              <w:rPr>
                <w:rFonts w:ascii="Times New Roman" w:hAnsi="Times New Roman" w:cs="Times New Roman"/>
                <w:b/>
                <w:color w:val="000000" w:themeColor="text1"/>
                <w:sz w:val="20"/>
                <w:szCs w:val="20"/>
                <w:lang w:val="ro-RO"/>
              </w:rPr>
            </w:pPr>
          </w:p>
        </w:tc>
        <w:tc>
          <w:tcPr>
            <w:tcW w:w="533" w:type="dxa"/>
          </w:tcPr>
          <w:p w14:paraId="77384572" w14:textId="58126110" w:rsidR="00121250" w:rsidRDefault="00121250" w:rsidP="0012125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44CD263E" w14:textId="54227C47" w:rsidR="00121250" w:rsidRPr="00863A23" w:rsidRDefault="00121250" w:rsidP="00121250">
            <w:pPr>
              <w:jc w:val="both"/>
              <w:rPr>
                <w:rFonts w:ascii="Times New Roman" w:hAnsi="Times New Roman" w:cs="Times New Roman"/>
                <w:sz w:val="20"/>
                <w:szCs w:val="20"/>
                <w:lang w:val="it-IT"/>
              </w:rPr>
            </w:pPr>
            <w:r>
              <w:rPr>
                <w:rFonts w:ascii="Times New Roman" w:hAnsi="Times New Roman" w:cs="Times New Roman"/>
                <w:sz w:val="20"/>
                <w:szCs w:val="20"/>
                <w:lang w:val="ro-RO"/>
              </w:rPr>
              <w:t>Lipsa de obiecții și propuneri</w:t>
            </w:r>
          </w:p>
        </w:tc>
        <w:tc>
          <w:tcPr>
            <w:tcW w:w="3436" w:type="dxa"/>
          </w:tcPr>
          <w:p w14:paraId="0D40EDDF" w14:textId="4A0684FC" w:rsidR="00121250" w:rsidRDefault="00121250" w:rsidP="00121250">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863A23" w:rsidRPr="00274D20" w14:paraId="63FE3DC0" w14:textId="77777777" w:rsidTr="00A919EA">
        <w:trPr>
          <w:trHeight w:val="416"/>
        </w:trPr>
        <w:tc>
          <w:tcPr>
            <w:tcW w:w="3397" w:type="dxa"/>
          </w:tcPr>
          <w:p w14:paraId="10AFF137" w14:textId="77777777" w:rsidR="00863A23" w:rsidRPr="00121250" w:rsidRDefault="00863A23" w:rsidP="00121250">
            <w:pPr>
              <w:tabs>
                <w:tab w:val="left" w:pos="8505"/>
              </w:tabs>
              <w:jc w:val="both"/>
              <w:rPr>
                <w:rFonts w:ascii="Times New Roman" w:hAnsi="Times New Roman" w:cs="Times New Roman"/>
                <w:b/>
                <w:sz w:val="20"/>
                <w:szCs w:val="20"/>
              </w:rPr>
            </w:pPr>
          </w:p>
        </w:tc>
        <w:tc>
          <w:tcPr>
            <w:tcW w:w="2977" w:type="dxa"/>
          </w:tcPr>
          <w:p w14:paraId="0B1B3CD8" w14:textId="77777777" w:rsidR="00863A23" w:rsidRPr="00863A23" w:rsidRDefault="00863A23" w:rsidP="00863A23">
            <w:pPr>
              <w:tabs>
                <w:tab w:val="left" w:pos="8505"/>
              </w:tabs>
              <w:jc w:val="center"/>
              <w:rPr>
                <w:rFonts w:ascii="Times New Roman" w:hAnsi="Times New Roman" w:cs="Times New Roman"/>
                <w:b/>
                <w:color w:val="000000" w:themeColor="text1"/>
                <w:sz w:val="20"/>
                <w:szCs w:val="20"/>
                <w:lang w:val="ro-RO"/>
              </w:rPr>
            </w:pPr>
            <w:r w:rsidRPr="00863A23">
              <w:rPr>
                <w:rFonts w:ascii="Times New Roman" w:hAnsi="Times New Roman" w:cs="Times New Roman"/>
                <w:b/>
                <w:color w:val="000000" w:themeColor="text1"/>
                <w:sz w:val="20"/>
                <w:szCs w:val="20"/>
                <w:lang w:val="ro-RO"/>
              </w:rPr>
              <w:t>Ministerul Dezvoltării</w:t>
            </w:r>
          </w:p>
          <w:p w14:paraId="48C57F94" w14:textId="60D051CF" w:rsidR="00863A23" w:rsidRPr="00154388" w:rsidRDefault="00863A23" w:rsidP="00863A23">
            <w:pPr>
              <w:tabs>
                <w:tab w:val="left" w:pos="8505"/>
              </w:tabs>
              <w:jc w:val="center"/>
              <w:rPr>
                <w:rFonts w:ascii="Times New Roman" w:hAnsi="Times New Roman" w:cs="Times New Roman"/>
                <w:b/>
                <w:color w:val="000000" w:themeColor="text1"/>
                <w:sz w:val="20"/>
                <w:szCs w:val="20"/>
                <w:lang w:val="ro-RO"/>
              </w:rPr>
            </w:pPr>
            <w:r w:rsidRPr="00863A23">
              <w:rPr>
                <w:rFonts w:ascii="Times New Roman" w:hAnsi="Times New Roman" w:cs="Times New Roman"/>
                <w:b/>
                <w:color w:val="000000" w:themeColor="text1"/>
                <w:sz w:val="20"/>
                <w:szCs w:val="20"/>
                <w:lang w:val="ro-RO"/>
              </w:rPr>
              <w:t>Economice și Digitalizării</w:t>
            </w:r>
            <w:r>
              <w:rPr>
                <w:rFonts w:ascii="Times New Roman" w:hAnsi="Times New Roman" w:cs="Times New Roman"/>
                <w:b/>
                <w:color w:val="000000" w:themeColor="text1"/>
                <w:sz w:val="20"/>
                <w:szCs w:val="20"/>
                <w:lang w:val="ro-RO"/>
              </w:rPr>
              <w:t xml:space="preserve"> </w:t>
            </w:r>
            <w:r w:rsidRPr="00121250">
              <w:rPr>
                <w:rFonts w:ascii="Times New Roman" w:hAnsi="Times New Roman" w:cs="Times New Roman"/>
                <w:b/>
                <w:color w:val="000000" w:themeColor="text1"/>
                <w:sz w:val="20"/>
                <w:szCs w:val="20"/>
                <w:lang w:val="ro-RO"/>
              </w:rPr>
              <w:t xml:space="preserve">(scrisoarea nr. </w:t>
            </w:r>
            <w:r w:rsidRPr="00863A23">
              <w:rPr>
                <w:rFonts w:ascii="Times New Roman" w:hAnsi="Times New Roman" w:cs="Times New Roman"/>
                <w:b/>
                <w:color w:val="000000" w:themeColor="text1"/>
                <w:sz w:val="20"/>
                <w:szCs w:val="20"/>
                <w:lang w:val="it-IT"/>
              </w:rPr>
              <w:t>17 – 1332</w:t>
            </w:r>
            <w:r>
              <w:rPr>
                <w:rFonts w:ascii="Times New Roman" w:hAnsi="Times New Roman" w:cs="Times New Roman"/>
                <w:b/>
                <w:color w:val="000000" w:themeColor="text1"/>
                <w:sz w:val="20"/>
                <w:szCs w:val="20"/>
                <w:lang w:val="it-IT"/>
              </w:rPr>
              <w:t xml:space="preserve"> </w:t>
            </w:r>
            <w:r w:rsidRPr="00121250">
              <w:rPr>
                <w:rFonts w:ascii="Times New Roman" w:hAnsi="Times New Roman" w:cs="Times New Roman"/>
                <w:b/>
                <w:color w:val="000000" w:themeColor="text1"/>
                <w:sz w:val="20"/>
                <w:szCs w:val="20"/>
                <w:lang w:val="ro-RO"/>
              </w:rPr>
              <w:t xml:space="preserve">din </w:t>
            </w:r>
            <w:r w:rsidRPr="00863A23">
              <w:rPr>
                <w:rFonts w:ascii="Times New Roman" w:hAnsi="Times New Roman" w:cs="Times New Roman"/>
                <w:b/>
                <w:color w:val="000000" w:themeColor="text1"/>
                <w:sz w:val="20"/>
                <w:szCs w:val="20"/>
                <w:lang w:val="it-IT"/>
              </w:rPr>
              <w:t>2</w:t>
            </w:r>
            <w:r>
              <w:rPr>
                <w:rFonts w:ascii="Times New Roman" w:hAnsi="Times New Roman" w:cs="Times New Roman"/>
                <w:b/>
                <w:color w:val="000000" w:themeColor="text1"/>
                <w:sz w:val="20"/>
                <w:szCs w:val="20"/>
                <w:lang w:val="it-IT"/>
              </w:rPr>
              <w:t>1</w:t>
            </w:r>
            <w:r w:rsidRPr="00863A23">
              <w:rPr>
                <w:rFonts w:ascii="Times New Roman" w:hAnsi="Times New Roman" w:cs="Times New Roman"/>
                <w:b/>
                <w:color w:val="000000" w:themeColor="text1"/>
                <w:sz w:val="20"/>
                <w:szCs w:val="20"/>
                <w:lang w:val="it-IT"/>
              </w:rPr>
              <w:t xml:space="preserve"> aprilie 2026</w:t>
            </w:r>
            <w:r w:rsidRPr="00121250">
              <w:rPr>
                <w:rFonts w:ascii="Times New Roman" w:hAnsi="Times New Roman" w:cs="Times New Roman"/>
                <w:b/>
                <w:color w:val="000000" w:themeColor="text1"/>
                <w:sz w:val="20"/>
                <w:szCs w:val="20"/>
                <w:lang w:val="ro-RO"/>
              </w:rPr>
              <w:t>)</w:t>
            </w:r>
          </w:p>
        </w:tc>
        <w:tc>
          <w:tcPr>
            <w:tcW w:w="533" w:type="dxa"/>
          </w:tcPr>
          <w:p w14:paraId="5BBC3E3C" w14:textId="77777777" w:rsidR="00863A23" w:rsidRDefault="00863A23" w:rsidP="00121250">
            <w:pPr>
              <w:tabs>
                <w:tab w:val="left" w:pos="8505"/>
              </w:tabs>
              <w:jc w:val="center"/>
              <w:rPr>
                <w:rFonts w:ascii="Times New Roman" w:hAnsi="Times New Roman" w:cs="Times New Roman"/>
                <w:b/>
                <w:sz w:val="20"/>
                <w:szCs w:val="20"/>
                <w:lang w:val="ro-RO"/>
              </w:rPr>
            </w:pPr>
          </w:p>
        </w:tc>
        <w:tc>
          <w:tcPr>
            <w:tcW w:w="3402" w:type="dxa"/>
          </w:tcPr>
          <w:p w14:paraId="5FAC6C18" w14:textId="77777777" w:rsidR="00863A23" w:rsidRDefault="00863A23" w:rsidP="00121250">
            <w:pPr>
              <w:jc w:val="both"/>
              <w:rPr>
                <w:rFonts w:ascii="Times New Roman" w:hAnsi="Times New Roman" w:cs="Times New Roman"/>
                <w:sz w:val="20"/>
                <w:szCs w:val="20"/>
                <w:lang w:val="ro-RO"/>
              </w:rPr>
            </w:pPr>
          </w:p>
        </w:tc>
        <w:tc>
          <w:tcPr>
            <w:tcW w:w="3436" w:type="dxa"/>
          </w:tcPr>
          <w:p w14:paraId="74BBCEED" w14:textId="77777777" w:rsidR="00863A23" w:rsidRDefault="00863A23" w:rsidP="00121250">
            <w:pPr>
              <w:tabs>
                <w:tab w:val="left" w:pos="8505"/>
              </w:tabs>
              <w:jc w:val="both"/>
              <w:rPr>
                <w:rFonts w:ascii="Times New Roman" w:hAnsi="Times New Roman" w:cs="Times New Roman"/>
                <w:b/>
                <w:sz w:val="20"/>
                <w:szCs w:val="20"/>
                <w:lang w:val="ro-RO"/>
              </w:rPr>
            </w:pPr>
          </w:p>
        </w:tc>
      </w:tr>
      <w:tr w:rsidR="00863A23" w:rsidRPr="00863A23" w14:paraId="3015819A" w14:textId="77777777" w:rsidTr="00A919EA">
        <w:trPr>
          <w:trHeight w:val="416"/>
        </w:trPr>
        <w:tc>
          <w:tcPr>
            <w:tcW w:w="3397" w:type="dxa"/>
          </w:tcPr>
          <w:p w14:paraId="31276EEB" w14:textId="77777777" w:rsidR="00863A23" w:rsidRPr="00863A23" w:rsidRDefault="00863A23" w:rsidP="00863A23">
            <w:pPr>
              <w:tabs>
                <w:tab w:val="left" w:pos="8505"/>
              </w:tabs>
              <w:jc w:val="both"/>
              <w:rPr>
                <w:rFonts w:ascii="Times New Roman" w:hAnsi="Times New Roman" w:cs="Times New Roman"/>
                <w:b/>
                <w:sz w:val="20"/>
                <w:szCs w:val="20"/>
                <w:lang w:val="it-IT"/>
              </w:rPr>
            </w:pPr>
          </w:p>
        </w:tc>
        <w:tc>
          <w:tcPr>
            <w:tcW w:w="2977" w:type="dxa"/>
          </w:tcPr>
          <w:p w14:paraId="50D6FD05" w14:textId="77777777" w:rsidR="00863A23" w:rsidRPr="00154388" w:rsidRDefault="00863A23" w:rsidP="00863A23">
            <w:pPr>
              <w:tabs>
                <w:tab w:val="left" w:pos="8505"/>
              </w:tabs>
              <w:jc w:val="center"/>
              <w:rPr>
                <w:rFonts w:ascii="Times New Roman" w:hAnsi="Times New Roman" w:cs="Times New Roman"/>
                <w:b/>
                <w:color w:val="000000" w:themeColor="text1"/>
                <w:sz w:val="20"/>
                <w:szCs w:val="20"/>
                <w:lang w:val="ro-RO"/>
              </w:rPr>
            </w:pPr>
          </w:p>
        </w:tc>
        <w:tc>
          <w:tcPr>
            <w:tcW w:w="533" w:type="dxa"/>
          </w:tcPr>
          <w:p w14:paraId="62B585E0" w14:textId="29FB9919" w:rsidR="00863A23" w:rsidRDefault="00863A23" w:rsidP="00863A23">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68DDD324" w14:textId="342D2096" w:rsidR="00863A23" w:rsidRDefault="00863A23" w:rsidP="00863A23">
            <w:pPr>
              <w:jc w:val="both"/>
              <w:rPr>
                <w:rFonts w:ascii="Times New Roman" w:hAnsi="Times New Roman" w:cs="Times New Roman"/>
                <w:sz w:val="20"/>
                <w:szCs w:val="20"/>
                <w:lang w:val="ro-RO"/>
              </w:rPr>
            </w:pPr>
            <w:r>
              <w:rPr>
                <w:rFonts w:ascii="Times New Roman" w:hAnsi="Times New Roman" w:cs="Times New Roman"/>
                <w:sz w:val="20"/>
                <w:szCs w:val="20"/>
                <w:lang w:val="ro-RO"/>
              </w:rPr>
              <w:t>Lipsa de obiecții și propuneri</w:t>
            </w:r>
          </w:p>
        </w:tc>
        <w:tc>
          <w:tcPr>
            <w:tcW w:w="3436" w:type="dxa"/>
          </w:tcPr>
          <w:p w14:paraId="20F9F415" w14:textId="4247DF6D" w:rsidR="00863A23" w:rsidRDefault="00863A23" w:rsidP="00863A23">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3312F5" w:rsidRPr="00274D20" w14:paraId="2A631443" w14:textId="77777777" w:rsidTr="00A919EA">
        <w:trPr>
          <w:trHeight w:val="416"/>
        </w:trPr>
        <w:tc>
          <w:tcPr>
            <w:tcW w:w="3397" w:type="dxa"/>
          </w:tcPr>
          <w:p w14:paraId="1D19D776" w14:textId="77777777" w:rsidR="003312F5" w:rsidRPr="00863A23" w:rsidRDefault="003312F5" w:rsidP="00863A23">
            <w:pPr>
              <w:tabs>
                <w:tab w:val="left" w:pos="8505"/>
              </w:tabs>
              <w:jc w:val="both"/>
              <w:rPr>
                <w:rFonts w:ascii="Times New Roman" w:hAnsi="Times New Roman" w:cs="Times New Roman"/>
                <w:b/>
                <w:sz w:val="20"/>
                <w:szCs w:val="20"/>
                <w:lang w:val="it-IT"/>
              </w:rPr>
            </w:pPr>
          </w:p>
        </w:tc>
        <w:tc>
          <w:tcPr>
            <w:tcW w:w="2977" w:type="dxa"/>
          </w:tcPr>
          <w:p w14:paraId="605BBEF8" w14:textId="10C3F705" w:rsidR="003312F5" w:rsidRPr="003312F5" w:rsidRDefault="003312F5" w:rsidP="003312F5">
            <w:pPr>
              <w:tabs>
                <w:tab w:val="left" w:pos="8505"/>
              </w:tabs>
              <w:jc w:val="center"/>
              <w:rPr>
                <w:rFonts w:ascii="Times New Roman" w:hAnsi="Times New Roman" w:cs="Times New Roman"/>
                <w:b/>
                <w:color w:val="000000" w:themeColor="text1"/>
                <w:sz w:val="20"/>
                <w:szCs w:val="20"/>
                <w:lang w:val="ro-RO"/>
              </w:rPr>
            </w:pPr>
            <w:r w:rsidRPr="003312F5">
              <w:rPr>
                <w:rFonts w:ascii="Times New Roman" w:hAnsi="Times New Roman" w:cs="Times New Roman"/>
                <w:b/>
                <w:color w:val="000000" w:themeColor="text1"/>
                <w:sz w:val="20"/>
                <w:szCs w:val="20"/>
                <w:lang w:val="ro-RO"/>
              </w:rPr>
              <w:t>Ministerul</w:t>
            </w:r>
          </w:p>
          <w:p w14:paraId="3ABA1F37" w14:textId="0CD4D57A" w:rsidR="003312F5" w:rsidRPr="003312F5" w:rsidRDefault="003312F5" w:rsidP="003312F5">
            <w:pPr>
              <w:tabs>
                <w:tab w:val="left" w:pos="8505"/>
              </w:tabs>
              <w:jc w:val="center"/>
              <w:rPr>
                <w:rFonts w:ascii="Times New Roman" w:hAnsi="Times New Roman" w:cs="Times New Roman"/>
                <w:b/>
                <w:color w:val="000000" w:themeColor="text1"/>
                <w:sz w:val="20"/>
                <w:szCs w:val="20"/>
                <w:lang w:val="ro-RO"/>
              </w:rPr>
            </w:pPr>
            <w:r w:rsidRPr="003312F5">
              <w:rPr>
                <w:rFonts w:ascii="Times New Roman" w:hAnsi="Times New Roman" w:cs="Times New Roman"/>
                <w:b/>
                <w:color w:val="000000" w:themeColor="text1"/>
                <w:sz w:val="20"/>
                <w:szCs w:val="20"/>
                <w:lang w:val="ro-RO"/>
              </w:rPr>
              <w:t>Agriculturii</w:t>
            </w:r>
          </w:p>
          <w:p w14:paraId="036B88A9" w14:textId="691D1016" w:rsidR="003312F5" w:rsidRPr="00154388" w:rsidRDefault="003312F5" w:rsidP="003312F5">
            <w:pPr>
              <w:tabs>
                <w:tab w:val="left" w:pos="8505"/>
              </w:tabs>
              <w:jc w:val="center"/>
              <w:rPr>
                <w:rFonts w:ascii="Times New Roman" w:hAnsi="Times New Roman" w:cs="Times New Roman"/>
                <w:b/>
                <w:color w:val="000000" w:themeColor="text1"/>
                <w:sz w:val="20"/>
                <w:szCs w:val="20"/>
                <w:lang w:val="ro-RO"/>
              </w:rPr>
            </w:pPr>
            <w:r>
              <w:rPr>
                <w:rFonts w:ascii="Times New Roman" w:hAnsi="Times New Roman" w:cs="Times New Roman"/>
                <w:b/>
                <w:color w:val="000000" w:themeColor="text1"/>
                <w:sz w:val="20"/>
                <w:szCs w:val="20"/>
                <w:lang w:val="ro-RO"/>
              </w:rPr>
              <w:t>ș</w:t>
            </w:r>
            <w:r w:rsidRPr="003312F5">
              <w:rPr>
                <w:rFonts w:ascii="Times New Roman" w:hAnsi="Times New Roman" w:cs="Times New Roman"/>
                <w:b/>
                <w:color w:val="000000" w:themeColor="text1"/>
                <w:sz w:val="20"/>
                <w:szCs w:val="20"/>
                <w:lang w:val="ro-RO"/>
              </w:rPr>
              <w:t>i Industriei Alimentare</w:t>
            </w:r>
            <w:r>
              <w:rPr>
                <w:rFonts w:ascii="Times New Roman" w:hAnsi="Times New Roman" w:cs="Times New Roman"/>
                <w:b/>
                <w:color w:val="000000" w:themeColor="text1"/>
                <w:sz w:val="20"/>
                <w:szCs w:val="20"/>
                <w:lang w:val="ro-RO"/>
              </w:rPr>
              <w:t xml:space="preserve"> </w:t>
            </w:r>
            <w:r w:rsidRPr="003312F5">
              <w:rPr>
                <w:rFonts w:ascii="Times New Roman" w:hAnsi="Times New Roman" w:cs="Times New Roman"/>
                <w:b/>
                <w:color w:val="000000" w:themeColor="text1"/>
                <w:sz w:val="20"/>
                <w:szCs w:val="20"/>
                <w:lang w:val="ro-RO"/>
              </w:rPr>
              <w:t xml:space="preserve">(scrisoarea nr. </w:t>
            </w:r>
            <w:r w:rsidR="00427C85" w:rsidRPr="00427C85">
              <w:rPr>
                <w:rFonts w:ascii="Times New Roman" w:hAnsi="Times New Roman" w:cs="Times New Roman"/>
                <w:b/>
                <w:color w:val="000000" w:themeColor="text1"/>
                <w:sz w:val="20"/>
                <w:szCs w:val="20"/>
                <w:lang w:val="ro-RO"/>
              </w:rPr>
              <w:t>2026PHG-1205</w:t>
            </w:r>
            <w:r w:rsidR="00427C85">
              <w:rPr>
                <w:rFonts w:ascii="Times New Roman" w:hAnsi="Times New Roman" w:cs="Times New Roman"/>
                <w:b/>
                <w:color w:val="000000" w:themeColor="text1"/>
                <w:sz w:val="20"/>
                <w:szCs w:val="20"/>
                <w:lang w:val="ro-RO"/>
              </w:rPr>
              <w:t xml:space="preserve"> </w:t>
            </w:r>
            <w:r w:rsidRPr="003312F5">
              <w:rPr>
                <w:rFonts w:ascii="Times New Roman" w:hAnsi="Times New Roman" w:cs="Times New Roman"/>
                <w:b/>
                <w:color w:val="000000" w:themeColor="text1"/>
                <w:sz w:val="20"/>
                <w:szCs w:val="20"/>
                <w:lang w:val="ro-RO"/>
              </w:rPr>
              <w:t xml:space="preserve">din </w:t>
            </w:r>
            <w:r w:rsidR="00427C85">
              <w:rPr>
                <w:rFonts w:ascii="Times New Roman" w:hAnsi="Times New Roman" w:cs="Times New Roman"/>
                <w:b/>
                <w:color w:val="000000" w:themeColor="text1"/>
                <w:sz w:val="20"/>
                <w:szCs w:val="20"/>
                <w:lang w:val="ro-RO"/>
              </w:rPr>
              <w:t>24.04.</w:t>
            </w:r>
            <w:r w:rsidRPr="003312F5">
              <w:rPr>
                <w:rFonts w:ascii="Times New Roman" w:hAnsi="Times New Roman" w:cs="Times New Roman"/>
                <w:b/>
                <w:color w:val="000000" w:themeColor="text1"/>
                <w:sz w:val="20"/>
                <w:szCs w:val="20"/>
                <w:lang w:val="ro-RO"/>
              </w:rPr>
              <w:t>2026)</w:t>
            </w:r>
          </w:p>
        </w:tc>
        <w:tc>
          <w:tcPr>
            <w:tcW w:w="533" w:type="dxa"/>
          </w:tcPr>
          <w:p w14:paraId="4F66771D" w14:textId="77777777" w:rsidR="003312F5" w:rsidRDefault="003312F5" w:rsidP="00863A23">
            <w:pPr>
              <w:tabs>
                <w:tab w:val="left" w:pos="8505"/>
              </w:tabs>
              <w:jc w:val="center"/>
              <w:rPr>
                <w:rFonts w:ascii="Times New Roman" w:hAnsi="Times New Roman" w:cs="Times New Roman"/>
                <w:b/>
                <w:sz w:val="20"/>
                <w:szCs w:val="20"/>
                <w:lang w:val="ro-RO"/>
              </w:rPr>
            </w:pPr>
          </w:p>
        </w:tc>
        <w:tc>
          <w:tcPr>
            <w:tcW w:w="3402" w:type="dxa"/>
          </w:tcPr>
          <w:p w14:paraId="28F46476" w14:textId="77777777" w:rsidR="003312F5" w:rsidRDefault="003312F5" w:rsidP="00863A23">
            <w:pPr>
              <w:jc w:val="both"/>
              <w:rPr>
                <w:rFonts w:ascii="Times New Roman" w:hAnsi="Times New Roman" w:cs="Times New Roman"/>
                <w:sz w:val="20"/>
                <w:szCs w:val="20"/>
                <w:lang w:val="ro-RO"/>
              </w:rPr>
            </w:pPr>
          </w:p>
        </w:tc>
        <w:tc>
          <w:tcPr>
            <w:tcW w:w="3436" w:type="dxa"/>
          </w:tcPr>
          <w:p w14:paraId="42BEBCF0" w14:textId="77777777" w:rsidR="003312F5" w:rsidRDefault="003312F5" w:rsidP="00863A23">
            <w:pPr>
              <w:tabs>
                <w:tab w:val="left" w:pos="8505"/>
              </w:tabs>
              <w:jc w:val="both"/>
              <w:rPr>
                <w:rFonts w:ascii="Times New Roman" w:hAnsi="Times New Roman" w:cs="Times New Roman"/>
                <w:b/>
                <w:sz w:val="20"/>
                <w:szCs w:val="20"/>
                <w:lang w:val="ro-RO"/>
              </w:rPr>
            </w:pPr>
          </w:p>
        </w:tc>
      </w:tr>
      <w:tr w:rsidR="003312F5" w:rsidRPr="00427C85" w14:paraId="50BFB03E" w14:textId="77777777" w:rsidTr="00A919EA">
        <w:trPr>
          <w:trHeight w:val="416"/>
        </w:trPr>
        <w:tc>
          <w:tcPr>
            <w:tcW w:w="3397" w:type="dxa"/>
          </w:tcPr>
          <w:p w14:paraId="3F3DBBDC" w14:textId="1BA45281" w:rsidR="003312F5" w:rsidRPr="00863A23" w:rsidRDefault="006F2F6E" w:rsidP="00863A23">
            <w:pPr>
              <w:tabs>
                <w:tab w:val="left" w:pos="8505"/>
              </w:tabs>
              <w:jc w:val="both"/>
              <w:rPr>
                <w:rFonts w:ascii="Times New Roman" w:hAnsi="Times New Roman" w:cs="Times New Roman"/>
                <w:b/>
                <w:sz w:val="20"/>
                <w:szCs w:val="20"/>
                <w:lang w:val="it-IT"/>
              </w:rPr>
            </w:pPr>
            <w:r w:rsidRPr="00EA2F9A">
              <w:rPr>
                <w:rFonts w:ascii="Times New Roman" w:hAnsi="Times New Roman" w:cs="Times New Roman"/>
                <w:b/>
                <w:sz w:val="20"/>
                <w:szCs w:val="20"/>
                <w:lang w:val="ro-RO"/>
              </w:rPr>
              <w:t>În contextul proiectului</w:t>
            </w:r>
          </w:p>
        </w:tc>
        <w:tc>
          <w:tcPr>
            <w:tcW w:w="2977" w:type="dxa"/>
          </w:tcPr>
          <w:p w14:paraId="3E5CAFFA" w14:textId="77777777" w:rsidR="003312F5" w:rsidRPr="00154388" w:rsidRDefault="003312F5" w:rsidP="00863A23">
            <w:pPr>
              <w:tabs>
                <w:tab w:val="left" w:pos="8505"/>
              </w:tabs>
              <w:jc w:val="center"/>
              <w:rPr>
                <w:rFonts w:ascii="Times New Roman" w:hAnsi="Times New Roman" w:cs="Times New Roman"/>
                <w:b/>
                <w:color w:val="000000" w:themeColor="text1"/>
                <w:sz w:val="20"/>
                <w:szCs w:val="20"/>
                <w:lang w:val="ro-RO"/>
              </w:rPr>
            </w:pPr>
          </w:p>
        </w:tc>
        <w:tc>
          <w:tcPr>
            <w:tcW w:w="533" w:type="dxa"/>
          </w:tcPr>
          <w:p w14:paraId="04D7E77C" w14:textId="1AFF172D" w:rsidR="003312F5" w:rsidRDefault="00427C85" w:rsidP="00863A23">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5BCA3176" w14:textId="49D31353" w:rsidR="00427C85" w:rsidRPr="00427C85" w:rsidRDefault="00427C85" w:rsidP="00427C85">
            <w:pPr>
              <w:jc w:val="both"/>
              <w:rPr>
                <w:rFonts w:ascii="Times New Roman" w:hAnsi="Times New Roman" w:cs="Times New Roman"/>
                <w:sz w:val="20"/>
                <w:szCs w:val="20"/>
                <w:lang w:val="ro-RO"/>
              </w:rPr>
            </w:pPr>
            <w:r w:rsidRPr="00427C85">
              <w:rPr>
                <w:rFonts w:ascii="Times New Roman" w:hAnsi="Times New Roman" w:cs="Times New Roman"/>
                <w:sz w:val="20"/>
                <w:szCs w:val="20"/>
                <w:lang w:val="ro-RO"/>
              </w:rPr>
              <w:t>1) Obiecţii argumentate şi explicite pe marginea cărora trebuie să se ajungă</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la un acord:</w:t>
            </w:r>
          </w:p>
          <w:p w14:paraId="69D83578" w14:textId="42177EA0" w:rsidR="003312F5" w:rsidRDefault="00427C85" w:rsidP="00427C85">
            <w:pPr>
              <w:jc w:val="both"/>
              <w:rPr>
                <w:rFonts w:ascii="Times New Roman" w:hAnsi="Times New Roman" w:cs="Times New Roman"/>
                <w:sz w:val="20"/>
                <w:szCs w:val="20"/>
                <w:lang w:val="ro-RO"/>
              </w:rPr>
            </w:pPr>
            <w:r w:rsidRPr="00427C85">
              <w:rPr>
                <w:rFonts w:ascii="Times New Roman" w:hAnsi="Times New Roman" w:cs="Times New Roman"/>
                <w:sz w:val="20"/>
                <w:szCs w:val="20"/>
                <w:lang w:val="ro-RO"/>
              </w:rPr>
              <w:t xml:space="preserve">Întrucît unul din scopul inițierii proiectului Hotărîrii este aducerea în </w:t>
            </w:r>
            <w:r w:rsidRPr="00427C85">
              <w:rPr>
                <w:rFonts w:ascii="Times New Roman" w:hAnsi="Times New Roman" w:cs="Times New Roman"/>
                <w:sz w:val="20"/>
                <w:szCs w:val="20"/>
                <w:lang w:val="ro-RO"/>
              </w:rPr>
              <w:lastRenderedPageBreak/>
              <w:t>concordanță</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a Hotărîrii Guvernului nr. 870/2022 pentru aprobarea Regulamentului cu privire la</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achiziţiile publice de valoare mică cu prevederile Legii nr. 325/2025 privind achizițiile</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publice, considerăm necesar de inserat în textul proiectului a intenției de modificare a</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clauzei de adoptare a Hotărîrii menționate, prin substituirea normei de trimitere la</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prevederile art. 2 alin. (4) din Legea nr. 131/2015, cu norma de trimitere la art. 1 alin.</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(4) din Legea nr. 325/2025 privind achizițiile publice.</w:t>
            </w:r>
          </w:p>
        </w:tc>
        <w:tc>
          <w:tcPr>
            <w:tcW w:w="3436" w:type="dxa"/>
          </w:tcPr>
          <w:p w14:paraId="463F536A" w14:textId="77777777" w:rsidR="00B40417" w:rsidRDefault="00B40417" w:rsidP="00B40417">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S</w:t>
            </w:r>
            <w:r w:rsidRPr="000D2638">
              <w:rPr>
                <w:rFonts w:ascii="Times New Roman" w:hAnsi="Times New Roman" w:cs="Times New Roman"/>
                <w:b/>
                <w:sz w:val="20"/>
                <w:szCs w:val="20"/>
                <w:lang w:val="ro-RO"/>
              </w:rPr>
              <w:t>e acceptă</w:t>
            </w:r>
          </w:p>
          <w:p w14:paraId="066FE48D" w14:textId="6B673BDE" w:rsidR="00B40417" w:rsidRDefault="00B40417" w:rsidP="00B40417">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În urma modificǎrilor propuse de cǎtre Ministerul Afacerilor Interne, t</w:t>
            </w:r>
            <w:r w:rsidRPr="004B09A8">
              <w:rPr>
                <w:rFonts w:ascii="Times New Roman" w:hAnsi="Times New Roman" w:cs="Times New Roman"/>
                <w:sz w:val="20"/>
                <w:szCs w:val="20"/>
                <w:lang w:val="ro-RO"/>
              </w:rPr>
              <w:t>emeiul legal de adoptare al proiectului</w:t>
            </w:r>
            <w:r w:rsidRPr="00863A23">
              <w:rPr>
                <w:rFonts w:ascii="Times New Roman" w:hAnsi="Times New Roman" w:cs="Times New Roman"/>
                <w:sz w:val="20"/>
                <w:szCs w:val="20"/>
                <w:lang w:val="ro-RO"/>
              </w:rPr>
              <w:t xml:space="preserve"> </w:t>
            </w:r>
            <w:r>
              <w:rPr>
                <w:rFonts w:ascii="Times New Roman" w:hAnsi="Times New Roman" w:cs="Times New Roman"/>
                <w:sz w:val="20"/>
                <w:szCs w:val="20"/>
                <w:lang w:val="ro-RO"/>
              </w:rPr>
              <w:t>a fost modificat dupǎ cum urmeazǎ:</w:t>
            </w:r>
          </w:p>
          <w:p w14:paraId="0D9F9CF0" w14:textId="394D4D2F" w:rsidR="00B40417" w:rsidRPr="006A1212" w:rsidRDefault="00B40417" w:rsidP="00B40417">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w:t>
            </w:r>
            <w:r w:rsidRPr="00B40417">
              <w:rPr>
                <w:rFonts w:ascii="Times New Roman" w:hAnsi="Times New Roman" w:cs="Times New Roman"/>
                <w:sz w:val="20"/>
                <w:szCs w:val="20"/>
                <w:lang w:val="ro-RO"/>
              </w:rPr>
              <w:t>În temeiul art. 6 lit. h) din Legea nr. 136/2017 cu privire la Guvern (Monitorul Oficial al Republicii Moldova, 2017, nr. 252, art. 412), cu modificările ulterioare, art. 1 alin. (4) din Legea nr. 325/2025 privind achizițiile publice (Monitorul Oficial al Republicii Moldova, 2026, nr. 76-79 art. 39), Guvernul HOTĂRĂŞTE:</w:t>
            </w:r>
            <w:r>
              <w:rPr>
                <w:rFonts w:ascii="Times New Roman" w:hAnsi="Times New Roman" w:cs="Times New Roman"/>
                <w:sz w:val="20"/>
                <w:szCs w:val="20"/>
                <w:lang w:val="ro-RO"/>
              </w:rPr>
              <w:t>”</w:t>
            </w:r>
          </w:p>
          <w:p w14:paraId="268829FE" w14:textId="77777777" w:rsidR="003312F5" w:rsidRPr="006F2F6E" w:rsidRDefault="003312F5" w:rsidP="00863A23">
            <w:pPr>
              <w:tabs>
                <w:tab w:val="left" w:pos="8505"/>
              </w:tabs>
              <w:jc w:val="both"/>
              <w:rPr>
                <w:rFonts w:ascii="Times New Roman" w:hAnsi="Times New Roman" w:cs="Times New Roman"/>
                <w:bCs/>
                <w:sz w:val="20"/>
                <w:szCs w:val="20"/>
                <w:lang w:val="ro-RO"/>
              </w:rPr>
            </w:pPr>
          </w:p>
        </w:tc>
      </w:tr>
      <w:tr w:rsidR="00427C85" w:rsidRPr="00274D20" w14:paraId="1C757453" w14:textId="77777777" w:rsidTr="00A919EA">
        <w:trPr>
          <w:trHeight w:val="416"/>
        </w:trPr>
        <w:tc>
          <w:tcPr>
            <w:tcW w:w="3397" w:type="dxa"/>
          </w:tcPr>
          <w:p w14:paraId="5E2272B6" w14:textId="77777777" w:rsidR="00D45A57" w:rsidRPr="00C3303F" w:rsidRDefault="00D45A57" w:rsidP="00D45A57">
            <w:pPr>
              <w:tabs>
                <w:tab w:val="left" w:pos="8505"/>
              </w:tabs>
              <w:jc w:val="both"/>
              <w:rPr>
                <w:rFonts w:ascii="Times New Roman" w:hAnsi="Times New Roman" w:cs="Times New Roman"/>
                <w:sz w:val="20"/>
                <w:szCs w:val="20"/>
                <w:lang w:val="ro-RO"/>
              </w:rPr>
            </w:pPr>
            <w:r w:rsidRPr="00C3303F">
              <w:rPr>
                <w:rFonts w:ascii="Times New Roman" w:hAnsi="Times New Roman" w:cs="Times New Roman"/>
                <w:b/>
                <w:sz w:val="20"/>
                <w:szCs w:val="20"/>
                <w:lang w:val="ro-RO"/>
              </w:rPr>
              <w:lastRenderedPageBreak/>
              <w:t>1.8.</w:t>
            </w:r>
            <w:r>
              <w:rPr>
                <w:rFonts w:ascii="Times New Roman" w:hAnsi="Times New Roman" w:cs="Times New Roman"/>
                <w:b/>
                <w:sz w:val="20"/>
                <w:szCs w:val="20"/>
                <w:lang w:val="ro-RO"/>
              </w:rPr>
              <w:t xml:space="preserve"> </w:t>
            </w:r>
            <w:r w:rsidRPr="00C3303F">
              <w:rPr>
                <w:rFonts w:ascii="Times New Roman" w:hAnsi="Times New Roman" w:cs="Times New Roman"/>
                <w:sz w:val="20"/>
                <w:szCs w:val="20"/>
                <w:lang w:val="ro-RO"/>
              </w:rPr>
              <w:t>Punctul 13 va avea următorul cuprins:</w:t>
            </w:r>
          </w:p>
          <w:p w14:paraId="5D311EC7" w14:textId="6A97A4C7" w:rsidR="00427C85" w:rsidRPr="00D45A57" w:rsidRDefault="00D45A57" w:rsidP="00D45A57">
            <w:pPr>
              <w:tabs>
                <w:tab w:val="left" w:pos="8505"/>
              </w:tabs>
              <w:jc w:val="both"/>
              <w:rPr>
                <w:rFonts w:ascii="Times New Roman" w:hAnsi="Times New Roman" w:cs="Times New Roman"/>
                <w:b/>
                <w:sz w:val="20"/>
                <w:szCs w:val="20"/>
                <w:lang w:val="it-IT"/>
              </w:rPr>
            </w:pPr>
            <w:r w:rsidRPr="00C3303F">
              <w:rPr>
                <w:rFonts w:ascii="Times New Roman" w:hAnsi="Times New Roman" w:cs="Times New Roman"/>
                <w:sz w:val="20"/>
                <w:szCs w:val="20"/>
                <w:lang w:val="ro-RO"/>
              </w:rPr>
              <w:t>„13. Achizițiile publice de valoare mică, inclusiv cele prevăzute la pct. 4 și 5, se realizează de către autoritatea/entitatea contractantă în baza planului anual/provizoriu de achiziții sau din motive de urgență, ca urmare a apariției unor necesități neplanificate sau evenimente imprevizibile, în conformitate cu prevederile privind modul de planificare a achizițiilor publice/sectoriale.”.</w:t>
            </w:r>
          </w:p>
        </w:tc>
        <w:tc>
          <w:tcPr>
            <w:tcW w:w="2977" w:type="dxa"/>
          </w:tcPr>
          <w:p w14:paraId="4076A9A9" w14:textId="77777777" w:rsidR="00427C85" w:rsidRPr="00154388" w:rsidRDefault="00427C85" w:rsidP="00863A23">
            <w:pPr>
              <w:tabs>
                <w:tab w:val="left" w:pos="8505"/>
              </w:tabs>
              <w:jc w:val="center"/>
              <w:rPr>
                <w:rFonts w:ascii="Times New Roman" w:hAnsi="Times New Roman" w:cs="Times New Roman"/>
                <w:b/>
                <w:color w:val="000000" w:themeColor="text1"/>
                <w:sz w:val="20"/>
                <w:szCs w:val="20"/>
                <w:lang w:val="ro-RO"/>
              </w:rPr>
            </w:pPr>
          </w:p>
        </w:tc>
        <w:tc>
          <w:tcPr>
            <w:tcW w:w="533" w:type="dxa"/>
          </w:tcPr>
          <w:p w14:paraId="23578B6B" w14:textId="60FC471A" w:rsidR="00427C85" w:rsidRDefault="00427C85" w:rsidP="00863A23">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708C453C" w14:textId="10186079" w:rsidR="00427C85" w:rsidRDefault="00427C85" w:rsidP="00427C85">
            <w:pPr>
              <w:jc w:val="both"/>
              <w:rPr>
                <w:rFonts w:ascii="Times New Roman" w:hAnsi="Times New Roman" w:cs="Times New Roman"/>
                <w:sz w:val="20"/>
                <w:szCs w:val="20"/>
                <w:lang w:val="ro-RO"/>
              </w:rPr>
            </w:pPr>
            <w:r>
              <w:rPr>
                <w:rFonts w:ascii="Times New Roman" w:hAnsi="Times New Roman" w:cs="Times New Roman"/>
                <w:sz w:val="20"/>
                <w:szCs w:val="20"/>
                <w:lang w:val="ro-RO"/>
              </w:rPr>
              <w:t>L</w:t>
            </w:r>
            <w:r w:rsidRPr="00427C85">
              <w:rPr>
                <w:rFonts w:ascii="Times New Roman" w:hAnsi="Times New Roman" w:cs="Times New Roman"/>
                <w:sz w:val="20"/>
                <w:szCs w:val="20"/>
                <w:lang w:val="ro-RO"/>
              </w:rPr>
              <w:t>a pct. 1.8., intenția de modificare a punctului 13, în opinia Ministerului precizarea</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 , inclusiv cele prevăzute la pct. 4 și 5” este inutilă, întrucît noțiunea „Achizițiile</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publice de valoare mică”, ce precede textul invocat, nefăcînd distincție între tipurile de</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achiziții de valoare mică, cuprinde în sfera sa și pe cele reglementate la pct. 4 și 5.</w:t>
            </w:r>
          </w:p>
        </w:tc>
        <w:tc>
          <w:tcPr>
            <w:tcW w:w="3436" w:type="dxa"/>
          </w:tcPr>
          <w:p w14:paraId="5C486FA5" w14:textId="7D2317BE" w:rsidR="006F2F6E" w:rsidRPr="006F2F6E" w:rsidRDefault="006F2F6E" w:rsidP="006F2F6E">
            <w:pPr>
              <w:tabs>
                <w:tab w:val="left" w:pos="8505"/>
              </w:tabs>
              <w:jc w:val="both"/>
              <w:rPr>
                <w:rFonts w:ascii="Times New Roman" w:hAnsi="Times New Roman" w:cs="Times New Roman"/>
                <w:b/>
                <w:sz w:val="20"/>
                <w:szCs w:val="20"/>
                <w:lang w:val="ro-RO"/>
              </w:rPr>
            </w:pPr>
            <w:r w:rsidRPr="006F2F6E">
              <w:rPr>
                <w:rFonts w:ascii="Times New Roman" w:hAnsi="Times New Roman" w:cs="Times New Roman"/>
                <w:b/>
                <w:sz w:val="20"/>
                <w:szCs w:val="20"/>
                <w:lang w:val="ro-RO"/>
              </w:rPr>
              <w:t>Nu se acceptă</w:t>
            </w:r>
          </w:p>
          <w:p w14:paraId="0278C6D4" w14:textId="28670EBF" w:rsidR="006F2F6E" w:rsidRPr="006F2F6E" w:rsidRDefault="006F2F6E" w:rsidP="006F2F6E">
            <w:pPr>
              <w:tabs>
                <w:tab w:val="left" w:pos="8505"/>
              </w:tabs>
              <w:jc w:val="both"/>
              <w:rPr>
                <w:rFonts w:ascii="Times New Roman" w:hAnsi="Times New Roman" w:cs="Times New Roman"/>
                <w:bCs/>
                <w:sz w:val="20"/>
                <w:szCs w:val="20"/>
                <w:lang w:val="ro-RO"/>
              </w:rPr>
            </w:pPr>
            <w:r w:rsidRPr="006F2F6E">
              <w:rPr>
                <w:rFonts w:ascii="Times New Roman" w:hAnsi="Times New Roman" w:cs="Times New Roman"/>
                <w:bCs/>
                <w:sz w:val="20"/>
                <w:szCs w:val="20"/>
                <w:lang w:val="ro-RO"/>
              </w:rPr>
              <w:t>Prin propunerea de modificare se susține că sintagma este „inutilă”, deoarece noțiunea generică de „Achiziții publice de valoare mică” ar cuprinde implicit și cele reglementate la punctele 4 și 5. Acest argument este nefondat și dăunător clarității și securității juridice pentru următoarele motive</w:t>
            </w:r>
            <w:r>
              <w:rPr>
                <w:rFonts w:ascii="Times New Roman" w:hAnsi="Times New Roman" w:cs="Times New Roman"/>
                <w:bCs/>
                <w:sz w:val="20"/>
                <w:szCs w:val="20"/>
                <w:lang w:val="ro-RO"/>
              </w:rPr>
              <w:t>:</w:t>
            </w:r>
          </w:p>
          <w:p w14:paraId="6A4C539C" w14:textId="2018EAC7" w:rsidR="006F2F6E" w:rsidRPr="006F2F6E" w:rsidRDefault="006F2F6E" w:rsidP="006F2F6E">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w:t>
            </w:r>
            <w:r w:rsidRPr="006F2F6E">
              <w:rPr>
                <w:rFonts w:ascii="Times New Roman" w:hAnsi="Times New Roman" w:cs="Times New Roman"/>
                <w:bCs/>
                <w:sz w:val="20"/>
                <w:szCs w:val="20"/>
                <w:lang w:val="ro-RO"/>
              </w:rPr>
              <w:t xml:space="preserve"> Textul proiectului, prin mențiunea expresă, elimină orice îndoială că regula de planificare (pe baza planului anual/provizoriu) și excepția de urgență se aplică în mod egal și necondiționat tuturor categoriilor de achiziții de valoare mică, indiferent de sursa lor legală specifică (Legea nr. 325/2025, pct. 4 și 5). Eliminarea acestei precizări ar putea duce la interpretări eronate că achizițiile menționate la pct. 4 și 5 ar putea beneficia de un regim derogatoriu sau de o aplicare diferită a prevederilor de planificare, ceea ce ar contraveni principiului de tratament uniform.</w:t>
            </w:r>
          </w:p>
          <w:p w14:paraId="0D30651C" w14:textId="629DF09B" w:rsidR="006F2F6E" w:rsidRPr="006F2F6E" w:rsidRDefault="006F2F6E" w:rsidP="006F2F6E">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w:t>
            </w:r>
            <w:r w:rsidRPr="006F2F6E">
              <w:rPr>
                <w:rFonts w:ascii="Times New Roman" w:hAnsi="Times New Roman" w:cs="Times New Roman"/>
                <w:bCs/>
                <w:sz w:val="20"/>
                <w:szCs w:val="20"/>
                <w:lang w:val="ro-RO"/>
              </w:rPr>
              <w:t xml:space="preserve"> Punctele 4 și 5 din proiect stabilesc reguli speciale pentru anumite tipuri de achiziții de valoare mică. Este esențial ca, în punctul de referință general privind modul de realizare a tuturor </w:t>
            </w:r>
            <w:r w:rsidRPr="006F2F6E">
              <w:rPr>
                <w:rFonts w:ascii="Times New Roman" w:hAnsi="Times New Roman" w:cs="Times New Roman"/>
                <w:bCs/>
                <w:sz w:val="20"/>
                <w:szCs w:val="20"/>
                <w:lang w:val="ro-RO"/>
              </w:rPr>
              <w:lastRenderedPageBreak/>
              <w:t>achizițiilor de valoare mică, să se confirme în mod explicit că aceste reguli speciale nu le scot din sfera de aplicare a dispozițiilor generale de planificare și urgență. Mențiunea „inclusiv” asigură această coerență și integrare sistematică.</w:t>
            </w:r>
          </w:p>
          <w:p w14:paraId="65BFAE7B" w14:textId="6DBB506B" w:rsidR="006F2F6E" w:rsidRPr="006F2F6E" w:rsidRDefault="006F2F6E" w:rsidP="006F2F6E">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w:t>
            </w:r>
            <w:r w:rsidRPr="006F2F6E">
              <w:rPr>
                <w:rFonts w:ascii="Times New Roman" w:hAnsi="Times New Roman" w:cs="Times New Roman"/>
                <w:bCs/>
                <w:sz w:val="20"/>
                <w:szCs w:val="20"/>
                <w:lang w:val="ro-RO"/>
              </w:rPr>
              <w:t xml:space="preserve"> Un act normativ de calitate evită orice risc de omisiune sau interpretare divergentă. Sintagma criticată este un instrument de rigoare legislativă, care corelează în mod explicit două prevederi ale aceluiași act (pct. 13 cu pct. 4 și 5). Propunerea de simplificare, deși aparent mai concisă, introduce o lacună reglementară și un risc inacceptabil de incertitudine juridică.</w:t>
            </w:r>
          </w:p>
          <w:p w14:paraId="5418015C" w14:textId="6378DDA7" w:rsidR="006F2F6E" w:rsidRPr="006F2F6E" w:rsidRDefault="006F2F6E" w:rsidP="006F2F6E">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w:t>
            </w:r>
            <w:r w:rsidRPr="006F2F6E">
              <w:rPr>
                <w:rFonts w:ascii="Times New Roman" w:hAnsi="Times New Roman" w:cs="Times New Roman"/>
                <w:bCs/>
                <w:sz w:val="20"/>
                <w:szCs w:val="20"/>
                <w:lang w:val="ro-RO"/>
              </w:rPr>
              <w:t xml:space="preserve"> Chiar dacă, într-o analiză abstractă, noțiunea mai largă ar putea fi considerată a cuprinde cele mai mici, în legislația tehnică și complexă ca cea a achizițiilor publice, referirea expresă la sursele interne este o practică standard și necesară. Ea servește ca un ghid de interpretare pentru autoritățile contractante și pentru instanțe, indicând clar că nu există nicio intenție de a exclude vreo categorie reglementată expres de lege.</w:t>
            </w:r>
          </w:p>
          <w:p w14:paraId="504905EF" w14:textId="00FBC2BD" w:rsidR="00427C85" w:rsidRPr="006F2F6E" w:rsidRDefault="006F2F6E" w:rsidP="006F2F6E">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Deci, t</w:t>
            </w:r>
            <w:r w:rsidRPr="006F2F6E">
              <w:rPr>
                <w:rFonts w:ascii="Times New Roman" w:hAnsi="Times New Roman" w:cs="Times New Roman"/>
                <w:bCs/>
                <w:sz w:val="20"/>
                <w:szCs w:val="20"/>
                <w:lang w:val="ro-RO"/>
              </w:rPr>
              <w:t>extul proiectului, prin sintagma „, inclusiv cele prevăzute la pct. 4 și 5”, oferă o reglementare mai completă, mai sigură și mai puțin predispusă la dispute interpretative. Eliminarea acestei precizări ar slăbi claritatea normei și ar crea un risc inutil de aplicare neuniformă. Prin urmare, propunerea de modificare nu poate fi acceptată. Menținerea textului actual este imperativă pentru a asigura unitatea de aplicare a regulilor de planificare pentru întregul spectru al achizițiilor de valoare mică reglementate de lege.</w:t>
            </w:r>
          </w:p>
        </w:tc>
      </w:tr>
      <w:tr w:rsidR="00427C85" w:rsidRPr="00760BD0" w14:paraId="23B02934" w14:textId="77777777" w:rsidTr="00A919EA">
        <w:trPr>
          <w:trHeight w:val="416"/>
        </w:trPr>
        <w:tc>
          <w:tcPr>
            <w:tcW w:w="3397" w:type="dxa"/>
          </w:tcPr>
          <w:p w14:paraId="564C6872" w14:textId="3404F70B" w:rsidR="009302D4" w:rsidRPr="009302D4" w:rsidRDefault="009302D4" w:rsidP="009302D4">
            <w:pPr>
              <w:tabs>
                <w:tab w:val="left" w:pos="8505"/>
              </w:tabs>
              <w:jc w:val="both"/>
              <w:rPr>
                <w:rFonts w:ascii="Times New Roman" w:hAnsi="Times New Roman" w:cs="Times New Roman"/>
                <w:bCs/>
                <w:sz w:val="20"/>
                <w:szCs w:val="20"/>
                <w:lang w:val="it-IT"/>
              </w:rPr>
            </w:pPr>
            <w:r w:rsidRPr="009302D4">
              <w:rPr>
                <w:rFonts w:ascii="Times New Roman" w:hAnsi="Times New Roman" w:cs="Times New Roman"/>
                <w:b/>
                <w:sz w:val="20"/>
                <w:szCs w:val="20"/>
                <w:lang w:val="it-IT"/>
              </w:rPr>
              <w:lastRenderedPageBreak/>
              <w:t>1.25.</w:t>
            </w:r>
            <w:r>
              <w:rPr>
                <w:rFonts w:ascii="Times New Roman" w:hAnsi="Times New Roman" w:cs="Times New Roman"/>
                <w:b/>
                <w:sz w:val="20"/>
                <w:szCs w:val="20"/>
                <w:lang w:val="it-IT"/>
              </w:rPr>
              <w:t xml:space="preserve"> </w:t>
            </w:r>
            <w:r w:rsidRPr="009302D4">
              <w:rPr>
                <w:rFonts w:ascii="Times New Roman" w:hAnsi="Times New Roman" w:cs="Times New Roman"/>
                <w:bCs/>
                <w:sz w:val="20"/>
                <w:szCs w:val="20"/>
                <w:lang w:val="it-IT"/>
              </w:rPr>
              <w:t>Punctul 53 va avea următorul cuprins:</w:t>
            </w:r>
          </w:p>
          <w:p w14:paraId="43BC95F6" w14:textId="4C4FC424" w:rsidR="00427C85" w:rsidRPr="00863A23" w:rsidRDefault="009302D4" w:rsidP="009302D4">
            <w:pPr>
              <w:tabs>
                <w:tab w:val="left" w:pos="8505"/>
              </w:tabs>
              <w:jc w:val="both"/>
              <w:rPr>
                <w:rFonts w:ascii="Times New Roman" w:hAnsi="Times New Roman" w:cs="Times New Roman"/>
                <w:b/>
                <w:sz w:val="20"/>
                <w:szCs w:val="20"/>
                <w:lang w:val="it-IT"/>
              </w:rPr>
            </w:pPr>
            <w:r w:rsidRPr="009302D4">
              <w:rPr>
                <w:rFonts w:ascii="Times New Roman" w:hAnsi="Times New Roman" w:cs="Times New Roman"/>
                <w:bCs/>
                <w:sz w:val="20"/>
                <w:szCs w:val="20"/>
                <w:lang w:val="it-IT"/>
              </w:rPr>
              <w:t>„53. Autoritatea/entitatea contractantă adoptă decizia de atribuire (conform anexei nr. 3), în care consemnează ofertanții câștigători/respinși, sau, după caz, decizia de anulare a procedurii de achiziție. Decizia de atribuire/anulare este expediată Agenției Achiziții Publice, cât mai curând posibil, dar nu mai târziu de 3 zile lucrătoare de la data emiterii, cu excepția cazurilor prevăzute la pct. 14.”.</w:t>
            </w:r>
          </w:p>
        </w:tc>
        <w:tc>
          <w:tcPr>
            <w:tcW w:w="2977" w:type="dxa"/>
          </w:tcPr>
          <w:p w14:paraId="34D1E206" w14:textId="77777777" w:rsidR="00427C85" w:rsidRPr="00154388" w:rsidRDefault="00427C85" w:rsidP="00863A23">
            <w:pPr>
              <w:tabs>
                <w:tab w:val="left" w:pos="8505"/>
              </w:tabs>
              <w:jc w:val="center"/>
              <w:rPr>
                <w:rFonts w:ascii="Times New Roman" w:hAnsi="Times New Roman" w:cs="Times New Roman"/>
                <w:b/>
                <w:color w:val="000000" w:themeColor="text1"/>
                <w:sz w:val="20"/>
                <w:szCs w:val="20"/>
                <w:lang w:val="ro-RO"/>
              </w:rPr>
            </w:pPr>
          </w:p>
        </w:tc>
        <w:tc>
          <w:tcPr>
            <w:tcW w:w="533" w:type="dxa"/>
          </w:tcPr>
          <w:p w14:paraId="72D8D572" w14:textId="3829682A" w:rsidR="00427C85" w:rsidRDefault="00427C85" w:rsidP="00863A23">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03816B62" w14:textId="73BB9940" w:rsidR="00427C85" w:rsidRDefault="00427C85" w:rsidP="00427C85">
            <w:pPr>
              <w:jc w:val="both"/>
              <w:rPr>
                <w:rFonts w:ascii="Times New Roman" w:hAnsi="Times New Roman" w:cs="Times New Roman"/>
                <w:sz w:val="20"/>
                <w:szCs w:val="20"/>
                <w:lang w:val="ro-RO"/>
              </w:rPr>
            </w:pPr>
            <w:r>
              <w:rPr>
                <w:rFonts w:ascii="Times New Roman" w:hAnsi="Times New Roman" w:cs="Times New Roman"/>
                <w:sz w:val="20"/>
                <w:szCs w:val="20"/>
                <w:lang w:val="ro-RO"/>
              </w:rPr>
              <w:t>L</w:t>
            </w:r>
            <w:r w:rsidRPr="00427C85">
              <w:rPr>
                <w:rFonts w:ascii="Times New Roman" w:hAnsi="Times New Roman" w:cs="Times New Roman"/>
                <w:sz w:val="20"/>
                <w:szCs w:val="20"/>
                <w:lang w:val="ro-RO"/>
              </w:rPr>
              <w:t>a pct. 1.25., intenția de modificare a punctului 53, observăm că autorul proiectului</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nu a reglementat care va fi consecință juridică a depășirii de către autoritatea</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contractantă a termenului de expediere către Agenția de Achiziție Publică a deciziei de</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atribuire: va fi în drept Agenția de Achiziție Publică să refuze recepționarea decizie?</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implică depășirea termenului nulitatea procedurii de achiziție? Or, în opinia</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Ministerului norma propusă nu respectă criteriul de claritate și previzibilitate atît pentru</w:t>
            </w:r>
            <w:r>
              <w:rPr>
                <w:rFonts w:ascii="Times New Roman" w:hAnsi="Times New Roman" w:cs="Times New Roman"/>
                <w:sz w:val="20"/>
                <w:szCs w:val="20"/>
                <w:lang w:val="ro-RO"/>
              </w:rPr>
              <w:t xml:space="preserve"> </w:t>
            </w:r>
            <w:r w:rsidRPr="00427C85">
              <w:rPr>
                <w:rFonts w:ascii="Times New Roman" w:hAnsi="Times New Roman" w:cs="Times New Roman"/>
                <w:sz w:val="20"/>
                <w:szCs w:val="20"/>
                <w:lang w:val="ro-RO"/>
              </w:rPr>
              <w:t>autoritatea contractantă cît și pentru Agenția de Achiziții Publice.</w:t>
            </w:r>
          </w:p>
        </w:tc>
        <w:tc>
          <w:tcPr>
            <w:tcW w:w="3436" w:type="dxa"/>
          </w:tcPr>
          <w:p w14:paraId="0EA69AC1" w14:textId="77777777" w:rsidR="0052158F" w:rsidRPr="0052158F" w:rsidRDefault="0052158F" w:rsidP="0052158F">
            <w:pPr>
              <w:tabs>
                <w:tab w:val="left" w:pos="8505"/>
              </w:tabs>
              <w:jc w:val="both"/>
              <w:rPr>
                <w:rFonts w:ascii="Times New Roman" w:hAnsi="Times New Roman" w:cs="Times New Roman"/>
                <w:b/>
                <w:sz w:val="20"/>
                <w:szCs w:val="20"/>
                <w:lang w:val="ro-RO"/>
              </w:rPr>
            </w:pPr>
            <w:r w:rsidRPr="0052158F">
              <w:rPr>
                <w:rFonts w:ascii="Times New Roman" w:hAnsi="Times New Roman" w:cs="Times New Roman"/>
                <w:b/>
                <w:sz w:val="20"/>
                <w:szCs w:val="20"/>
                <w:lang w:val="ro-RO"/>
              </w:rPr>
              <w:t>Se acceptǎ parțial</w:t>
            </w:r>
          </w:p>
          <w:p w14:paraId="16A466B5" w14:textId="78E8393F" w:rsidR="0052158F" w:rsidRPr="0052158F" w:rsidRDefault="0052158F" w:rsidP="0052158F">
            <w:pPr>
              <w:tabs>
                <w:tab w:val="left" w:pos="8505"/>
              </w:tabs>
              <w:jc w:val="both"/>
              <w:rPr>
                <w:rFonts w:ascii="Times New Roman" w:hAnsi="Times New Roman" w:cs="Times New Roman"/>
                <w:bCs/>
                <w:sz w:val="20"/>
                <w:szCs w:val="20"/>
                <w:lang w:val="ro-RO"/>
              </w:rPr>
            </w:pPr>
            <w:r w:rsidRPr="0052158F">
              <w:rPr>
                <w:rFonts w:ascii="Times New Roman" w:hAnsi="Times New Roman" w:cs="Times New Roman"/>
                <w:bCs/>
                <w:sz w:val="20"/>
                <w:szCs w:val="20"/>
                <w:lang w:val="ro-RO"/>
              </w:rPr>
              <w:t>Propunerea este analizată favorabil sub aspectul necesității de a asigura claritatea și predictibilitatea normei, însă nu poate fi acceptată integral</w:t>
            </w:r>
            <w:r>
              <w:rPr>
                <w:rFonts w:ascii="Times New Roman" w:hAnsi="Times New Roman" w:cs="Times New Roman"/>
                <w:bCs/>
                <w:sz w:val="20"/>
                <w:szCs w:val="20"/>
                <w:lang w:val="ro-RO"/>
              </w:rPr>
              <w:t xml:space="preserve"> </w:t>
            </w:r>
            <w:r w:rsidRPr="0052158F">
              <w:rPr>
                <w:rFonts w:ascii="Times New Roman" w:hAnsi="Times New Roman" w:cs="Times New Roman"/>
                <w:bCs/>
                <w:sz w:val="20"/>
                <w:szCs w:val="20"/>
                <w:lang w:val="ro-RO"/>
              </w:rPr>
              <w:t>deoarece reglementarea consecințelor juridice (sancțiunilor) excede competenței actului normativ secundar și trebuie să respecte principiul proporționalității.</w:t>
            </w:r>
          </w:p>
          <w:p w14:paraId="22D6DF62" w14:textId="7FE91334" w:rsidR="0052158F" w:rsidRPr="0052158F" w:rsidRDefault="0052158F" w:rsidP="0052158F">
            <w:pPr>
              <w:tabs>
                <w:tab w:val="left" w:pos="8505"/>
              </w:tabs>
              <w:jc w:val="both"/>
              <w:rPr>
                <w:rFonts w:ascii="Times New Roman" w:hAnsi="Times New Roman" w:cs="Times New Roman"/>
                <w:bCs/>
                <w:sz w:val="20"/>
                <w:szCs w:val="20"/>
                <w:lang w:val="ro-RO"/>
              </w:rPr>
            </w:pPr>
            <w:r w:rsidRPr="0052158F">
              <w:rPr>
                <w:rFonts w:ascii="Times New Roman" w:hAnsi="Times New Roman" w:cs="Times New Roman"/>
                <w:bCs/>
                <w:sz w:val="20"/>
                <w:szCs w:val="20"/>
                <w:lang w:val="ro-RO"/>
              </w:rPr>
              <w:t>Argumentele detaliate sunt următoarele:</w:t>
            </w:r>
          </w:p>
          <w:p w14:paraId="28447584" w14:textId="239C48B7" w:rsidR="0052158F" w:rsidRPr="0052158F" w:rsidRDefault="0052158F" w:rsidP="0052158F">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52158F">
              <w:rPr>
                <w:rFonts w:ascii="Times New Roman" w:hAnsi="Times New Roman" w:cs="Times New Roman"/>
                <w:bCs/>
                <w:sz w:val="20"/>
                <w:szCs w:val="20"/>
                <w:lang w:val="ro-RO"/>
              </w:rPr>
              <w:t>Potrivit ierarhiei actelor normative și tehnicii legislative, sancțiunile și răspunderea juridică pentru nerespectarea obligațiilor în domeniul achizițiilor publice sunt stabilite imperativ de Legea nr. 325/2025 privind achizițiile publice și de Codul Contravențional. Regulamentul, fiind un act subordonat, nu poate institui sancțiuni noi, nulități sau alte consecințe punitive care nu sunt prevăzute de legea primară. Prin urmare, completarea Regulamentului cu consecințe specifice ar fi nelegală și redundantă.</w:t>
            </w:r>
          </w:p>
          <w:p w14:paraId="072AFF0B" w14:textId="6472C4B4" w:rsidR="0052158F" w:rsidRPr="0052158F" w:rsidRDefault="0052158F" w:rsidP="0052158F">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w:t>
            </w:r>
            <w:r w:rsidRPr="0052158F">
              <w:rPr>
                <w:rFonts w:ascii="Times New Roman" w:hAnsi="Times New Roman" w:cs="Times New Roman"/>
                <w:bCs/>
                <w:sz w:val="20"/>
                <w:szCs w:val="20"/>
                <w:lang w:val="ro-RO"/>
              </w:rPr>
              <w:t xml:space="preserve"> Nerespectarea termenului de expediere a deciziei către Agenție este o abatere procedurală de raportare și nu afectează validitatea substanțială a procedurii de atribuire sau a contractului. Aplicarea nulității pentru o astfel de încălcare ar fi disproporționată și ar contraveni principiului securității raporturilor juridice, putând prejudicia atât autoritatea contractantă, cât și operatorul economic câștigător, fără a remedia o eroare de fond.</w:t>
            </w:r>
          </w:p>
          <w:p w14:paraId="1786FC40" w14:textId="39A8F1D6" w:rsidR="0052158F" w:rsidRPr="0052158F" w:rsidRDefault="0052158F" w:rsidP="0052158F">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w:t>
            </w:r>
            <w:r w:rsidRPr="0052158F">
              <w:rPr>
                <w:rFonts w:ascii="Times New Roman" w:hAnsi="Times New Roman" w:cs="Times New Roman"/>
                <w:bCs/>
                <w:sz w:val="20"/>
                <w:szCs w:val="20"/>
                <w:lang w:val="ro-RO"/>
              </w:rPr>
              <w:t xml:space="preserve"> Agenția Achiziții Publice are rolul de a asigura transparența și evidența centralizată. Refuzul de a recepționa o decizie transmisă tardiv ar contraveni acestui obiectiv, deoarece ar priva sistemul de date esențiale și ar împiedica monitorizarea corectă. Agenția trebuie </w:t>
            </w:r>
            <w:r w:rsidRPr="0052158F">
              <w:rPr>
                <w:rFonts w:ascii="Times New Roman" w:hAnsi="Times New Roman" w:cs="Times New Roman"/>
                <w:bCs/>
                <w:sz w:val="20"/>
                <w:szCs w:val="20"/>
                <w:lang w:val="ro-RO"/>
              </w:rPr>
              <w:lastRenderedPageBreak/>
              <w:t>să înregistreze decizia și să constate întârzierea, nu să o respingă.</w:t>
            </w:r>
          </w:p>
          <w:p w14:paraId="21C43CD6" w14:textId="77777777" w:rsidR="00427C85" w:rsidRDefault="0052158F" w:rsidP="00863A23">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w:t>
            </w:r>
            <w:r w:rsidRPr="0052158F">
              <w:rPr>
                <w:rFonts w:ascii="Times New Roman" w:hAnsi="Times New Roman" w:cs="Times New Roman"/>
                <w:bCs/>
                <w:sz w:val="20"/>
                <w:szCs w:val="20"/>
                <w:lang w:val="ro-RO"/>
              </w:rPr>
              <w:t xml:space="preserve"> </w:t>
            </w:r>
            <w:r w:rsidRPr="0052158F">
              <w:rPr>
                <w:rFonts w:ascii="Times New Roman" w:hAnsi="Times New Roman" w:cs="Times New Roman"/>
                <w:bCs/>
                <w:i/>
                <w:iCs/>
                <w:sz w:val="20"/>
                <w:szCs w:val="20"/>
                <w:lang w:val="ro-RO"/>
              </w:rPr>
              <w:t>Se acceptă</w:t>
            </w:r>
            <w:r w:rsidRPr="0052158F">
              <w:rPr>
                <w:rFonts w:ascii="Times New Roman" w:hAnsi="Times New Roman" w:cs="Times New Roman"/>
                <w:bCs/>
                <w:sz w:val="20"/>
                <w:szCs w:val="20"/>
                <w:lang w:val="ro-RO"/>
              </w:rPr>
              <w:t xml:space="preserve"> necesitatea de a elimina orice ambiguitate cu privire la consecințele nerespectării termenului. În acest sens, punctul 53 va fi completat cu o trimitere expresă la răspunderea prevăzută de lege, pentru a sublinia caracterul obligatoriu al termenului și a asigura predictibilitatea. Această completare informează clar autoritățile contractante că depășirea termenului atrage răspunderea disciplinară sau contravențională a persoanelor responsabile, conform cadrului legal primar, fără a fi necesară detalierea sancțiunilor în Regulament.</w:t>
            </w:r>
          </w:p>
          <w:p w14:paraId="53D837C4" w14:textId="77777777" w:rsidR="0052158F" w:rsidRDefault="0052158F" w:rsidP="00863A23">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Pct. 53 va fi modificat dupǎ cum urmeazǎ:</w:t>
            </w:r>
          </w:p>
          <w:p w14:paraId="5BD13EEB" w14:textId="32C91981" w:rsidR="0052158F" w:rsidRDefault="0052158F" w:rsidP="00863A23">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w:t>
            </w:r>
            <w:r w:rsidRPr="009302D4">
              <w:rPr>
                <w:rFonts w:ascii="Times New Roman" w:hAnsi="Times New Roman" w:cs="Times New Roman"/>
                <w:bCs/>
                <w:sz w:val="20"/>
                <w:szCs w:val="20"/>
                <w:lang w:val="it-IT"/>
              </w:rPr>
              <w:t>Autoritatea/entitatea contractantă adoptă decizia de atribuire (conform anexei nr. 3), în care consemnează ofertanții câștigători/respinși, sau, după caz, decizia de anulare a procedurii de achiziție.</w:t>
            </w:r>
            <w:r>
              <w:rPr>
                <w:rFonts w:ascii="Times New Roman" w:hAnsi="Times New Roman" w:cs="Times New Roman"/>
                <w:bCs/>
                <w:sz w:val="20"/>
                <w:szCs w:val="20"/>
                <w:lang w:val="it-IT"/>
              </w:rPr>
              <w:t xml:space="preserve"> </w:t>
            </w:r>
          </w:p>
          <w:p w14:paraId="1701308C" w14:textId="413BEB92" w:rsidR="0052158F" w:rsidRPr="0052158F" w:rsidRDefault="0052158F" w:rsidP="00863A23">
            <w:pPr>
              <w:tabs>
                <w:tab w:val="left" w:pos="8505"/>
              </w:tabs>
              <w:jc w:val="both"/>
              <w:rPr>
                <w:rFonts w:ascii="Times New Roman" w:hAnsi="Times New Roman" w:cs="Times New Roman"/>
                <w:bCs/>
                <w:sz w:val="20"/>
                <w:szCs w:val="20"/>
                <w:lang w:val="it-IT"/>
              </w:rPr>
            </w:pPr>
            <w:r w:rsidRPr="0052158F">
              <w:rPr>
                <w:rFonts w:ascii="Times New Roman" w:hAnsi="Times New Roman" w:cs="Times New Roman"/>
                <w:bCs/>
                <w:sz w:val="20"/>
                <w:szCs w:val="20"/>
                <w:lang w:val="ro-RO"/>
              </w:rPr>
              <w:t>Decizia de atribuire/anulare este expediată Agenției Achiziții Publice, cât mai curând posibil, dar nu mai târziu de 3 zile lucrătoare de la data emiterii, cu excepția cazurilor prevăzute la pct. 14. Nerespectarea termenului de expediere a deciziei atrage răspunderea în condițiile legii.</w:t>
            </w:r>
            <w:r>
              <w:rPr>
                <w:rFonts w:ascii="Times New Roman" w:hAnsi="Times New Roman" w:cs="Times New Roman"/>
                <w:bCs/>
                <w:sz w:val="20"/>
                <w:szCs w:val="20"/>
                <w:lang w:val="ro-RO"/>
              </w:rPr>
              <w:t>”</w:t>
            </w:r>
          </w:p>
        </w:tc>
      </w:tr>
      <w:tr w:rsidR="00566AE5" w:rsidRPr="00760BD0" w14:paraId="60799B90" w14:textId="77777777" w:rsidTr="00A919EA">
        <w:trPr>
          <w:trHeight w:val="416"/>
        </w:trPr>
        <w:tc>
          <w:tcPr>
            <w:tcW w:w="3397" w:type="dxa"/>
          </w:tcPr>
          <w:p w14:paraId="54091C17" w14:textId="77777777" w:rsidR="00566AE5" w:rsidRPr="0052158F" w:rsidRDefault="00566AE5" w:rsidP="00863A23">
            <w:pPr>
              <w:tabs>
                <w:tab w:val="left" w:pos="8505"/>
              </w:tabs>
              <w:jc w:val="both"/>
              <w:rPr>
                <w:rFonts w:ascii="Times New Roman" w:hAnsi="Times New Roman" w:cs="Times New Roman"/>
                <w:b/>
                <w:sz w:val="20"/>
                <w:szCs w:val="20"/>
                <w:lang w:val="ro-RO"/>
              </w:rPr>
            </w:pPr>
          </w:p>
        </w:tc>
        <w:tc>
          <w:tcPr>
            <w:tcW w:w="2977" w:type="dxa"/>
          </w:tcPr>
          <w:p w14:paraId="1C9F24CE" w14:textId="77777777" w:rsidR="00566AE5" w:rsidRPr="00566AE5" w:rsidRDefault="00566AE5" w:rsidP="00566AE5">
            <w:pPr>
              <w:tabs>
                <w:tab w:val="left" w:pos="8505"/>
              </w:tabs>
              <w:jc w:val="center"/>
              <w:rPr>
                <w:rFonts w:ascii="Times New Roman" w:hAnsi="Times New Roman" w:cs="Times New Roman"/>
                <w:b/>
                <w:color w:val="000000" w:themeColor="text1"/>
                <w:sz w:val="20"/>
                <w:szCs w:val="20"/>
                <w:lang w:val="ro-RO"/>
              </w:rPr>
            </w:pPr>
            <w:r w:rsidRPr="00566AE5">
              <w:rPr>
                <w:rFonts w:ascii="Times New Roman" w:hAnsi="Times New Roman" w:cs="Times New Roman"/>
                <w:b/>
                <w:color w:val="000000" w:themeColor="text1"/>
                <w:sz w:val="20"/>
                <w:szCs w:val="20"/>
                <w:lang w:val="ro-RO"/>
              </w:rPr>
              <w:t>Agenția Proprietății</w:t>
            </w:r>
          </w:p>
          <w:p w14:paraId="7C879304" w14:textId="72C2D3B1" w:rsidR="00566AE5" w:rsidRPr="00154388" w:rsidRDefault="00566AE5" w:rsidP="00566AE5">
            <w:pPr>
              <w:tabs>
                <w:tab w:val="left" w:pos="8505"/>
              </w:tabs>
              <w:jc w:val="center"/>
              <w:rPr>
                <w:rFonts w:ascii="Times New Roman" w:hAnsi="Times New Roman" w:cs="Times New Roman"/>
                <w:b/>
                <w:color w:val="000000" w:themeColor="text1"/>
                <w:sz w:val="20"/>
                <w:szCs w:val="20"/>
                <w:lang w:val="ro-RO"/>
              </w:rPr>
            </w:pPr>
            <w:r w:rsidRPr="00566AE5">
              <w:rPr>
                <w:rFonts w:ascii="Times New Roman" w:hAnsi="Times New Roman" w:cs="Times New Roman"/>
                <w:b/>
                <w:color w:val="000000" w:themeColor="text1"/>
                <w:sz w:val="20"/>
                <w:szCs w:val="20"/>
                <w:lang w:val="ro-RO"/>
              </w:rPr>
              <w:t>Publice</w:t>
            </w:r>
            <w:r>
              <w:rPr>
                <w:rFonts w:ascii="Times New Roman" w:hAnsi="Times New Roman" w:cs="Times New Roman"/>
                <w:b/>
                <w:color w:val="000000" w:themeColor="text1"/>
                <w:sz w:val="20"/>
                <w:szCs w:val="20"/>
                <w:lang w:val="ro-RO"/>
              </w:rPr>
              <w:t xml:space="preserve"> </w:t>
            </w:r>
            <w:r w:rsidRPr="003312F5">
              <w:rPr>
                <w:rFonts w:ascii="Times New Roman" w:hAnsi="Times New Roman" w:cs="Times New Roman"/>
                <w:b/>
                <w:color w:val="000000" w:themeColor="text1"/>
                <w:sz w:val="20"/>
                <w:szCs w:val="20"/>
                <w:lang w:val="ro-RO"/>
              </w:rPr>
              <w:t xml:space="preserve">(scrisoarea nr. </w:t>
            </w:r>
            <w:r w:rsidRPr="00566AE5">
              <w:rPr>
                <w:rFonts w:ascii="Times New Roman" w:hAnsi="Times New Roman" w:cs="Times New Roman"/>
                <w:b/>
                <w:color w:val="000000" w:themeColor="text1"/>
                <w:sz w:val="20"/>
                <w:szCs w:val="20"/>
                <w:lang w:val="ro-RO"/>
              </w:rPr>
              <w:t>05-04-2904</w:t>
            </w:r>
            <w:r>
              <w:rPr>
                <w:rFonts w:ascii="Times New Roman" w:hAnsi="Times New Roman" w:cs="Times New Roman"/>
                <w:b/>
                <w:color w:val="000000" w:themeColor="text1"/>
                <w:sz w:val="20"/>
                <w:szCs w:val="20"/>
                <w:lang w:val="ro-RO"/>
              </w:rPr>
              <w:t xml:space="preserve"> </w:t>
            </w:r>
            <w:r w:rsidRPr="003312F5">
              <w:rPr>
                <w:rFonts w:ascii="Times New Roman" w:hAnsi="Times New Roman" w:cs="Times New Roman"/>
                <w:b/>
                <w:color w:val="000000" w:themeColor="text1"/>
                <w:sz w:val="20"/>
                <w:szCs w:val="20"/>
                <w:lang w:val="ro-RO"/>
              </w:rPr>
              <w:t xml:space="preserve">din </w:t>
            </w:r>
            <w:r>
              <w:rPr>
                <w:rFonts w:ascii="Times New Roman" w:hAnsi="Times New Roman" w:cs="Times New Roman"/>
                <w:b/>
                <w:color w:val="000000" w:themeColor="text1"/>
                <w:sz w:val="20"/>
                <w:szCs w:val="20"/>
                <w:lang w:val="ro-RO"/>
              </w:rPr>
              <w:t>23.04.</w:t>
            </w:r>
            <w:r w:rsidRPr="003312F5">
              <w:rPr>
                <w:rFonts w:ascii="Times New Roman" w:hAnsi="Times New Roman" w:cs="Times New Roman"/>
                <w:b/>
                <w:color w:val="000000" w:themeColor="text1"/>
                <w:sz w:val="20"/>
                <w:szCs w:val="20"/>
                <w:lang w:val="ro-RO"/>
              </w:rPr>
              <w:t>2026)</w:t>
            </w:r>
          </w:p>
        </w:tc>
        <w:tc>
          <w:tcPr>
            <w:tcW w:w="533" w:type="dxa"/>
          </w:tcPr>
          <w:p w14:paraId="781FF989" w14:textId="77777777" w:rsidR="00566AE5" w:rsidRDefault="00566AE5" w:rsidP="00863A23">
            <w:pPr>
              <w:tabs>
                <w:tab w:val="left" w:pos="8505"/>
              </w:tabs>
              <w:jc w:val="center"/>
              <w:rPr>
                <w:rFonts w:ascii="Times New Roman" w:hAnsi="Times New Roman" w:cs="Times New Roman"/>
                <w:b/>
                <w:sz w:val="20"/>
                <w:szCs w:val="20"/>
                <w:lang w:val="ro-RO"/>
              </w:rPr>
            </w:pPr>
          </w:p>
        </w:tc>
        <w:tc>
          <w:tcPr>
            <w:tcW w:w="3402" w:type="dxa"/>
          </w:tcPr>
          <w:p w14:paraId="7DB4EAFC" w14:textId="77777777" w:rsidR="00566AE5" w:rsidRDefault="00566AE5" w:rsidP="00427C85">
            <w:pPr>
              <w:jc w:val="both"/>
              <w:rPr>
                <w:rFonts w:ascii="Times New Roman" w:hAnsi="Times New Roman" w:cs="Times New Roman"/>
                <w:sz w:val="20"/>
                <w:szCs w:val="20"/>
                <w:lang w:val="ro-RO"/>
              </w:rPr>
            </w:pPr>
          </w:p>
        </w:tc>
        <w:tc>
          <w:tcPr>
            <w:tcW w:w="3436" w:type="dxa"/>
          </w:tcPr>
          <w:p w14:paraId="20A7CD3F" w14:textId="77777777" w:rsidR="00566AE5" w:rsidRDefault="00566AE5" w:rsidP="00863A23">
            <w:pPr>
              <w:tabs>
                <w:tab w:val="left" w:pos="8505"/>
              </w:tabs>
              <w:jc w:val="both"/>
              <w:rPr>
                <w:rFonts w:ascii="Times New Roman" w:hAnsi="Times New Roman" w:cs="Times New Roman"/>
                <w:b/>
                <w:sz w:val="20"/>
                <w:szCs w:val="20"/>
                <w:lang w:val="ro-RO"/>
              </w:rPr>
            </w:pPr>
          </w:p>
        </w:tc>
      </w:tr>
      <w:tr w:rsidR="00797C0D" w:rsidRPr="00863A23" w14:paraId="1CDFC956" w14:textId="77777777" w:rsidTr="00A919EA">
        <w:trPr>
          <w:trHeight w:val="416"/>
        </w:trPr>
        <w:tc>
          <w:tcPr>
            <w:tcW w:w="3397" w:type="dxa"/>
          </w:tcPr>
          <w:p w14:paraId="3AF0D27E" w14:textId="77777777" w:rsidR="00797C0D" w:rsidRPr="00863A23" w:rsidRDefault="00797C0D" w:rsidP="00797C0D">
            <w:pPr>
              <w:tabs>
                <w:tab w:val="left" w:pos="8505"/>
              </w:tabs>
              <w:jc w:val="both"/>
              <w:rPr>
                <w:rFonts w:ascii="Times New Roman" w:hAnsi="Times New Roman" w:cs="Times New Roman"/>
                <w:b/>
                <w:sz w:val="20"/>
                <w:szCs w:val="20"/>
                <w:lang w:val="it-IT"/>
              </w:rPr>
            </w:pPr>
          </w:p>
        </w:tc>
        <w:tc>
          <w:tcPr>
            <w:tcW w:w="2977" w:type="dxa"/>
          </w:tcPr>
          <w:p w14:paraId="43C7FCC5" w14:textId="77777777" w:rsidR="00797C0D" w:rsidRPr="00154388" w:rsidRDefault="00797C0D"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6A38F8F7" w14:textId="457E2B95" w:rsidR="00797C0D" w:rsidRDefault="00797C0D"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26B40F0C" w14:textId="654C70E8" w:rsidR="00797C0D" w:rsidRDefault="00797C0D" w:rsidP="00797C0D">
            <w:pPr>
              <w:jc w:val="both"/>
              <w:rPr>
                <w:rFonts w:ascii="Times New Roman" w:hAnsi="Times New Roman" w:cs="Times New Roman"/>
                <w:sz w:val="20"/>
                <w:szCs w:val="20"/>
                <w:lang w:val="ro-RO"/>
              </w:rPr>
            </w:pPr>
            <w:r>
              <w:rPr>
                <w:rFonts w:ascii="Times New Roman" w:hAnsi="Times New Roman" w:cs="Times New Roman"/>
                <w:sz w:val="20"/>
                <w:szCs w:val="20"/>
                <w:lang w:val="ro-RO"/>
              </w:rPr>
              <w:t>Lipsa de obiecții și propuneri</w:t>
            </w:r>
          </w:p>
        </w:tc>
        <w:tc>
          <w:tcPr>
            <w:tcW w:w="3436" w:type="dxa"/>
          </w:tcPr>
          <w:p w14:paraId="64B207BD" w14:textId="29354F50" w:rsidR="00797C0D" w:rsidRDefault="00797C0D" w:rsidP="00797C0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EC774B" w:rsidRPr="00760BD0" w14:paraId="5ED0A53F" w14:textId="77777777" w:rsidTr="00A919EA">
        <w:trPr>
          <w:trHeight w:val="416"/>
        </w:trPr>
        <w:tc>
          <w:tcPr>
            <w:tcW w:w="3397" w:type="dxa"/>
          </w:tcPr>
          <w:p w14:paraId="3D5B4383" w14:textId="77777777" w:rsidR="00EC774B" w:rsidRPr="00863A23" w:rsidRDefault="00EC774B" w:rsidP="00797C0D">
            <w:pPr>
              <w:tabs>
                <w:tab w:val="left" w:pos="8505"/>
              </w:tabs>
              <w:jc w:val="both"/>
              <w:rPr>
                <w:rFonts w:ascii="Times New Roman" w:hAnsi="Times New Roman" w:cs="Times New Roman"/>
                <w:b/>
                <w:sz w:val="20"/>
                <w:szCs w:val="20"/>
                <w:lang w:val="it-IT"/>
              </w:rPr>
            </w:pPr>
          </w:p>
        </w:tc>
        <w:tc>
          <w:tcPr>
            <w:tcW w:w="2977" w:type="dxa"/>
          </w:tcPr>
          <w:p w14:paraId="7139C636" w14:textId="772B0419" w:rsidR="00EC774B" w:rsidRPr="00154388" w:rsidRDefault="00EC774B" w:rsidP="00797C0D">
            <w:pPr>
              <w:tabs>
                <w:tab w:val="left" w:pos="8505"/>
              </w:tabs>
              <w:jc w:val="center"/>
              <w:rPr>
                <w:rFonts w:ascii="Times New Roman" w:hAnsi="Times New Roman" w:cs="Times New Roman"/>
                <w:b/>
                <w:color w:val="000000" w:themeColor="text1"/>
                <w:sz w:val="20"/>
                <w:szCs w:val="20"/>
                <w:lang w:val="ro-RO"/>
              </w:rPr>
            </w:pPr>
            <w:r w:rsidRPr="00EC774B">
              <w:rPr>
                <w:rFonts w:ascii="Times New Roman" w:hAnsi="Times New Roman" w:cs="Times New Roman"/>
                <w:b/>
                <w:color w:val="000000" w:themeColor="text1"/>
                <w:sz w:val="20"/>
                <w:szCs w:val="20"/>
                <w:lang w:val="ro-RO"/>
              </w:rPr>
              <w:t>Congresul Autorităților Locale din Moldova (CALM)</w:t>
            </w:r>
            <w:r>
              <w:rPr>
                <w:rFonts w:ascii="Times New Roman" w:hAnsi="Times New Roman" w:cs="Times New Roman"/>
                <w:b/>
                <w:color w:val="000000" w:themeColor="text1"/>
                <w:sz w:val="20"/>
                <w:szCs w:val="20"/>
                <w:lang w:val="ro-RO"/>
              </w:rPr>
              <w:t xml:space="preserve"> </w:t>
            </w:r>
            <w:r w:rsidRPr="00EC774B">
              <w:rPr>
                <w:rFonts w:ascii="Times New Roman" w:hAnsi="Times New Roman" w:cs="Times New Roman"/>
                <w:b/>
                <w:color w:val="000000" w:themeColor="text1"/>
                <w:sz w:val="20"/>
                <w:szCs w:val="20"/>
                <w:lang w:val="ro-RO"/>
              </w:rPr>
              <w:t>(scrisoarea nr. 140 din 28 aprilie 2026)</w:t>
            </w:r>
          </w:p>
        </w:tc>
        <w:tc>
          <w:tcPr>
            <w:tcW w:w="533" w:type="dxa"/>
          </w:tcPr>
          <w:p w14:paraId="50760CB6" w14:textId="77777777" w:rsidR="00EC774B" w:rsidRDefault="00EC774B" w:rsidP="00797C0D">
            <w:pPr>
              <w:tabs>
                <w:tab w:val="left" w:pos="8505"/>
              </w:tabs>
              <w:jc w:val="center"/>
              <w:rPr>
                <w:rFonts w:ascii="Times New Roman" w:hAnsi="Times New Roman" w:cs="Times New Roman"/>
                <w:b/>
                <w:sz w:val="20"/>
                <w:szCs w:val="20"/>
                <w:lang w:val="ro-RO"/>
              </w:rPr>
            </w:pPr>
          </w:p>
        </w:tc>
        <w:tc>
          <w:tcPr>
            <w:tcW w:w="3402" w:type="dxa"/>
          </w:tcPr>
          <w:p w14:paraId="5BD28F23" w14:textId="77777777" w:rsidR="00EC774B" w:rsidRDefault="00EC774B" w:rsidP="00797C0D">
            <w:pPr>
              <w:jc w:val="both"/>
              <w:rPr>
                <w:rFonts w:ascii="Times New Roman" w:hAnsi="Times New Roman" w:cs="Times New Roman"/>
                <w:sz w:val="20"/>
                <w:szCs w:val="20"/>
                <w:lang w:val="ro-RO"/>
              </w:rPr>
            </w:pPr>
          </w:p>
        </w:tc>
        <w:tc>
          <w:tcPr>
            <w:tcW w:w="3436" w:type="dxa"/>
          </w:tcPr>
          <w:p w14:paraId="37CA1692" w14:textId="77777777" w:rsidR="00EC774B" w:rsidRDefault="00EC774B" w:rsidP="00797C0D">
            <w:pPr>
              <w:tabs>
                <w:tab w:val="left" w:pos="8505"/>
              </w:tabs>
              <w:jc w:val="both"/>
              <w:rPr>
                <w:rFonts w:ascii="Times New Roman" w:hAnsi="Times New Roman" w:cs="Times New Roman"/>
                <w:b/>
                <w:sz w:val="20"/>
                <w:szCs w:val="20"/>
                <w:lang w:val="ro-RO"/>
              </w:rPr>
            </w:pPr>
          </w:p>
        </w:tc>
      </w:tr>
      <w:tr w:rsidR="00EC774B" w:rsidRPr="003D570B" w14:paraId="694FD9B9" w14:textId="77777777" w:rsidTr="00A919EA">
        <w:trPr>
          <w:trHeight w:val="416"/>
        </w:trPr>
        <w:tc>
          <w:tcPr>
            <w:tcW w:w="3397" w:type="dxa"/>
          </w:tcPr>
          <w:p w14:paraId="62C8A951" w14:textId="3BB0459F" w:rsidR="00EC774B" w:rsidRPr="00863A23" w:rsidRDefault="00060388" w:rsidP="00797C0D">
            <w:pPr>
              <w:tabs>
                <w:tab w:val="left" w:pos="8505"/>
              </w:tabs>
              <w:jc w:val="both"/>
              <w:rPr>
                <w:rFonts w:ascii="Times New Roman" w:hAnsi="Times New Roman" w:cs="Times New Roman"/>
                <w:b/>
                <w:sz w:val="20"/>
                <w:szCs w:val="20"/>
                <w:lang w:val="it-IT"/>
              </w:rPr>
            </w:pPr>
            <w:r w:rsidRPr="00060388">
              <w:rPr>
                <w:rFonts w:ascii="Times New Roman" w:hAnsi="Times New Roman" w:cs="Times New Roman"/>
                <w:b/>
                <w:sz w:val="20"/>
                <w:szCs w:val="20"/>
                <w:lang w:val="it-IT"/>
              </w:rPr>
              <w:lastRenderedPageBreak/>
              <w:t>În contextul proiectului</w:t>
            </w:r>
          </w:p>
        </w:tc>
        <w:tc>
          <w:tcPr>
            <w:tcW w:w="2977" w:type="dxa"/>
          </w:tcPr>
          <w:p w14:paraId="471482DC" w14:textId="77777777" w:rsidR="00EC774B" w:rsidRPr="00154388" w:rsidRDefault="00EC774B"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78ED041D" w14:textId="4A0CB2B3" w:rsidR="00EC774B" w:rsidRDefault="00EC774B"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37C3D6B4" w14:textId="6BDDE10D" w:rsidR="00EC774B" w:rsidRDefault="00EC774B" w:rsidP="007D5D94">
            <w:pPr>
              <w:jc w:val="both"/>
              <w:rPr>
                <w:rFonts w:ascii="Times New Roman" w:hAnsi="Times New Roman" w:cs="Times New Roman"/>
                <w:sz w:val="20"/>
                <w:szCs w:val="20"/>
                <w:lang w:val="ro-RO"/>
              </w:rPr>
            </w:pPr>
            <w:r w:rsidRPr="003D570B">
              <w:rPr>
                <w:rFonts w:ascii="Times New Roman" w:hAnsi="Times New Roman" w:cs="Times New Roman"/>
                <w:sz w:val="20"/>
                <w:szCs w:val="20"/>
                <w:lang w:val="it-IT"/>
              </w:rPr>
              <w:t xml:space="preserve">Proiectul nu prevede prevederi tranzitorii pentru procedurile în proces de derulare la 01 ianuarie </w:t>
            </w:r>
            <w:r w:rsidR="007D5D94" w:rsidRPr="003D570B">
              <w:rPr>
                <w:rFonts w:ascii="Times New Roman" w:hAnsi="Times New Roman" w:cs="Times New Roman"/>
                <w:sz w:val="20"/>
                <w:szCs w:val="20"/>
                <w:lang w:val="it-IT"/>
              </w:rPr>
              <w:t>2027 (data intrării în vigoare).</w:t>
            </w:r>
          </w:p>
        </w:tc>
        <w:tc>
          <w:tcPr>
            <w:tcW w:w="3436" w:type="dxa"/>
          </w:tcPr>
          <w:p w14:paraId="285A696D" w14:textId="46F0515F" w:rsidR="00EC774B" w:rsidRPr="00674001" w:rsidRDefault="00C11A7B" w:rsidP="00797C0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w:t>
            </w:r>
            <w:r w:rsidR="007D5D94" w:rsidRPr="00674001">
              <w:rPr>
                <w:rFonts w:ascii="Times New Roman" w:hAnsi="Times New Roman" w:cs="Times New Roman"/>
                <w:b/>
                <w:sz w:val="20"/>
                <w:szCs w:val="20"/>
                <w:lang w:val="ro-RO"/>
              </w:rPr>
              <w:t>e acceptă</w:t>
            </w:r>
          </w:p>
          <w:p w14:paraId="4DA1F7C7" w14:textId="77777777" w:rsidR="00C11A7B" w:rsidRPr="00760BD0" w:rsidRDefault="00C11A7B" w:rsidP="00C11A7B">
            <w:pPr>
              <w:tabs>
                <w:tab w:val="left" w:pos="8505"/>
              </w:tabs>
              <w:jc w:val="both"/>
              <w:rPr>
                <w:rFonts w:ascii="Times New Roman" w:hAnsi="Times New Roman" w:cs="Times New Roman"/>
                <w:sz w:val="20"/>
                <w:szCs w:val="20"/>
                <w:lang w:val="it-IT"/>
              </w:rPr>
            </w:pPr>
            <w:r w:rsidRPr="00760BD0">
              <w:rPr>
                <w:rFonts w:ascii="Times New Roman" w:hAnsi="Times New Roman" w:cs="Times New Roman"/>
                <w:sz w:val="20"/>
                <w:szCs w:val="20"/>
                <w:lang w:val="it-IT"/>
              </w:rPr>
              <w:t>În acest sens, se propune completarea proiectului cu un punct nou, cu următorul cuprins:</w:t>
            </w:r>
          </w:p>
          <w:p w14:paraId="6F108F21" w14:textId="220F01B4" w:rsidR="007D5D94" w:rsidRPr="00C11A7B" w:rsidRDefault="00C11A7B" w:rsidP="00797C0D">
            <w:pPr>
              <w:tabs>
                <w:tab w:val="left" w:pos="8505"/>
              </w:tabs>
              <w:jc w:val="both"/>
              <w:rPr>
                <w:rFonts w:ascii="Times New Roman" w:hAnsi="Times New Roman" w:cs="Times New Roman"/>
                <w:i/>
                <w:iCs/>
                <w:sz w:val="20"/>
                <w:szCs w:val="20"/>
              </w:rPr>
            </w:pPr>
            <w:r w:rsidRPr="00760BD0">
              <w:rPr>
                <w:rFonts w:ascii="Times New Roman" w:hAnsi="Times New Roman" w:cs="Times New Roman"/>
                <w:bCs/>
                <w:i/>
                <w:iCs/>
                <w:sz w:val="20"/>
                <w:szCs w:val="20"/>
                <w:lang w:val="it-IT"/>
              </w:rPr>
              <w:t xml:space="preserve">„Procedurile de achiziții publice de valoare mică inițiate până la data de 01 ianuarie 2027 se finalizează în conformitate cu prevederile legale în vigoare la data inițierii acestora. </w:t>
            </w:r>
            <w:r w:rsidRPr="00C11A7B">
              <w:rPr>
                <w:rFonts w:ascii="Times New Roman" w:hAnsi="Times New Roman" w:cs="Times New Roman"/>
                <w:bCs/>
                <w:i/>
                <w:iCs/>
                <w:sz w:val="20"/>
                <w:szCs w:val="20"/>
              </w:rPr>
              <w:t>Contractele aferente procedurilor respective se execută potrivit condițiilor stabilite la data atribuirii.”</w:t>
            </w:r>
          </w:p>
        </w:tc>
      </w:tr>
      <w:tr w:rsidR="007D5D94" w:rsidRPr="00274D20" w14:paraId="4FA8252D" w14:textId="77777777" w:rsidTr="00A919EA">
        <w:trPr>
          <w:trHeight w:val="416"/>
        </w:trPr>
        <w:tc>
          <w:tcPr>
            <w:tcW w:w="3397" w:type="dxa"/>
          </w:tcPr>
          <w:p w14:paraId="7A7020B5" w14:textId="2E35B61C" w:rsidR="007D5D94" w:rsidRPr="00060388" w:rsidRDefault="003D570B" w:rsidP="00797C0D">
            <w:pPr>
              <w:tabs>
                <w:tab w:val="left" w:pos="8505"/>
              </w:tabs>
              <w:jc w:val="both"/>
              <w:rPr>
                <w:rFonts w:ascii="Times New Roman" w:hAnsi="Times New Roman" w:cs="Times New Roman"/>
                <w:b/>
                <w:sz w:val="20"/>
                <w:szCs w:val="20"/>
                <w:lang w:val="it-IT"/>
              </w:rPr>
            </w:pPr>
            <w:r w:rsidRPr="00060388">
              <w:rPr>
                <w:rFonts w:ascii="Times New Roman" w:hAnsi="Times New Roman" w:cs="Times New Roman"/>
                <w:b/>
                <w:sz w:val="20"/>
                <w:szCs w:val="20"/>
                <w:lang w:val="it-IT"/>
              </w:rPr>
              <w:t>În contextul proiectului</w:t>
            </w:r>
          </w:p>
        </w:tc>
        <w:tc>
          <w:tcPr>
            <w:tcW w:w="2977" w:type="dxa"/>
          </w:tcPr>
          <w:p w14:paraId="3AA3C713" w14:textId="77777777" w:rsidR="007D5D94" w:rsidRPr="00154388" w:rsidRDefault="007D5D94"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3818FF8A" w14:textId="188E5C4B" w:rsidR="007D5D94" w:rsidRDefault="007D5D94"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32103098" w14:textId="0B601EFA" w:rsidR="007D5D94" w:rsidRPr="00EC774B" w:rsidRDefault="007D5D94" w:rsidP="007D5D94">
            <w:pPr>
              <w:jc w:val="both"/>
              <w:rPr>
                <w:rFonts w:ascii="Times New Roman" w:hAnsi="Times New Roman" w:cs="Times New Roman"/>
                <w:sz w:val="20"/>
                <w:szCs w:val="20"/>
              </w:rPr>
            </w:pPr>
            <w:r>
              <w:rPr>
                <w:rFonts w:ascii="Times New Roman" w:hAnsi="Times New Roman" w:cs="Times New Roman"/>
                <w:sz w:val="20"/>
                <w:szCs w:val="20"/>
              </w:rPr>
              <w:t>P</w:t>
            </w:r>
            <w:r w:rsidRPr="007D5D94">
              <w:rPr>
                <w:rFonts w:ascii="Times New Roman" w:hAnsi="Times New Roman" w:cs="Times New Roman"/>
                <w:sz w:val="20"/>
                <w:szCs w:val="20"/>
              </w:rPr>
              <w:t>ct. 2 din Proiect nu este clar deoarece proiectul nu este numerotat cu așa puncte cum ar fi 8), 9), și 29)?</w:t>
            </w:r>
          </w:p>
        </w:tc>
        <w:tc>
          <w:tcPr>
            <w:tcW w:w="3436" w:type="dxa"/>
          </w:tcPr>
          <w:p w14:paraId="50D36005" w14:textId="77777777" w:rsidR="007D5D94" w:rsidRDefault="007D5D94" w:rsidP="00797C0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2675A546" w14:textId="77777777" w:rsidR="007D5D94" w:rsidRPr="007D5D94" w:rsidRDefault="007D5D94" w:rsidP="00797C0D">
            <w:pPr>
              <w:tabs>
                <w:tab w:val="left" w:pos="8505"/>
              </w:tabs>
              <w:jc w:val="both"/>
              <w:rPr>
                <w:rFonts w:ascii="Times New Roman" w:hAnsi="Times New Roman" w:cs="Times New Roman"/>
                <w:sz w:val="20"/>
                <w:szCs w:val="20"/>
                <w:lang w:val="ro-RO"/>
              </w:rPr>
            </w:pPr>
            <w:r w:rsidRPr="007D5D94">
              <w:rPr>
                <w:rFonts w:ascii="Times New Roman" w:hAnsi="Times New Roman" w:cs="Times New Roman"/>
                <w:sz w:val="20"/>
                <w:szCs w:val="20"/>
                <w:lang w:val="ro-RO"/>
              </w:rPr>
              <w:t>Pct. 2 a fost reformulat în urma avizului din partea Ministerului Energiei după cum urmează:</w:t>
            </w:r>
          </w:p>
          <w:p w14:paraId="3224FA6E" w14:textId="0585310B" w:rsidR="007D5D94" w:rsidRPr="007D5D94" w:rsidRDefault="007D5D94" w:rsidP="00B21CB8">
            <w:pPr>
              <w:tabs>
                <w:tab w:val="left" w:pos="8505"/>
              </w:tabs>
              <w:jc w:val="both"/>
              <w:rPr>
                <w:rFonts w:ascii="Times New Roman" w:hAnsi="Times New Roman" w:cs="Times New Roman"/>
                <w:sz w:val="20"/>
                <w:szCs w:val="20"/>
                <w:lang w:val="ro-RO"/>
              </w:rPr>
            </w:pPr>
            <w:r w:rsidRPr="007D5D94">
              <w:rPr>
                <w:rFonts w:ascii="Times New Roman" w:hAnsi="Times New Roman" w:cs="Times New Roman"/>
                <w:sz w:val="20"/>
                <w:szCs w:val="20"/>
                <w:lang w:val="ro-RO"/>
              </w:rPr>
              <w:t>„</w:t>
            </w:r>
            <w:r w:rsidRPr="007D5D94">
              <w:rPr>
                <w:rFonts w:ascii="Times New Roman" w:hAnsi="Times New Roman" w:cs="Times New Roman"/>
                <w:bCs/>
                <w:sz w:val="20"/>
                <w:szCs w:val="20"/>
                <w:lang w:val="ro-RO"/>
              </w:rPr>
              <w:t>2.</w:t>
            </w:r>
            <w:r w:rsidRPr="007D5D94">
              <w:rPr>
                <w:rFonts w:ascii="Times New Roman" w:hAnsi="Times New Roman" w:cs="Times New Roman"/>
                <w:sz w:val="20"/>
                <w:szCs w:val="20"/>
                <w:lang w:val="ro-RO"/>
              </w:rPr>
              <w:t xml:space="preserve"> </w:t>
            </w:r>
            <w:r w:rsidRPr="007D5D94">
              <w:rPr>
                <w:rFonts w:ascii="Times New Roman" w:hAnsi="Times New Roman" w:cs="Times New Roman"/>
                <w:bCs/>
                <w:sz w:val="20"/>
                <w:szCs w:val="20"/>
                <w:lang w:val="ro-RO"/>
              </w:rPr>
              <w:t xml:space="preserve">Prezenta hotărâre intră în vigoare la 1 ianuarie 2027, cu excepția punctelor </w:t>
            </w:r>
            <w:r w:rsidRPr="007D5D94">
              <w:rPr>
                <w:rFonts w:ascii="Times New Roman" w:hAnsi="Times New Roman" w:cs="Times New Roman"/>
                <w:bCs/>
                <w:sz w:val="20"/>
                <w:szCs w:val="20"/>
                <w:lang w:val="it-IT"/>
              </w:rPr>
              <w:t>1.1</w:t>
            </w:r>
            <w:r w:rsidR="00B21CB8">
              <w:rPr>
                <w:rFonts w:ascii="Times New Roman" w:hAnsi="Times New Roman" w:cs="Times New Roman"/>
                <w:bCs/>
                <w:sz w:val="20"/>
                <w:szCs w:val="20"/>
                <w:lang w:val="it-IT"/>
              </w:rPr>
              <w:t>2</w:t>
            </w:r>
            <w:r w:rsidRPr="007D5D94">
              <w:rPr>
                <w:rFonts w:ascii="Times New Roman" w:hAnsi="Times New Roman" w:cs="Times New Roman"/>
                <w:bCs/>
                <w:sz w:val="20"/>
                <w:szCs w:val="20"/>
                <w:lang w:val="it-IT"/>
              </w:rPr>
              <w:t>., 1.1</w:t>
            </w:r>
            <w:r w:rsidR="00B21CB8">
              <w:rPr>
                <w:rFonts w:ascii="Times New Roman" w:hAnsi="Times New Roman" w:cs="Times New Roman"/>
                <w:bCs/>
                <w:sz w:val="20"/>
                <w:szCs w:val="20"/>
                <w:lang w:val="it-IT"/>
              </w:rPr>
              <w:t>3</w:t>
            </w:r>
            <w:r w:rsidRPr="007D5D94">
              <w:rPr>
                <w:rFonts w:ascii="Times New Roman" w:hAnsi="Times New Roman" w:cs="Times New Roman"/>
                <w:bCs/>
                <w:sz w:val="20"/>
                <w:szCs w:val="20"/>
                <w:lang w:val="it-IT"/>
              </w:rPr>
              <w:t>. și 1.3</w:t>
            </w:r>
            <w:r w:rsidR="00B21CB8">
              <w:rPr>
                <w:rFonts w:ascii="Times New Roman" w:hAnsi="Times New Roman" w:cs="Times New Roman"/>
                <w:bCs/>
                <w:sz w:val="20"/>
                <w:szCs w:val="20"/>
                <w:lang w:val="it-IT"/>
              </w:rPr>
              <w:t>3</w:t>
            </w:r>
            <w:r w:rsidRPr="007D5D94">
              <w:rPr>
                <w:rFonts w:ascii="Times New Roman" w:hAnsi="Times New Roman" w:cs="Times New Roman"/>
                <w:bCs/>
                <w:sz w:val="20"/>
                <w:szCs w:val="20"/>
                <w:lang w:val="it-IT"/>
              </w:rPr>
              <w:t xml:space="preserve">. </w:t>
            </w:r>
            <w:r w:rsidRPr="007D5D94">
              <w:rPr>
                <w:rFonts w:ascii="Times New Roman" w:hAnsi="Times New Roman" w:cs="Times New Roman"/>
                <w:bCs/>
                <w:sz w:val="20"/>
                <w:szCs w:val="20"/>
                <w:lang w:val="ro-RO"/>
              </w:rPr>
              <w:t>care vor intra în vigoare la data publicării în Monitorul Oficial al Republicii Moldova</w:t>
            </w:r>
            <w:r>
              <w:rPr>
                <w:rFonts w:ascii="Times New Roman" w:hAnsi="Times New Roman" w:cs="Times New Roman"/>
                <w:bCs/>
                <w:sz w:val="20"/>
                <w:szCs w:val="20"/>
                <w:lang w:val="ro-RO"/>
              </w:rPr>
              <w:t>.”</w:t>
            </w:r>
          </w:p>
        </w:tc>
      </w:tr>
      <w:tr w:rsidR="00EC774B" w:rsidRPr="00760BD0" w14:paraId="3C8FE2F9" w14:textId="77777777" w:rsidTr="00A919EA">
        <w:trPr>
          <w:trHeight w:val="416"/>
        </w:trPr>
        <w:tc>
          <w:tcPr>
            <w:tcW w:w="3397" w:type="dxa"/>
          </w:tcPr>
          <w:p w14:paraId="5A68A886" w14:textId="49720973" w:rsidR="00060388" w:rsidRPr="00060388" w:rsidRDefault="00060388" w:rsidP="00060388">
            <w:pPr>
              <w:tabs>
                <w:tab w:val="left" w:pos="8505"/>
              </w:tabs>
              <w:jc w:val="both"/>
              <w:rPr>
                <w:rFonts w:ascii="Times New Roman" w:hAnsi="Times New Roman" w:cs="Times New Roman"/>
                <w:sz w:val="20"/>
                <w:szCs w:val="20"/>
                <w:lang w:val="it-IT"/>
              </w:rPr>
            </w:pPr>
            <w:r w:rsidRPr="00060388">
              <w:rPr>
                <w:rFonts w:ascii="Times New Roman" w:hAnsi="Times New Roman" w:cs="Times New Roman"/>
                <w:b/>
                <w:sz w:val="20"/>
                <w:szCs w:val="20"/>
                <w:lang w:val="it-IT"/>
              </w:rPr>
              <w:t>1.5.</w:t>
            </w:r>
            <w:r>
              <w:rPr>
                <w:rFonts w:ascii="Times New Roman" w:hAnsi="Times New Roman" w:cs="Times New Roman"/>
                <w:b/>
                <w:sz w:val="20"/>
                <w:szCs w:val="20"/>
                <w:lang w:val="it-IT"/>
              </w:rPr>
              <w:t xml:space="preserve"> </w:t>
            </w:r>
            <w:r w:rsidRPr="00060388">
              <w:rPr>
                <w:rFonts w:ascii="Times New Roman" w:hAnsi="Times New Roman" w:cs="Times New Roman"/>
                <w:sz w:val="20"/>
                <w:szCs w:val="20"/>
                <w:lang w:val="it-IT"/>
              </w:rPr>
              <w:t>Se introduce punctul 7</w:t>
            </w:r>
            <w:r>
              <w:rPr>
                <w:rFonts w:ascii="Times New Roman" w:hAnsi="Times New Roman" w:cs="Times New Roman"/>
                <w:sz w:val="20"/>
                <w:szCs w:val="20"/>
                <w:vertAlign w:val="superscript"/>
                <w:lang w:val="it-IT"/>
              </w:rPr>
              <w:t>1</w:t>
            </w:r>
            <w:r w:rsidRPr="00060388">
              <w:rPr>
                <w:rFonts w:ascii="Times New Roman" w:hAnsi="Times New Roman" w:cs="Times New Roman"/>
                <w:sz w:val="20"/>
                <w:szCs w:val="20"/>
                <w:lang w:val="it-IT"/>
              </w:rPr>
              <w:t xml:space="preserve"> cu următorul cuprins:</w:t>
            </w:r>
          </w:p>
          <w:p w14:paraId="7C160A5F" w14:textId="540930B0" w:rsidR="00060388" w:rsidRPr="00060388" w:rsidRDefault="00060388" w:rsidP="00060388">
            <w:pPr>
              <w:tabs>
                <w:tab w:val="left" w:pos="8505"/>
              </w:tabs>
              <w:jc w:val="both"/>
              <w:rPr>
                <w:rFonts w:ascii="Times New Roman" w:hAnsi="Times New Roman" w:cs="Times New Roman"/>
                <w:sz w:val="20"/>
                <w:szCs w:val="20"/>
                <w:lang w:val="it-IT"/>
              </w:rPr>
            </w:pPr>
            <w:r w:rsidRPr="00060388">
              <w:rPr>
                <w:rFonts w:ascii="Times New Roman" w:hAnsi="Times New Roman" w:cs="Times New Roman"/>
                <w:sz w:val="20"/>
                <w:szCs w:val="20"/>
                <w:lang w:val="it-IT"/>
              </w:rPr>
              <w:t>„7</w:t>
            </w:r>
            <w:r>
              <w:rPr>
                <w:rFonts w:ascii="Times New Roman" w:hAnsi="Times New Roman" w:cs="Times New Roman"/>
                <w:sz w:val="20"/>
                <w:szCs w:val="20"/>
                <w:vertAlign w:val="superscript"/>
                <w:lang w:val="it-IT"/>
              </w:rPr>
              <w:t>1</w:t>
            </w:r>
            <w:r w:rsidRPr="00060388">
              <w:rPr>
                <w:rFonts w:ascii="Times New Roman" w:hAnsi="Times New Roman" w:cs="Times New Roman"/>
                <w:sz w:val="20"/>
                <w:szCs w:val="20"/>
                <w:lang w:val="it-IT"/>
              </w:rPr>
              <w:t>. Prezentul Regulament prevede particularități privind contractele de achiziții publice, a căror valoare, fără taxa pe valoarea adăugată, este egală cu sau mai mare decât următoarele praguri:</w:t>
            </w:r>
          </w:p>
          <w:p w14:paraId="7498DBB7" w14:textId="77777777" w:rsidR="00060388" w:rsidRPr="00060388" w:rsidRDefault="00060388" w:rsidP="00060388">
            <w:pPr>
              <w:tabs>
                <w:tab w:val="left" w:pos="8505"/>
              </w:tabs>
              <w:jc w:val="both"/>
              <w:rPr>
                <w:rFonts w:ascii="Times New Roman" w:hAnsi="Times New Roman" w:cs="Times New Roman"/>
                <w:sz w:val="20"/>
                <w:szCs w:val="20"/>
                <w:lang w:val="it-IT"/>
              </w:rPr>
            </w:pPr>
            <w:r w:rsidRPr="00060388">
              <w:rPr>
                <w:rFonts w:ascii="Times New Roman" w:hAnsi="Times New Roman" w:cs="Times New Roman"/>
                <w:sz w:val="20"/>
                <w:szCs w:val="20"/>
                <w:lang w:val="it-IT"/>
              </w:rPr>
              <w:t>a) pentru contractele de achiziții publice de bunuri și servicii – 300 000 MDL;</w:t>
            </w:r>
          </w:p>
          <w:p w14:paraId="2731E967" w14:textId="77777777" w:rsidR="00060388" w:rsidRPr="00060388" w:rsidRDefault="00060388" w:rsidP="00060388">
            <w:pPr>
              <w:tabs>
                <w:tab w:val="left" w:pos="8505"/>
              </w:tabs>
              <w:jc w:val="both"/>
              <w:rPr>
                <w:rFonts w:ascii="Times New Roman" w:hAnsi="Times New Roman" w:cs="Times New Roman"/>
                <w:sz w:val="20"/>
                <w:szCs w:val="20"/>
                <w:lang w:val="it-IT"/>
              </w:rPr>
            </w:pPr>
            <w:r w:rsidRPr="00060388">
              <w:rPr>
                <w:rFonts w:ascii="Times New Roman" w:hAnsi="Times New Roman" w:cs="Times New Roman"/>
                <w:sz w:val="20"/>
                <w:szCs w:val="20"/>
                <w:lang w:val="it-IT"/>
              </w:rPr>
              <w:t>b) pentru contractele de achiziții publice de lucrări – 375 000 MDL;</w:t>
            </w:r>
          </w:p>
          <w:p w14:paraId="009B831D" w14:textId="2DEC988D" w:rsidR="00EC774B" w:rsidRPr="00863A23" w:rsidRDefault="00060388" w:rsidP="00060388">
            <w:pPr>
              <w:tabs>
                <w:tab w:val="left" w:pos="8505"/>
              </w:tabs>
              <w:jc w:val="both"/>
              <w:rPr>
                <w:rFonts w:ascii="Times New Roman" w:hAnsi="Times New Roman" w:cs="Times New Roman"/>
                <w:b/>
                <w:sz w:val="20"/>
                <w:szCs w:val="20"/>
                <w:lang w:val="it-IT"/>
              </w:rPr>
            </w:pPr>
            <w:r w:rsidRPr="00060388">
              <w:rPr>
                <w:rFonts w:ascii="Times New Roman" w:hAnsi="Times New Roman" w:cs="Times New Roman"/>
                <w:sz w:val="20"/>
                <w:szCs w:val="20"/>
                <w:lang w:val="it-IT"/>
              </w:rPr>
              <w:t>c) pentru contractele de achiziții publice care au ca obiect servicii sociale și alte servicii specifice enumerate în anexa nr. 2 din Legea nr. 325/2025 privind achizițiile publice – 600 000 MDL.</w:t>
            </w:r>
            <w:r>
              <w:rPr>
                <w:rFonts w:ascii="Times New Roman" w:hAnsi="Times New Roman" w:cs="Times New Roman"/>
                <w:sz w:val="20"/>
                <w:szCs w:val="20"/>
                <w:lang w:val="it-IT"/>
              </w:rPr>
              <w:t>”</w:t>
            </w:r>
          </w:p>
        </w:tc>
        <w:tc>
          <w:tcPr>
            <w:tcW w:w="2977" w:type="dxa"/>
          </w:tcPr>
          <w:p w14:paraId="69019F1D" w14:textId="77777777" w:rsidR="00EC774B" w:rsidRPr="00154388" w:rsidRDefault="00EC774B"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7E42027C" w14:textId="07A1B712" w:rsidR="00EC774B" w:rsidRDefault="007D5D94"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39932D17" w14:textId="10FB052A" w:rsidR="00EC774B" w:rsidRPr="003D570B" w:rsidRDefault="00EC774B" w:rsidP="00EC774B">
            <w:pPr>
              <w:jc w:val="both"/>
              <w:rPr>
                <w:rFonts w:ascii="Times New Roman" w:hAnsi="Times New Roman" w:cs="Times New Roman"/>
                <w:sz w:val="20"/>
                <w:szCs w:val="20"/>
                <w:lang w:val="it-IT"/>
              </w:rPr>
            </w:pPr>
            <w:r w:rsidRPr="003D570B">
              <w:rPr>
                <w:rFonts w:ascii="Times New Roman" w:hAnsi="Times New Roman" w:cs="Times New Roman"/>
                <w:sz w:val="20"/>
                <w:szCs w:val="20"/>
                <w:lang w:val="ro-RO"/>
              </w:rPr>
              <w:t xml:space="preserve">Pct. 1.5. din Proiect efectiv „mușamalizează” și diminuează efectiv importanța achizițiilor publice de valoare mică, achiziții cruciale pentru cei cu resurse limitate și care au servicii publice prestate zi de zi cetățenilor, acestea fiind în primul rând APL. Autoritățile publice centrale sunt, cu anumite excepții, îndepărtate de cetățean și pot să-și permită luxul să pună pe primul plan transparența și proceduri sofisticate de durată în timp și birocratizate excesiv. </w:t>
            </w:r>
            <w:r w:rsidRPr="00EC774B">
              <w:rPr>
                <w:rFonts w:ascii="Times New Roman" w:hAnsi="Times New Roman" w:cs="Times New Roman"/>
                <w:sz w:val="20"/>
                <w:szCs w:val="20"/>
              </w:rPr>
              <w:t xml:space="preserve">Prin urmare punctul respectiv este lipsit de legitimitate, odată ce art. 1 alin. (4) din Legea nr. 325/2025 privind achizițiile publice prevede expres că Contractele de achiziții publice a căror valoare estimată, fără taxa pe valoarea adăugată, nu depășește pragurile menționate la alin. </w:t>
            </w:r>
            <w:r w:rsidRPr="003D570B">
              <w:rPr>
                <w:rFonts w:ascii="Times New Roman" w:hAnsi="Times New Roman" w:cs="Times New Roman"/>
                <w:sz w:val="20"/>
                <w:szCs w:val="20"/>
                <w:lang w:val="it-IT"/>
              </w:rPr>
              <w:t xml:space="preserve">(1) sunt atribuite în condițiile și potrivit procedurilor reglementate de </w:t>
            </w:r>
            <w:r w:rsidRPr="003D570B">
              <w:rPr>
                <w:rFonts w:ascii="Times New Roman" w:hAnsi="Times New Roman" w:cs="Times New Roman"/>
                <w:sz w:val="20"/>
                <w:szCs w:val="20"/>
                <w:lang w:val="it-IT"/>
              </w:rPr>
              <w:lastRenderedPageBreak/>
              <w:t>Guvern”, adică conform Regulamentului cu privire la achizițiile de valoare mică. Prin urmare Regulamentul privind achizițiile de valoare mică trebuie să rămână intact (notă: după cum a fost promis la examinarea redacției respective la etapa de proiect a noii legi), cu excepția modificările tehnice și redacționale privind referința la noua legislație, și respectiv să fie aplicabil în continuare pentru achizițiile publice sub pragurile din art. 1 alin. (1) din Legea nr. 325/2025, după cum urmează:</w:t>
            </w:r>
          </w:p>
          <w:p w14:paraId="5E35A02C" w14:textId="77777777" w:rsidR="00EC774B" w:rsidRPr="003D570B" w:rsidRDefault="00EC774B" w:rsidP="00EC774B">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„a) pentru contractele de achiziții publice de lucrări – 1 000 000 MDL;</w:t>
            </w:r>
          </w:p>
          <w:p w14:paraId="4A4EA980" w14:textId="77777777" w:rsidR="00EC774B" w:rsidRPr="003D570B" w:rsidRDefault="00EC774B" w:rsidP="00EC774B">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b) pentru contractele de achiziții publice de bunuri și servicii și concursurile de soluții atribuite/organizate de autoritățile publice centrale – 600 000 MDL;</w:t>
            </w:r>
          </w:p>
          <w:p w14:paraId="46C97475" w14:textId="77777777" w:rsidR="00EC774B" w:rsidRPr="003D570B" w:rsidRDefault="00EC774B" w:rsidP="00EC774B">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c) pentru contractele de achiziții publice de bunuri care au ca obiect produsele enumerate în anexa nr. 1, atribuite de autoritățile contractante din domeniul apărării – 600 000 MDL;</w:t>
            </w:r>
          </w:p>
          <w:p w14:paraId="398587FE" w14:textId="77777777" w:rsidR="00EC774B" w:rsidRPr="003D570B" w:rsidRDefault="00EC774B" w:rsidP="00EC774B">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d) pentru contractele de achiziții publice de bunuri și servicii și concursurile de soluții atribuite/organizate de autoritățile publice locale și persoanele juridice de drept public – 800 000 MDL;</w:t>
            </w:r>
          </w:p>
          <w:p w14:paraId="52BEECCB" w14:textId="77777777" w:rsidR="00EC774B" w:rsidRPr="003D570B" w:rsidRDefault="00EC774B" w:rsidP="00EC774B">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e) pentru contractele de achiziții publice de bunuri care nu au ca obiect produsele enumerate în anexa nr. 1, atribuite de autoritățile publice centrale din domeniul apărării – 800 000 MDL;</w:t>
            </w:r>
          </w:p>
          <w:p w14:paraId="45664A61" w14:textId="018F1991" w:rsidR="00EC774B" w:rsidRPr="003D570B" w:rsidRDefault="00EC774B" w:rsidP="00EC774B">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xml:space="preserve">f) pentru contractele de achiziții publice care au ca obiect servicii sociale și alte servicii specifice enumerate în anexa nr. 2 – 1 000 000 MDL.”. Autorul, pentru a masca această ilegalitate, pur și simplu transferă prevederile din legislația ordinară privind achizițiile publice în </w:t>
            </w:r>
            <w:r w:rsidRPr="003D570B">
              <w:rPr>
                <w:rFonts w:ascii="Times New Roman" w:hAnsi="Times New Roman" w:cs="Times New Roman"/>
                <w:sz w:val="20"/>
                <w:szCs w:val="20"/>
                <w:lang w:val="it-IT"/>
              </w:rPr>
              <w:lastRenderedPageBreak/>
              <w:t>Regulamentul privind achizițiile de valoare mică (!?).</w:t>
            </w:r>
          </w:p>
        </w:tc>
        <w:tc>
          <w:tcPr>
            <w:tcW w:w="3436" w:type="dxa"/>
          </w:tcPr>
          <w:p w14:paraId="02DD5BC4" w14:textId="5B389668" w:rsidR="00257B72" w:rsidRPr="00257B72" w:rsidRDefault="00257B72" w:rsidP="00257B72">
            <w:pPr>
              <w:tabs>
                <w:tab w:val="left" w:pos="8505"/>
              </w:tabs>
              <w:jc w:val="both"/>
              <w:rPr>
                <w:rFonts w:ascii="Times New Roman" w:hAnsi="Times New Roman" w:cs="Times New Roman"/>
                <w:b/>
                <w:sz w:val="20"/>
                <w:szCs w:val="20"/>
                <w:lang w:val="ro-RO"/>
              </w:rPr>
            </w:pPr>
            <w:r w:rsidRPr="00257B72">
              <w:rPr>
                <w:rFonts w:ascii="Times New Roman" w:hAnsi="Times New Roman" w:cs="Times New Roman"/>
                <w:b/>
                <w:sz w:val="20"/>
                <w:szCs w:val="20"/>
                <w:lang w:val="ro-RO"/>
              </w:rPr>
              <w:lastRenderedPageBreak/>
              <w:t>Nu se acceptă</w:t>
            </w:r>
          </w:p>
          <w:p w14:paraId="16F05188" w14:textId="1692EE45" w:rsidR="00257B72" w:rsidRPr="00257B72" w:rsidRDefault="00257B72" w:rsidP="00257B72">
            <w:pPr>
              <w:tabs>
                <w:tab w:val="left" w:pos="8505"/>
              </w:tabs>
              <w:jc w:val="both"/>
              <w:rPr>
                <w:rFonts w:ascii="Times New Roman" w:hAnsi="Times New Roman" w:cs="Times New Roman"/>
                <w:sz w:val="20"/>
                <w:szCs w:val="20"/>
                <w:lang w:val="ro-RO"/>
              </w:rPr>
            </w:pPr>
            <w:r w:rsidRPr="00257B72">
              <w:rPr>
                <w:rFonts w:ascii="Times New Roman" w:hAnsi="Times New Roman" w:cs="Times New Roman"/>
                <w:sz w:val="20"/>
                <w:szCs w:val="20"/>
                <w:lang w:val="ro-RO"/>
              </w:rPr>
              <w:t>Cu privire la pretinsa „ilegalitate” a pct. 7</w:t>
            </w:r>
            <w:r>
              <w:rPr>
                <w:rFonts w:ascii="Times New Roman" w:hAnsi="Times New Roman" w:cs="Times New Roman"/>
                <w:sz w:val="20"/>
                <w:szCs w:val="20"/>
                <w:vertAlign w:val="superscript"/>
                <w:lang w:val="ro-RO"/>
              </w:rPr>
              <w:t>1</w:t>
            </w:r>
            <w:r>
              <w:rPr>
                <w:rFonts w:ascii="Times New Roman" w:hAnsi="Times New Roman" w:cs="Times New Roman"/>
                <w:sz w:val="20"/>
                <w:szCs w:val="20"/>
                <w:lang w:val="ro-RO"/>
              </w:rPr>
              <w:t>:</w:t>
            </w:r>
          </w:p>
          <w:p w14:paraId="1C748794" w14:textId="4441A6DD" w:rsidR="00257B72" w:rsidRPr="00257B72" w:rsidRDefault="00257B72" w:rsidP="00257B72">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257B72">
              <w:rPr>
                <w:rFonts w:ascii="Times New Roman" w:hAnsi="Times New Roman" w:cs="Times New Roman"/>
                <w:sz w:val="20"/>
                <w:szCs w:val="20"/>
                <w:lang w:val="ro-RO"/>
              </w:rPr>
              <w:t>Argumentul potrivit căruia introducerea pct. 7</w:t>
            </w:r>
            <w:r>
              <w:rPr>
                <w:rFonts w:ascii="Times New Roman" w:hAnsi="Times New Roman" w:cs="Times New Roman"/>
                <w:sz w:val="20"/>
                <w:szCs w:val="20"/>
                <w:vertAlign w:val="superscript"/>
                <w:lang w:val="ro-RO"/>
              </w:rPr>
              <w:t>1</w:t>
            </w:r>
            <w:r w:rsidRPr="00257B72">
              <w:rPr>
                <w:rFonts w:ascii="Times New Roman" w:hAnsi="Times New Roman" w:cs="Times New Roman"/>
                <w:sz w:val="20"/>
                <w:szCs w:val="20"/>
                <w:lang w:val="ro-RO"/>
              </w:rPr>
              <w:t xml:space="preserve"> „mușamalizează” achizițiile de valoare mică și ar „transfera prevederi din legislația ordinară” nu este susținut juridic. Pct. 7</w:t>
            </w:r>
            <w:r>
              <w:rPr>
                <w:rFonts w:ascii="Times New Roman" w:hAnsi="Times New Roman" w:cs="Times New Roman"/>
                <w:sz w:val="20"/>
                <w:szCs w:val="20"/>
                <w:vertAlign w:val="superscript"/>
                <w:lang w:val="ro-RO"/>
              </w:rPr>
              <w:t>1</w:t>
            </w:r>
            <w:r w:rsidRPr="00257B72">
              <w:rPr>
                <w:rFonts w:ascii="Times New Roman" w:hAnsi="Times New Roman" w:cs="Times New Roman"/>
                <w:sz w:val="20"/>
                <w:szCs w:val="20"/>
                <w:lang w:val="ro-RO"/>
              </w:rPr>
              <w:t xml:space="preserve"> are rolul de a stabili particularități la aplicarea pragurilor prevăzute de cadrul legal în vigoare pentru achizițiile publice de valoare mică. În plus, art. 1 alin. (4) din Legea nr. 325/2025 stabilește expres că contractele a căror valoare estimată nu depășește pragurile sunt atribuite în condițiile și potrivit procedurilor reglementate de Guvern, adică în continuare prin Regulamentul privind achizițiile de valoare mică. Prin urmare, introducerea pct. 7</w:t>
            </w:r>
            <w:r>
              <w:rPr>
                <w:rFonts w:ascii="Times New Roman" w:hAnsi="Times New Roman" w:cs="Times New Roman"/>
                <w:sz w:val="20"/>
                <w:szCs w:val="20"/>
                <w:vertAlign w:val="superscript"/>
                <w:lang w:val="ro-RO"/>
              </w:rPr>
              <w:t>1</w:t>
            </w:r>
            <w:r w:rsidRPr="00257B72">
              <w:rPr>
                <w:rFonts w:ascii="Times New Roman" w:hAnsi="Times New Roman" w:cs="Times New Roman"/>
                <w:sz w:val="20"/>
                <w:szCs w:val="20"/>
                <w:lang w:val="ro-RO"/>
              </w:rPr>
              <w:t xml:space="preserve"> nu anulează regimul achizițiilor de valoare mică pentru contractele aflate sub pragurile legale.</w:t>
            </w:r>
          </w:p>
          <w:p w14:paraId="3FB7D103" w14:textId="002319A5" w:rsidR="00257B72" w:rsidRPr="00257B72" w:rsidRDefault="00257B72" w:rsidP="00257B72">
            <w:pPr>
              <w:tabs>
                <w:tab w:val="left" w:pos="8505"/>
              </w:tabs>
              <w:jc w:val="both"/>
              <w:rPr>
                <w:rFonts w:ascii="Times New Roman" w:hAnsi="Times New Roman" w:cs="Times New Roman"/>
                <w:sz w:val="20"/>
                <w:szCs w:val="20"/>
                <w:lang w:val="ro-RO"/>
              </w:rPr>
            </w:pPr>
            <w:r w:rsidRPr="00257B72">
              <w:rPr>
                <w:rFonts w:ascii="Times New Roman" w:hAnsi="Times New Roman" w:cs="Times New Roman"/>
                <w:sz w:val="20"/>
                <w:szCs w:val="20"/>
                <w:lang w:val="ro-RO"/>
              </w:rPr>
              <w:lastRenderedPageBreak/>
              <w:t>Cu privire la modificarea pragurilor propuse de autor</w:t>
            </w:r>
            <w:r>
              <w:rPr>
                <w:rFonts w:ascii="Times New Roman" w:hAnsi="Times New Roman" w:cs="Times New Roman"/>
                <w:sz w:val="20"/>
                <w:szCs w:val="20"/>
                <w:lang w:val="ro-RO"/>
              </w:rPr>
              <w:t>:</w:t>
            </w:r>
          </w:p>
          <w:p w14:paraId="09DA246E" w14:textId="6933BF9F" w:rsidR="00257B72" w:rsidRPr="00257B72" w:rsidRDefault="00257B72" w:rsidP="00257B72">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257B72">
              <w:rPr>
                <w:rFonts w:ascii="Times New Roman" w:hAnsi="Times New Roman" w:cs="Times New Roman"/>
                <w:sz w:val="20"/>
                <w:szCs w:val="20"/>
                <w:lang w:val="ro-RO"/>
              </w:rPr>
              <w:t>Propunerea autorului de a înlocui pragurile din pct. 7</w:t>
            </w:r>
            <w:r>
              <w:rPr>
                <w:rFonts w:ascii="Times New Roman" w:hAnsi="Times New Roman" w:cs="Times New Roman"/>
                <w:sz w:val="20"/>
                <w:szCs w:val="20"/>
                <w:vertAlign w:val="superscript"/>
                <w:lang w:val="ro-RO"/>
              </w:rPr>
              <w:t>1</w:t>
            </w:r>
            <w:r w:rsidRPr="00257B72">
              <w:rPr>
                <w:rFonts w:ascii="Times New Roman" w:hAnsi="Times New Roman" w:cs="Times New Roman"/>
                <w:sz w:val="20"/>
                <w:szCs w:val="20"/>
                <w:lang w:val="ro-RO"/>
              </w:rPr>
              <w:t xml:space="preserve"> cu valori alternative (1 000 000 MDL, 600 000 MDL, 800 000 MDL etc.) reprezintă, în fapt, o reconfigurare a pragurilor de aplicare. Astfel de ajustări nu pot fi realizate prin „corectarea” Regulamentului printr-un text contrar cadrului de pr</w:t>
            </w:r>
            <w:r>
              <w:rPr>
                <w:rFonts w:ascii="Times New Roman" w:hAnsi="Times New Roman" w:cs="Times New Roman"/>
                <w:sz w:val="20"/>
                <w:szCs w:val="20"/>
                <w:lang w:val="ro-RO"/>
              </w:rPr>
              <w:t>a</w:t>
            </w:r>
            <w:r w:rsidRPr="00257B72">
              <w:rPr>
                <w:rFonts w:ascii="Times New Roman" w:hAnsi="Times New Roman" w:cs="Times New Roman"/>
                <w:sz w:val="20"/>
                <w:szCs w:val="20"/>
                <w:lang w:val="ro-RO"/>
              </w:rPr>
              <w:t>guri stabilit de Legea nr. 325/2025; dacă există o intenție de modificare a pragurilor, aceasta ține de intervenție la nivel de lege.</w:t>
            </w:r>
          </w:p>
          <w:p w14:paraId="6C92081E" w14:textId="08F4C71E" w:rsidR="00257B72" w:rsidRPr="00257B72" w:rsidRDefault="00257B72" w:rsidP="00257B72">
            <w:pPr>
              <w:tabs>
                <w:tab w:val="left" w:pos="8505"/>
              </w:tabs>
              <w:jc w:val="both"/>
              <w:rPr>
                <w:rFonts w:ascii="Times New Roman" w:hAnsi="Times New Roman" w:cs="Times New Roman"/>
                <w:sz w:val="20"/>
                <w:szCs w:val="20"/>
                <w:lang w:val="ro-RO"/>
              </w:rPr>
            </w:pPr>
            <w:r w:rsidRPr="00257B72">
              <w:rPr>
                <w:rFonts w:ascii="Times New Roman" w:hAnsi="Times New Roman" w:cs="Times New Roman"/>
                <w:sz w:val="20"/>
                <w:szCs w:val="20"/>
                <w:lang w:val="ro-RO"/>
              </w:rPr>
              <w:t>Cu privire la oportunitatea invocată (central vs APL)</w:t>
            </w:r>
            <w:r>
              <w:rPr>
                <w:rFonts w:ascii="Times New Roman" w:hAnsi="Times New Roman" w:cs="Times New Roman"/>
                <w:sz w:val="20"/>
                <w:szCs w:val="20"/>
                <w:lang w:val="ro-RO"/>
              </w:rPr>
              <w:t>:</w:t>
            </w:r>
          </w:p>
          <w:p w14:paraId="394E630E" w14:textId="52473C97" w:rsidR="00257B72" w:rsidRPr="00257B72" w:rsidRDefault="00257B72" w:rsidP="00257B72">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257B72">
              <w:rPr>
                <w:rFonts w:ascii="Times New Roman" w:hAnsi="Times New Roman" w:cs="Times New Roman"/>
                <w:sz w:val="20"/>
                <w:szCs w:val="20"/>
                <w:lang w:val="ro-RO"/>
              </w:rPr>
              <w:t>Critica are un caracter preponderent de oportunitate („percepția” asupra importanței achizițiilor). Or, în procedura de elaborare/ajustare a regulamentului, modificările pot fi operate în măsura în care sunt necesare pentru conformitate legală și pentru transpunerea/implementarea cadrului din Legea nr. 325/2025. În speță, nu se demonstrează o contradicție normativă care să impună înlăturarea sau rescrierea pct. 7</w:t>
            </w:r>
            <w:r>
              <w:rPr>
                <w:rFonts w:ascii="Times New Roman" w:hAnsi="Times New Roman" w:cs="Times New Roman"/>
                <w:sz w:val="20"/>
                <w:szCs w:val="20"/>
                <w:vertAlign w:val="superscript"/>
                <w:lang w:val="ro-RO"/>
              </w:rPr>
              <w:t>1</w:t>
            </w:r>
            <w:r w:rsidRPr="00257B72">
              <w:rPr>
                <w:rFonts w:ascii="Times New Roman" w:hAnsi="Times New Roman" w:cs="Times New Roman"/>
                <w:sz w:val="20"/>
                <w:szCs w:val="20"/>
                <w:lang w:val="ro-RO"/>
              </w:rPr>
              <w:t xml:space="preserve"> în forma propusă.</w:t>
            </w:r>
          </w:p>
          <w:p w14:paraId="0040447B" w14:textId="6E077A2D" w:rsidR="00EC774B" w:rsidRPr="00257B72" w:rsidRDefault="00257B72" w:rsidP="00257B72">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Deci, în concluzie,</w:t>
            </w:r>
            <w:r w:rsidRPr="00257B72">
              <w:rPr>
                <w:rFonts w:ascii="Times New Roman" w:hAnsi="Times New Roman" w:cs="Times New Roman"/>
                <w:sz w:val="20"/>
                <w:szCs w:val="20"/>
                <w:lang w:val="ro-RO"/>
              </w:rPr>
              <w:t xml:space="preserve"> pct. 7</w:t>
            </w:r>
            <w:r>
              <w:rPr>
                <w:rFonts w:ascii="Times New Roman" w:hAnsi="Times New Roman" w:cs="Times New Roman"/>
                <w:sz w:val="20"/>
                <w:szCs w:val="20"/>
                <w:vertAlign w:val="superscript"/>
                <w:lang w:val="ro-RO"/>
              </w:rPr>
              <w:t>1</w:t>
            </w:r>
            <w:r w:rsidRPr="00257B72">
              <w:rPr>
                <w:rFonts w:ascii="Times New Roman" w:hAnsi="Times New Roman" w:cs="Times New Roman"/>
                <w:sz w:val="20"/>
                <w:szCs w:val="20"/>
                <w:lang w:val="ro-RO"/>
              </w:rPr>
              <w:t xml:space="preserve"> este menținut, iar propunerea de rescriere a pragurilor și de afirmare a „transferului ilegal” nu se acceptă.</w:t>
            </w:r>
          </w:p>
        </w:tc>
      </w:tr>
      <w:tr w:rsidR="00EC774B" w:rsidRPr="00760BD0" w14:paraId="42A58EB3" w14:textId="77777777" w:rsidTr="00A919EA">
        <w:trPr>
          <w:trHeight w:val="416"/>
        </w:trPr>
        <w:tc>
          <w:tcPr>
            <w:tcW w:w="3397" w:type="dxa"/>
          </w:tcPr>
          <w:p w14:paraId="14F0F1D7" w14:textId="5FFA6472" w:rsidR="00EC774B" w:rsidRPr="00863A23" w:rsidRDefault="00060388" w:rsidP="00797C0D">
            <w:pPr>
              <w:tabs>
                <w:tab w:val="left" w:pos="8505"/>
              </w:tabs>
              <w:jc w:val="both"/>
              <w:rPr>
                <w:rFonts w:ascii="Times New Roman" w:hAnsi="Times New Roman" w:cs="Times New Roman"/>
                <w:b/>
                <w:sz w:val="20"/>
                <w:szCs w:val="20"/>
                <w:lang w:val="it-IT"/>
              </w:rPr>
            </w:pPr>
            <w:r w:rsidRPr="00060388">
              <w:rPr>
                <w:rFonts w:ascii="Times New Roman" w:hAnsi="Times New Roman" w:cs="Times New Roman"/>
                <w:b/>
                <w:sz w:val="20"/>
                <w:szCs w:val="20"/>
                <w:lang w:val="it-IT"/>
              </w:rPr>
              <w:lastRenderedPageBreak/>
              <w:t>În contextul proiectului</w:t>
            </w:r>
          </w:p>
        </w:tc>
        <w:tc>
          <w:tcPr>
            <w:tcW w:w="2977" w:type="dxa"/>
          </w:tcPr>
          <w:p w14:paraId="7A7A773B" w14:textId="77777777" w:rsidR="00EC774B" w:rsidRPr="00154388" w:rsidRDefault="00EC774B"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473D0021" w14:textId="429D8717" w:rsidR="00EC774B" w:rsidRDefault="007D5D94"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4</w:t>
            </w:r>
          </w:p>
        </w:tc>
        <w:tc>
          <w:tcPr>
            <w:tcW w:w="3402" w:type="dxa"/>
          </w:tcPr>
          <w:p w14:paraId="0A3AC8D5" w14:textId="7FE8D06D" w:rsidR="00EC774B" w:rsidRPr="003D570B" w:rsidRDefault="00EC774B" w:rsidP="00EC774B">
            <w:pPr>
              <w:jc w:val="both"/>
              <w:rPr>
                <w:rFonts w:ascii="Times New Roman" w:hAnsi="Times New Roman" w:cs="Times New Roman"/>
                <w:sz w:val="20"/>
                <w:szCs w:val="20"/>
                <w:lang w:val="ro-RO"/>
              </w:rPr>
            </w:pPr>
            <w:r w:rsidRPr="003D570B">
              <w:rPr>
                <w:rFonts w:ascii="Times New Roman" w:hAnsi="Times New Roman" w:cs="Times New Roman"/>
                <w:sz w:val="20"/>
                <w:szCs w:val="20"/>
                <w:lang w:val="ro-RO"/>
              </w:rPr>
              <w:t>În contextul celor menționate mai sus, începând cu pct. 1.15 și terminând cu pct. 1.35, adică efectiv până la pct. 2 din Proiect PREVEDERILE RESPECTIVE SUNT NECESARE A FI EXCLUSE, inclusiv pentru faptul distorsionării conceptului de achiziții de valoare mică, reiterând că doar cu excepția prevederilor de natură tehnică din Proiect privind aducerea în concordanță cu legislația nouă și pct. 1.30 ( privind abrogarea pct. 60 privind înregistrarea la trezoreria teritorială a contractului de valoare mică – notă: prevederi care devenise o frână în activitatea APL).</w:t>
            </w:r>
          </w:p>
        </w:tc>
        <w:tc>
          <w:tcPr>
            <w:tcW w:w="3436" w:type="dxa"/>
          </w:tcPr>
          <w:p w14:paraId="009DF410" w14:textId="75878174" w:rsidR="00762B9F" w:rsidRPr="00762B9F" w:rsidRDefault="00762B9F" w:rsidP="00762B9F">
            <w:pPr>
              <w:tabs>
                <w:tab w:val="left" w:pos="8505"/>
              </w:tabs>
              <w:jc w:val="both"/>
              <w:rPr>
                <w:rFonts w:ascii="Times New Roman" w:hAnsi="Times New Roman" w:cs="Times New Roman"/>
                <w:b/>
                <w:sz w:val="20"/>
                <w:szCs w:val="20"/>
                <w:lang w:val="ro-RO"/>
              </w:rPr>
            </w:pPr>
            <w:r w:rsidRPr="00762B9F">
              <w:rPr>
                <w:rFonts w:ascii="Times New Roman" w:hAnsi="Times New Roman" w:cs="Times New Roman"/>
                <w:b/>
                <w:sz w:val="20"/>
                <w:szCs w:val="20"/>
                <w:lang w:val="ro-RO"/>
              </w:rPr>
              <w:t>Nu se acceptă</w:t>
            </w:r>
          </w:p>
          <w:p w14:paraId="2AEB8318" w14:textId="317F6DA4"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Times New Roman" w:hAnsi="Times New Roman" w:cs="Times New Roman"/>
                <w:sz w:val="20"/>
                <w:szCs w:val="20"/>
                <w:lang w:val="ro-RO"/>
              </w:rPr>
              <w:t>Cu privire la propunerea de excludere a prevederilor cuprinse între punctele 1.15 și 1.35 din proiectul de hotărâre de guvern, cu excepția celor tehnico-redacționale și a punctului 1.30 (abrogarea punctului 60), se comunică următoarele:</w:t>
            </w:r>
          </w:p>
          <w:p w14:paraId="2E3BA08F" w14:textId="4B20D551"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Times New Roman" w:hAnsi="Times New Roman" w:cs="Times New Roman"/>
                <w:sz w:val="20"/>
                <w:szCs w:val="20"/>
                <w:lang w:val="ro-RO"/>
              </w:rPr>
              <w:t>1. Obiectivul general al modificărilor propuse</w:t>
            </w:r>
            <w:r>
              <w:rPr>
                <w:rFonts w:ascii="Times New Roman" w:hAnsi="Times New Roman" w:cs="Times New Roman"/>
                <w:sz w:val="20"/>
                <w:szCs w:val="20"/>
                <w:lang w:val="ro-RO"/>
              </w:rPr>
              <w:t>:</w:t>
            </w:r>
          </w:p>
          <w:p w14:paraId="408B48C5" w14:textId="77777777"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Times New Roman" w:hAnsi="Times New Roman" w:cs="Times New Roman"/>
                <w:sz w:val="20"/>
                <w:szCs w:val="20"/>
                <w:lang w:val="ro-RO"/>
              </w:rPr>
              <w:t>Modificările cuprinse în secțiunea 1.15–1.35 nu au ca scop distorsionarea conceptului de achiziție publică de valoare mică (APVM), ci dimpotrivă:</w:t>
            </w:r>
          </w:p>
          <w:p w14:paraId="3A737799" w14:textId="77777777"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Segoe UI Symbol" w:hAnsi="Segoe UI Symbol" w:cs="Segoe UI Symbol"/>
                <w:sz w:val="20"/>
                <w:szCs w:val="20"/>
                <w:lang w:val="ro-RO"/>
              </w:rPr>
              <w:t>➡</w:t>
            </w:r>
            <w:r w:rsidRPr="00762B9F">
              <w:rPr>
                <w:rFonts w:ascii="Times New Roman" w:hAnsi="Times New Roman" w:cs="Times New Roman"/>
                <w:sz w:val="20"/>
                <w:szCs w:val="20"/>
                <w:lang w:val="ro-RO"/>
              </w:rPr>
              <w:t>️ consolidarea acestui concept prin armonizarea sa cu Legea nr. 325/2025 privind achizițiile publice, care a introdus noi cerințe obligatorii pentru transparență, calitate, control și evaluare.</w:t>
            </w:r>
          </w:p>
          <w:p w14:paraId="30105E9A" w14:textId="77777777"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Times New Roman" w:hAnsi="Times New Roman" w:cs="Times New Roman"/>
                <w:sz w:val="20"/>
                <w:szCs w:val="20"/>
                <w:lang w:val="ro-RO"/>
              </w:rPr>
              <w:t>Aceste modificări vizează:</w:t>
            </w:r>
          </w:p>
          <w:p w14:paraId="3E94EF7D" w14:textId="3DE190F3" w:rsidR="00762B9F" w:rsidRPr="00762B9F" w:rsidRDefault="007C406C" w:rsidP="00762B9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62B9F" w:rsidRPr="00762B9F">
              <w:rPr>
                <w:rFonts w:ascii="Times New Roman" w:hAnsi="Times New Roman" w:cs="Times New Roman"/>
                <w:sz w:val="20"/>
                <w:szCs w:val="20"/>
                <w:lang w:val="ro-RO"/>
              </w:rPr>
              <w:t>Actualizarea formularelor standard conform noilor criterii de atribuire (ex: raport calitate-preț);</w:t>
            </w:r>
          </w:p>
          <w:p w14:paraId="72B45EF5" w14:textId="10E41FC5" w:rsidR="00762B9F" w:rsidRPr="00762B9F" w:rsidRDefault="007C406C" w:rsidP="00762B9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62B9F" w:rsidRPr="00762B9F">
              <w:rPr>
                <w:rFonts w:ascii="Times New Roman" w:hAnsi="Times New Roman" w:cs="Times New Roman"/>
                <w:sz w:val="20"/>
                <w:szCs w:val="20"/>
                <w:lang w:val="ro-RO"/>
              </w:rPr>
              <w:t>Introducerea instrumentelor necesare pentru evaluarea tehnică a ofertelor;</w:t>
            </w:r>
          </w:p>
          <w:p w14:paraId="0CABC0F6" w14:textId="0CA49E60" w:rsidR="00762B9F" w:rsidRPr="00762B9F" w:rsidRDefault="007C406C" w:rsidP="00762B9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62B9F" w:rsidRPr="00762B9F">
              <w:rPr>
                <w:rFonts w:ascii="Times New Roman" w:hAnsi="Times New Roman" w:cs="Times New Roman"/>
                <w:sz w:val="20"/>
                <w:szCs w:val="20"/>
                <w:lang w:val="ro-RO"/>
              </w:rPr>
              <w:t>Asigurarea compatibilității cu Directiva 2014/24/UE și cu standardele europene în domeniu;</w:t>
            </w:r>
          </w:p>
          <w:p w14:paraId="34165CD5" w14:textId="2AE32FCA" w:rsidR="00762B9F" w:rsidRPr="00762B9F" w:rsidRDefault="007C406C" w:rsidP="00762B9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62B9F" w:rsidRPr="00762B9F">
              <w:rPr>
                <w:rFonts w:ascii="Times New Roman" w:hAnsi="Times New Roman" w:cs="Times New Roman"/>
                <w:sz w:val="20"/>
                <w:szCs w:val="20"/>
                <w:lang w:val="ro-RO"/>
              </w:rPr>
              <w:t>Eliminarea ambiguităților care au generat practici neuniforme sau interpretări eronate în derularea procedurilor.</w:t>
            </w:r>
          </w:p>
          <w:p w14:paraId="58F42B72" w14:textId="5BAAA30A"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Times New Roman" w:hAnsi="Times New Roman" w:cs="Times New Roman"/>
                <w:sz w:val="20"/>
                <w:szCs w:val="20"/>
                <w:lang w:val="ro-RO"/>
              </w:rPr>
              <w:t xml:space="preserve">2. Caracterul obligatoriu al implementării Legii </w:t>
            </w:r>
            <w:r w:rsidR="007C406C">
              <w:rPr>
                <w:rFonts w:ascii="Times New Roman" w:hAnsi="Times New Roman" w:cs="Times New Roman"/>
                <w:sz w:val="20"/>
                <w:szCs w:val="20"/>
                <w:lang w:val="ro-RO"/>
              </w:rPr>
              <w:t xml:space="preserve">nr. </w:t>
            </w:r>
            <w:r w:rsidRPr="00762B9F">
              <w:rPr>
                <w:rFonts w:ascii="Times New Roman" w:hAnsi="Times New Roman" w:cs="Times New Roman"/>
                <w:sz w:val="20"/>
                <w:szCs w:val="20"/>
                <w:lang w:val="ro-RO"/>
              </w:rPr>
              <w:t>325/2025</w:t>
            </w:r>
            <w:r w:rsidR="007C406C">
              <w:rPr>
                <w:rFonts w:ascii="Times New Roman" w:hAnsi="Times New Roman" w:cs="Times New Roman"/>
                <w:sz w:val="20"/>
                <w:szCs w:val="20"/>
                <w:lang w:val="ro-RO"/>
              </w:rPr>
              <w:t>:</w:t>
            </w:r>
          </w:p>
          <w:p w14:paraId="2A33ACFA" w14:textId="0C3DCE59"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Times New Roman" w:hAnsi="Times New Roman" w:cs="Times New Roman"/>
                <w:sz w:val="20"/>
                <w:szCs w:val="20"/>
                <w:lang w:val="ro-RO"/>
              </w:rPr>
              <w:t xml:space="preserve">Conform </w:t>
            </w:r>
            <w:r w:rsidR="007C406C">
              <w:rPr>
                <w:rFonts w:ascii="Times New Roman" w:hAnsi="Times New Roman" w:cs="Times New Roman"/>
                <w:sz w:val="20"/>
                <w:szCs w:val="20"/>
                <w:lang w:val="ro-RO"/>
              </w:rPr>
              <w:t>prevederilor</w:t>
            </w:r>
            <w:r w:rsidRPr="00762B9F">
              <w:rPr>
                <w:rFonts w:ascii="Times New Roman" w:hAnsi="Times New Roman" w:cs="Times New Roman"/>
                <w:sz w:val="20"/>
                <w:szCs w:val="20"/>
                <w:lang w:val="ro-RO"/>
              </w:rPr>
              <w:t xml:space="preserve"> </w:t>
            </w:r>
            <w:r w:rsidR="007C406C">
              <w:rPr>
                <w:rFonts w:ascii="Times New Roman" w:hAnsi="Times New Roman" w:cs="Times New Roman"/>
                <w:sz w:val="20"/>
                <w:szCs w:val="20"/>
                <w:lang w:val="ro-RO"/>
              </w:rPr>
              <w:t xml:space="preserve">Legii nr. </w:t>
            </w:r>
            <w:r w:rsidRPr="00762B9F">
              <w:rPr>
                <w:rFonts w:ascii="Times New Roman" w:hAnsi="Times New Roman" w:cs="Times New Roman"/>
                <w:sz w:val="20"/>
                <w:szCs w:val="20"/>
                <w:lang w:val="ro-RO"/>
              </w:rPr>
              <w:t xml:space="preserve"> 325/2025, Guvernul are obligația să reglementeze, printre altele, procedura de desfășurare, formularele standard și orice alte detalii necesare pentru aplicarea achizițiilor de valoare mică.</w:t>
            </w:r>
          </w:p>
          <w:p w14:paraId="0C99D216" w14:textId="77777777"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Times New Roman" w:hAnsi="Times New Roman" w:cs="Times New Roman"/>
                <w:sz w:val="20"/>
                <w:szCs w:val="20"/>
                <w:lang w:val="ro-RO"/>
              </w:rPr>
              <w:lastRenderedPageBreak/>
              <w:t>Prin urmare:</w:t>
            </w:r>
          </w:p>
          <w:p w14:paraId="70E0860D" w14:textId="64534D18" w:rsidR="00762B9F" w:rsidRPr="00762B9F" w:rsidRDefault="007C406C" w:rsidP="00762B9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62B9F" w:rsidRPr="00762B9F">
              <w:rPr>
                <w:rFonts w:ascii="Times New Roman" w:hAnsi="Times New Roman" w:cs="Times New Roman"/>
                <w:sz w:val="20"/>
                <w:szCs w:val="20"/>
                <w:lang w:val="ro-RO"/>
              </w:rPr>
              <w:t>Elaborarea și completarea anexelor (inclusiv Anexele 2</w:t>
            </w:r>
            <w:r>
              <w:rPr>
                <w:rFonts w:ascii="Times New Roman" w:hAnsi="Times New Roman" w:cs="Times New Roman"/>
                <w:sz w:val="20"/>
                <w:szCs w:val="20"/>
                <w:vertAlign w:val="superscript"/>
                <w:lang w:val="ro-RO"/>
              </w:rPr>
              <w:t>1</w:t>
            </w:r>
            <w:r w:rsidR="00762B9F" w:rsidRPr="00762B9F">
              <w:rPr>
                <w:rFonts w:ascii="Times New Roman" w:hAnsi="Times New Roman" w:cs="Times New Roman"/>
                <w:sz w:val="20"/>
                <w:szCs w:val="20"/>
                <w:lang w:val="ro-RO"/>
              </w:rPr>
              <w:t>–2</w:t>
            </w:r>
            <w:r>
              <w:rPr>
                <w:rFonts w:ascii="Times New Roman" w:hAnsi="Times New Roman" w:cs="Times New Roman"/>
                <w:sz w:val="20"/>
                <w:szCs w:val="20"/>
                <w:vertAlign w:val="superscript"/>
                <w:lang w:val="ro-RO"/>
              </w:rPr>
              <w:t>6</w:t>
            </w:r>
            <w:r w:rsidR="00762B9F" w:rsidRPr="00762B9F">
              <w:rPr>
                <w:rFonts w:ascii="Times New Roman" w:hAnsi="Times New Roman" w:cs="Times New Roman"/>
                <w:sz w:val="20"/>
                <w:szCs w:val="20"/>
                <w:lang w:val="ro-RO"/>
              </w:rPr>
              <w:t>) nu este opțională, ci obligatorie.</w:t>
            </w:r>
          </w:p>
          <w:p w14:paraId="70838AD2" w14:textId="77777777"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Times New Roman" w:hAnsi="Times New Roman" w:cs="Times New Roman"/>
                <w:sz w:val="20"/>
                <w:szCs w:val="20"/>
                <w:lang w:val="ro-RO"/>
              </w:rPr>
              <w:t>O simplă actualizare redacțională a vechiului regulament nu ar fi suficientă pentru implementarea efectivă a noii legi.</w:t>
            </w:r>
          </w:p>
          <w:p w14:paraId="01717BED" w14:textId="09DE8B98" w:rsidR="00762B9F" w:rsidRPr="00762B9F" w:rsidRDefault="007C406C" w:rsidP="00762B9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62B9F" w:rsidRPr="00762B9F">
              <w:rPr>
                <w:rFonts w:ascii="Times New Roman" w:hAnsi="Times New Roman" w:cs="Times New Roman"/>
                <w:sz w:val="20"/>
                <w:szCs w:val="20"/>
                <w:lang w:val="ro-RO"/>
              </w:rPr>
              <w:t>Lipsa unor formulare clare (propunere tehnică, financiară, grafice de execuție etc.) ar genera riscuri de litigiu, nereguli procedurale și lipsă de comparabilitate a ofertelor.</w:t>
            </w:r>
          </w:p>
          <w:p w14:paraId="79ABDA48" w14:textId="12C06961"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Times New Roman" w:hAnsi="Times New Roman" w:cs="Times New Roman"/>
                <w:sz w:val="20"/>
                <w:szCs w:val="20"/>
                <w:lang w:val="ro-RO"/>
              </w:rPr>
              <w:t>3. Prevenirea distorsiunilor reale — nu a celor perimate</w:t>
            </w:r>
            <w:r w:rsidR="007C406C">
              <w:rPr>
                <w:rFonts w:ascii="Times New Roman" w:hAnsi="Times New Roman" w:cs="Times New Roman"/>
                <w:sz w:val="20"/>
                <w:szCs w:val="20"/>
                <w:lang w:val="ro-RO"/>
              </w:rPr>
              <w:t>:</w:t>
            </w:r>
          </w:p>
          <w:p w14:paraId="50E1FC49" w14:textId="77777777"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Times New Roman" w:hAnsi="Times New Roman" w:cs="Times New Roman"/>
                <w:sz w:val="20"/>
                <w:szCs w:val="20"/>
                <w:lang w:val="ro-RO"/>
              </w:rPr>
              <w:t>Afirmația că noile prevederi ar „distorsiona” conceptul de APVM este bazată pe o înțelegere tradițională, minimală, a acestui tip de achiziție — adică ca un cadru „rapid și ieftin” fără exigente.</w:t>
            </w:r>
          </w:p>
          <w:p w14:paraId="56ABDF4D" w14:textId="77777777"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Times New Roman" w:hAnsi="Times New Roman" w:cs="Times New Roman"/>
                <w:sz w:val="20"/>
                <w:szCs w:val="20"/>
                <w:lang w:val="ro-RO"/>
              </w:rPr>
              <w:t>În realitate:</w:t>
            </w:r>
          </w:p>
          <w:p w14:paraId="6423C1AA" w14:textId="77777777"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Times New Roman" w:hAnsi="Times New Roman" w:cs="Times New Roman"/>
                <w:sz w:val="20"/>
                <w:szCs w:val="20"/>
                <w:lang w:val="ro-RO"/>
              </w:rPr>
              <w:t>APVM rămâne un cadru simplificat, dar nu poate fi sinonim cu lipsa de control.</w:t>
            </w:r>
          </w:p>
          <w:p w14:paraId="4AC97218" w14:textId="77777777"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Times New Roman" w:hAnsi="Times New Roman" w:cs="Times New Roman"/>
                <w:sz w:val="20"/>
                <w:szCs w:val="20"/>
                <w:lang w:val="ro-RO"/>
              </w:rPr>
              <w:t>În contextul creșterii sumelor implicate și al riscurilor de corupție în sectorul local, transparența și evaluarea obiectivă sunt esențiale.</w:t>
            </w:r>
          </w:p>
          <w:p w14:paraId="2D2AECAB" w14:textId="77777777"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Times New Roman" w:hAnsi="Times New Roman" w:cs="Times New Roman"/>
                <w:sz w:val="20"/>
                <w:szCs w:val="20"/>
                <w:lang w:val="ro-RO"/>
              </w:rPr>
              <w:t>Noile formulare (ex: Propunerea Tehnică, Deviz Unificat, Grafice) nu îngreunează procedura, ci asigură claritate, comparabilitate și responsabilitate.</w:t>
            </w:r>
          </w:p>
          <w:p w14:paraId="7B6CC14B" w14:textId="5D50F786" w:rsidR="00762B9F" w:rsidRPr="00762B9F" w:rsidRDefault="00032ED3" w:rsidP="00762B9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4</w:t>
            </w:r>
            <w:r w:rsidR="00762B9F" w:rsidRPr="00762B9F">
              <w:rPr>
                <w:rFonts w:ascii="Times New Roman" w:hAnsi="Times New Roman" w:cs="Times New Roman"/>
                <w:sz w:val="20"/>
                <w:szCs w:val="20"/>
                <w:lang w:val="ro-RO"/>
              </w:rPr>
              <w:t>. Nerespectarea principiilor dacă se resping modificările</w:t>
            </w:r>
            <w:r>
              <w:rPr>
                <w:rFonts w:ascii="Times New Roman" w:hAnsi="Times New Roman" w:cs="Times New Roman"/>
                <w:sz w:val="20"/>
                <w:szCs w:val="20"/>
                <w:lang w:val="ro-RO"/>
              </w:rPr>
              <w:t>:</w:t>
            </w:r>
          </w:p>
          <w:p w14:paraId="16405774" w14:textId="77777777" w:rsidR="00762B9F" w:rsidRPr="00762B9F" w:rsidRDefault="00762B9F" w:rsidP="00762B9F">
            <w:pPr>
              <w:tabs>
                <w:tab w:val="left" w:pos="8505"/>
              </w:tabs>
              <w:jc w:val="both"/>
              <w:rPr>
                <w:rFonts w:ascii="Times New Roman" w:hAnsi="Times New Roman" w:cs="Times New Roman"/>
                <w:sz w:val="20"/>
                <w:szCs w:val="20"/>
                <w:lang w:val="ro-RO"/>
              </w:rPr>
            </w:pPr>
            <w:r w:rsidRPr="00762B9F">
              <w:rPr>
                <w:rFonts w:ascii="Times New Roman" w:hAnsi="Times New Roman" w:cs="Times New Roman"/>
                <w:sz w:val="20"/>
                <w:szCs w:val="20"/>
                <w:lang w:val="ro-RO"/>
              </w:rPr>
              <w:t>Excluderea integrală a prevederilor 1.15–1.35 ar avea ca efect:</w:t>
            </w:r>
          </w:p>
          <w:p w14:paraId="50F1CC69" w14:textId="249782E3" w:rsidR="00762B9F" w:rsidRPr="00762B9F" w:rsidRDefault="00032ED3" w:rsidP="00762B9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62B9F" w:rsidRPr="00762B9F">
              <w:rPr>
                <w:rFonts w:ascii="Times New Roman" w:hAnsi="Times New Roman" w:cs="Times New Roman"/>
                <w:sz w:val="20"/>
                <w:szCs w:val="20"/>
                <w:lang w:val="ro-RO"/>
              </w:rPr>
              <w:t>Aplicarea unui regulament dezactualizat, incompatibil cu Legea</w:t>
            </w:r>
            <w:r>
              <w:rPr>
                <w:rFonts w:ascii="Times New Roman" w:hAnsi="Times New Roman" w:cs="Times New Roman"/>
                <w:sz w:val="20"/>
                <w:szCs w:val="20"/>
                <w:lang w:val="ro-RO"/>
              </w:rPr>
              <w:t xml:space="preserve"> nr. </w:t>
            </w:r>
            <w:r w:rsidR="00762B9F" w:rsidRPr="00762B9F">
              <w:rPr>
                <w:rFonts w:ascii="Times New Roman" w:hAnsi="Times New Roman" w:cs="Times New Roman"/>
                <w:sz w:val="20"/>
                <w:szCs w:val="20"/>
                <w:lang w:val="ro-RO"/>
              </w:rPr>
              <w:t xml:space="preserve"> 325/2025;</w:t>
            </w:r>
          </w:p>
          <w:p w14:paraId="673BB9A0" w14:textId="1744C0A9" w:rsidR="00762B9F" w:rsidRPr="00762B9F" w:rsidRDefault="00032ED3" w:rsidP="00762B9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62B9F" w:rsidRPr="00762B9F">
              <w:rPr>
                <w:rFonts w:ascii="Times New Roman" w:hAnsi="Times New Roman" w:cs="Times New Roman"/>
                <w:sz w:val="20"/>
                <w:szCs w:val="20"/>
                <w:lang w:val="ro-RO"/>
              </w:rPr>
              <w:t>Lipsa de uniformitate în proceduri între diferite entități contractante;</w:t>
            </w:r>
          </w:p>
          <w:p w14:paraId="794D1506" w14:textId="66B42B52" w:rsidR="00762B9F" w:rsidRPr="00762B9F" w:rsidRDefault="00032ED3" w:rsidP="00762B9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 xml:space="preserve">- </w:t>
            </w:r>
            <w:r w:rsidR="00762B9F" w:rsidRPr="00762B9F">
              <w:rPr>
                <w:rFonts w:ascii="Times New Roman" w:hAnsi="Times New Roman" w:cs="Times New Roman"/>
                <w:sz w:val="20"/>
                <w:szCs w:val="20"/>
                <w:lang w:val="ro-RO"/>
              </w:rPr>
              <w:t>Riscuri majore de contestare a contractelor în instanță;</w:t>
            </w:r>
          </w:p>
          <w:p w14:paraId="1D2C8895" w14:textId="5E8FB24C" w:rsidR="00762B9F" w:rsidRPr="00762B9F" w:rsidRDefault="00032ED3" w:rsidP="00762B9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62B9F" w:rsidRPr="00762B9F">
              <w:rPr>
                <w:rFonts w:ascii="Times New Roman" w:hAnsi="Times New Roman" w:cs="Times New Roman"/>
                <w:sz w:val="20"/>
                <w:szCs w:val="20"/>
                <w:lang w:val="ro-RO"/>
              </w:rPr>
              <w:t xml:space="preserve">Nerespectarea obligațiilor naționale de implementare a </w:t>
            </w:r>
            <w:r>
              <w:rPr>
                <w:rFonts w:ascii="Times New Roman" w:hAnsi="Times New Roman" w:cs="Times New Roman"/>
                <w:sz w:val="20"/>
                <w:szCs w:val="20"/>
                <w:lang w:val="ro-RO"/>
              </w:rPr>
              <w:t>actelor</w:t>
            </w:r>
            <w:r w:rsidR="00762B9F" w:rsidRPr="00762B9F">
              <w:rPr>
                <w:rFonts w:ascii="Times New Roman" w:hAnsi="Times New Roman" w:cs="Times New Roman"/>
                <w:sz w:val="20"/>
                <w:szCs w:val="20"/>
                <w:lang w:val="ro-RO"/>
              </w:rPr>
              <w:t xml:space="preserve"> UE.</w:t>
            </w:r>
          </w:p>
          <w:p w14:paraId="02A1DDA7" w14:textId="4614F2F5" w:rsidR="00762B9F" w:rsidRPr="00762B9F" w:rsidRDefault="00032ED3" w:rsidP="00762B9F">
            <w:pPr>
              <w:tabs>
                <w:tab w:val="left" w:pos="8505"/>
              </w:tabs>
              <w:jc w:val="both"/>
              <w:rPr>
                <w:rFonts w:ascii="Times New Roman" w:hAnsi="Times New Roman" w:cs="Times New Roman"/>
                <w:sz w:val="20"/>
                <w:szCs w:val="20"/>
                <w:lang w:val="ro-RO"/>
              </w:rPr>
            </w:pPr>
            <w:r>
              <w:rPr>
                <w:rFonts w:ascii="Segoe UI Symbol" w:hAnsi="Segoe UI Symbol" w:cs="Segoe UI Symbol"/>
                <w:sz w:val="20"/>
                <w:szCs w:val="20"/>
                <w:lang w:val="ro-RO"/>
              </w:rPr>
              <w:t>Deci, p</w:t>
            </w:r>
            <w:r w:rsidR="00762B9F" w:rsidRPr="00762B9F">
              <w:rPr>
                <w:rFonts w:ascii="Times New Roman" w:hAnsi="Times New Roman" w:cs="Times New Roman"/>
                <w:sz w:val="20"/>
                <w:szCs w:val="20"/>
                <w:lang w:val="ro-RO"/>
              </w:rPr>
              <w:t>ropunerea de excludere a prevederilor de la pct. 1.15 la 1.35 n</w:t>
            </w:r>
            <w:r>
              <w:rPr>
                <w:rFonts w:ascii="Times New Roman" w:hAnsi="Times New Roman" w:cs="Times New Roman"/>
                <w:sz w:val="20"/>
                <w:szCs w:val="20"/>
                <w:lang w:val="ro-RO"/>
              </w:rPr>
              <w:t>u poate fi acceptată, deoarece:</w:t>
            </w:r>
          </w:p>
          <w:p w14:paraId="16C109E4" w14:textId="1B0ECF1C" w:rsidR="00762B9F" w:rsidRPr="00762B9F" w:rsidRDefault="00032ED3" w:rsidP="00762B9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62B9F" w:rsidRPr="00762B9F">
              <w:rPr>
                <w:rFonts w:ascii="Times New Roman" w:hAnsi="Times New Roman" w:cs="Times New Roman"/>
                <w:sz w:val="20"/>
                <w:szCs w:val="20"/>
                <w:lang w:val="ro-RO"/>
              </w:rPr>
              <w:t>Aceste prevederi sunt impuse de Legea</w:t>
            </w:r>
            <w:r>
              <w:rPr>
                <w:rFonts w:ascii="Times New Roman" w:hAnsi="Times New Roman" w:cs="Times New Roman"/>
                <w:sz w:val="20"/>
                <w:szCs w:val="20"/>
                <w:lang w:val="ro-RO"/>
              </w:rPr>
              <w:t xml:space="preserve"> nrr. </w:t>
            </w:r>
            <w:r w:rsidR="00762B9F" w:rsidRPr="00762B9F">
              <w:rPr>
                <w:rFonts w:ascii="Times New Roman" w:hAnsi="Times New Roman" w:cs="Times New Roman"/>
                <w:sz w:val="20"/>
                <w:szCs w:val="20"/>
                <w:lang w:val="ro-RO"/>
              </w:rPr>
              <w:t>325/2025 și necesare pentru aplicarea sa corectă;</w:t>
            </w:r>
          </w:p>
          <w:p w14:paraId="06A5287B" w14:textId="71032773" w:rsidR="00762B9F" w:rsidRPr="00762B9F" w:rsidRDefault="00032ED3" w:rsidP="00762B9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62B9F" w:rsidRPr="00762B9F">
              <w:rPr>
                <w:rFonts w:ascii="Times New Roman" w:hAnsi="Times New Roman" w:cs="Times New Roman"/>
                <w:sz w:val="20"/>
                <w:szCs w:val="20"/>
                <w:lang w:val="ro-RO"/>
              </w:rPr>
              <w:t>Nu distorsionează, ci consolidează conceptul de achiziție de valoare mică prin profesionalizarea procedurilor;</w:t>
            </w:r>
          </w:p>
          <w:p w14:paraId="0C375ADD" w14:textId="5435071A" w:rsidR="00EC774B" w:rsidRPr="00762B9F" w:rsidRDefault="00032ED3" w:rsidP="00762B9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62B9F" w:rsidRPr="00762B9F">
              <w:rPr>
                <w:rFonts w:ascii="Times New Roman" w:hAnsi="Times New Roman" w:cs="Times New Roman"/>
                <w:sz w:val="20"/>
                <w:szCs w:val="20"/>
                <w:lang w:val="ro-RO"/>
              </w:rPr>
              <w:t>Sunt în interesul public, al transparenței și al</w:t>
            </w:r>
            <w:r>
              <w:rPr>
                <w:rFonts w:ascii="Times New Roman" w:hAnsi="Times New Roman" w:cs="Times New Roman"/>
                <w:sz w:val="20"/>
                <w:szCs w:val="20"/>
                <w:lang w:val="ro-RO"/>
              </w:rPr>
              <w:t xml:space="preserve"> protejării fondurilor publice.</w:t>
            </w:r>
          </w:p>
        </w:tc>
      </w:tr>
      <w:tr w:rsidR="00EC774B" w:rsidRPr="00863A23" w14:paraId="7B75741E" w14:textId="77777777" w:rsidTr="00A919EA">
        <w:trPr>
          <w:trHeight w:val="416"/>
        </w:trPr>
        <w:tc>
          <w:tcPr>
            <w:tcW w:w="3397" w:type="dxa"/>
          </w:tcPr>
          <w:p w14:paraId="09AC3850" w14:textId="07467894" w:rsidR="00EC774B" w:rsidRPr="00863A23" w:rsidRDefault="00060388" w:rsidP="00797C0D">
            <w:pPr>
              <w:tabs>
                <w:tab w:val="left" w:pos="8505"/>
              </w:tabs>
              <w:jc w:val="both"/>
              <w:rPr>
                <w:rFonts w:ascii="Times New Roman" w:hAnsi="Times New Roman" w:cs="Times New Roman"/>
                <w:b/>
                <w:sz w:val="20"/>
                <w:szCs w:val="20"/>
                <w:lang w:val="it-IT"/>
              </w:rPr>
            </w:pPr>
            <w:r w:rsidRPr="00060388">
              <w:rPr>
                <w:rFonts w:ascii="Times New Roman" w:hAnsi="Times New Roman" w:cs="Times New Roman"/>
                <w:b/>
                <w:sz w:val="20"/>
                <w:szCs w:val="20"/>
                <w:lang w:val="it-IT"/>
              </w:rPr>
              <w:lastRenderedPageBreak/>
              <w:t>În contextul proiectului</w:t>
            </w:r>
          </w:p>
        </w:tc>
        <w:tc>
          <w:tcPr>
            <w:tcW w:w="2977" w:type="dxa"/>
          </w:tcPr>
          <w:p w14:paraId="2EF90B89" w14:textId="77777777" w:rsidR="00EC774B" w:rsidRPr="00154388" w:rsidRDefault="00EC774B"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233C62A2" w14:textId="221AA848" w:rsidR="00EC774B" w:rsidRDefault="007D5D94"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5</w:t>
            </w:r>
          </w:p>
        </w:tc>
        <w:tc>
          <w:tcPr>
            <w:tcW w:w="3402" w:type="dxa"/>
          </w:tcPr>
          <w:p w14:paraId="5EA0AEDA" w14:textId="7452A371" w:rsidR="00EC774B" w:rsidRPr="003D570B" w:rsidRDefault="00EC774B" w:rsidP="00EC774B">
            <w:pPr>
              <w:jc w:val="both"/>
              <w:rPr>
                <w:rFonts w:ascii="Times New Roman" w:hAnsi="Times New Roman" w:cs="Times New Roman"/>
                <w:sz w:val="20"/>
                <w:szCs w:val="20"/>
                <w:lang w:val="ro-RO"/>
              </w:rPr>
            </w:pPr>
            <w:r w:rsidRPr="003D570B">
              <w:rPr>
                <w:rFonts w:ascii="Times New Roman" w:hAnsi="Times New Roman" w:cs="Times New Roman"/>
                <w:sz w:val="20"/>
                <w:szCs w:val="20"/>
                <w:lang w:val="ro-RO"/>
              </w:rPr>
              <w:t>Ținând cont de cele menționate, CALM AVIZEAZĂ NEGATIV PROIECTUL, deoarece acesta diminuează semnificativ drepturile și interesele legitime ale APL în condițiile crizelor permanente și creștere a prețurilor la resurse și bunuri.</w:t>
            </w:r>
          </w:p>
        </w:tc>
        <w:tc>
          <w:tcPr>
            <w:tcW w:w="3436" w:type="dxa"/>
          </w:tcPr>
          <w:p w14:paraId="5560BE68" w14:textId="418C02CE" w:rsidR="00EC774B" w:rsidRDefault="00060388" w:rsidP="00797C0D">
            <w:pPr>
              <w:tabs>
                <w:tab w:val="left" w:pos="8505"/>
              </w:tabs>
              <w:jc w:val="both"/>
              <w:rPr>
                <w:rFonts w:ascii="Times New Roman" w:hAnsi="Times New Roman" w:cs="Times New Roman"/>
                <w:b/>
                <w:sz w:val="20"/>
                <w:szCs w:val="20"/>
                <w:lang w:val="ro-RO"/>
              </w:rPr>
            </w:pPr>
            <w:r w:rsidRPr="00060388">
              <w:rPr>
                <w:rFonts w:ascii="Times New Roman" w:hAnsi="Times New Roman" w:cs="Times New Roman"/>
                <w:b/>
                <w:sz w:val="20"/>
                <w:szCs w:val="20"/>
                <w:lang w:val="ro-RO"/>
              </w:rPr>
              <w:t>Se ia act</w:t>
            </w:r>
          </w:p>
        </w:tc>
      </w:tr>
      <w:tr w:rsidR="009A63D0" w:rsidRPr="003D570B" w14:paraId="3850A201" w14:textId="77777777" w:rsidTr="00A919EA">
        <w:trPr>
          <w:trHeight w:val="416"/>
        </w:trPr>
        <w:tc>
          <w:tcPr>
            <w:tcW w:w="3397" w:type="dxa"/>
          </w:tcPr>
          <w:p w14:paraId="098D6CFD" w14:textId="36B51FFA" w:rsidR="009A63D0" w:rsidRPr="00863A23" w:rsidRDefault="00060388" w:rsidP="00797C0D">
            <w:pPr>
              <w:tabs>
                <w:tab w:val="left" w:pos="8505"/>
              </w:tabs>
              <w:jc w:val="both"/>
              <w:rPr>
                <w:rFonts w:ascii="Times New Roman" w:hAnsi="Times New Roman" w:cs="Times New Roman"/>
                <w:b/>
                <w:sz w:val="20"/>
                <w:szCs w:val="20"/>
                <w:lang w:val="it-IT"/>
              </w:rPr>
            </w:pPr>
            <w:r w:rsidRPr="00060388">
              <w:rPr>
                <w:rFonts w:ascii="Times New Roman" w:hAnsi="Times New Roman" w:cs="Times New Roman"/>
                <w:b/>
                <w:sz w:val="20"/>
                <w:szCs w:val="20"/>
                <w:lang w:val="it-IT"/>
              </w:rPr>
              <w:t>În contextul proiectului</w:t>
            </w:r>
          </w:p>
        </w:tc>
        <w:tc>
          <w:tcPr>
            <w:tcW w:w="2977" w:type="dxa"/>
          </w:tcPr>
          <w:p w14:paraId="119AE168" w14:textId="77777777" w:rsidR="009A63D0" w:rsidRPr="00154388" w:rsidRDefault="009A63D0"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7DC60ECC" w14:textId="6B783BD4" w:rsidR="009A63D0" w:rsidRDefault="007D5D94"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6</w:t>
            </w:r>
          </w:p>
        </w:tc>
        <w:tc>
          <w:tcPr>
            <w:tcW w:w="3402" w:type="dxa"/>
          </w:tcPr>
          <w:p w14:paraId="323294E8" w14:textId="17E8BA3C" w:rsidR="009A63D0" w:rsidRPr="003D570B" w:rsidRDefault="009A63D0" w:rsidP="00EC774B">
            <w:pPr>
              <w:jc w:val="both"/>
              <w:rPr>
                <w:rFonts w:ascii="Times New Roman" w:hAnsi="Times New Roman" w:cs="Times New Roman"/>
                <w:sz w:val="20"/>
                <w:szCs w:val="20"/>
                <w:lang w:val="ro-RO"/>
              </w:rPr>
            </w:pPr>
            <w:r w:rsidRPr="003D570B">
              <w:rPr>
                <w:rFonts w:ascii="Times New Roman" w:hAnsi="Times New Roman" w:cs="Times New Roman"/>
                <w:sz w:val="20"/>
                <w:szCs w:val="20"/>
                <w:lang w:val="ro-RO"/>
              </w:rPr>
              <w:t>În același timp solicităm convocarea de urgentă a unei ședințe, posibil a grupului sectorial de lucru, pentru a rezolva deficiențele conceptuale privin</w:t>
            </w:r>
            <w:r w:rsidR="00060388" w:rsidRPr="003D570B">
              <w:rPr>
                <w:rFonts w:ascii="Times New Roman" w:hAnsi="Times New Roman" w:cs="Times New Roman"/>
                <w:sz w:val="20"/>
                <w:szCs w:val="20"/>
                <w:lang w:val="ro-RO"/>
              </w:rPr>
              <w:t>d Proiectul menționat</w:t>
            </w:r>
            <w:r w:rsidRPr="003D570B">
              <w:rPr>
                <w:rFonts w:ascii="Times New Roman" w:hAnsi="Times New Roman" w:cs="Times New Roman"/>
                <w:sz w:val="20"/>
                <w:szCs w:val="20"/>
                <w:lang w:val="ro-RO"/>
              </w:rPr>
              <w:t xml:space="preserve"> mai sus, inclusiv amintim că prevederile în vigoare sunt recente (din anul 2023) și exprimă rezultatul unor discuții multiple și deja a unui consens atins.</w:t>
            </w:r>
          </w:p>
        </w:tc>
        <w:tc>
          <w:tcPr>
            <w:tcW w:w="3436" w:type="dxa"/>
          </w:tcPr>
          <w:p w14:paraId="31D64DA7" w14:textId="77777777" w:rsidR="009A63D0" w:rsidRDefault="009E31D2" w:rsidP="00797C0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5987583A" w14:textId="087298F4" w:rsidR="009E31D2" w:rsidRPr="009E31D2" w:rsidRDefault="002A277D" w:rsidP="00797C0D">
            <w:pPr>
              <w:tabs>
                <w:tab w:val="left" w:pos="8505"/>
              </w:tabs>
              <w:jc w:val="both"/>
              <w:rPr>
                <w:rFonts w:ascii="Times New Roman" w:hAnsi="Times New Roman" w:cs="Times New Roman"/>
                <w:sz w:val="20"/>
                <w:szCs w:val="20"/>
                <w:lang w:val="ro-RO"/>
              </w:rPr>
            </w:pPr>
            <w:r w:rsidRPr="00760BD0">
              <w:rPr>
                <w:rFonts w:ascii="Times New Roman" w:hAnsi="Times New Roman" w:cs="Times New Roman"/>
                <w:sz w:val="20"/>
                <w:szCs w:val="20"/>
                <w:lang w:val="it-IT"/>
              </w:rPr>
              <w:t xml:space="preserve">Ședința solicitată de CALM a avut loc la data de 4 mai 2026, la sediul Ministerului Finanțelor, în cadrul căreia au fost discutate aspectele invocate în Avizul nr. 140 din 28 aprilie 2026. </w:t>
            </w:r>
            <w:r w:rsidRPr="002A277D">
              <w:rPr>
                <w:rFonts w:ascii="Times New Roman" w:hAnsi="Times New Roman" w:cs="Times New Roman"/>
                <w:sz w:val="20"/>
                <w:szCs w:val="20"/>
              </w:rPr>
              <w:t>Procesul-verbal al ședinței este anexat prezentei sinteze.</w:t>
            </w:r>
          </w:p>
        </w:tc>
      </w:tr>
      <w:tr w:rsidR="009A63D0" w:rsidRPr="00760BD0" w14:paraId="720F1AC0" w14:textId="77777777" w:rsidTr="00A919EA">
        <w:trPr>
          <w:trHeight w:val="416"/>
        </w:trPr>
        <w:tc>
          <w:tcPr>
            <w:tcW w:w="3397" w:type="dxa"/>
          </w:tcPr>
          <w:p w14:paraId="33EA994E" w14:textId="77777777" w:rsidR="009A63D0" w:rsidRPr="00863A23" w:rsidRDefault="009A63D0" w:rsidP="00797C0D">
            <w:pPr>
              <w:tabs>
                <w:tab w:val="left" w:pos="8505"/>
              </w:tabs>
              <w:jc w:val="both"/>
              <w:rPr>
                <w:rFonts w:ascii="Times New Roman" w:hAnsi="Times New Roman" w:cs="Times New Roman"/>
                <w:b/>
                <w:sz w:val="20"/>
                <w:szCs w:val="20"/>
                <w:lang w:val="it-IT"/>
              </w:rPr>
            </w:pPr>
          </w:p>
        </w:tc>
        <w:tc>
          <w:tcPr>
            <w:tcW w:w="2977" w:type="dxa"/>
          </w:tcPr>
          <w:p w14:paraId="4A082625" w14:textId="0A4F7189" w:rsidR="009A63D0" w:rsidRPr="00154388" w:rsidRDefault="009A63D0" w:rsidP="009A63D0">
            <w:pPr>
              <w:tabs>
                <w:tab w:val="left" w:pos="8505"/>
              </w:tabs>
              <w:jc w:val="center"/>
              <w:rPr>
                <w:rFonts w:ascii="Times New Roman" w:hAnsi="Times New Roman" w:cs="Times New Roman"/>
                <w:b/>
                <w:color w:val="000000" w:themeColor="text1"/>
                <w:sz w:val="20"/>
                <w:szCs w:val="20"/>
                <w:lang w:val="ro-RO"/>
              </w:rPr>
            </w:pPr>
            <w:r w:rsidRPr="009A63D0">
              <w:rPr>
                <w:rFonts w:ascii="Times New Roman" w:hAnsi="Times New Roman" w:cs="Times New Roman"/>
                <w:b/>
                <w:color w:val="000000" w:themeColor="text1"/>
                <w:sz w:val="20"/>
                <w:szCs w:val="20"/>
                <w:lang w:val="ro-RO"/>
              </w:rPr>
              <w:t>Ministerul Infrastructurii și Dezvoltării Regionale</w:t>
            </w:r>
            <w:r>
              <w:rPr>
                <w:rFonts w:ascii="Times New Roman" w:hAnsi="Times New Roman" w:cs="Times New Roman"/>
                <w:b/>
                <w:color w:val="000000" w:themeColor="text1"/>
                <w:sz w:val="20"/>
                <w:szCs w:val="20"/>
                <w:lang w:val="ro-RO"/>
              </w:rPr>
              <w:t xml:space="preserve"> </w:t>
            </w:r>
            <w:r w:rsidRPr="009A63D0">
              <w:rPr>
                <w:rFonts w:ascii="Times New Roman" w:hAnsi="Times New Roman" w:cs="Times New Roman"/>
                <w:b/>
                <w:color w:val="000000" w:themeColor="text1"/>
                <w:sz w:val="20"/>
                <w:szCs w:val="20"/>
                <w:lang w:val="ro-RO"/>
              </w:rPr>
              <w:t xml:space="preserve">(scrisoarea nr. </w:t>
            </w:r>
            <w:r>
              <w:rPr>
                <w:rFonts w:ascii="Times New Roman" w:hAnsi="Times New Roman" w:cs="Times New Roman"/>
                <w:b/>
                <w:color w:val="000000" w:themeColor="text1"/>
                <w:sz w:val="20"/>
                <w:szCs w:val="20"/>
                <w:lang w:val="ro-RO"/>
              </w:rPr>
              <w:t>21-2131</w:t>
            </w:r>
            <w:r w:rsidRPr="009A63D0">
              <w:rPr>
                <w:rFonts w:ascii="Times New Roman" w:hAnsi="Times New Roman" w:cs="Times New Roman"/>
                <w:b/>
                <w:color w:val="000000" w:themeColor="text1"/>
                <w:sz w:val="20"/>
                <w:szCs w:val="20"/>
                <w:lang w:val="ro-RO"/>
              </w:rPr>
              <w:t xml:space="preserve"> din 2</w:t>
            </w:r>
            <w:r>
              <w:rPr>
                <w:rFonts w:ascii="Times New Roman" w:hAnsi="Times New Roman" w:cs="Times New Roman"/>
                <w:b/>
                <w:color w:val="000000" w:themeColor="text1"/>
                <w:sz w:val="20"/>
                <w:szCs w:val="20"/>
                <w:lang w:val="ro-RO"/>
              </w:rPr>
              <w:t>3.04.2026</w:t>
            </w:r>
            <w:r w:rsidRPr="009A63D0">
              <w:rPr>
                <w:rFonts w:ascii="Times New Roman" w:hAnsi="Times New Roman" w:cs="Times New Roman"/>
                <w:b/>
                <w:color w:val="000000" w:themeColor="text1"/>
                <w:sz w:val="20"/>
                <w:szCs w:val="20"/>
                <w:lang w:val="ro-RO"/>
              </w:rPr>
              <w:t>)</w:t>
            </w:r>
            <w:r>
              <w:rPr>
                <w:rFonts w:ascii="Times New Roman" w:hAnsi="Times New Roman" w:cs="Times New Roman"/>
                <w:b/>
                <w:color w:val="000000" w:themeColor="text1"/>
                <w:sz w:val="20"/>
                <w:szCs w:val="20"/>
                <w:lang w:val="ro-RO"/>
              </w:rPr>
              <w:t xml:space="preserve"> </w:t>
            </w:r>
          </w:p>
        </w:tc>
        <w:tc>
          <w:tcPr>
            <w:tcW w:w="533" w:type="dxa"/>
          </w:tcPr>
          <w:p w14:paraId="35AC26FE" w14:textId="77777777" w:rsidR="009A63D0" w:rsidRDefault="009A63D0" w:rsidP="00797C0D">
            <w:pPr>
              <w:tabs>
                <w:tab w:val="left" w:pos="8505"/>
              </w:tabs>
              <w:jc w:val="center"/>
              <w:rPr>
                <w:rFonts w:ascii="Times New Roman" w:hAnsi="Times New Roman" w:cs="Times New Roman"/>
                <w:b/>
                <w:sz w:val="20"/>
                <w:szCs w:val="20"/>
                <w:lang w:val="ro-RO"/>
              </w:rPr>
            </w:pPr>
          </w:p>
        </w:tc>
        <w:tc>
          <w:tcPr>
            <w:tcW w:w="3402" w:type="dxa"/>
          </w:tcPr>
          <w:p w14:paraId="2860B80A" w14:textId="77777777" w:rsidR="009A63D0" w:rsidRPr="003D570B" w:rsidRDefault="009A63D0" w:rsidP="00EC774B">
            <w:pPr>
              <w:jc w:val="both"/>
              <w:rPr>
                <w:rFonts w:ascii="Times New Roman" w:hAnsi="Times New Roman" w:cs="Times New Roman"/>
                <w:sz w:val="20"/>
                <w:szCs w:val="20"/>
                <w:lang w:val="it-IT"/>
              </w:rPr>
            </w:pPr>
          </w:p>
        </w:tc>
        <w:tc>
          <w:tcPr>
            <w:tcW w:w="3436" w:type="dxa"/>
          </w:tcPr>
          <w:p w14:paraId="21812257" w14:textId="77777777" w:rsidR="009A63D0" w:rsidRDefault="009A63D0" w:rsidP="00797C0D">
            <w:pPr>
              <w:tabs>
                <w:tab w:val="left" w:pos="8505"/>
              </w:tabs>
              <w:jc w:val="both"/>
              <w:rPr>
                <w:rFonts w:ascii="Times New Roman" w:hAnsi="Times New Roman" w:cs="Times New Roman"/>
                <w:b/>
                <w:sz w:val="20"/>
                <w:szCs w:val="20"/>
                <w:lang w:val="ro-RO"/>
              </w:rPr>
            </w:pPr>
          </w:p>
        </w:tc>
      </w:tr>
      <w:tr w:rsidR="009A63D0" w:rsidRPr="00863A23" w14:paraId="6B3CC09F" w14:textId="77777777" w:rsidTr="00A919EA">
        <w:trPr>
          <w:trHeight w:val="416"/>
        </w:trPr>
        <w:tc>
          <w:tcPr>
            <w:tcW w:w="3397" w:type="dxa"/>
          </w:tcPr>
          <w:p w14:paraId="13C5EA37" w14:textId="77777777" w:rsidR="004D0445" w:rsidRPr="000D2638" w:rsidRDefault="004D0445" w:rsidP="004D0445">
            <w:pPr>
              <w:tabs>
                <w:tab w:val="left" w:pos="8505"/>
              </w:tabs>
              <w:jc w:val="both"/>
              <w:rPr>
                <w:rFonts w:ascii="Times New Roman" w:hAnsi="Times New Roman" w:cs="Times New Roman"/>
                <w:sz w:val="20"/>
                <w:szCs w:val="20"/>
                <w:lang w:val="ro-RO"/>
              </w:rPr>
            </w:pPr>
            <w:r w:rsidRPr="000D2638">
              <w:rPr>
                <w:rFonts w:ascii="Times New Roman" w:hAnsi="Times New Roman" w:cs="Times New Roman"/>
                <w:sz w:val="20"/>
                <w:szCs w:val="20"/>
                <w:lang w:val="ro-RO"/>
              </w:rPr>
              <w:t>În temeiul art. 6 lit. h) din Legea nr.</w:t>
            </w:r>
            <w:r>
              <w:rPr>
                <w:rFonts w:ascii="Times New Roman" w:hAnsi="Times New Roman" w:cs="Times New Roman"/>
                <w:sz w:val="20"/>
                <w:szCs w:val="20"/>
                <w:lang w:val="ro-RO"/>
              </w:rPr>
              <w:t xml:space="preserve"> </w:t>
            </w:r>
            <w:r w:rsidRPr="000D2638">
              <w:rPr>
                <w:rFonts w:ascii="Times New Roman" w:hAnsi="Times New Roman" w:cs="Times New Roman"/>
                <w:sz w:val="20"/>
                <w:szCs w:val="20"/>
                <w:lang w:val="ro-RO"/>
              </w:rPr>
              <w:t>136/2017 cu privire la Guvern (Monitorul Oficial al Republicii Moldova, 2017, nr. 252, art. 412), cu modificările ulterioare, Guvernul HOTĂRĂŞTE:</w:t>
            </w:r>
          </w:p>
          <w:p w14:paraId="47BD94FF" w14:textId="2EFF50A7" w:rsidR="009A63D0" w:rsidRPr="004D0445" w:rsidRDefault="009A63D0" w:rsidP="00797C0D">
            <w:pPr>
              <w:tabs>
                <w:tab w:val="left" w:pos="8505"/>
              </w:tabs>
              <w:jc w:val="both"/>
              <w:rPr>
                <w:rFonts w:ascii="Times New Roman" w:hAnsi="Times New Roman" w:cs="Times New Roman"/>
                <w:b/>
                <w:sz w:val="20"/>
                <w:szCs w:val="20"/>
                <w:lang w:val="ro-RO"/>
              </w:rPr>
            </w:pPr>
          </w:p>
        </w:tc>
        <w:tc>
          <w:tcPr>
            <w:tcW w:w="2977" w:type="dxa"/>
          </w:tcPr>
          <w:p w14:paraId="4F09E329" w14:textId="77777777" w:rsidR="009A63D0" w:rsidRPr="00154388" w:rsidRDefault="009A63D0"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495C84A5" w14:textId="2BB50DB5" w:rsidR="009A63D0" w:rsidRDefault="009A63D0"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03347A06" w14:textId="77777777" w:rsidR="006359B8" w:rsidRPr="003D570B" w:rsidRDefault="006359B8" w:rsidP="006359B8">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xml:space="preserve">În ceea ce privește temeiul legal de adoptare al proiectului, se constată că autorul proiectului a fundamentat emiterea actului normativ exclusiv pe prevederile art. 6 lit. h) din Legea nr. 136/2017 cu privire la Guvern, normă care reglementează competența </w:t>
            </w:r>
            <w:r w:rsidRPr="003D570B">
              <w:rPr>
                <w:rFonts w:ascii="Times New Roman" w:hAnsi="Times New Roman" w:cs="Times New Roman"/>
                <w:sz w:val="20"/>
                <w:szCs w:val="20"/>
                <w:lang w:val="it-IT"/>
              </w:rPr>
              <w:lastRenderedPageBreak/>
              <w:t>generală a Guvernului de a adopta acte normative. Or, potrivit regulilor de tehnică legislativă, temeiul juridic de adoptare trebuie să reflecte normele speciale care justifică în mod direct emiterea actului normativ, raportat la obiectul concret de reglementare.</w:t>
            </w:r>
          </w:p>
          <w:p w14:paraId="7D59853B" w14:textId="0F39FC5E" w:rsidR="009A63D0" w:rsidRPr="003D570B" w:rsidRDefault="006359B8" w:rsidP="006359B8">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În acest context, având în vedere că, potrivit conținutului proiectului și notei de fundamentare, actul normativ urmărește inclusiv punerea în aplicare și dezvoltarea cadrului instituit prin Legea nr. 325/2025 privind achizițiile publice, se impune completarea temeiului juridic de adoptare cu referire la prevederile art. 90 alin. (3) lit. c) din legea menționată, care instituie obligația Guvernului de a asigura elaborarea și aprobarea actelor normative necesare pentru implementarea acesteia, până la data intrării sale în vigoare.</w:t>
            </w:r>
          </w:p>
        </w:tc>
        <w:tc>
          <w:tcPr>
            <w:tcW w:w="3436" w:type="dxa"/>
          </w:tcPr>
          <w:p w14:paraId="4D30E234" w14:textId="77777777" w:rsidR="004D0445" w:rsidRDefault="004D0445" w:rsidP="004D0445">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S</w:t>
            </w:r>
            <w:r w:rsidRPr="000D2638">
              <w:rPr>
                <w:rFonts w:ascii="Times New Roman" w:hAnsi="Times New Roman" w:cs="Times New Roman"/>
                <w:b/>
                <w:sz w:val="20"/>
                <w:szCs w:val="20"/>
                <w:lang w:val="ro-RO"/>
              </w:rPr>
              <w:t>e acceptă</w:t>
            </w:r>
          </w:p>
          <w:p w14:paraId="6762BD3B" w14:textId="5DD9AC30" w:rsidR="004D0445" w:rsidRDefault="004D0445" w:rsidP="004D0445">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T</w:t>
            </w:r>
            <w:r w:rsidRPr="004B09A8">
              <w:rPr>
                <w:rFonts w:ascii="Times New Roman" w:hAnsi="Times New Roman" w:cs="Times New Roman"/>
                <w:sz w:val="20"/>
                <w:szCs w:val="20"/>
                <w:lang w:val="ro-RO"/>
              </w:rPr>
              <w:t>emeiul legal de adoptare al proiectului</w:t>
            </w:r>
            <w:r w:rsidRPr="00863A23">
              <w:rPr>
                <w:rFonts w:ascii="Times New Roman" w:hAnsi="Times New Roman" w:cs="Times New Roman"/>
                <w:sz w:val="20"/>
                <w:szCs w:val="20"/>
                <w:lang w:val="ro-RO"/>
              </w:rPr>
              <w:t xml:space="preserve"> </w:t>
            </w:r>
            <w:r>
              <w:rPr>
                <w:rFonts w:ascii="Times New Roman" w:hAnsi="Times New Roman" w:cs="Times New Roman"/>
                <w:sz w:val="20"/>
                <w:szCs w:val="20"/>
                <w:lang w:val="ro-RO"/>
              </w:rPr>
              <w:t>a fost modificat în urma avizului Ministerului Afacerilor Interne, dupǎ cum urmeazǎ:</w:t>
            </w:r>
          </w:p>
          <w:p w14:paraId="52026031" w14:textId="77777777" w:rsidR="004D0445" w:rsidRPr="006A1212" w:rsidRDefault="004D0445" w:rsidP="004D0445">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w:t>
            </w:r>
            <w:r w:rsidRPr="00B40417">
              <w:rPr>
                <w:lang w:val="ro-RO"/>
              </w:rPr>
              <w:t xml:space="preserve"> </w:t>
            </w:r>
            <w:r w:rsidRPr="00B40417">
              <w:rPr>
                <w:rFonts w:ascii="Times New Roman" w:hAnsi="Times New Roman" w:cs="Times New Roman"/>
                <w:sz w:val="20"/>
                <w:szCs w:val="20"/>
                <w:lang w:val="ro-RO"/>
              </w:rPr>
              <w:t xml:space="preserve">În temeiul art. 6 lit. h) din Legea nr. 136/2017 cu privire la Guvern </w:t>
            </w:r>
            <w:r w:rsidRPr="00B40417">
              <w:rPr>
                <w:rFonts w:ascii="Times New Roman" w:hAnsi="Times New Roman" w:cs="Times New Roman"/>
                <w:sz w:val="20"/>
                <w:szCs w:val="20"/>
                <w:lang w:val="ro-RO"/>
              </w:rPr>
              <w:lastRenderedPageBreak/>
              <w:t>(Monitorul Oficial al Republicii Moldova, 2017, nr. 252, art. 412), cu modificările ulterioare, art. 1 alin. (4) din Legea nr. 325/2025 privind achizițiile publice (Monitorul Oficial al Republicii Moldova, 2026, nr. 76-79 art. 39), Guvernul HOTĂRĂŞTE:</w:t>
            </w:r>
            <w:r>
              <w:rPr>
                <w:rFonts w:ascii="Times New Roman" w:hAnsi="Times New Roman" w:cs="Times New Roman"/>
                <w:sz w:val="20"/>
                <w:szCs w:val="20"/>
                <w:lang w:val="ro-RO"/>
              </w:rPr>
              <w:t>”</w:t>
            </w:r>
          </w:p>
          <w:p w14:paraId="6E5919B9" w14:textId="77777777" w:rsidR="009A63D0" w:rsidRDefault="009A63D0" w:rsidP="00797C0D">
            <w:pPr>
              <w:tabs>
                <w:tab w:val="left" w:pos="8505"/>
              </w:tabs>
              <w:jc w:val="both"/>
              <w:rPr>
                <w:rFonts w:ascii="Times New Roman" w:hAnsi="Times New Roman" w:cs="Times New Roman"/>
                <w:b/>
                <w:sz w:val="20"/>
                <w:szCs w:val="20"/>
                <w:lang w:val="ro-RO"/>
              </w:rPr>
            </w:pPr>
          </w:p>
        </w:tc>
      </w:tr>
      <w:tr w:rsidR="009A63D0" w:rsidRPr="00760BD0" w14:paraId="121818C4" w14:textId="77777777" w:rsidTr="00A919EA">
        <w:trPr>
          <w:trHeight w:val="416"/>
        </w:trPr>
        <w:tc>
          <w:tcPr>
            <w:tcW w:w="3397" w:type="dxa"/>
          </w:tcPr>
          <w:p w14:paraId="70CA843E" w14:textId="77777777" w:rsidR="004D0445" w:rsidRPr="00060388" w:rsidRDefault="004D0445" w:rsidP="004D0445">
            <w:pPr>
              <w:tabs>
                <w:tab w:val="left" w:pos="8505"/>
              </w:tabs>
              <w:jc w:val="both"/>
              <w:rPr>
                <w:rFonts w:ascii="Times New Roman" w:hAnsi="Times New Roman" w:cs="Times New Roman"/>
                <w:sz w:val="20"/>
                <w:szCs w:val="20"/>
                <w:lang w:val="it-IT"/>
              </w:rPr>
            </w:pPr>
            <w:r w:rsidRPr="00060388">
              <w:rPr>
                <w:rFonts w:ascii="Times New Roman" w:hAnsi="Times New Roman" w:cs="Times New Roman"/>
                <w:b/>
                <w:sz w:val="20"/>
                <w:szCs w:val="20"/>
                <w:lang w:val="it-IT"/>
              </w:rPr>
              <w:lastRenderedPageBreak/>
              <w:t>1.5.</w:t>
            </w:r>
            <w:r>
              <w:rPr>
                <w:rFonts w:ascii="Times New Roman" w:hAnsi="Times New Roman" w:cs="Times New Roman"/>
                <w:b/>
                <w:sz w:val="20"/>
                <w:szCs w:val="20"/>
                <w:lang w:val="it-IT"/>
              </w:rPr>
              <w:t xml:space="preserve"> </w:t>
            </w:r>
            <w:r w:rsidRPr="00060388">
              <w:rPr>
                <w:rFonts w:ascii="Times New Roman" w:hAnsi="Times New Roman" w:cs="Times New Roman"/>
                <w:sz w:val="20"/>
                <w:szCs w:val="20"/>
                <w:lang w:val="it-IT"/>
              </w:rPr>
              <w:t>Se introduce punctul 7</w:t>
            </w:r>
            <w:r>
              <w:rPr>
                <w:rFonts w:ascii="Times New Roman" w:hAnsi="Times New Roman" w:cs="Times New Roman"/>
                <w:sz w:val="20"/>
                <w:szCs w:val="20"/>
                <w:vertAlign w:val="superscript"/>
                <w:lang w:val="it-IT"/>
              </w:rPr>
              <w:t>1</w:t>
            </w:r>
            <w:r w:rsidRPr="00060388">
              <w:rPr>
                <w:rFonts w:ascii="Times New Roman" w:hAnsi="Times New Roman" w:cs="Times New Roman"/>
                <w:sz w:val="20"/>
                <w:szCs w:val="20"/>
                <w:lang w:val="it-IT"/>
              </w:rPr>
              <w:t xml:space="preserve"> cu următorul cuprins:</w:t>
            </w:r>
          </w:p>
          <w:p w14:paraId="2440245A" w14:textId="77777777" w:rsidR="004D0445" w:rsidRPr="00060388" w:rsidRDefault="004D0445" w:rsidP="004D0445">
            <w:pPr>
              <w:tabs>
                <w:tab w:val="left" w:pos="8505"/>
              </w:tabs>
              <w:jc w:val="both"/>
              <w:rPr>
                <w:rFonts w:ascii="Times New Roman" w:hAnsi="Times New Roman" w:cs="Times New Roman"/>
                <w:sz w:val="20"/>
                <w:szCs w:val="20"/>
                <w:lang w:val="it-IT"/>
              </w:rPr>
            </w:pPr>
            <w:r w:rsidRPr="00060388">
              <w:rPr>
                <w:rFonts w:ascii="Times New Roman" w:hAnsi="Times New Roman" w:cs="Times New Roman"/>
                <w:sz w:val="20"/>
                <w:szCs w:val="20"/>
                <w:lang w:val="it-IT"/>
              </w:rPr>
              <w:t>„7</w:t>
            </w:r>
            <w:r>
              <w:rPr>
                <w:rFonts w:ascii="Times New Roman" w:hAnsi="Times New Roman" w:cs="Times New Roman"/>
                <w:sz w:val="20"/>
                <w:szCs w:val="20"/>
                <w:vertAlign w:val="superscript"/>
                <w:lang w:val="it-IT"/>
              </w:rPr>
              <w:t>1</w:t>
            </w:r>
            <w:r w:rsidRPr="00060388">
              <w:rPr>
                <w:rFonts w:ascii="Times New Roman" w:hAnsi="Times New Roman" w:cs="Times New Roman"/>
                <w:sz w:val="20"/>
                <w:szCs w:val="20"/>
                <w:lang w:val="it-IT"/>
              </w:rPr>
              <w:t>. Prezentul Regulament prevede particularități privind contractele de achiziții publice, a căror valoare, fără taxa pe valoarea adăugată, este egală cu sau mai mare decât următoarele praguri:</w:t>
            </w:r>
          </w:p>
          <w:p w14:paraId="4BBF64D7" w14:textId="77777777" w:rsidR="004D0445" w:rsidRPr="00060388" w:rsidRDefault="004D0445" w:rsidP="004D0445">
            <w:pPr>
              <w:tabs>
                <w:tab w:val="left" w:pos="8505"/>
              </w:tabs>
              <w:jc w:val="both"/>
              <w:rPr>
                <w:rFonts w:ascii="Times New Roman" w:hAnsi="Times New Roman" w:cs="Times New Roman"/>
                <w:sz w:val="20"/>
                <w:szCs w:val="20"/>
                <w:lang w:val="it-IT"/>
              </w:rPr>
            </w:pPr>
            <w:r w:rsidRPr="00060388">
              <w:rPr>
                <w:rFonts w:ascii="Times New Roman" w:hAnsi="Times New Roman" w:cs="Times New Roman"/>
                <w:sz w:val="20"/>
                <w:szCs w:val="20"/>
                <w:lang w:val="it-IT"/>
              </w:rPr>
              <w:t>a) pentru contractele de achiziții publice de bunuri și servicii – 300 000 MDL;</w:t>
            </w:r>
          </w:p>
          <w:p w14:paraId="088C6546" w14:textId="77777777" w:rsidR="004D0445" w:rsidRPr="00060388" w:rsidRDefault="004D0445" w:rsidP="004D0445">
            <w:pPr>
              <w:tabs>
                <w:tab w:val="left" w:pos="8505"/>
              </w:tabs>
              <w:jc w:val="both"/>
              <w:rPr>
                <w:rFonts w:ascii="Times New Roman" w:hAnsi="Times New Roman" w:cs="Times New Roman"/>
                <w:sz w:val="20"/>
                <w:szCs w:val="20"/>
                <w:lang w:val="it-IT"/>
              </w:rPr>
            </w:pPr>
            <w:r w:rsidRPr="00060388">
              <w:rPr>
                <w:rFonts w:ascii="Times New Roman" w:hAnsi="Times New Roman" w:cs="Times New Roman"/>
                <w:sz w:val="20"/>
                <w:szCs w:val="20"/>
                <w:lang w:val="it-IT"/>
              </w:rPr>
              <w:t>b) pentru contractele de achiziții publice de lucrări – 375 000 MDL;</w:t>
            </w:r>
          </w:p>
          <w:p w14:paraId="63968ECC" w14:textId="0D15E7C1" w:rsidR="009A63D0" w:rsidRPr="00863A23" w:rsidRDefault="004D0445" w:rsidP="004D0445">
            <w:pPr>
              <w:tabs>
                <w:tab w:val="left" w:pos="8505"/>
              </w:tabs>
              <w:jc w:val="both"/>
              <w:rPr>
                <w:rFonts w:ascii="Times New Roman" w:hAnsi="Times New Roman" w:cs="Times New Roman"/>
                <w:b/>
                <w:sz w:val="20"/>
                <w:szCs w:val="20"/>
                <w:lang w:val="it-IT"/>
              </w:rPr>
            </w:pPr>
            <w:r w:rsidRPr="00060388">
              <w:rPr>
                <w:rFonts w:ascii="Times New Roman" w:hAnsi="Times New Roman" w:cs="Times New Roman"/>
                <w:sz w:val="20"/>
                <w:szCs w:val="20"/>
                <w:lang w:val="it-IT"/>
              </w:rPr>
              <w:t>c) pentru contractele de achiziții publice care au ca obiect servicii sociale și alte servicii specifice enumerate în anexa nr. 2 din Legea nr. 325/2025 privind achizițiile publice – 600 000 MDL.</w:t>
            </w:r>
            <w:r>
              <w:rPr>
                <w:rFonts w:ascii="Times New Roman" w:hAnsi="Times New Roman" w:cs="Times New Roman"/>
                <w:sz w:val="20"/>
                <w:szCs w:val="20"/>
                <w:lang w:val="it-IT"/>
              </w:rPr>
              <w:t>”</w:t>
            </w:r>
          </w:p>
        </w:tc>
        <w:tc>
          <w:tcPr>
            <w:tcW w:w="2977" w:type="dxa"/>
          </w:tcPr>
          <w:p w14:paraId="21F10147" w14:textId="77777777" w:rsidR="009A63D0" w:rsidRPr="00154388" w:rsidRDefault="009A63D0"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35CABA1D" w14:textId="62B9F9C0" w:rsidR="009A63D0" w:rsidRDefault="006359B8"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3D52C2A7" w14:textId="304BFA21" w:rsidR="009A63D0" w:rsidRPr="003D570B" w:rsidRDefault="006359B8" w:rsidP="006359B8">
            <w:pPr>
              <w:jc w:val="both"/>
              <w:rPr>
                <w:rFonts w:ascii="Times New Roman" w:hAnsi="Times New Roman" w:cs="Times New Roman"/>
                <w:sz w:val="20"/>
                <w:szCs w:val="20"/>
                <w:lang w:val="ro-RO"/>
              </w:rPr>
            </w:pPr>
            <w:r w:rsidRPr="003D570B">
              <w:rPr>
                <w:rFonts w:ascii="Times New Roman" w:hAnsi="Times New Roman" w:cs="Times New Roman"/>
                <w:sz w:val="20"/>
                <w:szCs w:val="20"/>
                <w:lang w:val="ro-RO"/>
              </w:rPr>
              <w:t>La pct. 1.5, se propune completarea Regulamentului aprobat prin Hotărârea Guvernului nr. 870/2022 cu un nou punct 7¹, destinat reglementării particularităților aplicabile contractelor de achiziții publice în funcție de valoarea estimată, fără taxa pe valoare adăugată, prin instituirea unor praguri distincte. În acest context, dat fiind faptul că se constată o suprapunere cu pragurile prevăzute la pct. 6 și 7 din Regulamentul menționat, se propune reexaminarea soluției de completare prin Ministerul Infrastructurii și Dezvoltării Regionale al Republicii Moldova introducerea pct. 7¹, în lipsa corelării corespunzătoare cu prevederile pct. 6 și 7 din redacția actuală.</w:t>
            </w:r>
          </w:p>
        </w:tc>
        <w:tc>
          <w:tcPr>
            <w:tcW w:w="3436" w:type="dxa"/>
          </w:tcPr>
          <w:p w14:paraId="76436BB2" w14:textId="288B5732" w:rsidR="00512851" w:rsidRPr="00512851" w:rsidRDefault="00512851" w:rsidP="00512851">
            <w:pPr>
              <w:tabs>
                <w:tab w:val="left" w:pos="8505"/>
              </w:tabs>
              <w:jc w:val="both"/>
              <w:rPr>
                <w:rFonts w:ascii="Times New Roman" w:hAnsi="Times New Roman" w:cs="Times New Roman"/>
                <w:b/>
                <w:sz w:val="20"/>
                <w:szCs w:val="20"/>
                <w:lang w:val="ro-RO"/>
              </w:rPr>
            </w:pPr>
            <w:r w:rsidRPr="00512851">
              <w:rPr>
                <w:rFonts w:ascii="Times New Roman" w:hAnsi="Times New Roman" w:cs="Times New Roman"/>
                <w:b/>
                <w:sz w:val="20"/>
                <w:szCs w:val="20"/>
                <w:lang w:val="ro-RO"/>
              </w:rPr>
              <w:t>Nu se acceptă</w:t>
            </w:r>
          </w:p>
          <w:p w14:paraId="5CB13E1C" w14:textId="58CE5FE6" w:rsidR="00512851" w:rsidRPr="00512851" w:rsidRDefault="00512851" w:rsidP="00512851">
            <w:pPr>
              <w:tabs>
                <w:tab w:val="left" w:pos="8505"/>
              </w:tabs>
              <w:jc w:val="both"/>
              <w:rPr>
                <w:rFonts w:ascii="Times New Roman" w:hAnsi="Times New Roman" w:cs="Times New Roman"/>
                <w:sz w:val="20"/>
                <w:szCs w:val="20"/>
                <w:lang w:val="ro-RO"/>
              </w:rPr>
            </w:pPr>
            <w:r w:rsidRPr="00512851">
              <w:rPr>
                <w:rFonts w:ascii="Times New Roman" w:hAnsi="Times New Roman" w:cs="Times New Roman"/>
                <w:sz w:val="20"/>
                <w:szCs w:val="20"/>
                <w:lang w:val="ro-RO"/>
              </w:rPr>
              <w:t xml:space="preserve">Din prevederile existente în </w:t>
            </w:r>
            <w:r w:rsidRPr="003D570B">
              <w:rPr>
                <w:rFonts w:ascii="Times New Roman" w:hAnsi="Times New Roman" w:cs="Times New Roman"/>
                <w:sz w:val="20"/>
                <w:szCs w:val="20"/>
                <w:lang w:val="it-IT"/>
              </w:rPr>
              <w:t xml:space="preserve"> Hotărârea Guvernului</w:t>
            </w:r>
            <w:r w:rsidRPr="00512851">
              <w:rPr>
                <w:rFonts w:ascii="Times New Roman" w:hAnsi="Times New Roman" w:cs="Times New Roman"/>
                <w:sz w:val="20"/>
                <w:szCs w:val="20"/>
                <w:lang w:val="ro-RO"/>
              </w:rPr>
              <w:t xml:space="preserve"> nr. 870/2022 rezultă că:</w:t>
            </w:r>
          </w:p>
          <w:p w14:paraId="60BBF7CC" w14:textId="003C372A" w:rsidR="00512851" w:rsidRPr="00512851" w:rsidRDefault="00512851" w:rsidP="00512851">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512851">
              <w:rPr>
                <w:rFonts w:ascii="Times New Roman" w:hAnsi="Times New Roman" w:cs="Times New Roman"/>
                <w:sz w:val="20"/>
                <w:szCs w:val="20"/>
                <w:lang w:val="ro-RO"/>
              </w:rPr>
              <w:t>pct. 6 și pct. 7 reglementează dreptul autorității/entității contractante de a încheia contracte directe pentru anumite intervale valorice (în limitele prevăzute), cu respectarea principiilor de la pct. 8;</w:t>
            </w:r>
          </w:p>
          <w:p w14:paraId="261E33C3" w14:textId="7D9A2C0A" w:rsidR="00512851" w:rsidRPr="00512851" w:rsidRDefault="00512851" w:rsidP="00512851">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512851">
              <w:rPr>
                <w:rFonts w:ascii="Times New Roman" w:hAnsi="Times New Roman" w:cs="Times New Roman"/>
                <w:sz w:val="20"/>
                <w:szCs w:val="20"/>
                <w:lang w:val="ro-RO"/>
              </w:rPr>
              <w:t>pct. 7¹ (cel propus) urmărește instituirea unor particularități aplicabile în funcție de valoarea estimată (fără TVA), adică o reglementare privind regimul/procedura pentru contractele încadrate la pragurile indicate.</w:t>
            </w:r>
          </w:p>
          <w:p w14:paraId="6FB493D5" w14:textId="77777777" w:rsidR="00512851" w:rsidRPr="00512851" w:rsidRDefault="00512851" w:rsidP="00512851">
            <w:pPr>
              <w:tabs>
                <w:tab w:val="left" w:pos="8505"/>
              </w:tabs>
              <w:jc w:val="both"/>
              <w:rPr>
                <w:rFonts w:ascii="Times New Roman" w:hAnsi="Times New Roman" w:cs="Times New Roman"/>
                <w:sz w:val="20"/>
                <w:szCs w:val="20"/>
                <w:lang w:val="ro-RO"/>
              </w:rPr>
            </w:pPr>
            <w:r w:rsidRPr="00512851">
              <w:rPr>
                <w:rFonts w:ascii="Times New Roman" w:hAnsi="Times New Roman" w:cs="Times New Roman"/>
                <w:sz w:val="20"/>
                <w:szCs w:val="20"/>
                <w:lang w:val="ro-RO"/>
              </w:rPr>
              <w:t>Prin urmare, nu există o „suprapunere” în sens de conflict normativ: pct. 6–7 instituie condițiile pentru contracte directe într-un anumit interval, iar pct. 7¹ stabilește reguli distincte pentru alte tranșe valorice, fără a afecta mecanismul prevăzut la pct. 6–7.</w:t>
            </w:r>
          </w:p>
          <w:p w14:paraId="2B024B86" w14:textId="55746905" w:rsidR="009A63D0" w:rsidRPr="00512851" w:rsidRDefault="00512851" w:rsidP="00512851">
            <w:pPr>
              <w:tabs>
                <w:tab w:val="left" w:pos="8505"/>
              </w:tabs>
              <w:jc w:val="both"/>
              <w:rPr>
                <w:rFonts w:ascii="Times New Roman" w:hAnsi="Times New Roman" w:cs="Times New Roman"/>
                <w:sz w:val="20"/>
                <w:szCs w:val="20"/>
                <w:lang w:val="ro-RO"/>
              </w:rPr>
            </w:pPr>
            <w:r w:rsidRPr="00512851">
              <w:rPr>
                <w:rFonts w:ascii="Times New Roman" w:hAnsi="Times New Roman" w:cs="Times New Roman"/>
                <w:sz w:val="20"/>
                <w:szCs w:val="20"/>
                <w:lang w:val="ro-RO"/>
              </w:rPr>
              <w:lastRenderedPageBreak/>
              <w:t>În acest context, argumentul privind lipsa corelării cu pct. 6–7 nu justifică abrogarea/înlocuirea soluției de completare. Eventualele ajustări strict redacționale de corelare (prin trimiteri) pot fi efectuate la etapa definitivării proiectului, însă nu se acceptă eliminarea punctului 7¹.</w:t>
            </w:r>
          </w:p>
        </w:tc>
      </w:tr>
      <w:tr w:rsidR="009A63D0" w:rsidRPr="00760BD0" w14:paraId="02221091" w14:textId="77777777" w:rsidTr="00A919EA">
        <w:trPr>
          <w:trHeight w:val="416"/>
        </w:trPr>
        <w:tc>
          <w:tcPr>
            <w:tcW w:w="3397" w:type="dxa"/>
          </w:tcPr>
          <w:p w14:paraId="4D02BDAF" w14:textId="77777777" w:rsidR="003D570B" w:rsidRPr="00311701" w:rsidRDefault="003D570B" w:rsidP="003D570B">
            <w:pPr>
              <w:tabs>
                <w:tab w:val="left" w:pos="8505"/>
              </w:tabs>
              <w:jc w:val="both"/>
              <w:rPr>
                <w:rFonts w:ascii="Times New Roman" w:hAnsi="Times New Roman" w:cs="Times New Roman"/>
                <w:sz w:val="20"/>
                <w:szCs w:val="20"/>
                <w:lang w:val="ro-RO"/>
              </w:rPr>
            </w:pPr>
            <w:r>
              <w:rPr>
                <w:rFonts w:ascii="Times New Roman" w:hAnsi="Times New Roman" w:cs="Times New Roman"/>
                <w:b/>
                <w:sz w:val="20"/>
                <w:szCs w:val="20"/>
                <w:lang w:val="ro-RO"/>
              </w:rPr>
              <w:lastRenderedPageBreak/>
              <w:t>1</w:t>
            </w:r>
            <w:r w:rsidRPr="00311701">
              <w:rPr>
                <w:rFonts w:ascii="Times New Roman" w:hAnsi="Times New Roman" w:cs="Times New Roman"/>
                <w:b/>
                <w:sz w:val="20"/>
                <w:szCs w:val="20"/>
                <w:lang w:val="ro-RO"/>
              </w:rPr>
              <w:t>.22.</w:t>
            </w:r>
            <w:r>
              <w:rPr>
                <w:rFonts w:ascii="Times New Roman" w:hAnsi="Times New Roman" w:cs="Times New Roman"/>
                <w:sz w:val="20"/>
                <w:szCs w:val="20"/>
                <w:lang w:val="ro-RO"/>
              </w:rPr>
              <w:t xml:space="preserve"> </w:t>
            </w:r>
            <w:r w:rsidRPr="00311701">
              <w:rPr>
                <w:rFonts w:ascii="Times New Roman" w:hAnsi="Times New Roman" w:cs="Times New Roman"/>
                <w:sz w:val="20"/>
                <w:szCs w:val="20"/>
                <w:lang w:val="ro-RO"/>
              </w:rPr>
              <w:t>Se introduce punctul 50</w:t>
            </w:r>
            <w:r>
              <w:rPr>
                <w:rFonts w:ascii="Times New Roman" w:hAnsi="Times New Roman" w:cs="Times New Roman"/>
                <w:sz w:val="20"/>
                <w:szCs w:val="20"/>
                <w:vertAlign w:val="superscript"/>
                <w:lang w:val="ro-RO"/>
              </w:rPr>
              <w:t>1</w:t>
            </w:r>
            <w:r w:rsidRPr="00311701">
              <w:rPr>
                <w:rFonts w:ascii="Times New Roman" w:hAnsi="Times New Roman" w:cs="Times New Roman"/>
                <w:sz w:val="20"/>
                <w:szCs w:val="20"/>
                <w:lang w:val="ro-RO"/>
              </w:rPr>
              <w:t>, cu următorul cuprins:</w:t>
            </w:r>
          </w:p>
          <w:p w14:paraId="2EBAE937" w14:textId="48175A6B" w:rsidR="009A63D0" w:rsidRPr="003D570B" w:rsidRDefault="003D570B" w:rsidP="003D570B">
            <w:pPr>
              <w:tabs>
                <w:tab w:val="left" w:pos="8505"/>
              </w:tabs>
              <w:jc w:val="both"/>
              <w:rPr>
                <w:rFonts w:ascii="Times New Roman" w:hAnsi="Times New Roman" w:cs="Times New Roman"/>
                <w:b/>
                <w:sz w:val="20"/>
                <w:szCs w:val="20"/>
                <w:lang w:val="ro-RO"/>
              </w:rPr>
            </w:pPr>
            <w:r w:rsidRPr="00311701">
              <w:rPr>
                <w:rFonts w:ascii="Times New Roman" w:hAnsi="Times New Roman" w:cs="Times New Roman"/>
                <w:sz w:val="20"/>
                <w:szCs w:val="20"/>
                <w:lang w:val="ro-RO"/>
              </w:rPr>
              <w:t>„50</w:t>
            </w:r>
            <w:r>
              <w:rPr>
                <w:rFonts w:ascii="Times New Roman" w:hAnsi="Times New Roman" w:cs="Times New Roman"/>
                <w:sz w:val="20"/>
                <w:szCs w:val="20"/>
                <w:vertAlign w:val="superscript"/>
                <w:lang w:val="ro-RO"/>
              </w:rPr>
              <w:t>1</w:t>
            </w:r>
            <w:r w:rsidRPr="00311701">
              <w:rPr>
                <w:rFonts w:ascii="Times New Roman" w:hAnsi="Times New Roman" w:cs="Times New Roman"/>
                <w:sz w:val="20"/>
                <w:szCs w:val="20"/>
                <w:lang w:val="ro-RO"/>
              </w:rPr>
              <w:t>. Autoritatea/entitatea contractantă poate solicita garanția pentru ofertă și garanția de bună execuție a contractului. În anunțul de participare aceasta va indica, după caz, pentru fiecare garanție, cerințele față de emitent, forma, cuantumul și alte condiții de bază ale garanției pentru ofertă, precum și cerințele față de operatorul economic care depune garanția pentru ofertă și/sau garanția de bună execuție a contractului.”.</w:t>
            </w:r>
            <w:r>
              <w:rPr>
                <w:rFonts w:ascii="Times New Roman" w:hAnsi="Times New Roman" w:cs="Times New Roman"/>
                <w:sz w:val="20"/>
                <w:szCs w:val="20"/>
                <w:lang w:val="ro-RO"/>
              </w:rPr>
              <w:t xml:space="preserve"> </w:t>
            </w:r>
          </w:p>
        </w:tc>
        <w:tc>
          <w:tcPr>
            <w:tcW w:w="2977" w:type="dxa"/>
          </w:tcPr>
          <w:p w14:paraId="5391BC4B" w14:textId="77777777" w:rsidR="009A63D0" w:rsidRPr="00154388" w:rsidRDefault="009A63D0"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18F176DE" w14:textId="06825943" w:rsidR="009A63D0" w:rsidRDefault="006359B8"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03897102" w14:textId="77777777" w:rsidR="006359B8" w:rsidRPr="003D570B" w:rsidRDefault="006359B8" w:rsidP="006359B8">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xml:space="preserve">La </w:t>
            </w:r>
            <w:r w:rsidRPr="003D570B">
              <w:rPr>
                <w:rFonts w:ascii="Times New Roman" w:hAnsi="Times New Roman" w:cs="Times New Roman"/>
                <w:b/>
                <w:bCs/>
                <w:sz w:val="20"/>
                <w:szCs w:val="20"/>
                <w:lang w:val="it-IT"/>
              </w:rPr>
              <w:t>pct. 1.22</w:t>
            </w:r>
            <w:r w:rsidRPr="003D570B">
              <w:rPr>
                <w:rFonts w:ascii="Times New Roman" w:hAnsi="Times New Roman" w:cs="Times New Roman"/>
                <w:sz w:val="20"/>
                <w:szCs w:val="20"/>
                <w:lang w:val="it-IT"/>
              </w:rPr>
              <w:t xml:space="preserve">, prin care se propune completarea Regulamentului aprobat prin Hotărârea Guvernului nr. 870/2022 cu un nou pct. 50¹, referitor la instituirea dreptului autorității/entității contractante de a solicita garanția pentru ofertă și garanția de bună execuție, cu lăsarea la discreția acesteia a stabilirii condițiilor privind forma, cuantumul garanțiilor, precum și a altor cerințe față de emitent, se impune formularea unor precizări suplimentare. </w:t>
            </w:r>
          </w:p>
          <w:p w14:paraId="4AC1161E" w14:textId="77777777" w:rsidR="006359B8" w:rsidRPr="003D570B" w:rsidRDefault="006359B8" w:rsidP="006359B8">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xml:space="preserve">În acest context, prin similitudine cu procedurile contractelor de achiziții publice prevăzute la art. 1 alin. (2) din Legea nr. 325/2025 privind achizițiile publice, se consideră necesară instituirea expresă a unor plafoane maxime ale garanțiilor, care să nu depășească limitele prevăzute de Legea nr. 325/2025, respectiv de până la 2% din valoarea estimată a contractului pentru garanția pentru ofertă și de până la 10% din valoarea contractului pentru garanția de bună execuție. </w:t>
            </w:r>
          </w:p>
          <w:p w14:paraId="0269F287" w14:textId="6C7A662C" w:rsidR="009A63D0" w:rsidRPr="003D570B" w:rsidRDefault="006359B8" w:rsidP="006359B8">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În lipsa unor asemenea completări, există riscul unor discrepanțe de natură să descurajeze participarea la procedurile de achiziții publice și să afecteze eficiența utilizării fondurilor publice.</w:t>
            </w:r>
          </w:p>
        </w:tc>
        <w:tc>
          <w:tcPr>
            <w:tcW w:w="3436" w:type="dxa"/>
          </w:tcPr>
          <w:p w14:paraId="0A47F259" w14:textId="77777777" w:rsidR="009A63D0" w:rsidRDefault="00512851" w:rsidP="00797C0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0EBB209B" w14:textId="77777777" w:rsidR="00512851" w:rsidRPr="00512851" w:rsidRDefault="00512851" w:rsidP="00512851">
            <w:pPr>
              <w:tabs>
                <w:tab w:val="left" w:pos="8505"/>
              </w:tabs>
              <w:jc w:val="both"/>
              <w:rPr>
                <w:rFonts w:ascii="Times New Roman" w:hAnsi="Times New Roman" w:cs="Times New Roman"/>
                <w:sz w:val="20"/>
                <w:szCs w:val="20"/>
                <w:lang w:val="ro-RO"/>
              </w:rPr>
            </w:pPr>
            <w:r w:rsidRPr="00512851">
              <w:rPr>
                <w:rFonts w:ascii="Times New Roman" w:hAnsi="Times New Roman" w:cs="Times New Roman"/>
                <w:sz w:val="20"/>
                <w:szCs w:val="20"/>
                <w:lang w:val="ro-RO"/>
              </w:rPr>
              <w:t xml:space="preserve">În urma avizelor: </w:t>
            </w:r>
            <w:r w:rsidRPr="00512851">
              <w:rPr>
                <w:rFonts w:ascii="Times New Roman" w:hAnsi="Times New Roman" w:cs="Times New Roman"/>
                <w:sz w:val="20"/>
                <w:szCs w:val="20"/>
                <w:lang w:val="it-IT"/>
              </w:rPr>
              <w:t xml:space="preserve"> Agenției Geodezie, Cartografie și Cadastru, </w:t>
            </w:r>
            <w:r w:rsidRPr="00512851">
              <w:rPr>
                <w:rFonts w:ascii="Times New Roman" w:hAnsi="Times New Roman" w:cs="Times New Roman"/>
                <w:sz w:val="20"/>
                <w:szCs w:val="20"/>
                <w:lang w:val="ro-RO"/>
              </w:rPr>
              <w:t xml:space="preserve"> Cancelariei de Stat, Ministerului Sănătății și </w:t>
            </w:r>
            <w:r w:rsidRPr="00512851">
              <w:rPr>
                <w:rFonts w:ascii="Times New Roman" w:hAnsi="Times New Roman" w:cs="Times New Roman"/>
                <w:color w:val="000000" w:themeColor="text1"/>
                <w:sz w:val="20"/>
                <w:szCs w:val="20"/>
                <w:lang w:val="ro-RO"/>
              </w:rPr>
              <w:t xml:space="preserve"> </w:t>
            </w:r>
            <w:r w:rsidRPr="00512851">
              <w:rPr>
                <w:rFonts w:ascii="Times New Roman" w:hAnsi="Times New Roman" w:cs="Times New Roman"/>
                <w:sz w:val="20"/>
                <w:szCs w:val="20"/>
                <w:lang w:val="ro-RO"/>
              </w:rPr>
              <w:t>Ministerului Energiei</w:t>
            </w:r>
            <w:r w:rsidRPr="003D570B">
              <w:rPr>
                <w:lang w:val="it-IT"/>
              </w:rPr>
              <w:t xml:space="preserve"> </w:t>
            </w:r>
            <w:r w:rsidRPr="00512851">
              <w:rPr>
                <w:rFonts w:ascii="Times New Roman" w:hAnsi="Times New Roman" w:cs="Times New Roman"/>
                <w:sz w:val="20"/>
                <w:szCs w:val="20"/>
                <w:lang w:val="ro-RO"/>
              </w:rPr>
              <w:t>pct. 50¹ a fost reformulat după cum urmează:</w:t>
            </w:r>
          </w:p>
          <w:p w14:paraId="3589CA49" w14:textId="49B50F00" w:rsidR="00512851" w:rsidRPr="00512851" w:rsidRDefault="00512851" w:rsidP="00512851">
            <w:pPr>
              <w:tabs>
                <w:tab w:val="left" w:pos="8505"/>
              </w:tabs>
              <w:jc w:val="both"/>
              <w:rPr>
                <w:rFonts w:ascii="Times New Roman" w:hAnsi="Times New Roman" w:cs="Times New Roman"/>
                <w:sz w:val="20"/>
                <w:szCs w:val="20"/>
                <w:lang w:val="ro-RO"/>
              </w:rPr>
            </w:pPr>
            <w:r w:rsidRPr="00512851">
              <w:rPr>
                <w:rFonts w:ascii="Times New Roman" w:hAnsi="Times New Roman" w:cs="Times New Roman"/>
                <w:sz w:val="20"/>
                <w:szCs w:val="20"/>
                <w:lang w:val="ro-RO"/>
              </w:rPr>
              <w:t>„</w:t>
            </w:r>
            <w:r w:rsidR="009E31D2" w:rsidRPr="009E31D2">
              <w:rPr>
                <w:rFonts w:ascii="Times New Roman" w:hAnsi="Times New Roman" w:cs="Times New Roman"/>
                <w:sz w:val="20"/>
                <w:szCs w:val="20"/>
                <w:lang w:val="ro-MD"/>
              </w:rPr>
              <w:t>50</w:t>
            </w:r>
            <w:r w:rsidR="009E31D2" w:rsidRPr="009E31D2">
              <w:rPr>
                <w:rFonts w:ascii="Times New Roman" w:hAnsi="Times New Roman" w:cs="Times New Roman"/>
                <w:sz w:val="20"/>
                <w:szCs w:val="20"/>
                <w:vertAlign w:val="superscript"/>
                <w:lang w:val="ro-MD"/>
              </w:rPr>
              <w:t>1</w:t>
            </w:r>
            <w:r w:rsidR="009E31D2" w:rsidRPr="009E31D2">
              <w:rPr>
                <w:rFonts w:ascii="Times New Roman" w:hAnsi="Times New Roman" w:cs="Times New Roman"/>
                <w:sz w:val="20"/>
                <w:szCs w:val="20"/>
                <w:lang w:val="ro-MD"/>
              </w:rPr>
              <w:t>.</w:t>
            </w:r>
            <w:r w:rsidR="009E31D2" w:rsidRPr="009E31D2">
              <w:rPr>
                <w:rFonts w:ascii="Times New Roman" w:hAnsi="Times New Roman" w:cs="Times New Roman"/>
                <w:sz w:val="20"/>
                <w:szCs w:val="20"/>
                <w:lang w:val="ro-RO"/>
              </w:rPr>
              <w:t xml:space="preserve"> Autoritatea contractantă, în cazul achizițiilor de valoare mică a căror valoare depășește pragurile stabilite la pct. 7</w:t>
            </w:r>
            <w:r w:rsidR="009E31D2" w:rsidRPr="009E31D2">
              <w:rPr>
                <w:rFonts w:ascii="Times New Roman" w:hAnsi="Times New Roman" w:cs="Times New Roman"/>
                <w:sz w:val="20"/>
                <w:szCs w:val="20"/>
                <w:vertAlign w:val="superscript"/>
                <w:lang w:val="ro-RO"/>
              </w:rPr>
              <w:t>1</w:t>
            </w:r>
            <w:r w:rsidR="009E31D2" w:rsidRPr="009E31D2">
              <w:rPr>
                <w:rFonts w:ascii="Times New Roman" w:hAnsi="Times New Roman" w:cs="Times New Roman"/>
                <w:sz w:val="20"/>
                <w:szCs w:val="20"/>
                <w:lang w:val="ro-RO"/>
              </w:rPr>
              <w:t>, poate solicita garanția pentru ofertă, cuantumul garanției pentru ofertă, nu va depăși 2 % din valoarea estimată a ofertei, fără taxa pe valoarea adăugată și garanția de bună execuție a contractului, cuantumul garanției de bună execuție a contractului, nu trebuie să depășească 10 % din valoarea totală a contractului de ac</w:t>
            </w:r>
            <w:r w:rsidR="009E31D2">
              <w:rPr>
                <w:rFonts w:ascii="Times New Roman" w:hAnsi="Times New Roman" w:cs="Times New Roman"/>
                <w:sz w:val="20"/>
                <w:szCs w:val="20"/>
                <w:lang w:val="ro-RO"/>
              </w:rPr>
              <w:t xml:space="preserve">hiziție publică, cu respectarea </w:t>
            </w:r>
            <w:r w:rsidR="009E31D2" w:rsidRPr="009E31D2">
              <w:rPr>
                <w:rFonts w:ascii="Times New Roman" w:hAnsi="Times New Roman" w:cs="Times New Roman"/>
                <w:sz w:val="20"/>
                <w:szCs w:val="20"/>
                <w:lang w:val="ro-RO"/>
              </w:rPr>
              <w:t xml:space="preserve">principiului proporționalității și doar dacă este justificată de valoarea, complexitatea și riscurile achiziției. În anunțul de participare aceasta va indica, după caz, pentru fiecare garanție, cerințele față de emitent, forma, cuantumul și alte condiții de bază ale garanției pentru ofertă, precum și cerințele față de operatorul economic care depune garanția pentru ofertă și/sau garanția de bună execuție a contractului. Garanția pentru ofertă se restituie operatorilor economici după finalizarea procedurii de atribuire. Garanția de bună execuție a contractului se restituie în termen de până la 15 zile de la data finalizării </w:t>
            </w:r>
            <w:r w:rsidR="009E31D2" w:rsidRPr="009E31D2">
              <w:rPr>
                <w:rFonts w:ascii="Times New Roman" w:hAnsi="Times New Roman" w:cs="Times New Roman"/>
                <w:sz w:val="20"/>
                <w:szCs w:val="20"/>
                <w:lang w:val="ro-RO"/>
              </w:rPr>
              <w:lastRenderedPageBreak/>
              <w:t>integrale a contractului de achiziție publică de bunuri sau servicii, iar în cazul contractelor de lucrări – în conformitate cu prevederile Codului Urbanismului și Construcțiilor nr. 434/2023</w:t>
            </w:r>
            <w:r w:rsidR="009E31D2" w:rsidRPr="009E31D2">
              <w:rPr>
                <w:rFonts w:ascii="Times New Roman" w:hAnsi="Times New Roman" w:cs="Times New Roman"/>
                <w:sz w:val="20"/>
                <w:szCs w:val="20"/>
                <w:lang w:val="ro-MD"/>
              </w:rPr>
              <w:t>.”.</w:t>
            </w:r>
          </w:p>
        </w:tc>
      </w:tr>
      <w:tr w:rsidR="00720E22" w:rsidRPr="00760BD0" w14:paraId="1C55D18D" w14:textId="77777777" w:rsidTr="00A919EA">
        <w:trPr>
          <w:trHeight w:val="416"/>
        </w:trPr>
        <w:tc>
          <w:tcPr>
            <w:tcW w:w="3397" w:type="dxa"/>
          </w:tcPr>
          <w:p w14:paraId="0C122EAA" w14:textId="77777777" w:rsidR="00720E22" w:rsidRPr="003D570B" w:rsidRDefault="00720E22" w:rsidP="00797C0D">
            <w:pPr>
              <w:tabs>
                <w:tab w:val="left" w:pos="8505"/>
              </w:tabs>
              <w:jc w:val="both"/>
              <w:rPr>
                <w:rFonts w:ascii="Times New Roman" w:hAnsi="Times New Roman" w:cs="Times New Roman"/>
                <w:b/>
                <w:sz w:val="20"/>
                <w:szCs w:val="20"/>
                <w:lang w:val="it-IT"/>
              </w:rPr>
            </w:pPr>
          </w:p>
        </w:tc>
        <w:tc>
          <w:tcPr>
            <w:tcW w:w="2977" w:type="dxa"/>
          </w:tcPr>
          <w:p w14:paraId="68023B0C" w14:textId="77777777" w:rsidR="00720E22" w:rsidRDefault="00720E22" w:rsidP="00797C0D">
            <w:pPr>
              <w:tabs>
                <w:tab w:val="left" w:pos="8505"/>
              </w:tabs>
              <w:jc w:val="center"/>
              <w:rPr>
                <w:rFonts w:ascii="Times New Roman" w:hAnsi="Times New Roman" w:cs="Times New Roman"/>
                <w:b/>
                <w:color w:val="000000" w:themeColor="text1"/>
                <w:sz w:val="20"/>
                <w:szCs w:val="20"/>
                <w:lang w:val="ro-RO"/>
              </w:rPr>
            </w:pPr>
            <w:r w:rsidRPr="00720E22">
              <w:rPr>
                <w:rFonts w:ascii="Times New Roman" w:hAnsi="Times New Roman" w:cs="Times New Roman"/>
                <w:b/>
                <w:color w:val="000000" w:themeColor="text1"/>
                <w:sz w:val="20"/>
                <w:szCs w:val="20"/>
                <w:lang w:val="ro-RO"/>
              </w:rPr>
              <w:t>Banca Națională a Moldovei</w:t>
            </w:r>
          </w:p>
          <w:p w14:paraId="3094D872" w14:textId="08CE66EF" w:rsidR="00720E22" w:rsidRPr="00154388" w:rsidRDefault="00720E22" w:rsidP="00720E22">
            <w:pPr>
              <w:tabs>
                <w:tab w:val="left" w:pos="8505"/>
              </w:tabs>
              <w:jc w:val="center"/>
              <w:rPr>
                <w:rFonts w:ascii="Times New Roman" w:hAnsi="Times New Roman" w:cs="Times New Roman"/>
                <w:b/>
                <w:color w:val="000000" w:themeColor="text1"/>
                <w:sz w:val="20"/>
                <w:szCs w:val="20"/>
                <w:lang w:val="ro-RO"/>
              </w:rPr>
            </w:pPr>
            <w:r w:rsidRPr="00720E22">
              <w:rPr>
                <w:rFonts w:ascii="Times New Roman" w:hAnsi="Times New Roman" w:cs="Times New Roman"/>
                <w:b/>
                <w:color w:val="000000" w:themeColor="text1"/>
                <w:sz w:val="20"/>
                <w:szCs w:val="20"/>
                <w:lang w:val="ro-RO"/>
              </w:rPr>
              <w:t xml:space="preserve">(scrisoarea nr. </w:t>
            </w:r>
            <w:r w:rsidRPr="003D570B">
              <w:rPr>
                <w:rFonts w:ascii="Times New Roman" w:hAnsi="Times New Roman" w:cs="Times New Roman"/>
                <w:b/>
                <w:color w:val="000000" w:themeColor="text1"/>
                <w:sz w:val="20"/>
                <w:szCs w:val="20"/>
                <w:lang w:val="it-IT"/>
              </w:rPr>
              <w:t xml:space="preserve">31-002/59/2117 </w:t>
            </w:r>
            <w:r w:rsidRPr="00720E22">
              <w:rPr>
                <w:rFonts w:ascii="Times New Roman" w:hAnsi="Times New Roman" w:cs="Times New Roman"/>
                <w:b/>
                <w:color w:val="000000" w:themeColor="text1"/>
                <w:sz w:val="20"/>
                <w:szCs w:val="20"/>
                <w:lang w:val="ro-RO"/>
              </w:rPr>
              <w:t>din 2</w:t>
            </w:r>
            <w:r>
              <w:rPr>
                <w:rFonts w:ascii="Times New Roman" w:hAnsi="Times New Roman" w:cs="Times New Roman"/>
                <w:b/>
                <w:color w:val="000000" w:themeColor="text1"/>
                <w:sz w:val="20"/>
                <w:szCs w:val="20"/>
                <w:lang w:val="ro-RO"/>
              </w:rPr>
              <w:t>9</w:t>
            </w:r>
            <w:r w:rsidRPr="00720E22">
              <w:rPr>
                <w:rFonts w:ascii="Times New Roman" w:hAnsi="Times New Roman" w:cs="Times New Roman"/>
                <w:b/>
                <w:color w:val="000000" w:themeColor="text1"/>
                <w:sz w:val="20"/>
                <w:szCs w:val="20"/>
                <w:lang w:val="ro-RO"/>
              </w:rPr>
              <w:t>.0</w:t>
            </w:r>
            <w:r>
              <w:rPr>
                <w:rFonts w:ascii="Times New Roman" w:hAnsi="Times New Roman" w:cs="Times New Roman"/>
                <w:b/>
                <w:color w:val="000000" w:themeColor="text1"/>
                <w:sz w:val="20"/>
                <w:szCs w:val="20"/>
                <w:lang w:val="ro-RO"/>
              </w:rPr>
              <w:t>4</w:t>
            </w:r>
            <w:r w:rsidRPr="00720E22">
              <w:rPr>
                <w:rFonts w:ascii="Times New Roman" w:hAnsi="Times New Roman" w:cs="Times New Roman"/>
                <w:b/>
                <w:color w:val="000000" w:themeColor="text1"/>
                <w:sz w:val="20"/>
                <w:szCs w:val="20"/>
                <w:lang w:val="ro-RO"/>
              </w:rPr>
              <w:t>.2026)</w:t>
            </w:r>
          </w:p>
        </w:tc>
        <w:tc>
          <w:tcPr>
            <w:tcW w:w="533" w:type="dxa"/>
          </w:tcPr>
          <w:p w14:paraId="59405917" w14:textId="77777777" w:rsidR="00720E22" w:rsidRDefault="00720E22" w:rsidP="00797C0D">
            <w:pPr>
              <w:tabs>
                <w:tab w:val="left" w:pos="8505"/>
              </w:tabs>
              <w:jc w:val="center"/>
              <w:rPr>
                <w:rFonts w:ascii="Times New Roman" w:hAnsi="Times New Roman" w:cs="Times New Roman"/>
                <w:b/>
                <w:sz w:val="20"/>
                <w:szCs w:val="20"/>
                <w:lang w:val="ro-RO"/>
              </w:rPr>
            </w:pPr>
          </w:p>
        </w:tc>
        <w:tc>
          <w:tcPr>
            <w:tcW w:w="3402" w:type="dxa"/>
          </w:tcPr>
          <w:p w14:paraId="14A6B2BB" w14:textId="77777777" w:rsidR="00720E22" w:rsidRPr="003D570B" w:rsidRDefault="00720E22" w:rsidP="006359B8">
            <w:pPr>
              <w:jc w:val="both"/>
              <w:rPr>
                <w:rFonts w:ascii="Times New Roman" w:hAnsi="Times New Roman" w:cs="Times New Roman"/>
                <w:sz w:val="20"/>
                <w:szCs w:val="20"/>
                <w:lang w:val="it-IT"/>
              </w:rPr>
            </w:pPr>
          </w:p>
        </w:tc>
        <w:tc>
          <w:tcPr>
            <w:tcW w:w="3436" w:type="dxa"/>
          </w:tcPr>
          <w:p w14:paraId="5A236E93" w14:textId="77777777" w:rsidR="00720E22" w:rsidRDefault="00720E22" w:rsidP="00797C0D">
            <w:pPr>
              <w:tabs>
                <w:tab w:val="left" w:pos="8505"/>
              </w:tabs>
              <w:jc w:val="both"/>
              <w:rPr>
                <w:rFonts w:ascii="Times New Roman" w:hAnsi="Times New Roman" w:cs="Times New Roman"/>
                <w:b/>
                <w:sz w:val="20"/>
                <w:szCs w:val="20"/>
                <w:lang w:val="ro-RO"/>
              </w:rPr>
            </w:pPr>
          </w:p>
        </w:tc>
      </w:tr>
      <w:tr w:rsidR="00720E22" w:rsidRPr="00720E22" w14:paraId="0F08BB41" w14:textId="77777777" w:rsidTr="00A919EA">
        <w:trPr>
          <w:trHeight w:val="416"/>
        </w:trPr>
        <w:tc>
          <w:tcPr>
            <w:tcW w:w="3397" w:type="dxa"/>
          </w:tcPr>
          <w:p w14:paraId="1C16252B" w14:textId="742A6175" w:rsidR="00274758" w:rsidRPr="003D570B" w:rsidRDefault="00274758" w:rsidP="00274758">
            <w:pPr>
              <w:tabs>
                <w:tab w:val="left" w:pos="8505"/>
              </w:tabs>
              <w:jc w:val="both"/>
              <w:rPr>
                <w:rFonts w:ascii="Times New Roman" w:hAnsi="Times New Roman" w:cs="Times New Roman"/>
                <w:sz w:val="20"/>
                <w:szCs w:val="20"/>
                <w:lang w:val="it-IT"/>
              </w:rPr>
            </w:pPr>
            <w:r w:rsidRPr="003D570B">
              <w:rPr>
                <w:rFonts w:ascii="Times New Roman" w:hAnsi="Times New Roman" w:cs="Times New Roman"/>
                <w:b/>
                <w:sz w:val="20"/>
                <w:szCs w:val="20"/>
                <w:lang w:val="it-IT"/>
              </w:rPr>
              <w:t xml:space="preserve">1.5. </w:t>
            </w:r>
            <w:r w:rsidRPr="003D570B">
              <w:rPr>
                <w:rFonts w:ascii="Times New Roman" w:hAnsi="Times New Roman" w:cs="Times New Roman"/>
                <w:sz w:val="20"/>
                <w:szCs w:val="20"/>
                <w:lang w:val="it-IT"/>
              </w:rPr>
              <w:t>Se introduce punctul 7</w:t>
            </w:r>
            <w:r w:rsidRPr="003D570B">
              <w:rPr>
                <w:rFonts w:ascii="Times New Roman" w:hAnsi="Times New Roman" w:cs="Times New Roman"/>
                <w:sz w:val="20"/>
                <w:szCs w:val="20"/>
                <w:vertAlign w:val="superscript"/>
                <w:lang w:val="it-IT"/>
              </w:rPr>
              <w:t>1</w:t>
            </w:r>
            <w:r w:rsidRPr="003D570B">
              <w:rPr>
                <w:rFonts w:ascii="Times New Roman" w:hAnsi="Times New Roman" w:cs="Times New Roman"/>
                <w:sz w:val="20"/>
                <w:szCs w:val="20"/>
                <w:lang w:val="it-IT"/>
              </w:rPr>
              <w:t xml:space="preserve"> cu următorul cuprins:</w:t>
            </w:r>
          </w:p>
          <w:p w14:paraId="189C9CFE" w14:textId="6D498EC2" w:rsidR="00274758" w:rsidRPr="003D570B" w:rsidRDefault="00274758" w:rsidP="00274758">
            <w:pPr>
              <w:tabs>
                <w:tab w:val="left" w:pos="8505"/>
              </w:tabs>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„7</w:t>
            </w:r>
            <w:r w:rsidRPr="003D570B">
              <w:rPr>
                <w:rFonts w:ascii="Times New Roman" w:hAnsi="Times New Roman" w:cs="Times New Roman"/>
                <w:sz w:val="20"/>
                <w:szCs w:val="20"/>
                <w:vertAlign w:val="superscript"/>
                <w:lang w:val="it-IT"/>
              </w:rPr>
              <w:t>1</w:t>
            </w:r>
            <w:r w:rsidRPr="003D570B">
              <w:rPr>
                <w:rFonts w:ascii="Times New Roman" w:hAnsi="Times New Roman" w:cs="Times New Roman"/>
                <w:sz w:val="20"/>
                <w:szCs w:val="20"/>
                <w:lang w:val="it-IT"/>
              </w:rPr>
              <w:t>. Prezentul Regulament prevede particularități privind contractele de achiziții publice, a căror valoare, fără taxa pe valoarea adăugată, este egală cu sau mai mare decât următoarele praguri:</w:t>
            </w:r>
          </w:p>
          <w:p w14:paraId="4B3F82DB" w14:textId="77777777" w:rsidR="00274758" w:rsidRPr="003D570B" w:rsidRDefault="00274758" w:rsidP="00274758">
            <w:pPr>
              <w:tabs>
                <w:tab w:val="left" w:pos="8505"/>
              </w:tabs>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a) pentru contractele de achiziții publice de bunuri și servicii – 300 000 MDL;</w:t>
            </w:r>
          </w:p>
          <w:p w14:paraId="5E8BE971" w14:textId="77777777" w:rsidR="00274758" w:rsidRPr="003D570B" w:rsidRDefault="00274758" w:rsidP="00274758">
            <w:pPr>
              <w:tabs>
                <w:tab w:val="left" w:pos="8505"/>
              </w:tabs>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b) pentru contractele de achiziții publice de lucrări – 375 000 MDL;</w:t>
            </w:r>
          </w:p>
          <w:p w14:paraId="3A467015" w14:textId="388784BE" w:rsidR="00720E22" w:rsidRPr="003D570B" w:rsidRDefault="00274758" w:rsidP="00274758">
            <w:pPr>
              <w:tabs>
                <w:tab w:val="left" w:pos="8505"/>
              </w:tabs>
              <w:jc w:val="both"/>
              <w:rPr>
                <w:rFonts w:ascii="Times New Roman" w:hAnsi="Times New Roman" w:cs="Times New Roman"/>
                <w:b/>
                <w:sz w:val="20"/>
                <w:szCs w:val="20"/>
                <w:lang w:val="it-IT"/>
              </w:rPr>
            </w:pPr>
            <w:r w:rsidRPr="003D570B">
              <w:rPr>
                <w:rFonts w:ascii="Times New Roman" w:hAnsi="Times New Roman" w:cs="Times New Roman"/>
                <w:sz w:val="20"/>
                <w:szCs w:val="20"/>
                <w:lang w:val="it-IT"/>
              </w:rPr>
              <w:t>c) pentru contractele de achiziții publice care au ca obiect servicii sociale și alte servicii specifice enumerate în anexa nr. 2 din Legea nr. 325/2025 privind achizițiile publice – 600 000 MDL.”</w:t>
            </w:r>
          </w:p>
        </w:tc>
        <w:tc>
          <w:tcPr>
            <w:tcW w:w="2977" w:type="dxa"/>
          </w:tcPr>
          <w:p w14:paraId="3B46AFFE" w14:textId="77777777" w:rsidR="00720E22" w:rsidRPr="00154388" w:rsidRDefault="00720E22"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21DA7F5D" w14:textId="3622CF34" w:rsidR="00720E22" w:rsidRDefault="00720E22"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3D05FD48" w14:textId="1F1BB408" w:rsidR="00720E22" w:rsidRPr="003D570B" w:rsidRDefault="00720E22" w:rsidP="00720E22">
            <w:pPr>
              <w:jc w:val="both"/>
              <w:rPr>
                <w:rFonts w:ascii="Times New Roman" w:hAnsi="Times New Roman" w:cs="Times New Roman"/>
                <w:sz w:val="20"/>
                <w:szCs w:val="20"/>
                <w:lang w:val="it-IT"/>
              </w:rPr>
            </w:pPr>
            <w:r w:rsidRPr="003D570B">
              <w:rPr>
                <w:rFonts w:ascii="Times New Roman" w:hAnsi="Times New Roman" w:cs="Times New Roman"/>
                <w:sz w:val="20"/>
                <w:szCs w:val="20"/>
                <w:lang w:val="ro-RO"/>
              </w:rPr>
              <w:t>La pct. 1.5 din proiectul hotărârii de Guvern, observăm că plafoanele propuse prin pct. 7</w:t>
            </w:r>
            <w:r w:rsidRPr="003D570B">
              <w:rPr>
                <w:rFonts w:ascii="Times New Roman" w:hAnsi="Times New Roman" w:cs="Times New Roman"/>
                <w:sz w:val="20"/>
                <w:szCs w:val="20"/>
                <w:vertAlign w:val="superscript"/>
                <w:lang w:val="ro-RO"/>
              </w:rPr>
              <w:t>1</w:t>
            </w:r>
            <w:r w:rsidRPr="003D570B">
              <w:rPr>
                <w:rFonts w:ascii="Times New Roman" w:hAnsi="Times New Roman" w:cs="Times New Roman"/>
                <w:sz w:val="20"/>
                <w:szCs w:val="20"/>
                <w:lang w:val="ro-RO"/>
              </w:rPr>
              <w:t xml:space="preserve"> nu se corelează cu plafoanele prevăzute la pct. 7 din Regulamentul în vigoare stabilite pentru entitățile contractante, respectiv, în măsura în care pct. 7</w:t>
            </w:r>
            <w:r w:rsidRPr="003D570B">
              <w:rPr>
                <w:rFonts w:ascii="Times New Roman" w:hAnsi="Times New Roman" w:cs="Times New Roman"/>
                <w:sz w:val="20"/>
                <w:szCs w:val="20"/>
                <w:vertAlign w:val="superscript"/>
                <w:lang w:val="ro-RO"/>
              </w:rPr>
              <w:t>1</w:t>
            </w:r>
            <w:r w:rsidRPr="003D570B">
              <w:rPr>
                <w:rFonts w:ascii="Times New Roman" w:hAnsi="Times New Roman" w:cs="Times New Roman"/>
                <w:sz w:val="20"/>
                <w:szCs w:val="20"/>
                <w:lang w:val="ro-RO"/>
              </w:rPr>
              <w:t xml:space="preserve"> urmează a fi aplicat de către autoritățile contractante prevăzute la pct. 6, recomandăm precizarea în cuprinsul pct. 7</w:t>
            </w:r>
            <w:r w:rsidRPr="003D570B">
              <w:rPr>
                <w:rFonts w:ascii="Times New Roman" w:hAnsi="Times New Roman" w:cs="Times New Roman"/>
                <w:sz w:val="20"/>
                <w:szCs w:val="20"/>
                <w:vertAlign w:val="superscript"/>
                <w:lang w:val="ro-RO"/>
              </w:rPr>
              <w:t>1</w:t>
            </w:r>
            <w:r w:rsidRPr="003D570B">
              <w:rPr>
                <w:rFonts w:ascii="Times New Roman" w:hAnsi="Times New Roman" w:cs="Times New Roman"/>
                <w:sz w:val="20"/>
                <w:szCs w:val="20"/>
                <w:lang w:val="ro-RO"/>
              </w:rPr>
              <w:t xml:space="preserve"> dacă sunt vizate doar contractele încheiate de către autoritățile contractante sau ajustarea prevederilor pct. 7</w:t>
            </w:r>
            <w:r w:rsidRPr="003D570B">
              <w:rPr>
                <w:rFonts w:ascii="Times New Roman" w:hAnsi="Times New Roman" w:cs="Times New Roman"/>
                <w:sz w:val="20"/>
                <w:szCs w:val="20"/>
                <w:vertAlign w:val="superscript"/>
                <w:lang w:val="ro-RO"/>
              </w:rPr>
              <w:t>1</w:t>
            </w:r>
            <w:r w:rsidRPr="003D570B">
              <w:rPr>
                <w:rFonts w:ascii="Times New Roman" w:hAnsi="Times New Roman" w:cs="Times New Roman"/>
                <w:sz w:val="20"/>
                <w:szCs w:val="20"/>
                <w:lang w:val="ro-RO"/>
              </w:rPr>
              <w:t xml:space="preserve"> ținând cont de plafoanele prevăzute la pct. 7. </w:t>
            </w:r>
            <w:r w:rsidRPr="003D570B">
              <w:rPr>
                <w:rFonts w:ascii="Times New Roman" w:hAnsi="Times New Roman" w:cs="Times New Roman"/>
                <w:sz w:val="20"/>
                <w:szCs w:val="20"/>
                <w:lang w:val="it-IT"/>
              </w:rPr>
              <w:t>De asemenea, recomandăm examinarea oportunității stabilirii pragurilor maxime aplicabile achizițiilor prevăzute în pct. 7</w:t>
            </w:r>
            <w:r w:rsidRPr="003D570B">
              <w:rPr>
                <w:rFonts w:ascii="Times New Roman" w:hAnsi="Times New Roman" w:cs="Times New Roman"/>
                <w:sz w:val="20"/>
                <w:szCs w:val="20"/>
                <w:vertAlign w:val="superscript"/>
                <w:lang w:val="it-IT"/>
              </w:rPr>
              <w:t>1</w:t>
            </w:r>
            <w:r w:rsidRPr="003D570B">
              <w:rPr>
                <w:rFonts w:ascii="Times New Roman" w:hAnsi="Times New Roman" w:cs="Times New Roman"/>
                <w:sz w:val="20"/>
                <w:szCs w:val="20"/>
                <w:lang w:val="it-IT"/>
              </w:rPr>
              <w:t>.</w:t>
            </w:r>
          </w:p>
          <w:p w14:paraId="5654CF54" w14:textId="66383596" w:rsidR="00720E22" w:rsidRPr="003D570B" w:rsidRDefault="00720E22" w:rsidP="00720E22">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Totodată, recomandăm evaluarea oportunității precizării procedurii și tipului de anunț aplicabile achizițiilor de valoare mică al căror prag valoric este cuprins între 150.000 MDL și 300.000 MDL.</w:t>
            </w:r>
          </w:p>
        </w:tc>
        <w:tc>
          <w:tcPr>
            <w:tcW w:w="3436" w:type="dxa"/>
          </w:tcPr>
          <w:p w14:paraId="6404954F" w14:textId="77777777" w:rsidR="00BF1EEE" w:rsidRPr="003D570B" w:rsidRDefault="00BF1EEE" w:rsidP="00BF1EEE">
            <w:pPr>
              <w:tabs>
                <w:tab w:val="left" w:pos="8505"/>
              </w:tabs>
              <w:jc w:val="both"/>
              <w:rPr>
                <w:rFonts w:ascii="Times New Roman" w:hAnsi="Times New Roman" w:cs="Times New Roman"/>
                <w:b/>
                <w:bCs/>
                <w:sz w:val="20"/>
                <w:szCs w:val="20"/>
                <w:lang w:val="ro-RO"/>
              </w:rPr>
            </w:pPr>
            <w:r w:rsidRPr="003D570B">
              <w:rPr>
                <w:rFonts w:ascii="Times New Roman" w:hAnsi="Times New Roman" w:cs="Times New Roman"/>
                <w:b/>
                <w:bCs/>
                <w:sz w:val="20"/>
                <w:szCs w:val="20"/>
                <w:lang w:val="ro-RO"/>
              </w:rPr>
              <w:t>Nu se acceptă</w:t>
            </w:r>
          </w:p>
          <w:p w14:paraId="4F513B41" w14:textId="162B90D1" w:rsidR="00BF1EEE" w:rsidRPr="00BF1EEE" w:rsidRDefault="00BF1EEE" w:rsidP="00BF1EEE">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P</w:t>
            </w:r>
            <w:r w:rsidRPr="00BF1EEE">
              <w:rPr>
                <w:rFonts w:ascii="Times New Roman" w:hAnsi="Times New Roman" w:cs="Times New Roman"/>
                <w:sz w:val="20"/>
                <w:szCs w:val="20"/>
                <w:lang w:val="ro-RO"/>
              </w:rPr>
              <w:t>ropunerea de modificare a punctului 7</w:t>
            </w:r>
            <w:r>
              <w:rPr>
                <w:rFonts w:ascii="Times New Roman" w:hAnsi="Times New Roman" w:cs="Times New Roman"/>
                <w:sz w:val="20"/>
                <w:szCs w:val="20"/>
                <w:vertAlign w:val="superscript"/>
                <w:lang w:val="ro-RO"/>
              </w:rPr>
              <w:t>1</w:t>
            </w:r>
            <w:r w:rsidRPr="00BF1EEE">
              <w:rPr>
                <w:rFonts w:ascii="Times New Roman" w:hAnsi="Times New Roman" w:cs="Times New Roman"/>
                <w:sz w:val="20"/>
                <w:szCs w:val="20"/>
                <w:lang w:val="ro-RO"/>
              </w:rPr>
              <w:t xml:space="preserve"> în sensul sugerat</w:t>
            </w:r>
            <w:r>
              <w:rPr>
                <w:rFonts w:ascii="Times New Roman" w:hAnsi="Times New Roman" w:cs="Times New Roman"/>
                <w:sz w:val="20"/>
                <w:szCs w:val="20"/>
                <w:lang w:val="ro-RO"/>
              </w:rPr>
              <w:t xml:space="preserve"> nu poate fi acceptată</w:t>
            </w:r>
            <w:r w:rsidRPr="00BF1EEE">
              <w:rPr>
                <w:rFonts w:ascii="Times New Roman" w:hAnsi="Times New Roman" w:cs="Times New Roman"/>
                <w:sz w:val="20"/>
                <w:szCs w:val="20"/>
                <w:lang w:val="ro-RO"/>
              </w:rPr>
              <w:t>.</w:t>
            </w:r>
          </w:p>
          <w:p w14:paraId="12F64C17" w14:textId="320B4B65" w:rsidR="00BF1EEE" w:rsidRPr="00BF1EEE" w:rsidRDefault="00BF1EEE" w:rsidP="00BF1EEE">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Argumentare juridică:</w:t>
            </w:r>
          </w:p>
          <w:p w14:paraId="42B55DAC" w14:textId="082FE106" w:rsidR="00BF1EEE" w:rsidRPr="00BF1EEE" w:rsidRDefault="00BF1EEE" w:rsidP="00BF1EEE">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 </w:t>
            </w:r>
            <w:r w:rsidRPr="00BF1EEE">
              <w:rPr>
                <w:rFonts w:ascii="Times New Roman" w:hAnsi="Times New Roman" w:cs="Times New Roman"/>
                <w:sz w:val="20"/>
                <w:szCs w:val="20"/>
                <w:lang w:val="ro-RO"/>
              </w:rPr>
              <w:t>Natura complementară, nu cont</w:t>
            </w:r>
            <w:r>
              <w:rPr>
                <w:rFonts w:ascii="Times New Roman" w:hAnsi="Times New Roman" w:cs="Times New Roman"/>
                <w:sz w:val="20"/>
                <w:szCs w:val="20"/>
                <w:lang w:val="ro-RO"/>
              </w:rPr>
              <w:t>radictorie, a reglementărilor.</w:t>
            </w:r>
            <w:r w:rsidRPr="00BF1EEE">
              <w:rPr>
                <w:rFonts w:ascii="Times New Roman" w:hAnsi="Times New Roman" w:cs="Times New Roman"/>
                <w:sz w:val="20"/>
                <w:szCs w:val="20"/>
                <w:lang w:val="ro-RO"/>
              </w:rPr>
              <w:t xml:space="preserve"> Punctele 6 și 7 </w:t>
            </w:r>
            <w:r>
              <w:rPr>
                <w:rFonts w:ascii="Times New Roman" w:hAnsi="Times New Roman" w:cs="Times New Roman"/>
                <w:sz w:val="20"/>
                <w:szCs w:val="20"/>
                <w:lang w:val="ro-RO"/>
              </w:rPr>
              <w:t>din HG 870/2023 reglementează condițiile de fond și de formă</w:t>
            </w:r>
            <w:r w:rsidRPr="00BF1EEE">
              <w:rPr>
                <w:rFonts w:ascii="Times New Roman" w:hAnsi="Times New Roman" w:cs="Times New Roman"/>
                <w:sz w:val="20"/>
                <w:szCs w:val="20"/>
                <w:lang w:val="ro-RO"/>
              </w:rPr>
              <w:t xml:space="preserve"> pentru exercitarea dreptului de a contracta direct (praguri valoric</w:t>
            </w:r>
            <w:r>
              <w:rPr>
                <w:rFonts w:ascii="Times New Roman" w:hAnsi="Times New Roman" w:cs="Times New Roman"/>
                <w:sz w:val="20"/>
                <w:szCs w:val="20"/>
                <w:lang w:val="ro-RO"/>
              </w:rPr>
              <w:t>e</w:t>
            </w:r>
            <w:r w:rsidRPr="00BF1EEE">
              <w:rPr>
                <w:rFonts w:ascii="Times New Roman" w:hAnsi="Times New Roman" w:cs="Times New Roman"/>
                <w:sz w:val="20"/>
                <w:szCs w:val="20"/>
                <w:lang w:val="ro-RO"/>
              </w:rPr>
              <w:t>, tipuri de contracte). Punctul 7</w:t>
            </w:r>
            <w:r>
              <w:rPr>
                <w:rFonts w:ascii="Times New Roman" w:hAnsi="Times New Roman" w:cs="Times New Roman"/>
                <w:sz w:val="20"/>
                <w:szCs w:val="20"/>
                <w:vertAlign w:val="superscript"/>
                <w:lang w:val="ro-RO"/>
              </w:rPr>
              <w:t>1</w:t>
            </w:r>
            <w:r w:rsidRPr="00BF1EEE">
              <w:rPr>
                <w:rFonts w:ascii="Times New Roman" w:hAnsi="Times New Roman" w:cs="Times New Roman"/>
                <w:sz w:val="20"/>
                <w:szCs w:val="20"/>
                <w:lang w:val="ro-RO"/>
              </w:rPr>
              <w:t xml:space="preserve"> din p</w:t>
            </w:r>
            <w:r>
              <w:rPr>
                <w:rFonts w:ascii="Times New Roman" w:hAnsi="Times New Roman" w:cs="Times New Roman"/>
                <w:sz w:val="20"/>
                <w:szCs w:val="20"/>
                <w:lang w:val="ro-RO"/>
              </w:rPr>
              <w:t xml:space="preserve">roiect stabilește </w:t>
            </w:r>
            <w:r w:rsidRPr="00BF1EEE">
              <w:rPr>
                <w:rFonts w:ascii="Times New Roman" w:hAnsi="Times New Roman" w:cs="Times New Roman"/>
                <w:sz w:val="20"/>
                <w:szCs w:val="20"/>
                <w:lang w:val="ro-RO"/>
              </w:rPr>
              <w:t>praguri valorice pentru aplicarea un</w:t>
            </w:r>
            <w:r>
              <w:rPr>
                <w:rFonts w:ascii="Times New Roman" w:hAnsi="Times New Roman" w:cs="Times New Roman"/>
                <w:sz w:val="20"/>
                <w:szCs w:val="20"/>
                <w:lang w:val="ro-RO"/>
              </w:rPr>
              <w:t>or particularități procedurale</w:t>
            </w:r>
            <w:r w:rsidRPr="00BF1EEE">
              <w:rPr>
                <w:rFonts w:ascii="Times New Roman" w:hAnsi="Times New Roman" w:cs="Times New Roman"/>
                <w:sz w:val="20"/>
                <w:szCs w:val="20"/>
                <w:lang w:val="ro-RO"/>
              </w:rPr>
              <w:t xml:space="preserve"> (ex: cerințe sporite de transparență, formulare specifice). Acestea sunt două straturi normati</w:t>
            </w:r>
            <w:r>
              <w:rPr>
                <w:rFonts w:ascii="Times New Roman" w:hAnsi="Times New Roman" w:cs="Times New Roman"/>
                <w:sz w:val="20"/>
                <w:szCs w:val="20"/>
                <w:lang w:val="ro-RO"/>
              </w:rPr>
              <w:t>ve distincte: prima stabilește cine și când</w:t>
            </w:r>
            <w:r w:rsidRPr="00BF1EEE">
              <w:rPr>
                <w:rFonts w:ascii="Times New Roman" w:hAnsi="Times New Roman" w:cs="Times New Roman"/>
                <w:sz w:val="20"/>
                <w:szCs w:val="20"/>
                <w:lang w:val="ro-RO"/>
              </w:rPr>
              <w:t xml:space="preserve"> se poate contracta direct</w:t>
            </w:r>
            <w:r>
              <w:rPr>
                <w:rFonts w:ascii="Times New Roman" w:hAnsi="Times New Roman" w:cs="Times New Roman"/>
                <w:sz w:val="20"/>
                <w:szCs w:val="20"/>
                <w:lang w:val="ro-RO"/>
              </w:rPr>
              <w:t xml:space="preserve">, a doua stabilește </w:t>
            </w:r>
            <w:r w:rsidRPr="00BF1EEE">
              <w:rPr>
                <w:rFonts w:ascii="Times New Roman" w:hAnsi="Times New Roman" w:cs="Times New Roman"/>
                <w:sz w:val="20"/>
                <w:szCs w:val="20"/>
                <w:lang w:val="ro-RO"/>
              </w:rPr>
              <w:t>cum se derulează procedura pentru contractele de valoare mică care depășesc anumite limite. Nu există o suprapunere, ci o ierarhie: un contract care se încadrează în pragurile pct. 6/7 poate fi atribuit direct, iar dacă valoarea lui depășește și pragurile pct. 7</w:t>
            </w:r>
            <w:r>
              <w:rPr>
                <w:rFonts w:ascii="Times New Roman" w:hAnsi="Times New Roman" w:cs="Times New Roman"/>
                <w:sz w:val="20"/>
                <w:szCs w:val="20"/>
                <w:vertAlign w:val="superscript"/>
                <w:lang w:val="ro-RO"/>
              </w:rPr>
              <w:t>1</w:t>
            </w:r>
            <w:r w:rsidRPr="00BF1EEE">
              <w:rPr>
                <w:rFonts w:ascii="Times New Roman" w:hAnsi="Times New Roman" w:cs="Times New Roman"/>
                <w:sz w:val="20"/>
                <w:szCs w:val="20"/>
                <w:lang w:val="ro-RO"/>
              </w:rPr>
              <w:t>, procedura sa simplificată este supusă unor cerințe procedurale sporite. Sistemul este coerent și proporțional cu riscul.</w:t>
            </w:r>
          </w:p>
          <w:p w14:paraId="1B8F97B6" w14:textId="77777777" w:rsidR="00BF1EEE" w:rsidRDefault="00BF1EEE" w:rsidP="00BF1EEE">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2. </w:t>
            </w:r>
            <w:r w:rsidRPr="00BF1EEE">
              <w:rPr>
                <w:rFonts w:ascii="Times New Roman" w:hAnsi="Times New Roman" w:cs="Times New Roman"/>
                <w:sz w:val="20"/>
                <w:szCs w:val="20"/>
                <w:lang w:val="ro-RO"/>
              </w:rPr>
              <w:t xml:space="preserve">Imposibilitatea temporară </w:t>
            </w:r>
            <w:r>
              <w:rPr>
                <w:rFonts w:ascii="Times New Roman" w:hAnsi="Times New Roman" w:cs="Times New Roman"/>
                <w:sz w:val="20"/>
                <w:szCs w:val="20"/>
                <w:lang w:val="ro-RO"/>
              </w:rPr>
              <w:t>de a modifica punctele 6 și 7.</w:t>
            </w:r>
          </w:p>
          <w:p w14:paraId="5CEAA715" w14:textId="50464C50" w:rsidR="00BF1EEE" w:rsidRPr="00BF1EEE" w:rsidRDefault="00BF1EEE" w:rsidP="00BF1EEE">
            <w:pPr>
              <w:tabs>
                <w:tab w:val="left" w:pos="8505"/>
              </w:tabs>
              <w:jc w:val="both"/>
              <w:rPr>
                <w:rFonts w:ascii="Times New Roman" w:hAnsi="Times New Roman" w:cs="Times New Roman"/>
                <w:sz w:val="20"/>
                <w:szCs w:val="20"/>
                <w:lang w:val="ro-RO"/>
              </w:rPr>
            </w:pPr>
            <w:r w:rsidRPr="00BF1EEE">
              <w:rPr>
                <w:rFonts w:ascii="Times New Roman" w:hAnsi="Times New Roman" w:cs="Times New Roman"/>
                <w:sz w:val="20"/>
                <w:szCs w:val="20"/>
                <w:lang w:val="ro-RO"/>
              </w:rPr>
              <w:t>Orice ajustare a pragurilor sau a cond</w:t>
            </w:r>
            <w:r>
              <w:rPr>
                <w:rFonts w:ascii="Times New Roman" w:hAnsi="Times New Roman" w:cs="Times New Roman"/>
                <w:sz w:val="20"/>
                <w:szCs w:val="20"/>
                <w:lang w:val="ro-RO"/>
              </w:rPr>
              <w:t xml:space="preserve">ițiilor din pct. 6 și 7 este </w:t>
            </w:r>
            <w:r w:rsidRPr="00BF1EEE">
              <w:rPr>
                <w:rFonts w:ascii="Times New Roman" w:hAnsi="Times New Roman" w:cs="Times New Roman"/>
                <w:sz w:val="20"/>
                <w:szCs w:val="20"/>
                <w:lang w:val="ro-RO"/>
              </w:rPr>
              <w:t xml:space="preserve">strict condiționată de adoptarea proiectului de </w:t>
            </w:r>
            <w:r w:rsidRPr="00BF1EEE">
              <w:rPr>
                <w:rFonts w:ascii="Times New Roman" w:hAnsi="Times New Roman" w:cs="Times New Roman"/>
                <w:sz w:val="20"/>
                <w:szCs w:val="20"/>
                <w:lang w:val="ro-RO"/>
              </w:rPr>
              <w:lastRenderedPageBreak/>
              <w:t>lege pentru</w:t>
            </w:r>
            <w:r>
              <w:rPr>
                <w:rFonts w:ascii="Times New Roman" w:hAnsi="Times New Roman" w:cs="Times New Roman"/>
                <w:sz w:val="20"/>
                <w:szCs w:val="20"/>
                <w:lang w:val="ro-RO"/>
              </w:rPr>
              <w:t xml:space="preserve"> modificarea Legii nr. 74/2020</w:t>
            </w:r>
            <w:r w:rsidRPr="00BF1EEE">
              <w:rPr>
                <w:rFonts w:ascii="Times New Roman" w:hAnsi="Times New Roman" w:cs="Times New Roman"/>
                <w:sz w:val="20"/>
                <w:szCs w:val="20"/>
                <w:lang w:val="ro-RO"/>
              </w:rPr>
              <w:t xml:space="preserve"> (legea sectorială). La data elaborării prezentului proiect de hotărâre, acest act legislativ primar nu a fost adoptat. Modificarea anticipa</w:t>
            </w:r>
            <w:r>
              <w:rPr>
                <w:rFonts w:ascii="Times New Roman" w:hAnsi="Times New Roman" w:cs="Times New Roman"/>
                <w:sz w:val="20"/>
                <w:szCs w:val="20"/>
                <w:lang w:val="ro-RO"/>
              </w:rPr>
              <w:t xml:space="preserve">tă a acestor puncte ar crea o </w:t>
            </w:r>
            <w:r w:rsidRPr="00BF1EEE">
              <w:rPr>
                <w:rFonts w:ascii="Times New Roman" w:hAnsi="Times New Roman" w:cs="Times New Roman"/>
                <w:sz w:val="20"/>
                <w:szCs w:val="20"/>
                <w:lang w:val="ro-RO"/>
              </w:rPr>
              <w:t>neconcordanță gravă cu c</w:t>
            </w:r>
            <w:r>
              <w:rPr>
                <w:rFonts w:ascii="Times New Roman" w:hAnsi="Times New Roman" w:cs="Times New Roman"/>
                <w:sz w:val="20"/>
                <w:szCs w:val="20"/>
                <w:lang w:val="ro-RO"/>
              </w:rPr>
              <w:t>adrul primar în curs de formare</w:t>
            </w:r>
            <w:r w:rsidRPr="00BF1EEE">
              <w:rPr>
                <w:rFonts w:ascii="Times New Roman" w:hAnsi="Times New Roman" w:cs="Times New Roman"/>
                <w:sz w:val="20"/>
                <w:szCs w:val="20"/>
                <w:lang w:val="ro-RO"/>
              </w:rPr>
              <w:t>, generând incertitudine juridică. Menținerea lor în forma actuală, până la intrarea în vigoare a</w:t>
            </w:r>
            <w:r>
              <w:rPr>
                <w:rFonts w:ascii="Times New Roman" w:hAnsi="Times New Roman" w:cs="Times New Roman"/>
                <w:sz w:val="20"/>
                <w:szCs w:val="20"/>
                <w:lang w:val="ro-RO"/>
              </w:rPr>
              <w:t xml:space="preserve"> noii legi sectoriale, este o măsură de prudență legislativă</w:t>
            </w:r>
            <w:r w:rsidRPr="00BF1EEE">
              <w:rPr>
                <w:rFonts w:ascii="Times New Roman" w:hAnsi="Times New Roman" w:cs="Times New Roman"/>
                <w:sz w:val="20"/>
                <w:szCs w:val="20"/>
                <w:lang w:val="ro-RO"/>
              </w:rPr>
              <w:t xml:space="preserve"> imperioasă pentru a se asigura stabilitatea sistemului.</w:t>
            </w:r>
          </w:p>
          <w:p w14:paraId="17DDEBE6" w14:textId="77777777" w:rsidR="00BF1EEE" w:rsidRDefault="00BF1EEE" w:rsidP="00BF1EEE">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3. </w:t>
            </w:r>
            <w:r w:rsidRPr="00BF1EEE">
              <w:rPr>
                <w:rFonts w:ascii="Times New Roman" w:hAnsi="Times New Roman" w:cs="Times New Roman"/>
                <w:sz w:val="20"/>
                <w:szCs w:val="20"/>
                <w:lang w:val="ro-RO"/>
              </w:rPr>
              <w:t xml:space="preserve">Delimitarea clară a sferei </w:t>
            </w:r>
            <w:r>
              <w:rPr>
                <w:rFonts w:ascii="Times New Roman" w:hAnsi="Times New Roman" w:cs="Times New Roman"/>
                <w:sz w:val="20"/>
                <w:szCs w:val="20"/>
                <w:lang w:val="ro-RO"/>
              </w:rPr>
              <w:t>de aplicare prin terminologie.</w:t>
            </w:r>
          </w:p>
          <w:p w14:paraId="6C3001B8" w14:textId="15B69C9F" w:rsidR="00BF1EEE" w:rsidRPr="00BF1EEE" w:rsidRDefault="00BF1EEE" w:rsidP="00BF1EEE">
            <w:pPr>
              <w:tabs>
                <w:tab w:val="left" w:pos="8505"/>
              </w:tabs>
              <w:jc w:val="both"/>
              <w:rPr>
                <w:rFonts w:ascii="Times New Roman" w:hAnsi="Times New Roman" w:cs="Times New Roman"/>
                <w:sz w:val="20"/>
                <w:szCs w:val="20"/>
                <w:lang w:val="ro-RO"/>
              </w:rPr>
            </w:pPr>
            <w:r w:rsidRPr="00BF1EEE">
              <w:rPr>
                <w:rFonts w:ascii="Times New Roman" w:hAnsi="Times New Roman" w:cs="Times New Roman"/>
                <w:sz w:val="20"/>
                <w:szCs w:val="20"/>
                <w:lang w:val="ro-RO"/>
              </w:rPr>
              <w:t>Punctul 7</w:t>
            </w:r>
            <w:r>
              <w:rPr>
                <w:rFonts w:ascii="Times New Roman" w:hAnsi="Times New Roman" w:cs="Times New Roman"/>
                <w:sz w:val="20"/>
                <w:szCs w:val="20"/>
                <w:vertAlign w:val="superscript"/>
                <w:lang w:val="ro-RO"/>
              </w:rPr>
              <w:t>1</w:t>
            </w:r>
            <w:r>
              <w:rPr>
                <w:rFonts w:ascii="Times New Roman" w:hAnsi="Times New Roman" w:cs="Times New Roman"/>
                <w:sz w:val="20"/>
                <w:szCs w:val="20"/>
                <w:lang w:val="ro-RO"/>
              </w:rPr>
              <w:t xml:space="preserve"> se referă expres la „</w:t>
            </w:r>
            <w:r w:rsidRPr="00BF1EEE">
              <w:rPr>
                <w:rFonts w:ascii="Times New Roman" w:hAnsi="Times New Roman" w:cs="Times New Roman"/>
                <w:sz w:val="20"/>
                <w:szCs w:val="20"/>
                <w:lang w:val="ro-RO"/>
              </w:rPr>
              <w:t>co</w:t>
            </w:r>
            <w:r>
              <w:rPr>
                <w:rFonts w:ascii="Times New Roman" w:hAnsi="Times New Roman" w:cs="Times New Roman"/>
                <w:sz w:val="20"/>
                <w:szCs w:val="20"/>
                <w:lang w:val="ro-RO"/>
              </w:rPr>
              <w:t>ntractele de achiziții publice</w:t>
            </w:r>
            <w:r w:rsidRPr="00BF1EEE">
              <w:rPr>
                <w:rFonts w:ascii="Times New Roman" w:hAnsi="Times New Roman" w:cs="Times New Roman"/>
                <w:sz w:val="20"/>
                <w:szCs w:val="20"/>
                <w:lang w:val="ro-RO"/>
              </w:rPr>
              <w:t>”, sintagmă tehnică care, în sistemul Legii nr. 325/2025, se corelează cu autoritățile contractante. Punctul 7 din HG 870</w:t>
            </w:r>
            <w:r>
              <w:rPr>
                <w:rFonts w:ascii="Times New Roman" w:hAnsi="Times New Roman" w:cs="Times New Roman"/>
                <w:sz w:val="20"/>
                <w:szCs w:val="20"/>
                <w:lang w:val="ro-RO"/>
              </w:rPr>
              <w:t>/2022 se referă la „entitățile contractante</w:t>
            </w:r>
            <w:r w:rsidRPr="00BF1EEE">
              <w:rPr>
                <w:rFonts w:ascii="Times New Roman" w:hAnsi="Times New Roman" w:cs="Times New Roman"/>
                <w:sz w:val="20"/>
                <w:szCs w:val="20"/>
                <w:lang w:val="ro-RO"/>
              </w:rPr>
              <w:t>” din sectoarele speciale. Această distincție terminologică elimină orice risc de suprapunere. Pragurile de la pct. 7</w:t>
            </w:r>
            <w:r>
              <w:rPr>
                <w:rFonts w:ascii="Times New Roman" w:hAnsi="Times New Roman" w:cs="Times New Roman"/>
                <w:sz w:val="20"/>
                <w:szCs w:val="20"/>
                <w:vertAlign w:val="superscript"/>
                <w:lang w:val="ro-RO"/>
              </w:rPr>
              <w:t>1</w:t>
            </w:r>
            <w:r>
              <w:rPr>
                <w:rFonts w:ascii="Times New Roman" w:hAnsi="Times New Roman" w:cs="Times New Roman"/>
                <w:sz w:val="20"/>
                <w:szCs w:val="20"/>
                <w:lang w:val="ro-RO"/>
              </w:rPr>
              <w:t xml:space="preserve"> sunt incidente </w:t>
            </w:r>
            <w:r w:rsidRPr="00BF1EEE">
              <w:rPr>
                <w:rFonts w:ascii="Times New Roman" w:hAnsi="Times New Roman" w:cs="Times New Roman"/>
                <w:sz w:val="20"/>
                <w:szCs w:val="20"/>
                <w:lang w:val="ro-RO"/>
              </w:rPr>
              <w:t>doar pentru autorităț</w:t>
            </w:r>
            <w:r>
              <w:rPr>
                <w:rFonts w:ascii="Times New Roman" w:hAnsi="Times New Roman" w:cs="Times New Roman"/>
                <w:sz w:val="20"/>
                <w:szCs w:val="20"/>
                <w:lang w:val="ro-RO"/>
              </w:rPr>
              <w:t>ile contractante</w:t>
            </w:r>
            <w:r w:rsidRPr="00BF1EEE">
              <w:rPr>
                <w:rFonts w:ascii="Times New Roman" w:hAnsi="Times New Roman" w:cs="Times New Roman"/>
                <w:sz w:val="20"/>
                <w:szCs w:val="20"/>
                <w:lang w:val="ro-RO"/>
              </w:rPr>
              <w:t xml:space="preserve"> (regimul general), i</w:t>
            </w:r>
            <w:r>
              <w:rPr>
                <w:rFonts w:ascii="Times New Roman" w:hAnsi="Times New Roman" w:cs="Times New Roman"/>
                <w:sz w:val="20"/>
                <w:szCs w:val="20"/>
                <w:lang w:val="ro-RO"/>
              </w:rPr>
              <w:t>ar punctul 7 rămâne aplicabil entităților contractante</w:t>
            </w:r>
            <w:r w:rsidRPr="00BF1EEE">
              <w:rPr>
                <w:rFonts w:ascii="Times New Roman" w:hAnsi="Times New Roman" w:cs="Times New Roman"/>
                <w:sz w:val="20"/>
                <w:szCs w:val="20"/>
                <w:lang w:val="ro-RO"/>
              </w:rPr>
              <w:t xml:space="preserve"> (regimul sectorial). Nu există nicio posibilitate ca același contract să fie evaluat în paralel</w:t>
            </w:r>
            <w:r>
              <w:rPr>
                <w:rFonts w:ascii="Times New Roman" w:hAnsi="Times New Roman" w:cs="Times New Roman"/>
                <w:sz w:val="20"/>
                <w:szCs w:val="20"/>
                <w:lang w:val="ro-RO"/>
              </w:rPr>
              <w:t xml:space="preserve"> după ambele seturi de praguri.</w:t>
            </w:r>
          </w:p>
          <w:p w14:paraId="2691C422" w14:textId="77777777" w:rsidR="00BF1EEE" w:rsidRDefault="00BF1EEE" w:rsidP="00BF1EEE">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4. </w:t>
            </w:r>
            <w:r w:rsidRPr="00BF1EEE">
              <w:rPr>
                <w:rFonts w:ascii="Times New Roman" w:hAnsi="Times New Roman" w:cs="Times New Roman"/>
                <w:sz w:val="20"/>
                <w:szCs w:val="20"/>
                <w:lang w:val="ro-RO"/>
              </w:rPr>
              <w:t>Corelarea procedurală es</w:t>
            </w:r>
            <w:r>
              <w:rPr>
                <w:rFonts w:ascii="Times New Roman" w:hAnsi="Times New Roman" w:cs="Times New Roman"/>
                <w:sz w:val="20"/>
                <w:szCs w:val="20"/>
                <w:lang w:val="ro-RO"/>
              </w:rPr>
              <w:t>te deja integrată în sistem.</w:t>
            </w:r>
          </w:p>
          <w:p w14:paraId="08BEE509" w14:textId="74A90C1C" w:rsidR="00BF1EEE" w:rsidRPr="00BF1EEE" w:rsidRDefault="00BF1EEE" w:rsidP="00BF1EEE">
            <w:pPr>
              <w:tabs>
                <w:tab w:val="left" w:pos="8505"/>
              </w:tabs>
              <w:jc w:val="both"/>
              <w:rPr>
                <w:rFonts w:ascii="Times New Roman" w:hAnsi="Times New Roman" w:cs="Times New Roman"/>
                <w:sz w:val="20"/>
                <w:szCs w:val="20"/>
                <w:lang w:val="ro-RO"/>
              </w:rPr>
            </w:pPr>
            <w:r w:rsidRPr="00BF1EEE">
              <w:rPr>
                <w:rFonts w:ascii="Times New Roman" w:hAnsi="Times New Roman" w:cs="Times New Roman"/>
                <w:sz w:val="20"/>
                <w:szCs w:val="20"/>
                <w:lang w:val="ro-RO"/>
              </w:rPr>
              <w:t>Regulamentul conține mecanisme de corelare. De exemplu, pct. 14 prevede excepții de la utilizarea sistemului informatic pentru anumite proceduri, inclusiv pentru contractele directe. Astfel, un contract atribuit direct de o autoritate (conform pct. 6) și care depășește pragul pct. 7</w:t>
            </w:r>
            <w:r>
              <w:rPr>
                <w:rFonts w:ascii="Times New Roman" w:hAnsi="Times New Roman" w:cs="Times New Roman"/>
                <w:sz w:val="20"/>
                <w:szCs w:val="20"/>
                <w:vertAlign w:val="superscript"/>
                <w:lang w:val="ro-RO"/>
              </w:rPr>
              <w:t>1</w:t>
            </w:r>
            <w:r w:rsidRPr="00BF1EEE">
              <w:rPr>
                <w:rFonts w:ascii="Times New Roman" w:hAnsi="Times New Roman" w:cs="Times New Roman"/>
                <w:sz w:val="20"/>
                <w:szCs w:val="20"/>
                <w:lang w:val="ro-RO"/>
              </w:rPr>
              <w:t xml:space="preserve"> va beneficia de excepțiile cor</w:t>
            </w:r>
            <w:r>
              <w:rPr>
                <w:rFonts w:ascii="Times New Roman" w:hAnsi="Times New Roman" w:cs="Times New Roman"/>
                <w:sz w:val="20"/>
                <w:szCs w:val="20"/>
                <w:lang w:val="ro-RO"/>
              </w:rPr>
              <w:t>espunzătoare, asigurându-se o aplicare fluidă și logică</w:t>
            </w:r>
            <w:r w:rsidRPr="00BF1EEE">
              <w:rPr>
                <w:rFonts w:ascii="Times New Roman" w:hAnsi="Times New Roman" w:cs="Times New Roman"/>
                <w:sz w:val="20"/>
                <w:szCs w:val="20"/>
                <w:lang w:val="ro-RO"/>
              </w:rPr>
              <w:t xml:space="preserve"> a tuturor </w:t>
            </w:r>
            <w:r w:rsidRPr="00BF1EEE">
              <w:rPr>
                <w:rFonts w:ascii="Times New Roman" w:hAnsi="Times New Roman" w:cs="Times New Roman"/>
                <w:sz w:val="20"/>
                <w:szCs w:val="20"/>
                <w:lang w:val="ro-RO"/>
              </w:rPr>
              <w:lastRenderedPageBreak/>
              <w:t>prevederilor. Nu este necesară o „precizare” suplimentară a procedurii pentru intervalul 150.000 – 300.000 MDL, deoarece acesta este deja acoperit de regimul de achiziție de valoare mică cu particularitățile sale, regim aplicabil tuturor contractelor de valoare mică de la pragul minim (50.000 MDL) până la pragurile maxime menționate.</w:t>
            </w:r>
          </w:p>
          <w:p w14:paraId="0EA29A5E" w14:textId="1301F4EC" w:rsidR="00720E22" w:rsidRPr="00BF1EEE" w:rsidRDefault="00BF1EEE" w:rsidP="00105148">
            <w:pPr>
              <w:tabs>
                <w:tab w:val="left" w:pos="8505"/>
              </w:tabs>
              <w:jc w:val="both"/>
              <w:rPr>
                <w:rFonts w:ascii="Times New Roman" w:hAnsi="Times New Roman" w:cs="Times New Roman"/>
                <w:sz w:val="20"/>
                <w:szCs w:val="20"/>
                <w:lang w:val="ro-RO"/>
              </w:rPr>
            </w:pPr>
            <w:r w:rsidRPr="00BF1EEE">
              <w:rPr>
                <w:rFonts w:ascii="Times New Roman" w:hAnsi="Times New Roman" w:cs="Times New Roman"/>
                <w:sz w:val="20"/>
                <w:szCs w:val="20"/>
                <w:lang w:val="ro-RO"/>
              </w:rPr>
              <w:t xml:space="preserve">Propunerea </w:t>
            </w:r>
            <w:r>
              <w:rPr>
                <w:rFonts w:ascii="Times New Roman" w:hAnsi="Times New Roman" w:cs="Times New Roman"/>
                <w:sz w:val="20"/>
                <w:szCs w:val="20"/>
                <w:lang w:val="ro-RO"/>
              </w:rPr>
              <w:t>de modificare se bazează pe o interpretare eronată</w:t>
            </w:r>
            <w:r w:rsidRPr="00BF1EEE">
              <w:rPr>
                <w:rFonts w:ascii="Times New Roman" w:hAnsi="Times New Roman" w:cs="Times New Roman"/>
                <w:sz w:val="20"/>
                <w:szCs w:val="20"/>
                <w:lang w:val="ro-RO"/>
              </w:rPr>
              <w:t xml:space="preserve"> a arhitecturii normative, confundând două niveluri de reglementare distincte (condiții de fond vs. particularități procedurale) și ignorând distincția esențială dintre autorități și entități</w:t>
            </w:r>
            <w:r>
              <w:rPr>
                <w:rFonts w:ascii="Times New Roman" w:hAnsi="Times New Roman" w:cs="Times New Roman"/>
                <w:sz w:val="20"/>
                <w:szCs w:val="20"/>
                <w:lang w:val="ro-RO"/>
              </w:rPr>
              <w:t xml:space="preserve">. Acceptarea ei ar duce la o </w:t>
            </w:r>
            <w:r w:rsidRPr="00BF1EEE">
              <w:rPr>
                <w:rFonts w:ascii="Times New Roman" w:hAnsi="Times New Roman" w:cs="Times New Roman"/>
                <w:sz w:val="20"/>
                <w:szCs w:val="20"/>
                <w:lang w:val="ro-RO"/>
              </w:rPr>
              <w:t>reglementare contradictorie</w:t>
            </w:r>
            <w:r>
              <w:rPr>
                <w:rFonts w:ascii="Times New Roman" w:hAnsi="Times New Roman" w:cs="Times New Roman"/>
                <w:sz w:val="20"/>
                <w:szCs w:val="20"/>
                <w:lang w:val="ro-RO"/>
              </w:rPr>
              <w:t>, discriminatorie și instabilă</w:t>
            </w:r>
            <w:r w:rsidRPr="00BF1EEE">
              <w:rPr>
                <w:rFonts w:ascii="Times New Roman" w:hAnsi="Times New Roman" w:cs="Times New Roman"/>
                <w:sz w:val="20"/>
                <w:szCs w:val="20"/>
                <w:lang w:val="ro-RO"/>
              </w:rPr>
              <w:t>, încălcând principiile de claritate, predictibilitate și tratament uniform. Textul proiectului, în</w:t>
            </w:r>
            <w:r w:rsidR="00105148">
              <w:rPr>
                <w:rFonts w:ascii="Times New Roman" w:hAnsi="Times New Roman" w:cs="Times New Roman"/>
                <w:sz w:val="20"/>
                <w:szCs w:val="20"/>
                <w:lang w:val="ro-RO"/>
              </w:rPr>
              <w:t xml:space="preserve"> forma sa inițială, asigură o </w:t>
            </w:r>
            <w:r w:rsidRPr="00BF1EEE">
              <w:rPr>
                <w:rFonts w:ascii="Times New Roman" w:hAnsi="Times New Roman" w:cs="Times New Roman"/>
                <w:sz w:val="20"/>
                <w:szCs w:val="20"/>
                <w:lang w:val="ro-RO"/>
              </w:rPr>
              <w:t>structură coerentă, ierarhică și si</w:t>
            </w:r>
            <w:r w:rsidR="00105148">
              <w:rPr>
                <w:rFonts w:ascii="Times New Roman" w:hAnsi="Times New Roman" w:cs="Times New Roman"/>
                <w:sz w:val="20"/>
                <w:szCs w:val="20"/>
                <w:lang w:val="ro-RO"/>
              </w:rPr>
              <w:t>gură juridic</w:t>
            </w:r>
            <w:r w:rsidRPr="00BF1EEE">
              <w:rPr>
                <w:rFonts w:ascii="Times New Roman" w:hAnsi="Times New Roman" w:cs="Times New Roman"/>
                <w:sz w:val="20"/>
                <w:szCs w:val="20"/>
                <w:lang w:val="ro-RO"/>
              </w:rPr>
              <w:t>, perfect aliniată cu principiile dreptului achiz</w:t>
            </w:r>
            <w:r w:rsidR="00105148">
              <w:rPr>
                <w:rFonts w:ascii="Times New Roman" w:hAnsi="Times New Roman" w:cs="Times New Roman"/>
                <w:sz w:val="20"/>
                <w:szCs w:val="20"/>
                <w:lang w:val="ro-RO"/>
              </w:rPr>
              <w:t xml:space="preserve">ițiilor publice. Prin urmare, </w:t>
            </w:r>
            <w:r w:rsidRPr="00BF1EEE">
              <w:rPr>
                <w:rFonts w:ascii="Times New Roman" w:hAnsi="Times New Roman" w:cs="Times New Roman"/>
                <w:sz w:val="20"/>
                <w:szCs w:val="20"/>
                <w:lang w:val="ro-RO"/>
              </w:rPr>
              <w:t>punctul 7</w:t>
            </w:r>
            <w:r w:rsidR="00105148">
              <w:rPr>
                <w:rFonts w:ascii="Times New Roman" w:hAnsi="Times New Roman" w:cs="Times New Roman"/>
                <w:sz w:val="20"/>
                <w:szCs w:val="20"/>
                <w:vertAlign w:val="superscript"/>
                <w:lang w:val="ro-RO"/>
              </w:rPr>
              <w:t>1</w:t>
            </w:r>
            <w:r w:rsidR="00105148">
              <w:rPr>
                <w:rFonts w:ascii="Times New Roman" w:hAnsi="Times New Roman" w:cs="Times New Roman"/>
                <w:sz w:val="20"/>
                <w:szCs w:val="20"/>
                <w:lang w:val="ro-RO"/>
              </w:rPr>
              <w:t xml:space="preserve"> se menține în forma propusă</w:t>
            </w:r>
            <w:r w:rsidRPr="00BF1EEE">
              <w:rPr>
                <w:rFonts w:ascii="Times New Roman" w:hAnsi="Times New Roman" w:cs="Times New Roman"/>
                <w:sz w:val="20"/>
                <w:szCs w:val="20"/>
                <w:lang w:val="ro-RO"/>
              </w:rPr>
              <w:t>.</w:t>
            </w:r>
          </w:p>
        </w:tc>
      </w:tr>
      <w:tr w:rsidR="00720E22" w:rsidRPr="00760BD0" w14:paraId="10F93F61" w14:textId="77777777" w:rsidTr="00A919EA">
        <w:trPr>
          <w:trHeight w:val="416"/>
        </w:trPr>
        <w:tc>
          <w:tcPr>
            <w:tcW w:w="3397" w:type="dxa"/>
          </w:tcPr>
          <w:p w14:paraId="1CDA4910" w14:textId="0E8E7C0F" w:rsidR="000B0A7F" w:rsidRPr="003D570B" w:rsidRDefault="000B0A7F" w:rsidP="000B0A7F">
            <w:pPr>
              <w:tabs>
                <w:tab w:val="left" w:pos="8505"/>
              </w:tabs>
              <w:jc w:val="both"/>
              <w:rPr>
                <w:rFonts w:ascii="Times New Roman" w:hAnsi="Times New Roman" w:cs="Times New Roman"/>
                <w:b/>
                <w:bCs/>
                <w:sz w:val="20"/>
                <w:szCs w:val="20"/>
                <w:lang w:val="it-IT"/>
              </w:rPr>
            </w:pPr>
            <w:r w:rsidRPr="003D570B">
              <w:rPr>
                <w:rFonts w:ascii="Times New Roman" w:hAnsi="Times New Roman" w:cs="Times New Roman"/>
                <w:b/>
                <w:bCs/>
                <w:sz w:val="20"/>
                <w:szCs w:val="20"/>
                <w:lang w:val="it-IT"/>
              </w:rPr>
              <w:lastRenderedPageBreak/>
              <w:t>HG 870/2022</w:t>
            </w:r>
          </w:p>
          <w:p w14:paraId="5AFB1BF4" w14:textId="12568934" w:rsidR="00720E22" w:rsidRPr="00105148" w:rsidRDefault="000B0A7F" w:rsidP="000B0A7F">
            <w:pPr>
              <w:tabs>
                <w:tab w:val="left" w:pos="8505"/>
              </w:tabs>
              <w:jc w:val="both"/>
              <w:rPr>
                <w:rFonts w:ascii="Times New Roman" w:hAnsi="Times New Roman" w:cs="Times New Roman"/>
                <w:b/>
                <w:sz w:val="20"/>
                <w:szCs w:val="20"/>
                <w:lang w:val="ro-RO"/>
              </w:rPr>
            </w:pPr>
            <w:r w:rsidRPr="003D570B">
              <w:rPr>
                <w:rFonts w:ascii="Times New Roman" w:hAnsi="Times New Roman" w:cs="Times New Roman"/>
                <w:b/>
                <w:bCs/>
                <w:sz w:val="20"/>
                <w:szCs w:val="20"/>
                <w:lang w:val="it-IT"/>
              </w:rPr>
              <w:t xml:space="preserve">Pct. 9. </w:t>
            </w:r>
            <w:r w:rsidRPr="003D570B">
              <w:rPr>
                <w:rFonts w:ascii="Times New Roman" w:hAnsi="Times New Roman" w:cs="Times New Roman"/>
                <w:sz w:val="20"/>
                <w:szCs w:val="20"/>
                <w:lang w:val="it-IT"/>
              </w:rPr>
              <w:t>La realizarea achizițiilor publice, autoritatea/entitatea contractantă asigură respectarea regulilor de evitare a conflictelor de interese reglementate de actele normative, inclusiv la aplicarea pct. 4 - 7, prin implementarea controlului intern managerial.</w:t>
            </w:r>
          </w:p>
        </w:tc>
        <w:tc>
          <w:tcPr>
            <w:tcW w:w="2977" w:type="dxa"/>
          </w:tcPr>
          <w:p w14:paraId="6E6C337C" w14:textId="77777777" w:rsidR="00720E22" w:rsidRPr="00154388" w:rsidRDefault="00720E22"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47FFFFB4" w14:textId="559E9AFF" w:rsidR="00720E22" w:rsidRDefault="00720E22"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43016658" w14:textId="6D1A35C9" w:rsidR="00720E22" w:rsidRPr="003D570B" w:rsidRDefault="00720E22" w:rsidP="00720E22">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Suplimentar, la pct. 9 din Regulament, recomandăm inserarea unei trimiteri la pct. 7</w:t>
            </w:r>
            <w:r w:rsidRPr="003D570B">
              <w:rPr>
                <w:rFonts w:ascii="Times New Roman" w:hAnsi="Times New Roman" w:cs="Times New Roman"/>
                <w:sz w:val="20"/>
                <w:szCs w:val="20"/>
                <w:vertAlign w:val="superscript"/>
                <w:lang w:val="it-IT"/>
              </w:rPr>
              <w:t>1</w:t>
            </w:r>
            <w:r w:rsidRPr="003D570B">
              <w:rPr>
                <w:rFonts w:ascii="Times New Roman" w:hAnsi="Times New Roman" w:cs="Times New Roman"/>
                <w:sz w:val="20"/>
                <w:szCs w:val="20"/>
                <w:lang w:val="it-IT"/>
              </w:rPr>
              <w:t>.</w:t>
            </w:r>
          </w:p>
        </w:tc>
        <w:tc>
          <w:tcPr>
            <w:tcW w:w="3436" w:type="dxa"/>
          </w:tcPr>
          <w:p w14:paraId="3287767A" w14:textId="77777777" w:rsidR="00720E22" w:rsidRDefault="000B0A7F" w:rsidP="00797C0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27C02286" w14:textId="7868AA6B" w:rsidR="000B0A7F" w:rsidRPr="004976AE" w:rsidRDefault="000B0A7F" w:rsidP="00797C0D">
            <w:pPr>
              <w:tabs>
                <w:tab w:val="left" w:pos="8505"/>
              </w:tabs>
              <w:jc w:val="both"/>
              <w:rPr>
                <w:rFonts w:ascii="Times New Roman" w:hAnsi="Times New Roman" w:cs="Times New Roman"/>
                <w:sz w:val="20"/>
                <w:szCs w:val="20"/>
                <w:lang w:val="ro-RO"/>
              </w:rPr>
            </w:pPr>
            <w:r w:rsidRPr="004976AE">
              <w:rPr>
                <w:rFonts w:ascii="Times New Roman" w:hAnsi="Times New Roman" w:cs="Times New Roman"/>
                <w:sz w:val="20"/>
                <w:szCs w:val="20"/>
                <w:lang w:val="ro-RO"/>
              </w:rPr>
              <w:t xml:space="preserve">La pct. 9 </w:t>
            </w:r>
            <w:r w:rsidRPr="004976AE">
              <w:rPr>
                <w:rFonts w:ascii="Times New Roman" w:hAnsi="Times New Roman"/>
                <w:color w:val="000000" w:themeColor="text1"/>
                <w:sz w:val="28"/>
                <w:lang w:val="ro-RO"/>
              </w:rPr>
              <w:t xml:space="preserve"> </w:t>
            </w:r>
            <w:r w:rsidRPr="004976AE">
              <w:rPr>
                <w:rFonts w:ascii="Times New Roman" w:hAnsi="Times New Roman" w:cs="Times New Roman"/>
                <w:sz w:val="20"/>
                <w:szCs w:val="20"/>
                <w:lang w:val="ro-RO"/>
              </w:rPr>
              <w:t>cifra „7” se substituie cu cifra „7</w:t>
            </w:r>
            <w:r w:rsidRPr="004976AE">
              <w:rPr>
                <w:rFonts w:ascii="Times New Roman" w:hAnsi="Times New Roman" w:cs="Times New Roman"/>
                <w:sz w:val="20"/>
                <w:szCs w:val="20"/>
                <w:vertAlign w:val="superscript"/>
                <w:lang w:val="ro-RO"/>
              </w:rPr>
              <w:t>1</w:t>
            </w:r>
            <w:r w:rsidRPr="004976AE">
              <w:rPr>
                <w:rFonts w:ascii="Times New Roman" w:hAnsi="Times New Roman" w:cs="Times New Roman"/>
                <w:sz w:val="20"/>
                <w:szCs w:val="20"/>
                <w:lang w:val="ro-RO"/>
              </w:rPr>
              <w:t>”.”</w:t>
            </w:r>
          </w:p>
        </w:tc>
      </w:tr>
      <w:tr w:rsidR="00720E22" w:rsidRPr="00760BD0" w14:paraId="716CCEFD" w14:textId="77777777" w:rsidTr="00A919EA">
        <w:trPr>
          <w:trHeight w:val="416"/>
        </w:trPr>
        <w:tc>
          <w:tcPr>
            <w:tcW w:w="3397" w:type="dxa"/>
          </w:tcPr>
          <w:p w14:paraId="663589E2" w14:textId="77777777" w:rsidR="004976AE" w:rsidRPr="00C3303F" w:rsidRDefault="004976AE" w:rsidP="004976AE">
            <w:pPr>
              <w:tabs>
                <w:tab w:val="left" w:pos="8505"/>
              </w:tabs>
              <w:jc w:val="both"/>
              <w:rPr>
                <w:rFonts w:ascii="Times New Roman" w:hAnsi="Times New Roman" w:cs="Times New Roman"/>
                <w:sz w:val="20"/>
                <w:szCs w:val="20"/>
                <w:lang w:val="ro-RO"/>
              </w:rPr>
            </w:pPr>
            <w:r w:rsidRPr="00C3303F">
              <w:rPr>
                <w:rFonts w:ascii="Times New Roman" w:hAnsi="Times New Roman" w:cs="Times New Roman"/>
                <w:b/>
                <w:sz w:val="20"/>
                <w:szCs w:val="20"/>
                <w:lang w:val="ro-RO"/>
              </w:rPr>
              <w:t>1.8.</w:t>
            </w:r>
            <w:r>
              <w:rPr>
                <w:rFonts w:ascii="Times New Roman" w:hAnsi="Times New Roman" w:cs="Times New Roman"/>
                <w:b/>
                <w:sz w:val="20"/>
                <w:szCs w:val="20"/>
                <w:lang w:val="ro-RO"/>
              </w:rPr>
              <w:t xml:space="preserve"> </w:t>
            </w:r>
            <w:r w:rsidRPr="00C3303F">
              <w:rPr>
                <w:rFonts w:ascii="Times New Roman" w:hAnsi="Times New Roman" w:cs="Times New Roman"/>
                <w:sz w:val="20"/>
                <w:szCs w:val="20"/>
                <w:lang w:val="ro-RO"/>
              </w:rPr>
              <w:t>Punctul 13 va avea următorul cuprins:</w:t>
            </w:r>
          </w:p>
          <w:p w14:paraId="706B2495" w14:textId="2EF78961" w:rsidR="00720E22" w:rsidRPr="003D570B" w:rsidRDefault="004976AE" w:rsidP="004976AE">
            <w:pPr>
              <w:tabs>
                <w:tab w:val="left" w:pos="8505"/>
              </w:tabs>
              <w:jc w:val="both"/>
              <w:rPr>
                <w:rFonts w:ascii="Times New Roman" w:hAnsi="Times New Roman" w:cs="Times New Roman"/>
                <w:b/>
                <w:sz w:val="20"/>
                <w:szCs w:val="20"/>
                <w:lang w:val="it-IT"/>
              </w:rPr>
            </w:pPr>
            <w:r w:rsidRPr="00C3303F">
              <w:rPr>
                <w:rFonts w:ascii="Times New Roman" w:hAnsi="Times New Roman" w:cs="Times New Roman"/>
                <w:sz w:val="20"/>
                <w:szCs w:val="20"/>
                <w:lang w:val="ro-RO"/>
              </w:rPr>
              <w:t xml:space="preserve">„13. Achizițiile publice de valoare mică, inclusiv cele prevăzute la pct. 4 și 5, se realizează de către autoritatea/entitatea contractantă în baza planului anual/provizoriu de achiziții sau din motive de urgență, ca urmare a apariției unor necesități neplanificate sau evenimente imprevizibile, în </w:t>
            </w:r>
            <w:r w:rsidRPr="00C3303F">
              <w:rPr>
                <w:rFonts w:ascii="Times New Roman" w:hAnsi="Times New Roman" w:cs="Times New Roman"/>
                <w:sz w:val="20"/>
                <w:szCs w:val="20"/>
                <w:lang w:val="ro-RO"/>
              </w:rPr>
              <w:lastRenderedPageBreak/>
              <w:t>conformitate cu prevederile privind modul de planificare a achizițiilor publice/sectoriale.”.</w:t>
            </w:r>
          </w:p>
        </w:tc>
        <w:tc>
          <w:tcPr>
            <w:tcW w:w="2977" w:type="dxa"/>
          </w:tcPr>
          <w:p w14:paraId="596762A3" w14:textId="77777777" w:rsidR="00720E22" w:rsidRPr="00154388" w:rsidRDefault="00720E22"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6E3FE074" w14:textId="69E1FC2A" w:rsidR="00720E22" w:rsidRDefault="00720E22"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2392A8CB" w14:textId="77141C02" w:rsidR="00720E22" w:rsidRPr="003D570B" w:rsidRDefault="00720E22" w:rsidP="00720E22">
            <w:pPr>
              <w:jc w:val="both"/>
              <w:rPr>
                <w:rFonts w:ascii="Times New Roman" w:hAnsi="Times New Roman" w:cs="Times New Roman"/>
                <w:sz w:val="20"/>
                <w:szCs w:val="20"/>
                <w:lang w:val="ro-RO"/>
              </w:rPr>
            </w:pPr>
            <w:r w:rsidRPr="003D570B">
              <w:rPr>
                <w:rFonts w:ascii="Times New Roman" w:hAnsi="Times New Roman" w:cs="Times New Roman"/>
                <w:sz w:val="20"/>
                <w:szCs w:val="20"/>
                <w:lang w:val="ro-RO"/>
              </w:rPr>
              <w:t xml:space="preserve">La pct. 1.8 din proiectul hotărârii de Guvern, recomandăm evaluarea necesității stabilirii exacte a motivelor de urgență și a justificării acestora, similar prevederilor din Legea nr. 325/2025, în condițiile în care Regulamentul cu privire la modul de planificare a achizițiilor publice, aprobat prin Hotărârea Guvernului nr. 695/2025, nu precizează modalitățile de </w:t>
            </w:r>
            <w:r w:rsidRPr="003D570B">
              <w:rPr>
                <w:rFonts w:ascii="Times New Roman" w:hAnsi="Times New Roman" w:cs="Times New Roman"/>
                <w:sz w:val="20"/>
                <w:szCs w:val="20"/>
                <w:lang w:val="ro-RO"/>
              </w:rPr>
              <w:lastRenderedPageBreak/>
              <w:t>documentare sau necesitatea justificării cazurilor de urgență.</w:t>
            </w:r>
          </w:p>
        </w:tc>
        <w:tc>
          <w:tcPr>
            <w:tcW w:w="3436" w:type="dxa"/>
          </w:tcPr>
          <w:p w14:paraId="20818246" w14:textId="1E2E04C6" w:rsidR="0051115B" w:rsidRPr="0051115B" w:rsidRDefault="0051115B" w:rsidP="0051115B">
            <w:pPr>
              <w:tabs>
                <w:tab w:val="left" w:pos="8505"/>
              </w:tabs>
              <w:jc w:val="both"/>
              <w:rPr>
                <w:rFonts w:ascii="Times New Roman" w:hAnsi="Times New Roman" w:cs="Times New Roman"/>
                <w:b/>
                <w:sz w:val="20"/>
                <w:szCs w:val="20"/>
                <w:lang w:val="ro-RO"/>
              </w:rPr>
            </w:pPr>
            <w:r w:rsidRPr="0051115B">
              <w:rPr>
                <w:rFonts w:ascii="Times New Roman" w:hAnsi="Times New Roman" w:cs="Times New Roman"/>
                <w:b/>
                <w:sz w:val="20"/>
                <w:szCs w:val="20"/>
                <w:lang w:val="ro-RO"/>
              </w:rPr>
              <w:lastRenderedPageBreak/>
              <w:t>Nu se acceptă</w:t>
            </w:r>
          </w:p>
          <w:p w14:paraId="06A9BDD5" w14:textId="77777777" w:rsidR="0051115B" w:rsidRPr="0051115B" w:rsidRDefault="0051115B" w:rsidP="0051115B">
            <w:pPr>
              <w:tabs>
                <w:tab w:val="left" w:pos="8505"/>
              </w:tabs>
              <w:jc w:val="both"/>
              <w:rPr>
                <w:rFonts w:ascii="Times New Roman" w:hAnsi="Times New Roman" w:cs="Times New Roman"/>
                <w:sz w:val="20"/>
                <w:szCs w:val="20"/>
                <w:lang w:val="ro-RO"/>
              </w:rPr>
            </w:pPr>
            <w:r w:rsidRPr="0051115B">
              <w:rPr>
                <w:rFonts w:ascii="Times New Roman" w:hAnsi="Times New Roman" w:cs="Times New Roman"/>
                <w:sz w:val="20"/>
                <w:szCs w:val="20"/>
                <w:lang w:val="ro-RO"/>
              </w:rPr>
              <w:t>Propunerea nu poate fi acceptată, deoarece textul actual al punctului 13 din proiect conține deja garanții suficiente împotriva utilizării abuzive a clauzei de urgență, iar introducerea unor precizări suplimentare ar genera o suprapunere normativă nejustificată.</w:t>
            </w:r>
          </w:p>
          <w:p w14:paraId="2A4EDB18" w14:textId="5055225F" w:rsidR="0051115B" w:rsidRPr="0051115B" w:rsidRDefault="0051115B" w:rsidP="0051115B">
            <w:pPr>
              <w:tabs>
                <w:tab w:val="left" w:pos="8505"/>
              </w:tabs>
              <w:jc w:val="both"/>
              <w:rPr>
                <w:rFonts w:ascii="Times New Roman" w:hAnsi="Times New Roman" w:cs="Times New Roman"/>
                <w:sz w:val="20"/>
                <w:szCs w:val="20"/>
                <w:lang w:val="ro-RO"/>
              </w:rPr>
            </w:pPr>
            <w:r w:rsidRPr="0051115B">
              <w:rPr>
                <w:rFonts w:ascii="Times New Roman" w:hAnsi="Times New Roman" w:cs="Times New Roman"/>
                <w:sz w:val="20"/>
                <w:szCs w:val="20"/>
                <w:lang w:val="ro-RO"/>
              </w:rPr>
              <w:t>Argumente</w:t>
            </w:r>
            <w:r>
              <w:rPr>
                <w:rFonts w:ascii="Times New Roman" w:hAnsi="Times New Roman" w:cs="Times New Roman"/>
                <w:sz w:val="20"/>
                <w:szCs w:val="20"/>
                <w:lang w:val="ro-RO"/>
              </w:rPr>
              <w:t>le detaliate sunt următoarele:</w:t>
            </w:r>
          </w:p>
          <w:p w14:paraId="7A6FFCE7" w14:textId="1E11CB06" w:rsidR="0051115B" w:rsidRPr="0051115B" w:rsidRDefault="0051115B" w:rsidP="0051115B">
            <w:pPr>
              <w:tabs>
                <w:tab w:val="left" w:pos="8505"/>
              </w:tabs>
              <w:jc w:val="both"/>
              <w:rPr>
                <w:rFonts w:ascii="Times New Roman" w:hAnsi="Times New Roman" w:cs="Times New Roman"/>
                <w:sz w:val="20"/>
                <w:szCs w:val="20"/>
                <w:lang w:val="ro-RO"/>
              </w:rPr>
            </w:pPr>
            <w:r w:rsidRPr="0051115B">
              <w:rPr>
                <w:rFonts w:ascii="Times New Roman" w:hAnsi="Times New Roman" w:cs="Times New Roman"/>
                <w:sz w:val="20"/>
                <w:szCs w:val="20"/>
                <w:lang w:val="ro-RO"/>
              </w:rPr>
              <w:lastRenderedPageBreak/>
              <w:t>1. Textul proiectului instituie deja criterii cumulat</w:t>
            </w:r>
            <w:r>
              <w:rPr>
                <w:rFonts w:ascii="Times New Roman" w:hAnsi="Times New Roman" w:cs="Times New Roman"/>
                <w:sz w:val="20"/>
                <w:szCs w:val="20"/>
                <w:lang w:val="ro-RO"/>
              </w:rPr>
              <w:t>ive pentru invocarea urgenței.</w:t>
            </w:r>
          </w:p>
          <w:p w14:paraId="5C66A010" w14:textId="349E4E85" w:rsidR="0051115B" w:rsidRPr="0051115B" w:rsidRDefault="0051115B" w:rsidP="0051115B">
            <w:pPr>
              <w:tabs>
                <w:tab w:val="left" w:pos="8505"/>
              </w:tabs>
              <w:jc w:val="both"/>
              <w:rPr>
                <w:rFonts w:ascii="Times New Roman" w:hAnsi="Times New Roman" w:cs="Times New Roman"/>
                <w:sz w:val="20"/>
                <w:szCs w:val="20"/>
                <w:lang w:val="ro-RO"/>
              </w:rPr>
            </w:pPr>
            <w:r w:rsidRPr="0051115B">
              <w:rPr>
                <w:rFonts w:ascii="Times New Roman" w:hAnsi="Times New Roman" w:cs="Times New Roman"/>
                <w:sz w:val="20"/>
                <w:szCs w:val="20"/>
                <w:lang w:val="ro-RO"/>
              </w:rPr>
              <w:t>Pct. 13 condiționează realizarea achizițiilor din motiv</w:t>
            </w:r>
            <w:r>
              <w:rPr>
                <w:rFonts w:ascii="Times New Roman" w:hAnsi="Times New Roman" w:cs="Times New Roman"/>
                <w:sz w:val="20"/>
                <w:szCs w:val="20"/>
                <w:lang w:val="ro-RO"/>
              </w:rPr>
              <w:t xml:space="preserve">e de urgență de apariția unor </w:t>
            </w:r>
            <w:r w:rsidRPr="0051115B">
              <w:rPr>
                <w:rFonts w:ascii="Times New Roman" w:hAnsi="Times New Roman" w:cs="Times New Roman"/>
                <w:sz w:val="20"/>
                <w:szCs w:val="20"/>
                <w:lang w:val="ro-RO"/>
              </w:rPr>
              <w:t>„necesități neplanificate</w:t>
            </w:r>
            <w:r>
              <w:rPr>
                <w:rFonts w:ascii="Times New Roman" w:hAnsi="Times New Roman" w:cs="Times New Roman"/>
                <w:sz w:val="20"/>
                <w:szCs w:val="20"/>
                <w:lang w:val="ro-RO"/>
              </w:rPr>
              <w:t xml:space="preserve"> sau evenimente imprevizibile”</w:t>
            </w:r>
            <w:r w:rsidRPr="0051115B">
              <w:rPr>
                <w:rFonts w:ascii="Times New Roman" w:hAnsi="Times New Roman" w:cs="Times New Roman"/>
                <w:sz w:val="20"/>
                <w:szCs w:val="20"/>
                <w:lang w:val="ro-RO"/>
              </w:rPr>
              <w:t>. Această formulare stabilește două criterii cumulative — caracterul neplanificat și cel imprevizibil — care delimitează clar și restrictiv sfera situațiilor în care autoritatea/entitatea contractantă poate deroga de la planificare. Stabilirea</w:t>
            </w:r>
            <w:r>
              <w:rPr>
                <w:rFonts w:ascii="Times New Roman" w:hAnsi="Times New Roman" w:cs="Times New Roman"/>
                <w:sz w:val="20"/>
                <w:szCs w:val="20"/>
                <w:lang w:val="ro-RO"/>
              </w:rPr>
              <w:t xml:space="preserve"> unor motive de urgență „exacte”</w:t>
            </w:r>
            <w:r w:rsidRPr="0051115B">
              <w:rPr>
                <w:rFonts w:ascii="Times New Roman" w:hAnsi="Times New Roman" w:cs="Times New Roman"/>
                <w:sz w:val="20"/>
                <w:szCs w:val="20"/>
                <w:lang w:val="ro-RO"/>
              </w:rPr>
              <w:t xml:space="preserve"> ar echivala cu o enumerare limitativă, ceea ce ar restrânge excesiv flexibilitatea necesară pentru a răspunde diversității situațiilo</w:t>
            </w:r>
            <w:r>
              <w:rPr>
                <w:rFonts w:ascii="Times New Roman" w:hAnsi="Times New Roman" w:cs="Times New Roman"/>
                <w:sz w:val="20"/>
                <w:szCs w:val="20"/>
                <w:lang w:val="ro-RO"/>
              </w:rPr>
              <w:t>r reale, contrar principiului proporționalității</w:t>
            </w:r>
            <w:r w:rsidRPr="0051115B">
              <w:rPr>
                <w:rFonts w:ascii="Times New Roman" w:hAnsi="Times New Roman" w:cs="Times New Roman"/>
                <w:sz w:val="20"/>
                <w:szCs w:val="20"/>
                <w:lang w:val="ro-RO"/>
              </w:rPr>
              <w:t xml:space="preserve"> consacrat de Legea nr. 325/2025.</w:t>
            </w:r>
          </w:p>
          <w:p w14:paraId="0DECE989" w14:textId="6D2C7F84" w:rsidR="0051115B" w:rsidRPr="0051115B" w:rsidRDefault="0051115B" w:rsidP="0051115B">
            <w:pPr>
              <w:tabs>
                <w:tab w:val="left" w:pos="8505"/>
              </w:tabs>
              <w:jc w:val="both"/>
              <w:rPr>
                <w:rFonts w:ascii="Times New Roman" w:hAnsi="Times New Roman" w:cs="Times New Roman"/>
                <w:sz w:val="20"/>
                <w:szCs w:val="20"/>
                <w:lang w:val="ro-RO"/>
              </w:rPr>
            </w:pPr>
            <w:r w:rsidRPr="0051115B">
              <w:rPr>
                <w:rFonts w:ascii="Times New Roman" w:hAnsi="Times New Roman" w:cs="Times New Roman"/>
                <w:sz w:val="20"/>
                <w:szCs w:val="20"/>
                <w:lang w:val="ro-RO"/>
              </w:rPr>
              <w:t>2. Referința la reglementările de planificare asigură co</w:t>
            </w:r>
            <w:r>
              <w:rPr>
                <w:rFonts w:ascii="Times New Roman" w:hAnsi="Times New Roman" w:cs="Times New Roman"/>
                <w:sz w:val="20"/>
                <w:szCs w:val="20"/>
                <w:lang w:val="ro-RO"/>
              </w:rPr>
              <w:t>mpletarea cadrului procedural.</w:t>
            </w:r>
          </w:p>
          <w:p w14:paraId="54C7F453" w14:textId="60ECEACD" w:rsidR="0051115B" w:rsidRPr="0051115B" w:rsidRDefault="0051115B" w:rsidP="0051115B">
            <w:pPr>
              <w:tabs>
                <w:tab w:val="left" w:pos="8505"/>
              </w:tabs>
              <w:jc w:val="both"/>
              <w:rPr>
                <w:rFonts w:ascii="Times New Roman" w:hAnsi="Times New Roman" w:cs="Times New Roman"/>
                <w:sz w:val="20"/>
                <w:szCs w:val="20"/>
                <w:lang w:val="ro-RO"/>
              </w:rPr>
            </w:pPr>
            <w:r w:rsidRPr="0051115B">
              <w:rPr>
                <w:rFonts w:ascii="Times New Roman" w:hAnsi="Times New Roman" w:cs="Times New Roman"/>
                <w:sz w:val="20"/>
                <w:szCs w:val="20"/>
                <w:lang w:val="ro-RO"/>
              </w:rPr>
              <w:t>Textul proiectului prevede expres că achiziț</w:t>
            </w:r>
            <w:r>
              <w:rPr>
                <w:rFonts w:ascii="Times New Roman" w:hAnsi="Times New Roman" w:cs="Times New Roman"/>
                <w:sz w:val="20"/>
                <w:szCs w:val="20"/>
                <w:lang w:val="ro-RO"/>
              </w:rPr>
              <w:t xml:space="preserve">iile de urgență se realizează </w:t>
            </w:r>
            <w:r w:rsidRPr="0051115B">
              <w:rPr>
                <w:rFonts w:ascii="Times New Roman" w:hAnsi="Times New Roman" w:cs="Times New Roman"/>
                <w:sz w:val="20"/>
                <w:szCs w:val="20"/>
                <w:lang w:val="ro-RO"/>
              </w:rPr>
              <w:t>„în conformitate cu prevederile privind modul de planificare a ac</w:t>
            </w:r>
            <w:r>
              <w:rPr>
                <w:rFonts w:ascii="Times New Roman" w:hAnsi="Times New Roman" w:cs="Times New Roman"/>
                <w:sz w:val="20"/>
                <w:szCs w:val="20"/>
                <w:lang w:val="ro-RO"/>
              </w:rPr>
              <w:t>hizițiilor publice/sectoriale”</w:t>
            </w:r>
            <w:r w:rsidRPr="0051115B">
              <w:rPr>
                <w:rFonts w:ascii="Times New Roman" w:hAnsi="Times New Roman" w:cs="Times New Roman"/>
                <w:sz w:val="20"/>
                <w:szCs w:val="20"/>
                <w:lang w:val="ro-RO"/>
              </w:rPr>
              <w:t xml:space="preserve">, incorporate prin referire la Regulamentul aprobat prin HG nr. 695/2025. </w:t>
            </w:r>
            <w:r>
              <w:rPr>
                <w:rFonts w:ascii="Times New Roman" w:hAnsi="Times New Roman" w:cs="Times New Roman"/>
                <w:sz w:val="20"/>
                <w:szCs w:val="20"/>
                <w:lang w:val="ro-RO"/>
              </w:rPr>
              <w:t>Această tehnica normativă — a trimiterii normative</w:t>
            </w:r>
            <w:r w:rsidRPr="0051115B">
              <w:rPr>
                <w:rFonts w:ascii="Times New Roman" w:hAnsi="Times New Roman" w:cs="Times New Roman"/>
                <w:sz w:val="20"/>
                <w:szCs w:val="20"/>
                <w:lang w:val="ro-RO"/>
              </w:rPr>
              <w:t>— transferă sarcina detalierii procedurale actului normativ delegat, evitând duplicarea prevederilor și menținând coerența sistemului normativ. Lipsa unor prevederi explicite privind documentarea urgenței în HG nr. 695/2025 nu justifică transferarea acestei reglementări în Regulament, ci eventuala completare a primului act normativ, în cadrul procedurii sale de revizuire.</w:t>
            </w:r>
          </w:p>
          <w:p w14:paraId="427D3206" w14:textId="7EC3D7B3" w:rsidR="0051115B" w:rsidRPr="0051115B" w:rsidRDefault="0051115B" w:rsidP="0051115B">
            <w:pPr>
              <w:tabs>
                <w:tab w:val="left" w:pos="8505"/>
              </w:tabs>
              <w:jc w:val="both"/>
              <w:rPr>
                <w:rFonts w:ascii="Times New Roman" w:hAnsi="Times New Roman" w:cs="Times New Roman"/>
                <w:sz w:val="20"/>
                <w:szCs w:val="20"/>
                <w:lang w:val="ro-RO"/>
              </w:rPr>
            </w:pPr>
            <w:r w:rsidRPr="0051115B">
              <w:rPr>
                <w:rFonts w:ascii="Times New Roman" w:hAnsi="Times New Roman" w:cs="Times New Roman"/>
                <w:sz w:val="20"/>
                <w:szCs w:val="20"/>
                <w:lang w:val="ro-RO"/>
              </w:rPr>
              <w:lastRenderedPageBreak/>
              <w:t>3. Prevederile Legii nr. 325/2025 rămâ</w:t>
            </w:r>
            <w:r>
              <w:rPr>
                <w:rFonts w:ascii="Times New Roman" w:hAnsi="Times New Roman" w:cs="Times New Roman"/>
                <w:sz w:val="20"/>
                <w:szCs w:val="20"/>
                <w:lang w:val="ro-RO"/>
              </w:rPr>
              <w:t>n aplicabile în mod subsidiar.</w:t>
            </w:r>
          </w:p>
          <w:p w14:paraId="67FF47CA" w14:textId="1144ABAF" w:rsidR="0051115B" w:rsidRPr="0051115B" w:rsidRDefault="0051115B" w:rsidP="0051115B">
            <w:pPr>
              <w:tabs>
                <w:tab w:val="left" w:pos="8505"/>
              </w:tabs>
              <w:jc w:val="both"/>
              <w:rPr>
                <w:rFonts w:ascii="Times New Roman" w:hAnsi="Times New Roman" w:cs="Times New Roman"/>
                <w:sz w:val="20"/>
                <w:szCs w:val="20"/>
                <w:lang w:val="ro-RO"/>
              </w:rPr>
            </w:pPr>
            <w:r w:rsidRPr="0051115B">
              <w:rPr>
                <w:rFonts w:ascii="Times New Roman" w:hAnsi="Times New Roman" w:cs="Times New Roman"/>
                <w:sz w:val="20"/>
                <w:szCs w:val="20"/>
                <w:lang w:val="ro-RO"/>
              </w:rPr>
              <w:t>Legea nr. 325/2025 privind achizițiile publice constituie cadrul primar de reglementare și stabilește, la nivel de principiu, cerințele de documentare și justificare a achizițiilor. Regulamentul de ap</w:t>
            </w:r>
            <w:r>
              <w:rPr>
                <w:rFonts w:ascii="Times New Roman" w:hAnsi="Times New Roman" w:cs="Times New Roman"/>
                <w:sz w:val="20"/>
                <w:szCs w:val="20"/>
                <w:lang w:val="ro-RO"/>
              </w:rPr>
              <w:t>licare are rolul de a stabili particularitățile</w:t>
            </w:r>
            <w:r w:rsidRPr="0051115B">
              <w:rPr>
                <w:rFonts w:ascii="Times New Roman" w:hAnsi="Times New Roman" w:cs="Times New Roman"/>
                <w:sz w:val="20"/>
                <w:szCs w:val="20"/>
                <w:lang w:val="ro-RO"/>
              </w:rPr>
              <w:t xml:space="preserve"> achizițiilor de valoare mică, nu de a reproduce sau extinde dispozițiile legii primare. Orice eventuală lacună procedurală privind documentarea urgenței este acoperită de aplicarea subsidiară a dispozițiilor generale ale Legii nr. 325/2025, nefiind necesară o reglementare distinctă în cuprinsul Regulamentului.</w:t>
            </w:r>
          </w:p>
          <w:p w14:paraId="14A33F7A" w14:textId="2DE4F33C" w:rsidR="0051115B" w:rsidRPr="0051115B" w:rsidRDefault="0051115B" w:rsidP="0051115B">
            <w:pPr>
              <w:tabs>
                <w:tab w:val="left" w:pos="8505"/>
              </w:tabs>
              <w:jc w:val="both"/>
              <w:rPr>
                <w:rFonts w:ascii="Times New Roman" w:hAnsi="Times New Roman" w:cs="Times New Roman"/>
                <w:sz w:val="20"/>
                <w:szCs w:val="20"/>
                <w:lang w:val="ro-RO"/>
              </w:rPr>
            </w:pPr>
            <w:r w:rsidRPr="0051115B">
              <w:rPr>
                <w:rFonts w:ascii="Times New Roman" w:hAnsi="Times New Roman" w:cs="Times New Roman"/>
                <w:sz w:val="20"/>
                <w:szCs w:val="20"/>
                <w:lang w:val="ro-RO"/>
              </w:rPr>
              <w:t>4. Introducerea unor precizări suplimentare ar genera risc de contradictorialitate</w:t>
            </w:r>
            <w:r>
              <w:rPr>
                <w:rFonts w:ascii="Times New Roman" w:hAnsi="Times New Roman" w:cs="Times New Roman"/>
                <w:sz w:val="20"/>
                <w:szCs w:val="20"/>
                <w:lang w:val="ro-RO"/>
              </w:rPr>
              <w:t>.</w:t>
            </w:r>
          </w:p>
          <w:p w14:paraId="48AEB1AB" w14:textId="5446661D" w:rsidR="0051115B" w:rsidRPr="0051115B" w:rsidRDefault="0051115B" w:rsidP="0051115B">
            <w:pPr>
              <w:tabs>
                <w:tab w:val="left" w:pos="8505"/>
              </w:tabs>
              <w:jc w:val="both"/>
              <w:rPr>
                <w:rFonts w:ascii="Times New Roman" w:hAnsi="Times New Roman" w:cs="Times New Roman"/>
                <w:sz w:val="20"/>
                <w:szCs w:val="20"/>
                <w:lang w:val="ro-RO"/>
              </w:rPr>
            </w:pPr>
            <w:r w:rsidRPr="0051115B">
              <w:rPr>
                <w:rFonts w:ascii="Times New Roman" w:hAnsi="Times New Roman" w:cs="Times New Roman"/>
                <w:sz w:val="20"/>
                <w:szCs w:val="20"/>
                <w:lang w:val="ro-RO"/>
              </w:rPr>
              <w:t>Stabilirea</w:t>
            </w:r>
            <w:r>
              <w:rPr>
                <w:rFonts w:ascii="Times New Roman" w:hAnsi="Times New Roman" w:cs="Times New Roman"/>
                <w:sz w:val="20"/>
                <w:szCs w:val="20"/>
                <w:lang w:val="ro-RO"/>
              </w:rPr>
              <w:t xml:space="preserve"> unor „motive exacte de urgență”</w:t>
            </w:r>
            <w:r w:rsidRPr="0051115B">
              <w:rPr>
                <w:rFonts w:ascii="Times New Roman" w:hAnsi="Times New Roman" w:cs="Times New Roman"/>
                <w:sz w:val="20"/>
                <w:szCs w:val="20"/>
                <w:lang w:val="ro-RO"/>
              </w:rPr>
              <w:t xml:space="preserve"> în Regulament ar putea intra în conflict cu eventuala reglementare viitoare a documentării urgenței în HG nr. 695/2025 sau cu dispoziții</w:t>
            </w:r>
            <w:r>
              <w:rPr>
                <w:rFonts w:ascii="Times New Roman" w:hAnsi="Times New Roman" w:cs="Times New Roman"/>
                <w:sz w:val="20"/>
                <w:szCs w:val="20"/>
                <w:lang w:val="ro-RO"/>
              </w:rPr>
              <w:t>le Legii nr. 325/2025, creând incertitudine juridică</w:t>
            </w:r>
            <w:r w:rsidRPr="0051115B">
              <w:rPr>
                <w:rFonts w:ascii="Times New Roman" w:hAnsi="Times New Roman" w:cs="Times New Roman"/>
                <w:sz w:val="20"/>
                <w:szCs w:val="20"/>
                <w:lang w:val="ro-RO"/>
              </w:rPr>
              <w:t xml:space="preserve"> și riscul unor interpretări divergente. Menținerea formulării generale din proiect permite o aplicare coerentă și flexibilă, compatibilă cu evoluția cadrului normativ primar.</w:t>
            </w:r>
          </w:p>
          <w:p w14:paraId="4C6247E4" w14:textId="35904F24" w:rsidR="00720E22" w:rsidRPr="0051115B" w:rsidRDefault="0051115B" w:rsidP="0051115B">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În concluzie</w:t>
            </w:r>
            <w:r w:rsidRPr="0051115B">
              <w:rPr>
                <w:rFonts w:ascii="Times New Roman" w:hAnsi="Times New Roman" w:cs="Times New Roman"/>
                <w:sz w:val="20"/>
                <w:szCs w:val="20"/>
                <w:lang w:val="ro-RO"/>
              </w:rPr>
              <w:t>, textul punctului 13 din proiect asigură un echilibru adecvat între flexibilitatea necesară răspunsului la situații de urgență și garanțiile împotriva abuzului, prin instituirea criteriilor cumulative de neplanificare și imprevizibilitate, coroborate cu trimiterea la reglementările de planificare și cu aplicarea subsidiară a Legii nr. 325/2025. Menținerea textului proiectului es</w:t>
            </w:r>
            <w:r>
              <w:rPr>
                <w:rFonts w:ascii="Times New Roman" w:hAnsi="Times New Roman" w:cs="Times New Roman"/>
                <w:sz w:val="20"/>
                <w:szCs w:val="20"/>
                <w:lang w:val="ro-RO"/>
              </w:rPr>
              <w:t xml:space="preserve">te necesară pentru </w:t>
            </w:r>
            <w:r>
              <w:rPr>
                <w:rFonts w:ascii="Times New Roman" w:hAnsi="Times New Roman" w:cs="Times New Roman"/>
                <w:sz w:val="20"/>
                <w:szCs w:val="20"/>
                <w:lang w:val="ro-RO"/>
              </w:rPr>
              <w:lastRenderedPageBreak/>
              <w:t>asigurarea clarității juridice, proporționalității și coerenței normative</w:t>
            </w:r>
            <w:r w:rsidRPr="0051115B">
              <w:rPr>
                <w:rFonts w:ascii="Times New Roman" w:hAnsi="Times New Roman" w:cs="Times New Roman"/>
                <w:sz w:val="20"/>
                <w:szCs w:val="20"/>
                <w:lang w:val="ro-RO"/>
              </w:rPr>
              <w:t>.</w:t>
            </w:r>
          </w:p>
        </w:tc>
      </w:tr>
      <w:tr w:rsidR="00720E22" w:rsidRPr="00760BD0" w14:paraId="73663858" w14:textId="77777777" w:rsidTr="00A919EA">
        <w:trPr>
          <w:trHeight w:val="416"/>
        </w:trPr>
        <w:tc>
          <w:tcPr>
            <w:tcW w:w="3397" w:type="dxa"/>
          </w:tcPr>
          <w:p w14:paraId="56C07B8E" w14:textId="77777777" w:rsidR="003D570B" w:rsidRPr="00F9367D" w:rsidRDefault="003D570B" w:rsidP="003D570B">
            <w:pPr>
              <w:tabs>
                <w:tab w:val="left" w:pos="8505"/>
              </w:tabs>
              <w:jc w:val="both"/>
              <w:rPr>
                <w:rFonts w:ascii="Times New Roman" w:hAnsi="Times New Roman" w:cs="Times New Roman"/>
                <w:sz w:val="20"/>
                <w:szCs w:val="20"/>
                <w:lang w:val="ro-RO"/>
              </w:rPr>
            </w:pPr>
            <w:r w:rsidRPr="00F9367D">
              <w:rPr>
                <w:rFonts w:ascii="Times New Roman" w:hAnsi="Times New Roman" w:cs="Times New Roman"/>
                <w:b/>
                <w:sz w:val="20"/>
                <w:szCs w:val="20"/>
                <w:lang w:val="ro-RO"/>
              </w:rPr>
              <w:lastRenderedPageBreak/>
              <w:t>1.9.</w:t>
            </w:r>
            <w:r>
              <w:rPr>
                <w:rFonts w:ascii="Times New Roman" w:hAnsi="Times New Roman" w:cs="Times New Roman"/>
                <w:b/>
                <w:sz w:val="20"/>
                <w:szCs w:val="20"/>
                <w:lang w:val="ro-RO"/>
              </w:rPr>
              <w:t xml:space="preserve"> </w:t>
            </w:r>
            <w:r w:rsidRPr="00F9367D">
              <w:rPr>
                <w:rFonts w:ascii="Times New Roman" w:hAnsi="Times New Roman" w:cs="Times New Roman"/>
                <w:sz w:val="20"/>
                <w:szCs w:val="20"/>
                <w:lang w:val="ro-RO"/>
              </w:rPr>
              <w:t>Punctul 14 se completează cu subpunctele 9) și 10) cu următorul cuprins:</w:t>
            </w:r>
          </w:p>
          <w:p w14:paraId="3150CA95" w14:textId="77777777" w:rsidR="003D570B" w:rsidRPr="00F9367D" w:rsidRDefault="003D570B" w:rsidP="003D570B">
            <w:pPr>
              <w:tabs>
                <w:tab w:val="left" w:pos="8505"/>
              </w:tabs>
              <w:jc w:val="both"/>
              <w:rPr>
                <w:rFonts w:ascii="Times New Roman" w:hAnsi="Times New Roman" w:cs="Times New Roman"/>
                <w:sz w:val="20"/>
                <w:szCs w:val="20"/>
                <w:lang w:val="ro-RO"/>
              </w:rPr>
            </w:pPr>
            <w:r w:rsidRPr="00F9367D">
              <w:rPr>
                <w:rFonts w:ascii="Times New Roman" w:hAnsi="Times New Roman" w:cs="Times New Roman"/>
                <w:sz w:val="20"/>
                <w:szCs w:val="20"/>
                <w:lang w:val="ro-RO"/>
              </w:rPr>
              <w:t>„9) achizițiile de drepturi de utilizare a produselor software standardizate și a soluțiilor de securitate informatică, furnizate pe bază de licență, atunci când drepturile de distribuție sau utilizare sunt deținute în mod exclusiv de titularul dreptului sau de distribuitori autorizați și nu există o alternativă concurențială reală;</w:t>
            </w:r>
          </w:p>
          <w:p w14:paraId="1B13FE7D" w14:textId="410767FC" w:rsidR="00720E22" w:rsidRPr="003D570B" w:rsidRDefault="003D570B" w:rsidP="00797C0D">
            <w:pPr>
              <w:tabs>
                <w:tab w:val="left" w:pos="8505"/>
              </w:tabs>
              <w:jc w:val="both"/>
              <w:rPr>
                <w:rFonts w:ascii="Times New Roman" w:hAnsi="Times New Roman" w:cs="Times New Roman"/>
                <w:sz w:val="20"/>
                <w:szCs w:val="20"/>
                <w:lang w:val="ro-RO"/>
              </w:rPr>
            </w:pPr>
            <w:r w:rsidRPr="00F9367D">
              <w:rPr>
                <w:rFonts w:ascii="Times New Roman" w:hAnsi="Times New Roman" w:cs="Times New Roman"/>
                <w:sz w:val="20"/>
                <w:szCs w:val="20"/>
                <w:lang w:val="ro-RO"/>
              </w:rPr>
              <w:t>10) achizițiile de spațiu publicitar digital realizate direct de la operatorii platformelor digitale, în condiții contractuale standardizate, atunci când serviciul poate fi furnizat exclusiv prin infrastructura tehnică a platformei respective și nu există o alternativă concurențială reală.”.</w:t>
            </w:r>
          </w:p>
        </w:tc>
        <w:tc>
          <w:tcPr>
            <w:tcW w:w="2977" w:type="dxa"/>
          </w:tcPr>
          <w:p w14:paraId="6916AF44" w14:textId="77777777" w:rsidR="00720E22" w:rsidRPr="00154388" w:rsidRDefault="00720E22"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264EA3D7" w14:textId="4DB0662E" w:rsidR="00720E22" w:rsidRDefault="00720E22"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4</w:t>
            </w:r>
          </w:p>
        </w:tc>
        <w:tc>
          <w:tcPr>
            <w:tcW w:w="3402" w:type="dxa"/>
          </w:tcPr>
          <w:p w14:paraId="31F0244E" w14:textId="4E63BEE6" w:rsidR="00720E22" w:rsidRPr="003D570B" w:rsidRDefault="00720E22" w:rsidP="00720E22">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La pct. 1.9 din proiectul hotărârii de Guvern, recomandăm precizarea, fie în cuprinsul proiectului de act normativ, fie în Nota de fundamentare, a sensului vizat prin sintagma „alternativă concurențială reală”.</w:t>
            </w:r>
          </w:p>
        </w:tc>
        <w:tc>
          <w:tcPr>
            <w:tcW w:w="3436" w:type="dxa"/>
          </w:tcPr>
          <w:p w14:paraId="2AC8ED73" w14:textId="0A0F9F55" w:rsidR="003D570B" w:rsidRPr="003D570B" w:rsidRDefault="003D570B" w:rsidP="003D570B">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w:t>
            </w:r>
            <w:r w:rsidRPr="003D570B">
              <w:rPr>
                <w:rFonts w:ascii="Times New Roman" w:hAnsi="Times New Roman" w:cs="Times New Roman"/>
                <w:b/>
                <w:sz w:val="20"/>
                <w:szCs w:val="20"/>
                <w:lang w:val="ro-RO"/>
              </w:rPr>
              <w:t>e acceptǎ</w:t>
            </w:r>
            <w:r>
              <w:rPr>
                <w:rFonts w:ascii="Times New Roman" w:hAnsi="Times New Roman" w:cs="Times New Roman"/>
                <w:b/>
                <w:sz w:val="20"/>
                <w:szCs w:val="20"/>
                <w:lang w:val="ro-RO"/>
              </w:rPr>
              <w:t xml:space="preserve"> parțial</w:t>
            </w:r>
          </w:p>
          <w:p w14:paraId="4066FB20" w14:textId="77E7FD50"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Propunerea de modificare nu poate fi primită, deoarece sintagma „alternativă concurențială reală</w:t>
            </w:r>
            <w:r>
              <w:rPr>
                <w:rFonts w:ascii="Times New Roman" w:hAnsi="Times New Roman" w:cs="Times New Roman"/>
                <w:bCs/>
                <w:sz w:val="20"/>
                <w:szCs w:val="20"/>
                <w:lang w:val="ro-RO"/>
              </w:rPr>
              <w:t>”</w:t>
            </w:r>
            <w:r w:rsidRPr="003D570B">
              <w:rPr>
                <w:rFonts w:ascii="Times New Roman" w:hAnsi="Times New Roman" w:cs="Times New Roman"/>
                <w:bCs/>
                <w:sz w:val="20"/>
                <w:szCs w:val="20"/>
                <w:lang w:val="ro-RO"/>
              </w:rPr>
              <w:t xml:space="preserve"> are un sens juridic bine definit prin doctrină, jurisprudență și practica instituțională în domeniul achizițiilor publice, nefiind necesară o precizare suplimentară în cuprinsul actului normativ sau al Notei de fundamentare.</w:t>
            </w:r>
          </w:p>
          <w:p w14:paraId="6DE4973E" w14:textId="61A27482"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Argumentele detaliate sunt următoarele:</w:t>
            </w:r>
          </w:p>
          <w:p w14:paraId="743EF8D1" w14:textId="305C873A"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1. Sintagma este un termen juridic cu conținut doctrinar și jurisprudențial consolidat.</w:t>
            </w:r>
          </w:p>
          <w:p w14:paraId="58170EC9" w14:textId="7934D00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Noțiunea de „alternativă concurențială reală</w:t>
            </w:r>
            <w:r>
              <w:rPr>
                <w:rFonts w:ascii="Times New Roman" w:hAnsi="Times New Roman" w:cs="Times New Roman"/>
                <w:bCs/>
                <w:sz w:val="20"/>
                <w:szCs w:val="20"/>
                <w:lang w:val="ro-RO"/>
              </w:rPr>
              <w:t>”</w:t>
            </w:r>
            <w:r w:rsidRPr="003D570B">
              <w:rPr>
                <w:rFonts w:ascii="Times New Roman" w:hAnsi="Times New Roman" w:cs="Times New Roman"/>
                <w:bCs/>
                <w:sz w:val="20"/>
                <w:szCs w:val="20"/>
                <w:lang w:val="ro-RO"/>
              </w:rPr>
              <w:t xml:space="preserve"> este utilizată în mod curent în dreptul achizițiilor publice și în dreptul concurenței, atât la nivel național, cât și european. Aceasta desemnează existența efectivă pe piață a cel puțin unui alt furnizor capabil să ofere produsul sau serviciul respectiv, în condiții comparabile de calitate, preț și accesibilitate. Termenul implică o evaluare obiectivă și factuală a structurii pieței, nu o definiție rigidă care ar putea fi aplicată mecanic, indiferent de particularitățile fiecărei situații de achiziție.</w:t>
            </w:r>
          </w:p>
          <w:p w14:paraId="000091F2" w14:textId="7A1DA356"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2. Introducerea unei definiții explicite ar genera riscul rigidificării normative.</w:t>
            </w:r>
          </w:p>
          <w:p w14:paraId="5B72FD79" w14:textId="1FC87D2B"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Piața produselor software, a soluțiilor de securitate informatică și a serviciilor de publicitate digitală este dinamică și în permanentă evoluție. Stabilirea unei definiții rigide a „alternativei concurențiale reale</w:t>
            </w:r>
            <w:r>
              <w:rPr>
                <w:rFonts w:ascii="Times New Roman" w:hAnsi="Times New Roman" w:cs="Times New Roman"/>
                <w:bCs/>
                <w:sz w:val="20"/>
                <w:szCs w:val="20"/>
                <w:lang w:val="ro-RO"/>
              </w:rPr>
              <w:t>”</w:t>
            </w:r>
            <w:r w:rsidRPr="003D570B">
              <w:rPr>
                <w:rFonts w:ascii="Times New Roman" w:hAnsi="Times New Roman" w:cs="Times New Roman"/>
                <w:bCs/>
                <w:sz w:val="20"/>
                <w:szCs w:val="20"/>
                <w:lang w:val="ro-RO"/>
              </w:rPr>
              <w:t xml:space="preserve"> în cuprinsul actului normativ ar limita capacitatea autorității/entității contractante de a aprecia, de la caz la caz, dacă o alternativă există în mod efectiv. O astfel </w:t>
            </w:r>
            <w:r w:rsidRPr="003D570B">
              <w:rPr>
                <w:rFonts w:ascii="Times New Roman" w:hAnsi="Times New Roman" w:cs="Times New Roman"/>
                <w:bCs/>
                <w:sz w:val="20"/>
                <w:szCs w:val="20"/>
                <w:lang w:val="ro-RO"/>
              </w:rPr>
              <w:lastRenderedPageBreak/>
              <w:t>de abordare ar contraveni principiului proporționalității și ar putea conduce la situații în care autoritatea contractantă este obligată să achiziționeze prin procedură de atribuire, deși piața nu oferă alternativă reală, generând întârzieri și costuri suplimentare nejustificate.</w:t>
            </w:r>
          </w:p>
          <w:p w14:paraId="072170DC" w14:textId="6976AEC3"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3. Utilizarea termenului este compatibilă cu practica europeană și cu legislația națională.</w:t>
            </w:r>
          </w:p>
          <w:p w14:paraId="1909609F" w14:textId="4C8962A3"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Similar, Legislația europeană în materie de achiziții publice (Directiva 2014/24/UE, Directiva 2014/25/UE) utilizează concepte echivalent</w:t>
            </w:r>
            <w:r w:rsidR="001862F1">
              <w:rPr>
                <w:rFonts w:ascii="Times New Roman" w:hAnsi="Times New Roman" w:cs="Times New Roman"/>
                <w:bCs/>
                <w:sz w:val="20"/>
                <w:szCs w:val="20"/>
                <w:lang w:val="ro-RO"/>
              </w:rPr>
              <w:t>e (de ex., „no real alternative”, „sole supplier”</w:t>
            </w:r>
            <w:r w:rsidRPr="003D570B">
              <w:rPr>
                <w:rFonts w:ascii="Times New Roman" w:hAnsi="Times New Roman" w:cs="Times New Roman"/>
                <w:bCs/>
                <w:sz w:val="20"/>
                <w:szCs w:val="20"/>
                <w:lang w:val="ro-RO"/>
              </w:rPr>
              <w:t>) fără a le defini exhaustiv în textul normativ, lăsând aprecierea cazului concret la nivelul autorității contractante, sub supravegherea instanțelor de control. De asemenea, Legea nr. 325/2025 privind achizițiile publice utilizează termeni cu un conținut juridic similar, fără a stabili definiții separate pentru fiecare concept. Menținerea acestei tehnici normative asigură coerența cu cadrul legislativ primar și cu practica europeană.</w:t>
            </w:r>
          </w:p>
          <w:p w14:paraId="17A440B5" w14:textId="7C65EBD4"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4. Interpretarea sistematică a textului proiectului oferă suficiente elemente de delimitare.</w:t>
            </w:r>
          </w:p>
          <w:p w14:paraId="746637FE" w14:textId="2DCE8E3D"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Subpunctele 9) și 10) ale pct. 14 nu se limitează la sintagma „alternativă concurențială reală</w:t>
            </w:r>
            <w:r>
              <w:rPr>
                <w:rFonts w:ascii="Times New Roman" w:hAnsi="Times New Roman" w:cs="Times New Roman"/>
                <w:bCs/>
                <w:sz w:val="20"/>
                <w:szCs w:val="20"/>
                <w:lang w:val="ro-RO"/>
              </w:rPr>
              <w:t>”</w:t>
            </w:r>
            <w:r w:rsidRPr="003D570B">
              <w:rPr>
                <w:rFonts w:ascii="Times New Roman" w:hAnsi="Times New Roman" w:cs="Times New Roman"/>
                <w:bCs/>
                <w:sz w:val="20"/>
                <w:szCs w:val="20"/>
                <w:lang w:val="ro-RO"/>
              </w:rPr>
              <w:t xml:space="preserve">, ci conțin și criterii complementare care delimitează sfera de aplicare: deținerea exclusivă a drepturilor de distribuție sau utilizare de către titular sau distribuitori autorizați (subpct. 9), respectiv posibilitatea furnizării serviciului exclusiv prin infrastructura tehnică a platformei (subpunctul 10). Aceste criterii concrete reduc semnificativ spațiul de </w:t>
            </w:r>
            <w:r w:rsidRPr="003D570B">
              <w:rPr>
                <w:rFonts w:ascii="Times New Roman" w:hAnsi="Times New Roman" w:cs="Times New Roman"/>
                <w:bCs/>
                <w:sz w:val="20"/>
                <w:szCs w:val="20"/>
                <w:lang w:val="ro-RO"/>
              </w:rPr>
              <w:lastRenderedPageBreak/>
              <w:t>interpretare discre</w:t>
            </w:r>
            <w:r>
              <w:rPr>
                <w:rFonts w:ascii="Times New Roman" w:hAnsi="Times New Roman" w:cs="Times New Roman"/>
                <w:bCs/>
                <w:sz w:val="20"/>
                <w:szCs w:val="20"/>
                <w:lang w:val="ro-RO"/>
              </w:rPr>
              <w:t>ț</w:t>
            </w:r>
            <w:r w:rsidRPr="003D570B">
              <w:rPr>
                <w:rFonts w:ascii="Times New Roman" w:hAnsi="Times New Roman" w:cs="Times New Roman"/>
                <w:bCs/>
                <w:sz w:val="20"/>
                <w:szCs w:val="20"/>
                <w:lang w:val="ro-RO"/>
              </w:rPr>
              <w:t>ionară și acționează ca garanții procedurale care previn invocarea abuzivă a excepției, chiar în absența unei definiții explicite a „alternativei concurențiale reale</w:t>
            </w:r>
            <w:r>
              <w:rPr>
                <w:rFonts w:ascii="Times New Roman" w:hAnsi="Times New Roman" w:cs="Times New Roman"/>
                <w:bCs/>
                <w:sz w:val="20"/>
                <w:szCs w:val="20"/>
                <w:lang w:val="ro-RO"/>
              </w:rPr>
              <w:t>”</w:t>
            </w:r>
            <w:r w:rsidRPr="003D570B">
              <w:rPr>
                <w:rFonts w:ascii="Times New Roman" w:hAnsi="Times New Roman" w:cs="Times New Roman"/>
                <w:bCs/>
                <w:sz w:val="20"/>
                <w:szCs w:val="20"/>
                <w:lang w:val="ro-RO"/>
              </w:rPr>
              <w:t>.</w:t>
            </w:r>
          </w:p>
          <w:p w14:paraId="72449762" w14:textId="68339858"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5. Nota de fundamentare nu este instrumentul adecvat pentru definirea conceptelor juridice.</w:t>
            </w:r>
          </w:p>
          <w:p w14:paraId="10202556" w14:textId="1E684E2C"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Nota de fundamentare are rolul de a prezenta motivația și obiectivul actului normativ, nu de a stabili definiții cu caracter normativ. O precizare a sensului sintagmei în Nota de fundamentare nu ar avea valoare juridică obligatorie și nu ar putea servi ca temei pentru controlul legalității aplicării excepției. Introducerea unei definiții în Nota de fundamentare ar genera, prin urmare, o aparență de claritate fără efect juridic real.</w:t>
            </w:r>
          </w:p>
          <w:p w14:paraId="4B68072B" w14:textId="77777777" w:rsidR="00720E22"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În concluzie, sintagma „alternativă concurențială reală</w:t>
            </w:r>
            <w:r>
              <w:rPr>
                <w:rFonts w:ascii="Times New Roman" w:hAnsi="Times New Roman" w:cs="Times New Roman"/>
                <w:bCs/>
                <w:sz w:val="20"/>
                <w:szCs w:val="20"/>
                <w:lang w:val="ro-RO"/>
              </w:rPr>
              <w:t>”</w:t>
            </w:r>
            <w:r w:rsidRPr="003D570B">
              <w:rPr>
                <w:rFonts w:ascii="Times New Roman" w:hAnsi="Times New Roman" w:cs="Times New Roman"/>
                <w:bCs/>
                <w:sz w:val="20"/>
                <w:szCs w:val="20"/>
                <w:lang w:val="ro-RO"/>
              </w:rPr>
              <w:t xml:space="preserve"> are un conținut juridic suficient de clar, determinat prin doctrină, jurisprudență și practică instituțională, iar introducerea unei definiții explicite ar genera mai multe riscuri (rigidi</w:t>
            </w:r>
            <w:r>
              <w:rPr>
                <w:rFonts w:ascii="Times New Roman" w:hAnsi="Times New Roman" w:cs="Times New Roman"/>
                <w:bCs/>
                <w:sz w:val="20"/>
                <w:szCs w:val="20"/>
                <w:lang w:val="ro-RO"/>
              </w:rPr>
              <w:t>tate</w:t>
            </w:r>
            <w:r w:rsidRPr="003D570B">
              <w:rPr>
                <w:rFonts w:ascii="Times New Roman" w:hAnsi="Times New Roman" w:cs="Times New Roman"/>
                <w:bCs/>
                <w:sz w:val="20"/>
                <w:szCs w:val="20"/>
                <w:lang w:val="ro-RO"/>
              </w:rPr>
              <w:t xml:space="preserve"> normativă, incompatibilitate cu legislația europeană, ineficiență juridică a Notei de fundamentare) decât beneficii. Menținerea textului proiectului este necesară pentru asigurarea flexibilității aplicării, proporționalității și coerenței cu cadrul normativ european și național.</w:t>
            </w:r>
          </w:p>
          <w:p w14:paraId="64AD9CD3" w14:textId="5CF032AB" w:rsidR="003D570B" w:rsidRPr="003D570B" w:rsidRDefault="003D570B" w:rsidP="003D570B">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În urma </w:t>
            </w:r>
            <w:r w:rsidRPr="003D570B">
              <w:rPr>
                <w:rFonts w:ascii="Times New Roman" w:hAnsi="Times New Roman" w:cs="Times New Roman"/>
                <w:bCs/>
                <w:i/>
                <w:iCs/>
                <w:sz w:val="20"/>
                <w:szCs w:val="20"/>
                <w:lang w:val="ro-RO"/>
              </w:rPr>
              <w:t>avizului recepționat de la Cancelaria de Stat</w:t>
            </w:r>
            <w:r>
              <w:rPr>
                <w:rFonts w:ascii="Times New Roman" w:hAnsi="Times New Roman" w:cs="Times New Roman"/>
                <w:bCs/>
                <w:i/>
                <w:iCs/>
                <w:sz w:val="20"/>
                <w:szCs w:val="20"/>
                <w:lang w:val="ro-RO"/>
              </w:rPr>
              <w:t xml:space="preserve"> </w:t>
            </w:r>
            <w:r>
              <w:rPr>
                <w:rFonts w:ascii="Times New Roman" w:hAnsi="Times New Roman" w:cs="Times New Roman"/>
                <w:bCs/>
                <w:sz w:val="20"/>
                <w:szCs w:val="20"/>
                <w:lang w:val="ro-RO"/>
              </w:rPr>
              <w:t>subpunctul 9 a fost completat cu textul „</w:t>
            </w:r>
            <w:r w:rsidRPr="003D570B">
              <w:rPr>
                <w:lang w:val="ro-RO"/>
              </w:rPr>
              <w:t xml:space="preserve"> </w:t>
            </w:r>
            <w:r w:rsidRPr="003D570B">
              <w:rPr>
                <w:rFonts w:ascii="Times New Roman" w:hAnsi="Times New Roman" w:cs="Times New Roman"/>
                <w:bCs/>
                <w:sz w:val="20"/>
                <w:szCs w:val="20"/>
                <w:lang w:val="ro-RO"/>
              </w:rPr>
              <w:t>în baza unei note justificative întocmite de autoritatea contractantă, care demonstrează lipsa unei alternative concurențiale reale</w:t>
            </w:r>
            <w:r>
              <w:rPr>
                <w:rFonts w:ascii="Times New Roman" w:hAnsi="Times New Roman" w:cs="Times New Roman"/>
                <w:bCs/>
                <w:sz w:val="20"/>
                <w:szCs w:val="20"/>
                <w:lang w:val="ro-RO"/>
              </w:rPr>
              <w:t>”, care dǎ valoare şi claritate.</w:t>
            </w:r>
          </w:p>
        </w:tc>
      </w:tr>
      <w:tr w:rsidR="00720E22" w:rsidRPr="00760BD0" w14:paraId="1D6EF7A8" w14:textId="77777777" w:rsidTr="00A919EA">
        <w:trPr>
          <w:trHeight w:val="416"/>
        </w:trPr>
        <w:tc>
          <w:tcPr>
            <w:tcW w:w="3397" w:type="dxa"/>
          </w:tcPr>
          <w:p w14:paraId="2339A154" w14:textId="77777777" w:rsidR="003D570B" w:rsidRPr="001E264E" w:rsidRDefault="003D570B" w:rsidP="003D570B">
            <w:pPr>
              <w:tabs>
                <w:tab w:val="left" w:pos="8505"/>
              </w:tabs>
              <w:jc w:val="both"/>
              <w:rPr>
                <w:rFonts w:ascii="Times New Roman" w:hAnsi="Times New Roman" w:cs="Times New Roman"/>
                <w:sz w:val="20"/>
                <w:szCs w:val="20"/>
                <w:lang w:val="ro-RO"/>
              </w:rPr>
            </w:pPr>
            <w:r w:rsidRPr="001E264E">
              <w:rPr>
                <w:rFonts w:ascii="Times New Roman" w:hAnsi="Times New Roman" w:cs="Times New Roman"/>
                <w:b/>
                <w:sz w:val="20"/>
                <w:szCs w:val="20"/>
                <w:lang w:val="ro-RO"/>
              </w:rPr>
              <w:lastRenderedPageBreak/>
              <w:t>1.15.</w:t>
            </w:r>
            <w:r>
              <w:rPr>
                <w:rFonts w:ascii="Times New Roman" w:hAnsi="Times New Roman" w:cs="Times New Roman"/>
                <w:b/>
                <w:sz w:val="20"/>
                <w:szCs w:val="20"/>
                <w:lang w:val="ro-RO"/>
              </w:rPr>
              <w:t xml:space="preserve"> </w:t>
            </w:r>
            <w:r w:rsidRPr="001E264E">
              <w:rPr>
                <w:rFonts w:ascii="Times New Roman" w:hAnsi="Times New Roman" w:cs="Times New Roman"/>
                <w:sz w:val="20"/>
                <w:szCs w:val="20"/>
                <w:lang w:val="ro-RO"/>
              </w:rPr>
              <w:t>Se introduce punctul 21</w:t>
            </w:r>
            <w:r>
              <w:rPr>
                <w:rFonts w:ascii="Times New Roman" w:hAnsi="Times New Roman" w:cs="Times New Roman"/>
                <w:sz w:val="20"/>
                <w:szCs w:val="20"/>
                <w:vertAlign w:val="superscript"/>
                <w:lang w:val="ro-RO"/>
              </w:rPr>
              <w:t>1</w:t>
            </w:r>
            <w:r w:rsidRPr="001E264E">
              <w:rPr>
                <w:rFonts w:ascii="Times New Roman" w:hAnsi="Times New Roman" w:cs="Times New Roman"/>
                <w:sz w:val="20"/>
                <w:szCs w:val="20"/>
                <w:lang w:val="ro-RO"/>
              </w:rPr>
              <w:t xml:space="preserve"> cu următorul cuprins:</w:t>
            </w:r>
          </w:p>
          <w:p w14:paraId="36B1646E" w14:textId="74EED8BF" w:rsidR="00720E22" w:rsidRPr="003D570B" w:rsidRDefault="003D570B" w:rsidP="003D570B">
            <w:pPr>
              <w:tabs>
                <w:tab w:val="left" w:pos="8505"/>
              </w:tabs>
              <w:jc w:val="both"/>
              <w:rPr>
                <w:rFonts w:ascii="Times New Roman" w:hAnsi="Times New Roman" w:cs="Times New Roman"/>
                <w:b/>
                <w:sz w:val="20"/>
                <w:szCs w:val="20"/>
                <w:lang w:val="ro-RO"/>
              </w:rPr>
            </w:pPr>
            <w:r w:rsidRPr="001E264E">
              <w:rPr>
                <w:rFonts w:ascii="Times New Roman" w:hAnsi="Times New Roman" w:cs="Times New Roman"/>
                <w:sz w:val="20"/>
                <w:szCs w:val="20"/>
                <w:lang w:val="ro-RO"/>
              </w:rPr>
              <w:lastRenderedPageBreak/>
              <w:t>„21</w:t>
            </w:r>
            <w:r>
              <w:rPr>
                <w:rFonts w:ascii="Times New Roman" w:hAnsi="Times New Roman" w:cs="Times New Roman"/>
                <w:sz w:val="20"/>
                <w:szCs w:val="20"/>
                <w:vertAlign w:val="superscript"/>
                <w:lang w:val="ro-RO"/>
              </w:rPr>
              <w:t>1</w:t>
            </w:r>
            <w:r w:rsidRPr="001E264E">
              <w:rPr>
                <w:rFonts w:ascii="Times New Roman" w:hAnsi="Times New Roman" w:cs="Times New Roman"/>
                <w:sz w:val="20"/>
                <w:szCs w:val="20"/>
                <w:lang w:val="ro-RO"/>
              </w:rPr>
              <w:t>. Autoritatea contractantă, în cazul achizițiilor de valoare mică a căror valoare depășește pragurile stabilite la pct. 7</w:t>
            </w:r>
            <w:r>
              <w:rPr>
                <w:rFonts w:ascii="Times New Roman" w:hAnsi="Times New Roman" w:cs="Times New Roman"/>
                <w:sz w:val="20"/>
                <w:szCs w:val="20"/>
                <w:vertAlign w:val="superscript"/>
                <w:lang w:val="ro-RO"/>
              </w:rPr>
              <w:t>1</w:t>
            </w:r>
            <w:r w:rsidRPr="001E264E">
              <w:rPr>
                <w:rFonts w:ascii="Times New Roman" w:hAnsi="Times New Roman" w:cs="Times New Roman"/>
                <w:sz w:val="20"/>
                <w:szCs w:val="20"/>
                <w:lang w:val="ro-RO"/>
              </w:rPr>
              <w:t>, publică anunțul de participare în SI „RSAP”, în conformitate cu modelul stabilit în anexa nr. 1</w:t>
            </w:r>
            <w:r>
              <w:rPr>
                <w:rFonts w:ascii="Times New Roman" w:hAnsi="Times New Roman" w:cs="Times New Roman"/>
                <w:sz w:val="20"/>
                <w:szCs w:val="20"/>
                <w:vertAlign w:val="superscript"/>
                <w:lang w:val="ro-RO"/>
              </w:rPr>
              <w:t>1</w:t>
            </w:r>
            <w:r w:rsidRPr="001E264E">
              <w:rPr>
                <w:rFonts w:ascii="Times New Roman" w:hAnsi="Times New Roman" w:cs="Times New Roman"/>
                <w:sz w:val="20"/>
                <w:szCs w:val="20"/>
                <w:lang w:val="ro-RO"/>
              </w:rPr>
              <w:t xml:space="preserve"> la prezentul Regulament, cu excepția cazurilor prevăzute la pct. 14.”.</w:t>
            </w:r>
          </w:p>
        </w:tc>
        <w:tc>
          <w:tcPr>
            <w:tcW w:w="2977" w:type="dxa"/>
          </w:tcPr>
          <w:p w14:paraId="4E669DBC" w14:textId="77777777" w:rsidR="00720E22" w:rsidRPr="00154388" w:rsidRDefault="00720E22"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51BE23F7" w14:textId="2ECAAFF8" w:rsidR="00720E22" w:rsidRDefault="00720E22"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5</w:t>
            </w:r>
          </w:p>
        </w:tc>
        <w:tc>
          <w:tcPr>
            <w:tcW w:w="3402" w:type="dxa"/>
          </w:tcPr>
          <w:p w14:paraId="06769F70" w14:textId="16B11CBD" w:rsidR="00720E22" w:rsidRPr="003D570B" w:rsidRDefault="00720E22" w:rsidP="00720E22">
            <w:pPr>
              <w:jc w:val="both"/>
              <w:rPr>
                <w:rFonts w:ascii="Times New Roman" w:hAnsi="Times New Roman" w:cs="Times New Roman"/>
                <w:sz w:val="20"/>
                <w:szCs w:val="20"/>
                <w:lang w:val="ro-RO"/>
              </w:rPr>
            </w:pPr>
            <w:r w:rsidRPr="003D570B">
              <w:rPr>
                <w:rFonts w:ascii="Times New Roman" w:hAnsi="Times New Roman" w:cs="Times New Roman"/>
                <w:sz w:val="20"/>
                <w:szCs w:val="20"/>
                <w:lang w:val="ro-RO"/>
              </w:rPr>
              <w:t xml:space="preserve">La pct. 1.15 din proiectul hotărârii de Guvern, în contextul completării </w:t>
            </w:r>
            <w:r w:rsidRPr="003D570B">
              <w:rPr>
                <w:rFonts w:ascii="Times New Roman" w:hAnsi="Times New Roman" w:cs="Times New Roman"/>
                <w:sz w:val="20"/>
                <w:szCs w:val="20"/>
                <w:lang w:val="ro-RO"/>
              </w:rPr>
              <w:lastRenderedPageBreak/>
              <w:t>Regulamentului cu pct. 21</w:t>
            </w:r>
            <w:r w:rsidRPr="003D570B">
              <w:rPr>
                <w:rFonts w:ascii="Times New Roman" w:hAnsi="Times New Roman" w:cs="Times New Roman"/>
                <w:sz w:val="20"/>
                <w:szCs w:val="20"/>
                <w:vertAlign w:val="superscript"/>
                <w:lang w:val="ro-RO"/>
              </w:rPr>
              <w:t>1</w:t>
            </w:r>
            <w:r w:rsidRPr="003D570B">
              <w:rPr>
                <w:rFonts w:ascii="Times New Roman" w:hAnsi="Times New Roman" w:cs="Times New Roman"/>
                <w:sz w:val="20"/>
                <w:szCs w:val="20"/>
                <w:lang w:val="ro-RO"/>
              </w:rPr>
              <w:t>, atragem atenția asupra unei potențiale suprapuneri cu prevederile pct. 21 din Regulamentul în vigoare. În acest sens, menționăm că pct. 21 din Regulamentul în vigoare instituie o obligație generică de publicare în SI „RSAP” pentru toate achizițiile publice, inclusiv cele care depășesc plafoanele prevăzute la pct. 7</w:t>
            </w:r>
            <w:r w:rsidRPr="003D570B">
              <w:rPr>
                <w:rFonts w:ascii="Times New Roman" w:hAnsi="Times New Roman" w:cs="Times New Roman"/>
                <w:sz w:val="20"/>
                <w:szCs w:val="20"/>
                <w:vertAlign w:val="superscript"/>
                <w:lang w:val="ro-RO"/>
              </w:rPr>
              <w:t>1</w:t>
            </w:r>
            <w:r w:rsidRPr="003D570B">
              <w:rPr>
                <w:rFonts w:ascii="Times New Roman" w:hAnsi="Times New Roman" w:cs="Times New Roman"/>
                <w:sz w:val="20"/>
                <w:szCs w:val="20"/>
                <w:lang w:val="ro-RO"/>
              </w:rPr>
              <w:t>, astfel, recomandăm delimitarea situațiilor în care survine obligația de aplicare a pct. 21 sau a pct. 21</w:t>
            </w:r>
            <w:r w:rsidRPr="003D570B">
              <w:rPr>
                <w:rFonts w:ascii="Times New Roman" w:hAnsi="Times New Roman" w:cs="Times New Roman"/>
                <w:sz w:val="20"/>
                <w:szCs w:val="20"/>
                <w:vertAlign w:val="superscript"/>
                <w:lang w:val="ro-RO"/>
              </w:rPr>
              <w:t>1</w:t>
            </w:r>
            <w:r w:rsidRPr="003D570B">
              <w:rPr>
                <w:rFonts w:ascii="Times New Roman" w:hAnsi="Times New Roman" w:cs="Times New Roman"/>
                <w:sz w:val="20"/>
                <w:szCs w:val="20"/>
                <w:lang w:val="ro-RO"/>
              </w:rPr>
              <w:t>.</w:t>
            </w:r>
          </w:p>
        </w:tc>
        <w:tc>
          <w:tcPr>
            <w:tcW w:w="3436" w:type="dxa"/>
          </w:tcPr>
          <w:p w14:paraId="10E5C5F5" w14:textId="06BEBA95" w:rsidR="003D570B" w:rsidRPr="003D570B" w:rsidRDefault="003D570B" w:rsidP="003D570B">
            <w:pPr>
              <w:tabs>
                <w:tab w:val="left" w:pos="8505"/>
              </w:tabs>
              <w:jc w:val="both"/>
              <w:rPr>
                <w:rFonts w:ascii="Times New Roman" w:hAnsi="Times New Roman" w:cs="Times New Roman"/>
                <w:b/>
                <w:sz w:val="20"/>
                <w:szCs w:val="20"/>
                <w:lang w:val="ro-RO"/>
              </w:rPr>
            </w:pPr>
            <w:r w:rsidRPr="003D570B">
              <w:rPr>
                <w:rFonts w:ascii="Times New Roman" w:hAnsi="Times New Roman" w:cs="Times New Roman"/>
                <w:b/>
                <w:sz w:val="20"/>
                <w:szCs w:val="20"/>
                <w:lang w:val="ro-RO"/>
              </w:rPr>
              <w:lastRenderedPageBreak/>
              <w:t>Nu se acceptǎ</w:t>
            </w:r>
          </w:p>
          <w:p w14:paraId="6E54C553" w14:textId="080233A8"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lastRenderedPageBreak/>
              <w:t xml:space="preserve">Propunerea de modificare nu poate fi </w:t>
            </w:r>
            <w:r>
              <w:rPr>
                <w:rFonts w:ascii="Times New Roman" w:hAnsi="Times New Roman" w:cs="Times New Roman"/>
                <w:bCs/>
                <w:sz w:val="20"/>
                <w:szCs w:val="20"/>
                <w:lang w:val="ro-RO"/>
              </w:rPr>
              <w:t>acceptatǎ</w:t>
            </w:r>
            <w:r w:rsidRPr="003D570B">
              <w:rPr>
                <w:rFonts w:ascii="Times New Roman" w:hAnsi="Times New Roman" w:cs="Times New Roman"/>
                <w:bCs/>
                <w:sz w:val="20"/>
                <w:szCs w:val="20"/>
                <w:lang w:val="ro-RO"/>
              </w:rPr>
              <w:t>, deoarece pretinsa suprapunere între pct. 21 și pct. 21</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xml:space="preserve"> este doar aparentă, rezultând dintr-o interpretare care nu ține seama de natura diferențiată și complementară a celor două prevederi.</w:t>
            </w:r>
          </w:p>
          <w:p w14:paraId="66B662BE" w14:textId="57846CC0"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Argumentele detaliate sunt următoarele:</w:t>
            </w:r>
          </w:p>
          <w:p w14:paraId="08F19D88" w14:textId="4BA4BF55"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1. Pct. 21 și pct. 21</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xml:space="preserve"> reglementează categorii distincte de achiziții.</w:t>
            </w:r>
          </w:p>
          <w:p w14:paraId="6B3ADC94" w14:textId="1618ABCA"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Pct. 21 din Regulamentul în vigoare instituie o obligație generică de publicare a anunțului de participare în SIA „RSAP</w:t>
            </w:r>
            <w:r>
              <w:rPr>
                <w:rFonts w:ascii="Times New Roman" w:hAnsi="Times New Roman" w:cs="Times New Roman"/>
                <w:bCs/>
                <w:sz w:val="20"/>
                <w:szCs w:val="20"/>
                <w:lang w:val="ro-RO"/>
              </w:rPr>
              <w:t>”</w:t>
            </w:r>
            <w:r w:rsidRPr="003D570B">
              <w:rPr>
                <w:rFonts w:ascii="Times New Roman" w:hAnsi="Times New Roman" w:cs="Times New Roman"/>
                <w:bCs/>
                <w:sz w:val="20"/>
                <w:szCs w:val="20"/>
                <w:lang w:val="ro-RO"/>
              </w:rPr>
              <w:t xml:space="preserve"> pentru toate achizițiile publice, </w:t>
            </w:r>
            <w:r>
              <w:rPr>
                <w:rFonts w:ascii="Times New Roman" w:hAnsi="Times New Roman" w:cs="Times New Roman"/>
                <w:bCs/>
                <w:sz w:val="20"/>
                <w:szCs w:val="20"/>
                <w:lang w:val="ro-RO"/>
              </w:rPr>
              <w:t xml:space="preserve">reglementate de prevederile Regulamentului, </w:t>
            </w:r>
            <w:r w:rsidRPr="003D570B">
              <w:rPr>
                <w:rFonts w:ascii="Times New Roman" w:hAnsi="Times New Roman" w:cs="Times New Roman"/>
                <w:bCs/>
                <w:sz w:val="20"/>
                <w:szCs w:val="20"/>
                <w:lang w:val="ro-RO"/>
              </w:rPr>
              <w:t>utilizând modelul din anexa nr. 1, cu excepțiile de la pct. 14. Această obligație se aplică achizițiilor care se desfășoară prin proceduri de atribuire standard, în care participarea este deschisă sau restricționată.</w:t>
            </w:r>
          </w:p>
          <w:p w14:paraId="76D1AD4A" w14:textId="2B8F0A66"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Pct. 21</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xml:space="preserve"> introduce o obligație specifică de publicare în SI „RSAP</w:t>
            </w:r>
            <w:r>
              <w:rPr>
                <w:rFonts w:ascii="Times New Roman" w:hAnsi="Times New Roman" w:cs="Times New Roman"/>
                <w:bCs/>
                <w:sz w:val="20"/>
                <w:szCs w:val="20"/>
                <w:lang w:val="ro-RO"/>
              </w:rPr>
              <w:t>”</w:t>
            </w:r>
            <w:r w:rsidRPr="003D570B">
              <w:rPr>
                <w:rFonts w:ascii="Times New Roman" w:hAnsi="Times New Roman" w:cs="Times New Roman"/>
                <w:bCs/>
                <w:sz w:val="20"/>
                <w:szCs w:val="20"/>
                <w:lang w:val="ro-RO"/>
              </w:rPr>
              <w:t xml:space="preserve"> pentru o categorie delimitată de achiziții — cele de valoare mică a căror valoare depășește pragurile de la pct. 7</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xml:space="preserve"> — utilizând un model distinct prevăzut în anexa nr. 1</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Această obligație vizează achizițiile care se derulează într-un cadru procedural simplificat, dar care, prin valoarea lor, necesită un nivel sporit de transparență.</w:t>
            </w:r>
          </w:p>
          <w:p w14:paraId="2F71FABA" w14:textId="2697D645"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Cele două prevederi nu se suprapun, ci funcționează pe planuri diferite: pct. 21 ca regulă generală pentru procedurile de atribuire, pct. 21</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xml:space="preserve"> ca particularitate pentru achizițiile de valoare mică ce depășesc un anumit prag valoric.</w:t>
            </w:r>
          </w:p>
          <w:p w14:paraId="6F7E778C" w14:textId="46FF6EF0"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2. Pct. 21</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xml:space="preserve"> completează, nu substituie, obligația de la pct. 21.</w:t>
            </w:r>
          </w:p>
          <w:p w14:paraId="3242FBD3" w14:textId="39962766"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În arhitectura normativă a Regulamentului, pct. 21</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xml:space="preserve"> are rolul de a adăuga o obligație de transparență </w:t>
            </w:r>
            <w:r w:rsidRPr="003D570B">
              <w:rPr>
                <w:rFonts w:ascii="Times New Roman" w:hAnsi="Times New Roman" w:cs="Times New Roman"/>
                <w:bCs/>
                <w:sz w:val="20"/>
                <w:szCs w:val="20"/>
                <w:lang w:val="ro-RO"/>
              </w:rPr>
              <w:lastRenderedPageBreak/>
              <w:t>suplimentară pentru o categorie specifică de achiziții, care, fără această dispoziție, ar beneficia doar de excepțiile de la publicare prevăzute la pct. 14. Pct. 21</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xml:space="preserve"> nu elimină și nici nu modifică obligația generică de la pct. 21, ci o completează prin instituirea unui model de anunț adaptat (anexa nr. 1</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și a unei delimitări valorice clare (pragurile de la pct. 7</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w:t>
            </w:r>
          </w:p>
          <w:p w14:paraId="3EB06FFA" w14:textId="50724CB2"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Această tehnică normativă — a regulii generale coroborate cu particularități — este frecvent utilizată în reglementarea achizițiilor publice și este compatibilă cu structura Legii nr. 325/2025.</w:t>
            </w:r>
          </w:p>
          <w:p w14:paraId="4087F367" w14:textId="4BF51DEF"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3. Delimitarea situațiilor de aplicare este deja asigurată prin criteriul valoric.</w:t>
            </w:r>
          </w:p>
          <w:p w14:paraId="7C24737C" w14:textId="471E40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Propunerea solicită o delimitare expresă a situațiilor în care se aplică pct. 21 sau pct. 21</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Această delimitare este deja realizată în mod implicit și clar prin textul proiectului:</w:t>
            </w:r>
          </w:p>
          <w:p w14:paraId="1D6F4865" w14:textId="777777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Pct. 21 se aplică tuturor achizițiilor publice prin proceduri de atribuire, utilizând modelul din anexa nr. 1;</w:t>
            </w:r>
          </w:p>
          <w:p w14:paraId="51391731" w14:textId="09F8F1CA"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Pct. 21</w:t>
            </w:r>
            <w:r>
              <w:rPr>
                <w:rFonts w:ascii="Times New Roman" w:hAnsi="Times New Roman" w:cs="Times New Roman"/>
                <w:bCs/>
                <w:sz w:val="20"/>
                <w:szCs w:val="20"/>
                <w:vertAlign w:val="superscript"/>
                <w:lang w:val="ro-RO"/>
              </w:rPr>
              <w:t xml:space="preserve">1 </w:t>
            </w:r>
            <w:r w:rsidRPr="003D570B">
              <w:rPr>
                <w:rFonts w:ascii="Times New Roman" w:hAnsi="Times New Roman" w:cs="Times New Roman"/>
                <w:bCs/>
                <w:sz w:val="20"/>
                <w:szCs w:val="20"/>
                <w:lang w:val="ro-RO"/>
              </w:rPr>
              <w:t>se aplică exclusiv achizițiilor de valoare mică al căror valoare depășește pragurile de la pct. 7</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utilizând modelul din anexa nr. 1</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w:t>
            </w:r>
          </w:p>
          <w:p w14:paraId="082D031F" w14:textId="7A4F345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Criteriul de delimitare este valoarea contractului raportată la pragurile de la pct. 7</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ceea ce elimină orice ambiguitate cu privire la sfera de aplicare a fiecărei dispoziții. Introducerea unei precizări suplimentare ar fi redundanță și ar agrava, nu ar clarifica, structura normativă.</w:t>
            </w:r>
          </w:p>
          <w:p w14:paraId="66D81A0C" w14:textId="4B97F0CE"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4. Excepțiile comune de la pct. 14 asigură coerența sistemului normativ.</w:t>
            </w:r>
          </w:p>
          <w:p w14:paraId="4E507E08" w14:textId="1EFDEAC6"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 xml:space="preserve">Ambele prevederi fac trimitere la excepțiile de la pct. 14, ceea ce confirmă unitatea de scop a celor două norme — asigurarea transparenței achizițiilor, cu </w:t>
            </w:r>
            <w:r w:rsidRPr="003D570B">
              <w:rPr>
                <w:rFonts w:ascii="Times New Roman" w:hAnsi="Times New Roman" w:cs="Times New Roman"/>
                <w:bCs/>
                <w:sz w:val="20"/>
                <w:szCs w:val="20"/>
                <w:lang w:val="ro-RO"/>
              </w:rPr>
              <w:lastRenderedPageBreak/>
              <w:t>posibilitatea derogării în situații bine definite. Această trimitere comună elimină riscul unor interpretări divergente și consolidează coerența arhitecturii normative a Regulamentului.</w:t>
            </w:r>
          </w:p>
          <w:p w14:paraId="0FCF43F6" w14:textId="00C89073" w:rsidR="00720E22"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În concluzie, pretinsa suprapunere între pct. 21 și pct. 21</w:t>
            </w:r>
            <w:r>
              <w:rPr>
                <w:rFonts w:ascii="Times New Roman" w:hAnsi="Times New Roman" w:cs="Times New Roman"/>
                <w:bCs/>
                <w:sz w:val="20"/>
                <w:szCs w:val="20"/>
                <w:vertAlign w:val="superscript"/>
                <w:lang w:val="ro-RO"/>
              </w:rPr>
              <w:t xml:space="preserve">1 </w:t>
            </w:r>
            <w:r w:rsidRPr="003D570B">
              <w:rPr>
                <w:rFonts w:ascii="Times New Roman" w:hAnsi="Times New Roman" w:cs="Times New Roman"/>
                <w:bCs/>
                <w:sz w:val="20"/>
                <w:szCs w:val="20"/>
                <w:lang w:val="ro-RO"/>
              </w:rPr>
              <w:t>este doar aparentă, cele două prevederi reglementând categorii distincte de achiziții, cu modele de anunț diferite și cu o delimitare valorică clară stabilită prin pragurile de la pct. 7</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Menținerea textului proiectului este necesară pentru asigurarea coerenței normative, clarității juridice și transparenței sporite a achizițiilor de valoare mică ce depășesc pragurile stabilite.</w:t>
            </w:r>
            <w:r>
              <w:rPr>
                <w:rFonts w:ascii="Times New Roman" w:hAnsi="Times New Roman" w:cs="Times New Roman"/>
                <w:bCs/>
                <w:sz w:val="20"/>
                <w:szCs w:val="20"/>
                <w:lang w:val="ro-RO"/>
              </w:rPr>
              <w:t xml:space="preserve"> </w:t>
            </w:r>
          </w:p>
        </w:tc>
      </w:tr>
      <w:tr w:rsidR="00720E22" w:rsidRPr="00760BD0" w14:paraId="12BC7048" w14:textId="77777777" w:rsidTr="00A919EA">
        <w:trPr>
          <w:trHeight w:val="416"/>
        </w:trPr>
        <w:tc>
          <w:tcPr>
            <w:tcW w:w="3397" w:type="dxa"/>
          </w:tcPr>
          <w:p w14:paraId="249D324E" w14:textId="3E36B479" w:rsidR="003D570B" w:rsidRPr="003D570B" w:rsidRDefault="003D570B" w:rsidP="003D570B">
            <w:pPr>
              <w:tabs>
                <w:tab w:val="left" w:pos="8505"/>
              </w:tabs>
              <w:jc w:val="both"/>
              <w:rPr>
                <w:rFonts w:ascii="Times New Roman" w:hAnsi="Times New Roman" w:cs="Times New Roman"/>
                <w:bCs/>
                <w:sz w:val="20"/>
                <w:szCs w:val="20"/>
                <w:lang w:val="ro-MD"/>
              </w:rPr>
            </w:pPr>
            <w:r w:rsidRPr="003D570B">
              <w:rPr>
                <w:rFonts w:ascii="Times New Roman" w:hAnsi="Times New Roman" w:cs="Times New Roman"/>
                <w:b/>
                <w:sz w:val="20"/>
                <w:szCs w:val="20"/>
                <w:lang w:val="ro-MD"/>
              </w:rPr>
              <w:lastRenderedPageBreak/>
              <w:t>1.19</w:t>
            </w:r>
            <w:r>
              <w:rPr>
                <w:rFonts w:ascii="Times New Roman" w:hAnsi="Times New Roman" w:cs="Times New Roman"/>
                <w:b/>
                <w:sz w:val="20"/>
                <w:szCs w:val="20"/>
                <w:lang w:val="ro-MD"/>
              </w:rPr>
              <w:t xml:space="preserve">. </w:t>
            </w:r>
            <w:r w:rsidRPr="003D570B">
              <w:rPr>
                <w:rFonts w:ascii="Times New Roman" w:hAnsi="Times New Roman" w:cs="Times New Roman"/>
                <w:bCs/>
                <w:sz w:val="20"/>
                <w:szCs w:val="20"/>
                <w:lang w:val="ro-MD"/>
              </w:rPr>
              <w:t>Se introduc punctele 27</w:t>
            </w:r>
            <w:r>
              <w:rPr>
                <w:rFonts w:ascii="Times New Roman" w:hAnsi="Times New Roman" w:cs="Times New Roman"/>
                <w:bCs/>
                <w:sz w:val="20"/>
                <w:szCs w:val="20"/>
                <w:vertAlign w:val="superscript"/>
                <w:lang w:val="ro-RO"/>
              </w:rPr>
              <w:t>1</w:t>
            </w:r>
            <w:r>
              <w:rPr>
                <w:rFonts w:ascii="Times New Roman" w:hAnsi="Times New Roman" w:cs="Times New Roman"/>
                <w:bCs/>
                <w:sz w:val="20"/>
                <w:szCs w:val="20"/>
                <w:lang w:val="ro-MD"/>
              </w:rPr>
              <w:t xml:space="preserve"> </w:t>
            </w:r>
            <w:r w:rsidRPr="003D570B">
              <w:rPr>
                <w:rFonts w:ascii="Times New Roman" w:hAnsi="Times New Roman" w:cs="Times New Roman"/>
                <w:bCs/>
                <w:sz w:val="20"/>
                <w:szCs w:val="20"/>
                <w:lang w:val="ro-MD"/>
              </w:rPr>
              <w:t>și 27</w:t>
            </w:r>
            <w:r>
              <w:rPr>
                <w:rFonts w:ascii="Times New Roman" w:hAnsi="Times New Roman" w:cs="Times New Roman"/>
                <w:bCs/>
                <w:sz w:val="20"/>
                <w:szCs w:val="20"/>
                <w:vertAlign w:val="superscript"/>
                <w:lang w:val="ro-RO"/>
              </w:rPr>
              <w:t xml:space="preserve">2 </w:t>
            </w:r>
            <w:r w:rsidRPr="003D570B">
              <w:rPr>
                <w:rFonts w:ascii="Times New Roman" w:hAnsi="Times New Roman" w:cs="Times New Roman"/>
                <w:bCs/>
                <w:sz w:val="20"/>
                <w:szCs w:val="20"/>
                <w:lang w:val="ro-MD"/>
              </w:rPr>
              <w:t>cu următorul cuprins:</w:t>
            </w:r>
          </w:p>
          <w:p w14:paraId="2F0D0A04" w14:textId="62E6869C" w:rsidR="00720E22" w:rsidRPr="003D570B" w:rsidRDefault="003D570B" w:rsidP="003D570B">
            <w:pPr>
              <w:tabs>
                <w:tab w:val="left" w:pos="8505"/>
              </w:tabs>
              <w:jc w:val="both"/>
              <w:rPr>
                <w:rFonts w:ascii="Times New Roman" w:hAnsi="Times New Roman" w:cs="Times New Roman"/>
                <w:bCs/>
                <w:sz w:val="20"/>
                <w:szCs w:val="20"/>
                <w:lang w:val="ro-MD"/>
              </w:rPr>
            </w:pPr>
            <w:r w:rsidRPr="003D570B">
              <w:rPr>
                <w:rFonts w:ascii="Times New Roman" w:hAnsi="Times New Roman" w:cs="Times New Roman"/>
                <w:bCs/>
                <w:sz w:val="20"/>
                <w:szCs w:val="20"/>
                <w:lang w:val="ro-MD"/>
              </w:rPr>
              <w:t>„ 27</w:t>
            </w:r>
            <w:r>
              <w:rPr>
                <w:rFonts w:ascii="Times New Roman" w:hAnsi="Times New Roman" w:cs="Times New Roman"/>
                <w:bCs/>
                <w:sz w:val="20"/>
                <w:szCs w:val="20"/>
                <w:vertAlign w:val="superscript"/>
                <w:lang w:val="ro-RO"/>
              </w:rPr>
              <w:t>2</w:t>
            </w:r>
            <w:r w:rsidRPr="003D570B">
              <w:rPr>
                <w:rFonts w:ascii="Times New Roman" w:hAnsi="Times New Roman" w:cs="Times New Roman"/>
                <w:bCs/>
                <w:sz w:val="20"/>
                <w:szCs w:val="20"/>
                <w:lang w:val="ro-MD"/>
              </w:rPr>
              <w:t>. Autoritatea contractantă, pentru achizițiile de valoare mică a căror valoare, fără taxa pe valoarea adăugată, depășește pragul prevăzut la pct. 7</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MD"/>
              </w:rPr>
              <w:t xml:space="preserve"> lit. b), elaborează propunerea financiară/devizul de ofertă în conformitate cu reglementările normative în domeniul construcțiilor. La elaborarea documentației aferente, autoritatea contractantă utilizează în mod obligatoriu formularele graficul de executare a lucrărilor, graficul de executare a documentației de proiect, formularul de deviz unificat și graficul de mobilizare a muncitorilor, conform anexelor nr. 2</w:t>
            </w:r>
            <w:r>
              <w:rPr>
                <w:rFonts w:ascii="Times New Roman" w:hAnsi="Times New Roman" w:cs="Times New Roman"/>
                <w:bCs/>
                <w:sz w:val="20"/>
                <w:szCs w:val="20"/>
                <w:vertAlign w:val="superscript"/>
                <w:lang w:val="ro-RO"/>
              </w:rPr>
              <w:t>3</w:t>
            </w:r>
            <w:r w:rsidRPr="003D570B">
              <w:rPr>
                <w:rFonts w:ascii="Times New Roman" w:hAnsi="Times New Roman" w:cs="Times New Roman"/>
                <w:bCs/>
                <w:sz w:val="20"/>
                <w:szCs w:val="20"/>
                <w:lang w:val="ro-MD"/>
              </w:rPr>
              <w:t>, nr. 2</w:t>
            </w:r>
            <w:r>
              <w:rPr>
                <w:rFonts w:ascii="Times New Roman" w:hAnsi="Times New Roman" w:cs="Times New Roman"/>
                <w:bCs/>
                <w:sz w:val="20"/>
                <w:szCs w:val="20"/>
                <w:vertAlign w:val="superscript"/>
                <w:lang w:val="ro-RO"/>
              </w:rPr>
              <w:t>4</w:t>
            </w:r>
            <w:r w:rsidRPr="003D570B">
              <w:rPr>
                <w:rFonts w:ascii="Times New Roman" w:hAnsi="Times New Roman" w:cs="Times New Roman"/>
                <w:bCs/>
                <w:sz w:val="20"/>
                <w:szCs w:val="20"/>
                <w:lang w:val="ro-MD"/>
              </w:rPr>
              <w:t>,  nr. 2</w:t>
            </w:r>
            <w:r>
              <w:rPr>
                <w:rFonts w:ascii="Times New Roman" w:hAnsi="Times New Roman" w:cs="Times New Roman"/>
                <w:bCs/>
                <w:sz w:val="20"/>
                <w:szCs w:val="20"/>
                <w:vertAlign w:val="superscript"/>
                <w:lang w:val="ro-RO"/>
              </w:rPr>
              <w:t>5</w:t>
            </w:r>
            <w:r w:rsidRPr="003D570B">
              <w:rPr>
                <w:rFonts w:ascii="Times New Roman" w:hAnsi="Times New Roman" w:cs="Times New Roman"/>
                <w:bCs/>
                <w:sz w:val="20"/>
                <w:szCs w:val="20"/>
                <w:lang w:val="ro-MD"/>
              </w:rPr>
              <w:t xml:space="preserve"> și nr. 2</w:t>
            </w:r>
            <w:r>
              <w:rPr>
                <w:rFonts w:ascii="Times New Roman" w:hAnsi="Times New Roman" w:cs="Times New Roman"/>
                <w:bCs/>
                <w:sz w:val="20"/>
                <w:szCs w:val="20"/>
                <w:vertAlign w:val="superscript"/>
                <w:lang w:val="ro-RO"/>
              </w:rPr>
              <w:t>6</w:t>
            </w:r>
            <w:r w:rsidRPr="003D570B">
              <w:rPr>
                <w:rFonts w:ascii="Times New Roman" w:hAnsi="Times New Roman" w:cs="Times New Roman"/>
                <w:bCs/>
                <w:sz w:val="20"/>
                <w:szCs w:val="20"/>
                <w:lang w:val="ro-MD"/>
              </w:rPr>
              <w:t>.”.</w:t>
            </w:r>
            <w:r w:rsidRPr="003D570B">
              <w:rPr>
                <w:rFonts w:ascii="Times New Roman" w:hAnsi="Times New Roman" w:cs="Times New Roman"/>
                <w:b/>
                <w:sz w:val="20"/>
                <w:szCs w:val="20"/>
                <w:lang w:val="ro-MD"/>
              </w:rPr>
              <w:t xml:space="preserve">  </w:t>
            </w:r>
          </w:p>
        </w:tc>
        <w:tc>
          <w:tcPr>
            <w:tcW w:w="2977" w:type="dxa"/>
          </w:tcPr>
          <w:p w14:paraId="22460F4D" w14:textId="77777777" w:rsidR="00720E22" w:rsidRPr="00154388" w:rsidRDefault="00720E22"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74C5BA43" w14:textId="034415D7" w:rsidR="00720E22" w:rsidRDefault="00720E22"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6</w:t>
            </w:r>
          </w:p>
        </w:tc>
        <w:tc>
          <w:tcPr>
            <w:tcW w:w="3402" w:type="dxa"/>
          </w:tcPr>
          <w:p w14:paraId="60878C81" w14:textId="394E1692" w:rsidR="00720E22" w:rsidRPr="003D570B" w:rsidRDefault="00720E22" w:rsidP="00720E22">
            <w:pPr>
              <w:jc w:val="both"/>
              <w:rPr>
                <w:rFonts w:ascii="Times New Roman" w:hAnsi="Times New Roman" w:cs="Times New Roman"/>
                <w:sz w:val="20"/>
                <w:szCs w:val="20"/>
                <w:lang w:val="ro-RO"/>
              </w:rPr>
            </w:pPr>
            <w:r w:rsidRPr="003D570B">
              <w:rPr>
                <w:rFonts w:ascii="Times New Roman" w:hAnsi="Times New Roman" w:cs="Times New Roman"/>
                <w:sz w:val="20"/>
                <w:szCs w:val="20"/>
                <w:lang w:val="ro-RO"/>
              </w:rPr>
              <w:t>La pct. 1.19 din proiectul hotărârii de Guvern, în contextul completării Regulamentului cu pct. 27</w:t>
            </w:r>
            <w:r w:rsidRPr="003D570B">
              <w:rPr>
                <w:rFonts w:ascii="Times New Roman" w:hAnsi="Times New Roman" w:cs="Times New Roman"/>
                <w:sz w:val="20"/>
                <w:szCs w:val="20"/>
                <w:vertAlign w:val="superscript"/>
                <w:lang w:val="ro-RO"/>
              </w:rPr>
              <w:t>2</w:t>
            </w:r>
            <w:r w:rsidRPr="003D570B">
              <w:rPr>
                <w:rFonts w:ascii="Times New Roman" w:hAnsi="Times New Roman" w:cs="Times New Roman"/>
                <w:sz w:val="20"/>
                <w:szCs w:val="20"/>
                <w:lang w:val="ro-RO"/>
              </w:rPr>
              <w:t>, recomandăm substituirea textului „elaborează propunerea financiară” cu textul „stabilește cerințele propunerii financiare/devizului de ofertă”.</w:t>
            </w:r>
          </w:p>
        </w:tc>
        <w:tc>
          <w:tcPr>
            <w:tcW w:w="3436" w:type="dxa"/>
          </w:tcPr>
          <w:p w14:paraId="27F8B806" w14:textId="77777777" w:rsidR="00720E22" w:rsidRPr="00BF0C13" w:rsidRDefault="003D570B" w:rsidP="00797C0D">
            <w:pPr>
              <w:tabs>
                <w:tab w:val="left" w:pos="8505"/>
              </w:tabs>
              <w:jc w:val="both"/>
              <w:rPr>
                <w:rFonts w:ascii="Times New Roman" w:hAnsi="Times New Roman" w:cs="Times New Roman"/>
                <w:b/>
                <w:bCs/>
                <w:sz w:val="20"/>
                <w:szCs w:val="20"/>
                <w:lang w:val="ro-RO"/>
              </w:rPr>
            </w:pPr>
            <w:r w:rsidRPr="00BF0C13">
              <w:rPr>
                <w:rFonts w:ascii="Times New Roman" w:hAnsi="Times New Roman" w:cs="Times New Roman"/>
                <w:b/>
                <w:bCs/>
                <w:sz w:val="20"/>
                <w:szCs w:val="20"/>
                <w:lang w:val="ro-RO"/>
              </w:rPr>
              <w:t>Se acceptǎ</w:t>
            </w:r>
          </w:p>
          <w:p w14:paraId="4B262DEB" w14:textId="57DBDB40" w:rsidR="003D570B" w:rsidRPr="003D570B" w:rsidRDefault="003D570B" w:rsidP="00797C0D">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Au fost operate modificǎrile solicitate.</w:t>
            </w:r>
          </w:p>
        </w:tc>
      </w:tr>
      <w:tr w:rsidR="00720E22" w:rsidRPr="00760BD0" w14:paraId="42CCE3C2" w14:textId="77777777" w:rsidTr="00A919EA">
        <w:trPr>
          <w:trHeight w:val="416"/>
        </w:trPr>
        <w:tc>
          <w:tcPr>
            <w:tcW w:w="3397" w:type="dxa"/>
          </w:tcPr>
          <w:p w14:paraId="09A95240" w14:textId="0E67CB40" w:rsidR="00720E22" w:rsidRPr="003D570B" w:rsidRDefault="003D570B" w:rsidP="00797C0D">
            <w:pPr>
              <w:tabs>
                <w:tab w:val="left" w:pos="8505"/>
              </w:tabs>
              <w:jc w:val="both"/>
              <w:rPr>
                <w:rFonts w:ascii="Times New Roman" w:hAnsi="Times New Roman" w:cs="Times New Roman"/>
                <w:b/>
                <w:sz w:val="20"/>
                <w:szCs w:val="20"/>
                <w:lang w:val="ro-MD"/>
              </w:rPr>
            </w:pPr>
            <w:r w:rsidRPr="003D570B">
              <w:rPr>
                <w:rFonts w:ascii="Times New Roman" w:hAnsi="Times New Roman" w:cs="Times New Roman"/>
                <w:b/>
                <w:sz w:val="20"/>
                <w:szCs w:val="20"/>
                <w:lang w:val="ro-MD"/>
              </w:rPr>
              <w:t>1.20.</w:t>
            </w:r>
            <w:r>
              <w:rPr>
                <w:rFonts w:ascii="Times New Roman" w:hAnsi="Times New Roman" w:cs="Times New Roman"/>
                <w:b/>
                <w:sz w:val="20"/>
                <w:szCs w:val="20"/>
                <w:lang w:val="ro-MD"/>
              </w:rPr>
              <w:t xml:space="preserve">  </w:t>
            </w:r>
            <w:r w:rsidRPr="003D570B">
              <w:rPr>
                <w:rFonts w:ascii="Times New Roman" w:hAnsi="Times New Roman" w:cs="Times New Roman"/>
                <w:bCs/>
                <w:sz w:val="20"/>
                <w:szCs w:val="20"/>
                <w:lang w:val="ro-MD"/>
              </w:rPr>
              <w:t>La punctul 29 se introduce textul „Pentru procedurile de achiziții cu termene extinse de depunere a ofertelor (7 zile sau 12 zile lucrătoare), termenul de solicitare a clarificărilor este de minimum 3 zile lucrătoare de la data publicării anunțului.”.</w:t>
            </w:r>
          </w:p>
        </w:tc>
        <w:tc>
          <w:tcPr>
            <w:tcW w:w="2977" w:type="dxa"/>
          </w:tcPr>
          <w:p w14:paraId="3FC51181" w14:textId="77777777" w:rsidR="00720E22" w:rsidRPr="00154388" w:rsidRDefault="00720E22"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063D5ACF" w14:textId="292A90EA" w:rsidR="00720E22" w:rsidRDefault="00720E22"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7</w:t>
            </w:r>
          </w:p>
        </w:tc>
        <w:tc>
          <w:tcPr>
            <w:tcW w:w="3402" w:type="dxa"/>
          </w:tcPr>
          <w:p w14:paraId="7AD15B9C" w14:textId="49D24301" w:rsidR="00720E22" w:rsidRPr="003D570B" w:rsidRDefault="00720E22" w:rsidP="00720E22">
            <w:pPr>
              <w:jc w:val="both"/>
              <w:rPr>
                <w:rFonts w:ascii="Times New Roman" w:hAnsi="Times New Roman" w:cs="Times New Roman"/>
                <w:sz w:val="20"/>
                <w:szCs w:val="20"/>
                <w:lang w:val="it-IT"/>
              </w:rPr>
            </w:pPr>
            <w:r w:rsidRPr="003D570B">
              <w:rPr>
                <w:rFonts w:ascii="Times New Roman" w:hAnsi="Times New Roman" w:cs="Times New Roman"/>
                <w:sz w:val="20"/>
                <w:szCs w:val="20"/>
                <w:lang w:val="ro-RO"/>
              </w:rPr>
              <w:t xml:space="preserve">La pct. 1.20 din proiectul hotărârii de Guvern, menționăm existența unor neclarități privind sensul textului „achiziții cu termene extinse de depunere a ofertelor (7 zile sau 12 zile lucrătoare)”. </w:t>
            </w:r>
            <w:r w:rsidRPr="003D570B">
              <w:rPr>
                <w:rFonts w:ascii="Times New Roman" w:hAnsi="Times New Roman" w:cs="Times New Roman"/>
                <w:sz w:val="20"/>
                <w:szCs w:val="20"/>
                <w:lang w:val="it-IT"/>
              </w:rPr>
              <w:t xml:space="preserve">În condițiile în care este vizat tipul de achiziții menționat la pct. </w:t>
            </w:r>
            <w:r w:rsidRPr="003D570B">
              <w:rPr>
                <w:rFonts w:ascii="Times New Roman" w:hAnsi="Times New Roman" w:cs="Times New Roman"/>
                <w:sz w:val="20"/>
                <w:szCs w:val="20"/>
                <w:lang w:val="it-IT"/>
              </w:rPr>
              <w:lastRenderedPageBreak/>
              <w:t>34</w:t>
            </w:r>
            <w:r w:rsidRPr="003D570B">
              <w:rPr>
                <w:rFonts w:ascii="Times New Roman" w:hAnsi="Times New Roman" w:cs="Times New Roman"/>
                <w:sz w:val="20"/>
                <w:szCs w:val="20"/>
                <w:vertAlign w:val="superscript"/>
                <w:lang w:val="it-IT"/>
              </w:rPr>
              <w:t>1</w:t>
            </w:r>
            <w:r w:rsidRPr="003D570B">
              <w:rPr>
                <w:rFonts w:ascii="Times New Roman" w:hAnsi="Times New Roman" w:cs="Times New Roman"/>
                <w:sz w:val="20"/>
                <w:szCs w:val="20"/>
                <w:lang w:val="it-IT"/>
              </w:rPr>
              <w:t>, recomandăm inserarea unei trimiteri la punctul respectiv.</w:t>
            </w:r>
          </w:p>
        </w:tc>
        <w:tc>
          <w:tcPr>
            <w:tcW w:w="3436" w:type="dxa"/>
          </w:tcPr>
          <w:p w14:paraId="2B27F19E" w14:textId="21BD60AC" w:rsidR="003D570B" w:rsidRPr="003D570B" w:rsidRDefault="003D570B" w:rsidP="00797C0D">
            <w:pPr>
              <w:tabs>
                <w:tab w:val="left" w:pos="8505"/>
              </w:tabs>
              <w:jc w:val="both"/>
              <w:rPr>
                <w:rFonts w:ascii="Times New Roman" w:hAnsi="Times New Roman" w:cs="Times New Roman"/>
                <w:b/>
                <w:sz w:val="20"/>
                <w:szCs w:val="20"/>
                <w:lang w:val="ro-RO"/>
              </w:rPr>
            </w:pPr>
            <w:r w:rsidRPr="003D570B">
              <w:rPr>
                <w:rFonts w:ascii="Times New Roman" w:hAnsi="Times New Roman" w:cs="Times New Roman"/>
                <w:b/>
                <w:sz w:val="20"/>
                <w:szCs w:val="20"/>
                <w:lang w:val="ro-RO"/>
              </w:rPr>
              <w:lastRenderedPageBreak/>
              <w:t>Se acceptǎ</w:t>
            </w:r>
          </w:p>
          <w:p w14:paraId="2906E132" w14:textId="74D3FBFC" w:rsidR="003D570B" w:rsidRDefault="003D570B" w:rsidP="00797C0D">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Au fost operate modificǎrile sugerate.</w:t>
            </w:r>
          </w:p>
          <w:p w14:paraId="4CB47A83" w14:textId="7B6BF34C" w:rsidR="00720E22" w:rsidRPr="003D570B" w:rsidRDefault="003D570B" w:rsidP="00797C0D">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P</w:t>
            </w:r>
            <w:r w:rsidRPr="003D570B">
              <w:rPr>
                <w:rFonts w:ascii="Times New Roman" w:hAnsi="Times New Roman" w:cs="Times New Roman"/>
                <w:bCs/>
                <w:sz w:val="20"/>
                <w:szCs w:val="20"/>
                <w:lang w:val="ro-RO"/>
              </w:rPr>
              <w:t xml:space="preserve">unctul 29 </w:t>
            </w:r>
            <w:r>
              <w:rPr>
                <w:rFonts w:ascii="Times New Roman" w:hAnsi="Times New Roman" w:cs="Times New Roman"/>
                <w:bCs/>
                <w:sz w:val="20"/>
                <w:szCs w:val="20"/>
                <w:lang w:val="ro-RO"/>
              </w:rPr>
              <w:t>a fost reformulat dupǎ cum urmeazǎ:</w:t>
            </w:r>
            <w:r w:rsidRPr="003D570B">
              <w:rPr>
                <w:rFonts w:ascii="Times New Roman" w:hAnsi="Times New Roman" w:cs="Times New Roman"/>
                <w:bCs/>
                <w:sz w:val="20"/>
                <w:szCs w:val="20"/>
                <w:lang w:val="ro-RO"/>
              </w:rPr>
              <w:t xml:space="preserve"> „Pentru procedurile de achiziții cu termene extinse de depunere a ofertelor, reglementate la pct 34</w:t>
            </w:r>
            <w:r w:rsidRPr="003D570B">
              <w:rPr>
                <w:rFonts w:ascii="Times New Roman" w:hAnsi="Times New Roman" w:cs="Times New Roman"/>
                <w:sz w:val="20"/>
                <w:szCs w:val="20"/>
                <w:vertAlign w:val="superscript"/>
                <w:lang w:val="it-IT"/>
              </w:rPr>
              <w:t>1</w:t>
            </w:r>
            <w:r w:rsidRPr="003D570B">
              <w:rPr>
                <w:rFonts w:ascii="Times New Roman" w:hAnsi="Times New Roman" w:cs="Times New Roman"/>
                <w:bCs/>
                <w:sz w:val="20"/>
                <w:szCs w:val="20"/>
                <w:lang w:val="ro-RO"/>
              </w:rPr>
              <w:t xml:space="preserve">, termenul de solicitare a clarificărilor este </w:t>
            </w:r>
            <w:r w:rsidRPr="003D570B">
              <w:rPr>
                <w:rFonts w:ascii="Times New Roman" w:hAnsi="Times New Roman" w:cs="Times New Roman"/>
                <w:bCs/>
                <w:sz w:val="20"/>
                <w:szCs w:val="20"/>
                <w:lang w:val="ro-RO"/>
              </w:rPr>
              <w:lastRenderedPageBreak/>
              <w:t>de minimum 3 zile lucrătoare de la data publicării anunțului.”.</w:t>
            </w:r>
            <w:r>
              <w:rPr>
                <w:rFonts w:ascii="Times New Roman" w:hAnsi="Times New Roman" w:cs="Times New Roman"/>
                <w:bCs/>
                <w:sz w:val="20"/>
                <w:szCs w:val="20"/>
                <w:lang w:val="ro-RO"/>
              </w:rPr>
              <w:t xml:space="preserve"> </w:t>
            </w:r>
          </w:p>
        </w:tc>
      </w:tr>
      <w:tr w:rsidR="00720E22" w:rsidRPr="00760BD0" w14:paraId="7A20EA79" w14:textId="77777777" w:rsidTr="00A919EA">
        <w:trPr>
          <w:trHeight w:val="416"/>
        </w:trPr>
        <w:tc>
          <w:tcPr>
            <w:tcW w:w="3397" w:type="dxa"/>
          </w:tcPr>
          <w:p w14:paraId="794FAC46" w14:textId="5394DB4E" w:rsidR="003D570B" w:rsidRPr="00311701" w:rsidRDefault="003D570B" w:rsidP="003D570B">
            <w:pPr>
              <w:tabs>
                <w:tab w:val="left" w:pos="8505"/>
              </w:tabs>
              <w:jc w:val="both"/>
              <w:rPr>
                <w:rFonts w:ascii="Times New Roman" w:hAnsi="Times New Roman" w:cs="Times New Roman"/>
                <w:sz w:val="20"/>
                <w:szCs w:val="20"/>
                <w:lang w:val="ro-RO"/>
              </w:rPr>
            </w:pPr>
            <w:r>
              <w:rPr>
                <w:rFonts w:ascii="Times New Roman" w:hAnsi="Times New Roman" w:cs="Times New Roman"/>
                <w:b/>
                <w:sz w:val="20"/>
                <w:szCs w:val="20"/>
                <w:lang w:val="ro-RO"/>
              </w:rPr>
              <w:lastRenderedPageBreak/>
              <w:t>1</w:t>
            </w:r>
            <w:r w:rsidRPr="00311701">
              <w:rPr>
                <w:rFonts w:ascii="Times New Roman" w:hAnsi="Times New Roman" w:cs="Times New Roman"/>
                <w:b/>
                <w:sz w:val="20"/>
                <w:szCs w:val="20"/>
                <w:lang w:val="ro-RO"/>
              </w:rPr>
              <w:t>.22.</w:t>
            </w:r>
            <w:r>
              <w:rPr>
                <w:rFonts w:ascii="Times New Roman" w:hAnsi="Times New Roman" w:cs="Times New Roman"/>
                <w:sz w:val="20"/>
                <w:szCs w:val="20"/>
                <w:lang w:val="ro-RO"/>
              </w:rPr>
              <w:t xml:space="preserve"> </w:t>
            </w:r>
            <w:r w:rsidRPr="00311701">
              <w:rPr>
                <w:rFonts w:ascii="Times New Roman" w:hAnsi="Times New Roman" w:cs="Times New Roman"/>
                <w:sz w:val="20"/>
                <w:szCs w:val="20"/>
                <w:lang w:val="ro-RO"/>
              </w:rPr>
              <w:t>Se introduce punctul 50</w:t>
            </w:r>
            <w:r>
              <w:rPr>
                <w:rFonts w:ascii="Times New Roman" w:hAnsi="Times New Roman" w:cs="Times New Roman"/>
                <w:sz w:val="20"/>
                <w:szCs w:val="20"/>
                <w:vertAlign w:val="superscript"/>
                <w:lang w:val="ro-RO"/>
              </w:rPr>
              <w:t>1</w:t>
            </w:r>
            <w:r w:rsidRPr="00311701">
              <w:rPr>
                <w:rFonts w:ascii="Times New Roman" w:hAnsi="Times New Roman" w:cs="Times New Roman"/>
                <w:sz w:val="20"/>
                <w:szCs w:val="20"/>
                <w:lang w:val="ro-RO"/>
              </w:rPr>
              <w:t>, cu următorul cuprins:</w:t>
            </w:r>
          </w:p>
          <w:p w14:paraId="1A760405" w14:textId="0090F1B2" w:rsidR="00720E22" w:rsidRPr="003D570B" w:rsidRDefault="003D570B" w:rsidP="003D570B">
            <w:pPr>
              <w:tabs>
                <w:tab w:val="left" w:pos="8505"/>
              </w:tabs>
              <w:jc w:val="both"/>
              <w:rPr>
                <w:rFonts w:ascii="Times New Roman" w:hAnsi="Times New Roman" w:cs="Times New Roman"/>
                <w:b/>
                <w:sz w:val="20"/>
                <w:szCs w:val="20"/>
                <w:lang w:val="ro-RO"/>
              </w:rPr>
            </w:pPr>
            <w:r w:rsidRPr="00311701">
              <w:rPr>
                <w:rFonts w:ascii="Times New Roman" w:hAnsi="Times New Roman" w:cs="Times New Roman"/>
                <w:sz w:val="20"/>
                <w:szCs w:val="20"/>
                <w:lang w:val="ro-RO"/>
              </w:rPr>
              <w:t>„50</w:t>
            </w:r>
            <w:r>
              <w:rPr>
                <w:rFonts w:ascii="Times New Roman" w:hAnsi="Times New Roman" w:cs="Times New Roman"/>
                <w:sz w:val="20"/>
                <w:szCs w:val="20"/>
                <w:vertAlign w:val="superscript"/>
                <w:lang w:val="ro-RO"/>
              </w:rPr>
              <w:t>1</w:t>
            </w:r>
            <w:r w:rsidRPr="00311701">
              <w:rPr>
                <w:rFonts w:ascii="Times New Roman" w:hAnsi="Times New Roman" w:cs="Times New Roman"/>
                <w:sz w:val="20"/>
                <w:szCs w:val="20"/>
                <w:lang w:val="ro-RO"/>
              </w:rPr>
              <w:t>. Autoritatea/entitatea contractantă poate solicita garanția pentru ofertă și garanția de bună execuție a contractului. În anunțul de participare aceasta va indica, după caz, pentru fiecare garanție, cerințele față de emitent, forma, cuantumul și alte condiții de bază ale garanției pentru ofertă, precum și cerințele față de operatorul economic care depune garanția pentru ofertă și/sau garanția de bună execuție a contractului.”.</w:t>
            </w:r>
          </w:p>
        </w:tc>
        <w:tc>
          <w:tcPr>
            <w:tcW w:w="2977" w:type="dxa"/>
          </w:tcPr>
          <w:p w14:paraId="3C84E9D7" w14:textId="77777777" w:rsidR="00720E22" w:rsidRPr="00154388" w:rsidRDefault="00720E22"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520BB585" w14:textId="08D69118" w:rsidR="00720E22" w:rsidRDefault="00720E22"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8</w:t>
            </w:r>
          </w:p>
        </w:tc>
        <w:tc>
          <w:tcPr>
            <w:tcW w:w="3402" w:type="dxa"/>
          </w:tcPr>
          <w:p w14:paraId="263F960C" w14:textId="21C8563A" w:rsidR="00720E22" w:rsidRPr="003D570B" w:rsidRDefault="00720E22" w:rsidP="00BB18D5">
            <w:pPr>
              <w:jc w:val="both"/>
              <w:rPr>
                <w:rFonts w:ascii="Times New Roman" w:hAnsi="Times New Roman" w:cs="Times New Roman"/>
                <w:sz w:val="20"/>
                <w:szCs w:val="20"/>
                <w:lang w:val="it-IT"/>
              </w:rPr>
            </w:pPr>
            <w:r w:rsidRPr="003D570B">
              <w:rPr>
                <w:rFonts w:ascii="Times New Roman" w:hAnsi="Times New Roman" w:cs="Times New Roman"/>
                <w:sz w:val="20"/>
                <w:szCs w:val="20"/>
                <w:lang w:val="ro-RO"/>
              </w:rPr>
              <w:t xml:space="preserve">La pct. 1.22 din proiectul hotărârii de Guvern, în contextul completării Regulamentului cu pct. 50¹, recomandăm examinarea oportunității delimitării clare a celor două tipuri de garanții prin structurarea punctului 50¹ în alineate distincte. </w:t>
            </w:r>
            <w:r w:rsidRPr="003D570B">
              <w:rPr>
                <w:rFonts w:ascii="Times New Roman" w:hAnsi="Times New Roman" w:cs="Times New Roman"/>
                <w:sz w:val="20"/>
                <w:szCs w:val="20"/>
                <w:lang w:val="it-IT"/>
              </w:rPr>
              <w:t>Deși ambele reprezintă instrumente de garantare, natura lor juridică și momentul aplicării sunt diferite, or, prevederea acestora într-un singur alineat poate genera confuzii în elaborarea documentației și erori în pregătirea ofertelor. Având în vedere că Legea nr. 325/2025 acordă operatorului economic dreptul de a alege forma garanției de bună execuție, o redacție distinctă și clar determinată va permite autorității să precizeze clar opțiunile de constituire. Totodată, pentru a respecta principiul utilizării eficiente a resurselor financiare și a nu îngrădi accesul întreprinderilor mici și mijlocii (IMM) la achizițiile de valoare mică, recomandăm examinarea oportunității plafonării acestor garanții ( ex: Garanția pentru ofertă: maximum 1% din valoarea ofertei fără TVA; Garanția de bună execuție: maximum 5% din valoarea contractului sau până la 10% în cazuri temeinic justificate pentru proiecte complexe de lucrări). Totodată, recomandăm examinarea concordanței prevederilor pct. 50</w:t>
            </w:r>
            <w:r w:rsidR="00BB18D5" w:rsidRPr="003D570B">
              <w:rPr>
                <w:rFonts w:ascii="Times New Roman" w:hAnsi="Times New Roman" w:cs="Times New Roman"/>
                <w:sz w:val="20"/>
                <w:szCs w:val="20"/>
                <w:vertAlign w:val="superscript"/>
                <w:lang w:val="it-IT"/>
              </w:rPr>
              <w:t>1</w:t>
            </w:r>
            <w:r w:rsidRPr="003D570B">
              <w:rPr>
                <w:rFonts w:ascii="Times New Roman" w:hAnsi="Times New Roman" w:cs="Times New Roman"/>
                <w:sz w:val="20"/>
                <w:szCs w:val="20"/>
                <w:lang w:val="it-IT"/>
              </w:rPr>
              <w:t xml:space="preserve"> cu prevederile art. 71 al Legii nr. 325/2025, în special în partea ce ține de dreptul operatorului economic de a alege forma garanției de bună execuție.</w:t>
            </w:r>
          </w:p>
        </w:tc>
        <w:tc>
          <w:tcPr>
            <w:tcW w:w="3436" w:type="dxa"/>
          </w:tcPr>
          <w:p w14:paraId="2630A0C9" w14:textId="77777777" w:rsidR="003D570B" w:rsidRDefault="003D570B" w:rsidP="003D570B">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3295059A" w14:textId="77777777" w:rsidR="003D570B" w:rsidRPr="00863A23" w:rsidRDefault="003D570B" w:rsidP="003D570B">
            <w:pPr>
              <w:tabs>
                <w:tab w:val="left" w:pos="8505"/>
              </w:tabs>
              <w:jc w:val="both"/>
              <w:rPr>
                <w:rFonts w:ascii="Times New Roman" w:hAnsi="Times New Roman" w:cs="Times New Roman"/>
                <w:sz w:val="20"/>
                <w:szCs w:val="20"/>
                <w:lang w:val="ro-RO"/>
              </w:rPr>
            </w:pPr>
            <w:r w:rsidRPr="00863A23">
              <w:rPr>
                <w:rFonts w:ascii="Times New Roman" w:hAnsi="Times New Roman" w:cs="Times New Roman"/>
                <w:sz w:val="20"/>
                <w:szCs w:val="20"/>
                <w:lang w:val="ro-RO"/>
              </w:rPr>
              <w:t>Punctul 1.22 a fost reformulat în urma propunerilor din avizele Agenției Geodezie, Cartografie și Cadastru, Cancelariei de Stat și Ministerului Sănătății și va avea următorul cuprins:</w:t>
            </w:r>
          </w:p>
          <w:p w14:paraId="706BFEF5" w14:textId="43B32FB5" w:rsidR="00720E22" w:rsidRDefault="003D570B" w:rsidP="003D570B">
            <w:pPr>
              <w:tabs>
                <w:tab w:val="left" w:pos="8505"/>
              </w:tabs>
              <w:jc w:val="both"/>
              <w:rPr>
                <w:rFonts w:ascii="Times New Roman" w:hAnsi="Times New Roman" w:cs="Times New Roman"/>
                <w:b/>
                <w:sz w:val="20"/>
                <w:szCs w:val="20"/>
                <w:lang w:val="ro-RO"/>
              </w:rPr>
            </w:pPr>
            <w:r w:rsidRPr="00863A23">
              <w:rPr>
                <w:rFonts w:ascii="Times New Roman" w:hAnsi="Times New Roman" w:cs="Times New Roman"/>
                <w:sz w:val="20"/>
                <w:szCs w:val="20"/>
                <w:lang w:val="ro-RO"/>
              </w:rPr>
              <w:t>„</w:t>
            </w:r>
            <w:r w:rsidRPr="00CA6E1F">
              <w:rPr>
                <w:rFonts w:ascii="Times New Roman" w:hAnsi="Times New Roman" w:cs="Times New Roman"/>
                <w:sz w:val="20"/>
                <w:szCs w:val="20"/>
                <w:lang w:val="ro-MD"/>
              </w:rPr>
              <w:t>50</w:t>
            </w:r>
            <w:r w:rsidRPr="00CA6E1F">
              <w:rPr>
                <w:rFonts w:ascii="Times New Roman" w:hAnsi="Times New Roman" w:cs="Times New Roman"/>
                <w:sz w:val="20"/>
                <w:szCs w:val="20"/>
                <w:vertAlign w:val="superscript"/>
                <w:lang w:val="ro-MD"/>
              </w:rPr>
              <w:t>1</w:t>
            </w:r>
            <w:r w:rsidRPr="00CA6E1F">
              <w:rPr>
                <w:rFonts w:ascii="Times New Roman" w:hAnsi="Times New Roman" w:cs="Times New Roman"/>
                <w:sz w:val="20"/>
                <w:szCs w:val="20"/>
                <w:lang w:val="ro-MD"/>
              </w:rPr>
              <w:t>.</w:t>
            </w:r>
            <w:r w:rsidRPr="009A5C03">
              <w:rPr>
                <w:rFonts w:ascii="Times New Roman" w:hAnsi="Times New Roman" w:cs="Times New Roman"/>
                <w:sz w:val="20"/>
                <w:szCs w:val="20"/>
                <w:lang w:val="ro-RO"/>
              </w:rPr>
              <w:t xml:space="preserve"> Autoritatea contractantă, în cazul achizițiilor de valoare mică a căror valoare depășește pragurile stabilite la pct. 7</w:t>
            </w:r>
            <w:r>
              <w:rPr>
                <w:rFonts w:ascii="Times New Roman" w:hAnsi="Times New Roman" w:cs="Times New Roman"/>
                <w:sz w:val="20"/>
                <w:szCs w:val="20"/>
                <w:vertAlign w:val="superscript"/>
                <w:lang w:val="ro-RO"/>
              </w:rPr>
              <w:t>1</w:t>
            </w:r>
            <w:r w:rsidRPr="009A5C03">
              <w:rPr>
                <w:rFonts w:ascii="Times New Roman" w:hAnsi="Times New Roman" w:cs="Times New Roman"/>
                <w:sz w:val="20"/>
                <w:szCs w:val="20"/>
                <w:lang w:val="ro-RO"/>
              </w:rPr>
              <w:t>, poate solicita garanția pentru ofertă,</w:t>
            </w:r>
            <w:r>
              <w:rPr>
                <w:rFonts w:ascii="Times New Roman" w:hAnsi="Times New Roman" w:cs="Times New Roman"/>
                <w:sz w:val="20"/>
                <w:szCs w:val="20"/>
                <w:lang w:val="ro-RO"/>
              </w:rPr>
              <w:t xml:space="preserve"> </w:t>
            </w:r>
            <w:r w:rsidRPr="009A5C03">
              <w:rPr>
                <w:rFonts w:ascii="Times New Roman" w:hAnsi="Times New Roman" w:cs="Times New Roman"/>
                <w:sz w:val="20"/>
                <w:szCs w:val="20"/>
                <w:lang w:val="ro-RO"/>
              </w:rPr>
              <w:t>cuantumul garanției pentru ofertă, nu va depăși 2 % din valoarea estimată a ofertei, fără taxa pe valoarea adăugată și garanția de bună execuție a contractului, cuantumul garanției de bună execuție a contractului, nu trebuie să depășească 10 % din valoarea totală a contractului de achiziție publică, cu respectarea principiului proporționalității și doar dacă este justificată de valoarea, complexitatea și riscurile achiziției. În anunțul de participare aceasta va indica, după caz, pentru fiecare garanție, cerințele față de emitent, forma, cuantumul și alte condiții de bază ale garanției pentru ofertă, precum și cerințele față de operatorul economic care depune garanția pentru ofertă și/sau garanția de bună execuție a contractului. Garanția pentru ofertă se restituie operatorilor economici după finalizarea procedurii de atribuire. Garanția de bună execuție a contractului se restituie în termen de până la 15 zile de la data finalizării integrale a contractului de achiziție publică de bunuri sau servicii, iar în cazul contractelor de lucrări – în conformitate cu prevederile Codului Urbanismului și Construcțiilor nr. 434/2023</w:t>
            </w:r>
            <w:r w:rsidRPr="00CA6E1F">
              <w:rPr>
                <w:rFonts w:ascii="Times New Roman" w:hAnsi="Times New Roman" w:cs="Times New Roman"/>
                <w:sz w:val="20"/>
                <w:szCs w:val="20"/>
                <w:lang w:val="ro-MD"/>
              </w:rPr>
              <w:t>.”.</w:t>
            </w:r>
            <w:r>
              <w:rPr>
                <w:rFonts w:ascii="Times New Roman" w:hAnsi="Times New Roman" w:cs="Times New Roman"/>
                <w:sz w:val="20"/>
                <w:szCs w:val="20"/>
                <w:lang w:val="ro-MD"/>
              </w:rPr>
              <w:t xml:space="preserve"> </w:t>
            </w:r>
          </w:p>
        </w:tc>
      </w:tr>
      <w:tr w:rsidR="00BB18D5" w:rsidRPr="00760BD0" w14:paraId="60A347C8" w14:textId="77777777" w:rsidTr="00A919EA">
        <w:trPr>
          <w:trHeight w:val="416"/>
        </w:trPr>
        <w:tc>
          <w:tcPr>
            <w:tcW w:w="3397" w:type="dxa"/>
          </w:tcPr>
          <w:p w14:paraId="1B0776A6" w14:textId="04587085" w:rsidR="003D570B" w:rsidRPr="003D570B" w:rsidRDefault="003D570B" w:rsidP="003D570B">
            <w:pPr>
              <w:tabs>
                <w:tab w:val="left" w:pos="8505"/>
              </w:tabs>
              <w:jc w:val="both"/>
              <w:rPr>
                <w:rFonts w:ascii="Times New Roman" w:hAnsi="Times New Roman" w:cs="Times New Roman"/>
                <w:bCs/>
                <w:sz w:val="20"/>
                <w:szCs w:val="20"/>
                <w:lang w:val="it-IT"/>
              </w:rPr>
            </w:pPr>
            <w:r w:rsidRPr="003D570B">
              <w:rPr>
                <w:rFonts w:ascii="Times New Roman" w:hAnsi="Times New Roman" w:cs="Times New Roman"/>
                <w:b/>
                <w:sz w:val="20"/>
                <w:szCs w:val="20"/>
                <w:lang w:val="it-IT"/>
              </w:rPr>
              <w:lastRenderedPageBreak/>
              <w:t>1.24.</w:t>
            </w:r>
            <w:r>
              <w:rPr>
                <w:rFonts w:ascii="Times New Roman" w:hAnsi="Times New Roman" w:cs="Times New Roman"/>
                <w:b/>
                <w:sz w:val="20"/>
                <w:szCs w:val="20"/>
                <w:lang w:val="it-IT"/>
              </w:rPr>
              <w:t xml:space="preserve">  </w:t>
            </w:r>
            <w:r w:rsidRPr="003D570B">
              <w:rPr>
                <w:rFonts w:ascii="Times New Roman" w:hAnsi="Times New Roman" w:cs="Times New Roman"/>
                <w:bCs/>
                <w:sz w:val="20"/>
                <w:szCs w:val="20"/>
                <w:lang w:val="it-IT"/>
              </w:rPr>
              <w:t>Se introduce punctul 52</w:t>
            </w:r>
            <w:r w:rsidRPr="003D570B">
              <w:rPr>
                <w:rFonts w:ascii="Times New Roman" w:hAnsi="Times New Roman" w:cs="Times New Roman"/>
                <w:bCs/>
                <w:sz w:val="20"/>
                <w:szCs w:val="20"/>
                <w:vertAlign w:val="superscript"/>
                <w:lang w:val="it-IT"/>
              </w:rPr>
              <w:t>1</w:t>
            </w:r>
            <w:r w:rsidRPr="003D570B">
              <w:rPr>
                <w:rFonts w:ascii="Times New Roman" w:hAnsi="Times New Roman" w:cs="Times New Roman"/>
                <w:bCs/>
                <w:sz w:val="20"/>
                <w:szCs w:val="20"/>
                <w:lang w:val="it-IT"/>
              </w:rPr>
              <w:t>, cu următorul cuprins:</w:t>
            </w:r>
          </w:p>
          <w:p w14:paraId="6C12EE5F" w14:textId="31083334" w:rsidR="00BB18D5" w:rsidRPr="003D570B" w:rsidRDefault="003D570B" w:rsidP="003D570B">
            <w:pPr>
              <w:tabs>
                <w:tab w:val="left" w:pos="8505"/>
              </w:tabs>
              <w:jc w:val="both"/>
              <w:rPr>
                <w:rFonts w:ascii="Times New Roman" w:hAnsi="Times New Roman" w:cs="Times New Roman"/>
                <w:b/>
                <w:sz w:val="20"/>
                <w:szCs w:val="20"/>
                <w:lang w:val="it-IT"/>
              </w:rPr>
            </w:pPr>
            <w:r w:rsidRPr="003D570B">
              <w:rPr>
                <w:rFonts w:ascii="Times New Roman" w:hAnsi="Times New Roman" w:cs="Times New Roman"/>
                <w:bCs/>
                <w:sz w:val="20"/>
                <w:szCs w:val="20"/>
                <w:lang w:val="it-IT"/>
              </w:rPr>
              <w:t>„52</w:t>
            </w:r>
            <w:r w:rsidRPr="003D570B">
              <w:rPr>
                <w:rFonts w:ascii="Times New Roman" w:hAnsi="Times New Roman" w:cs="Times New Roman"/>
                <w:bCs/>
                <w:sz w:val="20"/>
                <w:szCs w:val="20"/>
                <w:vertAlign w:val="superscript"/>
                <w:lang w:val="it-IT"/>
              </w:rPr>
              <w:t>1</w:t>
            </w:r>
            <w:r w:rsidRPr="003D570B">
              <w:rPr>
                <w:rFonts w:ascii="Times New Roman" w:hAnsi="Times New Roman" w:cs="Times New Roman"/>
                <w:bCs/>
                <w:sz w:val="20"/>
                <w:szCs w:val="20"/>
                <w:lang w:val="it-IT"/>
              </w:rPr>
              <w:t>. Prin derogare de la pct. 52,  pentru achizițiile de valoare mică a căror valoare, fără taxa pe valoarea adăugată, depășește pragurile prevăzute la pct. 7</w:t>
            </w:r>
            <w:r w:rsidRPr="003D570B">
              <w:rPr>
                <w:rFonts w:ascii="Times New Roman" w:hAnsi="Times New Roman" w:cs="Times New Roman"/>
                <w:bCs/>
                <w:sz w:val="20"/>
                <w:szCs w:val="20"/>
                <w:vertAlign w:val="superscript"/>
                <w:lang w:val="it-IT"/>
              </w:rPr>
              <w:t>1</w:t>
            </w:r>
            <w:r w:rsidRPr="003D570B">
              <w:rPr>
                <w:rFonts w:ascii="Times New Roman" w:hAnsi="Times New Roman" w:cs="Times New Roman"/>
                <w:bCs/>
                <w:sz w:val="20"/>
                <w:szCs w:val="20"/>
                <w:lang w:val="it-IT"/>
              </w:rPr>
              <w:t>, autoritatea contractantă are obligația de a solicita depunerea de către ofertant a Documentului unic de achiziții european.”.</w:t>
            </w:r>
          </w:p>
        </w:tc>
        <w:tc>
          <w:tcPr>
            <w:tcW w:w="2977" w:type="dxa"/>
          </w:tcPr>
          <w:p w14:paraId="2D4FB0C4" w14:textId="77777777" w:rsidR="00BB18D5" w:rsidRPr="00154388" w:rsidRDefault="00BB18D5"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653D2B96" w14:textId="5855A5F5" w:rsidR="00BB18D5" w:rsidRDefault="00BB18D5"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9</w:t>
            </w:r>
          </w:p>
        </w:tc>
        <w:tc>
          <w:tcPr>
            <w:tcW w:w="3402" w:type="dxa"/>
          </w:tcPr>
          <w:p w14:paraId="76BE1845" w14:textId="3E8752BB" w:rsidR="00BB18D5" w:rsidRPr="00083BDF" w:rsidRDefault="00BB18D5" w:rsidP="00BB18D5">
            <w:pPr>
              <w:jc w:val="both"/>
              <w:rPr>
                <w:rFonts w:ascii="Times New Roman" w:hAnsi="Times New Roman" w:cs="Times New Roman"/>
                <w:sz w:val="20"/>
                <w:szCs w:val="20"/>
                <w:lang w:val="ro-RO"/>
              </w:rPr>
            </w:pPr>
            <w:r w:rsidRPr="00083BDF">
              <w:rPr>
                <w:rFonts w:ascii="Times New Roman" w:hAnsi="Times New Roman" w:cs="Times New Roman"/>
                <w:sz w:val="20"/>
                <w:szCs w:val="20"/>
                <w:lang w:val="ro-RO"/>
              </w:rPr>
              <w:t>La pct. 1.24 din proiectul hotărârii de Guvern, recomandăm evaluarea amplasării prevederilor pct. 52</w:t>
            </w:r>
            <w:r w:rsidRPr="00083BDF">
              <w:rPr>
                <w:rFonts w:ascii="Times New Roman" w:hAnsi="Times New Roman" w:cs="Times New Roman"/>
                <w:sz w:val="20"/>
                <w:szCs w:val="20"/>
                <w:vertAlign w:val="superscript"/>
                <w:lang w:val="ro-RO"/>
              </w:rPr>
              <w:t>1</w:t>
            </w:r>
            <w:r w:rsidRPr="00083BDF">
              <w:rPr>
                <w:rFonts w:ascii="Times New Roman" w:hAnsi="Times New Roman" w:cs="Times New Roman"/>
                <w:sz w:val="20"/>
                <w:szCs w:val="20"/>
                <w:lang w:val="ro-RO"/>
              </w:rPr>
              <w:t xml:space="preserve"> în capitolul II, având în vedere faptul că Documentul unic de achiziții european (DUAE) se solicită la etapa publicării anunțului de participare.</w:t>
            </w:r>
          </w:p>
        </w:tc>
        <w:tc>
          <w:tcPr>
            <w:tcW w:w="3436" w:type="dxa"/>
          </w:tcPr>
          <w:p w14:paraId="164C24D8" w14:textId="77777777" w:rsidR="003D570B" w:rsidRPr="00083BDF" w:rsidRDefault="003D570B" w:rsidP="00797C0D">
            <w:pPr>
              <w:tabs>
                <w:tab w:val="left" w:pos="8505"/>
              </w:tabs>
              <w:jc w:val="both"/>
              <w:rPr>
                <w:rFonts w:ascii="Times New Roman" w:hAnsi="Times New Roman" w:cs="Times New Roman"/>
                <w:b/>
                <w:sz w:val="20"/>
                <w:szCs w:val="20"/>
                <w:lang w:val="it-IT"/>
              </w:rPr>
            </w:pPr>
            <w:r w:rsidRPr="00083BDF">
              <w:rPr>
                <w:rFonts w:ascii="Times New Roman" w:hAnsi="Times New Roman" w:cs="Times New Roman"/>
                <w:b/>
                <w:sz w:val="20"/>
                <w:szCs w:val="20"/>
                <w:lang w:val="it-IT"/>
              </w:rPr>
              <w:t xml:space="preserve">Se acceptă </w:t>
            </w:r>
          </w:p>
          <w:p w14:paraId="631C8A35" w14:textId="77777777" w:rsidR="00083BDF" w:rsidRPr="00083BDF" w:rsidRDefault="00083BDF" w:rsidP="00083BDF">
            <w:pPr>
              <w:tabs>
                <w:tab w:val="left" w:pos="8505"/>
              </w:tabs>
              <w:jc w:val="both"/>
              <w:rPr>
                <w:rFonts w:ascii="Times New Roman" w:hAnsi="Times New Roman" w:cs="Times New Roman"/>
                <w:bCs/>
                <w:sz w:val="20"/>
                <w:szCs w:val="20"/>
                <w:lang w:val="it-IT"/>
              </w:rPr>
            </w:pPr>
            <w:r w:rsidRPr="00083BDF">
              <w:rPr>
                <w:rFonts w:ascii="Times New Roman" w:hAnsi="Times New Roman" w:cs="Times New Roman"/>
                <w:bCs/>
                <w:sz w:val="20"/>
                <w:szCs w:val="20"/>
                <w:lang w:val="it-IT"/>
              </w:rPr>
              <w:t>Punctul 20 va avea următorul cuprins:</w:t>
            </w:r>
          </w:p>
          <w:p w14:paraId="58EEF33C" w14:textId="77777777" w:rsidR="00083BDF" w:rsidRPr="00083BDF" w:rsidRDefault="00083BDF" w:rsidP="00083BDF">
            <w:pPr>
              <w:tabs>
                <w:tab w:val="left" w:pos="8505"/>
              </w:tabs>
              <w:jc w:val="both"/>
              <w:rPr>
                <w:rFonts w:ascii="Times New Roman" w:hAnsi="Times New Roman" w:cs="Times New Roman"/>
                <w:bCs/>
                <w:sz w:val="20"/>
                <w:szCs w:val="20"/>
                <w:lang w:val="it-IT"/>
              </w:rPr>
            </w:pPr>
            <w:r w:rsidRPr="00083BDF">
              <w:rPr>
                <w:rFonts w:ascii="Times New Roman" w:hAnsi="Times New Roman" w:cs="Times New Roman"/>
                <w:bCs/>
                <w:sz w:val="20"/>
                <w:szCs w:val="20"/>
                <w:lang w:val="it-IT"/>
              </w:rPr>
              <w:t>„20. În cazul achizițiilor publice de valoare mică, solicitarea Documentului unic de achiziții european nu este obligatorie.</w:t>
            </w:r>
          </w:p>
          <w:p w14:paraId="75B5F5CA" w14:textId="263C084D" w:rsidR="00BB18D5" w:rsidRPr="00083BDF" w:rsidRDefault="00083BDF" w:rsidP="00083BDF">
            <w:pPr>
              <w:tabs>
                <w:tab w:val="left" w:pos="8505"/>
              </w:tabs>
              <w:jc w:val="both"/>
              <w:rPr>
                <w:rFonts w:ascii="Times New Roman" w:hAnsi="Times New Roman" w:cs="Times New Roman"/>
                <w:bCs/>
                <w:sz w:val="20"/>
                <w:szCs w:val="20"/>
                <w:lang w:val="it-IT"/>
              </w:rPr>
            </w:pPr>
            <w:r w:rsidRPr="00083BDF">
              <w:rPr>
                <w:rFonts w:ascii="Times New Roman" w:hAnsi="Times New Roman" w:cs="Times New Roman"/>
                <w:bCs/>
                <w:sz w:val="20"/>
                <w:szCs w:val="20"/>
                <w:lang w:val="it-IT"/>
              </w:rPr>
              <w:t>Prin excepție, pentru achizițiile publice de valoare mică a căror valoare estimată, fără taxa pe valoarea adăugată, depășește pragurile prevăzute la pct. 7</w:t>
            </w:r>
            <w:r>
              <w:rPr>
                <w:rFonts w:ascii="Times New Roman" w:hAnsi="Times New Roman" w:cs="Times New Roman"/>
                <w:bCs/>
                <w:sz w:val="20"/>
                <w:szCs w:val="20"/>
                <w:vertAlign w:val="superscript"/>
                <w:lang w:val="it-IT"/>
              </w:rPr>
              <w:t>1</w:t>
            </w:r>
            <w:r w:rsidRPr="00083BDF">
              <w:rPr>
                <w:rFonts w:ascii="Times New Roman" w:hAnsi="Times New Roman" w:cs="Times New Roman"/>
                <w:bCs/>
                <w:sz w:val="20"/>
                <w:szCs w:val="20"/>
                <w:lang w:val="it-IT"/>
              </w:rPr>
              <w:t>, autoritatea contractantă are obligația de a solicita depunerea de către ofertant a Documentului unic de achiziții european.”.</w:t>
            </w:r>
          </w:p>
        </w:tc>
      </w:tr>
      <w:tr w:rsidR="00BB18D5" w:rsidRPr="003D570B" w14:paraId="19B2631D" w14:textId="77777777" w:rsidTr="00A919EA">
        <w:trPr>
          <w:trHeight w:val="416"/>
        </w:trPr>
        <w:tc>
          <w:tcPr>
            <w:tcW w:w="3397" w:type="dxa"/>
          </w:tcPr>
          <w:p w14:paraId="5318BC29" w14:textId="25002EF9"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
                <w:sz w:val="20"/>
                <w:szCs w:val="20"/>
                <w:lang w:val="ro-RO"/>
              </w:rPr>
              <w:t>1.25.</w:t>
            </w:r>
            <w:r>
              <w:rPr>
                <w:rFonts w:ascii="Times New Roman" w:hAnsi="Times New Roman" w:cs="Times New Roman"/>
                <w:b/>
                <w:sz w:val="20"/>
                <w:szCs w:val="20"/>
                <w:lang w:val="ro-RO"/>
              </w:rPr>
              <w:t xml:space="preserve"> </w:t>
            </w:r>
            <w:r w:rsidRPr="003D570B">
              <w:rPr>
                <w:rFonts w:ascii="Times New Roman" w:hAnsi="Times New Roman" w:cs="Times New Roman"/>
                <w:bCs/>
                <w:sz w:val="20"/>
                <w:szCs w:val="20"/>
                <w:lang w:val="ro-RO"/>
              </w:rPr>
              <w:t>Punctul 53 va avea următorul cuprins:</w:t>
            </w:r>
          </w:p>
          <w:p w14:paraId="6CE754F7" w14:textId="77777777" w:rsidR="00BB18D5"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„53. Autoritatea/entitatea contractantă adoptă decizia de atribuire (conform anexei nr. 3), în care consemnează ofertanții câștigători/respinși, sau, după caz, decizia de anulare a procedurii de achiziție. Decizia de atribuire/anulare este expediată Agenției Achiziții Publice, cât mai curând posibil, dar nu mai târziu de 3 zile lucrătoare de la data emiterii, cu excepția cazurilor prevăzute la pct. 14.</w:t>
            </w:r>
          </w:p>
          <w:p w14:paraId="5B763B68" w14:textId="77777777" w:rsidR="003D570B" w:rsidRDefault="003D570B" w:rsidP="003D570B">
            <w:pPr>
              <w:tabs>
                <w:tab w:val="left" w:pos="8505"/>
              </w:tabs>
              <w:jc w:val="both"/>
              <w:rPr>
                <w:rFonts w:ascii="Times New Roman" w:hAnsi="Times New Roman" w:cs="Times New Roman"/>
                <w:bCs/>
                <w:sz w:val="20"/>
                <w:szCs w:val="20"/>
                <w:lang w:val="ro-RO"/>
              </w:rPr>
            </w:pPr>
          </w:p>
          <w:p w14:paraId="16AF9133" w14:textId="777777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
                <w:sz w:val="20"/>
                <w:szCs w:val="20"/>
                <w:lang w:val="ro-RO"/>
              </w:rPr>
              <w:t xml:space="preserve">1.26. </w:t>
            </w:r>
            <w:r w:rsidRPr="003D570B">
              <w:rPr>
                <w:rFonts w:ascii="Times New Roman" w:hAnsi="Times New Roman" w:cs="Times New Roman"/>
                <w:bCs/>
                <w:sz w:val="20"/>
                <w:szCs w:val="20"/>
                <w:lang w:val="ro-RO"/>
              </w:rPr>
              <w:t>Punctul 54 va avea următorul cuprins:</w:t>
            </w:r>
          </w:p>
          <w:p w14:paraId="460E320E" w14:textId="68621689" w:rsidR="003D570B" w:rsidRPr="003D570B" w:rsidRDefault="003D570B" w:rsidP="003D570B">
            <w:pPr>
              <w:tabs>
                <w:tab w:val="left" w:pos="8505"/>
              </w:tabs>
              <w:jc w:val="both"/>
              <w:rPr>
                <w:rFonts w:ascii="Times New Roman" w:hAnsi="Times New Roman" w:cs="Times New Roman"/>
                <w:b/>
                <w:sz w:val="20"/>
                <w:szCs w:val="20"/>
                <w:lang w:val="ro-RO"/>
              </w:rPr>
            </w:pPr>
            <w:r w:rsidRPr="003D570B">
              <w:rPr>
                <w:rFonts w:ascii="Times New Roman" w:hAnsi="Times New Roman" w:cs="Times New Roman"/>
                <w:bCs/>
                <w:sz w:val="20"/>
                <w:szCs w:val="20"/>
                <w:lang w:val="ro-RO"/>
              </w:rPr>
              <w:t>„54. Anunțul de atribuire este publicat în SI „RSAP” în termen de 3 zile lucrătoare de la data emiterii unei decizii în acest sens. Anunțul de atribuire conține informațiile prevăzute în anexa nr. 4.”.</w:t>
            </w:r>
          </w:p>
        </w:tc>
        <w:tc>
          <w:tcPr>
            <w:tcW w:w="2977" w:type="dxa"/>
          </w:tcPr>
          <w:p w14:paraId="29A312F6" w14:textId="77777777" w:rsidR="00BB18D5" w:rsidRPr="00154388" w:rsidRDefault="00BB18D5"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701B32F8" w14:textId="52CE05EC" w:rsidR="00BB18D5" w:rsidRDefault="00BB18D5"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10</w:t>
            </w:r>
          </w:p>
        </w:tc>
        <w:tc>
          <w:tcPr>
            <w:tcW w:w="3402" w:type="dxa"/>
          </w:tcPr>
          <w:p w14:paraId="5E7F387F" w14:textId="283FE323" w:rsidR="00BB18D5" w:rsidRPr="003D570B" w:rsidRDefault="00BB18D5" w:rsidP="00BB18D5">
            <w:pPr>
              <w:jc w:val="both"/>
              <w:rPr>
                <w:rFonts w:ascii="Times New Roman" w:hAnsi="Times New Roman" w:cs="Times New Roman"/>
                <w:sz w:val="20"/>
                <w:szCs w:val="20"/>
                <w:lang w:val="it-IT"/>
              </w:rPr>
            </w:pPr>
            <w:r w:rsidRPr="003D570B">
              <w:rPr>
                <w:rFonts w:ascii="Times New Roman" w:hAnsi="Times New Roman" w:cs="Times New Roman"/>
                <w:sz w:val="20"/>
                <w:szCs w:val="20"/>
                <w:lang w:val="ro-RO"/>
              </w:rPr>
              <w:t>La pct. 1.25 și 1.26 din proiectul hotărârii de Guvern, în contextul expunerii în redacție nouă a prevederilor pct. 53 și 54 din Regulament, propunem ca obligația de expediere a deciziei și anunțului de atribuire către Agenția Achiziții Publice (AAP) să fie aplicabilă strict achizițiilor ce depășesc pragurile stabilite la pct. 7</w:t>
            </w:r>
            <w:r w:rsidRPr="003D570B">
              <w:rPr>
                <w:rFonts w:ascii="Times New Roman" w:hAnsi="Times New Roman" w:cs="Times New Roman"/>
                <w:sz w:val="20"/>
                <w:szCs w:val="20"/>
                <w:vertAlign w:val="superscript"/>
                <w:lang w:val="ro-RO"/>
              </w:rPr>
              <w:t>1</w:t>
            </w:r>
            <w:r w:rsidRPr="003D570B">
              <w:rPr>
                <w:rFonts w:ascii="Times New Roman" w:hAnsi="Times New Roman" w:cs="Times New Roman"/>
                <w:sz w:val="20"/>
                <w:szCs w:val="20"/>
                <w:lang w:val="ro-RO"/>
              </w:rPr>
              <w:t xml:space="preserve"> din proiectul de act normativ. Pentru restul achizițiilor, publicarea deciziei și raportarea prin SI „RSAP” este suficientă pentru a asigura transparența, evitând astfel supraîncărcarea administrativă a AAP cu fluxuri de date masive pentru achiziții de valoare mică. </w:t>
            </w:r>
            <w:r w:rsidRPr="003D570B">
              <w:rPr>
                <w:rFonts w:ascii="Times New Roman" w:hAnsi="Times New Roman" w:cs="Times New Roman"/>
                <w:sz w:val="20"/>
                <w:szCs w:val="20"/>
                <w:lang w:val="it-IT"/>
              </w:rPr>
              <w:t>Obligația de a expedia fiecare decizie și anunț de atribuire către AAP în termen de 3 zile (pct. 53), coroborată cu solicitarea obligatorie a DUAE (pct. 52¹), transformă achizițiile de valoare mică într-o procedură la fel de rigidă ca licitația deschisă.</w:t>
            </w:r>
          </w:p>
        </w:tc>
        <w:tc>
          <w:tcPr>
            <w:tcW w:w="3436" w:type="dxa"/>
          </w:tcPr>
          <w:p w14:paraId="0AD3739A" w14:textId="17D9F8F6" w:rsidR="003D570B" w:rsidRDefault="003D570B" w:rsidP="00797C0D">
            <w:pPr>
              <w:tabs>
                <w:tab w:val="left" w:pos="8505"/>
              </w:tabs>
              <w:jc w:val="both"/>
              <w:rPr>
                <w:rFonts w:ascii="Times New Roman" w:hAnsi="Times New Roman" w:cs="Times New Roman"/>
                <w:b/>
                <w:sz w:val="20"/>
                <w:szCs w:val="20"/>
                <w:lang w:val="it-IT"/>
              </w:rPr>
            </w:pPr>
            <w:r w:rsidRPr="003D570B">
              <w:rPr>
                <w:rFonts w:ascii="Times New Roman" w:hAnsi="Times New Roman" w:cs="Times New Roman"/>
                <w:b/>
                <w:sz w:val="20"/>
                <w:szCs w:val="20"/>
                <w:lang w:val="it-IT"/>
              </w:rPr>
              <w:t>Se acceptă</w:t>
            </w:r>
            <w:r w:rsidR="00B92A81">
              <w:rPr>
                <w:rFonts w:ascii="Times New Roman" w:hAnsi="Times New Roman" w:cs="Times New Roman"/>
                <w:b/>
                <w:sz w:val="20"/>
                <w:szCs w:val="20"/>
                <w:lang w:val="it-IT"/>
              </w:rPr>
              <w:t xml:space="preserve"> parțial</w:t>
            </w:r>
          </w:p>
          <w:p w14:paraId="24100441" w14:textId="77777777" w:rsidR="003D570B" w:rsidRDefault="00954053" w:rsidP="00954053">
            <w:pPr>
              <w:tabs>
                <w:tab w:val="left" w:pos="8505"/>
              </w:tabs>
              <w:jc w:val="both"/>
              <w:rPr>
                <w:rFonts w:ascii="Times New Roman" w:hAnsi="Times New Roman" w:cs="Times New Roman"/>
                <w:bCs/>
                <w:sz w:val="20"/>
                <w:szCs w:val="20"/>
                <w:lang w:val="it-IT"/>
              </w:rPr>
            </w:pPr>
            <w:r w:rsidRPr="00954053">
              <w:rPr>
                <w:rFonts w:ascii="Times New Roman" w:hAnsi="Times New Roman" w:cs="Times New Roman"/>
                <w:bCs/>
                <w:sz w:val="20"/>
                <w:szCs w:val="20"/>
                <w:lang w:val="it-IT"/>
              </w:rPr>
              <w:t xml:space="preserve">În vederea alinierii Regulamentului la </w:t>
            </w:r>
            <w:r>
              <w:rPr>
                <w:rFonts w:ascii="Times New Roman" w:hAnsi="Times New Roman" w:cs="Times New Roman"/>
                <w:bCs/>
                <w:sz w:val="20"/>
                <w:szCs w:val="20"/>
                <w:lang w:val="it-IT"/>
              </w:rPr>
              <w:t>prevederile Legii</w:t>
            </w:r>
            <w:r w:rsidRPr="00954053">
              <w:rPr>
                <w:rFonts w:ascii="Times New Roman" w:hAnsi="Times New Roman" w:cs="Times New Roman"/>
                <w:bCs/>
                <w:sz w:val="20"/>
                <w:szCs w:val="20"/>
                <w:lang w:val="it-IT"/>
              </w:rPr>
              <w:t xml:space="preserve"> nr. 325/2025 privind achizițiile publice și pentru a evita dublarea normativă, se consideră oportună unificarea prevederilor pct. 53 și </w:t>
            </w:r>
            <w:r>
              <w:rPr>
                <w:rFonts w:ascii="Times New Roman" w:hAnsi="Times New Roman" w:cs="Times New Roman"/>
                <w:bCs/>
                <w:sz w:val="20"/>
                <w:szCs w:val="20"/>
                <w:lang w:val="it-IT"/>
              </w:rPr>
              <w:t xml:space="preserve">pct. </w:t>
            </w:r>
            <w:r w:rsidRPr="00954053">
              <w:rPr>
                <w:rFonts w:ascii="Times New Roman" w:hAnsi="Times New Roman" w:cs="Times New Roman"/>
                <w:bCs/>
                <w:sz w:val="20"/>
                <w:szCs w:val="20"/>
                <w:lang w:val="it-IT"/>
              </w:rPr>
              <w:t>54</w:t>
            </w:r>
            <w:r>
              <w:rPr>
                <w:rFonts w:ascii="Times New Roman" w:hAnsi="Times New Roman" w:cs="Times New Roman"/>
                <w:bCs/>
                <w:sz w:val="20"/>
                <w:szCs w:val="20"/>
                <w:lang w:val="it-IT"/>
              </w:rPr>
              <w:t xml:space="preserve"> din Hotărârea Guvernului nr. 870/2022</w:t>
            </w:r>
            <w:r w:rsidRPr="00954053">
              <w:rPr>
                <w:rFonts w:ascii="Times New Roman" w:hAnsi="Times New Roman" w:cs="Times New Roman"/>
                <w:bCs/>
                <w:sz w:val="20"/>
                <w:szCs w:val="20"/>
                <w:lang w:val="it-IT"/>
              </w:rPr>
              <w:t xml:space="preserve"> într-un singur punct, care să reglementeze în mod coerent obligația de informare a operatorilor economici și a Agenției Achiziții Publice.</w:t>
            </w:r>
          </w:p>
          <w:p w14:paraId="44AF721A" w14:textId="1A1DAC9D" w:rsidR="00954053" w:rsidRDefault="00954053" w:rsidP="00954053">
            <w:pPr>
              <w:tabs>
                <w:tab w:val="left" w:pos="8505"/>
              </w:tabs>
              <w:jc w:val="both"/>
              <w:rPr>
                <w:rFonts w:ascii="Times New Roman" w:hAnsi="Times New Roman" w:cs="Times New Roman"/>
                <w:bCs/>
                <w:sz w:val="20"/>
                <w:szCs w:val="20"/>
                <w:lang w:val="it-IT"/>
              </w:rPr>
            </w:pPr>
            <w:r>
              <w:rPr>
                <w:rFonts w:ascii="Times New Roman" w:hAnsi="Times New Roman" w:cs="Times New Roman"/>
                <w:bCs/>
                <w:sz w:val="20"/>
                <w:szCs w:val="20"/>
                <w:lang w:val="it-IT"/>
              </w:rPr>
              <w:t>Se propune următoarea formulare</w:t>
            </w:r>
            <w:r w:rsidR="00ED5238">
              <w:rPr>
                <w:rFonts w:ascii="Times New Roman" w:hAnsi="Times New Roman" w:cs="Times New Roman"/>
                <w:bCs/>
                <w:sz w:val="20"/>
                <w:szCs w:val="20"/>
                <w:lang w:val="it-IT"/>
              </w:rPr>
              <w:t xml:space="preserve"> a pct. 1.2</w:t>
            </w:r>
            <w:r w:rsidR="00B75D43">
              <w:rPr>
                <w:rFonts w:ascii="Times New Roman" w:hAnsi="Times New Roman" w:cs="Times New Roman"/>
                <w:bCs/>
                <w:sz w:val="20"/>
                <w:szCs w:val="20"/>
                <w:lang w:val="it-IT"/>
              </w:rPr>
              <w:t>7</w:t>
            </w:r>
            <w:r w:rsidR="00ED5238">
              <w:rPr>
                <w:rFonts w:ascii="Times New Roman" w:hAnsi="Times New Roman" w:cs="Times New Roman"/>
                <w:bCs/>
                <w:sz w:val="20"/>
                <w:szCs w:val="20"/>
                <w:lang w:val="it-IT"/>
              </w:rPr>
              <w:t>.</w:t>
            </w:r>
            <w:r>
              <w:rPr>
                <w:rFonts w:ascii="Times New Roman" w:hAnsi="Times New Roman" w:cs="Times New Roman"/>
                <w:bCs/>
                <w:sz w:val="20"/>
                <w:szCs w:val="20"/>
                <w:lang w:val="it-IT"/>
              </w:rPr>
              <w:t>:</w:t>
            </w:r>
          </w:p>
          <w:p w14:paraId="48FF96AC" w14:textId="222A3A76" w:rsidR="00954053" w:rsidRDefault="00954053" w:rsidP="00954053">
            <w:pPr>
              <w:tabs>
                <w:tab w:val="left" w:pos="8505"/>
              </w:tabs>
              <w:jc w:val="both"/>
              <w:rPr>
                <w:rFonts w:ascii="Times New Roman" w:hAnsi="Times New Roman" w:cs="Times New Roman"/>
                <w:bCs/>
                <w:sz w:val="20"/>
                <w:szCs w:val="20"/>
                <w:lang w:val="it-IT"/>
              </w:rPr>
            </w:pPr>
            <w:r>
              <w:rPr>
                <w:rFonts w:ascii="Times New Roman" w:hAnsi="Times New Roman" w:cs="Times New Roman"/>
                <w:bCs/>
                <w:sz w:val="20"/>
                <w:szCs w:val="20"/>
                <w:lang w:val="it-IT"/>
              </w:rPr>
              <w:t>„</w:t>
            </w:r>
            <w:r w:rsidRPr="00954053">
              <w:rPr>
                <w:rFonts w:ascii="Times New Roman" w:hAnsi="Times New Roman" w:cs="Times New Roman"/>
                <w:bCs/>
                <w:sz w:val="20"/>
                <w:szCs w:val="20"/>
                <w:lang w:val="it-IT"/>
              </w:rPr>
              <w:t>53. Autoritatea/entitatea contractantă care desfășoară procedura</w:t>
            </w:r>
            <w:r>
              <w:rPr>
                <w:rFonts w:ascii="Times New Roman" w:hAnsi="Times New Roman" w:cs="Times New Roman"/>
                <w:bCs/>
                <w:sz w:val="20"/>
                <w:szCs w:val="20"/>
                <w:lang w:val="it-IT"/>
              </w:rPr>
              <w:t xml:space="preserve"> de achiziție de valoare mică,</w:t>
            </w:r>
            <w:r w:rsidRPr="00954053">
              <w:rPr>
                <w:rFonts w:ascii="Times New Roman" w:hAnsi="Times New Roman" w:cs="Times New Roman"/>
                <w:bCs/>
                <w:sz w:val="20"/>
                <w:szCs w:val="20"/>
                <w:lang w:val="it-IT"/>
              </w:rPr>
              <w:t xml:space="preserve"> prin intermediul SI „RSAP” are obligația de a informa operatorii economici implicați în procedură și Agenția Achiziții Publice cu privire la decizia de atribuire sau, după caz, la decizia de anulare a procedurii, cât mai curând posibil, dar nu mai târziu de 3 zile lucrătoare de la data emiterii acesteia.</w:t>
            </w:r>
          </w:p>
          <w:p w14:paraId="3577E773" w14:textId="77777777" w:rsidR="00954053" w:rsidRDefault="00954053" w:rsidP="00954053">
            <w:pPr>
              <w:tabs>
                <w:tab w:val="left" w:pos="8505"/>
              </w:tabs>
              <w:jc w:val="both"/>
              <w:rPr>
                <w:rFonts w:ascii="Times New Roman" w:hAnsi="Times New Roman" w:cs="Times New Roman"/>
                <w:bCs/>
                <w:sz w:val="20"/>
                <w:szCs w:val="20"/>
                <w:lang w:val="it-IT"/>
              </w:rPr>
            </w:pPr>
            <w:r w:rsidRPr="00954053">
              <w:rPr>
                <w:rFonts w:ascii="Times New Roman" w:hAnsi="Times New Roman" w:cs="Times New Roman"/>
                <w:bCs/>
                <w:sz w:val="20"/>
                <w:szCs w:val="20"/>
                <w:lang w:val="it-IT"/>
              </w:rPr>
              <w:t xml:space="preserve">În acest scop, autoritatea/entitatea contractantă </w:t>
            </w:r>
            <w:r>
              <w:rPr>
                <w:rFonts w:ascii="Times New Roman" w:hAnsi="Times New Roman" w:cs="Times New Roman"/>
                <w:bCs/>
                <w:sz w:val="20"/>
                <w:szCs w:val="20"/>
                <w:lang w:val="it-IT"/>
              </w:rPr>
              <w:t>elaborează</w:t>
            </w:r>
            <w:r w:rsidRPr="00954053">
              <w:rPr>
                <w:rFonts w:ascii="Times New Roman" w:hAnsi="Times New Roman" w:cs="Times New Roman"/>
                <w:bCs/>
                <w:sz w:val="20"/>
                <w:szCs w:val="20"/>
                <w:lang w:val="it-IT"/>
              </w:rPr>
              <w:t xml:space="preserve"> decizi</w:t>
            </w:r>
            <w:r>
              <w:rPr>
                <w:rFonts w:ascii="Times New Roman" w:hAnsi="Times New Roman" w:cs="Times New Roman"/>
                <w:bCs/>
                <w:sz w:val="20"/>
                <w:szCs w:val="20"/>
                <w:lang w:val="it-IT"/>
              </w:rPr>
              <w:t>a de atribuire/anulare conform A</w:t>
            </w:r>
            <w:r w:rsidRPr="00954053">
              <w:rPr>
                <w:rFonts w:ascii="Times New Roman" w:hAnsi="Times New Roman" w:cs="Times New Roman"/>
                <w:bCs/>
                <w:sz w:val="20"/>
                <w:szCs w:val="20"/>
                <w:lang w:val="it-IT"/>
              </w:rPr>
              <w:t xml:space="preserve">nexei nr. 3, cu excepția cazurilor prevăzute la pct. 14, și desemnează operatorul economic </w:t>
            </w:r>
            <w:r w:rsidRPr="00954053">
              <w:rPr>
                <w:rFonts w:ascii="Times New Roman" w:hAnsi="Times New Roman" w:cs="Times New Roman"/>
                <w:bCs/>
                <w:sz w:val="20"/>
                <w:szCs w:val="20"/>
                <w:lang w:val="it-IT"/>
              </w:rPr>
              <w:lastRenderedPageBreak/>
              <w:t>câștigător, indicând totodată motivele excluderii operatorilor economici sau, după caz, ale respingerii ofertelor.</w:t>
            </w:r>
            <w:r>
              <w:rPr>
                <w:rFonts w:ascii="Times New Roman" w:hAnsi="Times New Roman" w:cs="Times New Roman"/>
                <w:bCs/>
                <w:sz w:val="20"/>
                <w:szCs w:val="20"/>
                <w:lang w:val="it-IT"/>
              </w:rPr>
              <w:t>”</w:t>
            </w:r>
          </w:p>
          <w:p w14:paraId="7B5BD437" w14:textId="76F0F838" w:rsidR="00ED5238" w:rsidRDefault="00ED5238" w:rsidP="00ED5238">
            <w:pPr>
              <w:tabs>
                <w:tab w:val="left" w:pos="8505"/>
              </w:tabs>
              <w:jc w:val="both"/>
              <w:rPr>
                <w:rFonts w:ascii="Times New Roman" w:hAnsi="Times New Roman" w:cs="Times New Roman"/>
                <w:bCs/>
                <w:sz w:val="20"/>
                <w:szCs w:val="20"/>
                <w:lang w:val="it-IT"/>
              </w:rPr>
            </w:pPr>
            <w:r w:rsidRPr="00ED5238">
              <w:rPr>
                <w:rFonts w:ascii="Times New Roman" w:hAnsi="Times New Roman" w:cs="Times New Roman"/>
                <w:bCs/>
                <w:sz w:val="20"/>
                <w:szCs w:val="20"/>
                <w:lang w:val="it-IT"/>
              </w:rPr>
              <w:t>Se propune următoarea formulare a pct. 1.2</w:t>
            </w:r>
            <w:r w:rsidR="00B75D43">
              <w:rPr>
                <w:rFonts w:ascii="Times New Roman" w:hAnsi="Times New Roman" w:cs="Times New Roman"/>
                <w:bCs/>
                <w:sz w:val="20"/>
                <w:szCs w:val="20"/>
                <w:lang w:val="it-IT"/>
              </w:rPr>
              <w:t>8</w:t>
            </w:r>
            <w:r w:rsidRPr="00ED5238">
              <w:rPr>
                <w:rFonts w:ascii="Times New Roman" w:hAnsi="Times New Roman" w:cs="Times New Roman"/>
                <w:bCs/>
                <w:sz w:val="20"/>
                <w:szCs w:val="20"/>
                <w:lang w:val="it-IT"/>
              </w:rPr>
              <w:t>.:</w:t>
            </w:r>
          </w:p>
          <w:p w14:paraId="51A74943" w14:textId="1AB7614A" w:rsidR="00ED5238" w:rsidRPr="003D570B" w:rsidRDefault="00B75D43" w:rsidP="00DC5A7B">
            <w:pPr>
              <w:tabs>
                <w:tab w:val="left" w:pos="8505"/>
              </w:tabs>
              <w:jc w:val="both"/>
              <w:rPr>
                <w:rFonts w:ascii="Times New Roman" w:hAnsi="Times New Roman" w:cs="Times New Roman"/>
                <w:bCs/>
                <w:sz w:val="20"/>
                <w:szCs w:val="20"/>
                <w:lang w:val="it-IT"/>
              </w:rPr>
            </w:pPr>
            <w:r>
              <w:rPr>
                <w:rFonts w:ascii="Times New Roman" w:hAnsi="Times New Roman" w:cs="Times New Roman"/>
                <w:bCs/>
                <w:sz w:val="20"/>
                <w:szCs w:val="20"/>
                <w:lang w:val="it-IT"/>
              </w:rPr>
              <w:t xml:space="preserve">„54. </w:t>
            </w:r>
            <w:r w:rsidRPr="00B75D43">
              <w:rPr>
                <w:rFonts w:ascii="Times New Roman" w:hAnsi="Times New Roman" w:cs="Times New Roman"/>
                <w:bCs/>
                <w:sz w:val="20"/>
                <w:szCs w:val="20"/>
                <w:lang w:val="it-IT"/>
              </w:rPr>
              <w:t>Autoritatea/entitatea contractantă publică în SI „RSAP” anunțul de atribuire în termen de cel mult 3 zile lucrătoare de la data semnării contractului de achiziție publică. Anunțul de atribuire conține informațiile prevăzute în anexa nr. 4.</w:t>
            </w:r>
            <w:r w:rsidR="00DC5A7B">
              <w:rPr>
                <w:rFonts w:ascii="Times New Roman" w:hAnsi="Times New Roman" w:cs="Times New Roman"/>
                <w:bCs/>
                <w:sz w:val="20"/>
                <w:szCs w:val="20"/>
                <w:lang w:val="it-IT"/>
              </w:rPr>
              <w:t>”</w:t>
            </w:r>
          </w:p>
        </w:tc>
      </w:tr>
      <w:tr w:rsidR="00BB18D5" w:rsidRPr="00274D20" w14:paraId="01725225" w14:textId="77777777" w:rsidTr="00A919EA">
        <w:trPr>
          <w:trHeight w:val="416"/>
        </w:trPr>
        <w:tc>
          <w:tcPr>
            <w:tcW w:w="3397" w:type="dxa"/>
          </w:tcPr>
          <w:p w14:paraId="782BF989" w14:textId="77777777" w:rsidR="003D570B" w:rsidRPr="003D570B" w:rsidRDefault="003D570B" w:rsidP="003D570B">
            <w:pPr>
              <w:tabs>
                <w:tab w:val="left" w:pos="8505"/>
              </w:tabs>
              <w:jc w:val="both"/>
              <w:rPr>
                <w:rFonts w:ascii="Times New Roman" w:hAnsi="Times New Roman" w:cs="Times New Roman"/>
                <w:bCs/>
                <w:sz w:val="20"/>
                <w:szCs w:val="20"/>
                <w:lang w:val="it-IT"/>
              </w:rPr>
            </w:pPr>
            <w:r w:rsidRPr="003D570B">
              <w:rPr>
                <w:rFonts w:ascii="Times New Roman" w:hAnsi="Times New Roman" w:cs="Times New Roman"/>
                <w:b/>
                <w:sz w:val="20"/>
                <w:szCs w:val="20"/>
                <w:lang w:val="it-IT"/>
              </w:rPr>
              <w:lastRenderedPageBreak/>
              <w:t xml:space="preserve">1.27. </w:t>
            </w:r>
            <w:r w:rsidRPr="003D570B">
              <w:rPr>
                <w:rFonts w:ascii="Times New Roman" w:hAnsi="Times New Roman" w:cs="Times New Roman"/>
                <w:bCs/>
                <w:sz w:val="20"/>
                <w:szCs w:val="20"/>
                <w:lang w:val="it-IT"/>
              </w:rPr>
              <w:t>Punctul 56 va avea următorul cuprins:</w:t>
            </w:r>
          </w:p>
          <w:p w14:paraId="02BAE6D8" w14:textId="465A105E" w:rsidR="00BB18D5" w:rsidRPr="003D570B" w:rsidRDefault="003D570B" w:rsidP="003D570B">
            <w:pPr>
              <w:tabs>
                <w:tab w:val="left" w:pos="8505"/>
              </w:tabs>
              <w:jc w:val="both"/>
              <w:rPr>
                <w:rFonts w:ascii="Times New Roman" w:hAnsi="Times New Roman" w:cs="Times New Roman"/>
                <w:b/>
                <w:sz w:val="20"/>
                <w:szCs w:val="20"/>
                <w:lang w:val="it-IT"/>
              </w:rPr>
            </w:pPr>
            <w:r w:rsidRPr="003D570B">
              <w:rPr>
                <w:rFonts w:ascii="Times New Roman" w:hAnsi="Times New Roman" w:cs="Times New Roman"/>
                <w:bCs/>
                <w:sz w:val="20"/>
                <w:szCs w:val="20"/>
                <w:lang w:val="it-IT"/>
              </w:rPr>
              <w:t>„</w:t>
            </w:r>
            <w:r w:rsidR="00760BD0" w:rsidRPr="00760BD0">
              <w:rPr>
                <w:rFonts w:ascii="Times New Roman" w:hAnsi="Times New Roman" w:cs="Times New Roman"/>
                <w:bCs/>
                <w:sz w:val="20"/>
                <w:szCs w:val="20"/>
                <w:lang w:val="it-IT"/>
              </w:rPr>
              <w:t>57</w:t>
            </w:r>
            <w:r w:rsidR="00760BD0">
              <w:rPr>
                <w:rFonts w:ascii="Times New Roman" w:hAnsi="Times New Roman" w:cs="Times New Roman"/>
                <w:bCs/>
                <w:sz w:val="20"/>
                <w:szCs w:val="20"/>
                <w:vertAlign w:val="superscript"/>
                <w:lang w:val="it-IT"/>
              </w:rPr>
              <w:t>1</w:t>
            </w:r>
            <w:r w:rsidR="00760BD0" w:rsidRPr="00760BD0">
              <w:rPr>
                <w:rFonts w:ascii="Times New Roman" w:hAnsi="Times New Roman" w:cs="Times New Roman"/>
                <w:bCs/>
                <w:sz w:val="20"/>
                <w:szCs w:val="20"/>
                <w:lang w:val="it-IT"/>
              </w:rPr>
              <w:t>. Prin derogare de la prevederile pct. 57, pentru achizițiile prevăzute la pct. 14 subpct. 9) și 10), angajamentul juridic poate fi asumat în baza facturii, a confirmării electronice a comenzii sau a altui document echivalent emis de furnizor, care constituie temei pentru înregistrarea angajamentului bugetar, cu condiția asigurării trasabilității operațiunilor și a respectării regulilor de evidență contabilă și control financiar</w:t>
            </w:r>
            <w:r w:rsidRPr="003D570B">
              <w:rPr>
                <w:rFonts w:ascii="Times New Roman" w:hAnsi="Times New Roman" w:cs="Times New Roman"/>
                <w:bCs/>
                <w:sz w:val="20"/>
                <w:szCs w:val="20"/>
                <w:lang w:val="it-IT"/>
              </w:rPr>
              <w:t>.”.</w:t>
            </w:r>
          </w:p>
        </w:tc>
        <w:tc>
          <w:tcPr>
            <w:tcW w:w="2977" w:type="dxa"/>
          </w:tcPr>
          <w:p w14:paraId="5736A244" w14:textId="77777777" w:rsidR="00BB18D5" w:rsidRPr="00154388" w:rsidRDefault="00BB18D5"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65FBF494" w14:textId="106B779D" w:rsidR="00BB18D5" w:rsidRDefault="00BB18D5"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11</w:t>
            </w:r>
          </w:p>
        </w:tc>
        <w:tc>
          <w:tcPr>
            <w:tcW w:w="3402" w:type="dxa"/>
          </w:tcPr>
          <w:p w14:paraId="0DE2B580" w14:textId="054FEC43" w:rsidR="00BB18D5" w:rsidRPr="003D570B" w:rsidRDefault="00BB18D5" w:rsidP="00BB18D5">
            <w:pPr>
              <w:jc w:val="both"/>
              <w:rPr>
                <w:rFonts w:ascii="Times New Roman" w:hAnsi="Times New Roman" w:cs="Times New Roman"/>
                <w:sz w:val="20"/>
                <w:szCs w:val="20"/>
                <w:lang w:val="it-IT"/>
              </w:rPr>
            </w:pPr>
            <w:r w:rsidRPr="003D570B">
              <w:rPr>
                <w:rFonts w:ascii="Times New Roman" w:hAnsi="Times New Roman" w:cs="Times New Roman"/>
                <w:sz w:val="20"/>
                <w:szCs w:val="20"/>
                <w:lang w:val="ro-RO"/>
              </w:rPr>
              <w:t xml:space="preserve">La pct. 1.27 din proiectul hotărârii de Guvern, recomandăm examinarea oportunității exceptării utilizării modelului de contract pentru achizițiile de drepturi de utilizare a produselor software standardizate și a soluțiilor de securitate informatică și achizițiile de spațiu publicitar digital (pct. 1.9 din proiectul de act normativ – pct. 14 alin. </w:t>
            </w:r>
            <w:r w:rsidRPr="003D570B">
              <w:rPr>
                <w:rFonts w:ascii="Times New Roman" w:hAnsi="Times New Roman" w:cs="Times New Roman"/>
                <w:sz w:val="20"/>
                <w:szCs w:val="20"/>
                <w:lang w:val="it-IT"/>
              </w:rPr>
              <w:t>(9) – (10)), având în vedere imposibilitatea negocierii clauzelor contractuale cu operatori economici nerezidenți internaționali care utilizează condiții contractuale standardizate.</w:t>
            </w:r>
          </w:p>
        </w:tc>
        <w:tc>
          <w:tcPr>
            <w:tcW w:w="3436" w:type="dxa"/>
          </w:tcPr>
          <w:p w14:paraId="34FD67ED" w14:textId="7D443E97" w:rsidR="003D570B" w:rsidRPr="003D570B" w:rsidRDefault="00760BD0" w:rsidP="003D570B">
            <w:pPr>
              <w:tabs>
                <w:tab w:val="left" w:pos="8505"/>
              </w:tabs>
              <w:jc w:val="both"/>
              <w:rPr>
                <w:rFonts w:ascii="Times New Roman" w:hAnsi="Times New Roman" w:cs="Times New Roman"/>
                <w:b/>
                <w:sz w:val="20"/>
                <w:szCs w:val="20"/>
                <w:lang w:val="it-IT"/>
              </w:rPr>
            </w:pPr>
            <w:r>
              <w:rPr>
                <w:rFonts w:ascii="Times New Roman" w:hAnsi="Times New Roman" w:cs="Times New Roman"/>
                <w:b/>
                <w:sz w:val="20"/>
                <w:szCs w:val="20"/>
                <w:lang w:val="it-IT"/>
              </w:rPr>
              <w:t>Se ia act</w:t>
            </w:r>
          </w:p>
          <w:p w14:paraId="04006AAC" w14:textId="09958384" w:rsidR="00760BD0" w:rsidRPr="00760BD0" w:rsidRDefault="00760BD0" w:rsidP="003D570B">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Menționǎm cǎ, î</w:t>
            </w:r>
            <w:r>
              <w:rPr>
                <w:rFonts w:ascii="Times New Roman" w:hAnsi="Times New Roman" w:cs="Times New Roman"/>
                <w:bCs/>
                <w:sz w:val="20"/>
                <w:szCs w:val="20"/>
                <w:lang w:val="it-IT"/>
              </w:rPr>
              <w:t>n</w:t>
            </w:r>
            <w:r w:rsidRPr="00760BD0">
              <w:rPr>
                <w:rFonts w:ascii="Times New Roman" w:hAnsi="Times New Roman" w:cs="Times New Roman"/>
                <w:bCs/>
                <w:sz w:val="20"/>
                <w:szCs w:val="20"/>
                <w:lang w:val="it-IT"/>
              </w:rPr>
              <w:t xml:space="preserve"> textul proiectului a </w:t>
            </w:r>
            <w:r>
              <w:rPr>
                <w:rFonts w:ascii="Times New Roman" w:hAnsi="Times New Roman" w:cs="Times New Roman"/>
                <w:bCs/>
                <w:sz w:val="20"/>
                <w:szCs w:val="20"/>
                <w:lang w:val="it-IT"/>
              </w:rPr>
              <w:t>f</w:t>
            </w:r>
            <w:r w:rsidRPr="00760BD0">
              <w:rPr>
                <w:rFonts w:ascii="Times New Roman" w:hAnsi="Times New Roman" w:cs="Times New Roman"/>
                <w:bCs/>
                <w:sz w:val="20"/>
                <w:szCs w:val="20"/>
                <w:lang w:val="it-IT"/>
              </w:rPr>
              <w:t>o</w:t>
            </w:r>
            <w:r>
              <w:rPr>
                <w:rFonts w:ascii="Times New Roman" w:hAnsi="Times New Roman" w:cs="Times New Roman"/>
                <w:bCs/>
                <w:sz w:val="20"/>
                <w:szCs w:val="20"/>
                <w:lang w:val="it-IT"/>
              </w:rPr>
              <w:t>s</w:t>
            </w:r>
            <w:r w:rsidRPr="00760BD0">
              <w:rPr>
                <w:rFonts w:ascii="Times New Roman" w:hAnsi="Times New Roman" w:cs="Times New Roman"/>
                <w:bCs/>
                <w:sz w:val="20"/>
                <w:szCs w:val="20"/>
                <w:lang w:val="it-IT"/>
              </w:rPr>
              <w:t>t inclus punctul 57</w:t>
            </w:r>
            <w:r w:rsidRPr="00760BD0">
              <w:rPr>
                <w:rFonts w:ascii="Times New Roman" w:hAnsi="Times New Roman" w:cs="Times New Roman"/>
                <w:bCs/>
                <w:sz w:val="20"/>
                <w:szCs w:val="20"/>
                <w:vertAlign w:val="superscript"/>
                <w:lang w:val="it-IT"/>
              </w:rPr>
              <w:t>1</w:t>
            </w:r>
            <w:r w:rsidRPr="00760BD0">
              <w:rPr>
                <w:rFonts w:ascii="Times New Roman" w:hAnsi="Times New Roman" w:cs="Times New Roman"/>
                <w:bCs/>
                <w:sz w:val="20"/>
                <w:szCs w:val="20"/>
                <w:lang w:val="it-IT"/>
              </w:rPr>
              <w:t>, cu ur</w:t>
            </w:r>
            <w:r>
              <w:rPr>
                <w:rFonts w:ascii="Times New Roman" w:hAnsi="Times New Roman" w:cs="Times New Roman"/>
                <w:bCs/>
                <w:sz w:val="20"/>
                <w:szCs w:val="20"/>
                <w:lang w:val="it-IT"/>
              </w:rPr>
              <w:t>mǎtorul cuprins:</w:t>
            </w:r>
          </w:p>
          <w:p w14:paraId="4D5999E9" w14:textId="1DC6FC6B" w:rsidR="00BB18D5" w:rsidRPr="003D570B" w:rsidRDefault="00760BD0" w:rsidP="00760BD0">
            <w:pPr>
              <w:tabs>
                <w:tab w:val="left" w:pos="8505"/>
              </w:tabs>
              <w:jc w:val="both"/>
              <w:rPr>
                <w:rFonts w:ascii="Times New Roman" w:hAnsi="Times New Roman" w:cs="Times New Roman"/>
                <w:bCs/>
                <w:sz w:val="20"/>
                <w:szCs w:val="20"/>
                <w:lang w:val="it-IT"/>
              </w:rPr>
            </w:pPr>
            <w:r w:rsidRPr="003D570B">
              <w:rPr>
                <w:rFonts w:ascii="Times New Roman" w:hAnsi="Times New Roman" w:cs="Times New Roman"/>
                <w:bCs/>
                <w:sz w:val="20"/>
                <w:szCs w:val="20"/>
                <w:lang w:val="it-IT"/>
              </w:rPr>
              <w:t>„</w:t>
            </w:r>
            <w:r w:rsidRPr="00760BD0">
              <w:rPr>
                <w:rFonts w:ascii="Times New Roman" w:hAnsi="Times New Roman" w:cs="Times New Roman"/>
                <w:bCs/>
                <w:sz w:val="20"/>
                <w:szCs w:val="20"/>
                <w:lang w:val="it-IT"/>
              </w:rPr>
              <w:t>57</w:t>
            </w:r>
            <w:r>
              <w:rPr>
                <w:rFonts w:ascii="Times New Roman" w:hAnsi="Times New Roman" w:cs="Times New Roman"/>
                <w:bCs/>
                <w:sz w:val="20"/>
                <w:szCs w:val="20"/>
                <w:vertAlign w:val="superscript"/>
                <w:lang w:val="it-IT"/>
              </w:rPr>
              <w:t>1</w:t>
            </w:r>
            <w:r w:rsidRPr="00760BD0">
              <w:rPr>
                <w:rFonts w:ascii="Times New Roman" w:hAnsi="Times New Roman" w:cs="Times New Roman"/>
                <w:bCs/>
                <w:sz w:val="20"/>
                <w:szCs w:val="20"/>
                <w:lang w:val="it-IT"/>
              </w:rPr>
              <w:t>. Prin derogare de la prevederile pct. 57, pentru achizițiile prevăzute la pct. 14 subpct. 9) și 10), angajamentul juridic poate fi asumat în baza facturii, a confirmării electronice a comenzii sau a altui document echivalent emis de furnizor, care constituie temei pentru înregistrarea angajamentului bugetar, cu condiția asigurării trasabilității operațiunilor și a respectării regulilor de evidență contabilă și control financiar</w:t>
            </w:r>
            <w:r w:rsidRPr="003D570B">
              <w:rPr>
                <w:rFonts w:ascii="Times New Roman" w:hAnsi="Times New Roman" w:cs="Times New Roman"/>
                <w:bCs/>
                <w:sz w:val="20"/>
                <w:szCs w:val="20"/>
                <w:lang w:val="it-IT"/>
              </w:rPr>
              <w:t>.”</w:t>
            </w:r>
            <w:r>
              <w:rPr>
                <w:rFonts w:ascii="Times New Roman" w:hAnsi="Times New Roman" w:cs="Times New Roman"/>
                <w:bCs/>
                <w:sz w:val="20"/>
                <w:szCs w:val="20"/>
                <w:lang w:val="it-IT"/>
              </w:rPr>
              <w:t>, ceea ce satisface solicitarea invocatǎ.</w:t>
            </w:r>
          </w:p>
        </w:tc>
      </w:tr>
      <w:tr w:rsidR="00BB18D5" w:rsidRPr="00760BD0" w14:paraId="4DEE3498" w14:textId="77777777" w:rsidTr="00A919EA">
        <w:trPr>
          <w:trHeight w:val="416"/>
        </w:trPr>
        <w:tc>
          <w:tcPr>
            <w:tcW w:w="3397" w:type="dxa"/>
          </w:tcPr>
          <w:p w14:paraId="2A728DCA" w14:textId="77777777" w:rsidR="003D570B" w:rsidRPr="00A416B0" w:rsidRDefault="003D570B" w:rsidP="003D570B">
            <w:pPr>
              <w:tabs>
                <w:tab w:val="left" w:pos="8505"/>
              </w:tabs>
              <w:jc w:val="both"/>
              <w:rPr>
                <w:rFonts w:ascii="Times New Roman" w:hAnsi="Times New Roman" w:cs="Times New Roman"/>
                <w:sz w:val="20"/>
                <w:szCs w:val="20"/>
                <w:lang w:val="ro-RO"/>
              </w:rPr>
            </w:pPr>
            <w:r w:rsidRPr="00A416B0">
              <w:rPr>
                <w:rFonts w:ascii="Times New Roman" w:hAnsi="Times New Roman" w:cs="Times New Roman"/>
                <w:b/>
                <w:sz w:val="20"/>
                <w:szCs w:val="20"/>
                <w:lang w:val="ro-RO"/>
              </w:rPr>
              <w:t xml:space="preserve">1.29. </w:t>
            </w:r>
            <w:r w:rsidRPr="00A416B0">
              <w:rPr>
                <w:rFonts w:ascii="Times New Roman" w:hAnsi="Times New Roman" w:cs="Times New Roman"/>
                <w:sz w:val="20"/>
                <w:szCs w:val="20"/>
                <w:lang w:val="ro-RO"/>
              </w:rPr>
              <w:t>Se introduc punctele 57</w:t>
            </w:r>
            <w:r>
              <w:rPr>
                <w:rFonts w:ascii="Times New Roman" w:hAnsi="Times New Roman" w:cs="Times New Roman"/>
                <w:sz w:val="20"/>
                <w:szCs w:val="20"/>
                <w:vertAlign w:val="superscript"/>
                <w:lang w:val="ro-RO"/>
              </w:rPr>
              <w:t>1</w:t>
            </w:r>
            <w:r w:rsidRPr="00A416B0">
              <w:rPr>
                <w:rFonts w:ascii="Times New Roman" w:hAnsi="Times New Roman" w:cs="Times New Roman"/>
                <w:sz w:val="20"/>
                <w:szCs w:val="20"/>
                <w:lang w:val="ro-RO"/>
              </w:rPr>
              <w:t xml:space="preserve"> și 57</w:t>
            </w:r>
            <w:r>
              <w:rPr>
                <w:rFonts w:ascii="Times New Roman" w:hAnsi="Times New Roman" w:cs="Times New Roman"/>
                <w:sz w:val="20"/>
                <w:szCs w:val="20"/>
                <w:vertAlign w:val="superscript"/>
                <w:lang w:val="ro-RO"/>
              </w:rPr>
              <w:t>2</w:t>
            </w:r>
            <w:r w:rsidRPr="00A416B0">
              <w:rPr>
                <w:rFonts w:ascii="Times New Roman" w:hAnsi="Times New Roman" w:cs="Times New Roman"/>
                <w:sz w:val="20"/>
                <w:szCs w:val="20"/>
                <w:lang w:val="ro-RO"/>
              </w:rPr>
              <w:t xml:space="preserve"> cu următorul cuprins:</w:t>
            </w:r>
          </w:p>
          <w:p w14:paraId="07B64E8F" w14:textId="77777777" w:rsidR="003D570B" w:rsidRPr="00A416B0" w:rsidRDefault="003D570B" w:rsidP="003D570B">
            <w:pPr>
              <w:tabs>
                <w:tab w:val="left" w:pos="8505"/>
              </w:tabs>
              <w:jc w:val="both"/>
              <w:rPr>
                <w:rFonts w:ascii="Times New Roman" w:hAnsi="Times New Roman" w:cs="Times New Roman"/>
                <w:sz w:val="20"/>
                <w:szCs w:val="20"/>
                <w:lang w:val="ro-RO"/>
              </w:rPr>
            </w:pPr>
            <w:r w:rsidRPr="00A416B0">
              <w:rPr>
                <w:rFonts w:ascii="Times New Roman" w:hAnsi="Times New Roman" w:cs="Times New Roman"/>
                <w:sz w:val="20"/>
                <w:szCs w:val="20"/>
                <w:lang w:val="ro-RO"/>
              </w:rPr>
              <w:t>„57</w:t>
            </w:r>
            <w:r>
              <w:rPr>
                <w:rFonts w:ascii="Times New Roman" w:hAnsi="Times New Roman" w:cs="Times New Roman"/>
                <w:sz w:val="20"/>
                <w:szCs w:val="20"/>
                <w:vertAlign w:val="superscript"/>
                <w:lang w:val="ro-RO"/>
              </w:rPr>
              <w:t>1</w:t>
            </w:r>
            <w:r w:rsidRPr="00A416B0">
              <w:rPr>
                <w:rFonts w:ascii="Times New Roman" w:hAnsi="Times New Roman" w:cs="Times New Roman"/>
                <w:sz w:val="20"/>
                <w:szCs w:val="20"/>
                <w:lang w:val="ro-RO"/>
              </w:rPr>
              <w:t xml:space="preserve">. Prin derogare de la prevederile pct. 57, pentru achizițiile prevăzute la pct. 14 subpct. 9) și 10), angajamentul juridic poate fi asumat în baza facturii, a confirmării electronice a comenzii sau a altui document echivalent emis de furnizor, care constituie temei pentru înregistrarea angajamentului bugetar. </w:t>
            </w:r>
          </w:p>
          <w:p w14:paraId="5972322D" w14:textId="77F0850F" w:rsidR="00BB18D5" w:rsidRPr="003D570B" w:rsidRDefault="003D570B" w:rsidP="003D570B">
            <w:pPr>
              <w:tabs>
                <w:tab w:val="left" w:pos="8505"/>
              </w:tabs>
              <w:jc w:val="both"/>
              <w:rPr>
                <w:rFonts w:ascii="Times New Roman" w:hAnsi="Times New Roman" w:cs="Times New Roman"/>
                <w:b/>
                <w:sz w:val="20"/>
                <w:szCs w:val="20"/>
                <w:lang w:val="ro-RO"/>
              </w:rPr>
            </w:pPr>
            <w:r w:rsidRPr="00A416B0">
              <w:rPr>
                <w:rFonts w:ascii="Times New Roman" w:hAnsi="Times New Roman" w:cs="Times New Roman"/>
                <w:sz w:val="20"/>
                <w:szCs w:val="20"/>
                <w:lang w:val="ro-RO"/>
              </w:rPr>
              <w:t xml:space="preserve"> 57</w:t>
            </w:r>
            <w:r>
              <w:rPr>
                <w:rFonts w:ascii="Times New Roman" w:hAnsi="Times New Roman" w:cs="Times New Roman"/>
                <w:sz w:val="20"/>
                <w:szCs w:val="20"/>
                <w:vertAlign w:val="superscript"/>
                <w:lang w:val="ro-RO"/>
              </w:rPr>
              <w:t>2</w:t>
            </w:r>
            <w:r w:rsidRPr="00A416B0">
              <w:rPr>
                <w:rFonts w:ascii="Times New Roman" w:hAnsi="Times New Roman" w:cs="Times New Roman"/>
                <w:sz w:val="20"/>
                <w:szCs w:val="20"/>
                <w:lang w:val="ro-RO"/>
              </w:rPr>
              <w:t>. Prevederile pct. 57</w:t>
            </w:r>
            <w:r>
              <w:rPr>
                <w:rFonts w:ascii="Times New Roman" w:hAnsi="Times New Roman" w:cs="Times New Roman"/>
                <w:sz w:val="20"/>
                <w:szCs w:val="20"/>
                <w:vertAlign w:val="superscript"/>
                <w:lang w:val="ro-RO"/>
              </w:rPr>
              <w:t>1</w:t>
            </w:r>
            <w:r w:rsidRPr="00A416B0">
              <w:rPr>
                <w:rFonts w:ascii="Times New Roman" w:hAnsi="Times New Roman" w:cs="Times New Roman"/>
                <w:sz w:val="20"/>
                <w:szCs w:val="20"/>
                <w:lang w:val="ro-RO"/>
              </w:rPr>
              <w:t xml:space="preserve"> se aplică în mod corespunzător și în cazul achiziției biletelor de transport aerian direct de la operatorul aerian, în contextul delegărilor peste hotare, în interes de </w:t>
            </w:r>
            <w:r w:rsidRPr="00A416B0">
              <w:rPr>
                <w:rFonts w:ascii="Times New Roman" w:hAnsi="Times New Roman" w:cs="Times New Roman"/>
                <w:sz w:val="20"/>
                <w:szCs w:val="20"/>
                <w:lang w:val="ro-RO"/>
              </w:rPr>
              <w:lastRenderedPageBreak/>
              <w:t>serviciu, ale conducătorilor de rang înalt ai autorităților administrației publice centrale, atunci când plata se efectuează prin intermediul cardului de plată de serviciu (business), autorizat de Ministerul Finanțelor, în situații temeinic justificate, inclusiv în circumstanțe excepționale.”.</w:t>
            </w:r>
          </w:p>
        </w:tc>
        <w:tc>
          <w:tcPr>
            <w:tcW w:w="2977" w:type="dxa"/>
          </w:tcPr>
          <w:p w14:paraId="0CFBCC15" w14:textId="77777777" w:rsidR="00BB18D5" w:rsidRPr="00154388" w:rsidRDefault="00BB18D5"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32D0EC0A" w14:textId="1829EE3B" w:rsidR="00BB18D5" w:rsidRDefault="00BB18D5"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12</w:t>
            </w:r>
          </w:p>
        </w:tc>
        <w:tc>
          <w:tcPr>
            <w:tcW w:w="3402" w:type="dxa"/>
          </w:tcPr>
          <w:p w14:paraId="77EEC690" w14:textId="612D8ABB" w:rsidR="00BB18D5" w:rsidRPr="003D570B" w:rsidRDefault="00BB18D5" w:rsidP="00BB18D5">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La pct. 1.29 din proiectul hotărârii de Guvern, în partea ce ține de pct. 57</w:t>
            </w:r>
            <w:r w:rsidRPr="003D570B">
              <w:rPr>
                <w:rFonts w:ascii="Times New Roman" w:hAnsi="Times New Roman" w:cs="Times New Roman"/>
                <w:sz w:val="20"/>
                <w:szCs w:val="20"/>
                <w:vertAlign w:val="superscript"/>
                <w:lang w:val="it-IT"/>
              </w:rPr>
              <w:t>2</w:t>
            </w:r>
            <w:r w:rsidRPr="003D570B">
              <w:rPr>
                <w:rFonts w:ascii="Times New Roman" w:hAnsi="Times New Roman" w:cs="Times New Roman"/>
                <w:sz w:val="20"/>
                <w:szCs w:val="20"/>
                <w:lang w:val="it-IT"/>
              </w:rPr>
              <w:t>, intervenim cu următoarele propuneri:</w:t>
            </w:r>
          </w:p>
          <w:p w14:paraId="4594D099" w14:textId="2FD36455" w:rsidR="00BB18D5" w:rsidRPr="003D570B" w:rsidRDefault="00BB18D5" w:rsidP="00BB18D5">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extinderea sferei de aplicare a prevederii și în cazul achiziției biletelor de transport aerian de pe platformele internaționale de rezervare/achiziții bilete;</w:t>
            </w:r>
          </w:p>
          <w:p w14:paraId="73B4D6EF" w14:textId="1C11F36A" w:rsidR="00BB18D5" w:rsidRPr="003D570B" w:rsidRDefault="00BB18D5" w:rsidP="00BB18D5">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xml:space="preserve">- substituirea sintagmei „autorităților administrației publice centrale” cu sintagma „autorităților publice”, în vederea asigurării aplicabilității prevederii nu doar pentru conducătorii autorităților subordonate Guvernului, dar și pentru membrii organelor de </w:t>
            </w:r>
            <w:r w:rsidRPr="003D570B">
              <w:rPr>
                <w:rFonts w:ascii="Times New Roman" w:hAnsi="Times New Roman" w:cs="Times New Roman"/>
                <w:sz w:val="20"/>
                <w:szCs w:val="20"/>
                <w:lang w:val="it-IT"/>
              </w:rPr>
              <w:lastRenderedPageBreak/>
              <w:t>conducere ale autorităților publice autonome;</w:t>
            </w:r>
          </w:p>
          <w:p w14:paraId="3C93B647" w14:textId="73725700" w:rsidR="00BB18D5" w:rsidRPr="003D570B" w:rsidRDefault="00BB18D5" w:rsidP="00BB18D5">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excluderea autorizării cardului de plată de serviciu (business) de către Ministerul Finanțelor, cel puțin în cazul autorităților publice autonome, a căror activitate nu poate fi condiționată de acordul/autorizarea unei alte autorități;</w:t>
            </w:r>
          </w:p>
          <w:p w14:paraId="13FC0E22" w14:textId="3B2A571C" w:rsidR="00BB18D5" w:rsidRPr="003D570B" w:rsidRDefault="00BB18D5" w:rsidP="00BB18D5">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xml:space="preserve">- Totodată, în vederea evitării interpretărilor neconforme și a asigurării cerințelor de claritate și predictibilitate a actelor normative, prevăzută de Legea nr. 100/2017, recomandăm specificarea, fie în proiectul de act normativ, fie în cuprinsul Notei de fundamentare, a cazurilor care se încadrează în categoria de „situații temeinic justificate și circumstanțe excepționale” care trebuie să fie asigurate pentru achiziții de bilete avia achitate cu card de afaceri business. </w:t>
            </w:r>
          </w:p>
        </w:tc>
        <w:tc>
          <w:tcPr>
            <w:tcW w:w="3436" w:type="dxa"/>
          </w:tcPr>
          <w:p w14:paraId="3E9E6589" w14:textId="3A693563" w:rsidR="003D570B" w:rsidRPr="003D570B" w:rsidRDefault="003D570B" w:rsidP="003D570B">
            <w:pPr>
              <w:tabs>
                <w:tab w:val="left" w:pos="8505"/>
              </w:tabs>
              <w:jc w:val="both"/>
              <w:rPr>
                <w:rFonts w:ascii="Times New Roman" w:hAnsi="Times New Roman" w:cs="Times New Roman"/>
                <w:b/>
                <w:sz w:val="20"/>
                <w:szCs w:val="20"/>
                <w:lang w:val="ro-RO"/>
              </w:rPr>
            </w:pPr>
            <w:r w:rsidRPr="003D570B">
              <w:rPr>
                <w:rFonts w:ascii="Times New Roman" w:hAnsi="Times New Roman" w:cs="Times New Roman"/>
                <w:b/>
                <w:sz w:val="20"/>
                <w:szCs w:val="20"/>
                <w:lang w:val="ro-RO"/>
              </w:rPr>
              <w:lastRenderedPageBreak/>
              <w:t>Nu se acceptă</w:t>
            </w:r>
          </w:p>
          <w:p w14:paraId="5FC405EA" w14:textId="5B77DC93"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Propunerea de modificare nu poate fi primită în totalitatea componentelor sale, deoarece unele dintre recomandări depășesc cadrul normativ al Regulamentului, contravin logicii ierarhiei instituționale sau vizează</w:t>
            </w:r>
            <w:r>
              <w:rPr>
                <w:rFonts w:ascii="Times New Roman" w:hAnsi="Times New Roman" w:cs="Times New Roman"/>
                <w:bCs/>
                <w:sz w:val="20"/>
                <w:szCs w:val="20"/>
                <w:lang w:val="ro-RO"/>
              </w:rPr>
              <w:t xml:space="preserve"> </w:t>
            </w:r>
            <w:r w:rsidRPr="003D570B">
              <w:rPr>
                <w:rFonts w:ascii="Times New Roman" w:hAnsi="Times New Roman" w:cs="Times New Roman"/>
                <w:bCs/>
                <w:sz w:val="20"/>
                <w:szCs w:val="20"/>
                <w:lang w:val="ro-RO"/>
              </w:rPr>
              <w:t>aspecte care exced obiectului actului normativ.</w:t>
            </w:r>
          </w:p>
          <w:p w14:paraId="3B8E49A5" w14:textId="2229B4F2"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Argumentele detaliate sunt următoarele:</w:t>
            </w:r>
          </w:p>
          <w:p w14:paraId="5CAC02C0" w14:textId="2055E080"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I. Cu privire la extinderea sferei de aplicare către platformele internaționale de rezervare</w:t>
            </w:r>
            <w:r>
              <w:rPr>
                <w:rFonts w:ascii="Times New Roman" w:hAnsi="Times New Roman" w:cs="Times New Roman"/>
                <w:bCs/>
                <w:sz w:val="20"/>
                <w:szCs w:val="20"/>
                <w:lang w:val="ro-RO"/>
              </w:rPr>
              <w:t>.</w:t>
            </w:r>
          </w:p>
          <w:p w14:paraId="679A0E0C" w14:textId="199253F6" w:rsidR="003D570B" w:rsidRPr="003D570B" w:rsidRDefault="003D570B" w:rsidP="003D570B">
            <w:pPr>
              <w:tabs>
                <w:tab w:val="left" w:pos="8505"/>
              </w:tabs>
              <w:jc w:val="both"/>
              <w:rPr>
                <w:rFonts w:ascii="Times New Roman" w:hAnsi="Times New Roman" w:cs="Times New Roman"/>
                <w:b/>
                <w:sz w:val="20"/>
                <w:szCs w:val="20"/>
                <w:lang w:val="ro-RO"/>
              </w:rPr>
            </w:pPr>
            <w:r w:rsidRPr="003D570B">
              <w:rPr>
                <w:rFonts w:ascii="Times New Roman" w:hAnsi="Times New Roman" w:cs="Times New Roman"/>
                <w:b/>
                <w:sz w:val="20"/>
                <w:szCs w:val="20"/>
                <w:lang w:val="ro-RO"/>
              </w:rPr>
              <w:t>Nu se acceptă</w:t>
            </w:r>
          </w:p>
          <w:p w14:paraId="2715AB7F" w14:textId="4A2D0626"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lastRenderedPageBreak/>
              <w:t>Pct. 57</w:t>
            </w:r>
            <w:r>
              <w:rPr>
                <w:rFonts w:ascii="Times New Roman" w:hAnsi="Times New Roman" w:cs="Times New Roman"/>
                <w:bCs/>
                <w:sz w:val="20"/>
                <w:szCs w:val="20"/>
                <w:vertAlign w:val="superscript"/>
                <w:lang w:val="ro-RO"/>
              </w:rPr>
              <w:t>2</w:t>
            </w:r>
            <w:r w:rsidRPr="003D570B">
              <w:rPr>
                <w:rFonts w:ascii="Times New Roman" w:hAnsi="Times New Roman" w:cs="Times New Roman"/>
                <w:bCs/>
                <w:sz w:val="20"/>
                <w:szCs w:val="20"/>
                <w:lang w:val="ro-RO"/>
              </w:rPr>
              <w:t xml:space="preserve"> reglementează o excepție strictă și bine delimitată: achiziția biletelor de transport aerian direct de la operatorul aerian, în contextul delegărilor peste hotare ale conducătorilor de rang înalt. Extinderea acestei excepții către platformele internaționale de rezervare (de ex., Booking.com, Skyscanner, agenții online) ar lărgi nejustificat sfera de aplicare a derogării, generând următoarele riscuri:</w:t>
            </w:r>
          </w:p>
          <w:p w14:paraId="0560EFAC" w14:textId="777777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Pierderea trasabilității tranzacției — platformele de rezervare acționează ca intermediari, nu ca furnizori direcți, ceea ce complică identificarea furnizorului real și verificarea legalității angajamentului bugetar;</w:t>
            </w:r>
          </w:p>
          <w:p w14:paraId="72D7465D" w14:textId="777777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Creșterea riscului de fraudă — utilizarea platformelor intermediare, fără un cadru clar de verificare, facilitează potențiale abuzuri în utilizarea cardurilor de plată de serviciu;</w:t>
            </w:r>
          </w:p>
          <w:p w14:paraId="47B3566B" w14:textId="24015AFF"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Incompatibilitate cu mecanismul de plată — pct. 57</w:t>
            </w:r>
            <w:r>
              <w:rPr>
                <w:rFonts w:ascii="Times New Roman" w:hAnsi="Times New Roman" w:cs="Times New Roman"/>
                <w:bCs/>
                <w:sz w:val="20"/>
                <w:szCs w:val="20"/>
                <w:vertAlign w:val="superscript"/>
                <w:lang w:val="ro-RO"/>
              </w:rPr>
              <w:t>2</w:t>
            </w:r>
            <w:r w:rsidRPr="003D570B">
              <w:rPr>
                <w:rFonts w:ascii="Times New Roman" w:hAnsi="Times New Roman" w:cs="Times New Roman"/>
                <w:bCs/>
                <w:sz w:val="20"/>
                <w:szCs w:val="20"/>
                <w:lang w:val="ro-RO"/>
              </w:rPr>
              <w:t xml:space="preserve"> prevede expres plata prin intermediul cardului de plată de serviciu autorizat de Ministerul Finanțelor, iar tranzacțiile prin platforme intermediare presupun comisioane și condiții de plată diferite, care ar necesita un cadru normativ separat.</w:t>
            </w:r>
          </w:p>
          <w:p w14:paraId="1D085A90" w14:textId="630CBEBA"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Soluția adecvată, în măsura în care se va constata necesitatea, ar fi reglementarea distinctă a achizițiilor prin platforme intermediare, în cadrul unui act normativ separat, cu garantarea mecanismelor de control corespunzătoare.</w:t>
            </w:r>
          </w:p>
          <w:p w14:paraId="6487150F" w14:textId="1FEA2339"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II. Cu privirea la substituirea sintagmei „autorităților administrației publice centrale" cu „autorităților publice</w:t>
            </w:r>
            <w:r w:rsidR="00760BD0">
              <w:rPr>
                <w:rFonts w:ascii="Times New Roman" w:hAnsi="Times New Roman" w:cs="Times New Roman"/>
                <w:bCs/>
                <w:sz w:val="20"/>
                <w:szCs w:val="20"/>
                <w:lang w:val="ro-RO"/>
              </w:rPr>
              <w:t>”</w:t>
            </w:r>
          </w:p>
          <w:p w14:paraId="060D5EAE" w14:textId="77B2A220" w:rsidR="003D570B" w:rsidRPr="003D570B" w:rsidRDefault="003D570B" w:rsidP="003D570B">
            <w:pPr>
              <w:tabs>
                <w:tab w:val="left" w:pos="8505"/>
              </w:tabs>
              <w:jc w:val="both"/>
              <w:rPr>
                <w:rFonts w:ascii="Times New Roman" w:hAnsi="Times New Roman" w:cs="Times New Roman"/>
                <w:b/>
                <w:sz w:val="20"/>
                <w:szCs w:val="20"/>
                <w:lang w:val="ro-RO"/>
              </w:rPr>
            </w:pPr>
            <w:r w:rsidRPr="003D570B">
              <w:rPr>
                <w:rFonts w:ascii="Times New Roman" w:hAnsi="Times New Roman" w:cs="Times New Roman"/>
                <w:b/>
                <w:sz w:val="20"/>
                <w:szCs w:val="20"/>
                <w:lang w:val="ro-RO"/>
              </w:rPr>
              <w:t>Nu se acceptă</w:t>
            </w:r>
          </w:p>
          <w:p w14:paraId="7793B497" w14:textId="77777777" w:rsidR="00760BD0" w:rsidRDefault="00760BD0" w:rsidP="003D570B">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 xml:space="preserve">Propunerea de substituire a sintagmei „autorităților administrației publice </w:t>
            </w:r>
            <w:r w:rsidRPr="00760BD0">
              <w:rPr>
                <w:rFonts w:ascii="Times New Roman" w:hAnsi="Times New Roman" w:cs="Times New Roman"/>
                <w:bCs/>
                <w:sz w:val="20"/>
                <w:szCs w:val="20"/>
                <w:lang w:val="ro-RO"/>
              </w:rPr>
              <w:lastRenderedPageBreak/>
              <w:t>centrale” cu „autorităților publice” nu poate fi admisă, întrucât ar contraveni cadrului legal primar în materie bugetar-financiară și reglementărilor privind utilizarea instrumentelor de plată</w:t>
            </w:r>
            <w:r>
              <w:rPr>
                <w:rFonts w:ascii="Times New Roman" w:hAnsi="Times New Roman" w:cs="Times New Roman"/>
                <w:bCs/>
                <w:sz w:val="20"/>
                <w:szCs w:val="20"/>
                <w:lang w:val="ro-RO"/>
              </w:rPr>
              <w:t>.</w:t>
            </w:r>
          </w:p>
          <w:p w14:paraId="62F76D49" w14:textId="26A8D249" w:rsidR="00760BD0" w:rsidRPr="00760BD0" w:rsidRDefault="00760BD0" w:rsidP="00760BD0">
            <w:pPr>
              <w:tabs>
                <w:tab w:val="left" w:pos="8505"/>
              </w:tabs>
              <w:jc w:val="both"/>
              <w:rPr>
                <w:rFonts w:ascii="Times New Roman" w:hAnsi="Times New Roman" w:cs="Times New Roman"/>
                <w:bCs/>
                <w:sz w:val="20"/>
                <w:szCs w:val="20"/>
              </w:rPr>
            </w:pPr>
            <w:r w:rsidRPr="00760BD0">
              <w:rPr>
                <w:rFonts w:ascii="Times New Roman" w:hAnsi="Times New Roman" w:cs="Times New Roman"/>
                <w:bCs/>
                <w:sz w:val="20"/>
                <w:szCs w:val="20"/>
              </w:rPr>
              <w:t>1. Constrângeri rezultate din Legea nr. 181 (art. 62 alin. (5) lit. a))</w:t>
            </w:r>
            <w:r>
              <w:rPr>
                <w:rFonts w:ascii="Times New Roman" w:hAnsi="Times New Roman" w:cs="Times New Roman"/>
                <w:bCs/>
                <w:sz w:val="20"/>
                <w:szCs w:val="20"/>
              </w:rPr>
              <w:t>:</w:t>
            </w:r>
          </w:p>
          <w:p w14:paraId="2D5BD363" w14:textId="18D5F6CF" w:rsidR="00760BD0" w:rsidRPr="00760BD0" w:rsidRDefault="00760BD0" w:rsidP="00760BD0">
            <w:pPr>
              <w:tabs>
                <w:tab w:val="left" w:pos="8505"/>
              </w:tabs>
              <w:jc w:val="both"/>
              <w:rPr>
                <w:rFonts w:ascii="Times New Roman" w:hAnsi="Times New Roman" w:cs="Times New Roman"/>
                <w:bCs/>
                <w:sz w:val="20"/>
                <w:szCs w:val="20"/>
              </w:rPr>
            </w:pPr>
            <w:r w:rsidRPr="00760BD0">
              <w:rPr>
                <w:rFonts w:ascii="Times New Roman" w:hAnsi="Times New Roman" w:cs="Times New Roman"/>
                <w:bCs/>
                <w:sz w:val="20"/>
                <w:szCs w:val="20"/>
              </w:rPr>
              <w:t>Art. 62 alin. (5) lit. a) din Legea finanțelor publice și responsabilității bugetar-fiscale nr. 181 stabilește expres:</w:t>
            </w:r>
          </w:p>
          <w:p w14:paraId="117F071F" w14:textId="0354E849" w:rsidR="00760BD0" w:rsidRPr="00760BD0" w:rsidRDefault="00760BD0" w:rsidP="00760BD0">
            <w:pPr>
              <w:tabs>
                <w:tab w:val="left" w:pos="8505"/>
              </w:tabs>
              <w:jc w:val="both"/>
              <w:rPr>
                <w:rFonts w:ascii="Times New Roman" w:hAnsi="Times New Roman" w:cs="Times New Roman"/>
                <w:bCs/>
                <w:sz w:val="20"/>
                <w:szCs w:val="20"/>
              </w:rPr>
            </w:pPr>
            <w:r w:rsidRPr="00760BD0">
              <w:rPr>
                <w:rFonts w:ascii="Times New Roman" w:hAnsi="Times New Roman" w:cs="Times New Roman"/>
                <w:bCs/>
                <w:sz w:val="20"/>
                <w:szCs w:val="20"/>
              </w:rPr>
              <w:t>interdicția autorităților/instituțiilor bugetare de a deschide conturi bancare pentru încasări și plăți prin instituții financiare;</w:t>
            </w:r>
            <w:r>
              <w:rPr>
                <w:rFonts w:ascii="Times New Roman" w:hAnsi="Times New Roman" w:cs="Times New Roman"/>
                <w:bCs/>
                <w:sz w:val="20"/>
                <w:szCs w:val="20"/>
              </w:rPr>
              <w:t xml:space="preserve"> </w:t>
            </w:r>
            <w:r w:rsidRPr="00760BD0">
              <w:rPr>
                <w:rFonts w:ascii="Times New Roman" w:hAnsi="Times New Roman" w:cs="Times New Roman"/>
                <w:bCs/>
                <w:sz w:val="20"/>
                <w:szCs w:val="20"/>
              </w:rPr>
              <w:t>excepția strictă și limitativă privind cardurile de plată de afaceri (business), deschise cu autorizarea Ministerului Finanțelor;</w:t>
            </w:r>
            <w:r>
              <w:rPr>
                <w:rFonts w:ascii="Times New Roman" w:hAnsi="Times New Roman" w:cs="Times New Roman"/>
                <w:bCs/>
                <w:sz w:val="20"/>
                <w:szCs w:val="20"/>
              </w:rPr>
              <w:t xml:space="preserve"> </w:t>
            </w:r>
            <w:r w:rsidRPr="00760BD0">
              <w:rPr>
                <w:rFonts w:ascii="Times New Roman" w:hAnsi="Times New Roman" w:cs="Times New Roman"/>
                <w:bCs/>
                <w:sz w:val="20"/>
                <w:szCs w:val="20"/>
              </w:rPr>
              <w:t>aplicabilitatea exclusivă pentru acoperirea cheltuielilor ce țin de delegarea peste hotare a conducătorilor de rang înalt ai autorităților administrației publice centrale.</w:t>
            </w:r>
          </w:p>
          <w:p w14:paraId="5140E41D" w14:textId="77777777" w:rsidR="00760BD0" w:rsidRPr="00760BD0" w:rsidRDefault="00760BD0" w:rsidP="00760BD0">
            <w:pPr>
              <w:tabs>
                <w:tab w:val="left" w:pos="8505"/>
              </w:tabs>
              <w:jc w:val="both"/>
              <w:rPr>
                <w:rFonts w:ascii="Times New Roman" w:hAnsi="Times New Roman" w:cs="Times New Roman"/>
                <w:bCs/>
                <w:sz w:val="20"/>
                <w:szCs w:val="20"/>
              </w:rPr>
            </w:pPr>
            <w:r w:rsidRPr="00760BD0">
              <w:rPr>
                <w:rFonts w:ascii="Times New Roman" w:hAnsi="Times New Roman" w:cs="Times New Roman"/>
                <w:bCs/>
                <w:sz w:val="20"/>
                <w:szCs w:val="20"/>
              </w:rPr>
              <w:t>Norma este formulată restrictiv și nu permite extinderea prin act normativ subsecvent. O eventuală substituire cu sintagma „autorităților publice” ar depăși cadrul stabilit de lege și ar constitui o extindere nepermisă a excepției.</w:t>
            </w:r>
          </w:p>
          <w:p w14:paraId="0BF715B8" w14:textId="0588236A" w:rsidR="00760BD0" w:rsidRPr="00760BD0" w:rsidRDefault="00760BD0" w:rsidP="00760BD0">
            <w:pPr>
              <w:tabs>
                <w:tab w:val="left" w:pos="8505"/>
              </w:tabs>
              <w:jc w:val="both"/>
              <w:rPr>
                <w:rFonts w:ascii="Times New Roman" w:hAnsi="Times New Roman" w:cs="Times New Roman"/>
                <w:bCs/>
                <w:sz w:val="20"/>
                <w:szCs w:val="20"/>
              </w:rPr>
            </w:pPr>
            <w:r>
              <w:rPr>
                <w:rFonts w:ascii="Times New Roman" w:hAnsi="Times New Roman" w:cs="Times New Roman"/>
                <w:bCs/>
                <w:sz w:val="20"/>
                <w:szCs w:val="20"/>
              </w:rPr>
              <w:t xml:space="preserve">2. </w:t>
            </w:r>
            <w:r w:rsidRPr="00760BD0">
              <w:rPr>
                <w:rFonts w:ascii="Times New Roman" w:hAnsi="Times New Roman" w:cs="Times New Roman"/>
                <w:bCs/>
                <w:sz w:val="20"/>
                <w:szCs w:val="20"/>
              </w:rPr>
              <w:t>Principiul ierarhiei normative</w:t>
            </w:r>
            <w:r>
              <w:rPr>
                <w:rFonts w:ascii="Times New Roman" w:hAnsi="Times New Roman" w:cs="Times New Roman"/>
                <w:bCs/>
                <w:sz w:val="20"/>
                <w:szCs w:val="20"/>
              </w:rPr>
              <w:t>:</w:t>
            </w:r>
          </w:p>
          <w:p w14:paraId="2108EEBD" w14:textId="225842BC" w:rsidR="00760BD0" w:rsidRPr="00760BD0" w:rsidRDefault="00760BD0" w:rsidP="00760BD0">
            <w:pPr>
              <w:tabs>
                <w:tab w:val="left" w:pos="8505"/>
              </w:tabs>
              <w:jc w:val="both"/>
              <w:rPr>
                <w:rFonts w:ascii="Times New Roman" w:hAnsi="Times New Roman" w:cs="Times New Roman"/>
                <w:bCs/>
                <w:sz w:val="20"/>
                <w:szCs w:val="20"/>
              </w:rPr>
            </w:pPr>
            <w:r w:rsidRPr="00760BD0">
              <w:rPr>
                <w:rFonts w:ascii="Times New Roman" w:hAnsi="Times New Roman" w:cs="Times New Roman"/>
                <w:bCs/>
                <w:sz w:val="20"/>
                <w:szCs w:val="20"/>
              </w:rPr>
              <w:t>H</w:t>
            </w:r>
            <w:r>
              <w:rPr>
                <w:rFonts w:ascii="Times New Roman" w:hAnsi="Times New Roman" w:cs="Times New Roman"/>
                <w:bCs/>
                <w:sz w:val="20"/>
                <w:szCs w:val="20"/>
              </w:rPr>
              <w:t xml:space="preserve">otǎrârea de </w:t>
            </w:r>
            <w:r w:rsidRPr="00760BD0">
              <w:rPr>
                <w:rFonts w:ascii="Times New Roman" w:hAnsi="Times New Roman" w:cs="Times New Roman"/>
                <w:bCs/>
                <w:sz w:val="20"/>
                <w:szCs w:val="20"/>
              </w:rPr>
              <w:t>G</w:t>
            </w:r>
            <w:r>
              <w:rPr>
                <w:rFonts w:ascii="Times New Roman" w:hAnsi="Times New Roman" w:cs="Times New Roman"/>
                <w:bCs/>
                <w:sz w:val="20"/>
                <w:szCs w:val="20"/>
              </w:rPr>
              <w:t>uvern</w:t>
            </w:r>
            <w:r w:rsidRPr="00760BD0">
              <w:rPr>
                <w:rFonts w:ascii="Times New Roman" w:hAnsi="Times New Roman" w:cs="Times New Roman"/>
                <w:bCs/>
                <w:sz w:val="20"/>
                <w:szCs w:val="20"/>
              </w:rPr>
              <w:t xml:space="preserve"> nr. 870/2022 este un act normativ subsecvent.</w:t>
            </w:r>
          </w:p>
          <w:p w14:paraId="07C233A9" w14:textId="5436A45D" w:rsidR="00760BD0" w:rsidRPr="00760BD0" w:rsidRDefault="00760BD0" w:rsidP="00760BD0">
            <w:pPr>
              <w:tabs>
                <w:tab w:val="left" w:pos="8505"/>
              </w:tabs>
              <w:jc w:val="both"/>
              <w:rPr>
                <w:rFonts w:ascii="Times New Roman" w:hAnsi="Times New Roman" w:cs="Times New Roman"/>
                <w:bCs/>
                <w:sz w:val="20"/>
                <w:szCs w:val="20"/>
              </w:rPr>
            </w:pPr>
            <w:r w:rsidRPr="00760BD0">
              <w:rPr>
                <w:rFonts w:ascii="Times New Roman" w:hAnsi="Times New Roman" w:cs="Times New Roman"/>
                <w:bCs/>
                <w:sz w:val="20"/>
                <w:szCs w:val="20"/>
              </w:rPr>
              <w:t>Acesta nu poate:</w:t>
            </w:r>
            <w:r>
              <w:rPr>
                <w:rFonts w:ascii="Times New Roman" w:hAnsi="Times New Roman" w:cs="Times New Roman"/>
                <w:bCs/>
                <w:sz w:val="20"/>
                <w:szCs w:val="20"/>
              </w:rPr>
              <w:t xml:space="preserve"> </w:t>
            </w:r>
            <w:r w:rsidRPr="00760BD0">
              <w:rPr>
                <w:rFonts w:ascii="Times New Roman" w:hAnsi="Times New Roman" w:cs="Times New Roman"/>
                <w:bCs/>
                <w:sz w:val="20"/>
                <w:szCs w:val="20"/>
              </w:rPr>
              <w:t>modifica sau extinde excepțiile stabilite prin Legea finanțelor publice și responsabilității bugetar-fiscale nr. 181</w:t>
            </w:r>
            <w:r>
              <w:rPr>
                <w:rFonts w:ascii="Times New Roman" w:hAnsi="Times New Roman" w:cs="Times New Roman"/>
                <w:bCs/>
                <w:sz w:val="20"/>
                <w:szCs w:val="20"/>
              </w:rPr>
              <w:t>/2014</w:t>
            </w:r>
            <w:r w:rsidRPr="00760BD0">
              <w:rPr>
                <w:rFonts w:ascii="Times New Roman" w:hAnsi="Times New Roman" w:cs="Times New Roman"/>
                <w:bCs/>
                <w:sz w:val="20"/>
                <w:szCs w:val="20"/>
              </w:rPr>
              <w:t>;</w:t>
            </w:r>
            <w:r>
              <w:rPr>
                <w:rFonts w:ascii="Times New Roman" w:hAnsi="Times New Roman" w:cs="Times New Roman"/>
                <w:bCs/>
                <w:sz w:val="20"/>
                <w:szCs w:val="20"/>
              </w:rPr>
              <w:t xml:space="preserve"> </w:t>
            </w:r>
            <w:r w:rsidRPr="00760BD0">
              <w:rPr>
                <w:rFonts w:ascii="Times New Roman" w:hAnsi="Times New Roman" w:cs="Times New Roman"/>
                <w:bCs/>
                <w:sz w:val="20"/>
                <w:szCs w:val="20"/>
              </w:rPr>
              <w:t>crea noi categorii de beneficiari ai cardurilor business;</w:t>
            </w:r>
            <w:r>
              <w:rPr>
                <w:rFonts w:ascii="Times New Roman" w:hAnsi="Times New Roman" w:cs="Times New Roman"/>
                <w:bCs/>
                <w:sz w:val="20"/>
                <w:szCs w:val="20"/>
              </w:rPr>
              <w:t xml:space="preserve"> </w:t>
            </w:r>
            <w:r w:rsidRPr="00760BD0">
              <w:rPr>
                <w:rFonts w:ascii="Times New Roman" w:hAnsi="Times New Roman" w:cs="Times New Roman"/>
                <w:bCs/>
                <w:sz w:val="20"/>
                <w:szCs w:val="20"/>
              </w:rPr>
              <w:t>diminua competența Ministerului Finanțelor de autorizare.</w:t>
            </w:r>
          </w:p>
          <w:p w14:paraId="40448E8C" w14:textId="536FE592" w:rsidR="00760BD0" w:rsidRDefault="00760BD0" w:rsidP="00760BD0">
            <w:pPr>
              <w:tabs>
                <w:tab w:val="left" w:pos="8505"/>
              </w:tabs>
              <w:jc w:val="both"/>
              <w:rPr>
                <w:rFonts w:ascii="Times New Roman" w:hAnsi="Times New Roman" w:cs="Times New Roman"/>
                <w:bCs/>
                <w:sz w:val="20"/>
                <w:szCs w:val="20"/>
              </w:rPr>
            </w:pPr>
            <w:r w:rsidRPr="00760BD0">
              <w:rPr>
                <w:rFonts w:ascii="Times New Roman" w:hAnsi="Times New Roman" w:cs="Times New Roman"/>
                <w:bCs/>
                <w:sz w:val="20"/>
                <w:szCs w:val="20"/>
              </w:rPr>
              <w:t>Prin urmare, extinderea aplicabilității pct. 57</w:t>
            </w:r>
            <w:r>
              <w:rPr>
                <w:rFonts w:ascii="Times New Roman" w:hAnsi="Times New Roman" w:cs="Times New Roman"/>
                <w:bCs/>
                <w:sz w:val="20"/>
                <w:szCs w:val="20"/>
                <w:vertAlign w:val="superscript"/>
              </w:rPr>
              <w:t>2</w:t>
            </w:r>
            <w:r w:rsidRPr="00760BD0">
              <w:rPr>
                <w:rFonts w:ascii="Times New Roman" w:hAnsi="Times New Roman" w:cs="Times New Roman"/>
                <w:bCs/>
                <w:sz w:val="20"/>
                <w:szCs w:val="20"/>
              </w:rPr>
              <w:t xml:space="preserve"> la „autoritățile publice” ar contraveni principiului legalității și ierarhiei actelor normative.</w:t>
            </w:r>
          </w:p>
          <w:p w14:paraId="104B6173" w14:textId="41F2E813" w:rsidR="00760BD0" w:rsidRPr="00760BD0" w:rsidRDefault="00760BD0" w:rsidP="00760BD0">
            <w:pPr>
              <w:tabs>
                <w:tab w:val="left" w:pos="8505"/>
              </w:tabs>
              <w:jc w:val="both"/>
              <w:rPr>
                <w:rFonts w:ascii="Times New Roman" w:hAnsi="Times New Roman" w:cs="Times New Roman"/>
                <w:bCs/>
                <w:sz w:val="20"/>
                <w:szCs w:val="20"/>
              </w:rPr>
            </w:pPr>
            <w:r>
              <w:rPr>
                <w:rFonts w:ascii="Times New Roman" w:hAnsi="Times New Roman" w:cs="Times New Roman"/>
                <w:bCs/>
                <w:sz w:val="20"/>
                <w:szCs w:val="20"/>
              </w:rPr>
              <w:lastRenderedPageBreak/>
              <w:t>Deci, m</w:t>
            </w:r>
            <w:r w:rsidRPr="00760BD0">
              <w:rPr>
                <w:rFonts w:ascii="Times New Roman" w:hAnsi="Times New Roman" w:cs="Times New Roman"/>
                <w:bCs/>
                <w:sz w:val="20"/>
                <w:szCs w:val="20"/>
              </w:rPr>
              <w:t>enținerea sintagmei „autorităților administrației publice centrale” este impusă de:</w:t>
            </w:r>
            <w:r>
              <w:rPr>
                <w:rFonts w:ascii="Times New Roman" w:hAnsi="Times New Roman" w:cs="Times New Roman"/>
                <w:bCs/>
                <w:sz w:val="20"/>
                <w:szCs w:val="20"/>
              </w:rPr>
              <w:t xml:space="preserve"> </w:t>
            </w:r>
            <w:r w:rsidRPr="00760BD0">
              <w:rPr>
                <w:rFonts w:ascii="Times New Roman" w:hAnsi="Times New Roman" w:cs="Times New Roman"/>
                <w:bCs/>
                <w:sz w:val="20"/>
                <w:szCs w:val="20"/>
              </w:rPr>
              <w:t>art. 62 alin. (5) lit. a) din Legea nr. 181</w:t>
            </w:r>
            <w:r>
              <w:rPr>
                <w:rFonts w:ascii="Times New Roman" w:hAnsi="Times New Roman" w:cs="Times New Roman"/>
                <w:bCs/>
                <w:sz w:val="20"/>
                <w:szCs w:val="20"/>
              </w:rPr>
              <w:t>/2014</w:t>
            </w:r>
            <w:r w:rsidRPr="00760BD0">
              <w:rPr>
                <w:rFonts w:ascii="Times New Roman" w:hAnsi="Times New Roman" w:cs="Times New Roman"/>
                <w:bCs/>
                <w:sz w:val="20"/>
                <w:szCs w:val="20"/>
              </w:rPr>
              <w:t>;</w:t>
            </w:r>
            <w:r>
              <w:rPr>
                <w:rFonts w:ascii="Times New Roman" w:hAnsi="Times New Roman" w:cs="Times New Roman"/>
                <w:bCs/>
                <w:sz w:val="20"/>
                <w:szCs w:val="20"/>
              </w:rPr>
              <w:t xml:space="preserve"> </w:t>
            </w:r>
            <w:r w:rsidRPr="00760BD0">
              <w:rPr>
                <w:rFonts w:ascii="Times New Roman" w:hAnsi="Times New Roman" w:cs="Times New Roman"/>
                <w:bCs/>
                <w:sz w:val="20"/>
                <w:szCs w:val="20"/>
              </w:rPr>
              <w:t>regimul contului unic trezorerial;</w:t>
            </w:r>
            <w:r>
              <w:rPr>
                <w:rFonts w:ascii="Times New Roman" w:hAnsi="Times New Roman" w:cs="Times New Roman"/>
                <w:bCs/>
                <w:sz w:val="20"/>
                <w:szCs w:val="20"/>
              </w:rPr>
              <w:t xml:space="preserve"> </w:t>
            </w:r>
            <w:r w:rsidRPr="00760BD0">
              <w:rPr>
                <w:rFonts w:ascii="Times New Roman" w:hAnsi="Times New Roman" w:cs="Times New Roman"/>
                <w:bCs/>
                <w:sz w:val="20"/>
                <w:szCs w:val="20"/>
              </w:rPr>
              <w:t>principiul interpretării restrictive a normelor derogatorii.</w:t>
            </w:r>
          </w:p>
          <w:p w14:paraId="077E7228" w14:textId="36B14D43" w:rsidR="00760BD0" w:rsidRPr="00760BD0" w:rsidRDefault="00760BD0" w:rsidP="00760BD0">
            <w:pPr>
              <w:tabs>
                <w:tab w:val="left" w:pos="8505"/>
              </w:tabs>
              <w:jc w:val="both"/>
              <w:rPr>
                <w:rFonts w:ascii="Times New Roman" w:hAnsi="Times New Roman" w:cs="Times New Roman"/>
                <w:bCs/>
                <w:sz w:val="20"/>
                <w:szCs w:val="20"/>
              </w:rPr>
            </w:pPr>
            <w:r w:rsidRPr="00760BD0">
              <w:rPr>
                <w:rFonts w:ascii="Times New Roman" w:hAnsi="Times New Roman" w:cs="Times New Roman"/>
                <w:bCs/>
                <w:sz w:val="20"/>
                <w:szCs w:val="20"/>
              </w:rPr>
              <w:t>Orice extindere a sferei beneficiarilor ar putea fi realizată exclusiv prin modificarea prealabilă a Legii nr. 181</w:t>
            </w:r>
            <w:r>
              <w:rPr>
                <w:rFonts w:ascii="Times New Roman" w:hAnsi="Times New Roman" w:cs="Times New Roman"/>
                <w:bCs/>
                <w:sz w:val="20"/>
                <w:szCs w:val="20"/>
              </w:rPr>
              <w:t>/2014</w:t>
            </w:r>
            <w:r w:rsidRPr="00760BD0">
              <w:rPr>
                <w:rFonts w:ascii="Times New Roman" w:hAnsi="Times New Roman" w:cs="Times New Roman"/>
                <w:bCs/>
                <w:sz w:val="20"/>
                <w:szCs w:val="20"/>
              </w:rPr>
              <w:t>, nu prin hotărâre de Guvern.</w:t>
            </w:r>
          </w:p>
          <w:p w14:paraId="7B010ADF" w14:textId="777777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III. Cu privirea la excluderea autorizării cardului de plată de serviciu de către Ministerul Finanțelor</w:t>
            </w:r>
          </w:p>
          <w:p w14:paraId="720AF95B" w14:textId="4846EBE5" w:rsidR="003D570B" w:rsidRPr="003D570B" w:rsidRDefault="00284B25" w:rsidP="003D570B">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Nu se acceptă</w:t>
            </w:r>
          </w:p>
          <w:p w14:paraId="41104FD0" w14:textId="0C105C1E"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Autorizarea cardurilor de plată de serviciu (business) de către Ministerul Finanțelor constituie un mecanism de control instituțional esențial pentru asigurarea utilizării riguroase a resurselor financiare publice. Eliminarea acestei autorizări pentru autoritățile publice autonome ar avea următoarele consecințe negative:</w:t>
            </w:r>
          </w:p>
          <w:p w14:paraId="29D2B2B5" w14:textId="777777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Pierderea controlului centralizat asupra utilizării cardurilor de plată de serviciu, ceea ce ar putea conduce la utilizarea necontrolată a fondurilor publice;</w:t>
            </w:r>
          </w:p>
          <w:p w14:paraId="131EA2EC" w14:textId="777777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Fragmentarea mecanismului de autorizare, generând un risc sporit de abuz și dificultăți în verificarea ulterioară a tranzacțiilor;</w:t>
            </w:r>
          </w:p>
          <w:p w14:paraId="195CF10F" w14:textId="41B07E19"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Contradicție cu cadrul bugetar-financiar în vigoare — Legea nr.</w:t>
            </w:r>
            <w:r>
              <w:rPr>
                <w:rFonts w:ascii="Times New Roman" w:hAnsi="Times New Roman" w:cs="Times New Roman"/>
                <w:bCs/>
                <w:sz w:val="20"/>
                <w:szCs w:val="20"/>
                <w:lang w:val="ro-RO"/>
              </w:rPr>
              <w:t xml:space="preserve"> 181/2014 a</w:t>
            </w:r>
            <w:r w:rsidRPr="003D570B">
              <w:rPr>
                <w:rFonts w:ascii="Times New Roman" w:hAnsi="Times New Roman" w:cs="Times New Roman"/>
                <w:bCs/>
                <w:sz w:val="20"/>
                <w:szCs w:val="20"/>
                <w:lang w:val="ro-RO"/>
              </w:rPr>
              <w:t xml:space="preserve"> </w:t>
            </w:r>
            <w:r w:rsidRPr="003D570B">
              <w:rPr>
                <w:lang w:val="it-IT"/>
              </w:rPr>
              <w:t xml:space="preserve"> </w:t>
            </w:r>
            <w:r w:rsidRPr="003D570B">
              <w:rPr>
                <w:rFonts w:ascii="Times New Roman" w:hAnsi="Times New Roman" w:cs="Times New Roman"/>
                <w:bCs/>
                <w:sz w:val="20"/>
                <w:szCs w:val="20"/>
                <w:lang w:val="ro-RO"/>
              </w:rPr>
              <w:t>finanţelor publice şi responsabilităţii bugetar-fiscale</w:t>
            </w:r>
            <w:r>
              <w:rPr>
                <w:rFonts w:ascii="Times New Roman" w:hAnsi="Times New Roman" w:cs="Times New Roman"/>
                <w:bCs/>
                <w:sz w:val="20"/>
                <w:szCs w:val="20"/>
                <w:lang w:val="ro-RO"/>
              </w:rPr>
              <w:t xml:space="preserve"> </w:t>
            </w:r>
            <w:r w:rsidRPr="003D570B">
              <w:rPr>
                <w:rFonts w:ascii="Times New Roman" w:hAnsi="Times New Roman" w:cs="Times New Roman"/>
                <w:bCs/>
                <w:sz w:val="20"/>
                <w:szCs w:val="20"/>
                <w:lang w:val="ro-RO"/>
              </w:rPr>
              <w:t>stabilește competențele Ministerului Finanțelor în materia controlului financiar, iar excluderea autorităților publice autonome din acest mecanism ar necesita modificarea legislației financiare, nu doar a Regulamentului de achiziții.</w:t>
            </w:r>
          </w:p>
          <w:p w14:paraId="7E2E5BBE" w14:textId="6AAA9FA5"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lastRenderedPageBreak/>
              <w:t>Independența administrativă a autorităților publice autonome nu implică și exonerarea de la mecanismele de control financiar instituite de lege, ci doar autonomia în exercitarea atribuțiilor specifice domeniului lor de activitate.</w:t>
            </w:r>
          </w:p>
          <w:p w14:paraId="53827378" w14:textId="777777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IV. Cu privirea la precizarea „cazurilor care se încadrează în categoria situațiilor temeinic justificate și circumstanțelor excepționale"</w:t>
            </w:r>
          </w:p>
          <w:p w14:paraId="38F9C0B3" w14:textId="27B6098C" w:rsidR="003D570B" w:rsidRPr="003D570B" w:rsidRDefault="00284B25" w:rsidP="003D570B">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Nu se acceptă</w:t>
            </w:r>
          </w:p>
          <w:p w14:paraId="3AEBD2D7" w14:textId="5F322C5A"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Propunerea recomandă specificarea cazurilor care se încadrează în categoria „situațiilor temeinic justificate și circumstanțelor excepționale</w:t>
            </w:r>
            <w:r w:rsidR="00760BD0">
              <w:rPr>
                <w:rFonts w:ascii="Times New Roman" w:hAnsi="Times New Roman" w:cs="Times New Roman"/>
                <w:bCs/>
                <w:sz w:val="20"/>
                <w:szCs w:val="20"/>
                <w:lang w:val="ro-RO"/>
              </w:rPr>
              <w:t>”</w:t>
            </w:r>
            <w:r w:rsidRPr="003D570B">
              <w:rPr>
                <w:rFonts w:ascii="Times New Roman" w:hAnsi="Times New Roman" w:cs="Times New Roman"/>
                <w:bCs/>
                <w:sz w:val="20"/>
                <w:szCs w:val="20"/>
                <w:lang w:val="ro-RO"/>
              </w:rPr>
              <w:t xml:space="preserve"> fie în proiectul de act normativ, fie în Nota de fundamentare. Această recomandare nu poate fi primită din următoarele considerente:</w:t>
            </w:r>
          </w:p>
          <w:p w14:paraId="0404459F" w14:textId="283DE644" w:rsidR="003D570B" w:rsidRPr="003D570B" w:rsidRDefault="003D570B" w:rsidP="003D570B">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3D570B">
              <w:rPr>
                <w:rFonts w:ascii="Times New Roman" w:hAnsi="Times New Roman" w:cs="Times New Roman"/>
                <w:bCs/>
                <w:sz w:val="20"/>
                <w:szCs w:val="20"/>
                <w:lang w:val="ro-RO"/>
              </w:rPr>
              <w:t>Enumerarea limitativă a situațiilor excepționale ar rigidi</w:t>
            </w:r>
            <w:r>
              <w:rPr>
                <w:rFonts w:ascii="Times New Roman" w:hAnsi="Times New Roman" w:cs="Times New Roman"/>
                <w:bCs/>
                <w:sz w:val="20"/>
                <w:szCs w:val="20"/>
                <w:lang w:val="ro-RO"/>
              </w:rPr>
              <w:t>za</w:t>
            </w:r>
            <w:r w:rsidRPr="003D570B">
              <w:rPr>
                <w:rFonts w:ascii="Times New Roman" w:hAnsi="Times New Roman" w:cs="Times New Roman"/>
                <w:bCs/>
                <w:sz w:val="20"/>
                <w:szCs w:val="20"/>
                <w:lang w:val="ro-RO"/>
              </w:rPr>
              <w:t xml:space="preserve"> excepția și ar împiedica aplicarea acesteia în situații neprevăzute, dar legitim justificate, ceea ce ar contraveni principiului flexibilității necesar în gestiunea delegărilor peste hotare;</w:t>
            </w:r>
          </w:p>
          <w:p w14:paraId="32EF8B20" w14:textId="63EF4AEE" w:rsidR="003D570B" w:rsidRPr="003D570B" w:rsidRDefault="003D570B" w:rsidP="003D570B">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3D570B">
              <w:rPr>
                <w:rFonts w:ascii="Times New Roman" w:hAnsi="Times New Roman" w:cs="Times New Roman"/>
                <w:bCs/>
                <w:sz w:val="20"/>
                <w:szCs w:val="20"/>
                <w:lang w:val="ro-RO"/>
              </w:rPr>
              <w:t>Notă de fundamentare nu are valoare normativă obligatorie, iar o precizare acolo nu ar avea efect juridic, ci doar informativ, ceea ce nu ar asigura „claritatea și predictibilitatea</w:t>
            </w:r>
            <w:r>
              <w:rPr>
                <w:rFonts w:ascii="Times New Roman" w:hAnsi="Times New Roman" w:cs="Times New Roman"/>
                <w:bCs/>
                <w:sz w:val="20"/>
                <w:szCs w:val="20"/>
                <w:lang w:val="ro-RO"/>
              </w:rPr>
              <w:t>”</w:t>
            </w:r>
            <w:r w:rsidRPr="003D570B">
              <w:rPr>
                <w:rFonts w:ascii="Times New Roman" w:hAnsi="Times New Roman" w:cs="Times New Roman"/>
                <w:bCs/>
                <w:sz w:val="20"/>
                <w:szCs w:val="20"/>
                <w:lang w:val="ro-RO"/>
              </w:rPr>
              <w:t xml:space="preserve"> invocate de propunere;</w:t>
            </w:r>
          </w:p>
          <w:p w14:paraId="2AB92477" w14:textId="48286083" w:rsidR="003D570B" w:rsidRPr="003D570B" w:rsidRDefault="003D570B" w:rsidP="003D570B">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3D570B">
              <w:rPr>
                <w:rFonts w:ascii="Times New Roman" w:hAnsi="Times New Roman" w:cs="Times New Roman"/>
                <w:bCs/>
                <w:sz w:val="20"/>
                <w:szCs w:val="20"/>
                <w:lang w:val="ro-RO"/>
              </w:rPr>
              <w:t>Evaluarea „temeiniciei</w:t>
            </w:r>
            <w:r>
              <w:rPr>
                <w:rFonts w:ascii="Times New Roman" w:hAnsi="Times New Roman" w:cs="Times New Roman"/>
                <w:bCs/>
                <w:sz w:val="20"/>
                <w:szCs w:val="20"/>
                <w:lang w:val="ro-RO"/>
              </w:rPr>
              <w:t>”</w:t>
            </w:r>
            <w:r w:rsidRPr="003D570B">
              <w:rPr>
                <w:rFonts w:ascii="Times New Roman" w:hAnsi="Times New Roman" w:cs="Times New Roman"/>
                <w:bCs/>
                <w:sz w:val="20"/>
                <w:szCs w:val="20"/>
                <w:lang w:val="ro-RO"/>
              </w:rPr>
              <w:t xml:space="preserve"> justificării și a „excepționalității</w:t>
            </w:r>
            <w:r>
              <w:rPr>
                <w:rFonts w:ascii="Times New Roman" w:hAnsi="Times New Roman" w:cs="Times New Roman"/>
                <w:bCs/>
                <w:sz w:val="20"/>
                <w:szCs w:val="20"/>
                <w:lang w:val="ro-RO"/>
              </w:rPr>
              <w:t>”</w:t>
            </w:r>
            <w:r w:rsidRPr="003D570B">
              <w:rPr>
                <w:rFonts w:ascii="Times New Roman" w:hAnsi="Times New Roman" w:cs="Times New Roman"/>
                <w:bCs/>
                <w:sz w:val="20"/>
                <w:szCs w:val="20"/>
                <w:lang w:val="ro-RO"/>
              </w:rPr>
              <w:t xml:space="preserve"> circumstanțelor revine, prin forța legii, autorității contractante, care are obligația de a documenta și justifica fiecare decizie de achiziție în cadrul raportării către AAP (pct. 53). Mecanismul de control existent asigură deja verificarea ulterioară a legalității și oportunității achiziției;</w:t>
            </w:r>
          </w:p>
          <w:p w14:paraId="1BB8BAE8" w14:textId="606309C0" w:rsidR="003D570B" w:rsidRPr="003D570B" w:rsidRDefault="003D570B" w:rsidP="003D570B">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lastRenderedPageBreak/>
              <w:t xml:space="preserve">- </w:t>
            </w:r>
            <w:r w:rsidRPr="003D570B">
              <w:rPr>
                <w:rFonts w:ascii="Times New Roman" w:hAnsi="Times New Roman" w:cs="Times New Roman"/>
                <w:bCs/>
                <w:sz w:val="20"/>
                <w:szCs w:val="20"/>
                <w:lang w:val="ro-RO"/>
              </w:rPr>
              <w:t>Stabilirea unor criterii prea rigide ar putea fi interpretată restrictiv, împiedicând utilizarea mecanismului în situații care, deși nu se încadrează literal în enumerare, sunt în mod obiectiv justificate.</w:t>
            </w:r>
          </w:p>
          <w:p w14:paraId="47B6E14D" w14:textId="4AEDC1C1" w:rsidR="00BB18D5"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În concluzie, pct. 57</w:t>
            </w:r>
            <w:r>
              <w:rPr>
                <w:rFonts w:ascii="Times New Roman" w:hAnsi="Times New Roman" w:cs="Times New Roman"/>
                <w:bCs/>
                <w:sz w:val="20"/>
                <w:szCs w:val="20"/>
                <w:vertAlign w:val="superscript"/>
                <w:lang w:val="ro-RO"/>
              </w:rPr>
              <w:t>2</w:t>
            </w:r>
            <w:r w:rsidRPr="003D570B">
              <w:rPr>
                <w:rFonts w:ascii="Times New Roman" w:hAnsi="Times New Roman" w:cs="Times New Roman"/>
                <w:bCs/>
                <w:sz w:val="20"/>
                <w:szCs w:val="20"/>
                <w:lang w:val="ro-RO"/>
              </w:rPr>
              <w:t xml:space="preserve"> este corelat cu cadrul legislativ în vigoare și asigură un echilibru adecvat între flexibilitatea necesară achizițiilor în contextul delegărilor peste hotare și garanțiile de control financiar. Propunerea de modificare, în componentele sale principale, depășește cadrul normativ al Regulamentului, ar compromite mecanismele de control instituțional și ar necesita modificări ale legilor primare, care exced competenței Regulamentului de aplicare. Menținerea textului proiectului este necesară pentru asigurarea conformității cu legea primară, integrității mecanismelor de control financiar și proporționalității reglementării.</w:t>
            </w:r>
          </w:p>
        </w:tc>
      </w:tr>
      <w:tr w:rsidR="00BB18D5" w:rsidRPr="00760BD0" w14:paraId="737A82D4" w14:textId="77777777" w:rsidTr="00A919EA">
        <w:trPr>
          <w:trHeight w:val="416"/>
        </w:trPr>
        <w:tc>
          <w:tcPr>
            <w:tcW w:w="3397" w:type="dxa"/>
          </w:tcPr>
          <w:p w14:paraId="0E4ED529" w14:textId="68547130" w:rsidR="00BB18D5" w:rsidRPr="003D570B" w:rsidRDefault="003D570B" w:rsidP="00797C0D">
            <w:pPr>
              <w:tabs>
                <w:tab w:val="left" w:pos="8505"/>
              </w:tabs>
              <w:jc w:val="both"/>
              <w:rPr>
                <w:rFonts w:ascii="Times New Roman" w:hAnsi="Times New Roman" w:cs="Times New Roman"/>
                <w:b/>
                <w:sz w:val="20"/>
                <w:szCs w:val="20"/>
                <w:lang w:val="ro-RO"/>
              </w:rPr>
            </w:pPr>
            <w:r w:rsidRPr="00060388">
              <w:rPr>
                <w:rFonts w:ascii="Times New Roman" w:hAnsi="Times New Roman" w:cs="Times New Roman"/>
                <w:b/>
                <w:sz w:val="20"/>
                <w:szCs w:val="20"/>
                <w:lang w:val="it-IT"/>
              </w:rPr>
              <w:lastRenderedPageBreak/>
              <w:t>În contextul proiectului</w:t>
            </w:r>
            <w:r>
              <w:rPr>
                <w:rFonts w:ascii="Times New Roman" w:hAnsi="Times New Roman" w:cs="Times New Roman"/>
                <w:b/>
                <w:sz w:val="20"/>
                <w:szCs w:val="20"/>
                <w:lang w:val="it-IT"/>
              </w:rPr>
              <w:t xml:space="preserve"> </w:t>
            </w:r>
          </w:p>
        </w:tc>
        <w:tc>
          <w:tcPr>
            <w:tcW w:w="2977" w:type="dxa"/>
          </w:tcPr>
          <w:p w14:paraId="015446A3" w14:textId="77777777" w:rsidR="00BB18D5" w:rsidRPr="00154388" w:rsidRDefault="00BB18D5"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19268C4C" w14:textId="1DA51DEB" w:rsidR="00BB18D5" w:rsidRDefault="00BB18D5"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13</w:t>
            </w:r>
          </w:p>
        </w:tc>
        <w:tc>
          <w:tcPr>
            <w:tcW w:w="3402" w:type="dxa"/>
          </w:tcPr>
          <w:p w14:paraId="1084382D" w14:textId="6682E507" w:rsidR="00BB18D5" w:rsidRPr="003D570B" w:rsidRDefault="00BB18D5" w:rsidP="00BB18D5">
            <w:pPr>
              <w:jc w:val="both"/>
              <w:rPr>
                <w:rFonts w:ascii="Times New Roman" w:hAnsi="Times New Roman" w:cs="Times New Roman"/>
                <w:sz w:val="20"/>
                <w:szCs w:val="20"/>
                <w:lang w:val="ro-RO"/>
              </w:rPr>
            </w:pPr>
            <w:r w:rsidRPr="003D570B">
              <w:rPr>
                <w:rFonts w:ascii="Times New Roman" w:hAnsi="Times New Roman" w:cs="Times New Roman"/>
                <w:sz w:val="20"/>
                <w:szCs w:val="20"/>
                <w:lang w:val="ro-RO"/>
              </w:rPr>
              <w:t>La pct. 1.33 din proiectul hotărârii de Guvern, în contextul completării Regulamentului cu Anexa nr. 1</w:t>
            </w:r>
            <w:r w:rsidR="003D570B" w:rsidRPr="003D570B">
              <w:rPr>
                <w:rFonts w:ascii="Times New Roman" w:hAnsi="Times New Roman" w:cs="Times New Roman"/>
                <w:sz w:val="20"/>
                <w:szCs w:val="20"/>
                <w:vertAlign w:val="superscript"/>
                <w:lang w:val="ro-RO"/>
              </w:rPr>
              <w:t>1</w:t>
            </w:r>
            <w:r w:rsidRPr="003D570B">
              <w:rPr>
                <w:rFonts w:ascii="Times New Roman" w:hAnsi="Times New Roman" w:cs="Times New Roman"/>
                <w:sz w:val="20"/>
                <w:szCs w:val="20"/>
                <w:lang w:val="ro-RO"/>
              </w:rPr>
              <w:t>, recomandăm operarea următoarelor modificări:</w:t>
            </w:r>
          </w:p>
          <w:p w14:paraId="318C30EE" w14:textId="6F4AE489" w:rsidR="00BB18D5" w:rsidRPr="003D570B" w:rsidRDefault="00BB18D5" w:rsidP="00BB18D5">
            <w:pPr>
              <w:jc w:val="both"/>
              <w:rPr>
                <w:rFonts w:ascii="Times New Roman" w:hAnsi="Times New Roman" w:cs="Times New Roman"/>
                <w:sz w:val="20"/>
                <w:szCs w:val="20"/>
                <w:lang w:val="ro-RO"/>
              </w:rPr>
            </w:pPr>
            <w:r w:rsidRPr="003D570B">
              <w:rPr>
                <w:rFonts w:ascii="Times New Roman" w:hAnsi="Times New Roman" w:cs="Times New Roman"/>
                <w:sz w:val="20"/>
                <w:szCs w:val="20"/>
                <w:lang w:val="ro-RO"/>
              </w:rPr>
              <w:t>- La pct. 8 din Anunțul de participare pentru achiziția publică, după cuvântul „Cumpărătorul” se va completa cu textul „/beneficiarul”, iar textul „livrarea/prestarea următoarelor bunuri/servicii” se va substitui cu textul „livrarea/prestarea/executarea următoarelor bunuri/servicii/lucrări”;</w:t>
            </w:r>
          </w:p>
          <w:p w14:paraId="6200AB9D" w14:textId="16CA9150" w:rsidR="00BB18D5" w:rsidRPr="003D570B" w:rsidRDefault="00BB18D5" w:rsidP="00BB18D5">
            <w:pPr>
              <w:jc w:val="both"/>
              <w:rPr>
                <w:rFonts w:ascii="Times New Roman" w:hAnsi="Times New Roman" w:cs="Times New Roman"/>
                <w:sz w:val="20"/>
                <w:szCs w:val="20"/>
                <w:lang w:val="ro-RO"/>
              </w:rPr>
            </w:pPr>
            <w:r w:rsidRPr="003D570B">
              <w:rPr>
                <w:rFonts w:ascii="Times New Roman" w:hAnsi="Times New Roman" w:cs="Times New Roman"/>
                <w:sz w:val="20"/>
                <w:szCs w:val="20"/>
                <w:lang w:val="ro-RO"/>
              </w:rPr>
              <w:t>- La tabelul aferent pct. 8, menționăm că informațiile referitoare la unitatea de măsură; cantitatea și specificarea tehnică deplină solicitată, standardele de referință, se redau în Anexa 2</w:t>
            </w:r>
            <w:r w:rsidRPr="003D570B">
              <w:rPr>
                <w:rFonts w:ascii="Times New Roman" w:hAnsi="Times New Roman" w:cs="Times New Roman"/>
                <w:sz w:val="20"/>
                <w:szCs w:val="20"/>
                <w:vertAlign w:val="superscript"/>
                <w:lang w:val="ro-RO"/>
              </w:rPr>
              <w:t>1</w:t>
            </w:r>
            <w:r w:rsidRPr="003D570B">
              <w:rPr>
                <w:rFonts w:ascii="Times New Roman" w:hAnsi="Times New Roman" w:cs="Times New Roman"/>
                <w:sz w:val="20"/>
                <w:szCs w:val="20"/>
                <w:lang w:val="ro-RO"/>
              </w:rPr>
              <w:t xml:space="preserve">, respectiv, în vederea evitării dublărilor, </w:t>
            </w:r>
            <w:r w:rsidRPr="003D570B">
              <w:rPr>
                <w:rFonts w:ascii="Times New Roman" w:hAnsi="Times New Roman" w:cs="Times New Roman"/>
                <w:sz w:val="20"/>
                <w:szCs w:val="20"/>
                <w:lang w:val="ro-RO"/>
              </w:rPr>
              <w:lastRenderedPageBreak/>
              <w:t xml:space="preserve">recomandăm excluderea acestor secțiuni. În același context, cu referire la textul (lista pozițiilor din lot) din tabelul aferent pct. 8, recomandăm să fie incluse doar loturile, fără pozițiile din lot, care se indică în Propunerea financiară (Anexa </w:t>
            </w:r>
            <w:r w:rsidR="003D570B" w:rsidRPr="003D570B">
              <w:rPr>
                <w:rFonts w:ascii="Times New Roman" w:hAnsi="Times New Roman" w:cs="Times New Roman"/>
                <w:sz w:val="20"/>
                <w:szCs w:val="20"/>
                <w:lang w:val="ro-RO"/>
              </w:rPr>
              <w:t>2</w:t>
            </w:r>
            <w:r w:rsidR="003D570B" w:rsidRPr="003D570B">
              <w:rPr>
                <w:rFonts w:ascii="Times New Roman" w:hAnsi="Times New Roman" w:cs="Times New Roman"/>
                <w:sz w:val="20"/>
                <w:szCs w:val="20"/>
                <w:vertAlign w:val="superscript"/>
                <w:lang w:val="ro-RO"/>
              </w:rPr>
              <w:t>1</w:t>
            </w:r>
            <w:r w:rsidRPr="003D570B">
              <w:rPr>
                <w:rFonts w:ascii="Times New Roman" w:hAnsi="Times New Roman" w:cs="Times New Roman"/>
                <w:sz w:val="20"/>
                <w:szCs w:val="20"/>
                <w:lang w:val="ro-RO"/>
              </w:rPr>
              <w:t xml:space="preserve"> din proiect), întrucât cerințele de claritate nu justifică dublarea aceleiași informații;</w:t>
            </w:r>
          </w:p>
          <w:p w14:paraId="76E0F21C" w14:textId="3D555430" w:rsidR="00BB18D5" w:rsidRPr="003D570B" w:rsidRDefault="00BB18D5" w:rsidP="00BB18D5">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La pct. 18 din Anexă, recomandăm menționarea prevederilor acestuia în cuprinsul pct. 17, întrucât se referă la același lucru.</w:t>
            </w:r>
          </w:p>
        </w:tc>
        <w:tc>
          <w:tcPr>
            <w:tcW w:w="3436" w:type="dxa"/>
          </w:tcPr>
          <w:p w14:paraId="459419A8" w14:textId="77777777" w:rsidR="00BB18D5" w:rsidRDefault="003D570B" w:rsidP="00797C0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Se acceptǎ parțial</w:t>
            </w:r>
          </w:p>
          <w:p w14:paraId="68CF2DC4" w14:textId="15C8FC18" w:rsidR="003D570B" w:rsidRDefault="003D570B" w:rsidP="00797C0D">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3D570B">
              <w:rPr>
                <w:rFonts w:ascii="Times New Roman" w:hAnsi="Times New Roman" w:cs="Times New Roman"/>
                <w:sz w:val="20"/>
                <w:szCs w:val="20"/>
                <w:lang w:val="ro-RO"/>
              </w:rPr>
              <w:t xml:space="preserve">La pct. 8 din Anunțul de participare pentru achiziția publică, după cuvântul „Cumpărătorul” </w:t>
            </w:r>
            <w:r>
              <w:rPr>
                <w:rFonts w:ascii="Times New Roman" w:hAnsi="Times New Roman" w:cs="Times New Roman"/>
                <w:sz w:val="20"/>
                <w:szCs w:val="20"/>
                <w:lang w:val="ro-RO"/>
              </w:rPr>
              <w:t>a fost</w:t>
            </w:r>
            <w:r w:rsidRPr="003D570B">
              <w:rPr>
                <w:rFonts w:ascii="Times New Roman" w:hAnsi="Times New Roman" w:cs="Times New Roman"/>
                <w:sz w:val="20"/>
                <w:szCs w:val="20"/>
                <w:lang w:val="ro-RO"/>
              </w:rPr>
              <w:t xml:space="preserve"> completa</w:t>
            </w:r>
            <w:r>
              <w:rPr>
                <w:rFonts w:ascii="Times New Roman" w:hAnsi="Times New Roman" w:cs="Times New Roman"/>
                <w:sz w:val="20"/>
                <w:szCs w:val="20"/>
                <w:lang w:val="ro-RO"/>
              </w:rPr>
              <w:t>t</w:t>
            </w:r>
            <w:r w:rsidRPr="003D570B">
              <w:rPr>
                <w:rFonts w:ascii="Times New Roman" w:hAnsi="Times New Roman" w:cs="Times New Roman"/>
                <w:sz w:val="20"/>
                <w:szCs w:val="20"/>
                <w:lang w:val="ro-RO"/>
              </w:rPr>
              <w:t xml:space="preserve"> cu textul „/beneficiarul”, iar textul „livrarea/prestarea următoarelor bunuri/servicii” </w:t>
            </w:r>
            <w:r>
              <w:rPr>
                <w:rFonts w:ascii="Times New Roman" w:hAnsi="Times New Roman" w:cs="Times New Roman"/>
                <w:sz w:val="20"/>
                <w:szCs w:val="20"/>
                <w:lang w:val="ro-RO"/>
              </w:rPr>
              <w:t>a fost</w:t>
            </w:r>
            <w:r w:rsidRPr="003D570B">
              <w:rPr>
                <w:rFonts w:ascii="Times New Roman" w:hAnsi="Times New Roman" w:cs="Times New Roman"/>
                <w:sz w:val="20"/>
                <w:szCs w:val="20"/>
                <w:lang w:val="ro-RO"/>
              </w:rPr>
              <w:t xml:space="preserve"> substitui</w:t>
            </w:r>
            <w:r>
              <w:rPr>
                <w:rFonts w:ascii="Times New Roman" w:hAnsi="Times New Roman" w:cs="Times New Roman"/>
                <w:sz w:val="20"/>
                <w:szCs w:val="20"/>
                <w:lang w:val="ro-RO"/>
              </w:rPr>
              <w:t>t</w:t>
            </w:r>
            <w:r w:rsidRPr="003D570B">
              <w:rPr>
                <w:rFonts w:ascii="Times New Roman" w:hAnsi="Times New Roman" w:cs="Times New Roman"/>
                <w:sz w:val="20"/>
                <w:szCs w:val="20"/>
                <w:lang w:val="ro-RO"/>
              </w:rPr>
              <w:t xml:space="preserve"> cu textul „livrarea/prestarea/executarea următoarelor bunuri/servicii/lucrări”;</w:t>
            </w:r>
          </w:p>
          <w:p w14:paraId="093CBDDF" w14:textId="48E506A6"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 Asupra recomandării de a exclude informațiile despre unitatea de măsură, cantitate și specificație tehnică din tabelul pct. 8, și de a exclude „lista pozițiilor din lot”.</w:t>
            </w:r>
          </w:p>
          <w:p w14:paraId="7A4CD712" w14:textId="2080D895"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 xml:space="preserve">Principiul transparenței și al accesibilității echivalente: Informațiile esențiale despre ce se achiziționează (ce, în ce cantitate, cu ce caracteristici tehnice) trebuie să fie prezentate direct </w:t>
            </w:r>
            <w:r w:rsidRPr="003D570B">
              <w:rPr>
                <w:rFonts w:ascii="Times New Roman" w:hAnsi="Times New Roman" w:cs="Times New Roman"/>
                <w:bCs/>
                <w:sz w:val="20"/>
                <w:szCs w:val="20"/>
                <w:lang w:val="ro-RO"/>
              </w:rPr>
              <w:lastRenderedPageBreak/>
              <w:t xml:space="preserve">în anunțul de participare, care este documentul principal de informare a operatorilor economici. Acesta este un principiu fundamental al dreptului achizițiilor publice (art. </w:t>
            </w:r>
            <w:r>
              <w:rPr>
                <w:rFonts w:ascii="Times New Roman" w:hAnsi="Times New Roman" w:cs="Times New Roman"/>
                <w:bCs/>
                <w:sz w:val="20"/>
                <w:szCs w:val="20"/>
                <w:lang w:val="ro-RO"/>
              </w:rPr>
              <w:t>17</w:t>
            </w:r>
            <w:r w:rsidRPr="003D570B">
              <w:rPr>
                <w:rFonts w:ascii="Times New Roman" w:hAnsi="Times New Roman" w:cs="Times New Roman"/>
                <w:bCs/>
                <w:sz w:val="20"/>
                <w:szCs w:val="20"/>
                <w:lang w:val="ro-RO"/>
              </w:rPr>
              <w:t xml:space="preserve"> din Legea 325/2025 – principiul transparenței). Mutarea acestor date într-o anexă separată (Anexa 2</w:t>
            </w:r>
            <w:r w:rsidRPr="003D570B">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xml:space="preserve"> – Propunerea financiară) este inadmisibilă.</w:t>
            </w:r>
          </w:p>
          <w:p w14:paraId="70E3BD2E" w14:textId="586EAF58"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Natura documentelor: Anexa 2</w:t>
            </w:r>
            <w:r w:rsidRPr="003D570B">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xml:space="preserve"> este „Propunerea financiară”. Ea este completată de ofertanți și conține prețurile, oferta financiară. Nu este locul pentru specificațiile tehnice sau cantitățile, care sunt stabilite de autoritatea contractantă și fac parte din documentația de atribuire. Propunerea confundă specificațiile tehnice ale autorității contractante (care trebuie publicate în anunț sau în Caietul de sarcini) cu propunerea financiară a ofertantului.</w:t>
            </w:r>
          </w:p>
          <w:p w14:paraId="6BDD8046" w14:textId="07200DBD"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 Risc de fragmentare a informației și de discriminare: Dacă informațiile tehnice și cantitative nu sunt în anunț, un operator economic ar trebui să solicite în mod separat documentația de atribuire (Caietul de sarcini) pentru a le cunoaște. Aceasta îngreunează accesul, în special pentru IMM-uri sau operatori din statele membre cu resurse limitate, și poate crea un avantaj nelegitim pentru cei care au acces intern la informații. Anunțul trebuie să fie autosuficient pentru a permite operatorilor să decidă dacă îndeplinesc cerințele.</w:t>
            </w:r>
          </w:p>
          <w:p w14:paraId="2B8EF34B" w14:textId="6461042A"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 xml:space="preserve">- Claritatea și previzibilitatea: Mențiunea „(lista pozițiilor din lot)” este o indicatie utilă că detaliile se găsesc într-un alt document (Caietul de sarcini). Eliminarea ei ar face textul mai puțin clar. Soluția corectă este menținerea referinței și asigurarea că Caietul de </w:t>
            </w:r>
            <w:r w:rsidRPr="003D570B">
              <w:rPr>
                <w:rFonts w:ascii="Times New Roman" w:hAnsi="Times New Roman" w:cs="Times New Roman"/>
                <w:bCs/>
                <w:sz w:val="20"/>
                <w:szCs w:val="20"/>
                <w:lang w:val="ro-RO"/>
              </w:rPr>
              <w:lastRenderedPageBreak/>
              <w:t>sarcini este publicat și accesibil odată cu anunțul în SI „RSAP”.</w:t>
            </w:r>
          </w:p>
          <w:p w14:paraId="26185372" w14:textId="34B464FB"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Consecința: Propunerea de a exclude aceste secțiuni transformă anunțul într-un document inutil, lipsit de elementele esențiale care definesc contractul. Este contrară art. 4</w:t>
            </w:r>
            <w:r>
              <w:rPr>
                <w:rFonts w:ascii="Times New Roman" w:hAnsi="Times New Roman" w:cs="Times New Roman"/>
                <w:bCs/>
                <w:sz w:val="20"/>
                <w:szCs w:val="20"/>
                <w:lang w:val="ro-RO"/>
              </w:rPr>
              <w:t>9</w:t>
            </w:r>
            <w:r w:rsidRPr="003D570B">
              <w:rPr>
                <w:rFonts w:ascii="Times New Roman" w:hAnsi="Times New Roman" w:cs="Times New Roman"/>
                <w:bCs/>
                <w:sz w:val="20"/>
                <w:szCs w:val="20"/>
                <w:lang w:val="ro-RO"/>
              </w:rPr>
              <w:t xml:space="preserve"> din Legea 325/2025 care stabilește conținutul minim al anunțului de participare.</w:t>
            </w:r>
          </w:p>
          <w:p w14:paraId="31C7EDAD" w14:textId="3A887A95" w:rsidR="003D570B" w:rsidRPr="003D570B" w:rsidRDefault="003D570B" w:rsidP="003D570B">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3D570B">
              <w:rPr>
                <w:rFonts w:ascii="Times New Roman" w:hAnsi="Times New Roman" w:cs="Times New Roman"/>
                <w:bCs/>
                <w:sz w:val="20"/>
                <w:szCs w:val="20"/>
                <w:lang w:val="ro-RO"/>
              </w:rPr>
              <w:t>Asupra recomandării de a integra pct. 18 în pct. 17.</w:t>
            </w:r>
          </w:p>
          <w:p w14:paraId="5DF5C53C" w14:textId="777777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Structura logică distinctă: Punctul 17 se referă la „Criteriul de evaluare aplicat pentru atribuirea contractului” (ex: oferta cea mai avantajoasă din punct de vedere economic). Punctul 18 detaliază factorii, ponderile și formula care alcătuiesc acel criteriu. Acestea sunt două etape/logice diferite: (1) stabilirea criteriului, (2) detalierea componentelor sale. Separarea lor este o practică standard în formularele de anunț (precum și în legislația UE) pentru a asigura o prezentare clară și structurată.</w:t>
            </w:r>
          </w:p>
          <w:p w14:paraId="389C8243" w14:textId="6DD853A4"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 Risc de supraîncărcare și confuzie: Integrarea lor ar face ca punctul 17 să devină prea lung și aglomerat, ierarhia informației ar fi afectată. Este mai ușor pentru un operator economic să identifice prima ce este criteriul principal, apoi să vadă detaliile acestuia într-un punct separat.</w:t>
            </w:r>
          </w:p>
          <w:p w14:paraId="673E1AA8" w14:textId="11BBC898"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 Conformitate cu modelul standard</w:t>
            </w:r>
            <w:r>
              <w:rPr>
                <w:rFonts w:ascii="Times New Roman" w:hAnsi="Times New Roman" w:cs="Times New Roman"/>
                <w:bCs/>
                <w:sz w:val="20"/>
                <w:szCs w:val="20"/>
                <w:lang w:val="ro-RO"/>
              </w:rPr>
              <w:t xml:space="preserve"> (conform HG 610/2025)</w:t>
            </w:r>
            <w:r w:rsidRPr="003D570B">
              <w:rPr>
                <w:rFonts w:ascii="Times New Roman" w:hAnsi="Times New Roman" w:cs="Times New Roman"/>
                <w:bCs/>
                <w:sz w:val="20"/>
                <w:szCs w:val="20"/>
                <w:lang w:val="ro-RO"/>
              </w:rPr>
              <w:t>: Formularul propus urmează structura classică a anunțurilor de participare (precedat de criteriile de calificare, apoi criteriul de atribuire și detaliile sale). Modificarea ar îndepărta acest model recunoscut și ar putea genera dificultăți în procesarea automată a anunțurilor în sistemele informatice.</w:t>
            </w:r>
          </w:p>
          <w:p w14:paraId="54918276" w14:textId="777777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Concluzie:</w:t>
            </w:r>
          </w:p>
          <w:p w14:paraId="4EDF08F8" w14:textId="5550A55F"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lastRenderedPageBreak/>
              <w:t>O parte din propunerea de modificare a Anexei nr. 1</w:t>
            </w:r>
            <w:r w:rsidRPr="003D570B">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xml:space="preserve"> este neacceptabilă din următoarele motive:</w:t>
            </w:r>
          </w:p>
          <w:p w14:paraId="768844DB" w14:textId="1CBEFDB2"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Excluderea coloanelor cu unitatea de măsură, cantitatea și specificația tehnică din anunț este flagrant contrară principiului transparenței și a accesibilității echivalente. Aceste date sunt esențiale și trebuie să fie prezentate în anunț sau într-un document la care se face referire expresă și care este publicat simultan (Caietul de sarcini). Propunerea de a le muta în „Propunerea financiară” (Anexa 2</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este o confuzie gravă între specificațiile autorității contractante și oferta financiară a ofertantului.</w:t>
            </w:r>
          </w:p>
          <w:p w14:paraId="64C67D5E" w14:textId="777777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Integrarea pct. 18 în pct. 17 ar afecta claritatea structurală a anunțului, încălcând practica standardă și logica ierarhică a prezentării informațiilor.</w:t>
            </w:r>
          </w:p>
          <w:p w14:paraId="63261618" w14:textId="7E71C94D"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Anexa nr. 1</w:t>
            </w:r>
            <w:r>
              <w:rPr>
                <w:rFonts w:ascii="Times New Roman" w:hAnsi="Times New Roman" w:cs="Times New Roman"/>
                <w:bCs/>
                <w:sz w:val="20"/>
                <w:szCs w:val="20"/>
                <w:vertAlign w:val="superscript"/>
                <w:lang w:val="ro-RO"/>
              </w:rPr>
              <w:t>1</w:t>
            </w:r>
            <w:r w:rsidRPr="003D570B">
              <w:rPr>
                <w:rFonts w:ascii="Times New Roman" w:hAnsi="Times New Roman" w:cs="Times New Roman"/>
                <w:bCs/>
                <w:sz w:val="20"/>
                <w:szCs w:val="20"/>
                <w:lang w:val="ro-RO"/>
              </w:rPr>
              <w:t xml:space="preserve"> se menține în forma proiectului, care asigură:</w:t>
            </w:r>
            <w:r>
              <w:rPr>
                <w:rFonts w:ascii="Times New Roman" w:hAnsi="Times New Roman" w:cs="Times New Roman"/>
                <w:bCs/>
                <w:sz w:val="20"/>
                <w:szCs w:val="20"/>
                <w:lang w:val="ro-RO"/>
              </w:rPr>
              <w:t xml:space="preserve"> </w:t>
            </w:r>
          </w:p>
          <w:p w14:paraId="3ACE9061" w14:textId="777777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Transparența integrală (toate informațiile esențiale despre obiectul contractului sunt în anunț sau în documentația la care se face referire).</w:t>
            </w:r>
          </w:p>
          <w:p w14:paraId="2EB511D9" w14:textId="55191B68"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Structura logică (separarea criteriului de evaluare de detaliile sale componente).</w:t>
            </w:r>
          </w:p>
        </w:tc>
      </w:tr>
      <w:tr w:rsidR="00BB18D5" w:rsidRPr="00760BD0" w14:paraId="73DEE82E" w14:textId="77777777" w:rsidTr="00A919EA">
        <w:trPr>
          <w:trHeight w:val="416"/>
        </w:trPr>
        <w:tc>
          <w:tcPr>
            <w:tcW w:w="3397" w:type="dxa"/>
          </w:tcPr>
          <w:p w14:paraId="11F3B2A7" w14:textId="6AACF016" w:rsidR="00BB18D5" w:rsidRPr="003D570B" w:rsidRDefault="003D570B" w:rsidP="00797C0D">
            <w:pPr>
              <w:tabs>
                <w:tab w:val="left" w:pos="8505"/>
              </w:tabs>
              <w:jc w:val="both"/>
              <w:rPr>
                <w:rFonts w:ascii="Times New Roman" w:hAnsi="Times New Roman" w:cs="Times New Roman"/>
                <w:b/>
                <w:sz w:val="20"/>
                <w:szCs w:val="20"/>
                <w:lang w:val="ro-RO"/>
              </w:rPr>
            </w:pPr>
            <w:r w:rsidRPr="00CA6E1F">
              <w:rPr>
                <w:rFonts w:ascii="Times New Roman" w:hAnsi="Times New Roman" w:cs="Times New Roman"/>
                <w:b/>
                <w:sz w:val="20"/>
                <w:szCs w:val="20"/>
                <w:lang w:val="ro-RO"/>
              </w:rPr>
              <w:lastRenderedPageBreak/>
              <w:t xml:space="preserve">2. </w:t>
            </w:r>
            <w:r w:rsidRPr="00CA6E1F">
              <w:rPr>
                <w:rFonts w:ascii="Times New Roman" w:hAnsi="Times New Roman" w:cs="Times New Roman"/>
                <w:sz w:val="20"/>
                <w:szCs w:val="20"/>
                <w:lang w:val="ro-RO"/>
              </w:rPr>
              <w:t>Prezenta hotărâre intră în vigoare la 1 ianuarie 2027, cu excepția punctelor 8), 9) și 29) care vor intra în vigoare la data publicării în Monitorul Oficial al Republicii Moldova.</w:t>
            </w:r>
          </w:p>
        </w:tc>
        <w:tc>
          <w:tcPr>
            <w:tcW w:w="2977" w:type="dxa"/>
          </w:tcPr>
          <w:p w14:paraId="4D196D22" w14:textId="77777777" w:rsidR="00BB18D5" w:rsidRPr="00154388" w:rsidRDefault="00BB18D5"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637CA198" w14:textId="4E4189E5" w:rsidR="00BB18D5" w:rsidRDefault="00BB18D5"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14</w:t>
            </w:r>
          </w:p>
        </w:tc>
        <w:tc>
          <w:tcPr>
            <w:tcW w:w="3402" w:type="dxa"/>
          </w:tcPr>
          <w:p w14:paraId="3F5021CE" w14:textId="0AC9E889" w:rsidR="00BB18D5" w:rsidRPr="003D570B" w:rsidRDefault="00BB18D5" w:rsidP="00BB18D5">
            <w:pPr>
              <w:jc w:val="both"/>
              <w:rPr>
                <w:rFonts w:ascii="Times New Roman" w:hAnsi="Times New Roman" w:cs="Times New Roman"/>
                <w:sz w:val="20"/>
                <w:szCs w:val="20"/>
                <w:lang w:val="ro-RO"/>
              </w:rPr>
            </w:pPr>
            <w:r w:rsidRPr="003D570B">
              <w:rPr>
                <w:rFonts w:ascii="Times New Roman" w:hAnsi="Times New Roman" w:cs="Times New Roman"/>
                <w:sz w:val="20"/>
                <w:szCs w:val="20"/>
                <w:lang w:val="ro-RO"/>
              </w:rPr>
              <w:t>La punctul 2 din proiectul hotărârii de Guvern recomandăm revizuirea trimiterilor la pct. 8, 9 și 29, în condițiile în care acestea nu se regăsesc în proiectul de act normativ. Totodată, reieșind din relevanța actuală a prevederii de la pct. 1.9 din proiectul hotărârii de Guvern, recomandăm menționarea expresă a intrării în vigoare a acesteia la data publicării în Monitorul Oficial.</w:t>
            </w:r>
          </w:p>
        </w:tc>
        <w:tc>
          <w:tcPr>
            <w:tcW w:w="3436" w:type="dxa"/>
          </w:tcPr>
          <w:p w14:paraId="2D980660" w14:textId="77777777" w:rsidR="00BB18D5" w:rsidRDefault="003D570B" w:rsidP="00797C0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acceptǎ</w:t>
            </w:r>
          </w:p>
          <w:p w14:paraId="002DB0A9" w14:textId="7C6397F1" w:rsidR="003D570B" w:rsidRPr="003D570B" w:rsidRDefault="003D570B" w:rsidP="00797C0D">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Au fost operate modificǎrile propuse.</w:t>
            </w:r>
          </w:p>
        </w:tc>
      </w:tr>
      <w:tr w:rsidR="00BB18D5" w:rsidRPr="00760BD0" w14:paraId="21F5BFEB" w14:textId="77777777" w:rsidTr="00A919EA">
        <w:trPr>
          <w:trHeight w:val="416"/>
        </w:trPr>
        <w:tc>
          <w:tcPr>
            <w:tcW w:w="3397" w:type="dxa"/>
          </w:tcPr>
          <w:p w14:paraId="61F5F6FF" w14:textId="4CE4A2BA" w:rsidR="00BB18D5" w:rsidRPr="003D570B" w:rsidRDefault="003D570B" w:rsidP="00797C0D">
            <w:pPr>
              <w:tabs>
                <w:tab w:val="left" w:pos="8505"/>
              </w:tabs>
              <w:jc w:val="both"/>
              <w:rPr>
                <w:rFonts w:ascii="Times New Roman" w:hAnsi="Times New Roman" w:cs="Times New Roman"/>
                <w:b/>
                <w:sz w:val="20"/>
                <w:szCs w:val="20"/>
                <w:lang w:val="ro-RO"/>
              </w:rPr>
            </w:pPr>
            <w:r w:rsidRPr="00060388">
              <w:rPr>
                <w:rFonts w:ascii="Times New Roman" w:hAnsi="Times New Roman" w:cs="Times New Roman"/>
                <w:b/>
                <w:sz w:val="20"/>
                <w:szCs w:val="20"/>
                <w:lang w:val="it-IT"/>
              </w:rPr>
              <w:t>În contextul proiectului</w:t>
            </w:r>
          </w:p>
        </w:tc>
        <w:tc>
          <w:tcPr>
            <w:tcW w:w="2977" w:type="dxa"/>
          </w:tcPr>
          <w:p w14:paraId="34118149" w14:textId="77777777" w:rsidR="00BB18D5" w:rsidRPr="00154388" w:rsidRDefault="00BB18D5"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1E998F89" w14:textId="76E24AF7" w:rsidR="00BB18D5" w:rsidRDefault="00BB18D5"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15</w:t>
            </w:r>
          </w:p>
        </w:tc>
        <w:tc>
          <w:tcPr>
            <w:tcW w:w="3402" w:type="dxa"/>
          </w:tcPr>
          <w:p w14:paraId="74D78D61" w14:textId="77777777" w:rsidR="00BB18D5" w:rsidRPr="003D570B" w:rsidRDefault="00BB18D5" w:rsidP="00BB18D5">
            <w:pPr>
              <w:jc w:val="both"/>
              <w:rPr>
                <w:rFonts w:ascii="Times New Roman" w:hAnsi="Times New Roman" w:cs="Times New Roman"/>
                <w:sz w:val="20"/>
                <w:szCs w:val="20"/>
                <w:lang w:val="ro-RO"/>
              </w:rPr>
            </w:pPr>
            <w:r w:rsidRPr="003D570B">
              <w:rPr>
                <w:rFonts w:ascii="Times New Roman" w:hAnsi="Times New Roman" w:cs="Times New Roman"/>
                <w:b/>
                <w:bCs/>
                <w:sz w:val="20"/>
                <w:szCs w:val="20"/>
                <w:lang w:val="ro-RO"/>
              </w:rPr>
              <w:t>Adițional</w:t>
            </w:r>
            <w:r w:rsidRPr="003D570B">
              <w:rPr>
                <w:rFonts w:ascii="Times New Roman" w:hAnsi="Times New Roman" w:cs="Times New Roman"/>
                <w:sz w:val="20"/>
                <w:szCs w:val="20"/>
                <w:lang w:val="ro-RO"/>
              </w:rPr>
              <w:t xml:space="preserve">, luând în considerare faptul că proiectul de act normativ este elaborat în vederea punerii în aplicare a </w:t>
            </w:r>
            <w:r w:rsidRPr="003D570B">
              <w:rPr>
                <w:rFonts w:ascii="Times New Roman" w:hAnsi="Times New Roman" w:cs="Times New Roman"/>
                <w:sz w:val="20"/>
                <w:szCs w:val="20"/>
                <w:lang w:val="ro-RO"/>
              </w:rPr>
              <w:lastRenderedPageBreak/>
              <w:t>prevederilor Legii nr. 325/2025, recomandăm examinarea oportunității modificării și a altor prevederi din Regulamentul în vigoare, în vederea clarificării următoarelor aspecte:</w:t>
            </w:r>
          </w:p>
          <w:p w14:paraId="739E8841" w14:textId="77777777" w:rsidR="00BB18D5" w:rsidRPr="003D570B" w:rsidRDefault="00BB18D5" w:rsidP="00BB18D5">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-Având în vedere prevederile pct. 57</w:t>
            </w:r>
            <w:r w:rsidRPr="003D570B">
              <w:rPr>
                <w:rFonts w:ascii="Times New Roman" w:hAnsi="Times New Roman" w:cs="Times New Roman"/>
                <w:sz w:val="20"/>
                <w:szCs w:val="20"/>
                <w:vertAlign w:val="superscript"/>
                <w:lang w:val="it-IT"/>
              </w:rPr>
              <w:t>1</w:t>
            </w:r>
            <w:r w:rsidRPr="003D570B">
              <w:rPr>
                <w:rFonts w:ascii="Times New Roman" w:hAnsi="Times New Roman" w:cs="Times New Roman"/>
                <w:sz w:val="20"/>
                <w:szCs w:val="20"/>
                <w:lang w:val="it-IT"/>
              </w:rPr>
              <w:t xml:space="preserve"> propus spre completare, recomandăm inserarea în cuprinsul pct. 4 din Regulament a unei trimiteri la pct. 14 sbpct. 9) și 10);</w:t>
            </w:r>
          </w:p>
          <w:p w14:paraId="3C7098A4" w14:textId="44D82831" w:rsidR="00BB18D5" w:rsidRPr="003D570B" w:rsidRDefault="007B279D" w:rsidP="00BB18D5">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w:t>
            </w:r>
            <w:r w:rsidR="00BB18D5" w:rsidRPr="003D570B">
              <w:rPr>
                <w:rFonts w:ascii="Times New Roman" w:hAnsi="Times New Roman" w:cs="Times New Roman"/>
                <w:sz w:val="20"/>
                <w:szCs w:val="20"/>
                <w:lang w:val="it-IT"/>
              </w:rPr>
              <w:t>Aplicabilitatea principiilor prevăzute la pct. 8 și 9 din Regulamentul în vigoare în raport cu achizițiile în baza facturii de plată;</w:t>
            </w:r>
          </w:p>
          <w:p w14:paraId="152F5E4E" w14:textId="77777777" w:rsidR="00BB18D5" w:rsidRPr="00087168" w:rsidRDefault="007B279D" w:rsidP="00BB18D5">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w:t>
            </w:r>
            <w:r w:rsidR="00BB18D5" w:rsidRPr="003D570B">
              <w:rPr>
                <w:rFonts w:ascii="Times New Roman" w:hAnsi="Times New Roman" w:cs="Times New Roman"/>
                <w:sz w:val="20"/>
                <w:szCs w:val="20"/>
                <w:lang w:val="it-IT"/>
              </w:rPr>
              <w:t xml:space="preserve">Oportunitatea definirii contractelor directe și/sau a achizițiilor directe, nefiind clar modul de aplicare a principiilor enunțate la pct. 8 din Regulamentul în vigoare în contextul </w:t>
            </w:r>
            <w:r w:rsidR="00BB18D5" w:rsidRPr="00087168">
              <w:rPr>
                <w:rFonts w:ascii="Times New Roman" w:hAnsi="Times New Roman" w:cs="Times New Roman"/>
                <w:sz w:val="20"/>
                <w:szCs w:val="20"/>
                <w:lang w:val="it-IT"/>
              </w:rPr>
              <w:t>contractării directă a unui operator economic;</w:t>
            </w:r>
          </w:p>
          <w:p w14:paraId="1187CBDD" w14:textId="77777777" w:rsidR="007B279D" w:rsidRPr="003D570B" w:rsidRDefault="007B279D" w:rsidP="00BB18D5">
            <w:pPr>
              <w:jc w:val="both"/>
              <w:rPr>
                <w:rFonts w:ascii="Times New Roman" w:hAnsi="Times New Roman" w:cs="Times New Roman"/>
                <w:sz w:val="20"/>
                <w:szCs w:val="20"/>
                <w:lang w:val="it-IT"/>
              </w:rPr>
            </w:pPr>
            <w:r w:rsidRPr="00087168">
              <w:rPr>
                <w:rFonts w:ascii="Times New Roman" w:hAnsi="Times New Roman" w:cs="Times New Roman"/>
                <w:sz w:val="20"/>
                <w:szCs w:val="20"/>
              </w:rPr>
              <w:t xml:space="preserve">-La pct. 9 din Regulamentul în vigoare, în condițiile în care art. 23 alin. </w:t>
            </w:r>
            <w:r w:rsidRPr="00087168">
              <w:rPr>
                <w:rFonts w:ascii="Times New Roman" w:hAnsi="Times New Roman" w:cs="Times New Roman"/>
                <w:sz w:val="20"/>
                <w:szCs w:val="20"/>
                <w:lang w:val="it-IT"/>
              </w:rPr>
              <w:t>(3) din Legea nr. 325/2025 prevede că măsurile de prevenire, de identificare și de remediere a situațiilor de natură să determine apariția unui conflict de interese sunt stabilite în condițiile și potrivit procedurilor reglementate de Guvern, recomandăm examinarea oportunității stabilirii în cuprinsul proiectului de act normativ și a unor mențiuni specifice prevenirii și remedierii conflictelor de interese, inclusiv în vederea clarificării modului de respectare a acestor reguli în cazul achizițiilor directe;</w:t>
            </w:r>
          </w:p>
          <w:p w14:paraId="5DF3A043" w14:textId="06A593A9" w:rsidR="007B279D" w:rsidRPr="003D570B" w:rsidRDefault="007B279D" w:rsidP="007B279D">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xml:space="preserve">- Examinarea oportunității completării cu o prevedere nouă care ar permite autorității contractante atribuirea de contracte de achiziție directe cu clauza de prelungire tacită, spre exemplu în cazul achiziției pe domenii în care </w:t>
            </w:r>
            <w:r w:rsidRPr="003D570B">
              <w:rPr>
                <w:rFonts w:ascii="Times New Roman" w:hAnsi="Times New Roman" w:cs="Times New Roman"/>
                <w:sz w:val="20"/>
                <w:szCs w:val="20"/>
                <w:lang w:val="it-IT"/>
              </w:rPr>
              <w:lastRenderedPageBreak/>
              <w:t>întreruperea contractului poate afecta grav activitatea autorități (salubritate, pază, utilități, servicii IT critice) sau atunci când sumele anuale pe obiect de achiziție se încadrează în pragul achizițiilor directe sau al achizițiilor prin factură de plată. Această abordare ar duce la respectarea principiilor bunei administrări (prin asigurarea continuității serviciului), utilizării eficiente a fondurilor publice (prin reducerea frecvenței procedurilor și optimizarea costurilor administrative).</w:t>
            </w:r>
          </w:p>
          <w:p w14:paraId="5BD5B12A" w14:textId="56424D88" w:rsidR="007B279D" w:rsidRPr="003D570B" w:rsidRDefault="007B279D" w:rsidP="007B279D">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Clarificarea expresă a aplicabilității Capitolul II și III (în particular a pct. 52), respectiv dacă acestea se aplică tuturor procedurilor de achiziție sau doar celor cu publicare în SI „RSAP”;</w:t>
            </w:r>
          </w:p>
          <w:p w14:paraId="3634580A" w14:textId="0DA95704" w:rsidR="007B279D" w:rsidRPr="003D570B" w:rsidRDefault="007B279D" w:rsidP="007B279D">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La pct. 23 din Regulamentul în vigoare, cu referire la sintagma „cerințe proporționale de calificare”, atragem atenția că potrivit art.59 din Legea nr.325/2025, acestea au devenit criterii de selecție, respectiv intervine necesitatea corelării cu prevederile Legii nr. 345/2025;</w:t>
            </w:r>
          </w:p>
          <w:p w14:paraId="520EF719" w14:textId="77777777" w:rsidR="007B279D" w:rsidRPr="003D570B" w:rsidRDefault="007B279D" w:rsidP="007B279D">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La pct. 28 din Regulamentul în vigoare, recomandăm precizarea sensului prevederii, întrucât nu este clar dacă în privința achizițiilor care au ca obiect activități intelectuale aplicarea licitației electronice este obligatorie sau este interzisă;</w:t>
            </w:r>
          </w:p>
          <w:p w14:paraId="1DCE158E" w14:textId="3AC3B879" w:rsidR="007B279D" w:rsidRPr="003D570B" w:rsidRDefault="007B279D" w:rsidP="007B279D">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La pct. 43 din Regulamentul în vigoare, în condițiile modificărilor operate prin pct. 1.11 din proiectul hotărârii de Guvern, recomandăm substituirea cuvântului „divizate” cu cuvântul „împărțite”.</w:t>
            </w:r>
          </w:p>
          <w:p w14:paraId="3912C252" w14:textId="4A8FCF1A" w:rsidR="007B279D" w:rsidRPr="003D570B" w:rsidRDefault="007B279D" w:rsidP="007B279D">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La pct. 51 din Regulamentul în vigoare, recomandăm reexaminarea necesității sbpct. 2), întrucât acesta nu se regăsește în Legea nr. 325/2025;</w:t>
            </w:r>
          </w:p>
          <w:p w14:paraId="158C99BE" w14:textId="3B01C5C6" w:rsidR="007B279D" w:rsidRPr="003D570B" w:rsidRDefault="007B279D" w:rsidP="007B279D">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lastRenderedPageBreak/>
              <w:t>- La pct. 52 din Regulamentul în vigoare, referitor la sintagma „respinge oferta” menționăm că potrivit prevederilor Legii nr. 325/2025 intervine instituția excluderii ofertantului, ceea ce presupune necesitatea menționării că autoritatea contractantă exclude operatorul din procedură, în cazurile expres prevăzute de art. 58 din Legea nr. 325/2025;</w:t>
            </w:r>
          </w:p>
          <w:p w14:paraId="73D989F9" w14:textId="69A1CCD3" w:rsidR="007B279D" w:rsidRPr="003D570B" w:rsidRDefault="007B279D" w:rsidP="007B279D">
            <w:pPr>
              <w:jc w:val="both"/>
              <w:rPr>
                <w:rFonts w:ascii="Times New Roman" w:hAnsi="Times New Roman" w:cs="Times New Roman"/>
                <w:sz w:val="20"/>
                <w:szCs w:val="20"/>
                <w:lang w:val="it-IT"/>
              </w:rPr>
            </w:pPr>
            <w:r>
              <w:rPr>
                <w:rFonts w:ascii="Times New Roman" w:hAnsi="Times New Roman" w:cs="Times New Roman"/>
                <w:sz w:val="20"/>
                <w:szCs w:val="20"/>
              </w:rPr>
              <w:t xml:space="preserve">- </w:t>
            </w:r>
            <w:r w:rsidRPr="007B279D">
              <w:rPr>
                <w:rFonts w:ascii="Times New Roman" w:hAnsi="Times New Roman" w:cs="Times New Roman"/>
                <w:sz w:val="20"/>
                <w:szCs w:val="20"/>
              </w:rPr>
              <w:t xml:space="preserve">În privința pct. 69 din Regulamentul în vigoare, observăm că temeiul acestuia (actualmente art. 76 alin. </w:t>
            </w:r>
            <w:r w:rsidRPr="003D570B">
              <w:rPr>
                <w:rFonts w:ascii="Times New Roman" w:hAnsi="Times New Roman" w:cs="Times New Roman"/>
                <w:sz w:val="20"/>
                <w:szCs w:val="20"/>
                <w:lang w:val="it-IT"/>
              </w:rPr>
              <w:t>(6) din Legea nr. 131/2015) nu se mai regăsește în Legea nr. 325/2025, ceea ce impune necesitatea revizuirii normei menționate.</w:t>
            </w:r>
          </w:p>
          <w:p w14:paraId="04242F39" w14:textId="01DAEE32" w:rsidR="007B279D" w:rsidRPr="003D570B" w:rsidRDefault="007B279D" w:rsidP="007B279D">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Suplimentar, solicităm precizarea aplicării Regulamentului cu privire la delegarea personalului entităților din Republica Moldova, aprobat prin Hotărârea Guvernului nr. 10/2012 (compensarea serviciilor procurate de persoana delegată) alternativ procedurii de achiziție publică, în condițiile în care actul normativ referit menționează că „personalului delegat i se achită cheltuielile de transport”, iar persoanele delegate pot utiliza platforme de achiziții de bilete internaționale sau platformele oficiale a le companiilor aeriene, care pot oferi informații privind cotațiile disponibile la data achiziției, pentru stabilirea celui mai bun preț la cerințele tehnice solicitate.</w:t>
            </w:r>
          </w:p>
        </w:tc>
        <w:tc>
          <w:tcPr>
            <w:tcW w:w="3436" w:type="dxa"/>
          </w:tcPr>
          <w:p w14:paraId="5AE2388B" w14:textId="77777777" w:rsidR="00BB18D5" w:rsidRDefault="003D570B" w:rsidP="00797C0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Se acceptǎ parțial</w:t>
            </w:r>
          </w:p>
          <w:p w14:paraId="46EB08F1" w14:textId="777777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1. Inserarea în pct. 4 a unei trimiteri la pct. 14 subpct. 9) și 10)</w:t>
            </w:r>
          </w:p>
          <w:p w14:paraId="6B73F756" w14:textId="4DDE1F24" w:rsidR="003D570B" w:rsidRPr="003D570B" w:rsidRDefault="00284B25" w:rsidP="003D570B">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Nu se acceptă</w:t>
            </w:r>
          </w:p>
          <w:p w14:paraId="7FB7D1DC" w14:textId="52F1D76D"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Pct. 4 din Regulament stabilește categoriile de achiziții care fac obiectul achizițiilor de valoare mică, în timp ce pct. 14 subpct. 9) și 10) instituie excepții de la cerințele de publicare și utilizare a SI „RSAP</w:t>
            </w:r>
            <w:r w:rsidR="00760BD0">
              <w:rPr>
                <w:rFonts w:ascii="Times New Roman" w:hAnsi="Times New Roman" w:cs="Times New Roman"/>
                <w:bCs/>
                <w:sz w:val="20"/>
                <w:szCs w:val="20"/>
                <w:lang w:val="ro-RO"/>
              </w:rPr>
              <w:t>”</w:t>
            </w:r>
            <w:r w:rsidRPr="003D570B">
              <w:rPr>
                <w:rFonts w:ascii="Times New Roman" w:hAnsi="Times New Roman" w:cs="Times New Roman"/>
                <w:bCs/>
                <w:sz w:val="20"/>
                <w:szCs w:val="20"/>
                <w:lang w:val="ro-RO"/>
              </w:rPr>
              <w:t xml:space="preserve"> pentru anumite categorii de achiziții (software, securitate informatică, publicitate digitală). Inserarea unei trimiteri în pct. 4 către pct. 14 ar crea o confuzie structurală, deoarece pct. 4 definește sfera de aplicare materială a achizițiilor de valoare mică, nu excepțiile procedurale. Cele două norme au obiect și funcție diferită și nu pot fi coroborate prin trimitere directă fără a compromite claritatea structurii Regulamentului.</w:t>
            </w:r>
          </w:p>
          <w:p w14:paraId="3B59D599" w14:textId="78DA17D6" w:rsidR="003D570B" w:rsidRDefault="003D570B" w:rsidP="00797C0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acceptǎ</w:t>
            </w:r>
          </w:p>
          <w:p w14:paraId="56BB3200" w14:textId="521A8519" w:rsidR="003D570B" w:rsidRPr="003D570B" w:rsidRDefault="003D570B" w:rsidP="003D570B">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2. Cu privire la a</w:t>
            </w:r>
            <w:r w:rsidRPr="003D570B">
              <w:rPr>
                <w:rFonts w:ascii="Times New Roman" w:hAnsi="Times New Roman" w:cs="Times New Roman"/>
                <w:sz w:val="20"/>
                <w:szCs w:val="20"/>
                <w:lang w:val="ro-RO"/>
              </w:rPr>
              <w:t>plicabilitatea principiilor prevăzute la pct. 8 și 9 din Regulamentul în vigoare în raport cu achizițiile în baza facturii de plată</w:t>
            </w:r>
            <w:r>
              <w:rPr>
                <w:rFonts w:ascii="Times New Roman" w:hAnsi="Times New Roman" w:cs="Times New Roman"/>
                <w:sz w:val="20"/>
                <w:szCs w:val="20"/>
                <w:lang w:val="ro-RO"/>
              </w:rPr>
              <w:t xml:space="preserve"> – au fost operate urmǎtoarele modificǎri: „</w:t>
            </w:r>
            <w:r w:rsidRPr="003D570B">
              <w:rPr>
                <w:rFonts w:ascii="Times New Roman" w:hAnsi="Times New Roman" w:cs="Times New Roman"/>
                <w:sz w:val="20"/>
                <w:szCs w:val="20"/>
                <w:lang w:val="ro-RO"/>
              </w:rPr>
              <w:t>Punctul 8 va avea următorul cuprins:</w:t>
            </w:r>
          </w:p>
          <w:p w14:paraId="380B8B95" w14:textId="77777777" w:rsidR="003D570B" w:rsidRDefault="003D570B" w:rsidP="003D570B">
            <w:pPr>
              <w:tabs>
                <w:tab w:val="left" w:pos="8505"/>
              </w:tabs>
              <w:jc w:val="both"/>
              <w:rPr>
                <w:rFonts w:ascii="Times New Roman" w:hAnsi="Times New Roman" w:cs="Times New Roman"/>
                <w:sz w:val="20"/>
                <w:szCs w:val="20"/>
                <w:lang w:val="ro-RO"/>
              </w:rPr>
            </w:pPr>
            <w:r w:rsidRPr="003D570B">
              <w:rPr>
                <w:rFonts w:ascii="Times New Roman" w:hAnsi="Times New Roman" w:cs="Times New Roman"/>
                <w:sz w:val="20"/>
                <w:szCs w:val="20"/>
                <w:lang w:val="ro-RO"/>
              </w:rPr>
              <w:t>„8. La realizarea achizițiilor publice de valoare mică, autoritatea/entitatea contractantă asigură utilizarea eficientă a resurselor financiare, respectarea principiilor transparenței, obiectivității, imparțialității, tratamentului egal, nediscriminării și proporționalității, precum și încrederea publică față de procesul de achiziție.”</w:t>
            </w:r>
            <w:r>
              <w:rPr>
                <w:rFonts w:ascii="Times New Roman" w:hAnsi="Times New Roman" w:cs="Times New Roman"/>
                <w:sz w:val="20"/>
                <w:szCs w:val="20"/>
                <w:lang w:val="ro-RO"/>
              </w:rPr>
              <w:t xml:space="preserve"> Şi l</w:t>
            </w:r>
            <w:r w:rsidRPr="003D570B">
              <w:rPr>
                <w:rFonts w:ascii="Times New Roman" w:hAnsi="Times New Roman" w:cs="Times New Roman"/>
                <w:sz w:val="20"/>
                <w:szCs w:val="20"/>
                <w:lang w:val="ro-RO"/>
              </w:rPr>
              <w:t>a punctul 9, după cuvântul „publice” se introduce textul „/sectoriale” și cifra „7” se substituie cu cifra „7</w:t>
            </w:r>
            <w:r>
              <w:rPr>
                <w:rFonts w:ascii="Times New Roman" w:hAnsi="Times New Roman" w:cs="Times New Roman"/>
                <w:sz w:val="20"/>
                <w:szCs w:val="20"/>
                <w:vertAlign w:val="superscript"/>
                <w:lang w:val="ro-RO"/>
              </w:rPr>
              <w:t>1</w:t>
            </w:r>
            <w:r w:rsidRPr="003D570B">
              <w:rPr>
                <w:rFonts w:ascii="Times New Roman" w:hAnsi="Times New Roman" w:cs="Times New Roman"/>
                <w:sz w:val="20"/>
                <w:szCs w:val="20"/>
                <w:lang w:val="ro-RO"/>
              </w:rPr>
              <w:t>”.</w:t>
            </w:r>
          </w:p>
          <w:p w14:paraId="6B84B389" w14:textId="777777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3. Oportunitatea definirii contractelor directe și/sau a achizițiilor directe</w:t>
            </w:r>
          </w:p>
          <w:p w14:paraId="5C91885E" w14:textId="63F9FD47" w:rsidR="003D570B" w:rsidRPr="003D570B" w:rsidRDefault="003D570B" w:rsidP="003D570B">
            <w:pPr>
              <w:tabs>
                <w:tab w:val="left" w:pos="8505"/>
              </w:tabs>
              <w:jc w:val="both"/>
              <w:rPr>
                <w:rFonts w:ascii="Times New Roman" w:hAnsi="Times New Roman" w:cs="Times New Roman"/>
                <w:b/>
                <w:sz w:val="20"/>
                <w:szCs w:val="20"/>
                <w:lang w:val="ro-RO"/>
              </w:rPr>
            </w:pPr>
            <w:r w:rsidRPr="003D570B">
              <w:rPr>
                <w:rFonts w:ascii="Times New Roman" w:hAnsi="Times New Roman" w:cs="Times New Roman"/>
                <w:b/>
                <w:sz w:val="20"/>
                <w:szCs w:val="20"/>
                <w:lang w:val="ro-RO"/>
              </w:rPr>
              <w:t xml:space="preserve">Nu </w:t>
            </w:r>
            <w:r w:rsidR="00284B25">
              <w:rPr>
                <w:rFonts w:ascii="Times New Roman" w:hAnsi="Times New Roman" w:cs="Times New Roman"/>
                <w:b/>
                <w:sz w:val="20"/>
                <w:szCs w:val="20"/>
                <w:lang w:val="ro-RO"/>
              </w:rPr>
              <w:t>se acceptă</w:t>
            </w:r>
          </w:p>
          <w:p w14:paraId="0B74B2D6" w14:textId="0F572093" w:rsidR="003D570B" w:rsidRPr="003D570B" w:rsidRDefault="00087168" w:rsidP="003D570B">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Noțiunea de „contract direct”</w:t>
            </w:r>
            <w:r w:rsidR="003D570B" w:rsidRPr="003D570B">
              <w:rPr>
                <w:rFonts w:ascii="Times New Roman" w:hAnsi="Times New Roman" w:cs="Times New Roman"/>
                <w:bCs/>
                <w:sz w:val="20"/>
                <w:szCs w:val="20"/>
                <w:lang w:val="ro-RO"/>
              </w:rPr>
              <w:t xml:space="preserve"> este utilizată în Regulament pentru a desemna modalitatea de achiziție prin </w:t>
            </w:r>
            <w:r w:rsidR="003D570B" w:rsidRPr="003D570B">
              <w:rPr>
                <w:rFonts w:ascii="Times New Roman" w:hAnsi="Times New Roman" w:cs="Times New Roman"/>
                <w:bCs/>
                <w:sz w:val="20"/>
                <w:szCs w:val="20"/>
                <w:lang w:val="ro-RO"/>
              </w:rPr>
              <w:lastRenderedPageBreak/>
              <w:t>care autoritatea/entitatea contractantă încheie un contract fără organizarea unei proceduri de atribuire, în limita plafoanelor prevăzute la pct. 6 și 7. Definirea expresă a acestui termen nu este necesară, deoarece:</w:t>
            </w:r>
          </w:p>
          <w:p w14:paraId="16FD6A5A" w14:textId="77777777" w:rsidR="003D570B" w:rsidRP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Legea nr. 325/2025 privind achizițiile publice definește categoriile de achiziții și procedurile de atribuire, iar Regulamentul de aplicare completează cadrul cu particularitățile achizițiilor de valoare mică;</w:t>
            </w:r>
          </w:p>
          <w:p w14:paraId="4A990813" w14:textId="77777777" w:rsidR="003D570B" w:rsidRDefault="003D570B" w:rsidP="003D570B">
            <w:pPr>
              <w:tabs>
                <w:tab w:val="left" w:pos="8505"/>
              </w:tabs>
              <w:jc w:val="both"/>
              <w:rPr>
                <w:rFonts w:ascii="Times New Roman" w:hAnsi="Times New Roman" w:cs="Times New Roman"/>
                <w:bCs/>
                <w:sz w:val="20"/>
                <w:szCs w:val="20"/>
                <w:lang w:val="ro-RO"/>
              </w:rPr>
            </w:pPr>
            <w:r w:rsidRPr="003D570B">
              <w:rPr>
                <w:rFonts w:ascii="Times New Roman" w:hAnsi="Times New Roman" w:cs="Times New Roman"/>
                <w:bCs/>
                <w:sz w:val="20"/>
                <w:szCs w:val="20"/>
                <w:lang w:val="ro-RO"/>
              </w:rPr>
              <w:t>Introducerea unei definiții ar crea o suprapunere normativă cu legea primară și ar putea genera conflicte de interpretare în raport cu definițiile legale existente.</w:t>
            </w:r>
          </w:p>
          <w:p w14:paraId="43A95737" w14:textId="77777777" w:rsidR="003D570B" w:rsidRPr="00760BD0" w:rsidRDefault="003D570B" w:rsidP="003D570B">
            <w:pPr>
              <w:tabs>
                <w:tab w:val="left" w:pos="8505"/>
              </w:tabs>
              <w:jc w:val="both"/>
              <w:rPr>
                <w:rFonts w:ascii="Times New Roman" w:hAnsi="Times New Roman" w:cs="Times New Roman"/>
                <w:sz w:val="20"/>
                <w:szCs w:val="20"/>
                <w:lang w:val="it-IT"/>
              </w:rPr>
            </w:pPr>
            <w:r w:rsidRPr="00760BD0">
              <w:rPr>
                <w:rFonts w:ascii="Times New Roman" w:hAnsi="Times New Roman" w:cs="Times New Roman"/>
                <w:sz w:val="20"/>
                <w:szCs w:val="20"/>
                <w:lang w:val="it-IT"/>
              </w:rPr>
              <w:t>4. Stabilirea unor mențiuni specifice privind prevenirea și remedierea conflictelor de interese inclusiv pentru achizițiile directe</w:t>
            </w:r>
          </w:p>
          <w:p w14:paraId="5283C148" w14:textId="400F8040" w:rsidR="003D570B" w:rsidRPr="00760BD0" w:rsidRDefault="00087168" w:rsidP="003D570B">
            <w:pPr>
              <w:tabs>
                <w:tab w:val="left" w:pos="8505"/>
              </w:tabs>
              <w:jc w:val="both"/>
              <w:rPr>
                <w:rFonts w:ascii="Times New Roman" w:hAnsi="Times New Roman" w:cs="Times New Roman"/>
                <w:b/>
                <w:bCs/>
                <w:sz w:val="20"/>
                <w:szCs w:val="20"/>
                <w:lang w:val="it-IT"/>
              </w:rPr>
            </w:pPr>
            <w:r w:rsidRPr="00760BD0">
              <w:rPr>
                <w:rFonts w:ascii="Times New Roman" w:hAnsi="Times New Roman" w:cs="Times New Roman"/>
                <w:b/>
                <w:bCs/>
                <w:sz w:val="20"/>
                <w:szCs w:val="20"/>
                <w:lang w:val="it-IT"/>
              </w:rPr>
              <w:t>Se acceptă</w:t>
            </w:r>
          </w:p>
          <w:p w14:paraId="55607A6C" w14:textId="77777777" w:rsidR="00B42FBA" w:rsidRPr="00760BD0" w:rsidRDefault="00B42FBA" w:rsidP="00B42FBA">
            <w:pPr>
              <w:tabs>
                <w:tab w:val="left" w:pos="8505"/>
              </w:tabs>
              <w:jc w:val="both"/>
              <w:rPr>
                <w:rFonts w:ascii="Times New Roman" w:hAnsi="Times New Roman" w:cs="Times New Roman"/>
                <w:sz w:val="20"/>
                <w:szCs w:val="20"/>
                <w:lang w:val="it-IT"/>
              </w:rPr>
            </w:pPr>
            <w:r w:rsidRPr="00B42FBA">
              <w:rPr>
                <w:rFonts w:ascii="Times New Roman" w:hAnsi="Times New Roman" w:cs="Times New Roman"/>
                <w:sz w:val="20"/>
                <w:szCs w:val="20"/>
              </w:rPr>
              <w:t xml:space="preserve">Observația este întemeiată în măsura în care art. 23 alin. </w:t>
            </w:r>
            <w:r w:rsidRPr="00760BD0">
              <w:rPr>
                <w:rFonts w:ascii="Times New Roman" w:hAnsi="Times New Roman" w:cs="Times New Roman"/>
                <w:sz w:val="20"/>
                <w:szCs w:val="20"/>
                <w:lang w:val="it-IT"/>
              </w:rPr>
              <w:t>(3) din Legea nr. 325/2025 prevede expres că măsurile de prevenire, identificare și remediere a situațiilor de conflict de interese se stabilesc în condițiile și potrivit procedurilor reglementate de Guvern.</w:t>
            </w:r>
          </w:p>
          <w:p w14:paraId="0FF134FA" w14:textId="75BB7046" w:rsidR="00B42FBA" w:rsidRPr="00760BD0" w:rsidRDefault="00B42FBA" w:rsidP="00B42FBA">
            <w:pPr>
              <w:tabs>
                <w:tab w:val="left" w:pos="8505"/>
              </w:tabs>
              <w:jc w:val="both"/>
              <w:rPr>
                <w:rFonts w:ascii="Times New Roman" w:hAnsi="Times New Roman" w:cs="Times New Roman"/>
                <w:sz w:val="20"/>
                <w:szCs w:val="20"/>
                <w:lang w:val="it-IT"/>
              </w:rPr>
            </w:pPr>
            <w:r w:rsidRPr="00760BD0">
              <w:rPr>
                <w:rFonts w:ascii="Times New Roman" w:hAnsi="Times New Roman" w:cs="Times New Roman"/>
                <w:sz w:val="20"/>
                <w:szCs w:val="20"/>
                <w:lang w:val="it-IT"/>
              </w:rPr>
              <w:t>În prezent, pct. 9 din Regulament instituie o obligație generală de respectare a regulilor privind evitarea conflictelor de interese, inclusiv la aplicarea pct. 4–7</w:t>
            </w:r>
            <w:r w:rsidR="009D4AB8">
              <w:rPr>
                <w:rFonts w:ascii="Times New Roman" w:hAnsi="Times New Roman" w:cs="Times New Roman"/>
                <w:sz w:val="20"/>
                <w:szCs w:val="20"/>
                <w:vertAlign w:val="superscript"/>
                <w:lang w:val="it-IT"/>
              </w:rPr>
              <w:t>1</w:t>
            </w:r>
            <w:r w:rsidRPr="00760BD0">
              <w:rPr>
                <w:rFonts w:ascii="Times New Roman" w:hAnsi="Times New Roman" w:cs="Times New Roman"/>
                <w:sz w:val="20"/>
                <w:szCs w:val="20"/>
                <w:lang w:val="it-IT"/>
              </w:rPr>
              <w:t xml:space="preserve"> (achiziții în baza facturii și contracte directe), însă nu detaliază expres obligația de documentare și măsurile concrete aplicabile în cazul achizițiilor directe.</w:t>
            </w:r>
          </w:p>
          <w:p w14:paraId="76C8F1AF" w14:textId="77777777" w:rsidR="00087168" w:rsidRPr="00760BD0" w:rsidRDefault="00B42FBA" w:rsidP="00087168">
            <w:pPr>
              <w:tabs>
                <w:tab w:val="left" w:pos="8505"/>
              </w:tabs>
              <w:jc w:val="both"/>
              <w:rPr>
                <w:rFonts w:ascii="Times New Roman" w:hAnsi="Times New Roman" w:cs="Times New Roman"/>
                <w:sz w:val="20"/>
                <w:szCs w:val="20"/>
                <w:lang w:val="it-IT"/>
              </w:rPr>
            </w:pPr>
            <w:r w:rsidRPr="00760BD0">
              <w:rPr>
                <w:rFonts w:ascii="Times New Roman" w:hAnsi="Times New Roman" w:cs="Times New Roman"/>
                <w:sz w:val="20"/>
                <w:szCs w:val="20"/>
                <w:lang w:val="it-IT"/>
              </w:rPr>
              <w:t xml:space="preserve">Având în vedere că și achizițiile realizate în baza facturii sau prin contract direct implică utilizarea fondurilor publice și exercitarea unei decizii discreționare, este oportună </w:t>
            </w:r>
            <w:r w:rsidRPr="00760BD0">
              <w:rPr>
                <w:rFonts w:ascii="Times New Roman" w:hAnsi="Times New Roman" w:cs="Times New Roman"/>
                <w:sz w:val="20"/>
                <w:szCs w:val="20"/>
                <w:lang w:val="it-IT"/>
              </w:rPr>
              <w:lastRenderedPageBreak/>
              <w:t>completarea pct. 9 pentru a consolida garanțiile de integritate și trasabilitate, fără a introduce o suprareglementare excesivă.</w:t>
            </w:r>
            <w:r w:rsidR="00087168" w:rsidRPr="00760BD0">
              <w:rPr>
                <w:rFonts w:ascii="Times New Roman" w:hAnsi="Times New Roman" w:cs="Times New Roman"/>
                <w:sz w:val="20"/>
                <w:szCs w:val="20"/>
                <w:lang w:val="it-IT"/>
              </w:rPr>
              <w:t xml:space="preserve"> </w:t>
            </w:r>
          </w:p>
          <w:p w14:paraId="1CE30C72" w14:textId="77777777" w:rsidR="00087168" w:rsidRPr="00760BD0" w:rsidRDefault="00087168" w:rsidP="00087168">
            <w:pPr>
              <w:tabs>
                <w:tab w:val="left" w:pos="8505"/>
              </w:tabs>
              <w:jc w:val="both"/>
              <w:rPr>
                <w:rFonts w:ascii="Times New Roman" w:hAnsi="Times New Roman" w:cs="Times New Roman"/>
                <w:sz w:val="20"/>
                <w:szCs w:val="20"/>
                <w:lang w:val="it-IT"/>
              </w:rPr>
            </w:pPr>
            <w:r w:rsidRPr="00760BD0">
              <w:rPr>
                <w:rFonts w:ascii="Times New Roman" w:hAnsi="Times New Roman" w:cs="Times New Roman"/>
                <w:sz w:val="20"/>
                <w:szCs w:val="20"/>
                <w:lang w:val="it-IT"/>
              </w:rPr>
              <w:t>Punctul 9 va avea următorul cuprins:</w:t>
            </w:r>
          </w:p>
          <w:p w14:paraId="555178FA" w14:textId="6AC1D5B2" w:rsidR="00087168" w:rsidRPr="00760BD0" w:rsidRDefault="00087168" w:rsidP="00087168">
            <w:pPr>
              <w:tabs>
                <w:tab w:val="left" w:pos="8505"/>
              </w:tabs>
              <w:jc w:val="both"/>
              <w:rPr>
                <w:rFonts w:ascii="Times New Roman" w:hAnsi="Times New Roman" w:cs="Times New Roman"/>
                <w:iCs/>
                <w:sz w:val="20"/>
                <w:szCs w:val="20"/>
                <w:lang w:val="it-IT"/>
              </w:rPr>
            </w:pPr>
            <w:r w:rsidRPr="00087168">
              <w:rPr>
                <w:rFonts w:ascii="Times New Roman" w:hAnsi="Times New Roman" w:cs="Times New Roman"/>
                <w:sz w:val="20"/>
                <w:szCs w:val="20"/>
                <w:lang w:val="ro-RO"/>
              </w:rPr>
              <w:t xml:space="preserve">„9. </w:t>
            </w:r>
            <w:r w:rsidRPr="00760BD0">
              <w:rPr>
                <w:rFonts w:ascii="Times New Roman" w:hAnsi="Times New Roman" w:cs="Times New Roman"/>
                <w:iCs/>
                <w:sz w:val="20"/>
                <w:szCs w:val="20"/>
                <w:lang w:val="it-IT"/>
              </w:rPr>
              <w:t>La realizarea achizițiilor publice/sectoriale, inclusiv a celor prevăzute la pct. 4–7</w:t>
            </w:r>
            <w:r w:rsidR="009D4AB8">
              <w:rPr>
                <w:rFonts w:ascii="Times New Roman" w:hAnsi="Times New Roman" w:cs="Times New Roman"/>
                <w:iCs/>
                <w:sz w:val="20"/>
                <w:szCs w:val="20"/>
                <w:vertAlign w:val="superscript"/>
                <w:lang w:val="it-IT"/>
              </w:rPr>
              <w:t>1</w:t>
            </w:r>
            <w:r w:rsidRPr="00760BD0">
              <w:rPr>
                <w:rFonts w:ascii="Times New Roman" w:hAnsi="Times New Roman" w:cs="Times New Roman"/>
                <w:iCs/>
                <w:sz w:val="20"/>
                <w:szCs w:val="20"/>
                <w:lang w:val="it-IT"/>
              </w:rPr>
              <w:t>, autoritatea/entitatea contractantă asigură respectarea regulilor de prevenire, identificare și remediere a conflictelor de interese, în conformitate cu art. 23 din Legea nr. 325/2025</w:t>
            </w:r>
            <w:r w:rsidR="009D4AB8">
              <w:rPr>
                <w:rFonts w:ascii="Times New Roman" w:hAnsi="Times New Roman" w:cs="Times New Roman"/>
                <w:iCs/>
                <w:sz w:val="20"/>
                <w:szCs w:val="20"/>
                <w:lang w:val="it-IT"/>
              </w:rPr>
              <w:t xml:space="preserve">, </w:t>
            </w:r>
            <w:r w:rsidR="009D4AB8" w:rsidRPr="009D4AB8">
              <w:rPr>
                <w:rFonts w:ascii="Times New Roman" w:hAnsi="Times New Roman"/>
                <w:iCs/>
                <w:color w:val="000000" w:themeColor="text1"/>
                <w:sz w:val="28"/>
                <w:lang w:val="ro-RO"/>
              </w:rPr>
              <w:t xml:space="preserve"> </w:t>
            </w:r>
            <w:r w:rsidR="009D4AB8" w:rsidRPr="009D4AB8">
              <w:rPr>
                <w:rFonts w:ascii="Times New Roman" w:hAnsi="Times New Roman" w:cs="Times New Roman"/>
                <w:iCs/>
                <w:sz w:val="20"/>
                <w:szCs w:val="20"/>
                <w:lang w:val="ro-RO"/>
              </w:rPr>
              <w:t xml:space="preserve">art. 34 din Legea nr.74/2020 </w:t>
            </w:r>
            <w:r w:rsidRPr="00760BD0">
              <w:rPr>
                <w:rFonts w:ascii="Times New Roman" w:hAnsi="Times New Roman" w:cs="Times New Roman"/>
                <w:iCs/>
                <w:sz w:val="20"/>
                <w:szCs w:val="20"/>
                <w:lang w:val="it-IT"/>
              </w:rPr>
              <w:t>și cu actele normative adoptate de Guvern în acest domeniu. În cazul achizițiilor directe sau realizate în baza facturii de plată, autoritatea/entitatea contractantă asigură documentarea procesului decizional și aplicarea măsurilor de control intern managerial, inclusiv prin declararea și gestionarea eventualelor situații de conflict de interese.”.</w:t>
            </w:r>
          </w:p>
          <w:p w14:paraId="3FF7A286" w14:textId="77777777" w:rsidR="003D570B" w:rsidRPr="00760BD0" w:rsidRDefault="003D570B" w:rsidP="003D570B">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5. Completarea cu o prevedere privind clauza de prelungire tacită pentru achizițiile directe</w:t>
            </w:r>
          </w:p>
          <w:p w14:paraId="43930691" w14:textId="5DB1F95F" w:rsidR="003D570B" w:rsidRPr="00760BD0" w:rsidRDefault="00284B25" w:rsidP="003D570B">
            <w:pPr>
              <w:tabs>
                <w:tab w:val="left" w:pos="8505"/>
              </w:tabs>
              <w:jc w:val="both"/>
              <w:rPr>
                <w:rFonts w:ascii="Times New Roman" w:hAnsi="Times New Roman" w:cs="Times New Roman"/>
                <w:b/>
                <w:sz w:val="20"/>
                <w:szCs w:val="20"/>
                <w:lang w:val="it-IT"/>
              </w:rPr>
            </w:pPr>
            <w:r>
              <w:rPr>
                <w:rFonts w:ascii="Times New Roman" w:hAnsi="Times New Roman" w:cs="Times New Roman"/>
                <w:b/>
                <w:sz w:val="20"/>
                <w:szCs w:val="20"/>
                <w:lang w:val="it-IT"/>
              </w:rPr>
              <w:t>Nu se acceptă</w:t>
            </w:r>
          </w:p>
          <w:p w14:paraId="2B69806E" w14:textId="02B74292" w:rsidR="003D570B" w:rsidRPr="00760BD0" w:rsidRDefault="003D570B" w:rsidP="003D570B">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Introducerea unei clauze de prelungire tacită pentru contractele de achiziție directă ar constitui o derogare de la principiul concurenței și de la obligația de asigurare a utilizării eficiente a resurselor financiare. Clauza de prelungire tacită, prin natura sa, exclude organizarea unei proceduri competitive, ceea ce ar putea conduce la:</w:t>
            </w:r>
          </w:p>
          <w:p w14:paraId="0970C76B" w14:textId="77777777" w:rsidR="003D570B" w:rsidRPr="00760BD0" w:rsidRDefault="003D570B" w:rsidP="003D570B">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Menținerea pe termen nedefinit a unor relații contractuale fără verificarea periodică a competitivității prețurilor;</w:t>
            </w:r>
          </w:p>
          <w:p w14:paraId="469F03FA" w14:textId="77777777" w:rsidR="003D570B" w:rsidRPr="00760BD0" w:rsidRDefault="003D570B" w:rsidP="003D570B">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Creșterea riscului de dependență față de un singur furnizor (lock-in), contrar principiilor concurenței;</w:t>
            </w:r>
          </w:p>
          <w:p w14:paraId="5D6858D2" w14:textId="77777777" w:rsidR="003D570B" w:rsidRPr="00760BD0" w:rsidRDefault="003D570B" w:rsidP="003D570B">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lastRenderedPageBreak/>
              <w:t>Prelungirea necontrolată a angajamentelor bugetare, fără o evaluare periodică a oportunității continuării contractului.</w:t>
            </w:r>
          </w:p>
          <w:p w14:paraId="1AF6CF37" w14:textId="4B817C88" w:rsidR="003D570B" w:rsidRPr="00760BD0" w:rsidRDefault="003D570B" w:rsidP="003D570B">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Soluția adecvată pentru asigurarea continuității serviciilor esențiale (salubritate, pază, utilități, IT critic) o constituie organizarea unei noi proceduri de atribuire cu termene reduse, care să permită încheierea noului contract înainte de expirarea celui anterior, nu prelungirea tacită a contractului existent.</w:t>
            </w:r>
          </w:p>
          <w:p w14:paraId="097841C2" w14:textId="5F5349E9" w:rsidR="003D570B" w:rsidRPr="00760BD0" w:rsidRDefault="003D570B" w:rsidP="003D570B">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6. Clarificarea aplicabilității Capitolului II și III (pct. 52) — dacă se aplică tuturor procedurilor sau doar celor cu publicare în SI „RSAP”</w:t>
            </w:r>
          </w:p>
          <w:p w14:paraId="61EA48FC" w14:textId="539EF9E7" w:rsidR="003D570B" w:rsidRPr="00760BD0" w:rsidRDefault="00284B25" w:rsidP="003D570B">
            <w:pPr>
              <w:tabs>
                <w:tab w:val="left" w:pos="8505"/>
              </w:tabs>
              <w:jc w:val="both"/>
              <w:rPr>
                <w:rFonts w:ascii="Times New Roman" w:hAnsi="Times New Roman" w:cs="Times New Roman"/>
                <w:b/>
                <w:sz w:val="20"/>
                <w:szCs w:val="20"/>
                <w:lang w:val="it-IT"/>
              </w:rPr>
            </w:pPr>
            <w:r>
              <w:rPr>
                <w:rFonts w:ascii="Times New Roman" w:hAnsi="Times New Roman" w:cs="Times New Roman"/>
                <w:b/>
                <w:sz w:val="20"/>
                <w:szCs w:val="20"/>
                <w:lang w:val="it-IT"/>
              </w:rPr>
              <w:t>Nu se acceptă</w:t>
            </w:r>
          </w:p>
          <w:p w14:paraId="0A61A729" w14:textId="77777777" w:rsidR="003D570B" w:rsidRPr="00760BD0" w:rsidRDefault="003D570B" w:rsidP="003D570B">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Capitolul II și III din Regulament reglementează, respectiv, publicarea anunțurilor și documentația de atribuire. Aceste prevederi se aplică achizițiilor de valoare mică în general, indiferent de modalitatea de publicare (prin SI „RSAP” sau prin alte mijloace), în măsura în care prevederile respective sunt incidente. Pct. 14 prevede deja excepții de la utilizarea SI „RSAP” pentru anumite categorii de achiziții, iar restul prevederilor din Capitolul II și III rămân aplicabile. Clarificarea solicitată este, prin urmare, inutilă, deoarece aplicabilitatea acestor prevederi este determinată deja de structura și logica internă a Regulamentului.</w:t>
            </w:r>
          </w:p>
          <w:p w14:paraId="0E086C01" w14:textId="08264B2E" w:rsidR="003D570B" w:rsidRPr="00760BD0" w:rsidRDefault="003D570B" w:rsidP="003D570B">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7. Corelarea sintagmei „ceri</w:t>
            </w:r>
            <w:r w:rsidR="00087168" w:rsidRPr="00760BD0">
              <w:rPr>
                <w:rFonts w:ascii="Times New Roman" w:hAnsi="Times New Roman" w:cs="Times New Roman"/>
                <w:bCs/>
                <w:sz w:val="20"/>
                <w:szCs w:val="20"/>
                <w:lang w:val="it-IT"/>
              </w:rPr>
              <w:t>nțe proporționale de calificare”</w:t>
            </w:r>
            <w:r w:rsidRPr="00760BD0">
              <w:rPr>
                <w:rFonts w:ascii="Times New Roman" w:hAnsi="Times New Roman" w:cs="Times New Roman"/>
                <w:bCs/>
                <w:sz w:val="20"/>
                <w:szCs w:val="20"/>
                <w:lang w:val="it-IT"/>
              </w:rPr>
              <w:t xml:space="preserve"> din pct. 23 cu art. 59 din Legea nr. 325/2025</w:t>
            </w:r>
          </w:p>
          <w:p w14:paraId="27AE878C" w14:textId="764B9FEB" w:rsidR="003D570B" w:rsidRPr="00760BD0" w:rsidRDefault="00284B25" w:rsidP="003D570B">
            <w:pPr>
              <w:tabs>
                <w:tab w:val="left" w:pos="8505"/>
              </w:tabs>
              <w:jc w:val="both"/>
              <w:rPr>
                <w:rFonts w:ascii="Times New Roman" w:hAnsi="Times New Roman" w:cs="Times New Roman"/>
                <w:b/>
                <w:sz w:val="20"/>
                <w:szCs w:val="20"/>
                <w:lang w:val="it-IT"/>
              </w:rPr>
            </w:pPr>
            <w:r>
              <w:rPr>
                <w:rFonts w:ascii="Times New Roman" w:hAnsi="Times New Roman" w:cs="Times New Roman"/>
                <w:b/>
                <w:sz w:val="20"/>
                <w:szCs w:val="20"/>
                <w:lang w:val="it-IT"/>
              </w:rPr>
              <w:t>Se acceptă</w:t>
            </w:r>
          </w:p>
          <w:p w14:paraId="60A87B05" w14:textId="0A239D56" w:rsidR="001B5580" w:rsidRPr="00760BD0" w:rsidRDefault="001B5580" w:rsidP="003D570B">
            <w:pPr>
              <w:tabs>
                <w:tab w:val="left" w:pos="8505"/>
              </w:tabs>
              <w:jc w:val="both"/>
              <w:rPr>
                <w:rFonts w:ascii="Times New Roman" w:hAnsi="Times New Roman" w:cs="Times New Roman"/>
                <w:sz w:val="20"/>
                <w:szCs w:val="20"/>
                <w:lang w:val="it-IT"/>
              </w:rPr>
            </w:pPr>
            <w:r w:rsidRPr="00760BD0">
              <w:rPr>
                <w:rFonts w:ascii="Times New Roman" w:hAnsi="Times New Roman" w:cs="Times New Roman"/>
                <w:sz w:val="20"/>
                <w:szCs w:val="20"/>
                <w:lang w:val="it-IT"/>
              </w:rPr>
              <w:t>Pct. 23 va avea următorul cuprins:</w:t>
            </w:r>
          </w:p>
          <w:p w14:paraId="428C92F2" w14:textId="77777777" w:rsidR="001B5580" w:rsidRPr="001B5580" w:rsidRDefault="001B5580" w:rsidP="001B5580">
            <w:pPr>
              <w:tabs>
                <w:tab w:val="left" w:pos="8505"/>
              </w:tabs>
              <w:jc w:val="both"/>
              <w:rPr>
                <w:rFonts w:ascii="Times New Roman" w:hAnsi="Times New Roman" w:cs="Times New Roman"/>
                <w:bCs/>
                <w:iCs/>
                <w:sz w:val="20"/>
                <w:szCs w:val="20"/>
                <w:lang w:val="ro-RO"/>
              </w:rPr>
            </w:pPr>
            <w:r w:rsidRPr="001B5580">
              <w:rPr>
                <w:rFonts w:ascii="Times New Roman" w:hAnsi="Times New Roman" w:cs="Times New Roman"/>
                <w:bCs/>
                <w:iCs/>
                <w:sz w:val="20"/>
                <w:szCs w:val="20"/>
                <w:lang w:val="ro-RO"/>
              </w:rPr>
              <w:t xml:space="preserve">„23. În cazul în care autoritatea/entitatea contractantă aplică criterii de calificare și de selecție raportate la obiectul </w:t>
            </w:r>
            <w:r w:rsidRPr="001B5580">
              <w:rPr>
                <w:rFonts w:ascii="Times New Roman" w:hAnsi="Times New Roman" w:cs="Times New Roman"/>
                <w:bCs/>
                <w:iCs/>
                <w:sz w:val="20"/>
                <w:szCs w:val="20"/>
                <w:lang w:val="ro-RO"/>
              </w:rPr>
              <w:lastRenderedPageBreak/>
              <w:t>contractului, acestea pot face referire la următoarele aspecte:</w:t>
            </w:r>
          </w:p>
          <w:p w14:paraId="25EE2283" w14:textId="77777777" w:rsidR="001B5580" w:rsidRPr="001B5580" w:rsidRDefault="001B5580" w:rsidP="001B5580">
            <w:pPr>
              <w:numPr>
                <w:ilvl w:val="0"/>
                <w:numId w:val="28"/>
              </w:numPr>
              <w:tabs>
                <w:tab w:val="left" w:pos="8505"/>
              </w:tabs>
              <w:ind w:left="349" w:hanging="283"/>
              <w:jc w:val="both"/>
              <w:rPr>
                <w:rFonts w:ascii="Times New Roman" w:hAnsi="Times New Roman" w:cs="Times New Roman"/>
                <w:bCs/>
                <w:sz w:val="20"/>
                <w:szCs w:val="20"/>
              </w:rPr>
            </w:pPr>
            <w:r w:rsidRPr="001B5580">
              <w:rPr>
                <w:rFonts w:ascii="Times New Roman" w:hAnsi="Times New Roman" w:cs="Times New Roman"/>
                <w:bCs/>
                <w:sz w:val="20"/>
                <w:szCs w:val="20"/>
              </w:rPr>
              <w:t>calificarea ofertantului:</w:t>
            </w:r>
          </w:p>
          <w:p w14:paraId="3BAEB1D7" w14:textId="77777777" w:rsidR="001B5580" w:rsidRPr="00760BD0" w:rsidRDefault="001B5580" w:rsidP="001B5580">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a) capacitatea de exercitare a activităţii profesionale;</w:t>
            </w:r>
          </w:p>
          <w:p w14:paraId="37E94C10" w14:textId="77777777" w:rsidR="001B5580" w:rsidRPr="00760BD0" w:rsidRDefault="001B5580" w:rsidP="001B5580">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b) situaţia economică şi financiară;</w:t>
            </w:r>
          </w:p>
          <w:p w14:paraId="0C17DC2E" w14:textId="77777777" w:rsidR="001B5580" w:rsidRPr="00760BD0" w:rsidRDefault="001B5580" w:rsidP="001B5580">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c) capacitatea tehnică şi profesională;</w:t>
            </w:r>
          </w:p>
          <w:p w14:paraId="0A668670" w14:textId="77777777" w:rsidR="001B5580" w:rsidRPr="00760BD0" w:rsidRDefault="001B5580" w:rsidP="001B5580">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d) standarde de asigurare a calităţii şi standarde de management al mediului.”.</w:t>
            </w:r>
          </w:p>
          <w:p w14:paraId="27C68DC0" w14:textId="3930A6B2" w:rsidR="003D570B" w:rsidRPr="00760BD0" w:rsidRDefault="003D570B" w:rsidP="003D570B">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8. Precizarea sensului pct. 28 privind licitația electronică pentru achizițiile de activități intelectuale</w:t>
            </w:r>
          </w:p>
          <w:p w14:paraId="2A6CAF71" w14:textId="16098EF9" w:rsidR="003D570B" w:rsidRPr="00760BD0" w:rsidRDefault="00284B25" w:rsidP="003D570B">
            <w:pPr>
              <w:tabs>
                <w:tab w:val="left" w:pos="8505"/>
              </w:tabs>
              <w:jc w:val="both"/>
              <w:rPr>
                <w:rFonts w:ascii="Times New Roman" w:hAnsi="Times New Roman" w:cs="Times New Roman"/>
                <w:b/>
                <w:sz w:val="20"/>
                <w:szCs w:val="20"/>
                <w:lang w:val="it-IT"/>
              </w:rPr>
            </w:pPr>
            <w:r>
              <w:rPr>
                <w:rFonts w:ascii="Times New Roman" w:hAnsi="Times New Roman" w:cs="Times New Roman"/>
                <w:b/>
                <w:sz w:val="20"/>
                <w:szCs w:val="20"/>
                <w:lang w:val="it-IT"/>
              </w:rPr>
              <w:t>Nu se acceptă</w:t>
            </w:r>
          </w:p>
          <w:p w14:paraId="34FB0238" w14:textId="4A6671FE" w:rsidR="003D570B" w:rsidRPr="00760BD0" w:rsidRDefault="003D570B" w:rsidP="003D570B">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 xml:space="preserve">Pct. 28 din Regulament prevede că, pentru achizițiile care au ca obiect activități intelectuale (proiectare, consultanță, expertiză etc.), nu se utilizează licitația electronică. Această prevedere este clară și neambiguă: exclude expres utilizarea licitației electronice pentru această categorie de achiziții, având în vedere specificul acestora (evaluarea calității creative, a expertizei, a capacității intelectuale), care nu poate fi redusă la criterii pur cantitative compatibile cu mecanismul licitației electronice. Textul prevederii nu necesită o precizare suplimentară, deoarece formularea „nu se utilizează licitația electronică” este afirmativă și exhaustivă. </w:t>
            </w:r>
          </w:p>
          <w:p w14:paraId="06E0E59C" w14:textId="55B251DA" w:rsidR="003D570B" w:rsidRPr="00760BD0" w:rsidRDefault="003D570B" w:rsidP="003D570B">
            <w:pPr>
              <w:tabs>
                <w:tab w:val="left" w:pos="8505"/>
              </w:tabs>
              <w:jc w:val="both"/>
              <w:rPr>
                <w:rFonts w:ascii="Times New Roman" w:hAnsi="Times New Roman" w:cs="Times New Roman"/>
                <w:b/>
                <w:sz w:val="20"/>
                <w:szCs w:val="20"/>
                <w:lang w:val="it-IT"/>
              </w:rPr>
            </w:pPr>
            <w:r w:rsidRPr="00760BD0">
              <w:rPr>
                <w:rFonts w:ascii="Times New Roman" w:hAnsi="Times New Roman" w:cs="Times New Roman"/>
                <w:b/>
                <w:sz w:val="20"/>
                <w:szCs w:val="20"/>
                <w:lang w:val="it-IT"/>
              </w:rPr>
              <w:t>Se acceptǎ</w:t>
            </w:r>
          </w:p>
          <w:p w14:paraId="31C3FEF0" w14:textId="67BA5319" w:rsidR="003D570B" w:rsidRDefault="003D570B" w:rsidP="003D570B">
            <w:pPr>
              <w:tabs>
                <w:tab w:val="left" w:pos="8505"/>
              </w:tabs>
              <w:jc w:val="both"/>
              <w:rPr>
                <w:rFonts w:ascii="Times New Roman" w:hAnsi="Times New Roman" w:cs="Times New Roman"/>
                <w:bCs/>
                <w:sz w:val="20"/>
                <w:szCs w:val="20"/>
                <w:lang w:val="ro-MD"/>
              </w:rPr>
            </w:pPr>
            <w:r>
              <w:rPr>
                <w:rFonts w:ascii="Times New Roman" w:hAnsi="Times New Roman" w:cs="Times New Roman"/>
                <w:bCs/>
                <w:sz w:val="20"/>
                <w:szCs w:val="20"/>
                <w:lang w:val="ro-MD"/>
              </w:rPr>
              <w:t xml:space="preserve">9. </w:t>
            </w:r>
            <w:r w:rsidRPr="003D570B">
              <w:rPr>
                <w:rFonts w:ascii="Times New Roman" w:hAnsi="Times New Roman" w:cs="Times New Roman"/>
                <w:bCs/>
                <w:sz w:val="20"/>
                <w:szCs w:val="20"/>
                <w:lang w:val="ro-MD"/>
              </w:rPr>
              <w:t xml:space="preserve">La punctul </w:t>
            </w:r>
            <w:r>
              <w:rPr>
                <w:rFonts w:ascii="Times New Roman" w:hAnsi="Times New Roman" w:cs="Times New Roman"/>
                <w:bCs/>
                <w:sz w:val="20"/>
                <w:szCs w:val="20"/>
                <w:lang w:val="ro-MD"/>
              </w:rPr>
              <w:t>43</w:t>
            </w:r>
            <w:r w:rsidRPr="003D570B">
              <w:rPr>
                <w:rFonts w:ascii="Times New Roman" w:hAnsi="Times New Roman" w:cs="Times New Roman"/>
                <w:bCs/>
                <w:sz w:val="20"/>
                <w:szCs w:val="20"/>
                <w:lang w:val="ro-MD"/>
              </w:rPr>
              <w:t>, cuvintele „diviz</w:t>
            </w:r>
            <w:r>
              <w:rPr>
                <w:rFonts w:ascii="Times New Roman" w:hAnsi="Times New Roman" w:cs="Times New Roman"/>
                <w:bCs/>
                <w:sz w:val="20"/>
                <w:szCs w:val="20"/>
                <w:lang w:val="ro-MD"/>
              </w:rPr>
              <w:t>ate</w:t>
            </w:r>
            <w:r w:rsidRPr="003D570B">
              <w:rPr>
                <w:rFonts w:ascii="Times New Roman" w:hAnsi="Times New Roman" w:cs="Times New Roman"/>
                <w:bCs/>
                <w:sz w:val="20"/>
                <w:szCs w:val="20"/>
                <w:lang w:val="ro-MD"/>
              </w:rPr>
              <w:t xml:space="preserve"> pe loturi” se substituie cu cuvintele „împărți</w:t>
            </w:r>
            <w:r>
              <w:rPr>
                <w:rFonts w:ascii="Times New Roman" w:hAnsi="Times New Roman" w:cs="Times New Roman"/>
                <w:bCs/>
                <w:sz w:val="20"/>
                <w:szCs w:val="20"/>
                <w:lang w:val="ro-MD"/>
              </w:rPr>
              <w:t>te</w:t>
            </w:r>
            <w:r w:rsidRPr="003D570B">
              <w:rPr>
                <w:rFonts w:ascii="Times New Roman" w:hAnsi="Times New Roman" w:cs="Times New Roman"/>
                <w:bCs/>
                <w:sz w:val="20"/>
                <w:szCs w:val="20"/>
                <w:lang w:val="ro-MD"/>
              </w:rPr>
              <w:t xml:space="preserve"> pe loturi”.</w:t>
            </w:r>
          </w:p>
          <w:p w14:paraId="0537F5B8" w14:textId="77777777" w:rsidR="003D570B" w:rsidRPr="003D570B" w:rsidRDefault="003D570B" w:rsidP="003D570B">
            <w:pPr>
              <w:tabs>
                <w:tab w:val="left" w:pos="8505"/>
              </w:tabs>
              <w:jc w:val="both"/>
              <w:rPr>
                <w:rFonts w:ascii="Times New Roman" w:hAnsi="Times New Roman" w:cs="Times New Roman"/>
                <w:bCs/>
                <w:sz w:val="20"/>
                <w:szCs w:val="20"/>
                <w:lang w:val="ro-MD"/>
              </w:rPr>
            </w:pPr>
            <w:r w:rsidRPr="003D570B">
              <w:rPr>
                <w:rFonts w:ascii="Times New Roman" w:hAnsi="Times New Roman" w:cs="Times New Roman"/>
                <w:bCs/>
                <w:sz w:val="20"/>
                <w:szCs w:val="20"/>
                <w:lang w:val="ro-MD"/>
              </w:rPr>
              <w:t>10. Reexaminarea necesității pct. 51 subpct. 2)</w:t>
            </w:r>
          </w:p>
          <w:p w14:paraId="26596D30" w14:textId="72B1C10E" w:rsidR="003D570B" w:rsidRPr="003D570B" w:rsidRDefault="00284B25" w:rsidP="003D570B">
            <w:pPr>
              <w:tabs>
                <w:tab w:val="left" w:pos="8505"/>
              </w:tabs>
              <w:jc w:val="both"/>
              <w:rPr>
                <w:rFonts w:ascii="Times New Roman" w:hAnsi="Times New Roman" w:cs="Times New Roman"/>
                <w:b/>
                <w:sz w:val="20"/>
                <w:szCs w:val="20"/>
                <w:lang w:val="ro-MD"/>
              </w:rPr>
            </w:pPr>
            <w:r>
              <w:rPr>
                <w:rFonts w:ascii="Times New Roman" w:hAnsi="Times New Roman" w:cs="Times New Roman"/>
                <w:b/>
                <w:sz w:val="20"/>
                <w:szCs w:val="20"/>
                <w:lang w:val="ro-MD"/>
              </w:rPr>
              <w:t>Nu se acceptă</w:t>
            </w:r>
          </w:p>
          <w:p w14:paraId="64FF8008" w14:textId="77777777" w:rsidR="003D570B" w:rsidRDefault="003D570B" w:rsidP="003D570B">
            <w:pPr>
              <w:tabs>
                <w:tab w:val="left" w:pos="8505"/>
              </w:tabs>
              <w:jc w:val="both"/>
              <w:rPr>
                <w:rFonts w:ascii="Times New Roman" w:hAnsi="Times New Roman" w:cs="Times New Roman"/>
                <w:bCs/>
                <w:sz w:val="20"/>
                <w:szCs w:val="20"/>
                <w:lang w:val="ro-MD"/>
              </w:rPr>
            </w:pPr>
            <w:r w:rsidRPr="003D570B">
              <w:rPr>
                <w:rFonts w:ascii="Times New Roman" w:hAnsi="Times New Roman" w:cs="Times New Roman"/>
                <w:bCs/>
                <w:sz w:val="20"/>
                <w:szCs w:val="20"/>
                <w:lang w:val="ro-MD"/>
              </w:rPr>
              <w:t xml:space="preserve">Pct. 51 subpct. 2) din Regulamentul în vigoare conține dispoziții privind conținutul documentației de atribuire, care completează cerințele legale stabilite de Legea nr. 325/2025. Deși </w:t>
            </w:r>
            <w:r w:rsidRPr="003D570B">
              <w:rPr>
                <w:rFonts w:ascii="Times New Roman" w:hAnsi="Times New Roman" w:cs="Times New Roman"/>
                <w:bCs/>
                <w:sz w:val="20"/>
                <w:szCs w:val="20"/>
                <w:lang w:val="ro-MD"/>
              </w:rPr>
              <w:lastRenderedPageBreak/>
              <w:t>Legea nr. 325/2025 nu reproduce literal prevederea respectivă, aceasta are un rol complementar față de legea primară, detalii aspecte procedurale care nu sunt reglementate exhaustiv la nivel legislativ. Eliminarea subpunctului 2) ar genera o lacună procedurală privind conținutul documentației de atribuire, fiind necesară menținerea acestuia până la o eventuală reevaluare a completărilor aduse de Legea nr. 325/2025.</w:t>
            </w:r>
          </w:p>
          <w:p w14:paraId="586438D6" w14:textId="11372113" w:rsidR="003D570B" w:rsidRPr="003D570B" w:rsidRDefault="003D570B" w:rsidP="003D570B">
            <w:pPr>
              <w:tabs>
                <w:tab w:val="left" w:pos="8505"/>
              </w:tabs>
              <w:jc w:val="both"/>
              <w:rPr>
                <w:rFonts w:ascii="Times New Roman" w:hAnsi="Times New Roman" w:cs="Times New Roman"/>
                <w:bCs/>
                <w:sz w:val="20"/>
                <w:szCs w:val="20"/>
                <w:lang w:val="ro-MD"/>
              </w:rPr>
            </w:pPr>
            <w:r w:rsidRPr="003D570B">
              <w:rPr>
                <w:rFonts w:ascii="Times New Roman" w:hAnsi="Times New Roman" w:cs="Times New Roman"/>
                <w:bCs/>
                <w:sz w:val="20"/>
                <w:szCs w:val="20"/>
                <w:lang w:val="ro-MD"/>
              </w:rPr>
              <w:t>11. Corelarea sintagmei „respinge oferta</w:t>
            </w:r>
            <w:r>
              <w:rPr>
                <w:rFonts w:ascii="Times New Roman" w:hAnsi="Times New Roman" w:cs="Times New Roman"/>
                <w:bCs/>
                <w:sz w:val="20"/>
                <w:szCs w:val="20"/>
                <w:lang w:val="ro-MD"/>
              </w:rPr>
              <w:t xml:space="preserve">” </w:t>
            </w:r>
            <w:r w:rsidRPr="003D570B">
              <w:rPr>
                <w:rFonts w:ascii="Times New Roman" w:hAnsi="Times New Roman" w:cs="Times New Roman"/>
                <w:bCs/>
                <w:sz w:val="20"/>
                <w:szCs w:val="20"/>
                <w:lang w:val="ro-MD"/>
              </w:rPr>
              <w:t>din pct. 52 cu instituția excluderii ofertantului</w:t>
            </w:r>
          </w:p>
          <w:p w14:paraId="520DD4E9" w14:textId="4E40C72C" w:rsidR="003D570B" w:rsidRPr="003D570B" w:rsidRDefault="00284B25" w:rsidP="003D570B">
            <w:pPr>
              <w:tabs>
                <w:tab w:val="left" w:pos="8505"/>
              </w:tabs>
              <w:jc w:val="both"/>
              <w:rPr>
                <w:rFonts w:ascii="Times New Roman" w:hAnsi="Times New Roman" w:cs="Times New Roman"/>
                <w:b/>
                <w:sz w:val="20"/>
                <w:szCs w:val="20"/>
                <w:lang w:val="ro-MD"/>
              </w:rPr>
            </w:pPr>
            <w:r>
              <w:rPr>
                <w:rFonts w:ascii="Times New Roman" w:hAnsi="Times New Roman" w:cs="Times New Roman"/>
                <w:b/>
                <w:sz w:val="20"/>
                <w:szCs w:val="20"/>
                <w:lang w:val="ro-MD"/>
              </w:rPr>
              <w:t>Se acceptă</w:t>
            </w:r>
          </w:p>
          <w:p w14:paraId="1ED7A564" w14:textId="6671CE35" w:rsidR="003D570B" w:rsidRDefault="003D570B" w:rsidP="003D570B">
            <w:pPr>
              <w:tabs>
                <w:tab w:val="left" w:pos="8505"/>
              </w:tabs>
              <w:jc w:val="both"/>
              <w:rPr>
                <w:rFonts w:ascii="Times New Roman" w:hAnsi="Times New Roman" w:cs="Times New Roman"/>
                <w:bCs/>
                <w:sz w:val="20"/>
                <w:szCs w:val="20"/>
                <w:lang w:val="ro-MD"/>
              </w:rPr>
            </w:pPr>
            <w:r w:rsidRPr="003D570B">
              <w:rPr>
                <w:rFonts w:ascii="Times New Roman" w:hAnsi="Times New Roman" w:cs="Times New Roman"/>
                <w:bCs/>
                <w:sz w:val="20"/>
                <w:szCs w:val="20"/>
                <w:lang w:val="ro-MD"/>
              </w:rPr>
              <w:t>Art. 58 din Legea nr. 325/2025 instituie excluderea ofertantului din procedura de ach</w:t>
            </w:r>
            <w:r w:rsidR="00087168">
              <w:rPr>
                <w:rFonts w:ascii="Times New Roman" w:hAnsi="Times New Roman" w:cs="Times New Roman"/>
                <w:bCs/>
                <w:sz w:val="20"/>
                <w:szCs w:val="20"/>
                <w:lang w:val="ro-MD"/>
              </w:rPr>
              <w:t>iziție, nu „respingerea ofertei”</w:t>
            </w:r>
            <w:r w:rsidRPr="003D570B">
              <w:rPr>
                <w:rFonts w:ascii="Times New Roman" w:hAnsi="Times New Roman" w:cs="Times New Roman"/>
                <w:bCs/>
                <w:sz w:val="20"/>
                <w:szCs w:val="20"/>
                <w:lang w:val="ro-MD"/>
              </w:rPr>
              <w:t xml:space="preserve"> în sensul reglementării anterioare. Această schimbare de terminologie reflectă o modificare substanțială a mecanismului juridic: „excluderea" vizează operatorul economic (ca subiect al procedurii), în timp ce „respingerea ofertei</w:t>
            </w:r>
            <w:r>
              <w:rPr>
                <w:rFonts w:ascii="Times New Roman" w:hAnsi="Times New Roman" w:cs="Times New Roman"/>
                <w:bCs/>
                <w:sz w:val="20"/>
                <w:szCs w:val="20"/>
                <w:lang w:val="ro-MD"/>
              </w:rPr>
              <w:t>”</w:t>
            </w:r>
            <w:r w:rsidRPr="003D570B">
              <w:rPr>
                <w:rFonts w:ascii="Times New Roman" w:hAnsi="Times New Roman" w:cs="Times New Roman"/>
                <w:bCs/>
                <w:sz w:val="20"/>
                <w:szCs w:val="20"/>
                <w:lang w:val="ro-MD"/>
              </w:rPr>
              <w:t xml:space="preserve"> viza documentul de participare (ca obiect al evaluării). Corelarea pct. 52 cu noua terminologie a Legii nr. 325/2025 este necesară pentru asigurarea conformității Regulamentului cu legea primară și pentru evitarea confuziei între cele două instituții juridice distincte. Se acceptă substituirea sintagmei „respinge oferta" cu „exclude operatorul economic din procedură", în conformitate cu art. 58 din Legea nr. 325/2025.</w:t>
            </w:r>
          </w:p>
          <w:p w14:paraId="38B686F7" w14:textId="77777777" w:rsidR="003D570B" w:rsidRPr="003D570B" w:rsidRDefault="003D570B" w:rsidP="003D570B">
            <w:pPr>
              <w:tabs>
                <w:tab w:val="left" w:pos="8505"/>
              </w:tabs>
              <w:jc w:val="both"/>
              <w:rPr>
                <w:rFonts w:ascii="Times New Roman" w:hAnsi="Times New Roman" w:cs="Times New Roman"/>
                <w:bCs/>
                <w:sz w:val="20"/>
                <w:szCs w:val="20"/>
                <w:lang w:val="ro-MD"/>
              </w:rPr>
            </w:pPr>
            <w:r w:rsidRPr="003D570B">
              <w:rPr>
                <w:rFonts w:ascii="Times New Roman" w:hAnsi="Times New Roman" w:cs="Times New Roman"/>
                <w:bCs/>
                <w:sz w:val="20"/>
                <w:szCs w:val="20"/>
                <w:lang w:val="ro-MD"/>
              </w:rPr>
              <w:t>12. Revizuirea pct. 69 având în vedere că temeiul legal (art. 76 alin. (6) din Legea nr. 131/2015) nu se mai regăsește în Legea nr. 325/2025</w:t>
            </w:r>
          </w:p>
          <w:p w14:paraId="261468A9" w14:textId="3D765099" w:rsidR="003D570B" w:rsidRPr="003D570B" w:rsidRDefault="00284B25" w:rsidP="003D570B">
            <w:pPr>
              <w:tabs>
                <w:tab w:val="left" w:pos="8505"/>
              </w:tabs>
              <w:jc w:val="both"/>
              <w:rPr>
                <w:rFonts w:ascii="Times New Roman" w:hAnsi="Times New Roman" w:cs="Times New Roman"/>
                <w:b/>
                <w:sz w:val="20"/>
                <w:szCs w:val="20"/>
                <w:lang w:val="ro-MD"/>
              </w:rPr>
            </w:pPr>
            <w:r>
              <w:rPr>
                <w:rFonts w:ascii="Times New Roman" w:hAnsi="Times New Roman" w:cs="Times New Roman"/>
                <w:b/>
                <w:sz w:val="20"/>
                <w:szCs w:val="20"/>
                <w:lang w:val="ro-MD"/>
              </w:rPr>
              <w:t>Se acceptă</w:t>
            </w:r>
          </w:p>
          <w:p w14:paraId="218F9C37" w14:textId="7070E34A" w:rsidR="003D570B" w:rsidRDefault="003D570B" w:rsidP="003D570B">
            <w:pPr>
              <w:tabs>
                <w:tab w:val="left" w:pos="8505"/>
              </w:tabs>
              <w:jc w:val="both"/>
              <w:rPr>
                <w:rFonts w:ascii="Times New Roman" w:hAnsi="Times New Roman" w:cs="Times New Roman"/>
                <w:bCs/>
                <w:sz w:val="20"/>
                <w:szCs w:val="20"/>
                <w:lang w:val="ro-MD"/>
              </w:rPr>
            </w:pPr>
            <w:r w:rsidRPr="003D570B">
              <w:rPr>
                <w:rFonts w:ascii="Times New Roman" w:hAnsi="Times New Roman" w:cs="Times New Roman"/>
                <w:bCs/>
                <w:sz w:val="20"/>
                <w:szCs w:val="20"/>
                <w:lang w:val="ro-MD"/>
              </w:rPr>
              <w:t xml:space="preserve">Pct. 69 </w:t>
            </w:r>
            <w:r w:rsidR="0014153E">
              <w:rPr>
                <w:rFonts w:ascii="Times New Roman" w:hAnsi="Times New Roman" w:cs="Times New Roman"/>
                <w:bCs/>
                <w:sz w:val="20"/>
                <w:szCs w:val="20"/>
                <w:lang w:val="ro-MD"/>
              </w:rPr>
              <w:t>se abrogă.</w:t>
            </w:r>
          </w:p>
          <w:p w14:paraId="63E357A9" w14:textId="77777777" w:rsidR="003D570B" w:rsidRPr="003D570B" w:rsidRDefault="003D570B" w:rsidP="003D570B">
            <w:pPr>
              <w:tabs>
                <w:tab w:val="left" w:pos="8505"/>
              </w:tabs>
              <w:jc w:val="both"/>
              <w:rPr>
                <w:rFonts w:ascii="Times New Roman" w:hAnsi="Times New Roman" w:cs="Times New Roman"/>
                <w:bCs/>
                <w:sz w:val="20"/>
                <w:szCs w:val="20"/>
                <w:lang w:val="ro-MD"/>
              </w:rPr>
            </w:pPr>
            <w:r w:rsidRPr="003D570B">
              <w:rPr>
                <w:rFonts w:ascii="Times New Roman" w:hAnsi="Times New Roman" w:cs="Times New Roman"/>
                <w:bCs/>
                <w:sz w:val="20"/>
                <w:szCs w:val="20"/>
                <w:lang w:val="ro-MD"/>
              </w:rPr>
              <w:lastRenderedPageBreak/>
              <w:t>13. Precizarea aplicării HG nr. 10/2012 privind delegarea personalului în raport cu procedura de achiziție publică</w:t>
            </w:r>
          </w:p>
          <w:p w14:paraId="542AEBA0" w14:textId="4D01387A" w:rsidR="003D570B" w:rsidRPr="003D570B" w:rsidRDefault="00284B25" w:rsidP="003D570B">
            <w:pPr>
              <w:tabs>
                <w:tab w:val="left" w:pos="8505"/>
              </w:tabs>
              <w:jc w:val="both"/>
              <w:rPr>
                <w:rFonts w:ascii="Times New Roman" w:hAnsi="Times New Roman" w:cs="Times New Roman"/>
                <w:b/>
                <w:sz w:val="20"/>
                <w:szCs w:val="20"/>
                <w:lang w:val="ro-MD"/>
              </w:rPr>
            </w:pPr>
            <w:r>
              <w:rPr>
                <w:rFonts w:ascii="Times New Roman" w:hAnsi="Times New Roman" w:cs="Times New Roman"/>
                <w:b/>
                <w:sz w:val="20"/>
                <w:szCs w:val="20"/>
                <w:lang w:val="ro-MD"/>
              </w:rPr>
              <w:t>Nu se acceptă</w:t>
            </w:r>
          </w:p>
          <w:p w14:paraId="7B3456E0" w14:textId="420945BA" w:rsidR="003D570B" w:rsidRPr="003D570B" w:rsidRDefault="003D570B" w:rsidP="003D570B">
            <w:pPr>
              <w:tabs>
                <w:tab w:val="left" w:pos="8505"/>
              </w:tabs>
              <w:jc w:val="both"/>
              <w:rPr>
                <w:rFonts w:ascii="Times New Roman" w:hAnsi="Times New Roman" w:cs="Times New Roman"/>
                <w:bCs/>
                <w:sz w:val="20"/>
                <w:szCs w:val="20"/>
                <w:lang w:val="ro-MD"/>
              </w:rPr>
            </w:pPr>
            <w:r w:rsidRPr="003D570B">
              <w:rPr>
                <w:rFonts w:ascii="Times New Roman" w:hAnsi="Times New Roman" w:cs="Times New Roman"/>
                <w:bCs/>
                <w:sz w:val="20"/>
                <w:szCs w:val="20"/>
                <w:lang w:val="ro-MD"/>
              </w:rPr>
              <w:t>HG nr. 10/2012 privind Regulamentul cu privire la delegarea personalului entităților din Republica Moldova stabilește un cadru juridic distinct pentru deplasările în interes de serviciu, inclusiv compensarea cheltuielilor de transport. Regulamentul privind achizițiile publice (HG nr. 870/2022, modificat) are ca obiect reglementarea procedurilor de achiziție publică, nu modalitatea de decontare a cheltuielilor de transport în cadrul delegărilor. Cele două acte normative au sfere de aplicare distincte și nu pot fi corelate prin intermediul Regulamentului de achiziții. Eventualele aspecte privind utilizarea platformelor de achiziții de bilete sau a site-urilor oficiale ale companiilor aeriene în cadrul delegărilor ar trebui reglementate prin completarea HG nr. 10/2012, nu prin modificarea Regulamentului de achiziții publice.</w:t>
            </w:r>
          </w:p>
        </w:tc>
      </w:tr>
      <w:tr w:rsidR="00BB18D5" w:rsidRPr="003D570B" w14:paraId="13F3AD7D" w14:textId="77777777" w:rsidTr="00A919EA">
        <w:trPr>
          <w:trHeight w:val="416"/>
        </w:trPr>
        <w:tc>
          <w:tcPr>
            <w:tcW w:w="3397" w:type="dxa"/>
          </w:tcPr>
          <w:p w14:paraId="28B89B41" w14:textId="5005B061" w:rsidR="00BB18D5" w:rsidRPr="003D570B" w:rsidRDefault="00760BD0" w:rsidP="00797C0D">
            <w:pPr>
              <w:tabs>
                <w:tab w:val="left" w:pos="8505"/>
              </w:tabs>
              <w:jc w:val="both"/>
              <w:rPr>
                <w:rFonts w:ascii="Times New Roman" w:hAnsi="Times New Roman" w:cs="Times New Roman"/>
                <w:b/>
                <w:sz w:val="20"/>
                <w:szCs w:val="20"/>
                <w:lang w:val="ro-RO"/>
              </w:rPr>
            </w:pPr>
            <w:r w:rsidRPr="00060388">
              <w:rPr>
                <w:rFonts w:ascii="Times New Roman" w:hAnsi="Times New Roman" w:cs="Times New Roman"/>
                <w:b/>
                <w:sz w:val="20"/>
                <w:szCs w:val="20"/>
                <w:lang w:val="it-IT"/>
              </w:rPr>
              <w:lastRenderedPageBreak/>
              <w:t>În contextul proiectului</w:t>
            </w:r>
          </w:p>
        </w:tc>
        <w:tc>
          <w:tcPr>
            <w:tcW w:w="2977" w:type="dxa"/>
          </w:tcPr>
          <w:p w14:paraId="4D28E3D4" w14:textId="77777777" w:rsidR="00BB18D5" w:rsidRPr="00154388" w:rsidRDefault="00BB18D5"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34B92657" w14:textId="416A0167" w:rsidR="00BB18D5" w:rsidRDefault="007B279D"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16</w:t>
            </w:r>
          </w:p>
        </w:tc>
        <w:tc>
          <w:tcPr>
            <w:tcW w:w="3402" w:type="dxa"/>
          </w:tcPr>
          <w:p w14:paraId="3E00A7C7" w14:textId="65CC1695" w:rsidR="00BB18D5" w:rsidRPr="003D570B" w:rsidRDefault="007B279D" w:rsidP="00BB18D5">
            <w:pPr>
              <w:jc w:val="both"/>
              <w:rPr>
                <w:rFonts w:ascii="Times New Roman" w:hAnsi="Times New Roman" w:cs="Times New Roman"/>
                <w:sz w:val="20"/>
                <w:szCs w:val="20"/>
                <w:lang w:val="it-IT"/>
              </w:rPr>
            </w:pPr>
            <w:r w:rsidRPr="003D570B">
              <w:rPr>
                <w:rFonts w:ascii="Times New Roman" w:hAnsi="Times New Roman" w:cs="Times New Roman"/>
                <w:sz w:val="20"/>
                <w:szCs w:val="20"/>
                <w:lang w:val="it-IT"/>
              </w:rPr>
              <w:t xml:space="preserve">Totodată, comunicăm disponibilitatea BNM de a explica considerentele sale în cadrul unei ședințe comune cu autorii proiectului de hotărâre. </w:t>
            </w:r>
          </w:p>
        </w:tc>
        <w:tc>
          <w:tcPr>
            <w:tcW w:w="3436" w:type="dxa"/>
          </w:tcPr>
          <w:p w14:paraId="3A3164C5" w14:textId="7960CD91" w:rsidR="00BB18D5" w:rsidRDefault="003D570B" w:rsidP="00797C0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760BD0" w:rsidRPr="00760BD0" w14:paraId="5A30D29E" w14:textId="77777777" w:rsidTr="00A919EA">
        <w:trPr>
          <w:trHeight w:val="416"/>
        </w:trPr>
        <w:tc>
          <w:tcPr>
            <w:tcW w:w="3397" w:type="dxa"/>
          </w:tcPr>
          <w:p w14:paraId="791581D8" w14:textId="77777777" w:rsidR="00760BD0" w:rsidRPr="003D570B" w:rsidRDefault="00760BD0" w:rsidP="00797C0D">
            <w:pPr>
              <w:tabs>
                <w:tab w:val="left" w:pos="8505"/>
              </w:tabs>
              <w:jc w:val="both"/>
              <w:rPr>
                <w:rFonts w:ascii="Times New Roman" w:hAnsi="Times New Roman" w:cs="Times New Roman"/>
                <w:b/>
                <w:sz w:val="20"/>
                <w:szCs w:val="20"/>
                <w:lang w:val="ro-RO"/>
              </w:rPr>
            </w:pPr>
          </w:p>
        </w:tc>
        <w:tc>
          <w:tcPr>
            <w:tcW w:w="2977" w:type="dxa"/>
          </w:tcPr>
          <w:p w14:paraId="49232B7C" w14:textId="7DC2A53B" w:rsidR="00760BD0" w:rsidRPr="00154388" w:rsidRDefault="00760BD0" w:rsidP="00797C0D">
            <w:pPr>
              <w:tabs>
                <w:tab w:val="left" w:pos="8505"/>
              </w:tabs>
              <w:jc w:val="center"/>
              <w:rPr>
                <w:rFonts w:ascii="Times New Roman" w:hAnsi="Times New Roman" w:cs="Times New Roman"/>
                <w:b/>
                <w:color w:val="000000" w:themeColor="text1"/>
                <w:sz w:val="20"/>
                <w:szCs w:val="20"/>
                <w:lang w:val="ro-RO"/>
              </w:rPr>
            </w:pPr>
            <w:r>
              <w:rPr>
                <w:rFonts w:ascii="Times New Roman" w:hAnsi="Times New Roman" w:cs="Times New Roman"/>
                <w:b/>
                <w:color w:val="000000" w:themeColor="text1"/>
                <w:sz w:val="20"/>
                <w:szCs w:val="20"/>
                <w:lang w:val="ro-RO"/>
              </w:rPr>
              <w:t xml:space="preserve">Şedința interinstituționalǎ cu </w:t>
            </w:r>
            <w:r w:rsidRPr="00760BD0">
              <w:rPr>
                <w:rFonts w:ascii="Times New Roman" w:hAnsi="Times New Roman" w:cs="Times New Roman"/>
                <w:b/>
                <w:color w:val="000000" w:themeColor="text1"/>
                <w:sz w:val="20"/>
                <w:szCs w:val="20"/>
                <w:lang w:val="it-IT"/>
              </w:rPr>
              <w:t xml:space="preserve"> Congresul Autorităților Locale din Moldova (CALM)</w:t>
            </w:r>
            <w:r>
              <w:rPr>
                <w:rFonts w:ascii="Times New Roman" w:hAnsi="Times New Roman" w:cs="Times New Roman"/>
                <w:b/>
                <w:color w:val="000000" w:themeColor="text1"/>
                <w:sz w:val="20"/>
                <w:szCs w:val="20"/>
                <w:lang w:val="it-IT"/>
              </w:rPr>
              <w:t xml:space="preserve"> (4 mai 2026)</w:t>
            </w:r>
          </w:p>
        </w:tc>
        <w:tc>
          <w:tcPr>
            <w:tcW w:w="533" w:type="dxa"/>
          </w:tcPr>
          <w:p w14:paraId="6548232A" w14:textId="77777777" w:rsidR="00760BD0" w:rsidRDefault="00760BD0" w:rsidP="00797C0D">
            <w:pPr>
              <w:tabs>
                <w:tab w:val="left" w:pos="8505"/>
              </w:tabs>
              <w:jc w:val="center"/>
              <w:rPr>
                <w:rFonts w:ascii="Times New Roman" w:hAnsi="Times New Roman" w:cs="Times New Roman"/>
                <w:b/>
                <w:sz w:val="20"/>
                <w:szCs w:val="20"/>
                <w:lang w:val="ro-RO"/>
              </w:rPr>
            </w:pPr>
          </w:p>
        </w:tc>
        <w:tc>
          <w:tcPr>
            <w:tcW w:w="3402" w:type="dxa"/>
          </w:tcPr>
          <w:p w14:paraId="1B79EA69" w14:textId="77777777" w:rsidR="00760BD0" w:rsidRPr="003D570B" w:rsidRDefault="00760BD0" w:rsidP="00BB18D5">
            <w:pPr>
              <w:jc w:val="both"/>
              <w:rPr>
                <w:rFonts w:ascii="Times New Roman" w:hAnsi="Times New Roman" w:cs="Times New Roman"/>
                <w:sz w:val="20"/>
                <w:szCs w:val="20"/>
                <w:lang w:val="it-IT"/>
              </w:rPr>
            </w:pPr>
          </w:p>
        </w:tc>
        <w:tc>
          <w:tcPr>
            <w:tcW w:w="3436" w:type="dxa"/>
          </w:tcPr>
          <w:p w14:paraId="2F22840E" w14:textId="77777777" w:rsidR="00760BD0" w:rsidRDefault="00760BD0" w:rsidP="00797C0D">
            <w:pPr>
              <w:tabs>
                <w:tab w:val="left" w:pos="8505"/>
              </w:tabs>
              <w:jc w:val="both"/>
              <w:rPr>
                <w:rFonts w:ascii="Times New Roman" w:hAnsi="Times New Roman" w:cs="Times New Roman"/>
                <w:b/>
                <w:sz w:val="20"/>
                <w:szCs w:val="20"/>
                <w:lang w:val="ro-RO"/>
              </w:rPr>
            </w:pPr>
          </w:p>
        </w:tc>
      </w:tr>
      <w:tr w:rsidR="00760BD0" w:rsidRPr="00760BD0" w14:paraId="7F2CF1FA" w14:textId="77777777" w:rsidTr="00A919EA">
        <w:trPr>
          <w:trHeight w:val="416"/>
        </w:trPr>
        <w:tc>
          <w:tcPr>
            <w:tcW w:w="3397" w:type="dxa"/>
          </w:tcPr>
          <w:p w14:paraId="74891942" w14:textId="005ECDB1" w:rsidR="00760BD0" w:rsidRPr="003D570B" w:rsidRDefault="00760BD0" w:rsidP="00797C0D">
            <w:pPr>
              <w:tabs>
                <w:tab w:val="left" w:pos="8505"/>
              </w:tabs>
              <w:jc w:val="both"/>
              <w:rPr>
                <w:rFonts w:ascii="Times New Roman" w:hAnsi="Times New Roman" w:cs="Times New Roman"/>
                <w:b/>
                <w:sz w:val="20"/>
                <w:szCs w:val="20"/>
                <w:lang w:val="ro-RO"/>
              </w:rPr>
            </w:pPr>
            <w:r w:rsidRPr="00060388">
              <w:rPr>
                <w:rFonts w:ascii="Times New Roman" w:hAnsi="Times New Roman" w:cs="Times New Roman"/>
                <w:b/>
                <w:sz w:val="20"/>
                <w:szCs w:val="20"/>
                <w:lang w:val="it-IT"/>
              </w:rPr>
              <w:t>În contextul proiectului</w:t>
            </w:r>
          </w:p>
        </w:tc>
        <w:tc>
          <w:tcPr>
            <w:tcW w:w="2977" w:type="dxa"/>
          </w:tcPr>
          <w:p w14:paraId="4A9AF7E8" w14:textId="77777777" w:rsidR="00760BD0" w:rsidRDefault="00760BD0"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36254D95" w14:textId="7A4BFB2E" w:rsidR="00760BD0" w:rsidRDefault="00760BD0"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501E1FD9" w14:textId="77777777" w:rsidR="00760BD0" w:rsidRPr="003D570B" w:rsidRDefault="00760BD0" w:rsidP="00BB18D5">
            <w:pPr>
              <w:jc w:val="both"/>
              <w:rPr>
                <w:rFonts w:ascii="Times New Roman" w:hAnsi="Times New Roman" w:cs="Times New Roman"/>
                <w:sz w:val="20"/>
                <w:szCs w:val="20"/>
                <w:lang w:val="it-IT"/>
              </w:rPr>
            </w:pPr>
          </w:p>
        </w:tc>
        <w:tc>
          <w:tcPr>
            <w:tcW w:w="3436" w:type="dxa"/>
          </w:tcPr>
          <w:p w14:paraId="2EB8B60E" w14:textId="7F75267F" w:rsidR="00760BD0" w:rsidRDefault="00760BD0" w:rsidP="00797C0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 xml:space="preserve">Procesul Verbal </w:t>
            </w:r>
            <w:r w:rsidRPr="00760BD0">
              <w:rPr>
                <w:rFonts w:ascii="Times New Roman" w:hAnsi="Times New Roman" w:cs="Times New Roman"/>
                <w:bCs/>
                <w:sz w:val="20"/>
                <w:szCs w:val="20"/>
                <w:lang w:val="ro-RO"/>
              </w:rPr>
              <w:t>elaborat în urma şedinței din data de 4 mai 2026 va fi ataşat cu av</w:t>
            </w:r>
            <w:r>
              <w:rPr>
                <w:rFonts w:ascii="Times New Roman" w:hAnsi="Times New Roman" w:cs="Times New Roman"/>
                <w:bCs/>
                <w:sz w:val="20"/>
                <w:szCs w:val="20"/>
                <w:lang w:val="ro-RO"/>
              </w:rPr>
              <w:t>i</w:t>
            </w:r>
            <w:r w:rsidRPr="00760BD0">
              <w:rPr>
                <w:rFonts w:ascii="Times New Roman" w:hAnsi="Times New Roman" w:cs="Times New Roman"/>
                <w:bCs/>
                <w:sz w:val="20"/>
                <w:szCs w:val="20"/>
                <w:lang w:val="ro-RO"/>
              </w:rPr>
              <w:t>zele recepționate</w:t>
            </w:r>
            <w:r>
              <w:rPr>
                <w:rFonts w:ascii="Times New Roman" w:hAnsi="Times New Roman" w:cs="Times New Roman"/>
                <w:bCs/>
                <w:sz w:val="20"/>
                <w:szCs w:val="20"/>
                <w:lang w:val="ro-RO"/>
              </w:rPr>
              <w:t xml:space="preserve"> în procesul de consultare publicǎ</w:t>
            </w:r>
            <w:r w:rsidRPr="00760BD0">
              <w:rPr>
                <w:rFonts w:ascii="Times New Roman" w:hAnsi="Times New Roman" w:cs="Times New Roman"/>
                <w:bCs/>
                <w:sz w:val="20"/>
                <w:szCs w:val="20"/>
                <w:lang w:val="ro-RO"/>
              </w:rPr>
              <w:t>.</w:t>
            </w:r>
          </w:p>
        </w:tc>
      </w:tr>
      <w:tr w:rsidR="00760BD0" w:rsidRPr="00760BD0" w14:paraId="7D4A6A3F" w14:textId="77777777" w:rsidTr="00A919EA">
        <w:trPr>
          <w:trHeight w:val="416"/>
        </w:trPr>
        <w:tc>
          <w:tcPr>
            <w:tcW w:w="3397" w:type="dxa"/>
          </w:tcPr>
          <w:p w14:paraId="59FE4935" w14:textId="77777777" w:rsidR="00760BD0" w:rsidRPr="003D570B" w:rsidRDefault="00760BD0" w:rsidP="00797C0D">
            <w:pPr>
              <w:tabs>
                <w:tab w:val="left" w:pos="8505"/>
              </w:tabs>
              <w:jc w:val="both"/>
              <w:rPr>
                <w:rFonts w:ascii="Times New Roman" w:hAnsi="Times New Roman" w:cs="Times New Roman"/>
                <w:b/>
                <w:sz w:val="20"/>
                <w:szCs w:val="20"/>
                <w:lang w:val="ro-RO"/>
              </w:rPr>
            </w:pPr>
          </w:p>
        </w:tc>
        <w:tc>
          <w:tcPr>
            <w:tcW w:w="2977" w:type="dxa"/>
          </w:tcPr>
          <w:p w14:paraId="0B4B4A67" w14:textId="614FDE61" w:rsidR="00760BD0" w:rsidRPr="00760BD0" w:rsidRDefault="00760BD0" w:rsidP="00797C0D">
            <w:pPr>
              <w:tabs>
                <w:tab w:val="left" w:pos="8505"/>
              </w:tabs>
              <w:jc w:val="center"/>
              <w:rPr>
                <w:rFonts w:ascii="Times New Roman" w:hAnsi="Times New Roman" w:cs="Times New Roman"/>
                <w:b/>
                <w:color w:val="000000" w:themeColor="text1"/>
                <w:sz w:val="20"/>
                <w:szCs w:val="20"/>
                <w:lang w:val="it-IT"/>
              </w:rPr>
            </w:pPr>
            <w:r w:rsidRPr="00760BD0">
              <w:rPr>
                <w:rFonts w:ascii="Times New Roman" w:hAnsi="Times New Roman" w:cs="Times New Roman"/>
                <w:b/>
                <w:color w:val="000000" w:themeColor="text1"/>
                <w:sz w:val="20"/>
                <w:szCs w:val="20"/>
                <w:lang w:val="it-IT"/>
              </w:rPr>
              <w:t>Congresul Autorităților Locale din Moldova (CALM)</w:t>
            </w:r>
            <w:r>
              <w:rPr>
                <w:rFonts w:ascii="Times New Roman" w:hAnsi="Times New Roman" w:cs="Times New Roman"/>
                <w:b/>
                <w:color w:val="000000" w:themeColor="text1"/>
                <w:sz w:val="20"/>
                <w:szCs w:val="20"/>
                <w:lang w:val="it-IT"/>
              </w:rPr>
              <w:t xml:space="preserve"> (scrisoarea suplimentarǎ n</w:t>
            </w:r>
            <w:r w:rsidRPr="00760BD0">
              <w:rPr>
                <w:rFonts w:ascii="Times New Roman" w:hAnsi="Times New Roman" w:cs="Times New Roman"/>
                <w:b/>
                <w:color w:val="000000" w:themeColor="text1"/>
                <w:sz w:val="20"/>
                <w:szCs w:val="20"/>
                <w:lang w:val="it-IT"/>
              </w:rPr>
              <w:t>r.</w:t>
            </w:r>
            <w:r>
              <w:rPr>
                <w:rFonts w:ascii="Times New Roman" w:hAnsi="Times New Roman" w:cs="Times New Roman"/>
                <w:b/>
                <w:color w:val="000000" w:themeColor="text1"/>
                <w:sz w:val="20"/>
                <w:szCs w:val="20"/>
                <w:lang w:val="it-IT"/>
              </w:rPr>
              <w:t xml:space="preserve"> </w:t>
            </w:r>
            <w:r w:rsidRPr="00760BD0">
              <w:rPr>
                <w:rFonts w:ascii="Times New Roman" w:hAnsi="Times New Roman" w:cs="Times New Roman"/>
                <w:b/>
                <w:color w:val="000000" w:themeColor="text1"/>
                <w:sz w:val="20"/>
                <w:szCs w:val="20"/>
                <w:lang w:val="it-IT"/>
              </w:rPr>
              <w:t>146 din 05 mai 2026</w:t>
            </w:r>
            <w:r>
              <w:rPr>
                <w:rFonts w:ascii="Times New Roman" w:hAnsi="Times New Roman" w:cs="Times New Roman"/>
                <w:b/>
                <w:color w:val="000000" w:themeColor="text1"/>
                <w:sz w:val="20"/>
                <w:szCs w:val="20"/>
                <w:lang w:val="it-IT"/>
              </w:rPr>
              <w:t>)</w:t>
            </w:r>
          </w:p>
        </w:tc>
        <w:tc>
          <w:tcPr>
            <w:tcW w:w="533" w:type="dxa"/>
          </w:tcPr>
          <w:p w14:paraId="62720438" w14:textId="77777777" w:rsidR="00760BD0" w:rsidRDefault="00760BD0" w:rsidP="00797C0D">
            <w:pPr>
              <w:tabs>
                <w:tab w:val="left" w:pos="8505"/>
              </w:tabs>
              <w:jc w:val="center"/>
              <w:rPr>
                <w:rFonts w:ascii="Times New Roman" w:hAnsi="Times New Roman" w:cs="Times New Roman"/>
                <w:b/>
                <w:sz w:val="20"/>
                <w:szCs w:val="20"/>
                <w:lang w:val="ro-RO"/>
              </w:rPr>
            </w:pPr>
          </w:p>
        </w:tc>
        <w:tc>
          <w:tcPr>
            <w:tcW w:w="3402" w:type="dxa"/>
          </w:tcPr>
          <w:p w14:paraId="4B18B807" w14:textId="77777777" w:rsidR="00760BD0" w:rsidRPr="003D570B" w:rsidRDefault="00760BD0" w:rsidP="00BB18D5">
            <w:pPr>
              <w:jc w:val="both"/>
              <w:rPr>
                <w:rFonts w:ascii="Times New Roman" w:hAnsi="Times New Roman" w:cs="Times New Roman"/>
                <w:sz w:val="20"/>
                <w:szCs w:val="20"/>
                <w:lang w:val="it-IT"/>
              </w:rPr>
            </w:pPr>
          </w:p>
        </w:tc>
        <w:tc>
          <w:tcPr>
            <w:tcW w:w="3436" w:type="dxa"/>
          </w:tcPr>
          <w:p w14:paraId="0E58BCA9" w14:textId="77777777" w:rsidR="00760BD0" w:rsidRDefault="00760BD0" w:rsidP="00797C0D">
            <w:pPr>
              <w:tabs>
                <w:tab w:val="left" w:pos="8505"/>
              </w:tabs>
              <w:jc w:val="both"/>
              <w:rPr>
                <w:rFonts w:ascii="Times New Roman" w:hAnsi="Times New Roman" w:cs="Times New Roman"/>
                <w:b/>
                <w:sz w:val="20"/>
                <w:szCs w:val="20"/>
                <w:lang w:val="ro-RO"/>
              </w:rPr>
            </w:pPr>
          </w:p>
        </w:tc>
      </w:tr>
      <w:tr w:rsidR="00760BD0" w:rsidRPr="00760BD0" w14:paraId="3789B7F8" w14:textId="77777777" w:rsidTr="00A919EA">
        <w:trPr>
          <w:trHeight w:val="416"/>
        </w:trPr>
        <w:tc>
          <w:tcPr>
            <w:tcW w:w="3397" w:type="dxa"/>
          </w:tcPr>
          <w:p w14:paraId="50C9BCF1" w14:textId="77472B8E" w:rsidR="00760BD0" w:rsidRPr="003D570B" w:rsidRDefault="00760BD0" w:rsidP="00797C0D">
            <w:pPr>
              <w:tabs>
                <w:tab w:val="left" w:pos="8505"/>
              </w:tabs>
              <w:jc w:val="both"/>
              <w:rPr>
                <w:rFonts w:ascii="Times New Roman" w:hAnsi="Times New Roman" w:cs="Times New Roman"/>
                <w:b/>
                <w:sz w:val="20"/>
                <w:szCs w:val="20"/>
                <w:lang w:val="ro-RO"/>
              </w:rPr>
            </w:pPr>
            <w:r w:rsidRPr="00060388">
              <w:rPr>
                <w:rFonts w:ascii="Times New Roman" w:hAnsi="Times New Roman" w:cs="Times New Roman"/>
                <w:b/>
                <w:sz w:val="20"/>
                <w:szCs w:val="20"/>
                <w:lang w:val="it-IT"/>
              </w:rPr>
              <w:lastRenderedPageBreak/>
              <w:t>În contextul proiectului</w:t>
            </w:r>
          </w:p>
        </w:tc>
        <w:tc>
          <w:tcPr>
            <w:tcW w:w="2977" w:type="dxa"/>
          </w:tcPr>
          <w:p w14:paraId="66624350" w14:textId="77777777" w:rsidR="00760BD0" w:rsidRPr="00760BD0" w:rsidRDefault="00760BD0" w:rsidP="00797C0D">
            <w:pPr>
              <w:tabs>
                <w:tab w:val="left" w:pos="8505"/>
              </w:tabs>
              <w:jc w:val="center"/>
              <w:rPr>
                <w:rFonts w:ascii="Times New Roman" w:hAnsi="Times New Roman" w:cs="Times New Roman"/>
                <w:b/>
                <w:color w:val="000000" w:themeColor="text1"/>
                <w:sz w:val="20"/>
                <w:szCs w:val="20"/>
                <w:lang w:val="it-IT"/>
              </w:rPr>
            </w:pPr>
          </w:p>
        </w:tc>
        <w:tc>
          <w:tcPr>
            <w:tcW w:w="533" w:type="dxa"/>
          </w:tcPr>
          <w:p w14:paraId="62BD4521" w14:textId="45267B1C" w:rsidR="00760BD0" w:rsidRDefault="00760BD0"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1211E080" w14:textId="6137AF21" w:rsidR="00760BD0" w:rsidRPr="00760BD0" w:rsidRDefault="00760BD0" w:rsidP="00760BD0">
            <w:pPr>
              <w:jc w:val="both"/>
              <w:rPr>
                <w:rFonts w:ascii="Times New Roman" w:hAnsi="Times New Roman" w:cs="Times New Roman"/>
                <w:sz w:val="20"/>
                <w:szCs w:val="20"/>
                <w:lang w:val="ro-RO"/>
              </w:rPr>
            </w:pPr>
            <w:r w:rsidRPr="00760BD0">
              <w:rPr>
                <w:rFonts w:ascii="Times New Roman" w:hAnsi="Times New Roman" w:cs="Times New Roman"/>
                <w:sz w:val="20"/>
                <w:szCs w:val="20"/>
                <w:lang w:val="ro-RO"/>
              </w:rPr>
              <w:t>Proiectul urmează să includă prevederi tranzitorii pentru procedurile în proces de derulare la 01 ianuarie 2027 sau nefinalizate (la data intrării în vigoare), inclusiv pct. 2 din Proiect trebuie revăzut redacțional din punct de vedere a referințelor și a numerotării punctelor Proiectului.</w:t>
            </w:r>
          </w:p>
        </w:tc>
        <w:tc>
          <w:tcPr>
            <w:tcW w:w="3436" w:type="dxa"/>
          </w:tcPr>
          <w:p w14:paraId="598AE241" w14:textId="77777777" w:rsidR="00760BD0" w:rsidRDefault="00760BD0" w:rsidP="00797C0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acceptǎ</w:t>
            </w:r>
          </w:p>
          <w:p w14:paraId="4F9BAF06" w14:textId="77777777" w:rsidR="00760BD0" w:rsidRDefault="00760BD0" w:rsidP="00797C0D">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Modificǎrile au fost operate în urma avizului anterior CALM</w:t>
            </w:r>
            <w:r>
              <w:rPr>
                <w:rFonts w:ascii="Times New Roman" w:hAnsi="Times New Roman" w:cs="Times New Roman"/>
                <w:bCs/>
                <w:sz w:val="20"/>
                <w:szCs w:val="20"/>
                <w:lang w:val="ro-RO"/>
              </w:rPr>
              <w:t>.</w:t>
            </w:r>
          </w:p>
          <w:p w14:paraId="5880B82A" w14:textId="77777777" w:rsidR="00760BD0" w:rsidRDefault="00760BD0" w:rsidP="00797C0D">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A fost inclus pct. 2 cu urmǎtorul cuprins:</w:t>
            </w:r>
          </w:p>
          <w:p w14:paraId="52DE5C5A" w14:textId="0B1270F7" w:rsidR="00760BD0" w:rsidRPr="00760BD0" w:rsidRDefault="00760BD0" w:rsidP="00797C0D">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
                <w:sz w:val="20"/>
                <w:szCs w:val="20"/>
                <w:lang w:val="ro-RO"/>
              </w:rPr>
              <w:t>2.</w:t>
            </w:r>
            <w:r w:rsidRPr="00760BD0">
              <w:rPr>
                <w:rFonts w:ascii="Times New Roman" w:hAnsi="Times New Roman" w:cs="Times New Roman"/>
                <w:bCs/>
                <w:sz w:val="20"/>
                <w:szCs w:val="20"/>
                <w:lang w:val="ro-RO"/>
              </w:rPr>
              <w:t xml:space="preserve"> Procedurile de achiziții publice de valoare mică inițiate până la data de 01 ianuarie 2027 se finalizează în conformitate cu prevederile legale în vigoare la data inițierii acestora. Contractele aferente procedurilor respective se execută potrivit condițiilor stabilite la data atribuirii.</w:t>
            </w:r>
          </w:p>
        </w:tc>
      </w:tr>
      <w:tr w:rsidR="00760BD0" w:rsidRPr="00760BD0" w14:paraId="21488592" w14:textId="77777777" w:rsidTr="00A919EA">
        <w:trPr>
          <w:trHeight w:val="416"/>
        </w:trPr>
        <w:tc>
          <w:tcPr>
            <w:tcW w:w="3397" w:type="dxa"/>
          </w:tcPr>
          <w:p w14:paraId="41FAD9CE" w14:textId="4F828342" w:rsidR="00760BD0" w:rsidRDefault="00760BD0" w:rsidP="00797C0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Hotǎrârea Guvernului nr. 870/2022:</w:t>
            </w:r>
          </w:p>
          <w:p w14:paraId="5AC603E7" w14:textId="18A2652A" w:rsidR="00760BD0" w:rsidRDefault="00760BD0" w:rsidP="00797C0D">
            <w:pPr>
              <w:tabs>
                <w:tab w:val="left" w:pos="8505"/>
              </w:tabs>
              <w:jc w:val="both"/>
              <w:rPr>
                <w:rFonts w:ascii="Times New Roman" w:hAnsi="Times New Roman" w:cs="Times New Roman"/>
                <w:bCs/>
                <w:sz w:val="20"/>
                <w:szCs w:val="20"/>
                <w:lang w:val="ro-RO"/>
              </w:rPr>
            </w:pPr>
            <w:r>
              <w:rPr>
                <w:rFonts w:ascii="Times New Roman" w:hAnsi="Times New Roman" w:cs="Times New Roman"/>
                <w:b/>
                <w:sz w:val="20"/>
                <w:szCs w:val="20"/>
                <w:lang w:val="ro-RO"/>
              </w:rPr>
              <w:t xml:space="preserve">Pct. </w:t>
            </w:r>
            <w:r w:rsidRPr="00760BD0">
              <w:rPr>
                <w:rFonts w:ascii="Times New Roman" w:hAnsi="Times New Roman" w:cs="Times New Roman"/>
                <w:b/>
                <w:sz w:val="20"/>
                <w:szCs w:val="20"/>
                <w:lang w:val="ro-RO"/>
              </w:rPr>
              <w:t>4.</w:t>
            </w:r>
            <w:r w:rsidRPr="00760BD0">
              <w:rPr>
                <w:rFonts w:ascii="Times New Roman" w:hAnsi="Times New Roman" w:cs="Times New Roman"/>
                <w:bCs/>
                <w:sz w:val="20"/>
                <w:szCs w:val="20"/>
                <w:lang w:val="ro-RO"/>
              </w:rPr>
              <w:t xml:space="preserve"> Autoritățile contractante, în cazul în care valoarea achiziției nu depășește 50 000 de lei fără taxa pe valoarea adăugată, au dreptul de a achiziționa direct bunuri, servicii și lucrări, în baza facturii de plată.</w:t>
            </w:r>
          </w:p>
          <w:p w14:paraId="0E8F8038" w14:textId="76BDF805" w:rsidR="00760BD0" w:rsidRPr="00760BD0" w:rsidRDefault="00760BD0" w:rsidP="00797C0D">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
                <w:sz w:val="20"/>
                <w:szCs w:val="20"/>
                <w:lang w:val="ro-RO"/>
              </w:rPr>
              <w:t>Pct.6.</w:t>
            </w:r>
            <w:r>
              <w:rPr>
                <w:rFonts w:ascii="Times New Roman" w:hAnsi="Times New Roman" w:cs="Times New Roman"/>
                <w:bCs/>
                <w:sz w:val="20"/>
                <w:szCs w:val="20"/>
                <w:lang w:val="ro-RO"/>
              </w:rPr>
              <w:t xml:space="preserve"> </w:t>
            </w:r>
            <w:r w:rsidRPr="00760BD0">
              <w:rPr>
                <w:lang w:val="ro-RO"/>
              </w:rPr>
              <w:t xml:space="preserve"> </w:t>
            </w:r>
            <w:r w:rsidRPr="00760BD0">
              <w:rPr>
                <w:rFonts w:ascii="Times New Roman" w:hAnsi="Times New Roman" w:cs="Times New Roman"/>
                <w:bCs/>
                <w:sz w:val="20"/>
                <w:szCs w:val="20"/>
                <w:lang w:val="ro-RO"/>
              </w:rPr>
              <w:t>Pentru achizițiile de bunuri și servicii a căror valoare este cuprinsă între 50 000 de lei și 150 000 de lei fără taxa pe valoarea adăugată, achizițiile de lucrări a căror valoare este cuprinsă între 50 000 de lei și 200 000 de lei fără taxa pe valoarea adăugată și achizițiile care au ca obiect serviciile sociale și alte servicii specifice enumerate în anexa nr. 2 din Legea nr. 131/2015 privind achizițiile publice, a căror valoare este cuprinsă între 50 000 de lei și 300 000 de lei fără taxa pe valoarea adăugată, autoritatea contractantă are dreptul să încheie contracte directe cu operatorul economic, asigurând respectarea principiilor prevăzute la pct. 8.</w:t>
            </w:r>
          </w:p>
        </w:tc>
        <w:tc>
          <w:tcPr>
            <w:tcW w:w="2977" w:type="dxa"/>
          </w:tcPr>
          <w:p w14:paraId="32368AB5" w14:textId="77777777" w:rsidR="00760BD0" w:rsidRPr="00154388" w:rsidRDefault="00760BD0"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71741B97" w14:textId="704DAB80" w:rsidR="00760BD0" w:rsidRDefault="00760BD0"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0E5367E5" w14:textId="4CD7039A" w:rsidR="00760BD0" w:rsidRPr="00760BD0" w:rsidRDefault="00760BD0" w:rsidP="00760BD0">
            <w:pPr>
              <w:jc w:val="both"/>
              <w:rPr>
                <w:rFonts w:ascii="Times New Roman" w:hAnsi="Times New Roman" w:cs="Times New Roman"/>
                <w:sz w:val="20"/>
                <w:szCs w:val="20"/>
                <w:lang w:val="ro-RO"/>
              </w:rPr>
            </w:pPr>
            <w:r w:rsidRPr="00760BD0">
              <w:rPr>
                <w:rFonts w:ascii="Times New Roman" w:hAnsi="Times New Roman" w:cs="Times New Roman"/>
                <w:sz w:val="20"/>
                <w:szCs w:val="20"/>
                <w:lang w:val="ro-RO"/>
              </w:rPr>
              <w:t>Toate pragurile din Hotărârea Guvernului nr. 870/2022 (în Proiect) urmează a fi majorate proporțional cu coeficientul de majorare a pragurilor existente comparativ cu cele din Legea nouă nr. 325/2025 (800 000 lei pentru bunuri și servicii și respectiv 1000 000 pentru lucrări).</w:t>
            </w:r>
          </w:p>
        </w:tc>
        <w:tc>
          <w:tcPr>
            <w:tcW w:w="3436" w:type="dxa"/>
          </w:tcPr>
          <w:p w14:paraId="61D3E8F4" w14:textId="77777777" w:rsidR="00760BD0" w:rsidRDefault="00760BD0" w:rsidP="00760BD0">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acceptǎ</w:t>
            </w:r>
          </w:p>
          <w:p w14:paraId="01838C49" w14:textId="359502D9" w:rsidR="00760BD0" w:rsidRPr="00760BD0" w:rsidRDefault="00760BD0" w:rsidP="00760BD0">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În proiect au fost incluse urmǎtoarele modificǎri:</w:t>
            </w:r>
          </w:p>
          <w:p w14:paraId="20D5A7CC" w14:textId="4A6365C1" w:rsidR="00760BD0" w:rsidRPr="00760BD0" w:rsidRDefault="00760BD0" w:rsidP="00760BD0">
            <w:pPr>
              <w:tabs>
                <w:tab w:val="left" w:pos="8505"/>
              </w:tabs>
              <w:jc w:val="both"/>
              <w:rPr>
                <w:rFonts w:ascii="Times New Roman" w:hAnsi="Times New Roman" w:cs="Times New Roman"/>
                <w:bCs/>
                <w:sz w:val="20"/>
                <w:szCs w:val="20"/>
                <w:lang w:val="it-IT"/>
              </w:rPr>
            </w:pPr>
            <w:r w:rsidRPr="00760BD0">
              <w:rPr>
                <w:rFonts w:ascii="Times New Roman" w:hAnsi="Times New Roman" w:cs="Times New Roman"/>
                <w:bCs/>
                <w:sz w:val="20"/>
                <w:szCs w:val="20"/>
                <w:lang w:val="it-IT"/>
              </w:rPr>
              <w:t>„1.4. La punctul 4, textul „50 000” se substituie cu textul „100 000”.</w:t>
            </w:r>
          </w:p>
          <w:p w14:paraId="30C56F38" w14:textId="1ABC8E57" w:rsidR="00760BD0" w:rsidRPr="00760BD0" w:rsidRDefault="00760BD0" w:rsidP="00760BD0">
            <w:pPr>
              <w:tabs>
                <w:tab w:val="left" w:pos="8505"/>
              </w:tabs>
              <w:jc w:val="both"/>
              <w:rPr>
                <w:rFonts w:ascii="Times New Roman" w:hAnsi="Times New Roman" w:cs="Times New Roman"/>
                <w:b/>
                <w:sz w:val="20"/>
                <w:szCs w:val="20"/>
                <w:lang w:val="it-IT"/>
              </w:rPr>
            </w:pPr>
            <w:r w:rsidRPr="00760BD0">
              <w:rPr>
                <w:rFonts w:ascii="Times New Roman" w:hAnsi="Times New Roman" w:cs="Times New Roman"/>
                <w:bCs/>
                <w:sz w:val="20"/>
                <w:szCs w:val="20"/>
                <w:lang w:val="it-IT"/>
              </w:rPr>
              <w:t>1.5. La punctul 6, textul „Legea nr. 131/2015 privind achizițiile publice” se substituie cu textul „Legea nr. 325/2025 privind achizițiile publice”, textul „între 50 000 de lei și 150 000 de lei” se substituie cu textul „100 000 de lei şi 250 000 de lei”, cât şi, textul „între 50 000 de lei și 200 000 de lei” se substituie cu textul „100 000 de lei şi 400 000 de lei”.</w:t>
            </w:r>
            <w:r>
              <w:rPr>
                <w:rFonts w:ascii="Times New Roman" w:hAnsi="Times New Roman" w:cs="Times New Roman"/>
                <w:bCs/>
                <w:sz w:val="20"/>
                <w:szCs w:val="20"/>
                <w:lang w:val="it-IT"/>
              </w:rPr>
              <w:t>”</w:t>
            </w:r>
          </w:p>
        </w:tc>
      </w:tr>
      <w:tr w:rsidR="00760BD0" w:rsidRPr="00760BD0" w14:paraId="5E3EFCAB" w14:textId="77777777" w:rsidTr="00A919EA">
        <w:trPr>
          <w:trHeight w:val="416"/>
        </w:trPr>
        <w:tc>
          <w:tcPr>
            <w:tcW w:w="3397" w:type="dxa"/>
          </w:tcPr>
          <w:p w14:paraId="6261705C" w14:textId="77777777" w:rsidR="00760BD0" w:rsidRDefault="00760BD0" w:rsidP="00760BD0">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Hotǎrârea Guvernului nr. 870/2022:</w:t>
            </w:r>
          </w:p>
          <w:p w14:paraId="5303E2B2" w14:textId="293A9F94" w:rsidR="00760BD0" w:rsidRPr="00760BD0" w:rsidRDefault="00760BD0" w:rsidP="00760BD0">
            <w:pPr>
              <w:tabs>
                <w:tab w:val="left" w:pos="8505"/>
              </w:tabs>
              <w:jc w:val="both"/>
              <w:rPr>
                <w:rFonts w:ascii="Times New Roman" w:hAnsi="Times New Roman" w:cs="Times New Roman"/>
                <w:bCs/>
                <w:sz w:val="20"/>
                <w:szCs w:val="20"/>
                <w:lang w:val="ro-RO"/>
              </w:rPr>
            </w:pPr>
            <w:r>
              <w:rPr>
                <w:rFonts w:ascii="Times New Roman" w:hAnsi="Times New Roman" w:cs="Times New Roman"/>
                <w:b/>
                <w:sz w:val="20"/>
                <w:szCs w:val="20"/>
                <w:lang w:val="ro-RO"/>
              </w:rPr>
              <w:t xml:space="preserve">Pct. </w:t>
            </w:r>
            <w:r w:rsidRPr="00760BD0">
              <w:rPr>
                <w:rFonts w:ascii="Times New Roman" w:hAnsi="Times New Roman" w:cs="Times New Roman"/>
                <w:b/>
                <w:sz w:val="20"/>
                <w:szCs w:val="20"/>
                <w:lang w:val="ro-RO"/>
              </w:rPr>
              <w:t xml:space="preserve">14. </w:t>
            </w:r>
            <w:r w:rsidRPr="00760BD0">
              <w:rPr>
                <w:rFonts w:ascii="Times New Roman" w:hAnsi="Times New Roman" w:cs="Times New Roman"/>
                <w:bCs/>
                <w:sz w:val="20"/>
                <w:szCs w:val="20"/>
                <w:lang w:val="ro-RO"/>
              </w:rPr>
              <w:t>Autoritatea/entitatea contractantă este obligată să desfășoare achizițiile publice de valoare mică prin intermediul SIA „RSAP”, cu excepția următoarelor cazuri:</w:t>
            </w:r>
          </w:p>
          <w:p w14:paraId="571CA23A" w14:textId="7777777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lastRenderedPageBreak/>
              <w:t>1) achizițiile directe ale căror valori estimate sunt stabilite în pct. 4-7;</w:t>
            </w:r>
          </w:p>
          <w:p w14:paraId="00886391" w14:textId="7777777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2) achizițiile de la persoanele fizice care nu au statut de întreprinzător;</w:t>
            </w:r>
          </w:p>
          <w:p w14:paraId="0B6052A6" w14:textId="7777777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3) achizițiile de combustibil;</w:t>
            </w:r>
          </w:p>
          <w:p w14:paraId="094F5ACA" w14:textId="7777777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4) achizițiile serviciilor de proiectări;</w:t>
            </w:r>
          </w:p>
          <w:p w14:paraId="445AA401" w14:textId="7777777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5) achizițiile în domeniul serviciilor publice de gospodărie comunală;</w:t>
            </w:r>
          </w:p>
          <w:p w14:paraId="6452876D" w14:textId="7777777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6) un singur operator economic dispune de bunurile, serviciile și lucrările necesare sau un singur operator economic are drepturi exclusive asupra bunurilor, serviciilor, lucrărilor și nu există o altă alternativă;</w:t>
            </w:r>
          </w:p>
          <w:p w14:paraId="4D2246A6" w14:textId="7777777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7) nicio ofertă sau nicio ofertă adecvată ori nicio candidatură nu a fost depusă ca răspuns la o procedură de atribuire a contractului de achiziție publică de valoare mică prin SIA „RSAP”, cu condiția să nu se modifice în mod substanțial condițiile inițiale ale achiziției (substanțiale se consideră modificările termenelor de livrare/prestare/executare, condițiilor de achitare, condiţiilor de livrare/prestare/executare, cerinţelor faţă de calitate, cantitate, garanţii, alte condiţii esenţiale care schimbă echilibrul economic al achiziţiei în favoarea contractantului într-un mod care nu a fost prevăzut în condițiile achiziţiei iniţiale), iar lipsa concurenței nu este rezultatul unei restrângeri artificiale a parametrilor achiziției;</w:t>
            </w:r>
          </w:p>
          <w:p w14:paraId="41233F86" w14:textId="36FD3748" w:rsidR="00760BD0" w:rsidRPr="003D570B" w:rsidRDefault="00760BD0" w:rsidP="00760BD0">
            <w:pPr>
              <w:tabs>
                <w:tab w:val="left" w:pos="8505"/>
              </w:tabs>
              <w:jc w:val="both"/>
              <w:rPr>
                <w:rFonts w:ascii="Times New Roman" w:hAnsi="Times New Roman" w:cs="Times New Roman"/>
                <w:b/>
                <w:sz w:val="20"/>
                <w:szCs w:val="20"/>
                <w:lang w:val="ro-RO"/>
              </w:rPr>
            </w:pPr>
            <w:r w:rsidRPr="00760BD0">
              <w:rPr>
                <w:rFonts w:ascii="Times New Roman" w:hAnsi="Times New Roman" w:cs="Times New Roman"/>
                <w:bCs/>
                <w:sz w:val="20"/>
                <w:szCs w:val="20"/>
                <w:lang w:val="ro-RO"/>
              </w:rPr>
              <w:t xml:space="preserve">8) în cazurile strict necesare, din motive de maximă urgenţă ca urmare a unor evenimente imprevizibile pentru autoritatea/entitatea contractantă în cauză, nu se pot respecta termenele pentru procedura de achiziție de valoare mică prin SIA ,,RSAP”. Situaţiile invocate pentru a justifica maxima urgenţă nu trebuie să fie imputabile </w:t>
            </w:r>
            <w:r w:rsidRPr="00760BD0">
              <w:rPr>
                <w:rFonts w:ascii="Times New Roman" w:hAnsi="Times New Roman" w:cs="Times New Roman"/>
                <w:bCs/>
                <w:sz w:val="20"/>
                <w:szCs w:val="20"/>
                <w:lang w:val="ro-RO"/>
              </w:rPr>
              <w:lastRenderedPageBreak/>
              <w:t>autorităţilor/entităților contractante. Decizia privind neutilizarea sistemului SIA ,,RSAP” pentru achiziția de valoare mică se adoptă cu majoritatea de voturi ale membrilor grupului de lucru și se consemnează printr‑un proces-verbal.</w:t>
            </w:r>
          </w:p>
        </w:tc>
        <w:tc>
          <w:tcPr>
            <w:tcW w:w="2977" w:type="dxa"/>
          </w:tcPr>
          <w:p w14:paraId="0048C3F6" w14:textId="77777777" w:rsidR="00760BD0" w:rsidRPr="00154388" w:rsidRDefault="00760BD0" w:rsidP="00797C0D">
            <w:pPr>
              <w:tabs>
                <w:tab w:val="left" w:pos="8505"/>
              </w:tabs>
              <w:jc w:val="center"/>
              <w:rPr>
                <w:rFonts w:ascii="Times New Roman" w:hAnsi="Times New Roman" w:cs="Times New Roman"/>
                <w:b/>
                <w:color w:val="000000" w:themeColor="text1"/>
                <w:sz w:val="20"/>
                <w:szCs w:val="20"/>
                <w:lang w:val="ro-RO"/>
              </w:rPr>
            </w:pPr>
          </w:p>
        </w:tc>
        <w:tc>
          <w:tcPr>
            <w:tcW w:w="533" w:type="dxa"/>
          </w:tcPr>
          <w:p w14:paraId="02926FDD" w14:textId="3170140C" w:rsidR="00760BD0" w:rsidRDefault="00760BD0" w:rsidP="00797C0D">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58CE2B57" w14:textId="003A671A" w:rsidR="00760BD0" w:rsidRPr="00760BD0" w:rsidRDefault="00760BD0" w:rsidP="00760BD0">
            <w:pPr>
              <w:jc w:val="both"/>
              <w:rPr>
                <w:rFonts w:ascii="Times New Roman" w:hAnsi="Times New Roman" w:cs="Times New Roman"/>
                <w:sz w:val="20"/>
                <w:szCs w:val="20"/>
                <w:lang w:val="ro-RO"/>
              </w:rPr>
            </w:pPr>
            <w:r w:rsidRPr="00760BD0">
              <w:rPr>
                <w:rFonts w:ascii="Times New Roman" w:hAnsi="Times New Roman" w:cs="Times New Roman"/>
                <w:sz w:val="20"/>
                <w:szCs w:val="20"/>
                <w:lang w:val="ro-RO"/>
              </w:rPr>
              <w:t>Se propune ca achizițiile de resurse energetice (gaz și energie electrică), salubrizare (care în prezent nu se încadreaza în categoria de servicii comnale) și transport public, achitat din</w:t>
            </w:r>
          </w:p>
          <w:p w14:paraId="46DA2D4E" w14:textId="7861861D" w:rsidR="00760BD0" w:rsidRPr="003D570B" w:rsidRDefault="00760BD0" w:rsidP="00760BD0">
            <w:pPr>
              <w:jc w:val="both"/>
              <w:rPr>
                <w:rFonts w:ascii="Times New Roman" w:hAnsi="Times New Roman" w:cs="Times New Roman"/>
                <w:sz w:val="20"/>
                <w:szCs w:val="20"/>
                <w:lang w:val="it-IT"/>
              </w:rPr>
            </w:pPr>
            <w:r w:rsidRPr="00760BD0">
              <w:rPr>
                <w:rFonts w:ascii="Times New Roman" w:hAnsi="Times New Roman" w:cs="Times New Roman"/>
                <w:sz w:val="20"/>
                <w:szCs w:val="20"/>
                <w:lang w:val="it-IT"/>
              </w:rPr>
              <w:t>bugetul local să fie introduse la pct. 14, ca excepții, al Hotărârii nr. 870/2022.</w:t>
            </w:r>
          </w:p>
        </w:tc>
        <w:tc>
          <w:tcPr>
            <w:tcW w:w="3436" w:type="dxa"/>
          </w:tcPr>
          <w:p w14:paraId="36352F02" w14:textId="77777777" w:rsidR="00760BD0" w:rsidRDefault="00760BD0" w:rsidP="00797C0D">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acceptǎ</w:t>
            </w:r>
          </w:p>
          <w:p w14:paraId="2C690A1F" w14:textId="77777777" w:rsidR="00760BD0" w:rsidRDefault="00760BD0" w:rsidP="00797C0D">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La pct. 14. se include subpct. 11) cu urmǎtorul cuprins:</w:t>
            </w:r>
          </w:p>
          <w:p w14:paraId="4B1C01E3" w14:textId="4CE09311" w:rsidR="00760BD0" w:rsidRDefault="00760BD0" w:rsidP="00797C0D">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11) </w:t>
            </w:r>
            <w:r w:rsidRPr="00760BD0">
              <w:rPr>
                <w:rFonts w:ascii="Times New Roman" w:hAnsi="Times New Roman" w:cs="Times New Roman"/>
                <w:bCs/>
                <w:sz w:val="20"/>
                <w:szCs w:val="20"/>
                <w:lang w:val="ro-RO"/>
              </w:rPr>
              <w:t>achizițiile de energie electrică și gaze naturale, efectuate de la furnizori licențiați în condițiile legislației din domeniul energetic</w:t>
            </w:r>
            <w:r>
              <w:rPr>
                <w:rFonts w:ascii="Times New Roman" w:hAnsi="Times New Roman" w:cs="Times New Roman"/>
                <w:bCs/>
                <w:sz w:val="20"/>
                <w:szCs w:val="20"/>
                <w:lang w:val="ro-RO"/>
              </w:rPr>
              <w:t>.</w:t>
            </w:r>
          </w:p>
          <w:p w14:paraId="2F880D70" w14:textId="3513C6E3" w:rsidR="00760BD0" w:rsidRPr="00760BD0" w:rsidRDefault="00760BD0" w:rsidP="00760BD0">
            <w:pPr>
              <w:jc w:val="both"/>
              <w:rPr>
                <w:rFonts w:ascii="Times New Roman" w:hAnsi="Times New Roman" w:cs="Times New Roman"/>
                <w:sz w:val="20"/>
                <w:szCs w:val="20"/>
                <w:lang w:val="ro-RO"/>
              </w:rPr>
            </w:pPr>
            <w:r w:rsidRPr="00760BD0">
              <w:rPr>
                <w:rFonts w:ascii="Times New Roman" w:hAnsi="Times New Roman" w:cs="Times New Roman"/>
                <w:sz w:val="20"/>
                <w:szCs w:val="20"/>
                <w:lang w:val="ro-RO"/>
              </w:rPr>
              <w:lastRenderedPageBreak/>
              <w:t>Cu privire la achizițiile de salubrizare și transport public local:</w:t>
            </w:r>
          </w:p>
          <w:p w14:paraId="09C3AD98" w14:textId="77777777" w:rsidR="00BD6310" w:rsidRDefault="00760BD0" w:rsidP="00BD6310">
            <w:pPr>
              <w:jc w:val="both"/>
              <w:rPr>
                <w:rFonts w:ascii="Times New Roman" w:hAnsi="Times New Roman" w:cs="Times New Roman"/>
                <w:sz w:val="20"/>
                <w:szCs w:val="20"/>
                <w:lang w:val="ro-RO"/>
              </w:rPr>
            </w:pPr>
            <w:r w:rsidRPr="00760BD0">
              <w:rPr>
                <w:rFonts w:ascii="Times New Roman" w:hAnsi="Times New Roman" w:cs="Times New Roman"/>
                <w:sz w:val="20"/>
                <w:szCs w:val="20"/>
                <w:lang w:val="ro-RO"/>
              </w:rPr>
              <w:t xml:space="preserve">Aceste categorii de servicii fac deja parte din sfera serviciilor publice de </w:t>
            </w:r>
            <w:r w:rsidRPr="009D4AB8">
              <w:rPr>
                <w:rFonts w:ascii="Times New Roman" w:hAnsi="Times New Roman" w:cs="Times New Roman"/>
                <w:sz w:val="20"/>
                <w:szCs w:val="20"/>
                <w:lang w:val="ro-RO"/>
              </w:rPr>
              <w:t>gospodărie comunală, fiind reglementate expres de art. 3 alin. (1) din Legea serviciilor publice de gospodărie comunală nr. 1402/2002</w:t>
            </w:r>
            <w:r w:rsidR="009D4AB8">
              <w:rPr>
                <w:rFonts w:ascii="Times New Roman" w:hAnsi="Times New Roman" w:cs="Times New Roman"/>
                <w:sz w:val="20"/>
                <w:szCs w:val="20"/>
                <w:lang w:val="ro-RO"/>
              </w:rPr>
              <w:t xml:space="preserve">. </w:t>
            </w:r>
          </w:p>
          <w:p w14:paraId="68390B48" w14:textId="77777777" w:rsidR="00BD6310" w:rsidRDefault="00760BD0" w:rsidP="00BD6310">
            <w:pPr>
              <w:jc w:val="both"/>
              <w:rPr>
                <w:rFonts w:ascii="Times New Roman" w:hAnsi="Times New Roman" w:cs="Times New Roman"/>
                <w:sz w:val="20"/>
                <w:szCs w:val="20"/>
                <w:lang w:val="ro-RO"/>
              </w:rPr>
            </w:pPr>
            <w:r w:rsidRPr="00760BD0">
              <w:rPr>
                <w:rFonts w:ascii="Times New Roman" w:hAnsi="Times New Roman" w:cs="Times New Roman"/>
                <w:sz w:val="20"/>
                <w:szCs w:val="20"/>
                <w:lang w:val="ro-RO"/>
              </w:rPr>
              <w:t xml:space="preserve">Prin urmare, </w:t>
            </w:r>
            <w:r w:rsidR="00BD6310">
              <w:rPr>
                <w:rFonts w:ascii="Times New Roman" w:hAnsi="Times New Roman" w:cs="Times New Roman"/>
                <w:sz w:val="20"/>
                <w:szCs w:val="20"/>
                <w:lang w:val="ro-RO"/>
              </w:rPr>
              <w:t xml:space="preserve">la </w:t>
            </w:r>
            <w:r w:rsidRPr="00760BD0">
              <w:rPr>
                <w:rFonts w:ascii="Times New Roman" w:hAnsi="Times New Roman" w:cs="Times New Roman"/>
                <w:sz w:val="20"/>
                <w:szCs w:val="20"/>
                <w:lang w:val="ro-RO"/>
              </w:rPr>
              <w:t xml:space="preserve">pct. 14 subpct. 5) </w:t>
            </w:r>
            <w:r w:rsidR="00BD6310">
              <w:rPr>
                <w:rFonts w:ascii="Times New Roman" w:hAnsi="Times New Roman" w:cs="Times New Roman"/>
                <w:sz w:val="20"/>
                <w:szCs w:val="20"/>
                <w:lang w:val="ro-RO"/>
              </w:rPr>
              <w:t>va avea următorul cuprins:</w:t>
            </w:r>
          </w:p>
          <w:p w14:paraId="3B08DE25" w14:textId="3CEB90F9" w:rsidR="00760BD0" w:rsidRPr="00760BD0" w:rsidRDefault="00BD6310" w:rsidP="00BD6310">
            <w:pPr>
              <w:jc w:val="both"/>
              <w:rPr>
                <w:rFonts w:ascii="Times New Roman" w:hAnsi="Times New Roman" w:cs="Times New Roman"/>
                <w:sz w:val="20"/>
                <w:szCs w:val="20"/>
                <w:lang w:val="ro-RO"/>
              </w:rPr>
            </w:pPr>
            <w:r>
              <w:rPr>
                <w:rFonts w:ascii="Times New Roman" w:hAnsi="Times New Roman" w:cs="Times New Roman"/>
                <w:sz w:val="20"/>
                <w:szCs w:val="20"/>
                <w:lang w:val="ro-RO"/>
              </w:rPr>
              <w:t>„</w:t>
            </w:r>
            <w:r w:rsidR="00760BD0" w:rsidRPr="00760BD0">
              <w:rPr>
                <w:rFonts w:ascii="Times New Roman" w:hAnsi="Times New Roman" w:cs="Times New Roman"/>
                <w:sz w:val="20"/>
                <w:szCs w:val="20"/>
                <w:lang w:val="ro-RO"/>
              </w:rPr>
              <w:t xml:space="preserve"> </w:t>
            </w:r>
            <w:r w:rsidRPr="00BD6310">
              <w:rPr>
                <w:rFonts w:ascii="Times New Roman" w:hAnsi="Times New Roman" w:cs="Times New Roman"/>
                <w:sz w:val="20"/>
                <w:szCs w:val="20"/>
                <w:lang w:val="ro-RO"/>
              </w:rPr>
              <w:t>5) achizițiile în domeniul serviciilor publice de gospodărie comunală</w:t>
            </w:r>
            <w:r>
              <w:rPr>
                <w:rFonts w:ascii="Times New Roman" w:hAnsi="Times New Roman" w:cs="Times New Roman"/>
                <w:sz w:val="20"/>
                <w:szCs w:val="20"/>
                <w:lang w:val="ro-RO"/>
              </w:rPr>
              <w:t xml:space="preserve">, </w:t>
            </w:r>
            <w:r>
              <w:t xml:space="preserve"> </w:t>
            </w:r>
            <w:r w:rsidRPr="00BD6310">
              <w:rPr>
                <w:rFonts w:ascii="Times New Roman" w:hAnsi="Times New Roman" w:cs="Times New Roman"/>
                <w:sz w:val="20"/>
                <w:szCs w:val="20"/>
                <w:lang w:val="ro-RO"/>
              </w:rPr>
              <w:t>astfel cum sunt prevăzute la art. 3 alin. (1) din Legea nr. 1402/2002 privind serviciile publice de gospodărie comunală</w:t>
            </w:r>
            <w:r>
              <w:rPr>
                <w:rFonts w:ascii="Times New Roman" w:hAnsi="Times New Roman" w:cs="Times New Roman"/>
                <w:sz w:val="20"/>
                <w:szCs w:val="20"/>
                <w:lang w:val="ro-RO"/>
              </w:rPr>
              <w:t>;”.</w:t>
            </w:r>
          </w:p>
        </w:tc>
      </w:tr>
      <w:tr w:rsidR="00760BD0" w:rsidRPr="00760BD0" w14:paraId="58C0E3F0" w14:textId="77777777" w:rsidTr="00A919EA">
        <w:trPr>
          <w:trHeight w:val="416"/>
        </w:trPr>
        <w:tc>
          <w:tcPr>
            <w:tcW w:w="3397" w:type="dxa"/>
          </w:tcPr>
          <w:p w14:paraId="2F28E14D" w14:textId="77777777" w:rsidR="00760BD0" w:rsidRPr="003D570B" w:rsidRDefault="00760BD0" w:rsidP="00760BD0">
            <w:pPr>
              <w:tabs>
                <w:tab w:val="left" w:pos="8505"/>
              </w:tabs>
              <w:jc w:val="both"/>
              <w:rPr>
                <w:rFonts w:ascii="Times New Roman" w:hAnsi="Times New Roman" w:cs="Times New Roman"/>
                <w:b/>
                <w:sz w:val="20"/>
                <w:szCs w:val="20"/>
                <w:lang w:val="ro-RO"/>
              </w:rPr>
            </w:pPr>
          </w:p>
        </w:tc>
        <w:tc>
          <w:tcPr>
            <w:tcW w:w="2977" w:type="dxa"/>
          </w:tcPr>
          <w:p w14:paraId="4E580D68" w14:textId="77777777" w:rsidR="00760BD0" w:rsidRPr="00154388" w:rsidRDefault="00760BD0" w:rsidP="00760BD0">
            <w:pPr>
              <w:tabs>
                <w:tab w:val="left" w:pos="8505"/>
              </w:tabs>
              <w:jc w:val="center"/>
              <w:rPr>
                <w:rFonts w:ascii="Times New Roman" w:hAnsi="Times New Roman" w:cs="Times New Roman"/>
                <w:b/>
                <w:color w:val="000000" w:themeColor="text1"/>
                <w:sz w:val="20"/>
                <w:szCs w:val="20"/>
                <w:lang w:val="ro-RO"/>
              </w:rPr>
            </w:pPr>
          </w:p>
        </w:tc>
        <w:tc>
          <w:tcPr>
            <w:tcW w:w="533" w:type="dxa"/>
          </w:tcPr>
          <w:p w14:paraId="23071EBB" w14:textId="151C47E2" w:rsidR="00760BD0" w:rsidRDefault="00760BD0" w:rsidP="00760BD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4</w:t>
            </w:r>
          </w:p>
        </w:tc>
        <w:tc>
          <w:tcPr>
            <w:tcW w:w="3402" w:type="dxa"/>
          </w:tcPr>
          <w:p w14:paraId="6332BE81" w14:textId="32B79DDB" w:rsidR="00760BD0" w:rsidRPr="00760BD0" w:rsidRDefault="00760BD0" w:rsidP="00760BD0">
            <w:pPr>
              <w:jc w:val="both"/>
              <w:rPr>
                <w:rFonts w:ascii="Times New Roman" w:hAnsi="Times New Roman" w:cs="Times New Roman"/>
                <w:sz w:val="20"/>
                <w:szCs w:val="20"/>
                <w:lang w:val="ro-RO"/>
              </w:rPr>
            </w:pPr>
            <w:r w:rsidRPr="00760BD0">
              <w:rPr>
                <w:rFonts w:ascii="Times New Roman" w:hAnsi="Times New Roman" w:cs="Times New Roman"/>
                <w:sz w:val="20"/>
                <w:szCs w:val="20"/>
                <w:lang w:val="ro-RO"/>
              </w:rPr>
              <w:t>La pct. 1.20 și 1.21 din Proiect (privind pct. 29 și 34</w:t>
            </w:r>
            <w:r>
              <w:rPr>
                <w:rFonts w:ascii="Times New Roman" w:hAnsi="Times New Roman" w:cs="Times New Roman"/>
                <w:sz w:val="20"/>
                <w:szCs w:val="20"/>
                <w:vertAlign w:val="superscript"/>
                <w:lang w:val="ro-RO"/>
              </w:rPr>
              <w:t>1</w:t>
            </w:r>
            <w:r w:rsidRPr="00760BD0">
              <w:rPr>
                <w:rFonts w:ascii="Times New Roman" w:hAnsi="Times New Roman" w:cs="Times New Roman"/>
                <w:sz w:val="20"/>
                <w:szCs w:val="20"/>
                <w:lang w:val="ro-RO"/>
              </w:rPr>
              <w:t xml:space="preserve"> din Hotărârea Guvernului nr.</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ro-RO"/>
              </w:rPr>
              <w:t>870/2022) se propune ca termenele să fie înlocuite cu 5 zile și 9 zile, deoarece împreună cu termenele</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ro-RO"/>
              </w:rPr>
              <w:t>privind clarificările sunt prea mari în aspect de operativitate (ca element cheie al achizițiilor de</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ro-RO"/>
              </w:rPr>
              <w:t>valoare mică).</w:t>
            </w:r>
          </w:p>
        </w:tc>
        <w:tc>
          <w:tcPr>
            <w:tcW w:w="3436" w:type="dxa"/>
          </w:tcPr>
          <w:p w14:paraId="599C7825" w14:textId="5AEE23FE" w:rsidR="00760BD0" w:rsidRDefault="00760BD0" w:rsidP="00760BD0">
            <w:pPr>
              <w:tabs>
                <w:tab w:val="left" w:pos="8505"/>
              </w:tabs>
              <w:jc w:val="both"/>
              <w:rPr>
                <w:rFonts w:ascii="Times New Roman" w:hAnsi="Times New Roman" w:cs="Times New Roman"/>
                <w:b/>
                <w:bCs/>
                <w:sz w:val="20"/>
                <w:szCs w:val="20"/>
                <w:lang w:val="ro-RO"/>
              </w:rPr>
            </w:pPr>
            <w:r w:rsidRPr="00760BD0">
              <w:rPr>
                <w:rFonts w:ascii="Times New Roman" w:hAnsi="Times New Roman" w:cs="Times New Roman"/>
                <w:b/>
                <w:bCs/>
                <w:sz w:val="20"/>
                <w:szCs w:val="20"/>
                <w:lang w:val="ro-RO"/>
              </w:rPr>
              <w:t>Se acceptǎ</w:t>
            </w:r>
          </w:p>
          <w:p w14:paraId="5F3EE5A3" w14:textId="35F9BD0B" w:rsidR="00760BD0" w:rsidRPr="00760BD0" w:rsidRDefault="00760BD0" w:rsidP="00760BD0">
            <w:pPr>
              <w:tabs>
                <w:tab w:val="left" w:pos="8505"/>
              </w:tabs>
              <w:jc w:val="both"/>
              <w:rPr>
                <w:rFonts w:ascii="Times New Roman" w:hAnsi="Times New Roman" w:cs="Times New Roman"/>
                <w:sz w:val="20"/>
                <w:szCs w:val="20"/>
                <w:lang w:val="ro-RO"/>
              </w:rPr>
            </w:pPr>
            <w:r w:rsidRPr="00760BD0">
              <w:rPr>
                <w:rFonts w:ascii="Times New Roman" w:hAnsi="Times New Roman" w:cs="Times New Roman"/>
                <w:sz w:val="20"/>
                <w:szCs w:val="20"/>
                <w:lang w:val="ro-RO"/>
              </w:rPr>
              <w:t>Pct. 1.22. şi pct. 1.23. au fost reformulate dupǎ cum urmeazǎ:</w:t>
            </w:r>
          </w:p>
          <w:p w14:paraId="76E77848" w14:textId="698BFD0A" w:rsidR="00760BD0" w:rsidRPr="00760BD0" w:rsidRDefault="00760BD0" w:rsidP="00760BD0">
            <w:pPr>
              <w:tabs>
                <w:tab w:val="left" w:pos="8505"/>
              </w:tabs>
              <w:jc w:val="both"/>
              <w:rPr>
                <w:rFonts w:ascii="Times New Roman" w:hAnsi="Times New Roman" w:cs="Times New Roman"/>
                <w:sz w:val="20"/>
                <w:szCs w:val="20"/>
                <w:lang w:val="ro-RO"/>
              </w:rPr>
            </w:pPr>
            <w:r w:rsidRPr="00760BD0">
              <w:rPr>
                <w:rFonts w:ascii="Times New Roman" w:hAnsi="Times New Roman" w:cs="Times New Roman"/>
                <w:sz w:val="20"/>
                <w:szCs w:val="20"/>
                <w:lang w:val="ro-RO"/>
              </w:rPr>
              <w:t>„1.22.</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ro-RO"/>
              </w:rPr>
              <w:t>La punctul 29 se introduce textul „Pentru procedurile de achiziții cu termene extinse de depunere a ofertelor, reglementate la pct 34</w:t>
            </w:r>
            <w:r>
              <w:rPr>
                <w:rFonts w:ascii="Times New Roman" w:hAnsi="Times New Roman" w:cs="Times New Roman"/>
                <w:sz w:val="20"/>
                <w:szCs w:val="20"/>
                <w:vertAlign w:val="superscript"/>
                <w:lang w:val="ro-RO"/>
              </w:rPr>
              <w:t>1</w:t>
            </w:r>
            <w:r w:rsidRPr="00760BD0">
              <w:rPr>
                <w:rFonts w:ascii="Times New Roman" w:hAnsi="Times New Roman" w:cs="Times New Roman"/>
                <w:sz w:val="20"/>
                <w:szCs w:val="20"/>
                <w:lang w:val="ro-RO"/>
              </w:rPr>
              <w:t>, termenul de solicitare a clarificărilor este de minimum 3 zile lucrătoare de la data publicării anunțului.”.</w:t>
            </w:r>
          </w:p>
          <w:p w14:paraId="28FE533A" w14:textId="2DF873F6" w:rsidR="00760BD0" w:rsidRPr="00760BD0" w:rsidRDefault="00760BD0" w:rsidP="00760BD0">
            <w:pPr>
              <w:tabs>
                <w:tab w:val="left" w:pos="8505"/>
              </w:tabs>
              <w:jc w:val="both"/>
              <w:rPr>
                <w:rFonts w:ascii="Times New Roman" w:hAnsi="Times New Roman" w:cs="Times New Roman"/>
                <w:sz w:val="20"/>
                <w:szCs w:val="20"/>
                <w:lang w:val="ro-RO"/>
              </w:rPr>
            </w:pPr>
            <w:r w:rsidRPr="00760BD0">
              <w:rPr>
                <w:rFonts w:ascii="Times New Roman" w:hAnsi="Times New Roman" w:cs="Times New Roman"/>
                <w:sz w:val="20"/>
                <w:szCs w:val="20"/>
                <w:lang w:val="ro-RO"/>
              </w:rPr>
              <w:t>1.23.</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ro-RO"/>
              </w:rPr>
              <w:t>Se introduce punctul 34</w:t>
            </w:r>
            <w:r>
              <w:rPr>
                <w:rFonts w:ascii="Times New Roman" w:hAnsi="Times New Roman" w:cs="Times New Roman"/>
                <w:sz w:val="20"/>
                <w:szCs w:val="20"/>
                <w:vertAlign w:val="superscript"/>
                <w:lang w:val="ro-RO"/>
              </w:rPr>
              <w:t>1</w:t>
            </w:r>
            <w:r w:rsidRPr="00760BD0">
              <w:rPr>
                <w:rFonts w:ascii="Times New Roman" w:hAnsi="Times New Roman" w:cs="Times New Roman"/>
                <w:sz w:val="20"/>
                <w:szCs w:val="20"/>
                <w:lang w:val="ro-RO"/>
              </w:rPr>
              <w:t xml:space="preserve">, cu următorul cuprins: </w:t>
            </w:r>
          </w:p>
          <w:p w14:paraId="3FCB8F4B" w14:textId="2D7625E1" w:rsidR="00760BD0" w:rsidRPr="00760BD0" w:rsidRDefault="00760BD0" w:rsidP="00760BD0">
            <w:pPr>
              <w:tabs>
                <w:tab w:val="left" w:pos="8505"/>
              </w:tabs>
              <w:jc w:val="both"/>
              <w:rPr>
                <w:rFonts w:ascii="Times New Roman" w:hAnsi="Times New Roman" w:cs="Times New Roman"/>
                <w:sz w:val="20"/>
                <w:szCs w:val="20"/>
                <w:lang w:val="ro-RO"/>
              </w:rPr>
            </w:pPr>
            <w:r w:rsidRPr="00760BD0">
              <w:rPr>
                <w:rFonts w:ascii="Times New Roman" w:hAnsi="Times New Roman" w:cs="Times New Roman"/>
                <w:sz w:val="20"/>
                <w:szCs w:val="20"/>
                <w:lang w:val="ro-RO"/>
              </w:rPr>
              <w:t xml:space="preserve"> „34</w:t>
            </w:r>
            <w:r>
              <w:rPr>
                <w:rFonts w:ascii="Times New Roman" w:hAnsi="Times New Roman" w:cs="Times New Roman"/>
                <w:sz w:val="20"/>
                <w:szCs w:val="20"/>
                <w:vertAlign w:val="superscript"/>
                <w:lang w:val="ro-RO"/>
              </w:rPr>
              <w:t>1</w:t>
            </w:r>
            <w:r w:rsidRPr="00760BD0">
              <w:rPr>
                <w:rFonts w:ascii="Times New Roman" w:hAnsi="Times New Roman" w:cs="Times New Roman"/>
                <w:sz w:val="20"/>
                <w:szCs w:val="20"/>
                <w:lang w:val="ro-RO"/>
              </w:rPr>
              <w:t>. În cazul achizițiilor de valoare mică a căror valoare, fără taxa pe valoarea adăugată, depășește pragurile prevăzute la pct. 7</w:t>
            </w:r>
            <w:r>
              <w:rPr>
                <w:rFonts w:ascii="Times New Roman" w:hAnsi="Times New Roman" w:cs="Times New Roman"/>
                <w:sz w:val="20"/>
                <w:szCs w:val="20"/>
                <w:vertAlign w:val="superscript"/>
                <w:lang w:val="ro-RO"/>
              </w:rPr>
              <w:t>1</w:t>
            </w:r>
            <w:r w:rsidRPr="00760BD0">
              <w:rPr>
                <w:rFonts w:ascii="Times New Roman" w:hAnsi="Times New Roman" w:cs="Times New Roman"/>
                <w:sz w:val="20"/>
                <w:szCs w:val="20"/>
                <w:lang w:val="ro-RO"/>
              </w:rPr>
              <w:t xml:space="preserve">, autoritățile contractante vor stabili următoarele termene minime pentru depunerea ofertelor: </w:t>
            </w:r>
          </w:p>
          <w:p w14:paraId="7F450510" w14:textId="6AAD792D" w:rsidR="00760BD0" w:rsidRPr="00760BD0" w:rsidRDefault="00760BD0" w:rsidP="00760BD0">
            <w:pPr>
              <w:tabs>
                <w:tab w:val="left" w:pos="8505"/>
              </w:tabs>
              <w:jc w:val="both"/>
              <w:rPr>
                <w:rFonts w:ascii="Times New Roman" w:hAnsi="Times New Roman" w:cs="Times New Roman"/>
                <w:sz w:val="20"/>
                <w:szCs w:val="20"/>
                <w:lang w:val="ro-RO"/>
              </w:rPr>
            </w:pPr>
            <w:r w:rsidRPr="00760BD0">
              <w:rPr>
                <w:rFonts w:ascii="Times New Roman" w:hAnsi="Times New Roman" w:cs="Times New Roman"/>
                <w:sz w:val="20"/>
                <w:szCs w:val="20"/>
                <w:lang w:val="ro-RO"/>
              </w:rPr>
              <w:t>a)</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ro-RO"/>
              </w:rPr>
              <w:t>5 zile lucrătoare – pentru achizițiile de bunuri și servicii;</w:t>
            </w:r>
          </w:p>
          <w:p w14:paraId="2CC33B26" w14:textId="79BD88E5" w:rsidR="00760BD0" w:rsidRDefault="00760BD0" w:rsidP="00760BD0">
            <w:pPr>
              <w:tabs>
                <w:tab w:val="left" w:pos="8505"/>
              </w:tabs>
              <w:jc w:val="both"/>
              <w:rPr>
                <w:rFonts w:ascii="Times New Roman" w:hAnsi="Times New Roman" w:cs="Times New Roman"/>
                <w:b/>
                <w:sz w:val="20"/>
                <w:szCs w:val="20"/>
                <w:lang w:val="ro-RO"/>
              </w:rPr>
            </w:pPr>
            <w:r w:rsidRPr="00760BD0">
              <w:rPr>
                <w:rFonts w:ascii="Times New Roman" w:hAnsi="Times New Roman" w:cs="Times New Roman"/>
                <w:sz w:val="20"/>
                <w:szCs w:val="20"/>
                <w:lang w:val="ro-RO"/>
              </w:rPr>
              <w:t>b)</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ro-RO"/>
              </w:rPr>
              <w:t>9 zile lucrătoare – pentru achizițiile de lucrări.”</w:t>
            </w:r>
          </w:p>
        </w:tc>
      </w:tr>
      <w:tr w:rsidR="00760BD0" w:rsidRPr="00760BD0" w14:paraId="26EAB486" w14:textId="77777777" w:rsidTr="00A919EA">
        <w:trPr>
          <w:trHeight w:val="416"/>
        </w:trPr>
        <w:tc>
          <w:tcPr>
            <w:tcW w:w="3397" w:type="dxa"/>
          </w:tcPr>
          <w:p w14:paraId="287B2390" w14:textId="7A3CDD93" w:rsidR="00760BD0" w:rsidRPr="003D570B" w:rsidRDefault="00760BD0" w:rsidP="00760BD0">
            <w:pPr>
              <w:tabs>
                <w:tab w:val="left" w:pos="8505"/>
              </w:tabs>
              <w:jc w:val="both"/>
              <w:rPr>
                <w:rFonts w:ascii="Times New Roman" w:hAnsi="Times New Roman" w:cs="Times New Roman"/>
                <w:b/>
                <w:sz w:val="20"/>
                <w:szCs w:val="20"/>
                <w:lang w:val="ro-RO"/>
              </w:rPr>
            </w:pPr>
            <w:r w:rsidRPr="00060388">
              <w:rPr>
                <w:rFonts w:ascii="Times New Roman" w:hAnsi="Times New Roman" w:cs="Times New Roman"/>
                <w:b/>
                <w:sz w:val="20"/>
                <w:szCs w:val="20"/>
                <w:lang w:val="it-IT"/>
              </w:rPr>
              <w:t>În contextul proiectului</w:t>
            </w:r>
          </w:p>
        </w:tc>
        <w:tc>
          <w:tcPr>
            <w:tcW w:w="2977" w:type="dxa"/>
          </w:tcPr>
          <w:p w14:paraId="171007B5" w14:textId="77777777" w:rsidR="00760BD0" w:rsidRPr="00154388" w:rsidRDefault="00760BD0" w:rsidP="00760BD0">
            <w:pPr>
              <w:tabs>
                <w:tab w:val="left" w:pos="8505"/>
              </w:tabs>
              <w:jc w:val="center"/>
              <w:rPr>
                <w:rFonts w:ascii="Times New Roman" w:hAnsi="Times New Roman" w:cs="Times New Roman"/>
                <w:b/>
                <w:color w:val="000000" w:themeColor="text1"/>
                <w:sz w:val="20"/>
                <w:szCs w:val="20"/>
                <w:lang w:val="ro-RO"/>
              </w:rPr>
            </w:pPr>
          </w:p>
        </w:tc>
        <w:tc>
          <w:tcPr>
            <w:tcW w:w="533" w:type="dxa"/>
          </w:tcPr>
          <w:p w14:paraId="5D046DAA" w14:textId="492FB30C" w:rsidR="00760BD0" w:rsidRDefault="00760BD0" w:rsidP="00760BD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5</w:t>
            </w:r>
          </w:p>
        </w:tc>
        <w:tc>
          <w:tcPr>
            <w:tcW w:w="3402" w:type="dxa"/>
          </w:tcPr>
          <w:p w14:paraId="0DEFF478" w14:textId="333CEFB6" w:rsidR="00760BD0" w:rsidRPr="00760BD0" w:rsidRDefault="00760BD0" w:rsidP="00760BD0">
            <w:pPr>
              <w:jc w:val="both"/>
              <w:rPr>
                <w:rFonts w:ascii="Times New Roman" w:hAnsi="Times New Roman" w:cs="Times New Roman"/>
                <w:sz w:val="20"/>
                <w:szCs w:val="20"/>
                <w:lang w:val="ro-RO"/>
              </w:rPr>
            </w:pPr>
            <w:r w:rsidRPr="00760BD0">
              <w:rPr>
                <w:rFonts w:ascii="Times New Roman" w:hAnsi="Times New Roman" w:cs="Times New Roman"/>
                <w:sz w:val="20"/>
                <w:szCs w:val="20"/>
                <w:lang w:val="ro-RO"/>
              </w:rPr>
              <w:t>În contextul celor menționate mai sus, se propune limitarea conținutului și aplicării</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ro-RO"/>
              </w:rPr>
              <w:t>anunțurilor de participare și anunțurilor de atribuire, precum și aplicarea la achizițiile ce depășesc</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ro-RO"/>
              </w:rPr>
              <w:t>partea maximală a pragurilor stabilite conform coeficienților menționați mai sus.</w:t>
            </w:r>
          </w:p>
        </w:tc>
        <w:tc>
          <w:tcPr>
            <w:tcW w:w="3436" w:type="dxa"/>
          </w:tcPr>
          <w:p w14:paraId="28084AFB" w14:textId="0794D558" w:rsidR="00760BD0" w:rsidRPr="00760BD0" w:rsidRDefault="00760BD0" w:rsidP="00760BD0">
            <w:pPr>
              <w:tabs>
                <w:tab w:val="left" w:pos="8505"/>
              </w:tabs>
              <w:jc w:val="both"/>
              <w:rPr>
                <w:rFonts w:ascii="Times New Roman" w:hAnsi="Times New Roman" w:cs="Times New Roman"/>
                <w:b/>
                <w:sz w:val="20"/>
                <w:szCs w:val="20"/>
                <w:lang w:val="it-IT"/>
              </w:rPr>
            </w:pPr>
            <w:r w:rsidRPr="00760BD0">
              <w:rPr>
                <w:rFonts w:ascii="Times New Roman" w:hAnsi="Times New Roman" w:cs="Times New Roman"/>
                <w:b/>
                <w:sz w:val="20"/>
                <w:szCs w:val="20"/>
                <w:lang w:val="it-IT"/>
              </w:rPr>
              <w:t>Se acceptǎ</w:t>
            </w:r>
          </w:p>
          <w:p w14:paraId="705552DE" w14:textId="712EB5FB" w:rsidR="00760BD0" w:rsidRDefault="00760BD0" w:rsidP="00760BD0">
            <w:pPr>
              <w:tabs>
                <w:tab w:val="left" w:pos="8505"/>
              </w:tabs>
              <w:jc w:val="both"/>
              <w:rPr>
                <w:rFonts w:ascii="Times New Roman" w:hAnsi="Times New Roman" w:cs="Times New Roman"/>
                <w:bCs/>
                <w:sz w:val="20"/>
                <w:szCs w:val="20"/>
                <w:lang w:val="it-IT"/>
              </w:rPr>
            </w:pPr>
            <w:r w:rsidRPr="00954053">
              <w:rPr>
                <w:rFonts w:ascii="Times New Roman" w:hAnsi="Times New Roman" w:cs="Times New Roman"/>
                <w:bCs/>
                <w:sz w:val="20"/>
                <w:szCs w:val="20"/>
                <w:lang w:val="it-IT"/>
              </w:rPr>
              <w:t xml:space="preserve">În vederea alinierii Regulamentului la </w:t>
            </w:r>
            <w:r>
              <w:rPr>
                <w:rFonts w:ascii="Times New Roman" w:hAnsi="Times New Roman" w:cs="Times New Roman"/>
                <w:bCs/>
                <w:sz w:val="20"/>
                <w:szCs w:val="20"/>
                <w:lang w:val="it-IT"/>
              </w:rPr>
              <w:t>prevederile Legii</w:t>
            </w:r>
            <w:r w:rsidRPr="00954053">
              <w:rPr>
                <w:rFonts w:ascii="Times New Roman" w:hAnsi="Times New Roman" w:cs="Times New Roman"/>
                <w:bCs/>
                <w:sz w:val="20"/>
                <w:szCs w:val="20"/>
                <w:lang w:val="it-IT"/>
              </w:rPr>
              <w:t xml:space="preserve"> nr. 325/2025 privind achizițiile publice și pentru a evita dublarea normativă, se consideră oportună unificarea prevederilor pct. 53 și </w:t>
            </w:r>
            <w:r>
              <w:rPr>
                <w:rFonts w:ascii="Times New Roman" w:hAnsi="Times New Roman" w:cs="Times New Roman"/>
                <w:bCs/>
                <w:sz w:val="20"/>
                <w:szCs w:val="20"/>
                <w:lang w:val="it-IT"/>
              </w:rPr>
              <w:t xml:space="preserve">pct. </w:t>
            </w:r>
            <w:r w:rsidRPr="00954053">
              <w:rPr>
                <w:rFonts w:ascii="Times New Roman" w:hAnsi="Times New Roman" w:cs="Times New Roman"/>
                <w:bCs/>
                <w:sz w:val="20"/>
                <w:szCs w:val="20"/>
                <w:lang w:val="it-IT"/>
              </w:rPr>
              <w:t>54</w:t>
            </w:r>
            <w:r>
              <w:rPr>
                <w:rFonts w:ascii="Times New Roman" w:hAnsi="Times New Roman" w:cs="Times New Roman"/>
                <w:bCs/>
                <w:sz w:val="20"/>
                <w:szCs w:val="20"/>
                <w:lang w:val="it-IT"/>
              </w:rPr>
              <w:t xml:space="preserve"> din Hotărârea Guvernului nr. 870/2022</w:t>
            </w:r>
            <w:r w:rsidRPr="00954053">
              <w:rPr>
                <w:rFonts w:ascii="Times New Roman" w:hAnsi="Times New Roman" w:cs="Times New Roman"/>
                <w:bCs/>
                <w:sz w:val="20"/>
                <w:szCs w:val="20"/>
                <w:lang w:val="it-IT"/>
              </w:rPr>
              <w:t xml:space="preserve"> într-un singur punct, care să reglementeze în mod coerent obligația de informare a operatorilor economici și a Agenției Achiziții Publice.</w:t>
            </w:r>
          </w:p>
          <w:p w14:paraId="1459056A" w14:textId="77777777" w:rsidR="00760BD0" w:rsidRDefault="00760BD0" w:rsidP="00760BD0">
            <w:pPr>
              <w:tabs>
                <w:tab w:val="left" w:pos="8505"/>
              </w:tabs>
              <w:jc w:val="both"/>
              <w:rPr>
                <w:rFonts w:ascii="Times New Roman" w:hAnsi="Times New Roman" w:cs="Times New Roman"/>
                <w:bCs/>
                <w:sz w:val="20"/>
                <w:szCs w:val="20"/>
                <w:lang w:val="it-IT"/>
              </w:rPr>
            </w:pPr>
            <w:r>
              <w:rPr>
                <w:rFonts w:ascii="Times New Roman" w:hAnsi="Times New Roman" w:cs="Times New Roman"/>
                <w:bCs/>
                <w:sz w:val="20"/>
                <w:szCs w:val="20"/>
                <w:lang w:val="it-IT"/>
              </w:rPr>
              <w:t>Se propune următoarea formulare a pct. 1.27.:</w:t>
            </w:r>
          </w:p>
          <w:p w14:paraId="3631633D" w14:textId="77777777" w:rsidR="00760BD0" w:rsidRDefault="00760BD0" w:rsidP="00760BD0">
            <w:pPr>
              <w:tabs>
                <w:tab w:val="left" w:pos="8505"/>
              </w:tabs>
              <w:jc w:val="both"/>
              <w:rPr>
                <w:rFonts w:ascii="Times New Roman" w:hAnsi="Times New Roman" w:cs="Times New Roman"/>
                <w:bCs/>
                <w:sz w:val="20"/>
                <w:szCs w:val="20"/>
                <w:lang w:val="it-IT"/>
              </w:rPr>
            </w:pPr>
            <w:r>
              <w:rPr>
                <w:rFonts w:ascii="Times New Roman" w:hAnsi="Times New Roman" w:cs="Times New Roman"/>
                <w:bCs/>
                <w:sz w:val="20"/>
                <w:szCs w:val="20"/>
                <w:lang w:val="it-IT"/>
              </w:rPr>
              <w:lastRenderedPageBreak/>
              <w:t>„</w:t>
            </w:r>
            <w:r w:rsidRPr="00954053">
              <w:rPr>
                <w:rFonts w:ascii="Times New Roman" w:hAnsi="Times New Roman" w:cs="Times New Roman"/>
                <w:bCs/>
                <w:sz w:val="20"/>
                <w:szCs w:val="20"/>
                <w:lang w:val="it-IT"/>
              </w:rPr>
              <w:t>53. Autoritatea/entitatea contractantă care desfășoară procedura</w:t>
            </w:r>
            <w:r>
              <w:rPr>
                <w:rFonts w:ascii="Times New Roman" w:hAnsi="Times New Roman" w:cs="Times New Roman"/>
                <w:bCs/>
                <w:sz w:val="20"/>
                <w:szCs w:val="20"/>
                <w:lang w:val="it-IT"/>
              </w:rPr>
              <w:t xml:space="preserve"> de achiziție de valoare mică,</w:t>
            </w:r>
            <w:r w:rsidRPr="00954053">
              <w:rPr>
                <w:rFonts w:ascii="Times New Roman" w:hAnsi="Times New Roman" w:cs="Times New Roman"/>
                <w:bCs/>
                <w:sz w:val="20"/>
                <w:szCs w:val="20"/>
                <w:lang w:val="it-IT"/>
              </w:rPr>
              <w:t xml:space="preserve"> prin intermediul SI „RSAP” are obligația de a informa operatorii economici implicați în procedură și Agenția Achiziții Publice cu privire la decizia de atribuire sau, după caz, la decizia de anulare a procedurii, cât mai curând posibil, dar nu mai târziu de 3 zile lucrătoare de la data emiterii acesteia.</w:t>
            </w:r>
          </w:p>
          <w:p w14:paraId="1FB8E9B0" w14:textId="77777777" w:rsidR="00760BD0" w:rsidRDefault="00760BD0" w:rsidP="00760BD0">
            <w:pPr>
              <w:tabs>
                <w:tab w:val="left" w:pos="8505"/>
              </w:tabs>
              <w:jc w:val="both"/>
              <w:rPr>
                <w:rFonts w:ascii="Times New Roman" w:hAnsi="Times New Roman" w:cs="Times New Roman"/>
                <w:bCs/>
                <w:sz w:val="20"/>
                <w:szCs w:val="20"/>
                <w:lang w:val="it-IT"/>
              </w:rPr>
            </w:pPr>
            <w:r w:rsidRPr="00954053">
              <w:rPr>
                <w:rFonts w:ascii="Times New Roman" w:hAnsi="Times New Roman" w:cs="Times New Roman"/>
                <w:bCs/>
                <w:sz w:val="20"/>
                <w:szCs w:val="20"/>
                <w:lang w:val="it-IT"/>
              </w:rPr>
              <w:t xml:space="preserve">În acest scop, autoritatea/entitatea contractantă </w:t>
            </w:r>
            <w:r>
              <w:rPr>
                <w:rFonts w:ascii="Times New Roman" w:hAnsi="Times New Roman" w:cs="Times New Roman"/>
                <w:bCs/>
                <w:sz w:val="20"/>
                <w:szCs w:val="20"/>
                <w:lang w:val="it-IT"/>
              </w:rPr>
              <w:t>elaborează</w:t>
            </w:r>
            <w:r w:rsidRPr="00954053">
              <w:rPr>
                <w:rFonts w:ascii="Times New Roman" w:hAnsi="Times New Roman" w:cs="Times New Roman"/>
                <w:bCs/>
                <w:sz w:val="20"/>
                <w:szCs w:val="20"/>
                <w:lang w:val="it-IT"/>
              </w:rPr>
              <w:t xml:space="preserve"> decizi</w:t>
            </w:r>
            <w:r>
              <w:rPr>
                <w:rFonts w:ascii="Times New Roman" w:hAnsi="Times New Roman" w:cs="Times New Roman"/>
                <w:bCs/>
                <w:sz w:val="20"/>
                <w:szCs w:val="20"/>
                <w:lang w:val="it-IT"/>
              </w:rPr>
              <w:t>a de atribuire/anulare conform A</w:t>
            </w:r>
            <w:r w:rsidRPr="00954053">
              <w:rPr>
                <w:rFonts w:ascii="Times New Roman" w:hAnsi="Times New Roman" w:cs="Times New Roman"/>
                <w:bCs/>
                <w:sz w:val="20"/>
                <w:szCs w:val="20"/>
                <w:lang w:val="it-IT"/>
              </w:rPr>
              <w:t>nexei nr. 3, cu excepția cazurilor prevăzute la pct. 14, și desemnează operatorul economic câștigător, indicând totodată motivele excluderii operatorilor economici sau, după caz, ale respingerii ofertelor.</w:t>
            </w:r>
            <w:r>
              <w:rPr>
                <w:rFonts w:ascii="Times New Roman" w:hAnsi="Times New Roman" w:cs="Times New Roman"/>
                <w:bCs/>
                <w:sz w:val="20"/>
                <w:szCs w:val="20"/>
                <w:lang w:val="it-IT"/>
              </w:rPr>
              <w:t>”</w:t>
            </w:r>
          </w:p>
          <w:p w14:paraId="13E9C634" w14:textId="77777777" w:rsidR="00760BD0" w:rsidRDefault="00760BD0" w:rsidP="00760BD0">
            <w:pPr>
              <w:tabs>
                <w:tab w:val="left" w:pos="8505"/>
              </w:tabs>
              <w:jc w:val="both"/>
              <w:rPr>
                <w:rFonts w:ascii="Times New Roman" w:hAnsi="Times New Roman" w:cs="Times New Roman"/>
                <w:bCs/>
                <w:sz w:val="20"/>
                <w:szCs w:val="20"/>
                <w:lang w:val="it-IT"/>
              </w:rPr>
            </w:pPr>
            <w:r w:rsidRPr="00ED5238">
              <w:rPr>
                <w:rFonts w:ascii="Times New Roman" w:hAnsi="Times New Roman" w:cs="Times New Roman"/>
                <w:bCs/>
                <w:sz w:val="20"/>
                <w:szCs w:val="20"/>
                <w:lang w:val="it-IT"/>
              </w:rPr>
              <w:t>Se propune următoarea formulare a pct. 1.2</w:t>
            </w:r>
            <w:r>
              <w:rPr>
                <w:rFonts w:ascii="Times New Roman" w:hAnsi="Times New Roman" w:cs="Times New Roman"/>
                <w:bCs/>
                <w:sz w:val="20"/>
                <w:szCs w:val="20"/>
                <w:lang w:val="it-IT"/>
              </w:rPr>
              <w:t>8</w:t>
            </w:r>
            <w:r w:rsidRPr="00ED5238">
              <w:rPr>
                <w:rFonts w:ascii="Times New Roman" w:hAnsi="Times New Roman" w:cs="Times New Roman"/>
                <w:bCs/>
                <w:sz w:val="20"/>
                <w:szCs w:val="20"/>
                <w:lang w:val="it-IT"/>
              </w:rPr>
              <w:t>.:</w:t>
            </w:r>
          </w:p>
          <w:p w14:paraId="49824DAD" w14:textId="0A657463" w:rsidR="00760BD0" w:rsidRDefault="00760BD0" w:rsidP="00760BD0">
            <w:pPr>
              <w:tabs>
                <w:tab w:val="left" w:pos="8505"/>
              </w:tabs>
              <w:jc w:val="both"/>
              <w:rPr>
                <w:rFonts w:ascii="Times New Roman" w:hAnsi="Times New Roman" w:cs="Times New Roman"/>
                <w:b/>
                <w:sz w:val="20"/>
                <w:szCs w:val="20"/>
                <w:lang w:val="ro-RO"/>
              </w:rPr>
            </w:pPr>
            <w:r>
              <w:rPr>
                <w:rFonts w:ascii="Times New Roman" w:hAnsi="Times New Roman" w:cs="Times New Roman"/>
                <w:bCs/>
                <w:sz w:val="20"/>
                <w:szCs w:val="20"/>
                <w:lang w:val="it-IT"/>
              </w:rPr>
              <w:t xml:space="preserve">„54. </w:t>
            </w:r>
            <w:r w:rsidRPr="00B75D43">
              <w:rPr>
                <w:rFonts w:ascii="Times New Roman" w:hAnsi="Times New Roman" w:cs="Times New Roman"/>
                <w:bCs/>
                <w:sz w:val="20"/>
                <w:szCs w:val="20"/>
                <w:lang w:val="it-IT"/>
              </w:rPr>
              <w:t>Autoritatea/entitatea contractantă publică în SI „RSAP” anunțul de atribuire în termen de cel mult 3 zile lucrătoare de la data semnării contractului de achiziție publică. Anunțul de atribuire conține informațiile prevăzute în anexa nr. 4.</w:t>
            </w:r>
            <w:r>
              <w:rPr>
                <w:rFonts w:ascii="Times New Roman" w:hAnsi="Times New Roman" w:cs="Times New Roman"/>
                <w:bCs/>
                <w:sz w:val="20"/>
                <w:szCs w:val="20"/>
                <w:lang w:val="it-IT"/>
              </w:rPr>
              <w:t>”</w:t>
            </w:r>
          </w:p>
        </w:tc>
      </w:tr>
      <w:tr w:rsidR="00760BD0" w:rsidRPr="00760BD0" w14:paraId="0D08588C" w14:textId="77777777" w:rsidTr="00A919EA">
        <w:trPr>
          <w:trHeight w:val="416"/>
        </w:trPr>
        <w:tc>
          <w:tcPr>
            <w:tcW w:w="3397" w:type="dxa"/>
          </w:tcPr>
          <w:p w14:paraId="29E79CB4" w14:textId="0C0D5A20" w:rsidR="00760BD0" w:rsidRPr="003D570B" w:rsidRDefault="00760BD0" w:rsidP="00760BD0">
            <w:pPr>
              <w:tabs>
                <w:tab w:val="left" w:pos="8505"/>
              </w:tabs>
              <w:jc w:val="both"/>
              <w:rPr>
                <w:rFonts w:ascii="Times New Roman" w:hAnsi="Times New Roman" w:cs="Times New Roman"/>
                <w:b/>
                <w:sz w:val="20"/>
                <w:szCs w:val="20"/>
                <w:lang w:val="ro-RO"/>
              </w:rPr>
            </w:pPr>
            <w:r w:rsidRPr="00060388">
              <w:rPr>
                <w:rFonts w:ascii="Times New Roman" w:hAnsi="Times New Roman" w:cs="Times New Roman"/>
                <w:b/>
                <w:sz w:val="20"/>
                <w:szCs w:val="20"/>
                <w:lang w:val="it-IT"/>
              </w:rPr>
              <w:lastRenderedPageBreak/>
              <w:t>În contextul proiectului</w:t>
            </w:r>
          </w:p>
        </w:tc>
        <w:tc>
          <w:tcPr>
            <w:tcW w:w="2977" w:type="dxa"/>
          </w:tcPr>
          <w:p w14:paraId="35737E8E" w14:textId="77777777" w:rsidR="00760BD0" w:rsidRPr="00154388" w:rsidRDefault="00760BD0" w:rsidP="00760BD0">
            <w:pPr>
              <w:tabs>
                <w:tab w:val="left" w:pos="8505"/>
              </w:tabs>
              <w:jc w:val="center"/>
              <w:rPr>
                <w:rFonts w:ascii="Times New Roman" w:hAnsi="Times New Roman" w:cs="Times New Roman"/>
                <w:b/>
                <w:color w:val="000000" w:themeColor="text1"/>
                <w:sz w:val="20"/>
                <w:szCs w:val="20"/>
                <w:lang w:val="ro-RO"/>
              </w:rPr>
            </w:pPr>
          </w:p>
        </w:tc>
        <w:tc>
          <w:tcPr>
            <w:tcW w:w="533" w:type="dxa"/>
          </w:tcPr>
          <w:p w14:paraId="2ACAED45" w14:textId="1439B879" w:rsidR="00760BD0" w:rsidRDefault="00760BD0" w:rsidP="00760BD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6</w:t>
            </w:r>
          </w:p>
        </w:tc>
        <w:tc>
          <w:tcPr>
            <w:tcW w:w="3402" w:type="dxa"/>
          </w:tcPr>
          <w:p w14:paraId="45FD482F" w14:textId="469F8E17" w:rsidR="00760BD0" w:rsidRPr="00760BD0" w:rsidRDefault="00760BD0" w:rsidP="00760BD0">
            <w:pPr>
              <w:jc w:val="both"/>
              <w:rPr>
                <w:rFonts w:ascii="Times New Roman" w:hAnsi="Times New Roman" w:cs="Times New Roman"/>
                <w:sz w:val="20"/>
                <w:szCs w:val="20"/>
                <w:lang w:val="it-IT"/>
              </w:rPr>
            </w:pPr>
            <w:r w:rsidRPr="00760BD0">
              <w:rPr>
                <w:rFonts w:ascii="Times New Roman" w:hAnsi="Times New Roman" w:cs="Times New Roman"/>
                <w:sz w:val="20"/>
                <w:szCs w:val="20"/>
                <w:lang w:val="it-IT"/>
              </w:rPr>
              <w:t>Ținând cont de cele menționate, CALM consideră că Proiectul poate fi promovat doar</w:t>
            </w:r>
            <w:r>
              <w:rPr>
                <w:rFonts w:ascii="Times New Roman" w:hAnsi="Times New Roman" w:cs="Times New Roman"/>
                <w:sz w:val="20"/>
                <w:szCs w:val="20"/>
                <w:lang w:val="it-IT"/>
              </w:rPr>
              <w:t xml:space="preserve"> </w:t>
            </w:r>
            <w:r w:rsidRPr="00760BD0">
              <w:rPr>
                <w:rFonts w:ascii="Times New Roman" w:hAnsi="Times New Roman" w:cs="Times New Roman"/>
                <w:sz w:val="20"/>
                <w:szCs w:val="20"/>
                <w:lang w:val="it-IT"/>
              </w:rPr>
              <w:t>după definitivarea și agrearea propunerilor menționate mai sus.</w:t>
            </w:r>
          </w:p>
        </w:tc>
        <w:tc>
          <w:tcPr>
            <w:tcW w:w="3436" w:type="dxa"/>
          </w:tcPr>
          <w:p w14:paraId="20C6FDEE" w14:textId="51D33020" w:rsidR="00760BD0" w:rsidRDefault="00760BD0" w:rsidP="00760BD0">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760BD0" w:rsidRPr="00760BD0" w14:paraId="57F98FE7" w14:textId="77777777" w:rsidTr="00A919EA">
        <w:trPr>
          <w:trHeight w:val="416"/>
        </w:trPr>
        <w:tc>
          <w:tcPr>
            <w:tcW w:w="3397" w:type="dxa"/>
          </w:tcPr>
          <w:p w14:paraId="13FBC22A" w14:textId="77777777" w:rsidR="00760BD0" w:rsidRPr="003D570B" w:rsidRDefault="00760BD0" w:rsidP="00760BD0">
            <w:pPr>
              <w:tabs>
                <w:tab w:val="left" w:pos="8505"/>
              </w:tabs>
              <w:jc w:val="both"/>
              <w:rPr>
                <w:rFonts w:ascii="Times New Roman" w:hAnsi="Times New Roman" w:cs="Times New Roman"/>
                <w:b/>
                <w:sz w:val="20"/>
                <w:szCs w:val="20"/>
                <w:lang w:val="ro-RO"/>
              </w:rPr>
            </w:pPr>
          </w:p>
        </w:tc>
        <w:tc>
          <w:tcPr>
            <w:tcW w:w="2977" w:type="dxa"/>
          </w:tcPr>
          <w:p w14:paraId="3C546FBE" w14:textId="548F986F" w:rsidR="00760BD0" w:rsidRPr="00760BD0" w:rsidRDefault="00760BD0" w:rsidP="00760BD0">
            <w:pPr>
              <w:pStyle w:val="p1"/>
              <w:jc w:val="center"/>
              <w:rPr>
                <w:lang w:val="it-IT"/>
              </w:rPr>
            </w:pPr>
            <w:r w:rsidRPr="00760BD0">
              <w:rPr>
                <w:b/>
                <w:color w:val="000000" w:themeColor="text1"/>
                <w:sz w:val="20"/>
                <w:szCs w:val="20"/>
                <w:lang w:val="ro-RO"/>
              </w:rPr>
              <w:t>Consiliului Concurenței</w:t>
            </w:r>
            <w:r>
              <w:rPr>
                <w:b/>
                <w:color w:val="000000" w:themeColor="text1"/>
                <w:sz w:val="20"/>
                <w:szCs w:val="20"/>
                <w:lang w:val="ro-RO"/>
              </w:rPr>
              <w:t xml:space="preserve"> </w:t>
            </w:r>
            <w:r>
              <w:rPr>
                <w:b/>
                <w:color w:val="000000" w:themeColor="text1"/>
                <w:sz w:val="20"/>
                <w:szCs w:val="20"/>
                <w:lang w:val="it-IT"/>
              </w:rPr>
              <w:t>(scrisoarea n</w:t>
            </w:r>
            <w:r w:rsidRPr="00760BD0">
              <w:rPr>
                <w:b/>
                <w:color w:val="000000" w:themeColor="text1"/>
                <w:sz w:val="20"/>
                <w:szCs w:val="20"/>
                <w:lang w:val="it-IT"/>
              </w:rPr>
              <w:t xml:space="preserve">r. </w:t>
            </w:r>
            <w:r w:rsidRPr="00760BD0">
              <w:rPr>
                <w:b/>
                <w:lang w:val="it-IT"/>
              </w:rPr>
              <w:t>DJ-06/383-723 din 08 mai 2026</w:t>
            </w:r>
            <w:r w:rsidRPr="00760BD0">
              <w:rPr>
                <w:b/>
                <w:color w:val="000000" w:themeColor="text1"/>
                <w:sz w:val="20"/>
                <w:szCs w:val="20"/>
                <w:lang w:val="it-IT"/>
              </w:rPr>
              <w:t>)</w:t>
            </w:r>
          </w:p>
        </w:tc>
        <w:tc>
          <w:tcPr>
            <w:tcW w:w="533" w:type="dxa"/>
          </w:tcPr>
          <w:p w14:paraId="0E4FA57E" w14:textId="77777777" w:rsidR="00760BD0" w:rsidRDefault="00760BD0" w:rsidP="00760BD0">
            <w:pPr>
              <w:tabs>
                <w:tab w:val="left" w:pos="8505"/>
              </w:tabs>
              <w:jc w:val="center"/>
              <w:rPr>
                <w:rFonts w:ascii="Times New Roman" w:hAnsi="Times New Roman" w:cs="Times New Roman"/>
                <w:b/>
                <w:sz w:val="20"/>
                <w:szCs w:val="20"/>
                <w:lang w:val="ro-RO"/>
              </w:rPr>
            </w:pPr>
          </w:p>
        </w:tc>
        <w:tc>
          <w:tcPr>
            <w:tcW w:w="3402" w:type="dxa"/>
          </w:tcPr>
          <w:p w14:paraId="208C819B" w14:textId="77777777" w:rsidR="00760BD0" w:rsidRPr="003D570B" w:rsidRDefault="00760BD0" w:rsidP="00760BD0">
            <w:pPr>
              <w:jc w:val="both"/>
              <w:rPr>
                <w:rFonts w:ascii="Times New Roman" w:hAnsi="Times New Roman" w:cs="Times New Roman"/>
                <w:sz w:val="20"/>
                <w:szCs w:val="20"/>
                <w:lang w:val="it-IT"/>
              </w:rPr>
            </w:pPr>
          </w:p>
        </w:tc>
        <w:tc>
          <w:tcPr>
            <w:tcW w:w="3436" w:type="dxa"/>
          </w:tcPr>
          <w:p w14:paraId="4954DEF1" w14:textId="77777777" w:rsidR="00760BD0" w:rsidRDefault="00760BD0" w:rsidP="00760BD0">
            <w:pPr>
              <w:tabs>
                <w:tab w:val="left" w:pos="8505"/>
              </w:tabs>
              <w:jc w:val="both"/>
              <w:rPr>
                <w:rFonts w:ascii="Times New Roman" w:hAnsi="Times New Roman" w:cs="Times New Roman"/>
                <w:b/>
                <w:sz w:val="20"/>
                <w:szCs w:val="20"/>
                <w:lang w:val="ro-RO"/>
              </w:rPr>
            </w:pPr>
          </w:p>
        </w:tc>
      </w:tr>
      <w:tr w:rsidR="00760BD0" w:rsidRPr="00760BD0" w14:paraId="2A3A950E" w14:textId="77777777" w:rsidTr="00A919EA">
        <w:trPr>
          <w:trHeight w:val="416"/>
        </w:trPr>
        <w:tc>
          <w:tcPr>
            <w:tcW w:w="3397" w:type="dxa"/>
          </w:tcPr>
          <w:p w14:paraId="0C565324" w14:textId="77777777" w:rsidR="00760BD0" w:rsidRPr="00F9367D" w:rsidRDefault="00760BD0" w:rsidP="00760BD0">
            <w:pPr>
              <w:tabs>
                <w:tab w:val="left" w:pos="8505"/>
              </w:tabs>
              <w:jc w:val="both"/>
              <w:rPr>
                <w:rFonts w:ascii="Times New Roman" w:hAnsi="Times New Roman" w:cs="Times New Roman"/>
                <w:sz w:val="20"/>
                <w:szCs w:val="20"/>
                <w:lang w:val="ro-RO"/>
              </w:rPr>
            </w:pPr>
            <w:r w:rsidRPr="00F9367D">
              <w:rPr>
                <w:rFonts w:ascii="Times New Roman" w:hAnsi="Times New Roman" w:cs="Times New Roman"/>
                <w:b/>
                <w:sz w:val="20"/>
                <w:szCs w:val="20"/>
                <w:lang w:val="ro-RO"/>
              </w:rPr>
              <w:t>1.9.</w:t>
            </w:r>
            <w:r>
              <w:rPr>
                <w:rFonts w:ascii="Times New Roman" w:hAnsi="Times New Roman" w:cs="Times New Roman"/>
                <w:b/>
                <w:sz w:val="20"/>
                <w:szCs w:val="20"/>
                <w:lang w:val="ro-RO"/>
              </w:rPr>
              <w:t xml:space="preserve"> </w:t>
            </w:r>
            <w:r w:rsidRPr="00F9367D">
              <w:rPr>
                <w:rFonts w:ascii="Times New Roman" w:hAnsi="Times New Roman" w:cs="Times New Roman"/>
                <w:sz w:val="20"/>
                <w:szCs w:val="20"/>
                <w:lang w:val="ro-RO"/>
              </w:rPr>
              <w:t>Punctul 14 se completează cu subpunctele 9) și 10) cu următorul cuprins:</w:t>
            </w:r>
          </w:p>
          <w:p w14:paraId="66C04852" w14:textId="77777777" w:rsidR="00760BD0" w:rsidRPr="00F9367D" w:rsidRDefault="00760BD0" w:rsidP="00760BD0">
            <w:pPr>
              <w:tabs>
                <w:tab w:val="left" w:pos="8505"/>
              </w:tabs>
              <w:jc w:val="both"/>
              <w:rPr>
                <w:rFonts w:ascii="Times New Roman" w:hAnsi="Times New Roman" w:cs="Times New Roman"/>
                <w:sz w:val="20"/>
                <w:szCs w:val="20"/>
                <w:lang w:val="ro-RO"/>
              </w:rPr>
            </w:pPr>
            <w:r w:rsidRPr="00F9367D">
              <w:rPr>
                <w:rFonts w:ascii="Times New Roman" w:hAnsi="Times New Roman" w:cs="Times New Roman"/>
                <w:sz w:val="20"/>
                <w:szCs w:val="20"/>
                <w:lang w:val="ro-RO"/>
              </w:rPr>
              <w:t xml:space="preserve">„9) achizițiile de drepturi de utilizare a produselor software standardizate și a soluțiilor de securitate informatică, furnizate pe bază de licență, atunci când drepturile de distribuție sau utilizare </w:t>
            </w:r>
            <w:r w:rsidRPr="00F9367D">
              <w:rPr>
                <w:rFonts w:ascii="Times New Roman" w:hAnsi="Times New Roman" w:cs="Times New Roman"/>
                <w:sz w:val="20"/>
                <w:szCs w:val="20"/>
                <w:lang w:val="ro-RO"/>
              </w:rPr>
              <w:lastRenderedPageBreak/>
              <w:t>sunt deținute în mod exclusiv de titularul dreptului sau de distribuitori autorizați și nu există o alternativă concurențială reală;</w:t>
            </w:r>
          </w:p>
          <w:p w14:paraId="6D3E604B" w14:textId="79A34D20" w:rsidR="00760BD0" w:rsidRPr="003D570B" w:rsidRDefault="00760BD0" w:rsidP="00760BD0">
            <w:pPr>
              <w:tabs>
                <w:tab w:val="left" w:pos="8505"/>
              </w:tabs>
              <w:jc w:val="both"/>
              <w:rPr>
                <w:rFonts w:ascii="Times New Roman" w:hAnsi="Times New Roman" w:cs="Times New Roman"/>
                <w:b/>
                <w:sz w:val="20"/>
                <w:szCs w:val="20"/>
                <w:lang w:val="ro-RO"/>
              </w:rPr>
            </w:pPr>
            <w:r w:rsidRPr="00F9367D">
              <w:rPr>
                <w:rFonts w:ascii="Times New Roman" w:hAnsi="Times New Roman" w:cs="Times New Roman"/>
                <w:sz w:val="20"/>
                <w:szCs w:val="20"/>
                <w:lang w:val="ro-RO"/>
              </w:rPr>
              <w:t>10) achizițiile de spațiu publicitar digital realizate direct de la operatorii platformelor digitale, în condiții contractuale standardizate, atunci când serviciul poate fi furnizat exclusiv prin infrastructura tehnică a platformei respective și nu există o alternativă concurențială reală.”.</w:t>
            </w:r>
          </w:p>
        </w:tc>
        <w:tc>
          <w:tcPr>
            <w:tcW w:w="2977" w:type="dxa"/>
          </w:tcPr>
          <w:p w14:paraId="0D011702" w14:textId="77777777" w:rsidR="00760BD0" w:rsidRPr="00760BD0" w:rsidRDefault="00760BD0" w:rsidP="00760BD0">
            <w:pPr>
              <w:pStyle w:val="p1"/>
              <w:jc w:val="center"/>
              <w:rPr>
                <w:b/>
                <w:color w:val="000000" w:themeColor="text1"/>
                <w:sz w:val="20"/>
                <w:szCs w:val="20"/>
                <w:lang w:val="ro-RO"/>
              </w:rPr>
            </w:pPr>
          </w:p>
        </w:tc>
        <w:tc>
          <w:tcPr>
            <w:tcW w:w="533" w:type="dxa"/>
          </w:tcPr>
          <w:p w14:paraId="7DDC61A5" w14:textId="57C35967" w:rsidR="00760BD0" w:rsidRDefault="00760BD0" w:rsidP="00760BD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2D43A0EA" w14:textId="2702BD13" w:rsidR="00760BD0" w:rsidRPr="00760BD0" w:rsidRDefault="00760BD0" w:rsidP="00760BD0">
            <w:pPr>
              <w:jc w:val="both"/>
              <w:rPr>
                <w:rFonts w:ascii="Times New Roman" w:hAnsi="Times New Roman" w:cs="Times New Roman"/>
                <w:sz w:val="20"/>
                <w:szCs w:val="20"/>
                <w:lang w:val="ro-RO"/>
              </w:rPr>
            </w:pPr>
            <w:r w:rsidRPr="00760BD0">
              <w:rPr>
                <w:rFonts w:ascii="Times New Roman" w:hAnsi="Times New Roman" w:cs="Times New Roman"/>
                <w:sz w:val="20"/>
                <w:szCs w:val="20"/>
                <w:lang w:val="ro-RO"/>
              </w:rPr>
              <w:t>Prin pct. 1.9. din proiect, ce vizează completarea pct. 14 cu subpct. 9) și subpct.</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it-IT"/>
              </w:rPr>
              <w:t>10) din Regulamentul cu privire la achizițiile publice de valoare mică, aprobat prin</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it-IT"/>
              </w:rPr>
              <w:t>Hotărârea Guvernului nr. 870/2022, se propune exceptarea de la aplicarea</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it-IT"/>
              </w:rPr>
              <w:t xml:space="preserve">procedurilor de achiziții publice de valoare mică pentru </w:t>
            </w:r>
            <w:r w:rsidRPr="00760BD0">
              <w:rPr>
                <w:rFonts w:ascii="Times New Roman" w:hAnsi="Times New Roman" w:cs="Times New Roman"/>
                <w:sz w:val="20"/>
                <w:szCs w:val="20"/>
                <w:lang w:val="it-IT"/>
              </w:rPr>
              <w:lastRenderedPageBreak/>
              <w:t>categoriile de achiziții</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it-IT"/>
              </w:rPr>
              <w:t>realizate pentru achizițiile de drepturi de utilizare a produselor software</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it-IT"/>
              </w:rPr>
              <w:t>standardizate și a soluțiilor de securitate informatică, furnizate pe baza de licență, și</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it-IT"/>
              </w:rPr>
              <w:t>achizițiile de spațiu publicitar digital realizate direct de la</w:t>
            </w:r>
            <w:r>
              <w:rPr>
                <w:rFonts w:ascii="Times New Roman" w:hAnsi="Times New Roman" w:cs="Times New Roman"/>
                <w:sz w:val="20"/>
                <w:szCs w:val="20"/>
                <w:lang w:val="it-IT"/>
              </w:rPr>
              <w:t xml:space="preserve"> </w:t>
            </w:r>
            <w:r w:rsidRPr="00760BD0">
              <w:rPr>
                <w:rFonts w:ascii="Times New Roman" w:hAnsi="Times New Roman" w:cs="Times New Roman"/>
                <w:sz w:val="20"/>
                <w:szCs w:val="20"/>
                <w:lang w:val="it-IT"/>
              </w:rPr>
              <w:t>operatorii platformelor</w:t>
            </w:r>
            <w:r>
              <w:rPr>
                <w:rFonts w:ascii="Times New Roman" w:hAnsi="Times New Roman" w:cs="Times New Roman"/>
                <w:sz w:val="20"/>
                <w:szCs w:val="20"/>
                <w:lang w:val="ro-RO"/>
              </w:rPr>
              <w:t xml:space="preserve"> </w:t>
            </w:r>
            <w:r w:rsidRPr="00760BD0">
              <w:rPr>
                <w:rFonts w:ascii="Times New Roman" w:hAnsi="Times New Roman" w:cs="Times New Roman"/>
                <w:sz w:val="20"/>
                <w:szCs w:val="20"/>
                <w:lang w:val="it-IT"/>
              </w:rPr>
              <w:t>digitale, în condiții standardizate.</w:t>
            </w:r>
          </w:p>
          <w:p w14:paraId="1680FC9D" w14:textId="77777777" w:rsidR="00760BD0" w:rsidRPr="00760BD0" w:rsidRDefault="00760BD0" w:rsidP="00760BD0">
            <w:pPr>
              <w:jc w:val="both"/>
              <w:rPr>
                <w:rFonts w:ascii="Times New Roman" w:hAnsi="Times New Roman" w:cs="Times New Roman"/>
                <w:sz w:val="20"/>
                <w:szCs w:val="20"/>
                <w:lang w:val="it-IT"/>
              </w:rPr>
            </w:pPr>
            <w:r w:rsidRPr="00760BD0">
              <w:rPr>
                <w:rFonts w:ascii="Times New Roman" w:hAnsi="Times New Roman" w:cs="Times New Roman"/>
                <w:sz w:val="20"/>
                <w:szCs w:val="20"/>
                <w:lang w:val="it-IT"/>
              </w:rPr>
              <w:t>Astfel, propunerile date sunt formulate într-o manieră generală, fără a fi limitate</w:t>
            </w:r>
          </w:p>
          <w:p w14:paraId="21A91D91" w14:textId="2EFA0A09" w:rsidR="00760BD0" w:rsidRPr="00760BD0" w:rsidRDefault="00760BD0" w:rsidP="00760BD0">
            <w:pPr>
              <w:jc w:val="both"/>
              <w:rPr>
                <w:rFonts w:ascii="Times New Roman" w:hAnsi="Times New Roman" w:cs="Times New Roman"/>
                <w:sz w:val="20"/>
                <w:szCs w:val="20"/>
                <w:lang w:val="it-IT"/>
              </w:rPr>
            </w:pPr>
            <w:r w:rsidRPr="00760BD0">
              <w:rPr>
                <w:rFonts w:ascii="Times New Roman" w:hAnsi="Times New Roman" w:cs="Times New Roman"/>
                <w:sz w:val="20"/>
                <w:szCs w:val="20"/>
                <w:lang w:val="it-IT"/>
              </w:rPr>
              <w:t>doar la situație de lipsă a concurenței din motive tehnice, și nu întrunesc exigențele</w:t>
            </w:r>
            <w:r>
              <w:rPr>
                <w:rFonts w:ascii="Times New Roman" w:hAnsi="Times New Roman" w:cs="Times New Roman"/>
                <w:sz w:val="20"/>
                <w:szCs w:val="20"/>
                <w:lang w:val="it-IT"/>
              </w:rPr>
              <w:t xml:space="preserve"> </w:t>
            </w:r>
            <w:r w:rsidRPr="00760BD0">
              <w:rPr>
                <w:rFonts w:ascii="Times New Roman" w:hAnsi="Times New Roman" w:cs="Times New Roman"/>
                <w:sz w:val="20"/>
                <w:szCs w:val="20"/>
                <w:lang w:val="it-IT"/>
              </w:rPr>
              <w:t>de previzibilitate și claritate ale normei juridice. În special, în condițiile în care se</w:t>
            </w:r>
            <w:r>
              <w:rPr>
                <w:rFonts w:ascii="Times New Roman" w:hAnsi="Times New Roman" w:cs="Times New Roman"/>
                <w:sz w:val="20"/>
                <w:szCs w:val="20"/>
                <w:lang w:val="it-IT"/>
              </w:rPr>
              <w:t xml:space="preserve"> </w:t>
            </w:r>
            <w:r w:rsidRPr="00760BD0">
              <w:rPr>
                <w:rFonts w:ascii="Times New Roman" w:hAnsi="Times New Roman" w:cs="Times New Roman"/>
                <w:sz w:val="20"/>
                <w:szCs w:val="20"/>
                <w:lang w:val="it-IT"/>
              </w:rPr>
              <w:t>invocă inexistența unei alternative concurențiale reale, norma propusă nu stabilește</w:t>
            </w:r>
            <w:r>
              <w:rPr>
                <w:rFonts w:ascii="Times New Roman" w:hAnsi="Times New Roman" w:cs="Times New Roman"/>
                <w:sz w:val="20"/>
                <w:szCs w:val="20"/>
                <w:lang w:val="it-IT"/>
              </w:rPr>
              <w:t xml:space="preserve"> </w:t>
            </w:r>
            <w:r w:rsidRPr="00760BD0">
              <w:rPr>
                <w:rFonts w:ascii="Times New Roman" w:hAnsi="Times New Roman" w:cs="Times New Roman"/>
                <w:sz w:val="20"/>
                <w:szCs w:val="20"/>
                <w:lang w:val="it-IT"/>
              </w:rPr>
              <w:t>cine va constata existența lipsei de concurență reală și nici procedura prin care</w:t>
            </w:r>
            <w:r>
              <w:rPr>
                <w:rFonts w:ascii="Times New Roman" w:hAnsi="Times New Roman" w:cs="Times New Roman"/>
                <w:sz w:val="20"/>
                <w:szCs w:val="20"/>
                <w:lang w:val="it-IT"/>
              </w:rPr>
              <w:t xml:space="preserve"> </w:t>
            </w:r>
            <w:r w:rsidRPr="00760BD0">
              <w:rPr>
                <w:rFonts w:ascii="Times New Roman" w:hAnsi="Times New Roman" w:cs="Times New Roman"/>
                <w:sz w:val="20"/>
                <w:szCs w:val="20"/>
                <w:lang w:val="it-IT"/>
              </w:rPr>
              <w:t>urmează a fi solicitată și stabilită lipsa unei alternative concurențiale reale.</w:t>
            </w:r>
          </w:p>
          <w:p w14:paraId="0A9AE072" w14:textId="19F89011" w:rsidR="00760BD0" w:rsidRPr="003D570B" w:rsidRDefault="00760BD0" w:rsidP="00760BD0">
            <w:pPr>
              <w:jc w:val="both"/>
              <w:rPr>
                <w:rFonts w:ascii="Times New Roman" w:hAnsi="Times New Roman" w:cs="Times New Roman"/>
                <w:sz w:val="20"/>
                <w:szCs w:val="20"/>
                <w:lang w:val="it-IT"/>
              </w:rPr>
            </w:pPr>
            <w:r w:rsidRPr="00760BD0">
              <w:rPr>
                <w:rFonts w:ascii="Times New Roman" w:hAnsi="Times New Roman" w:cs="Times New Roman"/>
                <w:sz w:val="20"/>
                <w:szCs w:val="20"/>
                <w:lang w:val="it-IT"/>
              </w:rPr>
              <w:t>Prin urmare, norma propusă ar putea genera riscuri de aplicare discriminatorie</w:t>
            </w:r>
            <w:r>
              <w:rPr>
                <w:rFonts w:ascii="Times New Roman" w:hAnsi="Times New Roman" w:cs="Times New Roman"/>
                <w:sz w:val="20"/>
                <w:szCs w:val="20"/>
                <w:lang w:val="it-IT"/>
              </w:rPr>
              <w:t xml:space="preserve"> </w:t>
            </w:r>
            <w:r w:rsidRPr="00760BD0">
              <w:rPr>
                <w:rFonts w:ascii="Times New Roman" w:hAnsi="Times New Roman" w:cs="Times New Roman"/>
                <w:sz w:val="20"/>
                <w:szCs w:val="20"/>
                <w:lang w:val="it-IT"/>
              </w:rPr>
              <w:t>a excepției și de eliminare nejustificată a concurenței efective în cadrul achizițiilor</w:t>
            </w:r>
            <w:r>
              <w:rPr>
                <w:rFonts w:ascii="Times New Roman" w:hAnsi="Times New Roman" w:cs="Times New Roman"/>
                <w:sz w:val="20"/>
                <w:szCs w:val="20"/>
                <w:lang w:val="it-IT"/>
              </w:rPr>
              <w:t xml:space="preserve"> </w:t>
            </w:r>
            <w:r w:rsidRPr="00760BD0">
              <w:rPr>
                <w:rFonts w:ascii="Times New Roman" w:hAnsi="Times New Roman" w:cs="Times New Roman"/>
                <w:sz w:val="20"/>
                <w:szCs w:val="20"/>
                <w:lang w:val="it-IT"/>
              </w:rPr>
              <w:t>publice de valoare mică pentru achizițiile de drepturi de utilizare a produselor</w:t>
            </w:r>
            <w:r>
              <w:rPr>
                <w:rFonts w:ascii="Times New Roman" w:hAnsi="Times New Roman" w:cs="Times New Roman"/>
                <w:sz w:val="20"/>
                <w:szCs w:val="20"/>
                <w:lang w:val="it-IT"/>
              </w:rPr>
              <w:t xml:space="preserve"> </w:t>
            </w:r>
            <w:r w:rsidRPr="00760BD0">
              <w:rPr>
                <w:rFonts w:ascii="Times New Roman" w:hAnsi="Times New Roman" w:cs="Times New Roman"/>
                <w:sz w:val="20"/>
                <w:szCs w:val="20"/>
                <w:lang w:val="it-IT"/>
              </w:rPr>
              <w:t>software standardizate și a soluțiilor de securitate informatică, furnizate pe baza de</w:t>
            </w:r>
            <w:r>
              <w:rPr>
                <w:rFonts w:ascii="Times New Roman" w:hAnsi="Times New Roman" w:cs="Times New Roman"/>
                <w:sz w:val="20"/>
                <w:szCs w:val="20"/>
                <w:lang w:val="it-IT"/>
              </w:rPr>
              <w:t xml:space="preserve"> </w:t>
            </w:r>
            <w:r w:rsidRPr="00760BD0">
              <w:rPr>
                <w:rFonts w:ascii="Times New Roman" w:hAnsi="Times New Roman" w:cs="Times New Roman"/>
                <w:sz w:val="20"/>
                <w:szCs w:val="20"/>
                <w:lang w:val="it-IT"/>
              </w:rPr>
              <w:t>licență, și achizițiile de spațiu publicitar digital realizate direct de la operatorii</w:t>
            </w:r>
            <w:r>
              <w:rPr>
                <w:rFonts w:ascii="Times New Roman" w:hAnsi="Times New Roman" w:cs="Times New Roman"/>
                <w:sz w:val="20"/>
                <w:szCs w:val="20"/>
                <w:lang w:val="it-IT"/>
              </w:rPr>
              <w:t xml:space="preserve"> </w:t>
            </w:r>
            <w:r w:rsidRPr="00760BD0">
              <w:rPr>
                <w:rFonts w:ascii="Times New Roman" w:hAnsi="Times New Roman" w:cs="Times New Roman"/>
                <w:sz w:val="20"/>
                <w:szCs w:val="20"/>
                <w:lang w:val="it-IT"/>
              </w:rPr>
              <w:t>platformelor digitale, în condiții standardizate.</w:t>
            </w:r>
          </w:p>
        </w:tc>
        <w:tc>
          <w:tcPr>
            <w:tcW w:w="3436" w:type="dxa"/>
          </w:tcPr>
          <w:p w14:paraId="701F806A" w14:textId="2361C70F" w:rsidR="00760BD0" w:rsidRPr="00760BD0" w:rsidRDefault="00760BD0" w:rsidP="00760BD0">
            <w:pPr>
              <w:tabs>
                <w:tab w:val="left" w:pos="8505"/>
              </w:tabs>
              <w:jc w:val="both"/>
              <w:rPr>
                <w:rFonts w:ascii="Times New Roman" w:hAnsi="Times New Roman" w:cs="Times New Roman"/>
                <w:b/>
                <w:sz w:val="20"/>
                <w:szCs w:val="20"/>
                <w:lang w:val="ro-RO"/>
              </w:rPr>
            </w:pPr>
            <w:r w:rsidRPr="00760BD0">
              <w:rPr>
                <w:rFonts w:ascii="Times New Roman" w:hAnsi="Times New Roman" w:cs="Times New Roman"/>
                <w:b/>
                <w:sz w:val="20"/>
                <w:szCs w:val="20"/>
                <w:lang w:val="ro-RO"/>
              </w:rPr>
              <w:lastRenderedPageBreak/>
              <w:t>Nu se acceptǎ</w:t>
            </w:r>
          </w:p>
          <w:p w14:paraId="4A7ABF07" w14:textId="791E597F"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Nu se acceptă propunerea de a considera reglementarea pct. 14 subpct. 9) și 10) ca fiind insuficient de precisă sau ca generând riscuri de aplicare discriminatorie.</w:t>
            </w:r>
          </w:p>
          <w:p w14:paraId="1A921C0F" w14:textId="1C5C4F2E" w:rsidR="00760BD0" w:rsidRPr="00760BD0" w:rsidRDefault="00760BD0" w:rsidP="00760BD0">
            <w:pPr>
              <w:tabs>
                <w:tab w:val="left" w:pos="8505"/>
              </w:tabs>
              <w:jc w:val="both"/>
              <w:rPr>
                <w:rFonts w:ascii="Times New Roman" w:hAnsi="Times New Roman" w:cs="Times New Roman"/>
                <w:bCs/>
                <w:i/>
                <w:iCs/>
                <w:sz w:val="20"/>
                <w:szCs w:val="20"/>
                <w:lang w:val="ro-RO"/>
              </w:rPr>
            </w:pPr>
            <w:r w:rsidRPr="00760BD0">
              <w:rPr>
                <w:rFonts w:ascii="Times New Roman" w:hAnsi="Times New Roman" w:cs="Times New Roman"/>
                <w:bCs/>
                <w:i/>
                <w:iCs/>
                <w:sz w:val="20"/>
                <w:szCs w:val="20"/>
                <w:lang w:val="ro-RO"/>
              </w:rPr>
              <w:t>Argumentare:</w:t>
            </w:r>
          </w:p>
          <w:p w14:paraId="724B322E" w14:textId="2044CFFB"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i/>
                <w:iCs/>
                <w:sz w:val="20"/>
                <w:szCs w:val="20"/>
                <w:lang w:val="ro-RO"/>
              </w:rPr>
              <w:lastRenderedPageBreak/>
              <w:t>1. Caracterul obiectiv și verificabil al condițiilor instituite.</w:t>
            </w:r>
            <w:r w:rsidRPr="00760BD0">
              <w:rPr>
                <w:rFonts w:ascii="Times New Roman" w:hAnsi="Times New Roman" w:cs="Times New Roman"/>
                <w:bCs/>
                <w:sz w:val="20"/>
                <w:szCs w:val="20"/>
                <w:lang w:val="ro-RO"/>
              </w:rPr>
              <w:t xml:space="preserve"> Contrar afirmației conform căreia normele propuse ar fi formulate „într-o manieră generală”, textul pct. 14 subpct. 9) și 10) stabilește condiții cumulative obiective și verificabile, după cum urmează:</w:t>
            </w:r>
          </w:p>
          <w:p w14:paraId="71281BEE" w14:textId="0AEB82FD"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a) Pentru subpct. 9):</w:t>
            </w:r>
          </w:p>
          <w:p w14:paraId="2AC46236" w14:textId="708FF88C" w:rsidR="00760BD0" w:rsidRPr="00760BD0" w:rsidRDefault="00760BD0" w:rsidP="00760BD0">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760BD0">
              <w:rPr>
                <w:rFonts w:ascii="Times New Roman" w:hAnsi="Times New Roman" w:cs="Times New Roman"/>
                <w:bCs/>
                <w:sz w:val="20"/>
                <w:szCs w:val="20"/>
                <w:lang w:val="ro-RO"/>
              </w:rPr>
              <w:t>existența unor drepturi de distribuție sau utilizare deținute în mod exclusiv de titularul dreptului sau de distribuitori autorizați;</w:t>
            </w:r>
          </w:p>
          <w:p w14:paraId="4AF888E9" w14:textId="4524DC40" w:rsidR="00760BD0" w:rsidRPr="00760BD0" w:rsidRDefault="00760BD0" w:rsidP="00760BD0">
            <w:pPr>
              <w:tabs>
                <w:tab w:val="left" w:pos="67"/>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760BD0">
              <w:rPr>
                <w:rFonts w:ascii="Times New Roman" w:hAnsi="Times New Roman" w:cs="Times New Roman"/>
                <w:bCs/>
                <w:sz w:val="20"/>
                <w:szCs w:val="20"/>
                <w:lang w:val="ro-RO"/>
              </w:rPr>
              <w:t>inexistența unei alternative concurențiale reale.</w:t>
            </w:r>
          </w:p>
          <w:p w14:paraId="61E05C74" w14:textId="32225D2A"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b) Pentru subpct. 10):</w:t>
            </w:r>
          </w:p>
          <w:p w14:paraId="7747B5FD" w14:textId="66F908D2" w:rsidR="00760BD0" w:rsidRPr="00760BD0" w:rsidRDefault="00760BD0" w:rsidP="00760BD0">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760BD0">
              <w:rPr>
                <w:rFonts w:ascii="Times New Roman" w:hAnsi="Times New Roman" w:cs="Times New Roman"/>
                <w:bCs/>
                <w:sz w:val="20"/>
                <w:szCs w:val="20"/>
                <w:lang w:val="ro-RO"/>
              </w:rPr>
              <w:t>furnizarea serviciului exclusiv prin infrastructura tehnică a platformei respective;</w:t>
            </w:r>
          </w:p>
          <w:p w14:paraId="151DA1AD" w14:textId="3ED766D8" w:rsidR="00760BD0" w:rsidRPr="00760BD0" w:rsidRDefault="00760BD0" w:rsidP="00760BD0">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760BD0">
              <w:rPr>
                <w:rFonts w:ascii="Times New Roman" w:hAnsi="Times New Roman" w:cs="Times New Roman"/>
                <w:bCs/>
                <w:sz w:val="20"/>
                <w:szCs w:val="20"/>
                <w:lang w:val="ro-RO"/>
              </w:rPr>
              <w:t>condiții contractuale standardizate;</w:t>
            </w:r>
          </w:p>
          <w:p w14:paraId="2CD01994" w14:textId="28D88FA6" w:rsidR="00760BD0" w:rsidRPr="00760BD0" w:rsidRDefault="00760BD0" w:rsidP="00760BD0">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760BD0">
              <w:rPr>
                <w:rFonts w:ascii="Times New Roman" w:hAnsi="Times New Roman" w:cs="Times New Roman"/>
                <w:bCs/>
                <w:sz w:val="20"/>
                <w:szCs w:val="20"/>
                <w:lang w:val="ro-RO"/>
              </w:rPr>
              <w:t>inexistența unei alternative concurențiale reale.</w:t>
            </w:r>
          </w:p>
          <w:p w14:paraId="210E2B83" w14:textId="68F3A746"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Aceste condiții sunt obiective, verificabile și documenta</w:t>
            </w:r>
            <w:r>
              <w:rPr>
                <w:rFonts w:ascii="Times New Roman" w:hAnsi="Times New Roman" w:cs="Times New Roman"/>
                <w:bCs/>
                <w:sz w:val="20"/>
                <w:szCs w:val="20"/>
                <w:lang w:val="ro-RO"/>
              </w:rPr>
              <w:t>te</w:t>
            </w:r>
            <w:r w:rsidRPr="00760BD0">
              <w:rPr>
                <w:rFonts w:ascii="Times New Roman" w:hAnsi="Times New Roman" w:cs="Times New Roman"/>
                <w:bCs/>
                <w:sz w:val="20"/>
                <w:szCs w:val="20"/>
                <w:lang w:val="ro-RO"/>
              </w:rPr>
              <w:t>, iar îndeplinirea lor cumulativă constituie premisa aplicării excepției.</w:t>
            </w:r>
          </w:p>
          <w:p w14:paraId="37A7FC15" w14:textId="3A105198" w:rsidR="00760BD0" w:rsidRPr="00760BD0" w:rsidRDefault="00760BD0" w:rsidP="00760BD0">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2. </w:t>
            </w:r>
            <w:r w:rsidRPr="00760BD0">
              <w:rPr>
                <w:rFonts w:ascii="Times New Roman" w:hAnsi="Times New Roman" w:cs="Times New Roman"/>
                <w:bCs/>
                <w:sz w:val="20"/>
                <w:szCs w:val="20"/>
                <w:lang w:val="ro-RO"/>
              </w:rPr>
              <w:t>Sintagma „alternativă concurențială reală” este un concept tehnic-juridic stabilit în dreptul achizițiilor publice. Această noțiune nu este una nouă sau ambiguă, ci reprezintă un concept consacrat în legislația națională și europeană, regăsindu-se sub forme echivalente în:</w:t>
            </w:r>
          </w:p>
          <w:p w14:paraId="0D00FD87" w14:textId="6A3C93F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 xml:space="preserve">a) art. 56 alin. (1) lit. </w:t>
            </w:r>
            <w:r>
              <w:rPr>
                <w:rFonts w:ascii="Times New Roman" w:hAnsi="Times New Roman" w:cs="Times New Roman"/>
                <w:bCs/>
                <w:sz w:val="20"/>
                <w:szCs w:val="20"/>
                <w:lang w:val="ro-RO"/>
              </w:rPr>
              <w:t>c</w:t>
            </w:r>
            <w:r w:rsidRPr="00760BD0">
              <w:rPr>
                <w:rFonts w:ascii="Times New Roman" w:hAnsi="Times New Roman" w:cs="Times New Roman"/>
                <w:bCs/>
                <w:sz w:val="20"/>
                <w:szCs w:val="20"/>
                <w:lang w:val="ro-RO"/>
              </w:rPr>
              <w:t xml:space="preserve">) din Legea nr. </w:t>
            </w:r>
            <w:r>
              <w:rPr>
                <w:rFonts w:ascii="Times New Roman" w:hAnsi="Times New Roman" w:cs="Times New Roman"/>
                <w:bCs/>
                <w:sz w:val="20"/>
                <w:szCs w:val="20"/>
                <w:lang w:val="ro-RO"/>
              </w:rPr>
              <w:t>131</w:t>
            </w:r>
            <w:r w:rsidRPr="00760BD0">
              <w:rPr>
                <w:rFonts w:ascii="Times New Roman" w:hAnsi="Times New Roman" w:cs="Times New Roman"/>
                <w:bCs/>
                <w:sz w:val="20"/>
                <w:szCs w:val="20"/>
                <w:lang w:val="ro-RO"/>
              </w:rPr>
              <w:t>/20</w:t>
            </w:r>
            <w:r>
              <w:rPr>
                <w:rFonts w:ascii="Times New Roman" w:hAnsi="Times New Roman" w:cs="Times New Roman"/>
                <w:bCs/>
                <w:sz w:val="20"/>
                <w:szCs w:val="20"/>
                <w:lang w:val="ro-RO"/>
              </w:rPr>
              <w:t>1</w:t>
            </w:r>
            <w:r w:rsidRPr="00760BD0">
              <w:rPr>
                <w:rFonts w:ascii="Times New Roman" w:hAnsi="Times New Roman" w:cs="Times New Roman"/>
                <w:bCs/>
                <w:sz w:val="20"/>
                <w:szCs w:val="20"/>
                <w:lang w:val="ro-RO"/>
              </w:rPr>
              <w:t>5, care reglementează procedura de negociere fără publicare prealabilă în cazul în care „lucrările, produsele sau serviciile pot fi furnizate doar de un anumit operator economic” din motive tehnice sau de protecție a drepturilor exclusive;</w:t>
            </w:r>
          </w:p>
          <w:p w14:paraId="0B7F6C10" w14:textId="32F35D6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 xml:space="preserve">b) Directiva 2014/24/UE privind achizițiile publice (art. 32), care </w:t>
            </w:r>
            <w:r w:rsidRPr="00760BD0">
              <w:rPr>
                <w:rFonts w:ascii="Times New Roman" w:hAnsi="Times New Roman" w:cs="Times New Roman"/>
                <w:bCs/>
                <w:sz w:val="20"/>
                <w:szCs w:val="20"/>
                <w:lang w:val="ro-RO"/>
              </w:rPr>
              <w:lastRenderedPageBreak/>
              <w:t>utilizează concepte similare („absence of competition for technical reasons”, „protection of exclusive rights”);</w:t>
            </w:r>
          </w:p>
          <w:p w14:paraId="5C08FE6E" w14:textId="3D52F5A3"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c) practica administrativă a Agenției Achiziții Publice (AAP) și a instanțelor de contencios administrativ.</w:t>
            </w:r>
          </w:p>
          <w:p w14:paraId="3C56A77C" w14:textId="32A6310D"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Prin urmare, definirea expresă a sintagmei în Regulament ar fi redundantă și ar risca să rigidizeze un concept care, prin natura sa, necesită evaluare cazuistică.</w:t>
            </w:r>
          </w:p>
          <w:p w14:paraId="63640FD8" w14:textId="52BD65A0" w:rsidR="00760BD0" w:rsidRPr="00760BD0" w:rsidRDefault="00760BD0" w:rsidP="00760BD0">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3. </w:t>
            </w:r>
            <w:r w:rsidRPr="00760BD0">
              <w:rPr>
                <w:rFonts w:ascii="Times New Roman" w:hAnsi="Times New Roman" w:cs="Times New Roman"/>
                <w:bCs/>
                <w:sz w:val="20"/>
                <w:szCs w:val="20"/>
                <w:lang w:val="ro-RO"/>
              </w:rPr>
              <w:t>Mecanismul de constatare a îndeplinirii condițiilor este deja stabilit prin cadrul normativ existent. Contrar afirmației că „norma propusă nu stabilește cine va constata existența lipsei de concurență reală”, această obligație revine, în mod natural și conform regulilor generale ale achizițiilor publice:</w:t>
            </w:r>
          </w:p>
          <w:p w14:paraId="1CE0514C" w14:textId="77777777" w:rsid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a) autorității/entității contractante, care are obligația de a documenta și justifica decizia de aplicare a excepției, în baza:</w:t>
            </w:r>
          </w:p>
          <w:p w14:paraId="3B8219DD" w14:textId="649B9D8F" w:rsidR="00760BD0" w:rsidRPr="00760BD0" w:rsidRDefault="00760BD0" w:rsidP="00760BD0">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760BD0">
              <w:rPr>
                <w:rFonts w:ascii="Times New Roman" w:hAnsi="Times New Roman" w:cs="Times New Roman"/>
                <w:bCs/>
                <w:sz w:val="20"/>
                <w:szCs w:val="20"/>
                <w:lang w:val="ro-RO"/>
              </w:rPr>
              <w:t>principiilor prevăzute la pct. 8 din Regulament (utilizarea eficientă a resurselor, transparență, obiectivitate, imparțialitate);</w:t>
            </w:r>
          </w:p>
          <w:p w14:paraId="09270A95" w14:textId="62B085E5" w:rsidR="00760BD0" w:rsidRPr="00760BD0" w:rsidRDefault="00760BD0" w:rsidP="00760BD0">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760BD0">
              <w:rPr>
                <w:rFonts w:ascii="Times New Roman" w:hAnsi="Times New Roman" w:cs="Times New Roman"/>
                <w:bCs/>
                <w:sz w:val="20"/>
                <w:szCs w:val="20"/>
                <w:lang w:val="ro-RO"/>
              </w:rPr>
              <w:t>regulilor de control intern managerial, prevăzute la pct. 9 din Regulament;</w:t>
            </w:r>
          </w:p>
          <w:p w14:paraId="39CD9AB2" w14:textId="0642063C" w:rsidR="00760BD0" w:rsidRPr="00760BD0" w:rsidRDefault="00760BD0" w:rsidP="00760BD0">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 </w:t>
            </w:r>
            <w:r w:rsidRPr="00760BD0">
              <w:rPr>
                <w:rFonts w:ascii="Times New Roman" w:hAnsi="Times New Roman" w:cs="Times New Roman"/>
                <w:bCs/>
                <w:sz w:val="20"/>
                <w:szCs w:val="20"/>
                <w:lang w:val="ro-RO"/>
              </w:rPr>
              <w:t>studiului de piață prealabil, care reprezintă o practică standard în achizițiile publice;</w:t>
            </w:r>
          </w:p>
          <w:p w14:paraId="676ED654" w14:textId="68B3F792"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b) Agenției Achiziții Publice, în exercitarea atribuțiilor sale de monitorizare și control;</w:t>
            </w:r>
          </w:p>
          <w:p w14:paraId="7251B8CF" w14:textId="5B2D8A55"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c) organelor de control financiar și de audit, care pot verifica ulterior justificarea aplicării excepției.</w:t>
            </w:r>
          </w:p>
          <w:p w14:paraId="5F1C29B8" w14:textId="7D20C71A"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Această repartizare a competențelor este conformă cu arhitectura generală a sistemului de achiziții publice și nu necesită o reglementare expresă suplimentară în Regulament.</w:t>
            </w:r>
          </w:p>
          <w:p w14:paraId="5679604B" w14:textId="3104BE34" w:rsidR="00760BD0" w:rsidRPr="00760BD0" w:rsidRDefault="00760BD0" w:rsidP="00760BD0">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lastRenderedPageBreak/>
              <w:t xml:space="preserve">4. </w:t>
            </w:r>
            <w:r w:rsidRPr="00760BD0">
              <w:rPr>
                <w:rFonts w:ascii="Times New Roman" w:hAnsi="Times New Roman" w:cs="Times New Roman"/>
                <w:bCs/>
                <w:sz w:val="20"/>
                <w:szCs w:val="20"/>
                <w:lang w:val="ro-RO"/>
              </w:rPr>
              <w:t>Documentarea și trasabilitatea deciziei. Autoritatea/entitatea contractantă care invocă aplicarea excepției are obligația de a întocmi o notă justificativă care să demonstreze:</w:t>
            </w:r>
          </w:p>
          <w:p w14:paraId="096FFF08" w14:textId="7777777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a) caracterul exclusiv al drepturilor sau al infrastructurii tehnice;</w:t>
            </w:r>
          </w:p>
          <w:p w14:paraId="28978AF5" w14:textId="7777777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b) cercetarea pieței efectuată în vederea identificării alternativelor;</w:t>
            </w:r>
          </w:p>
          <w:p w14:paraId="0B217487" w14:textId="1E018BA3"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c) absența unor alternative concurențiale reale.</w:t>
            </w:r>
          </w:p>
          <w:p w14:paraId="54C39074" w14:textId="3C56AF4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Această obligație rezultă din principiile generale de transparență, obiectivitate și răspundere prevăzute la pct. 8 din Regulament și nu necesită o reglementare distinctă.</w:t>
            </w:r>
          </w:p>
          <w:p w14:paraId="6D8999C4" w14:textId="4984CC3B" w:rsidR="00760BD0" w:rsidRPr="00760BD0" w:rsidRDefault="00760BD0" w:rsidP="00760BD0">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5. </w:t>
            </w:r>
            <w:r w:rsidRPr="00760BD0">
              <w:rPr>
                <w:rFonts w:ascii="Times New Roman" w:hAnsi="Times New Roman" w:cs="Times New Roman"/>
                <w:bCs/>
                <w:sz w:val="20"/>
                <w:szCs w:val="20"/>
                <w:lang w:val="ro-RO"/>
              </w:rPr>
              <w:t>Proporționalitatea și necesitatea reglementării. Excepțiile propuse răspund unor realități obiective ale pieței digitale contemporane, în care:</w:t>
            </w:r>
          </w:p>
          <w:p w14:paraId="7D0CDFD4" w14:textId="069BE1F5"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a) produsele software standardizate (sisteme de operare, software de productivitate, soluții antivirus etc.) sunt furnizate pe baza unor modele de licențiere stabilite global de titularii drepturilor de proprietate intelectuală (Microsoft, Adobe, Oracle, Kaspersky etc.);</w:t>
            </w:r>
          </w:p>
          <w:p w14:paraId="2D6C5F83" w14:textId="25382469"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b) spațiul publicitar digital este furnizat exclusiv prin infrastructura tehnică a platformelor specifice (Google, Meta, LinkedIn etc.), în condiții contractuale standardizate la nivel global;</w:t>
            </w:r>
          </w:p>
          <w:p w14:paraId="5451A00C" w14:textId="75D990A8"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c) în ambele cazuri, aplicarea unei proceduri competitive clasice este obiectiv imposibilă, întrucât nu există furnizori alternativi care să poată oferi același produs sau serviciu.</w:t>
            </w:r>
          </w:p>
          <w:p w14:paraId="74FC1048" w14:textId="368F65EF"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Reglementarea propusă nu elimină concurența, ci recunoaște o realitate de piață în care concurența nu există în mod obiectiv pentru produsul/serviciul specific.</w:t>
            </w:r>
          </w:p>
          <w:p w14:paraId="05098515" w14:textId="07901EB7" w:rsidR="00760BD0" w:rsidRPr="00760BD0" w:rsidRDefault="00760BD0" w:rsidP="00760BD0">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lastRenderedPageBreak/>
              <w:t xml:space="preserve">6. </w:t>
            </w:r>
            <w:r w:rsidRPr="00760BD0">
              <w:rPr>
                <w:rFonts w:ascii="Times New Roman" w:hAnsi="Times New Roman" w:cs="Times New Roman"/>
                <w:bCs/>
                <w:sz w:val="20"/>
                <w:szCs w:val="20"/>
                <w:lang w:val="ro-RO"/>
              </w:rPr>
              <w:t>Garanțiile împotriva aplicării abuzive sunt deja prezente în sistem. Riscul de „aplicare discriminatorie” invocat este atenuat semnificativ prin:</w:t>
            </w:r>
          </w:p>
          <w:p w14:paraId="594331E5" w14:textId="7777777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a) caracterul cumulativ al condițiilor stabilite la subpct. 9) și 10);</w:t>
            </w:r>
          </w:p>
          <w:p w14:paraId="01DE1209" w14:textId="7777777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b) obligația de documentare și justificare a deciziei de aplicare a excepției;</w:t>
            </w:r>
          </w:p>
          <w:p w14:paraId="3F668FB4" w14:textId="7777777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c) controlul ulterior exercitat de Agenția Achiziții Publice și de organele de audit;</w:t>
            </w:r>
          </w:p>
          <w:p w14:paraId="5CA3BB37" w14:textId="7777777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d) răspunderea autorităților contractante pentru deciziile adoptate, în temeiul cadrului legal general;</w:t>
            </w:r>
          </w:p>
          <w:p w14:paraId="39CD6A91" w14:textId="3EF70CED"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e) principiile generale ale achizițiilor publice, aplicabile inclusiv excepțiilor (transparență, eficiență, obiectivitate).</w:t>
            </w:r>
          </w:p>
          <w:p w14:paraId="5E3F9E56" w14:textId="1C62C1DC" w:rsidR="00760BD0" w:rsidRPr="00760BD0" w:rsidRDefault="00760BD0" w:rsidP="00760BD0">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7. </w:t>
            </w:r>
            <w:r w:rsidRPr="00760BD0">
              <w:rPr>
                <w:rFonts w:ascii="Times New Roman" w:hAnsi="Times New Roman" w:cs="Times New Roman"/>
                <w:bCs/>
                <w:sz w:val="20"/>
                <w:szCs w:val="20"/>
                <w:lang w:val="ro-RO"/>
              </w:rPr>
              <w:t>Conformitate cu practica internațională. Excepții similare sunt prevăzute în legislația altor state membre UE și în practica internațională a achizițiilor publice, fiind recunoscut faptul că anumite categorii de produse și servicii digitale nu se pretează unei proceduri competitive clasice, datorită specificului tehnic și comercial al pieței.</w:t>
            </w:r>
          </w:p>
          <w:p w14:paraId="23635C83" w14:textId="2557788C" w:rsidR="00760BD0" w:rsidRPr="00760BD0" w:rsidRDefault="00760BD0" w:rsidP="00760BD0">
            <w:pPr>
              <w:tabs>
                <w:tab w:val="left" w:pos="8505"/>
              </w:tabs>
              <w:jc w:val="both"/>
              <w:rPr>
                <w:rFonts w:ascii="Times New Roman" w:hAnsi="Times New Roman" w:cs="Times New Roman"/>
                <w:bCs/>
                <w:sz w:val="20"/>
                <w:szCs w:val="20"/>
                <w:lang w:val="ro-RO"/>
              </w:rPr>
            </w:pPr>
            <w:r>
              <w:rPr>
                <w:rFonts w:ascii="Times New Roman" w:hAnsi="Times New Roman" w:cs="Times New Roman"/>
                <w:bCs/>
                <w:sz w:val="20"/>
                <w:szCs w:val="20"/>
                <w:lang w:val="ro-RO"/>
              </w:rPr>
              <w:t>În c</w:t>
            </w:r>
            <w:r w:rsidRPr="00760BD0">
              <w:rPr>
                <w:rFonts w:ascii="Times New Roman" w:hAnsi="Times New Roman" w:cs="Times New Roman"/>
                <w:bCs/>
                <w:sz w:val="20"/>
                <w:szCs w:val="20"/>
                <w:lang w:val="ro-RO"/>
              </w:rPr>
              <w:t>oncluzie:</w:t>
            </w:r>
          </w:p>
          <w:p w14:paraId="0DFBF114" w14:textId="27B86A3A"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Reglementarea propusă la pct. 14 subpct. 9) și 10) întrunește exigențele de claritate și predictibilitate ale normei juridice, întrucât:</w:t>
            </w:r>
          </w:p>
          <w:p w14:paraId="10B27A6E" w14:textId="68D004F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a) stabilește condiții cumulative obiective și verificabile pentru aplicarea excepției;</w:t>
            </w:r>
          </w:p>
          <w:p w14:paraId="2A0F80C4" w14:textId="7777777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b) utilizează concepte tehnico-juridice consacrate în dreptul achizițiilor publice național și european;</w:t>
            </w:r>
          </w:p>
          <w:p w14:paraId="173B70F7" w14:textId="0F5B6607"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c) se integrează în arhitectura generală a sistemului de achiziții publice, care prevede mecanisme adecvate de documentare, control și răspundere;</w:t>
            </w:r>
          </w:p>
          <w:p w14:paraId="0F4CAF8A" w14:textId="4065DC68"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d) răspunde unor realități obiective ale pieței digitale, recunoscute la nivel internațional;</w:t>
            </w:r>
          </w:p>
          <w:p w14:paraId="3DA0D816" w14:textId="1EC54EA9"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lastRenderedPageBreak/>
              <w:t>e) este însoțită de garanții suficiente împotriva aplicării abuzive (caracter cumulativ al condițiilor, obligația de justificare, control ulterior).</w:t>
            </w:r>
          </w:p>
          <w:p w14:paraId="72A11F4C" w14:textId="5E8E90B8" w:rsidR="00760BD0" w:rsidRPr="00760BD0" w:rsidRDefault="00760BD0" w:rsidP="00760BD0">
            <w:pPr>
              <w:tabs>
                <w:tab w:val="left" w:pos="8505"/>
              </w:tabs>
              <w:jc w:val="both"/>
              <w:rPr>
                <w:rFonts w:ascii="Times New Roman" w:hAnsi="Times New Roman" w:cs="Times New Roman"/>
                <w:bCs/>
                <w:sz w:val="20"/>
                <w:szCs w:val="20"/>
                <w:lang w:val="ro-RO"/>
              </w:rPr>
            </w:pPr>
            <w:r w:rsidRPr="00760BD0">
              <w:rPr>
                <w:rFonts w:ascii="Times New Roman" w:hAnsi="Times New Roman" w:cs="Times New Roman"/>
                <w:bCs/>
                <w:sz w:val="20"/>
                <w:szCs w:val="20"/>
                <w:lang w:val="ro-RO"/>
              </w:rPr>
              <w:t>Prin urmare, textul pct. 14 subpct. 9) și 10) se menține în forma propusă.</w:t>
            </w:r>
          </w:p>
        </w:tc>
      </w:tr>
      <w:tr w:rsidR="00914425" w:rsidRPr="00760BD0" w14:paraId="2107364F" w14:textId="77777777" w:rsidTr="00914425">
        <w:trPr>
          <w:trHeight w:val="311"/>
        </w:trPr>
        <w:tc>
          <w:tcPr>
            <w:tcW w:w="13745" w:type="dxa"/>
            <w:gridSpan w:val="5"/>
          </w:tcPr>
          <w:p w14:paraId="758C4385" w14:textId="60956ED4" w:rsidR="00914425" w:rsidRPr="00760BD0" w:rsidRDefault="00914425" w:rsidP="00914425">
            <w:pPr>
              <w:tabs>
                <w:tab w:val="left" w:pos="8505"/>
              </w:tabs>
              <w:jc w:val="center"/>
              <w:rPr>
                <w:rFonts w:ascii="Times New Roman" w:hAnsi="Times New Roman" w:cs="Times New Roman"/>
                <w:b/>
                <w:sz w:val="20"/>
                <w:szCs w:val="20"/>
                <w:lang w:val="ro-RO"/>
              </w:rPr>
            </w:pPr>
            <w:r w:rsidRPr="00914425">
              <w:rPr>
                <w:rFonts w:ascii="Times New Roman" w:hAnsi="Times New Roman" w:cs="Times New Roman"/>
                <w:b/>
                <w:sz w:val="20"/>
                <w:szCs w:val="20"/>
                <w:lang w:val="ro-RO"/>
              </w:rPr>
              <w:lastRenderedPageBreak/>
              <w:t>Expertizare/Notificare obiecții</w:t>
            </w:r>
          </w:p>
        </w:tc>
      </w:tr>
      <w:tr w:rsidR="00914425" w:rsidRPr="00760BD0" w14:paraId="45A1C293" w14:textId="77777777" w:rsidTr="00A919EA">
        <w:trPr>
          <w:trHeight w:val="416"/>
        </w:trPr>
        <w:tc>
          <w:tcPr>
            <w:tcW w:w="3397" w:type="dxa"/>
          </w:tcPr>
          <w:p w14:paraId="09A8D0DA" w14:textId="77777777" w:rsidR="00914425" w:rsidRPr="00F9367D" w:rsidRDefault="00914425" w:rsidP="00760BD0">
            <w:pPr>
              <w:tabs>
                <w:tab w:val="left" w:pos="8505"/>
              </w:tabs>
              <w:jc w:val="both"/>
              <w:rPr>
                <w:rFonts w:ascii="Times New Roman" w:hAnsi="Times New Roman" w:cs="Times New Roman"/>
                <w:b/>
                <w:sz w:val="20"/>
                <w:szCs w:val="20"/>
                <w:lang w:val="ro-RO"/>
              </w:rPr>
            </w:pPr>
          </w:p>
        </w:tc>
        <w:tc>
          <w:tcPr>
            <w:tcW w:w="2977" w:type="dxa"/>
          </w:tcPr>
          <w:p w14:paraId="2C60EC20" w14:textId="0D46E547" w:rsidR="00914425" w:rsidRPr="00760BD0" w:rsidRDefault="00914425" w:rsidP="00760BD0">
            <w:pPr>
              <w:pStyle w:val="p1"/>
              <w:jc w:val="center"/>
              <w:rPr>
                <w:b/>
                <w:color w:val="000000" w:themeColor="text1"/>
                <w:sz w:val="20"/>
                <w:szCs w:val="20"/>
                <w:lang w:val="ro-RO"/>
              </w:rPr>
            </w:pPr>
            <w:r w:rsidRPr="00914425">
              <w:rPr>
                <w:b/>
                <w:color w:val="000000" w:themeColor="text1"/>
                <w:sz w:val="20"/>
                <w:szCs w:val="20"/>
              </w:rPr>
              <w:t>Agenţia Naţională pentru Siguranţa Alimentelor</w:t>
            </w:r>
            <w:r>
              <w:rPr>
                <w:b/>
                <w:color w:val="000000" w:themeColor="text1"/>
                <w:sz w:val="20"/>
                <w:szCs w:val="20"/>
              </w:rPr>
              <w:t xml:space="preserve"> </w:t>
            </w:r>
            <w:r w:rsidRPr="00914425">
              <w:rPr>
                <w:b/>
                <w:color w:val="000000" w:themeColor="text1"/>
                <w:sz w:val="20"/>
                <w:szCs w:val="20"/>
                <w:lang w:val="ro-RO"/>
              </w:rPr>
              <w:t xml:space="preserve">(comentariu în Legiferare din data de </w:t>
            </w:r>
            <w:r>
              <w:rPr>
                <w:b/>
                <w:color w:val="000000" w:themeColor="text1"/>
                <w:sz w:val="20"/>
                <w:szCs w:val="20"/>
                <w:lang w:val="ro-RO"/>
              </w:rPr>
              <w:t>13.05</w:t>
            </w:r>
            <w:r w:rsidRPr="00914425">
              <w:rPr>
                <w:b/>
                <w:color w:val="000000" w:themeColor="text1"/>
                <w:sz w:val="20"/>
                <w:szCs w:val="20"/>
                <w:lang w:val="ro-RO"/>
              </w:rPr>
              <w:t>.2026)</w:t>
            </w:r>
          </w:p>
        </w:tc>
        <w:tc>
          <w:tcPr>
            <w:tcW w:w="533" w:type="dxa"/>
          </w:tcPr>
          <w:p w14:paraId="1D4F528E" w14:textId="77777777" w:rsidR="00914425" w:rsidRDefault="00914425" w:rsidP="00760BD0">
            <w:pPr>
              <w:tabs>
                <w:tab w:val="left" w:pos="8505"/>
              </w:tabs>
              <w:jc w:val="center"/>
              <w:rPr>
                <w:rFonts w:ascii="Times New Roman" w:hAnsi="Times New Roman" w:cs="Times New Roman"/>
                <w:b/>
                <w:sz w:val="20"/>
                <w:szCs w:val="20"/>
                <w:lang w:val="ro-RO"/>
              </w:rPr>
            </w:pPr>
          </w:p>
        </w:tc>
        <w:tc>
          <w:tcPr>
            <w:tcW w:w="3402" w:type="dxa"/>
          </w:tcPr>
          <w:p w14:paraId="071EDDA4" w14:textId="77777777" w:rsidR="00914425" w:rsidRPr="00760BD0" w:rsidRDefault="00914425" w:rsidP="00760BD0">
            <w:pPr>
              <w:jc w:val="both"/>
              <w:rPr>
                <w:rFonts w:ascii="Times New Roman" w:hAnsi="Times New Roman" w:cs="Times New Roman"/>
                <w:sz w:val="20"/>
                <w:szCs w:val="20"/>
                <w:lang w:val="ro-RO"/>
              </w:rPr>
            </w:pPr>
          </w:p>
        </w:tc>
        <w:tc>
          <w:tcPr>
            <w:tcW w:w="3436" w:type="dxa"/>
          </w:tcPr>
          <w:p w14:paraId="46299E11" w14:textId="77777777" w:rsidR="00914425" w:rsidRPr="00760BD0" w:rsidRDefault="00914425" w:rsidP="00760BD0">
            <w:pPr>
              <w:tabs>
                <w:tab w:val="left" w:pos="8505"/>
              </w:tabs>
              <w:jc w:val="both"/>
              <w:rPr>
                <w:rFonts w:ascii="Times New Roman" w:hAnsi="Times New Roman" w:cs="Times New Roman"/>
                <w:b/>
                <w:sz w:val="20"/>
                <w:szCs w:val="20"/>
                <w:lang w:val="ro-RO"/>
              </w:rPr>
            </w:pPr>
          </w:p>
        </w:tc>
      </w:tr>
      <w:tr w:rsidR="00914425" w:rsidRPr="00760BD0" w14:paraId="4A6EFD6A" w14:textId="77777777" w:rsidTr="00A919EA">
        <w:trPr>
          <w:trHeight w:val="416"/>
        </w:trPr>
        <w:tc>
          <w:tcPr>
            <w:tcW w:w="3397" w:type="dxa"/>
          </w:tcPr>
          <w:p w14:paraId="099EAB7C" w14:textId="77777777" w:rsidR="00914425" w:rsidRPr="00F9367D" w:rsidRDefault="00914425" w:rsidP="00760BD0">
            <w:pPr>
              <w:tabs>
                <w:tab w:val="left" w:pos="8505"/>
              </w:tabs>
              <w:jc w:val="both"/>
              <w:rPr>
                <w:rFonts w:ascii="Times New Roman" w:hAnsi="Times New Roman" w:cs="Times New Roman"/>
                <w:b/>
                <w:sz w:val="20"/>
                <w:szCs w:val="20"/>
                <w:lang w:val="ro-RO"/>
              </w:rPr>
            </w:pPr>
          </w:p>
        </w:tc>
        <w:tc>
          <w:tcPr>
            <w:tcW w:w="2977" w:type="dxa"/>
          </w:tcPr>
          <w:p w14:paraId="27255A30" w14:textId="77777777" w:rsidR="00914425" w:rsidRPr="00760BD0" w:rsidRDefault="00914425" w:rsidP="00760BD0">
            <w:pPr>
              <w:pStyle w:val="p1"/>
              <w:jc w:val="center"/>
              <w:rPr>
                <w:b/>
                <w:color w:val="000000" w:themeColor="text1"/>
                <w:sz w:val="20"/>
                <w:szCs w:val="20"/>
                <w:lang w:val="ro-RO"/>
              </w:rPr>
            </w:pPr>
          </w:p>
        </w:tc>
        <w:tc>
          <w:tcPr>
            <w:tcW w:w="533" w:type="dxa"/>
          </w:tcPr>
          <w:p w14:paraId="5F01A85F" w14:textId="2CCEDCA5" w:rsidR="00914425" w:rsidRDefault="00914425" w:rsidP="00760BD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5DA5228C" w14:textId="77777777" w:rsidR="00914425" w:rsidRPr="00760BD0" w:rsidRDefault="00914425" w:rsidP="00760BD0">
            <w:pPr>
              <w:jc w:val="both"/>
              <w:rPr>
                <w:rFonts w:ascii="Times New Roman" w:hAnsi="Times New Roman" w:cs="Times New Roman"/>
                <w:sz w:val="20"/>
                <w:szCs w:val="20"/>
                <w:lang w:val="ro-RO"/>
              </w:rPr>
            </w:pPr>
          </w:p>
        </w:tc>
        <w:tc>
          <w:tcPr>
            <w:tcW w:w="3436" w:type="dxa"/>
          </w:tcPr>
          <w:p w14:paraId="232B2D21" w14:textId="76B71553" w:rsidR="00914425" w:rsidRPr="00760BD0" w:rsidRDefault="00914425" w:rsidP="00760BD0">
            <w:pPr>
              <w:tabs>
                <w:tab w:val="left" w:pos="8505"/>
              </w:tabs>
              <w:jc w:val="both"/>
              <w:rPr>
                <w:rFonts w:ascii="Times New Roman" w:hAnsi="Times New Roman" w:cs="Times New Roman"/>
                <w:b/>
                <w:sz w:val="20"/>
                <w:szCs w:val="20"/>
                <w:lang w:val="ro-RO"/>
              </w:rPr>
            </w:pPr>
            <w:r w:rsidRPr="00914425">
              <w:rPr>
                <w:rFonts w:ascii="Times New Roman" w:hAnsi="Times New Roman" w:cs="Times New Roman"/>
                <w:b/>
                <w:sz w:val="20"/>
                <w:szCs w:val="20"/>
                <w:lang w:val="ro-RO"/>
              </w:rPr>
              <w:t>Se ia act</w:t>
            </w:r>
          </w:p>
        </w:tc>
      </w:tr>
      <w:tr w:rsidR="00914425" w:rsidRPr="00760BD0" w14:paraId="6C2A6E2A" w14:textId="77777777" w:rsidTr="00A919EA">
        <w:trPr>
          <w:trHeight w:val="416"/>
        </w:trPr>
        <w:tc>
          <w:tcPr>
            <w:tcW w:w="3397" w:type="dxa"/>
          </w:tcPr>
          <w:p w14:paraId="1780D257" w14:textId="77777777" w:rsidR="00914425" w:rsidRPr="00F9367D" w:rsidRDefault="00914425" w:rsidP="00760BD0">
            <w:pPr>
              <w:tabs>
                <w:tab w:val="left" w:pos="8505"/>
              </w:tabs>
              <w:jc w:val="both"/>
              <w:rPr>
                <w:rFonts w:ascii="Times New Roman" w:hAnsi="Times New Roman" w:cs="Times New Roman"/>
                <w:b/>
                <w:sz w:val="20"/>
                <w:szCs w:val="20"/>
                <w:lang w:val="ro-RO"/>
              </w:rPr>
            </w:pPr>
          </w:p>
        </w:tc>
        <w:tc>
          <w:tcPr>
            <w:tcW w:w="2977" w:type="dxa"/>
          </w:tcPr>
          <w:p w14:paraId="441215C4" w14:textId="1D88CD29" w:rsidR="00914425" w:rsidRPr="00760BD0" w:rsidRDefault="00914425" w:rsidP="00760BD0">
            <w:pPr>
              <w:pStyle w:val="p1"/>
              <w:jc w:val="center"/>
              <w:rPr>
                <w:b/>
                <w:color w:val="000000" w:themeColor="text1"/>
                <w:sz w:val="20"/>
                <w:szCs w:val="20"/>
                <w:lang w:val="ro-RO"/>
              </w:rPr>
            </w:pPr>
            <w:r w:rsidRPr="00914425">
              <w:rPr>
                <w:b/>
                <w:color w:val="000000" w:themeColor="text1"/>
                <w:sz w:val="20"/>
                <w:szCs w:val="20"/>
              </w:rPr>
              <w:t>Casa Națională de Asigurări Sociale</w:t>
            </w:r>
            <w:r>
              <w:rPr>
                <w:b/>
                <w:color w:val="000000" w:themeColor="text1"/>
                <w:sz w:val="20"/>
                <w:szCs w:val="20"/>
              </w:rPr>
              <w:t xml:space="preserve"> </w:t>
            </w:r>
            <w:r w:rsidRPr="00914425">
              <w:rPr>
                <w:b/>
                <w:color w:val="000000" w:themeColor="text1"/>
                <w:sz w:val="20"/>
                <w:szCs w:val="20"/>
                <w:lang w:val="ro-RO"/>
              </w:rPr>
              <w:t xml:space="preserve">(comentariu în Legiferare din data de </w:t>
            </w:r>
            <w:r>
              <w:rPr>
                <w:b/>
                <w:color w:val="000000" w:themeColor="text1"/>
                <w:sz w:val="20"/>
                <w:szCs w:val="20"/>
                <w:lang w:val="ro-RO"/>
              </w:rPr>
              <w:t>14</w:t>
            </w:r>
            <w:r w:rsidRPr="00914425">
              <w:rPr>
                <w:b/>
                <w:color w:val="000000" w:themeColor="text1"/>
                <w:sz w:val="20"/>
                <w:szCs w:val="20"/>
                <w:lang w:val="ro-RO"/>
              </w:rPr>
              <w:t>.05.2026)</w:t>
            </w:r>
          </w:p>
        </w:tc>
        <w:tc>
          <w:tcPr>
            <w:tcW w:w="533" w:type="dxa"/>
          </w:tcPr>
          <w:p w14:paraId="04D9E8F5" w14:textId="77777777" w:rsidR="00914425" w:rsidRDefault="00914425" w:rsidP="00760BD0">
            <w:pPr>
              <w:tabs>
                <w:tab w:val="left" w:pos="8505"/>
              </w:tabs>
              <w:jc w:val="center"/>
              <w:rPr>
                <w:rFonts w:ascii="Times New Roman" w:hAnsi="Times New Roman" w:cs="Times New Roman"/>
                <w:b/>
                <w:sz w:val="20"/>
                <w:szCs w:val="20"/>
                <w:lang w:val="ro-RO"/>
              </w:rPr>
            </w:pPr>
          </w:p>
        </w:tc>
        <w:tc>
          <w:tcPr>
            <w:tcW w:w="3402" w:type="dxa"/>
          </w:tcPr>
          <w:p w14:paraId="36CAAFEF" w14:textId="77777777" w:rsidR="00914425" w:rsidRPr="00760BD0" w:rsidRDefault="00914425" w:rsidP="00760BD0">
            <w:pPr>
              <w:jc w:val="both"/>
              <w:rPr>
                <w:rFonts w:ascii="Times New Roman" w:hAnsi="Times New Roman" w:cs="Times New Roman"/>
                <w:sz w:val="20"/>
                <w:szCs w:val="20"/>
                <w:lang w:val="ro-RO"/>
              </w:rPr>
            </w:pPr>
          </w:p>
        </w:tc>
        <w:tc>
          <w:tcPr>
            <w:tcW w:w="3436" w:type="dxa"/>
          </w:tcPr>
          <w:p w14:paraId="18CC2EC1" w14:textId="77777777" w:rsidR="00914425" w:rsidRPr="00760BD0" w:rsidRDefault="00914425" w:rsidP="00760BD0">
            <w:pPr>
              <w:tabs>
                <w:tab w:val="left" w:pos="8505"/>
              </w:tabs>
              <w:jc w:val="both"/>
              <w:rPr>
                <w:rFonts w:ascii="Times New Roman" w:hAnsi="Times New Roman" w:cs="Times New Roman"/>
                <w:b/>
                <w:sz w:val="20"/>
                <w:szCs w:val="20"/>
                <w:lang w:val="ro-RO"/>
              </w:rPr>
            </w:pPr>
          </w:p>
        </w:tc>
      </w:tr>
      <w:tr w:rsidR="00914425" w:rsidRPr="00760BD0" w14:paraId="2E6A9D78" w14:textId="77777777" w:rsidTr="00A919EA">
        <w:trPr>
          <w:trHeight w:val="416"/>
        </w:trPr>
        <w:tc>
          <w:tcPr>
            <w:tcW w:w="3397" w:type="dxa"/>
          </w:tcPr>
          <w:p w14:paraId="671B1754" w14:textId="77777777" w:rsidR="00914425" w:rsidRPr="00F9367D" w:rsidRDefault="00914425" w:rsidP="00914425">
            <w:pPr>
              <w:tabs>
                <w:tab w:val="left" w:pos="8505"/>
              </w:tabs>
              <w:jc w:val="both"/>
              <w:rPr>
                <w:rFonts w:ascii="Times New Roman" w:hAnsi="Times New Roman" w:cs="Times New Roman"/>
                <w:b/>
                <w:sz w:val="20"/>
                <w:szCs w:val="20"/>
                <w:lang w:val="ro-RO"/>
              </w:rPr>
            </w:pPr>
          </w:p>
        </w:tc>
        <w:tc>
          <w:tcPr>
            <w:tcW w:w="2977" w:type="dxa"/>
          </w:tcPr>
          <w:p w14:paraId="155AEDF9" w14:textId="77777777" w:rsidR="00914425" w:rsidRPr="00760BD0" w:rsidRDefault="00914425" w:rsidP="00914425">
            <w:pPr>
              <w:pStyle w:val="p1"/>
              <w:jc w:val="center"/>
              <w:rPr>
                <w:b/>
                <w:color w:val="000000" w:themeColor="text1"/>
                <w:sz w:val="20"/>
                <w:szCs w:val="20"/>
                <w:lang w:val="ro-RO"/>
              </w:rPr>
            </w:pPr>
          </w:p>
        </w:tc>
        <w:tc>
          <w:tcPr>
            <w:tcW w:w="533" w:type="dxa"/>
          </w:tcPr>
          <w:p w14:paraId="5C6837FB" w14:textId="0F69D125" w:rsidR="00914425" w:rsidRDefault="00914425" w:rsidP="00914425">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25387FD0" w14:textId="66B36855" w:rsidR="00914425" w:rsidRPr="00760BD0" w:rsidRDefault="00914425" w:rsidP="00914425">
            <w:pPr>
              <w:jc w:val="both"/>
              <w:rPr>
                <w:rFonts w:ascii="Times New Roman" w:hAnsi="Times New Roman" w:cs="Times New Roman"/>
                <w:sz w:val="20"/>
                <w:szCs w:val="20"/>
                <w:lang w:val="ro-RO"/>
              </w:rPr>
            </w:pPr>
            <w:r>
              <w:rPr>
                <w:rFonts w:ascii="Times New Roman" w:hAnsi="Times New Roman" w:cs="Times New Roman"/>
                <w:sz w:val="20"/>
                <w:szCs w:val="20"/>
                <w:lang w:val="ro-RO"/>
              </w:rPr>
              <w:t>Lipsa de obiecții și propuneri</w:t>
            </w:r>
          </w:p>
        </w:tc>
        <w:tc>
          <w:tcPr>
            <w:tcW w:w="3436" w:type="dxa"/>
          </w:tcPr>
          <w:p w14:paraId="038C0A0F" w14:textId="0BB67919" w:rsidR="00914425" w:rsidRPr="00760BD0" w:rsidRDefault="00914425" w:rsidP="00914425">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914425" w:rsidRPr="00914425" w14:paraId="6816628A" w14:textId="77777777" w:rsidTr="00A919EA">
        <w:trPr>
          <w:trHeight w:val="416"/>
        </w:trPr>
        <w:tc>
          <w:tcPr>
            <w:tcW w:w="3397" w:type="dxa"/>
          </w:tcPr>
          <w:p w14:paraId="63545F4D" w14:textId="77777777" w:rsidR="00914425" w:rsidRPr="00F9367D" w:rsidRDefault="00914425" w:rsidP="00760BD0">
            <w:pPr>
              <w:tabs>
                <w:tab w:val="left" w:pos="8505"/>
              </w:tabs>
              <w:jc w:val="both"/>
              <w:rPr>
                <w:rFonts w:ascii="Times New Roman" w:hAnsi="Times New Roman" w:cs="Times New Roman"/>
                <w:b/>
                <w:sz w:val="20"/>
                <w:szCs w:val="20"/>
                <w:lang w:val="ro-RO"/>
              </w:rPr>
            </w:pPr>
          </w:p>
        </w:tc>
        <w:tc>
          <w:tcPr>
            <w:tcW w:w="2977" w:type="dxa"/>
          </w:tcPr>
          <w:p w14:paraId="36D8EB15" w14:textId="388CBF61" w:rsidR="00914425" w:rsidRPr="00760BD0" w:rsidRDefault="00914425" w:rsidP="00760BD0">
            <w:pPr>
              <w:pStyle w:val="p1"/>
              <w:jc w:val="center"/>
              <w:rPr>
                <w:b/>
                <w:color w:val="000000" w:themeColor="text1"/>
                <w:sz w:val="20"/>
                <w:szCs w:val="20"/>
                <w:lang w:val="ro-RO"/>
              </w:rPr>
            </w:pPr>
            <w:r w:rsidRPr="00914425">
              <w:rPr>
                <w:b/>
                <w:color w:val="000000" w:themeColor="text1"/>
                <w:sz w:val="20"/>
                <w:szCs w:val="20"/>
              </w:rPr>
              <w:t>Biroul Naţional de Statistică</w:t>
            </w:r>
            <w:r>
              <w:rPr>
                <w:b/>
                <w:color w:val="000000" w:themeColor="text1"/>
                <w:sz w:val="20"/>
                <w:szCs w:val="20"/>
              </w:rPr>
              <w:t xml:space="preserve"> </w:t>
            </w:r>
            <w:r w:rsidRPr="00914425">
              <w:rPr>
                <w:b/>
                <w:color w:val="000000" w:themeColor="text1"/>
                <w:sz w:val="20"/>
                <w:szCs w:val="20"/>
                <w:lang w:val="ro-RO"/>
              </w:rPr>
              <w:t xml:space="preserve">(comentariu în Legiferare din data de </w:t>
            </w:r>
            <w:r>
              <w:rPr>
                <w:b/>
                <w:color w:val="000000" w:themeColor="text1"/>
                <w:sz w:val="20"/>
                <w:szCs w:val="20"/>
                <w:lang w:val="ro-RO"/>
              </w:rPr>
              <w:t>18</w:t>
            </w:r>
            <w:r w:rsidRPr="00914425">
              <w:rPr>
                <w:b/>
                <w:color w:val="000000" w:themeColor="text1"/>
                <w:sz w:val="20"/>
                <w:szCs w:val="20"/>
                <w:lang w:val="ro-RO"/>
              </w:rPr>
              <w:t>.05.2026)</w:t>
            </w:r>
          </w:p>
        </w:tc>
        <w:tc>
          <w:tcPr>
            <w:tcW w:w="533" w:type="dxa"/>
          </w:tcPr>
          <w:p w14:paraId="3ABF63DD" w14:textId="77777777" w:rsidR="00914425" w:rsidRDefault="00914425" w:rsidP="00760BD0">
            <w:pPr>
              <w:tabs>
                <w:tab w:val="left" w:pos="8505"/>
              </w:tabs>
              <w:jc w:val="center"/>
              <w:rPr>
                <w:rFonts w:ascii="Times New Roman" w:hAnsi="Times New Roman" w:cs="Times New Roman"/>
                <w:b/>
                <w:sz w:val="20"/>
                <w:szCs w:val="20"/>
                <w:lang w:val="ro-RO"/>
              </w:rPr>
            </w:pPr>
          </w:p>
        </w:tc>
        <w:tc>
          <w:tcPr>
            <w:tcW w:w="3402" w:type="dxa"/>
          </w:tcPr>
          <w:p w14:paraId="5B66E9F4" w14:textId="77777777" w:rsidR="00914425" w:rsidRPr="00760BD0" w:rsidRDefault="00914425" w:rsidP="00760BD0">
            <w:pPr>
              <w:jc w:val="both"/>
              <w:rPr>
                <w:rFonts w:ascii="Times New Roman" w:hAnsi="Times New Roman" w:cs="Times New Roman"/>
                <w:sz w:val="20"/>
                <w:szCs w:val="20"/>
                <w:lang w:val="ro-RO"/>
              </w:rPr>
            </w:pPr>
          </w:p>
        </w:tc>
        <w:tc>
          <w:tcPr>
            <w:tcW w:w="3436" w:type="dxa"/>
          </w:tcPr>
          <w:p w14:paraId="162A1939" w14:textId="77777777" w:rsidR="00914425" w:rsidRPr="00760BD0" w:rsidRDefault="00914425" w:rsidP="00760BD0">
            <w:pPr>
              <w:tabs>
                <w:tab w:val="left" w:pos="8505"/>
              </w:tabs>
              <w:jc w:val="both"/>
              <w:rPr>
                <w:rFonts w:ascii="Times New Roman" w:hAnsi="Times New Roman" w:cs="Times New Roman"/>
                <w:b/>
                <w:sz w:val="20"/>
                <w:szCs w:val="20"/>
                <w:lang w:val="ro-RO"/>
              </w:rPr>
            </w:pPr>
          </w:p>
        </w:tc>
      </w:tr>
      <w:tr w:rsidR="00914425" w:rsidRPr="00914425" w14:paraId="737EE11D" w14:textId="77777777" w:rsidTr="00A919EA">
        <w:trPr>
          <w:trHeight w:val="416"/>
        </w:trPr>
        <w:tc>
          <w:tcPr>
            <w:tcW w:w="3397" w:type="dxa"/>
          </w:tcPr>
          <w:p w14:paraId="67B3C414" w14:textId="77777777" w:rsidR="00914425" w:rsidRPr="00F9367D" w:rsidRDefault="00914425" w:rsidP="00914425">
            <w:pPr>
              <w:tabs>
                <w:tab w:val="left" w:pos="8505"/>
              </w:tabs>
              <w:jc w:val="both"/>
              <w:rPr>
                <w:rFonts w:ascii="Times New Roman" w:hAnsi="Times New Roman" w:cs="Times New Roman"/>
                <w:b/>
                <w:sz w:val="20"/>
                <w:szCs w:val="20"/>
                <w:lang w:val="ro-RO"/>
              </w:rPr>
            </w:pPr>
          </w:p>
        </w:tc>
        <w:tc>
          <w:tcPr>
            <w:tcW w:w="2977" w:type="dxa"/>
          </w:tcPr>
          <w:p w14:paraId="7676315E" w14:textId="77777777" w:rsidR="00914425" w:rsidRPr="00914425" w:rsidRDefault="00914425" w:rsidP="00914425">
            <w:pPr>
              <w:pStyle w:val="p1"/>
              <w:jc w:val="center"/>
              <w:rPr>
                <w:b/>
                <w:color w:val="000000" w:themeColor="text1"/>
                <w:sz w:val="20"/>
                <w:szCs w:val="20"/>
              </w:rPr>
            </w:pPr>
          </w:p>
        </w:tc>
        <w:tc>
          <w:tcPr>
            <w:tcW w:w="533" w:type="dxa"/>
          </w:tcPr>
          <w:p w14:paraId="2F50D7E3" w14:textId="27E43D37" w:rsidR="00914425" w:rsidRDefault="00914425" w:rsidP="00914425">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4B76F94E" w14:textId="7A0D40E4" w:rsidR="00914425" w:rsidRPr="00760BD0" w:rsidRDefault="00914425" w:rsidP="00914425">
            <w:pPr>
              <w:jc w:val="both"/>
              <w:rPr>
                <w:rFonts w:ascii="Times New Roman" w:hAnsi="Times New Roman" w:cs="Times New Roman"/>
                <w:sz w:val="20"/>
                <w:szCs w:val="20"/>
                <w:lang w:val="ro-RO"/>
              </w:rPr>
            </w:pPr>
            <w:r>
              <w:rPr>
                <w:rFonts w:ascii="Times New Roman" w:hAnsi="Times New Roman" w:cs="Times New Roman"/>
                <w:sz w:val="20"/>
                <w:szCs w:val="20"/>
                <w:lang w:val="ro-RO"/>
              </w:rPr>
              <w:t>Lipsa de obiecții și propuneri</w:t>
            </w:r>
          </w:p>
        </w:tc>
        <w:tc>
          <w:tcPr>
            <w:tcW w:w="3436" w:type="dxa"/>
          </w:tcPr>
          <w:p w14:paraId="2E46F702" w14:textId="697F69D4" w:rsidR="00914425" w:rsidRPr="00760BD0" w:rsidRDefault="00914425" w:rsidP="00914425">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914425" w:rsidRPr="00760BD0" w14:paraId="53A536F0" w14:textId="77777777" w:rsidTr="00A919EA">
        <w:trPr>
          <w:trHeight w:val="416"/>
        </w:trPr>
        <w:tc>
          <w:tcPr>
            <w:tcW w:w="3397" w:type="dxa"/>
          </w:tcPr>
          <w:p w14:paraId="570320E2" w14:textId="77777777" w:rsidR="00914425" w:rsidRPr="00F9367D" w:rsidRDefault="00914425" w:rsidP="00760BD0">
            <w:pPr>
              <w:tabs>
                <w:tab w:val="left" w:pos="8505"/>
              </w:tabs>
              <w:jc w:val="both"/>
              <w:rPr>
                <w:rFonts w:ascii="Times New Roman" w:hAnsi="Times New Roman" w:cs="Times New Roman"/>
                <w:b/>
                <w:sz w:val="20"/>
                <w:szCs w:val="20"/>
                <w:lang w:val="ro-RO"/>
              </w:rPr>
            </w:pPr>
          </w:p>
        </w:tc>
        <w:tc>
          <w:tcPr>
            <w:tcW w:w="2977" w:type="dxa"/>
          </w:tcPr>
          <w:p w14:paraId="2E1160C9" w14:textId="01684728" w:rsidR="00914425" w:rsidRPr="00760BD0" w:rsidRDefault="00914425" w:rsidP="00914425">
            <w:pPr>
              <w:pStyle w:val="p1"/>
              <w:jc w:val="center"/>
              <w:rPr>
                <w:b/>
                <w:color w:val="000000" w:themeColor="text1"/>
                <w:sz w:val="20"/>
                <w:szCs w:val="20"/>
                <w:lang w:val="ro-RO"/>
              </w:rPr>
            </w:pPr>
            <w:r w:rsidRPr="00914425">
              <w:rPr>
                <w:b/>
                <w:color w:val="000000" w:themeColor="text1"/>
                <w:sz w:val="20"/>
                <w:szCs w:val="20"/>
                <w:lang w:val="ro-RO"/>
              </w:rPr>
              <w:t>Centrul de Armonizare a Legislației (comentariu în Legiferare din data de 1</w:t>
            </w:r>
            <w:r>
              <w:rPr>
                <w:b/>
                <w:color w:val="000000" w:themeColor="text1"/>
                <w:sz w:val="20"/>
                <w:szCs w:val="20"/>
                <w:lang w:val="ro-RO"/>
              </w:rPr>
              <w:t>8</w:t>
            </w:r>
            <w:r w:rsidRPr="00914425">
              <w:rPr>
                <w:b/>
                <w:color w:val="000000" w:themeColor="text1"/>
                <w:sz w:val="20"/>
                <w:szCs w:val="20"/>
                <w:lang w:val="ro-RO"/>
              </w:rPr>
              <w:t>.0</w:t>
            </w:r>
            <w:r>
              <w:rPr>
                <w:b/>
                <w:color w:val="000000" w:themeColor="text1"/>
                <w:sz w:val="20"/>
                <w:szCs w:val="20"/>
                <w:lang w:val="ro-RO"/>
              </w:rPr>
              <w:t>5</w:t>
            </w:r>
            <w:r w:rsidRPr="00914425">
              <w:rPr>
                <w:b/>
                <w:color w:val="000000" w:themeColor="text1"/>
                <w:sz w:val="20"/>
                <w:szCs w:val="20"/>
                <w:lang w:val="ro-RO"/>
              </w:rPr>
              <w:t>.2026)</w:t>
            </w:r>
          </w:p>
        </w:tc>
        <w:tc>
          <w:tcPr>
            <w:tcW w:w="533" w:type="dxa"/>
          </w:tcPr>
          <w:p w14:paraId="6BBABAF6" w14:textId="77777777" w:rsidR="00914425" w:rsidRDefault="00914425" w:rsidP="00760BD0">
            <w:pPr>
              <w:tabs>
                <w:tab w:val="left" w:pos="8505"/>
              </w:tabs>
              <w:jc w:val="center"/>
              <w:rPr>
                <w:rFonts w:ascii="Times New Roman" w:hAnsi="Times New Roman" w:cs="Times New Roman"/>
                <w:b/>
                <w:sz w:val="20"/>
                <w:szCs w:val="20"/>
                <w:lang w:val="ro-RO"/>
              </w:rPr>
            </w:pPr>
          </w:p>
        </w:tc>
        <w:tc>
          <w:tcPr>
            <w:tcW w:w="3402" w:type="dxa"/>
          </w:tcPr>
          <w:p w14:paraId="75A35531" w14:textId="77777777" w:rsidR="00914425" w:rsidRPr="00760BD0" w:rsidRDefault="00914425" w:rsidP="00760BD0">
            <w:pPr>
              <w:jc w:val="both"/>
              <w:rPr>
                <w:rFonts w:ascii="Times New Roman" w:hAnsi="Times New Roman" w:cs="Times New Roman"/>
                <w:sz w:val="20"/>
                <w:szCs w:val="20"/>
                <w:lang w:val="ro-RO"/>
              </w:rPr>
            </w:pPr>
          </w:p>
        </w:tc>
        <w:tc>
          <w:tcPr>
            <w:tcW w:w="3436" w:type="dxa"/>
          </w:tcPr>
          <w:p w14:paraId="16083350" w14:textId="77777777" w:rsidR="00914425" w:rsidRPr="00760BD0" w:rsidRDefault="00914425" w:rsidP="00760BD0">
            <w:pPr>
              <w:tabs>
                <w:tab w:val="left" w:pos="8505"/>
              </w:tabs>
              <w:jc w:val="both"/>
              <w:rPr>
                <w:rFonts w:ascii="Times New Roman" w:hAnsi="Times New Roman" w:cs="Times New Roman"/>
                <w:b/>
                <w:sz w:val="20"/>
                <w:szCs w:val="20"/>
                <w:lang w:val="ro-RO"/>
              </w:rPr>
            </w:pPr>
          </w:p>
        </w:tc>
      </w:tr>
      <w:tr w:rsidR="00914425" w:rsidRPr="00760BD0" w14:paraId="3CBD2597" w14:textId="77777777" w:rsidTr="00A919EA">
        <w:trPr>
          <w:trHeight w:val="416"/>
        </w:trPr>
        <w:tc>
          <w:tcPr>
            <w:tcW w:w="3397" w:type="dxa"/>
          </w:tcPr>
          <w:p w14:paraId="24D99798" w14:textId="77777777" w:rsidR="00914425" w:rsidRPr="00F9367D" w:rsidRDefault="00914425" w:rsidP="00760BD0">
            <w:pPr>
              <w:tabs>
                <w:tab w:val="left" w:pos="8505"/>
              </w:tabs>
              <w:jc w:val="both"/>
              <w:rPr>
                <w:rFonts w:ascii="Times New Roman" w:hAnsi="Times New Roman" w:cs="Times New Roman"/>
                <w:b/>
                <w:sz w:val="20"/>
                <w:szCs w:val="20"/>
                <w:lang w:val="ro-RO"/>
              </w:rPr>
            </w:pPr>
          </w:p>
        </w:tc>
        <w:tc>
          <w:tcPr>
            <w:tcW w:w="2977" w:type="dxa"/>
          </w:tcPr>
          <w:p w14:paraId="4A996C2C" w14:textId="77777777" w:rsidR="00914425" w:rsidRPr="00760BD0" w:rsidRDefault="00914425" w:rsidP="00760BD0">
            <w:pPr>
              <w:pStyle w:val="p1"/>
              <w:jc w:val="center"/>
              <w:rPr>
                <w:b/>
                <w:color w:val="000000" w:themeColor="text1"/>
                <w:sz w:val="20"/>
                <w:szCs w:val="20"/>
                <w:lang w:val="ro-RO"/>
              </w:rPr>
            </w:pPr>
          </w:p>
        </w:tc>
        <w:tc>
          <w:tcPr>
            <w:tcW w:w="533" w:type="dxa"/>
          </w:tcPr>
          <w:p w14:paraId="7AD7B889" w14:textId="2E488E2A" w:rsidR="00914425" w:rsidRDefault="00914425" w:rsidP="00760BD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168CFE95" w14:textId="77777777" w:rsidR="00914425" w:rsidRPr="00914425" w:rsidRDefault="00914425" w:rsidP="00914425">
            <w:pPr>
              <w:jc w:val="both"/>
              <w:rPr>
                <w:rFonts w:ascii="Times New Roman" w:hAnsi="Times New Roman" w:cs="Times New Roman"/>
                <w:sz w:val="20"/>
                <w:szCs w:val="20"/>
                <w:lang w:val="ro-RO"/>
              </w:rPr>
            </w:pPr>
            <w:r w:rsidRPr="00914425">
              <w:rPr>
                <w:rFonts w:ascii="Times New Roman" w:hAnsi="Times New Roman" w:cs="Times New Roman"/>
                <w:sz w:val="20"/>
                <w:szCs w:val="20"/>
                <w:lang w:val="ro-RO"/>
              </w:rPr>
              <w:t>Centrul validează proiectul și prezintă suplimentar următoarele obiecții la argumentele autorului prezentate în Sinteză.</w:t>
            </w:r>
          </w:p>
          <w:p w14:paraId="3A0F4ECE" w14:textId="77777777" w:rsidR="00914425" w:rsidRPr="00914425" w:rsidRDefault="00914425" w:rsidP="00914425">
            <w:pPr>
              <w:jc w:val="both"/>
              <w:rPr>
                <w:rFonts w:ascii="Times New Roman" w:hAnsi="Times New Roman" w:cs="Times New Roman"/>
                <w:sz w:val="20"/>
                <w:szCs w:val="20"/>
                <w:lang w:val="ro-RO"/>
              </w:rPr>
            </w:pPr>
            <w:r w:rsidRPr="00914425">
              <w:rPr>
                <w:rFonts w:ascii="Times New Roman" w:hAnsi="Times New Roman" w:cs="Times New Roman"/>
                <w:sz w:val="20"/>
                <w:szCs w:val="20"/>
                <w:lang w:val="ro-RO"/>
              </w:rPr>
              <w:t>Cu referire la propunerile neacceptate/parțial acceptate menționăm următoarele:</w:t>
            </w:r>
          </w:p>
          <w:p w14:paraId="1D3A3F7B" w14:textId="77777777" w:rsidR="00914425" w:rsidRDefault="00914425" w:rsidP="00914425">
            <w:pPr>
              <w:jc w:val="both"/>
              <w:rPr>
                <w:rFonts w:ascii="Times New Roman" w:hAnsi="Times New Roman" w:cs="Times New Roman"/>
                <w:sz w:val="20"/>
                <w:szCs w:val="20"/>
                <w:lang w:val="ro-RO"/>
              </w:rPr>
            </w:pPr>
            <w:r w:rsidRPr="00914425">
              <w:rPr>
                <w:rFonts w:ascii="Times New Roman" w:hAnsi="Times New Roman" w:cs="Times New Roman"/>
                <w:sz w:val="20"/>
                <w:szCs w:val="20"/>
                <w:lang w:val="ro-RO"/>
              </w:rPr>
              <w:t xml:space="preserve">Afirmația că suprapunerile sunt „aparente” nu este întemeiată pe o analiză sistemică. Arhitectura legislativă nu poate fi considerată corectă și completă atâta timp cât proiectul conține lacune, în special imposibilitatea modificării punctelor 6 și 7 înainte de adoptarea Legii nr. </w:t>
            </w:r>
            <w:r w:rsidRPr="00914425">
              <w:rPr>
                <w:rFonts w:ascii="Times New Roman" w:hAnsi="Times New Roman" w:cs="Times New Roman"/>
                <w:sz w:val="20"/>
                <w:szCs w:val="20"/>
                <w:lang w:val="ro-RO"/>
              </w:rPr>
              <w:lastRenderedPageBreak/>
              <w:t>74/2020. În acest context, obiecția este justificată prin prisma coerenței normative, clarității legislative, evitării suprapunerilor, alinierii cu legea primară și practicii europene.</w:t>
            </w:r>
          </w:p>
          <w:p w14:paraId="40CF56D5" w14:textId="0DCBFE2F" w:rsidR="00284B25" w:rsidRPr="00760BD0" w:rsidRDefault="00284B25" w:rsidP="00914425">
            <w:pPr>
              <w:jc w:val="both"/>
              <w:rPr>
                <w:rFonts w:ascii="Times New Roman" w:hAnsi="Times New Roman" w:cs="Times New Roman"/>
                <w:sz w:val="20"/>
                <w:szCs w:val="20"/>
                <w:lang w:val="ro-RO"/>
              </w:rPr>
            </w:pPr>
            <w:r w:rsidRPr="00284B25">
              <w:rPr>
                <w:rFonts w:ascii="Times New Roman" w:hAnsi="Times New Roman" w:cs="Times New Roman"/>
                <w:sz w:val="20"/>
                <w:szCs w:val="20"/>
                <w:lang w:val="ro-RO"/>
              </w:rPr>
              <w:t>Suplimentar, obiecția la pct. 14 al proiectului național este pe deplin justificată, întrucât propunerile au evidențiat prevederile art. 31 și 32 din Directiva 2014/24/UE, care reglementează derogările aplicabile. Argumentele privind „acceptarea parțială” sunt irelevante, deoarece nu se poate ignora faptul că exclusivitatea și urgența au fost evidențiate ca temeiuri distincte, care pot coexista în practică.</w:t>
            </w:r>
          </w:p>
        </w:tc>
        <w:tc>
          <w:tcPr>
            <w:tcW w:w="3436" w:type="dxa"/>
          </w:tcPr>
          <w:p w14:paraId="6D42F4FB" w14:textId="2210CC9F" w:rsidR="00914425" w:rsidRPr="00760BD0" w:rsidRDefault="002406DC" w:rsidP="00760BD0">
            <w:pPr>
              <w:tabs>
                <w:tab w:val="left" w:pos="8505"/>
              </w:tabs>
              <w:jc w:val="both"/>
              <w:rPr>
                <w:rFonts w:ascii="Times New Roman" w:hAnsi="Times New Roman" w:cs="Times New Roman"/>
                <w:b/>
                <w:sz w:val="20"/>
                <w:szCs w:val="20"/>
                <w:lang w:val="ro-RO"/>
              </w:rPr>
            </w:pPr>
            <w:r w:rsidRPr="002406DC">
              <w:rPr>
                <w:rFonts w:ascii="Times New Roman" w:hAnsi="Times New Roman" w:cs="Times New Roman"/>
                <w:b/>
                <w:sz w:val="20"/>
                <w:szCs w:val="20"/>
                <w:lang w:val="ro-RO"/>
              </w:rPr>
              <w:lastRenderedPageBreak/>
              <w:t>Se ia act</w:t>
            </w:r>
          </w:p>
        </w:tc>
      </w:tr>
      <w:tr w:rsidR="00650C80" w:rsidRPr="00760BD0" w14:paraId="330C380C" w14:textId="77777777" w:rsidTr="00A919EA">
        <w:trPr>
          <w:trHeight w:val="416"/>
        </w:trPr>
        <w:tc>
          <w:tcPr>
            <w:tcW w:w="3397" w:type="dxa"/>
          </w:tcPr>
          <w:p w14:paraId="70693B2F" w14:textId="77777777" w:rsidR="00650C80" w:rsidRPr="00F9367D" w:rsidRDefault="00650C80" w:rsidP="00760BD0">
            <w:pPr>
              <w:tabs>
                <w:tab w:val="left" w:pos="8505"/>
              </w:tabs>
              <w:jc w:val="both"/>
              <w:rPr>
                <w:rFonts w:ascii="Times New Roman" w:hAnsi="Times New Roman" w:cs="Times New Roman"/>
                <w:b/>
                <w:sz w:val="20"/>
                <w:szCs w:val="20"/>
                <w:lang w:val="ro-RO"/>
              </w:rPr>
            </w:pPr>
          </w:p>
        </w:tc>
        <w:tc>
          <w:tcPr>
            <w:tcW w:w="2977" w:type="dxa"/>
          </w:tcPr>
          <w:p w14:paraId="10106C7E" w14:textId="3D80BFF2" w:rsidR="00650C80" w:rsidRPr="00760BD0" w:rsidRDefault="00650C80" w:rsidP="00760BD0">
            <w:pPr>
              <w:pStyle w:val="p1"/>
              <w:jc w:val="center"/>
              <w:rPr>
                <w:b/>
                <w:color w:val="000000" w:themeColor="text1"/>
                <w:sz w:val="20"/>
                <w:szCs w:val="20"/>
                <w:lang w:val="ro-RO"/>
              </w:rPr>
            </w:pPr>
            <w:r w:rsidRPr="00650C80">
              <w:rPr>
                <w:b/>
                <w:color w:val="000000" w:themeColor="text1"/>
                <w:sz w:val="20"/>
                <w:szCs w:val="20"/>
                <w:lang w:val="ro-RO"/>
              </w:rPr>
              <w:t>Cancelaria de Stat</w:t>
            </w:r>
            <w:r>
              <w:rPr>
                <w:b/>
                <w:color w:val="000000" w:themeColor="text1"/>
                <w:sz w:val="20"/>
                <w:szCs w:val="20"/>
                <w:lang w:val="ro-RO"/>
              </w:rPr>
              <w:t xml:space="preserve"> </w:t>
            </w:r>
            <w:r w:rsidRPr="00914425">
              <w:rPr>
                <w:b/>
                <w:color w:val="000000" w:themeColor="text1"/>
                <w:sz w:val="20"/>
                <w:szCs w:val="20"/>
                <w:lang w:val="ro-RO"/>
              </w:rPr>
              <w:t>(coment</w:t>
            </w:r>
            <w:r>
              <w:rPr>
                <w:b/>
                <w:color w:val="000000" w:themeColor="text1"/>
                <w:sz w:val="20"/>
                <w:szCs w:val="20"/>
                <w:lang w:val="ro-RO"/>
              </w:rPr>
              <w:t>ariu în Legiferare din data de 25</w:t>
            </w:r>
            <w:r w:rsidRPr="00914425">
              <w:rPr>
                <w:b/>
                <w:color w:val="000000" w:themeColor="text1"/>
                <w:sz w:val="20"/>
                <w:szCs w:val="20"/>
                <w:lang w:val="ro-RO"/>
              </w:rPr>
              <w:t>.0</w:t>
            </w:r>
            <w:r>
              <w:rPr>
                <w:b/>
                <w:color w:val="000000" w:themeColor="text1"/>
                <w:sz w:val="20"/>
                <w:szCs w:val="20"/>
                <w:lang w:val="ro-RO"/>
              </w:rPr>
              <w:t>5</w:t>
            </w:r>
            <w:r w:rsidRPr="00914425">
              <w:rPr>
                <w:b/>
                <w:color w:val="000000" w:themeColor="text1"/>
                <w:sz w:val="20"/>
                <w:szCs w:val="20"/>
                <w:lang w:val="ro-RO"/>
              </w:rPr>
              <w:t>.2026)</w:t>
            </w:r>
          </w:p>
        </w:tc>
        <w:tc>
          <w:tcPr>
            <w:tcW w:w="533" w:type="dxa"/>
          </w:tcPr>
          <w:p w14:paraId="611EDF56" w14:textId="77777777" w:rsidR="00650C80" w:rsidRDefault="00650C80" w:rsidP="00760BD0">
            <w:pPr>
              <w:tabs>
                <w:tab w:val="left" w:pos="8505"/>
              </w:tabs>
              <w:jc w:val="center"/>
              <w:rPr>
                <w:rFonts w:ascii="Times New Roman" w:hAnsi="Times New Roman" w:cs="Times New Roman"/>
                <w:b/>
                <w:sz w:val="20"/>
                <w:szCs w:val="20"/>
                <w:lang w:val="ro-RO"/>
              </w:rPr>
            </w:pPr>
          </w:p>
        </w:tc>
        <w:tc>
          <w:tcPr>
            <w:tcW w:w="3402" w:type="dxa"/>
          </w:tcPr>
          <w:p w14:paraId="786ABD9B" w14:textId="77777777" w:rsidR="00650C80" w:rsidRPr="00914425" w:rsidRDefault="00650C80" w:rsidP="00760BD0">
            <w:pPr>
              <w:jc w:val="both"/>
              <w:rPr>
                <w:rFonts w:ascii="Times New Roman" w:hAnsi="Times New Roman" w:cs="Times New Roman"/>
                <w:sz w:val="20"/>
                <w:szCs w:val="20"/>
              </w:rPr>
            </w:pPr>
          </w:p>
        </w:tc>
        <w:tc>
          <w:tcPr>
            <w:tcW w:w="3436" w:type="dxa"/>
          </w:tcPr>
          <w:p w14:paraId="31F8DB92" w14:textId="77777777" w:rsidR="00650C80" w:rsidRPr="00760BD0" w:rsidRDefault="00650C80" w:rsidP="00760BD0">
            <w:pPr>
              <w:tabs>
                <w:tab w:val="left" w:pos="8505"/>
              </w:tabs>
              <w:jc w:val="both"/>
              <w:rPr>
                <w:rFonts w:ascii="Times New Roman" w:hAnsi="Times New Roman" w:cs="Times New Roman"/>
                <w:b/>
                <w:sz w:val="20"/>
                <w:szCs w:val="20"/>
                <w:lang w:val="ro-RO"/>
              </w:rPr>
            </w:pPr>
          </w:p>
        </w:tc>
      </w:tr>
      <w:tr w:rsidR="00650C80" w:rsidRPr="00760BD0" w14:paraId="45E480EB" w14:textId="77777777" w:rsidTr="00A919EA">
        <w:trPr>
          <w:trHeight w:val="416"/>
        </w:trPr>
        <w:tc>
          <w:tcPr>
            <w:tcW w:w="3397" w:type="dxa"/>
          </w:tcPr>
          <w:p w14:paraId="5BD5AF64" w14:textId="77777777" w:rsidR="00650C80" w:rsidRPr="00F9367D" w:rsidRDefault="00650C80" w:rsidP="00650C80">
            <w:pPr>
              <w:tabs>
                <w:tab w:val="left" w:pos="8505"/>
              </w:tabs>
              <w:jc w:val="both"/>
              <w:rPr>
                <w:rFonts w:ascii="Times New Roman" w:hAnsi="Times New Roman" w:cs="Times New Roman"/>
                <w:b/>
                <w:sz w:val="20"/>
                <w:szCs w:val="20"/>
                <w:lang w:val="ro-RO"/>
              </w:rPr>
            </w:pPr>
          </w:p>
        </w:tc>
        <w:tc>
          <w:tcPr>
            <w:tcW w:w="2977" w:type="dxa"/>
          </w:tcPr>
          <w:p w14:paraId="2FB67934" w14:textId="77777777" w:rsidR="00650C80" w:rsidRPr="00760BD0" w:rsidRDefault="00650C80" w:rsidP="00650C80">
            <w:pPr>
              <w:pStyle w:val="p1"/>
              <w:jc w:val="center"/>
              <w:rPr>
                <w:b/>
                <w:color w:val="000000" w:themeColor="text1"/>
                <w:sz w:val="20"/>
                <w:szCs w:val="20"/>
                <w:lang w:val="ro-RO"/>
              </w:rPr>
            </w:pPr>
          </w:p>
        </w:tc>
        <w:tc>
          <w:tcPr>
            <w:tcW w:w="533" w:type="dxa"/>
          </w:tcPr>
          <w:p w14:paraId="06548C9F" w14:textId="17E49DA0" w:rsidR="00650C80" w:rsidRDefault="00650C80"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74A3633C" w14:textId="387FD2A0" w:rsidR="00650C80" w:rsidRPr="00914425" w:rsidRDefault="00650C80" w:rsidP="00650C80">
            <w:pPr>
              <w:jc w:val="both"/>
              <w:rPr>
                <w:rFonts w:ascii="Times New Roman" w:hAnsi="Times New Roman" w:cs="Times New Roman"/>
                <w:sz w:val="20"/>
                <w:szCs w:val="20"/>
              </w:rPr>
            </w:pPr>
            <w:r>
              <w:rPr>
                <w:rFonts w:ascii="Times New Roman" w:hAnsi="Times New Roman" w:cs="Times New Roman"/>
                <w:sz w:val="20"/>
                <w:szCs w:val="20"/>
                <w:lang w:val="ro-RO"/>
              </w:rPr>
              <w:t>Lipsa de obiecții și propuneri</w:t>
            </w:r>
          </w:p>
        </w:tc>
        <w:tc>
          <w:tcPr>
            <w:tcW w:w="3436" w:type="dxa"/>
          </w:tcPr>
          <w:p w14:paraId="3B22ECD5" w14:textId="1AC01EC1" w:rsidR="00650C80" w:rsidRPr="00760BD0" w:rsidRDefault="00650C80" w:rsidP="00650C80">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457EC3" w:rsidRPr="00457EC3" w14:paraId="1502F9CD" w14:textId="77777777" w:rsidTr="00A919EA">
        <w:trPr>
          <w:trHeight w:val="416"/>
        </w:trPr>
        <w:tc>
          <w:tcPr>
            <w:tcW w:w="3397" w:type="dxa"/>
          </w:tcPr>
          <w:p w14:paraId="1D330764" w14:textId="77777777" w:rsidR="00457EC3" w:rsidRPr="00F9367D" w:rsidRDefault="00457EC3" w:rsidP="00650C80">
            <w:pPr>
              <w:tabs>
                <w:tab w:val="left" w:pos="8505"/>
              </w:tabs>
              <w:jc w:val="both"/>
              <w:rPr>
                <w:rFonts w:ascii="Times New Roman" w:hAnsi="Times New Roman" w:cs="Times New Roman"/>
                <w:b/>
                <w:sz w:val="20"/>
                <w:szCs w:val="20"/>
                <w:lang w:val="ro-RO"/>
              </w:rPr>
            </w:pPr>
          </w:p>
        </w:tc>
        <w:tc>
          <w:tcPr>
            <w:tcW w:w="2977" w:type="dxa"/>
          </w:tcPr>
          <w:p w14:paraId="49AF3722" w14:textId="1AF1DC1D" w:rsidR="00457EC3" w:rsidRPr="00760BD0" w:rsidRDefault="00457EC3" w:rsidP="00650C80">
            <w:pPr>
              <w:pStyle w:val="p1"/>
              <w:jc w:val="center"/>
              <w:rPr>
                <w:b/>
                <w:color w:val="000000" w:themeColor="text1"/>
                <w:sz w:val="20"/>
                <w:szCs w:val="20"/>
                <w:lang w:val="ro-RO"/>
              </w:rPr>
            </w:pPr>
            <w:r w:rsidRPr="00457EC3">
              <w:rPr>
                <w:b/>
                <w:color w:val="000000" w:themeColor="text1"/>
                <w:sz w:val="20"/>
                <w:szCs w:val="20"/>
                <w:lang w:val="ro-RO"/>
              </w:rPr>
              <w:t>Ministerul Justiţiei</w:t>
            </w:r>
            <w:r>
              <w:rPr>
                <w:b/>
                <w:color w:val="000000" w:themeColor="text1"/>
                <w:sz w:val="20"/>
                <w:szCs w:val="20"/>
                <w:lang w:val="ro-RO"/>
              </w:rPr>
              <w:t xml:space="preserve"> (</w:t>
            </w:r>
            <w:r w:rsidRPr="00457EC3">
              <w:rPr>
                <w:b/>
                <w:color w:val="000000" w:themeColor="text1"/>
                <w:sz w:val="20"/>
                <w:szCs w:val="20"/>
                <w:lang w:val="it-IT"/>
              </w:rPr>
              <w:t>scrisoarea nr. 04/1-5697</w:t>
            </w:r>
            <w:r>
              <w:rPr>
                <w:b/>
                <w:color w:val="000000" w:themeColor="text1"/>
                <w:sz w:val="20"/>
                <w:szCs w:val="20"/>
                <w:lang w:val="it-IT"/>
              </w:rPr>
              <w:t xml:space="preserve"> </w:t>
            </w:r>
            <w:r w:rsidRPr="00457EC3">
              <w:rPr>
                <w:b/>
                <w:color w:val="000000" w:themeColor="text1"/>
                <w:sz w:val="20"/>
                <w:szCs w:val="20"/>
                <w:lang w:val="it-IT"/>
              </w:rPr>
              <w:t>din 26.05.2026)</w:t>
            </w:r>
          </w:p>
        </w:tc>
        <w:tc>
          <w:tcPr>
            <w:tcW w:w="533" w:type="dxa"/>
          </w:tcPr>
          <w:p w14:paraId="61E2E8D8" w14:textId="77777777" w:rsidR="00457EC3" w:rsidRDefault="00457EC3" w:rsidP="00650C80">
            <w:pPr>
              <w:tabs>
                <w:tab w:val="left" w:pos="8505"/>
              </w:tabs>
              <w:jc w:val="center"/>
              <w:rPr>
                <w:rFonts w:ascii="Times New Roman" w:hAnsi="Times New Roman" w:cs="Times New Roman"/>
                <w:b/>
                <w:sz w:val="20"/>
                <w:szCs w:val="20"/>
                <w:lang w:val="ro-RO"/>
              </w:rPr>
            </w:pPr>
          </w:p>
        </w:tc>
        <w:tc>
          <w:tcPr>
            <w:tcW w:w="3402" w:type="dxa"/>
          </w:tcPr>
          <w:p w14:paraId="590B89F9" w14:textId="77777777" w:rsidR="00457EC3" w:rsidRDefault="00457EC3" w:rsidP="00650C80">
            <w:pPr>
              <w:jc w:val="both"/>
              <w:rPr>
                <w:rFonts w:ascii="Times New Roman" w:hAnsi="Times New Roman" w:cs="Times New Roman"/>
                <w:sz w:val="20"/>
                <w:szCs w:val="20"/>
                <w:lang w:val="ro-RO"/>
              </w:rPr>
            </w:pPr>
          </w:p>
        </w:tc>
        <w:tc>
          <w:tcPr>
            <w:tcW w:w="3436" w:type="dxa"/>
          </w:tcPr>
          <w:p w14:paraId="2AB8F7B1" w14:textId="77777777" w:rsidR="00457EC3" w:rsidRDefault="00457EC3" w:rsidP="00650C80">
            <w:pPr>
              <w:tabs>
                <w:tab w:val="left" w:pos="8505"/>
              </w:tabs>
              <w:jc w:val="both"/>
              <w:rPr>
                <w:rFonts w:ascii="Times New Roman" w:hAnsi="Times New Roman" w:cs="Times New Roman"/>
                <w:b/>
                <w:sz w:val="20"/>
                <w:szCs w:val="20"/>
                <w:lang w:val="ro-RO"/>
              </w:rPr>
            </w:pPr>
          </w:p>
        </w:tc>
      </w:tr>
      <w:tr w:rsidR="00457EC3" w:rsidRPr="00457EC3" w14:paraId="62A0B3B8" w14:textId="77777777" w:rsidTr="00A919EA">
        <w:trPr>
          <w:trHeight w:val="416"/>
        </w:trPr>
        <w:tc>
          <w:tcPr>
            <w:tcW w:w="3397" w:type="dxa"/>
          </w:tcPr>
          <w:p w14:paraId="78B4C168" w14:textId="78115EB3" w:rsidR="00457EC3"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t>În contextul proiectului</w:t>
            </w:r>
          </w:p>
        </w:tc>
        <w:tc>
          <w:tcPr>
            <w:tcW w:w="2977" w:type="dxa"/>
          </w:tcPr>
          <w:p w14:paraId="496C9C0E" w14:textId="77777777" w:rsidR="00457EC3" w:rsidRPr="00457EC3" w:rsidRDefault="00457EC3" w:rsidP="00650C80">
            <w:pPr>
              <w:pStyle w:val="p1"/>
              <w:jc w:val="center"/>
              <w:rPr>
                <w:b/>
                <w:color w:val="000000" w:themeColor="text1"/>
                <w:sz w:val="20"/>
                <w:szCs w:val="20"/>
                <w:lang w:val="ro-RO"/>
              </w:rPr>
            </w:pPr>
          </w:p>
        </w:tc>
        <w:tc>
          <w:tcPr>
            <w:tcW w:w="533" w:type="dxa"/>
          </w:tcPr>
          <w:p w14:paraId="66ABA6DE" w14:textId="411D4ED6" w:rsidR="00457EC3" w:rsidRDefault="00457EC3"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622D6E0F" w14:textId="3096B0DA" w:rsidR="00457EC3" w:rsidRDefault="00457EC3" w:rsidP="00457EC3">
            <w:pPr>
              <w:jc w:val="both"/>
              <w:rPr>
                <w:rFonts w:ascii="Times New Roman" w:hAnsi="Times New Roman" w:cs="Times New Roman"/>
                <w:sz w:val="20"/>
                <w:szCs w:val="20"/>
                <w:lang w:val="ro-RO"/>
              </w:rPr>
            </w:pPr>
            <w:r w:rsidRPr="00457EC3">
              <w:rPr>
                <w:rFonts w:ascii="Times New Roman" w:hAnsi="Times New Roman" w:cs="Times New Roman"/>
                <w:sz w:val="20"/>
                <w:szCs w:val="20"/>
              </w:rPr>
              <w:t xml:space="preserve"> Sub aspectul intenției de reglementare, potrivit notei de fundamentare, proiectul a fost elaborat în scopul actualizării prevederilor Regulamentului cu privire la achizițiile publice de valoare mică cu prevederile Legii nr. 325/2025 privind achizițiile publice, în partea ce ține de noile concepte, trimiteri legale, praguri valorice și mecanisme procedurale instituite de legea menționată. Totodată, intervenția normativă este justificată de necesitatea consolidării transparenței, concurenței și trasabilității în segmentul achizițiilor publice de valoare mică, precum și de standardizarea documentelor utilizate de autoritățile/entitățile contractante și de operatorii economici, în vederea reducerii neuniformităților de practică și </w:t>
            </w:r>
            <w:r w:rsidRPr="00457EC3">
              <w:rPr>
                <w:rFonts w:ascii="Times New Roman" w:hAnsi="Times New Roman" w:cs="Times New Roman"/>
                <w:sz w:val="20"/>
                <w:szCs w:val="20"/>
              </w:rPr>
              <w:lastRenderedPageBreak/>
              <w:t>sporirii predictibilității procesului de achiziții.</w:t>
            </w:r>
          </w:p>
        </w:tc>
        <w:tc>
          <w:tcPr>
            <w:tcW w:w="3436" w:type="dxa"/>
          </w:tcPr>
          <w:p w14:paraId="03E4265F" w14:textId="6164AB91" w:rsidR="00457EC3" w:rsidRDefault="00457EC3" w:rsidP="00650C80">
            <w:pPr>
              <w:tabs>
                <w:tab w:val="left" w:pos="8505"/>
              </w:tabs>
              <w:jc w:val="both"/>
              <w:rPr>
                <w:rFonts w:ascii="Times New Roman" w:hAnsi="Times New Roman" w:cs="Times New Roman"/>
                <w:b/>
                <w:sz w:val="20"/>
                <w:szCs w:val="20"/>
                <w:lang w:val="ro-RO"/>
              </w:rPr>
            </w:pPr>
            <w:r w:rsidRPr="00457EC3">
              <w:rPr>
                <w:rFonts w:ascii="Times New Roman" w:hAnsi="Times New Roman" w:cs="Times New Roman"/>
                <w:b/>
                <w:sz w:val="20"/>
                <w:szCs w:val="20"/>
                <w:lang w:val="ro-RO"/>
              </w:rPr>
              <w:lastRenderedPageBreak/>
              <w:t>Se ia act</w:t>
            </w:r>
          </w:p>
        </w:tc>
      </w:tr>
      <w:tr w:rsidR="00457EC3" w:rsidRPr="00457EC3" w14:paraId="36CDCFA4" w14:textId="77777777" w:rsidTr="00A919EA">
        <w:trPr>
          <w:trHeight w:val="416"/>
        </w:trPr>
        <w:tc>
          <w:tcPr>
            <w:tcW w:w="3397" w:type="dxa"/>
          </w:tcPr>
          <w:p w14:paraId="5B56C840" w14:textId="24FCA640" w:rsidR="00457EC3"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lastRenderedPageBreak/>
              <w:t>În contextul proiectului</w:t>
            </w:r>
          </w:p>
        </w:tc>
        <w:tc>
          <w:tcPr>
            <w:tcW w:w="2977" w:type="dxa"/>
          </w:tcPr>
          <w:p w14:paraId="2B4D2E72" w14:textId="77777777" w:rsidR="00457EC3" w:rsidRPr="00457EC3" w:rsidRDefault="00457EC3" w:rsidP="00650C80">
            <w:pPr>
              <w:pStyle w:val="p1"/>
              <w:jc w:val="center"/>
              <w:rPr>
                <w:b/>
                <w:color w:val="000000" w:themeColor="text1"/>
                <w:sz w:val="20"/>
                <w:szCs w:val="20"/>
                <w:lang w:val="ro-RO"/>
              </w:rPr>
            </w:pPr>
          </w:p>
        </w:tc>
        <w:tc>
          <w:tcPr>
            <w:tcW w:w="533" w:type="dxa"/>
          </w:tcPr>
          <w:p w14:paraId="4AFB942B" w14:textId="30001787" w:rsidR="00457EC3" w:rsidRDefault="00457EC3"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30701DC6" w14:textId="5644628A" w:rsidR="00457EC3" w:rsidRDefault="00457EC3" w:rsidP="00457EC3">
            <w:pPr>
              <w:jc w:val="both"/>
              <w:rPr>
                <w:rFonts w:ascii="Times New Roman" w:hAnsi="Times New Roman" w:cs="Times New Roman"/>
                <w:sz w:val="20"/>
                <w:szCs w:val="20"/>
                <w:lang w:val="ro-RO"/>
              </w:rPr>
            </w:pPr>
            <w:r w:rsidRPr="00457EC3">
              <w:rPr>
                <w:rFonts w:ascii="Times New Roman" w:hAnsi="Times New Roman" w:cs="Times New Roman"/>
                <w:sz w:val="20"/>
                <w:szCs w:val="20"/>
              </w:rPr>
              <w:t xml:space="preserve"> La sbp. 1.6, 1.13, 1.18 ș.a. cuvintele „Se introduce” se vor substitui cu cuvintele „Se completează cu”.</w:t>
            </w:r>
          </w:p>
        </w:tc>
        <w:tc>
          <w:tcPr>
            <w:tcW w:w="3436" w:type="dxa"/>
          </w:tcPr>
          <w:p w14:paraId="76EC7E07" w14:textId="77777777" w:rsidR="0078264B" w:rsidRPr="0078264B" w:rsidRDefault="0078264B" w:rsidP="0078264B">
            <w:pPr>
              <w:tabs>
                <w:tab w:val="left" w:pos="8505"/>
              </w:tabs>
              <w:jc w:val="both"/>
              <w:rPr>
                <w:rFonts w:ascii="Times New Roman" w:hAnsi="Times New Roman" w:cs="Times New Roman"/>
                <w:b/>
                <w:bCs/>
                <w:sz w:val="20"/>
                <w:szCs w:val="20"/>
                <w:lang w:val="ro-RO"/>
              </w:rPr>
            </w:pPr>
            <w:r w:rsidRPr="0078264B">
              <w:rPr>
                <w:rFonts w:ascii="Times New Roman" w:hAnsi="Times New Roman" w:cs="Times New Roman"/>
                <w:b/>
                <w:bCs/>
                <w:sz w:val="20"/>
                <w:szCs w:val="20"/>
                <w:lang w:val="ro-RO"/>
              </w:rPr>
              <w:t>Se acceptǎ</w:t>
            </w:r>
          </w:p>
          <w:p w14:paraId="5832FAD6" w14:textId="7791C140" w:rsidR="00457EC3" w:rsidRPr="0078264B" w:rsidRDefault="0078264B" w:rsidP="00650C80">
            <w:pPr>
              <w:tabs>
                <w:tab w:val="left" w:pos="8505"/>
              </w:tabs>
              <w:jc w:val="both"/>
              <w:rPr>
                <w:rFonts w:ascii="Times New Roman" w:hAnsi="Times New Roman" w:cs="Times New Roman"/>
                <w:sz w:val="20"/>
                <w:szCs w:val="20"/>
                <w:lang w:val="ro-RO"/>
              </w:rPr>
            </w:pPr>
            <w:r w:rsidRPr="0078264B">
              <w:rPr>
                <w:rFonts w:ascii="Times New Roman" w:hAnsi="Times New Roman" w:cs="Times New Roman"/>
                <w:sz w:val="20"/>
                <w:szCs w:val="20"/>
                <w:lang w:val="ro-RO"/>
              </w:rPr>
              <w:t>Au fost operate modificările propuse</w:t>
            </w:r>
            <w:r>
              <w:rPr>
                <w:rFonts w:ascii="Times New Roman" w:hAnsi="Times New Roman" w:cs="Times New Roman"/>
                <w:sz w:val="20"/>
                <w:szCs w:val="20"/>
                <w:lang w:val="ro-RO"/>
              </w:rPr>
              <w:t>.</w:t>
            </w:r>
          </w:p>
        </w:tc>
      </w:tr>
      <w:tr w:rsidR="00A66B42" w:rsidRPr="00457EC3" w14:paraId="4FE44BE4" w14:textId="77777777" w:rsidTr="00A919EA">
        <w:trPr>
          <w:trHeight w:val="416"/>
        </w:trPr>
        <w:tc>
          <w:tcPr>
            <w:tcW w:w="3397" w:type="dxa"/>
          </w:tcPr>
          <w:p w14:paraId="41ADE882" w14:textId="40A7914A" w:rsidR="00A66B42"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t>În contextul proiectului</w:t>
            </w:r>
          </w:p>
        </w:tc>
        <w:tc>
          <w:tcPr>
            <w:tcW w:w="2977" w:type="dxa"/>
          </w:tcPr>
          <w:p w14:paraId="47BD9606" w14:textId="77777777" w:rsidR="00A66B42" w:rsidRPr="00457EC3" w:rsidRDefault="00A66B42" w:rsidP="00650C80">
            <w:pPr>
              <w:pStyle w:val="p1"/>
              <w:jc w:val="center"/>
              <w:rPr>
                <w:b/>
                <w:color w:val="000000" w:themeColor="text1"/>
                <w:sz w:val="20"/>
                <w:szCs w:val="20"/>
                <w:lang w:val="ro-RO"/>
              </w:rPr>
            </w:pPr>
          </w:p>
        </w:tc>
        <w:tc>
          <w:tcPr>
            <w:tcW w:w="533" w:type="dxa"/>
          </w:tcPr>
          <w:p w14:paraId="4F313301" w14:textId="558002A2" w:rsidR="00A66B42" w:rsidRDefault="00A66B42"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2D7E8A80" w14:textId="0225E6E2" w:rsidR="00A66B42" w:rsidRPr="00457EC3" w:rsidRDefault="00A66B42" w:rsidP="00457EC3">
            <w:pPr>
              <w:jc w:val="both"/>
              <w:rPr>
                <w:rFonts w:ascii="Times New Roman" w:hAnsi="Times New Roman" w:cs="Times New Roman"/>
                <w:sz w:val="20"/>
                <w:szCs w:val="20"/>
              </w:rPr>
            </w:pPr>
            <w:r w:rsidRPr="00A66B42">
              <w:rPr>
                <w:rFonts w:ascii="Times New Roman" w:hAnsi="Times New Roman" w:cs="Times New Roman"/>
                <w:sz w:val="20"/>
                <w:szCs w:val="20"/>
              </w:rPr>
              <w:t>Sbp. 1.7 și 1.8 se vor comasa, deoarece prevăd expunerea în redacție nouă a unor elemente structurale consecutive (valabil și pentru restul cazurilor similare).</w:t>
            </w:r>
          </w:p>
        </w:tc>
        <w:tc>
          <w:tcPr>
            <w:tcW w:w="3436" w:type="dxa"/>
          </w:tcPr>
          <w:p w14:paraId="15B67FC8" w14:textId="77777777" w:rsidR="003B51AA" w:rsidRPr="0078264B" w:rsidRDefault="003B51AA" w:rsidP="003B51AA">
            <w:pPr>
              <w:tabs>
                <w:tab w:val="left" w:pos="8505"/>
              </w:tabs>
              <w:jc w:val="both"/>
              <w:rPr>
                <w:rFonts w:ascii="Times New Roman" w:hAnsi="Times New Roman" w:cs="Times New Roman"/>
                <w:b/>
                <w:bCs/>
                <w:sz w:val="20"/>
                <w:szCs w:val="20"/>
                <w:lang w:val="ro-RO"/>
              </w:rPr>
            </w:pPr>
            <w:r w:rsidRPr="0078264B">
              <w:rPr>
                <w:rFonts w:ascii="Times New Roman" w:hAnsi="Times New Roman" w:cs="Times New Roman"/>
                <w:b/>
                <w:bCs/>
                <w:sz w:val="20"/>
                <w:szCs w:val="20"/>
                <w:lang w:val="ro-RO"/>
              </w:rPr>
              <w:t>Se acceptǎ</w:t>
            </w:r>
          </w:p>
          <w:p w14:paraId="6A9421DF" w14:textId="1550C744" w:rsidR="00A66B42" w:rsidRDefault="003B51AA" w:rsidP="003B51AA">
            <w:pPr>
              <w:tabs>
                <w:tab w:val="left" w:pos="8505"/>
              </w:tabs>
              <w:jc w:val="both"/>
              <w:rPr>
                <w:rFonts w:ascii="Times New Roman" w:hAnsi="Times New Roman" w:cs="Times New Roman"/>
                <w:b/>
                <w:sz w:val="20"/>
                <w:szCs w:val="20"/>
                <w:lang w:val="ro-RO"/>
              </w:rPr>
            </w:pPr>
            <w:r w:rsidRPr="0078264B">
              <w:rPr>
                <w:rFonts w:ascii="Times New Roman" w:hAnsi="Times New Roman" w:cs="Times New Roman"/>
                <w:sz w:val="20"/>
                <w:szCs w:val="20"/>
                <w:lang w:val="ro-RO"/>
              </w:rPr>
              <w:t>Au fost operate modificările propuse</w:t>
            </w:r>
            <w:r>
              <w:rPr>
                <w:rFonts w:ascii="Times New Roman" w:hAnsi="Times New Roman" w:cs="Times New Roman"/>
                <w:sz w:val="20"/>
                <w:szCs w:val="20"/>
                <w:lang w:val="ro-RO"/>
              </w:rPr>
              <w:t>.</w:t>
            </w:r>
          </w:p>
        </w:tc>
      </w:tr>
      <w:tr w:rsidR="00A66B42" w:rsidRPr="00457EC3" w14:paraId="056F91C2" w14:textId="77777777" w:rsidTr="00A919EA">
        <w:trPr>
          <w:trHeight w:val="416"/>
        </w:trPr>
        <w:tc>
          <w:tcPr>
            <w:tcW w:w="3397" w:type="dxa"/>
          </w:tcPr>
          <w:p w14:paraId="5DDC5277" w14:textId="4C153F3E" w:rsidR="00A66B42"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t>În contextul proiectului</w:t>
            </w:r>
          </w:p>
        </w:tc>
        <w:tc>
          <w:tcPr>
            <w:tcW w:w="2977" w:type="dxa"/>
          </w:tcPr>
          <w:p w14:paraId="685485BB" w14:textId="77777777" w:rsidR="00A66B42" w:rsidRPr="00457EC3" w:rsidRDefault="00A66B42" w:rsidP="00650C80">
            <w:pPr>
              <w:pStyle w:val="p1"/>
              <w:jc w:val="center"/>
              <w:rPr>
                <w:b/>
                <w:color w:val="000000" w:themeColor="text1"/>
                <w:sz w:val="20"/>
                <w:szCs w:val="20"/>
                <w:lang w:val="ro-RO"/>
              </w:rPr>
            </w:pPr>
          </w:p>
        </w:tc>
        <w:tc>
          <w:tcPr>
            <w:tcW w:w="533" w:type="dxa"/>
          </w:tcPr>
          <w:p w14:paraId="0D9B435C" w14:textId="04E17C4B" w:rsidR="00A66B42" w:rsidRDefault="00A66B42"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4</w:t>
            </w:r>
          </w:p>
        </w:tc>
        <w:tc>
          <w:tcPr>
            <w:tcW w:w="3402" w:type="dxa"/>
          </w:tcPr>
          <w:p w14:paraId="1873CD88" w14:textId="7F64A28D" w:rsidR="00A66B42" w:rsidRPr="00A66B42" w:rsidRDefault="00A66B42" w:rsidP="00457EC3">
            <w:pPr>
              <w:jc w:val="both"/>
              <w:rPr>
                <w:rFonts w:ascii="Times New Roman" w:hAnsi="Times New Roman" w:cs="Times New Roman"/>
                <w:sz w:val="20"/>
                <w:szCs w:val="20"/>
              </w:rPr>
            </w:pPr>
            <w:r w:rsidRPr="00A66B42">
              <w:rPr>
                <w:rFonts w:ascii="Times New Roman" w:hAnsi="Times New Roman" w:cs="Times New Roman"/>
                <w:sz w:val="20"/>
                <w:szCs w:val="20"/>
              </w:rPr>
              <w:t>La sbp. 1.8 și 1.31 se va indica denumirea completă a actelor normative.</w:t>
            </w:r>
          </w:p>
        </w:tc>
        <w:tc>
          <w:tcPr>
            <w:tcW w:w="3436" w:type="dxa"/>
          </w:tcPr>
          <w:p w14:paraId="7427FCD4" w14:textId="77777777" w:rsidR="0078264B" w:rsidRPr="0078264B" w:rsidRDefault="0078264B" w:rsidP="0078264B">
            <w:pPr>
              <w:tabs>
                <w:tab w:val="left" w:pos="8505"/>
              </w:tabs>
              <w:jc w:val="both"/>
              <w:rPr>
                <w:rFonts w:ascii="Times New Roman" w:hAnsi="Times New Roman" w:cs="Times New Roman"/>
                <w:b/>
                <w:bCs/>
                <w:sz w:val="20"/>
                <w:szCs w:val="20"/>
                <w:lang w:val="ro-RO"/>
              </w:rPr>
            </w:pPr>
            <w:r w:rsidRPr="0078264B">
              <w:rPr>
                <w:rFonts w:ascii="Times New Roman" w:hAnsi="Times New Roman" w:cs="Times New Roman"/>
                <w:b/>
                <w:bCs/>
                <w:sz w:val="20"/>
                <w:szCs w:val="20"/>
                <w:lang w:val="ro-RO"/>
              </w:rPr>
              <w:t>Se acceptǎ</w:t>
            </w:r>
          </w:p>
          <w:p w14:paraId="2DA09B38" w14:textId="3D1B4EBF" w:rsidR="00A66B42" w:rsidRDefault="0078264B" w:rsidP="0078264B">
            <w:pPr>
              <w:tabs>
                <w:tab w:val="left" w:pos="8505"/>
              </w:tabs>
              <w:jc w:val="both"/>
              <w:rPr>
                <w:rFonts w:ascii="Times New Roman" w:hAnsi="Times New Roman" w:cs="Times New Roman"/>
                <w:b/>
                <w:sz w:val="20"/>
                <w:szCs w:val="20"/>
                <w:lang w:val="ro-RO"/>
              </w:rPr>
            </w:pPr>
            <w:r w:rsidRPr="0078264B">
              <w:rPr>
                <w:rFonts w:ascii="Times New Roman" w:hAnsi="Times New Roman" w:cs="Times New Roman"/>
                <w:sz w:val="20"/>
                <w:szCs w:val="20"/>
                <w:lang w:val="ro-RO"/>
              </w:rPr>
              <w:t>Au fost operate modificările propuse</w:t>
            </w:r>
            <w:r>
              <w:rPr>
                <w:rFonts w:ascii="Times New Roman" w:hAnsi="Times New Roman" w:cs="Times New Roman"/>
                <w:sz w:val="20"/>
                <w:szCs w:val="20"/>
                <w:lang w:val="ro-RO"/>
              </w:rPr>
              <w:t>.</w:t>
            </w:r>
          </w:p>
        </w:tc>
      </w:tr>
      <w:tr w:rsidR="00A66B42" w:rsidRPr="00457EC3" w14:paraId="1DC483ED" w14:textId="77777777" w:rsidTr="00A919EA">
        <w:trPr>
          <w:trHeight w:val="416"/>
        </w:trPr>
        <w:tc>
          <w:tcPr>
            <w:tcW w:w="3397" w:type="dxa"/>
          </w:tcPr>
          <w:p w14:paraId="19800C91" w14:textId="7EBA305D" w:rsidR="00A66B42"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t>În contextul proiectului</w:t>
            </w:r>
          </w:p>
        </w:tc>
        <w:tc>
          <w:tcPr>
            <w:tcW w:w="2977" w:type="dxa"/>
          </w:tcPr>
          <w:p w14:paraId="606ED35E" w14:textId="77777777" w:rsidR="00A66B42" w:rsidRPr="00457EC3" w:rsidRDefault="00A66B42" w:rsidP="00650C80">
            <w:pPr>
              <w:pStyle w:val="p1"/>
              <w:jc w:val="center"/>
              <w:rPr>
                <w:b/>
                <w:color w:val="000000" w:themeColor="text1"/>
                <w:sz w:val="20"/>
                <w:szCs w:val="20"/>
                <w:lang w:val="ro-RO"/>
              </w:rPr>
            </w:pPr>
          </w:p>
        </w:tc>
        <w:tc>
          <w:tcPr>
            <w:tcW w:w="533" w:type="dxa"/>
          </w:tcPr>
          <w:p w14:paraId="16AF9BF0" w14:textId="32CBD238" w:rsidR="00A66B42" w:rsidRDefault="00A66B42"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5</w:t>
            </w:r>
          </w:p>
        </w:tc>
        <w:tc>
          <w:tcPr>
            <w:tcW w:w="3402" w:type="dxa"/>
          </w:tcPr>
          <w:p w14:paraId="69FDF10B" w14:textId="7AF48DEA" w:rsidR="00A66B42" w:rsidRPr="00A66B42" w:rsidRDefault="00A66B42" w:rsidP="00457EC3">
            <w:pPr>
              <w:jc w:val="both"/>
              <w:rPr>
                <w:rFonts w:ascii="Times New Roman" w:hAnsi="Times New Roman" w:cs="Times New Roman"/>
                <w:sz w:val="20"/>
                <w:szCs w:val="20"/>
              </w:rPr>
            </w:pPr>
            <w:r w:rsidRPr="00A66B42">
              <w:rPr>
                <w:rFonts w:ascii="Times New Roman" w:hAnsi="Times New Roman" w:cs="Times New Roman"/>
                <w:sz w:val="20"/>
                <w:szCs w:val="20"/>
              </w:rPr>
              <w:t>La sbp. 1.11 textul „subpunctul 5” se va substitui cu textul „subpunctul 5)”.</w:t>
            </w:r>
          </w:p>
        </w:tc>
        <w:tc>
          <w:tcPr>
            <w:tcW w:w="3436" w:type="dxa"/>
          </w:tcPr>
          <w:p w14:paraId="2BB36E3B" w14:textId="77777777" w:rsidR="009B2EC3" w:rsidRPr="0078264B" w:rsidRDefault="009B2EC3" w:rsidP="009B2EC3">
            <w:pPr>
              <w:tabs>
                <w:tab w:val="left" w:pos="8505"/>
              </w:tabs>
              <w:jc w:val="both"/>
              <w:rPr>
                <w:rFonts w:ascii="Times New Roman" w:hAnsi="Times New Roman" w:cs="Times New Roman"/>
                <w:b/>
                <w:bCs/>
                <w:sz w:val="20"/>
                <w:szCs w:val="20"/>
                <w:lang w:val="ro-RO"/>
              </w:rPr>
            </w:pPr>
            <w:r w:rsidRPr="0078264B">
              <w:rPr>
                <w:rFonts w:ascii="Times New Roman" w:hAnsi="Times New Roman" w:cs="Times New Roman"/>
                <w:b/>
                <w:bCs/>
                <w:sz w:val="20"/>
                <w:szCs w:val="20"/>
                <w:lang w:val="ro-RO"/>
              </w:rPr>
              <w:t>Se acceptǎ</w:t>
            </w:r>
          </w:p>
          <w:p w14:paraId="4E152F4D" w14:textId="1D989C56" w:rsidR="00A66B42" w:rsidRDefault="009B2EC3" w:rsidP="009B2EC3">
            <w:pPr>
              <w:tabs>
                <w:tab w:val="left" w:pos="8505"/>
              </w:tabs>
              <w:jc w:val="both"/>
              <w:rPr>
                <w:rFonts w:ascii="Times New Roman" w:hAnsi="Times New Roman" w:cs="Times New Roman"/>
                <w:b/>
                <w:sz w:val="20"/>
                <w:szCs w:val="20"/>
                <w:lang w:val="ro-RO"/>
              </w:rPr>
            </w:pPr>
            <w:r w:rsidRPr="0078264B">
              <w:rPr>
                <w:rFonts w:ascii="Times New Roman" w:hAnsi="Times New Roman" w:cs="Times New Roman"/>
                <w:sz w:val="20"/>
                <w:szCs w:val="20"/>
                <w:lang w:val="ro-RO"/>
              </w:rPr>
              <w:t>Au fost operate modificările propuse</w:t>
            </w:r>
            <w:r>
              <w:rPr>
                <w:rFonts w:ascii="Times New Roman" w:hAnsi="Times New Roman" w:cs="Times New Roman"/>
                <w:sz w:val="20"/>
                <w:szCs w:val="20"/>
                <w:lang w:val="ro-RO"/>
              </w:rPr>
              <w:t>.</w:t>
            </w:r>
          </w:p>
        </w:tc>
      </w:tr>
      <w:tr w:rsidR="00A66B42" w:rsidRPr="00457EC3" w14:paraId="6EBFCEC0" w14:textId="77777777" w:rsidTr="00A919EA">
        <w:trPr>
          <w:trHeight w:val="416"/>
        </w:trPr>
        <w:tc>
          <w:tcPr>
            <w:tcW w:w="3397" w:type="dxa"/>
          </w:tcPr>
          <w:p w14:paraId="7505A44C" w14:textId="1A35B2B1" w:rsidR="00A66B42"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t>În contextul proiectului</w:t>
            </w:r>
          </w:p>
        </w:tc>
        <w:tc>
          <w:tcPr>
            <w:tcW w:w="2977" w:type="dxa"/>
          </w:tcPr>
          <w:p w14:paraId="747CDF75" w14:textId="77777777" w:rsidR="00A66B42" w:rsidRPr="00457EC3" w:rsidRDefault="00A66B42" w:rsidP="00650C80">
            <w:pPr>
              <w:pStyle w:val="p1"/>
              <w:jc w:val="center"/>
              <w:rPr>
                <w:b/>
                <w:color w:val="000000" w:themeColor="text1"/>
                <w:sz w:val="20"/>
                <w:szCs w:val="20"/>
                <w:lang w:val="ro-RO"/>
              </w:rPr>
            </w:pPr>
          </w:p>
        </w:tc>
        <w:tc>
          <w:tcPr>
            <w:tcW w:w="533" w:type="dxa"/>
          </w:tcPr>
          <w:p w14:paraId="7595826A" w14:textId="12D49FEE" w:rsidR="00A66B42" w:rsidRDefault="00A66B42"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6</w:t>
            </w:r>
          </w:p>
        </w:tc>
        <w:tc>
          <w:tcPr>
            <w:tcW w:w="3402" w:type="dxa"/>
          </w:tcPr>
          <w:p w14:paraId="03B9008B" w14:textId="0B0BE013" w:rsidR="00A66B42" w:rsidRPr="00A66B42" w:rsidRDefault="00A66B42" w:rsidP="00457EC3">
            <w:pPr>
              <w:jc w:val="both"/>
              <w:rPr>
                <w:rFonts w:ascii="Times New Roman" w:hAnsi="Times New Roman" w:cs="Times New Roman"/>
                <w:sz w:val="20"/>
                <w:szCs w:val="20"/>
              </w:rPr>
            </w:pPr>
            <w:r w:rsidRPr="00A66B42">
              <w:rPr>
                <w:rFonts w:ascii="Times New Roman" w:hAnsi="Times New Roman" w:cs="Times New Roman"/>
                <w:sz w:val="20"/>
                <w:szCs w:val="20"/>
              </w:rPr>
              <w:t>La sbp. 1.12 textul „subpunctele 9), 10) şi 11)” se va substitui cu textul „subpunctele 9)-11)”.</w:t>
            </w:r>
          </w:p>
        </w:tc>
        <w:tc>
          <w:tcPr>
            <w:tcW w:w="3436" w:type="dxa"/>
          </w:tcPr>
          <w:p w14:paraId="78A2AF04" w14:textId="77777777" w:rsidR="009B2EC3" w:rsidRPr="0078264B" w:rsidRDefault="009B2EC3" w:rsidP="009B2EC3">
            <w:pPr>
              <w:tabs>
                <w:tab w:val="left" w:pos="8505"/>
              </w:tabs>
              <w:jc w:val="both"/>
              <w:rPr>
                <w:rFonts w:ascii="Times New Roman" w:hAnsi="Times New Roman" w:cs="Times New Roman"/>
                <w:b/>
                <w:bCs/>
                <w:sz w:val="20"/>
                <w:szCs w:val="20"/>
                <w:lang w:val="ro-RO"/>
              </w:rPr>
            </w:pPr>
            <w:r w:rsidRPr="0078264B">
              <w:rPr>
                <w:rFonts w:ascii="Times New Roman" w:hAnsi="Times New Roman" w:cs="Times New Roman"/>
                <w:b/>
                <w:bCs/>
                <w:sz w:val="20"/>
                <w:szCs w:val="20"/>
                <w:lang w:val="ro-RO"/>
              </w:rPr>
              <w:t>Se acceptǎ</w:t>
            </w:r>
          </w:p>
          <w:p w14:paraId="6B56747D" w14:textId="14213187" w:rsidR="00A66B42" w:rsidRDefault="009B2EC3" w:rsidP="009B2EC3">
            <w:pPr>
              <w:tabs>
                <w:tab w:val="left" w:pos="8505"/>
              </w:tabs>
              <w:jc w:val="both"/>
              <w:rPr>
                <w:rFonts w:ascii="Times New Roman" w:hAnsi="Times New Roman" w:cs="Times New Roman"/>
                <w:b/>
                <w:sz w:val="20"/>
                <w:szCs w:val="20"/>
                <w:lang w:val="ro-RO"/>
              </w:rPr>
            </w:pPr>
            <w:r w:rsidRPr="0078264B">
              <w:rPr>
                <w:rFonts w:ascii="Times New Roman" w:hAnsi="Times New Roman" w:cs="Times New Roman"/>
                <w:sz w:val="20"/>
                <w:szCs w:val="20"/>
                <w:lang w:val="ro-RO"/>
              </w:rPr>
              <w:t>Au fost operate modificările propuse</w:t>
            </w:r>
            <w:r>
              <w:rPr>
                <w:rFonts w:ascii="Times New Roman" w:hAnsi="Times New Roman" w:cs="Times New Roman"/>
                <w:sz w:val="20"/>
                <w:szCs w:val="20"/>
                <w:lang w:val="ro-RO"/>
              </w:rPr>
              <w:t>.</w:t>
            </w:r>
          </w:p>
        </w:tc>
      </w:tr>
      <w:tr w:rsidR="00A66B42" w:rsidRPr="00457EC3" w14:paraId="10B9620C" w14:textId="77777777" w:rsidTr="00A919EA">
        <w:trPr>
          <w:trHeight w:val="416"/>
        </w:trPr>
        <w:tc>
          <w:tcPr>
            <w:tcW w:w="3397" w:type="dxa"/>
          </w:tcPr>
          <w:p w14:paraId="4AFC1C40" w14:textId="707DAA66" w:rsidR="00A66B42"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t>În contextul proiectului</w:t>
            </w:r>
          </w:p>
        </w:tc>
        <w:tc>
          <w:tcPr>
            <w:tcW w:w="2977" w:type="dxa"/>
          </w:tcPr>
          <w:p w14:paraId="44D4A27C" w14:textId="77777777" w:rsidR="00A66B42" w:rsidRPr="00457EC3" w:rsidRDefault="00A66B42" w:rsidP="00650C80">
            <w:pPr>
              <w:pStyle w:val="p1"/>
              <w:jc w:val="center"/>
              <w:rPr>
                <w:b/>
                <w:color w:val="000000" w:themeColor="text1"/>
                <w:sz w:val="20"/>
                <w:szCs w:val="20"/>
                <w:lang w:val="ro-RO"/>
              </w:rPr>
            </w:pPr>
          </w:p>
        </w:tc>
        <w:tc>
          <w:tcPr>
            <w:tcW w:w="533" w:type="dxa"/>
          </w:tcPr>
          <w:p w14:paraId="2C6A43B8" w14:textId="741690E1" w:rsidR="00A66B42" w:rsidRDefault="00A66B42"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7</w:t>
            </w:r>
          </w:p>
        </w:tc>
        <w:tc>
          <w:tcPr>
            <w:tcW w:w="3402" w:type="dxa"/>
          </w:tcPr>
          <w:p w14:paraId="03B4A710" w14:textId="72C2B757" w:rsidR="00A66B42" w:rsidRPr="00A66B42" w:rsidRDefault="004A6E6B" w:rsidP="004A6E6B">
            <w:pPr>
              <w:jc w:val="both"/>
              <w:rPr>
                <w:rFonts w:ascii="Times New Roman" w:hAnsi="Times New Roman" w:cs="Times New Roman"/>
                <w:sz w:val="20"/>
                <w:szCs w:val="20"/>
              </w:rPr>
            </w:pPr>
            <w:r w:rsidRPr="004A6E6B">
              <w:rPr>
                <w:rFonts w:ascii="Times New Roman" w:hAnsi="Times New Roman" w:cs="Times New Roman"/>
                <w:sz w:val="20"/>
                <w:szCs w:val="20"/>
              </w:rPr>
              <w:t xml:space="preserve"> La sbp. 1.18 cuprinsul pct. 21</w:t>
            </w:r>
            <w:r>
              <w:rPr>
                <w:rFonts w:ascii="Times New Roman" w:hAnsi="Times New Roman" w:cs="Times New Roman"/>
                <w:sz w:val="20"/>
                <w:szCs w:val="20"/>
                <w:vertAlign w:val="superscript"/>
              </w:rPr>
              <w:t>1</w:t>
            </w:r>
            <w:r w:rsidRPr="004A6E6B">
              <w:rPr>
                <w:rFonts w:ascii="Times New Roman" w:hAnsi="Times New Roman" w:cs="Times New Roman"/>
                <w:sz w:val="20"/>
                <w:szCs w:val="20"/>
              </w:rPr>
              <w:t xml:space="preserve"> urmează a fi revizuit prin excluderea cuvintelor „la prezentul Regulament”, ținând cont de prevederile art. 55 alin. (4) din Legea nr. 100/2017, potrivit cărora în cazul în care se face trimitere la o normă juridică care este stabilită în acelaşi act normativ, pentru evitarea reproducerii acesteia, se face trimitere la elementul structural sau constitutiv respectiv, fără a se indica că elementul respectiv face parte din același act normativ.</w:t>
            </w:r>
          </w:p>
        </w:tc>
        <w:tc>
          <w:tcPr>
            <w:tcW w:w="3436" w:type="dxa"/>
          </w:tcPr>
          <w:p w14:paraId="66BCC076" w14:textId="77777777" w:rsidR="009B2EC3" w:rsidRPr="0078264B" w:rsidRDefault="009B2EC3" w:rsidP="009B2EC3">
            <w:pPr>
              <w:tabs>
                <w:tab w:val="left" w:pos="8505"/>
              </w:tabs>
              <w:jc w:val="both"/>
              <w:rPr>
                <w:rFonts w:ascii="Times New Roman" w:hAnsi="Times New Roman" w:cs="Times New Roman"/>
                <w:b/>
                <w:bCs/>
                <w:sz w:val="20"/>
                <w:szCs w:val="20"/>
                <w:lang w:val="ro-RO"/>
              </w:rPr>
            </w:pPr>
            <w:r w:rsidRPr="0078264B">
              <w:rPr>
                <w:rFonts w:ascii="Times New Roman" w:hAnsi="Times New Roman" w:cs="Times New Roman"/>
                <w:b/>
                <w:bCs/>
                <w:sz w:val="20"/>
                <w:szCs w:val="20"/>
                <w:lang w:val="ro-RO"/>
              </w:rPr>
              <w:t>Se acceptǎ</w:t>
            </w:r>
          </w:p>
          <w:p w14:paraId="4479D3A6" w14:textId="72305464" w:rsidR="00A66B42" w:rsidRDefault="009B2EC3" w:rsidP="009B2EC3">
            <w:pPr>
              <w:tabs>
                <w:tab w:val="left" w:pos="8505"/>
              </w:tabs>
              <w:jc w:val="both"/>
              <w:rPr>
                <w:rFonts w:ascii="Times New Roman" w:hAnsi="Times New Roman" w:cs="Times New Roman"/>
                <w:b/>
                <w:sz w:val="20"/>
                <w:szCs w:val="20"/>
                <w:lang w:val="ro-RO"/>
              </w:rPr>
            </w:pPr>
            <w:r w:rsidRPr="0078264B">
              <w:rPr>
                <w:rFonts w:ascii="Times New Roman" w:hAnsi="Times New Roman" w:cs="Times New Roman"/>
                <w:sz w:val="20"/>
                <w:szCs w:val="20"/>
                <w:lang w:val="ro-RO"/>
              </w:rPr>
              <w:t>Au fost operate modificările propuse</w:t>
            </w:r>
            <w:r>
              <w:rPr>
                <w:rFonts w:ascii="Times New Roman" w:hAnsi="Times New Roman" w:cs="Times New Roman"/>
                <w:sz w:val="20"/>
                <w:szCs w:val="20"/>
                <w:lang w:val="ro-RO"/>
              </w:rPr>
              <w:t>.</w:t>
            </w:r>
          </w:p>
        </w:tc>
      </w:tr>
      <w:tr w:rsidR="004A6E6B" w:rsidRPr="00457EC3" w14:paraId="31A05D5B" w14:textId="77777777" w:rsidTr="00A919EA">
        <w:trPr>
          <w:trHeight w:val="416"/>
        </w:trPr>
        <w:tc>
          <w:tcPr>
            <w:tcW w:w="3397" w:type="dxa"/>
          </w:tcPr>
          <w:p w14:paraId="61C45693" w14:textId="3F24C266" w:rsidR="004A6E6B"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t>În contextul proiectului</w:t>
            </w:r>
          </w:p>
        </w:tc>
        <w:tc>
          <w:tcPr>
            <w:tcW w:w="2977" w:type="dxa"/>
          </w:tcPr>
          <w:p w14:paraId="443A2B3B" w14:textId="77777777" w:rsidR="004A6E6B" w:rsidRPr="00457EC3" w:rsidRDefault="004A6E6B" w:rsidP="00650C80">
            <w:pPr>
              <w:pStyle w:val="p1"/>
              <w:jc w:val="center"/>
              <w:rPr>
                <w:b/>
                <w:color w:val="000000" w:themeColor="text1"/>
                <w:sz w:val="20"/>
                <w:szCs w:val="20"/>
                <w:lang w:val="ro-RO"/>
              </w:rPr>
            </w:pPr>
          </w:p>
        </w:tc>
        <w:tc>
          <w:tcPr>
            <w:tcW w:w="533" w:type="dxa"/>
          </w:tcPr>
          <w:p w14:paraId="06994A82" w14:textId="694C5F2D" w:rsidR="004A6E6B" w:rsidRDefault="004A6E6B"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8</w:t>
            </w:r>
          </w:p>
        </w:tc>
        <w:tc>
          <w:tcPr>
            <w:tcW w:w="3402" w:type="dxa"/>
          </w:tcPr>
          <w:p w14:paraId="41CC090F" w14:textId="1455D2A5" w:rsidR="004A6E6B" w:rsidRPr="004A6E6B" w:rsidRDefault="004A6E6B" w:rsidP="004A6E6B">
            <w:pPr>
              <w:jc w:val="both"/>
              <w:rPr>
                <w:rFonts w:ascii="Times New Roman" w:hAnsi="Times New Roman" w:cs="Times New Roman"/>
                <w:sz w:val="20"/>
                <w:szCs w:val="20"/>
              </w:rPr>
            </w:pPr>
            <w:r w:rsidRPr="004A6E6B">
              <w:rPr>
                <w:rFonts w:ascii="Times New Roman" w:hAnsi="Times New Roman" w:cs="Times New Roman"/>
                <w:sz w:val="20"/>
                <w:szCs w:val="20"/>
              </w:rPr>
              <w:t>La sbp. 1.19 considerăm necesară revizuirea cuprinsului și numerotarea elementelor structurale, dat fiind că conține doar un subpunct.</w:t>
            </w:r>
          </w:p>
        </w:tc>
        <w:tc>
          <w:tcPr>
            <w:tcW w:w="3436" w:type="dxa"/>
          </w:tcPr>
          <w:p w14:paraId="0A5FE799" w14:textId="77777777" w:rsidR="00E97CA9" w:rsidRPr="0078264B" w:rsidRDefault="00E97CA9" w:rsidP="00E97CA9">
            <w:pPr>
              <w:tabs>
                <w:tab w:val="left" w:pos="8505"/>
              </w:tabs>
              <w:jc w:val="both"/>
              <w:rPr>
                <w:rFonts w:ascii="Times New Roman" w:hAnsi="Times New Roman" w:cs="Times New Roman"/>
                <w:b/>
                <w:bCs/>
                <w:sz w:val="20"/>
                <w:szCs w:val="20"/>
                <w:lang w:val="ro-RO"/>
              </w:rPr>
            </w:pPr>
            <w:r w:rsidRPr="0078264B">
              <w:rPr>
                <w:rFonts w:ascii="Times New Roman" w:hAnsi="Times New Roman" w:cs="Times New Roman"/>
                <w:b/>
                <w:bCs/>
                <w:sz w:val="20"/>
                <w:szCs w:val="20"/>
                <w:lang w:val="ro-RO"/>
              </w:rPr>
              <w:t>Se acceptǎ</w:t>
            </w:r>
          </w:p>
          <w:p w14:paraId="4B846841" w14:textId="1C447CC6" w:rsidR="004A6E6B" w:rsidRDefault="00E97CA9" w:rsidP="00E97CA9">
            <w:pPr>
              <w:tabs>
                <w:tab w:val="left" w:pos="8505"/>
              </w:tabs>
              <w:jc w:val="both"/>
              <w:rPr>
                <w:rFonts w:ascii="Times New Roman" w:hAnsi="Times New Roman" w:cs="Times New Roman"/>
                <w:b/>
                <w:sz w:val="20"/>
                <w:szCs w:val="20"/>
                <w:lang w:val="ro-RO"/>
              </w:rPr>
            </w:pPr>
            <w:r w:rsidRPr="0078264B">
              <w:rPr>
                <w:rFonts w:ascii="Times New Roman" w:hAnsi="Times New Roman" w:cs="Times New Roman"/>
                <w:sz w:val="20"/>
                <w:szCs w:val="20"/>
                <w:lang w:val="ro-RO"/>
              </w:rPr>
              <w:t>Au fost operate modificările propuse</w:t>
            </w:r>
            <w:r>
              <w:rPr>
                <w:rFonts w:ascii="Times New Roman" w:hAnsi="Times New Roman" w:cs="Times New Roman"/>
                <w:sz w:val="20"/>
                <w:szCs w:val="20"/>
                <w:lang w:val="ro-RO"/>
              </w:rPr>
              <w:t>.</w:t>
            </w:r>
          </w:p>
        </w:tc>
      </w:tr>
      <w:tr w:rsidR="004A6E6B" w:rsidRPr="00457EC3" w14:paraId="50C6954E" w14:textId="77777777" w:rsidTr="00A919EA">
        <w:trPr>
          <w:trHeight w:val="416"/>
        </w:trPr>
        <w:tc>
          <w:tcPr>
            <w:tcW w:w="3397" w:type="dxa"/>
          </w:tcPr>
          <w:p w14:paraId="0750A813" w14:textId="2FEBCF09" w:rsidR="004A6E6B"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t>În contextul proiectului</w:t>
            </w:r>
          </w:p>
        </w:tc>
        <w:tc>
          <w:tcPr>
            <w:tcW w:w="2977" w:type="dxa"/>
          </w:tcPr>
          <w:p w14:paraId="3C4C93DB" w14:textId="77777777" w:rsidR="004A6E6B" w:rsidRPr="00457EC3" w:rsidRDefault="004A6E6B" w:rsidP="00650C80">
            <w:pPr>
              <w:pStyle w:val="p1"/>
              <w:jc w:val="center"/>
              <w:rPr>
                <w:b/>
                <w:color w:val="000000" w:themeColor="text1"/>
                <w:sz w:val="20"/>
                <w:szCs w:val="20"/>
                <w:lang w:val="ro-RO"/>
              </w:rPr>
            </w:pPr>
          </w:p>
        </w:tc>
        <w:tc>
          <w:tcPr>
            <w:tcW w:w="533" w:type="dxa"/>
          </w:tcPr>
          <w:p w14:paraId="60D0FFD0" w14:textId="740EF41F" w:rsidR="004A6E6B" w:rsidRDefault="004A6E6B"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9</w:t>
            </w:r>
          </w:p>
        </w:tc>
        <w:tc>
          <w:tcPr>
            <w:tcW w:w="3402" w:type="dxa"/>
          </w:tcPr>
          <w:p w14:paraId="4CF2C4CD" w14:textId="3ACEAE2C" w:rsidR="004A6E6B" w:rsidRPr="004A6E6B" w:rsidRDefault="004A6E6B" w:rsidP="004A6E6B">
            <w:pPr>
              <w:jc w:val="both"/>
              <w:rPr>
                <w:rFonts w:ascii="Times New Roman" w:hAnsi="Times New Roman" w:cs="Times New Roman"/>
                <w:sz w:val="20"/>
                <w:szCs w:val="20"/>
                <w:lang w:val="ro-RO"/>
              </w:rPr>
            </w:pPr>
            <w:r>
              <w:rPr>
                <w:rFonts w:ascii="Times New Roman" w:hAnsi="Times New Roman" w:cs="Times New Roman"/>
                <w:sz w:val="20"/>
                <w:szCs w:val="20"/>
                <w:lang w:val="ro-RO"/>
              </w:rPr>
              <w:t>La sbp. 1.23 textul „nr. 2</w:t>
            </w:r>
            <w:r>
              <w:rPr>
                <w:rFonts w:ascii="Times New Roman" w:hAnsi="Times New Roman" w:cs="Times New Roman"/>
                <w:sz w:val="20"/>
                <w:szCs w:val="20"/>
                <w:vertAlign w:val="superscript"/>
                <w:lang w:val="ro-RO"/>
              </w:rPr>
              <w:t>1</w:t>
            </w:r>
            <w:r>
              <w:rPr>
                <w:rFonts w:ascii="Times New Roman" w:hAnsi="Times New Roman" w:cs="Times New Roman"/>
                <w:sz w:val="20"/>
                <w:szCs w:val="20"/>
                <w:lang w:val="ro-RO"/>
              </w:rPr>
              <w:t>, nr. 2</w:t>
            </w:r>
            <w:r>
              <w:rPr>
                <w:rFonts w:ascii="Times New Roman" w:hAnsi="Times New Roman" w:cs="Times New Roman"/>
                <w:sz w:val="20"/>
                <w:szCs w:val="20"/>
                <w:vertAlign w:val="superscript"/>
                <w:lang w:val="ro-RO"/>
              </w:rPr>
              <w:t>2</w:t>
            </w:r>
            <w:r w:rsidRPr="004A6E6B">
              <w:rPr>
                <w:rFonts w:ascii="Times New Roman" w:hAnsi="Times New Roman" w:cs="Times New Roman"/>
                <w:sz w:val="20"/>
                <w:szCs w:val="20"/>
                <w:lang w:val="ro-RO"/>
              </w:rPr>
              <w:t>” se va substitui cu tex</w:t>
            </w:r>
            <w:r>
              <w:rPr>
                <w:rFonts w:ascii="Times New Roman" w:hAnsi="Times New Roman" w:cs="Times New Roman"/>
                <w:sz w:val="20"/>
                <w:szCs w:val="20"/>
                <w:lang w:val="ro-RO"/>
              </w:rPr>
              <w:t>tul „ nr. 2</w:t>
            </w:r>
            <w:r>
              <w:rPr>
                <w:rFonts w:ascii="Times New Roman" w:hAnsi="Times New Roman" w:cs="Times New Roman"/>
                <w:sz w:val="20"/>
                <w:szCs w:val="20"/>
                <w:vertAlign w:val="superscript"/>
                <w:lang w:val="ro-RO"/>
              </w:rPr>
              <w:t>1</w:t>
            </w:r>
            <w:r>
              <w:rPr>
                <w:rFonts w:ascii="Times New Roman" w:hAnsi="Times New Roman" w:cs="Times New Roman"/>
                <w:sz w:val="20"/>
                <w:szCs w:val="20"/>
                <w:lang w:val="ro-RO"/>
              </w:rPr>
              <w:t xml:space="preserve"> și nr. 2</w:t>
            </w:r>
            <w:r>
              <w:rPr>
                <w:rFonts w:ascii="Times New Roman" w:hAnsi="Times New Roman" w:cs="Times New Roman"/>
                <w:sz w:val="20"/>
                <w:szCs w:val="20"/>
                <w:vertAlign w:val="superscript"/>
                <w:lang w:val="ro-RO"/>
              </w:rPr>
              <w:t>2</w:t>
            </w:r>
            <w:r>
              <w:rPr>
                <w:rFonts w:ascii="Times New Roman" w:hAnsi="Times New Roman" w:cs="Times New Roman"/>
                <w:sz w:val="20"/>
                <w:szCs w:val="20"/>
                <w:lang w:val="ro-RO"/>
              </w:rPr>
              <w:t>”, iar textul „anexelor nr. 2</w:t>
            </w:r>
            <w:r>
              <w:rPr>
                <w:rFonts w:ascii="Times New Roman" w:hAnsi="Times New Roman" w:cs="Times New Roman"/>
                <w:sz w:val="20"/>
                <w:szCs w:val="20"/>
                <w:vertAlign w:val="superscript"/>
                <w:lang w:val="ro-RO"/>
              </w:rPr>
              <w:t>3</w:t>
            </w:r>
            <w:r>
              <w:rPr>
                <w:rFonts w:ascii="Times New Roman" w:hAnsi="Times New Roman" w:cs="Times New Roman"/>
                <w:sz w:val="20"/>
                <w:szCs w:val="20"/>
                <w:lang w:val="ro-RO"/>
              </w:rPr>
              <w:t>, nr. 2</w:t>
            </w:r>
            <w:r>
              <w:rPr>
                <w:rFonts w:ascii="Times New Roman" w:hAnsi="Times New Roman" w:cs="Times New Roman"/>
                <w:sz w:val="20"/>
                <w:szCs w:val="20"/>
                <w:vertAlign w:val="superscript"/>
                <w:lang w:val="ro-RO"/>
              </w:rPr>
              <w:t>4</w:t>
            </w:r>
            <w:r>
              <w:rPr>
                <w:rFonts w:ascii="Times New Roman" w:hAnsi="Times New Roman" w:cs="Times New Roman"/>
                <w:sz w:val="20"/>
                <w:szCs w:val="20"/>
                <w:lang w:val="ro-RO"/>
              </w:rPr>
              <w:t>, nr. 2</w:t>
            </w:r>
            <w:r>
              <w:rPr>
                <w:rFonts w:ascii="Times New Roman" w:hAnsi="Times New Roman" w:cs="Times New Roman"/>
                <w:sz w:val="20"/>
                <w:szCs w:val="20"/>
                <w:vertAlign w:val="superscript"/>
                <w:lang w:val="ro-RO"/>
              </w:rPr>
              <w:t>5</w:t>
            </w:r>
            <w:r>
              <w:rPr>
                <w:rFonts w:ascii="Times New Roman" w:hAnsi="Times New Roman" w:cs="Times New Roman"/>
                <w:sz w:val="20"/>
                <w:szCs w:val="20"/>
                <w:lang w:val="ro-RO"/>
              </w:rPr>
              <w:t xml:space="preserve"> și nr. 2</w:t>
            </w:r>
            <w:r>
              <w:rPr>
                <w:rFonts w:ascii="Times New Roman" w:hAnsi="Times New Roman" w:cs="Times New Roman"/>
                <w:sz w:val="20"/>
                <w:szCs w:val="20"/>
                <w:vertAlign w:val="superscript"/>
                <w:lang w:val="ro-RO"/>
              </w:rPr>
              <w:t>6</w:t>
            </w:r>
            <w:r w:rsidRPr="004A6E6B">
              <w:rPr>
                <w:rFonts w:ascii="Times New Roman" w:hAnsi="Times New Roman" w:cs="Times New Roman"/>
                <w:sz w:val="20"/>
                <w:szCs w:val="20"/>
                <w:lang w:val="ro-RO"/>
              </w:rPr>
              <w:t>” se va subs</w:t>
            </w:r>
            <w:r>
              <w:rPr>
                <w:rFonts w:ascii="Times New Roman" w:hAnsi="Times New Roman" w:cs="Times New Roman"/>
                <w:sz w:val="20"/>
                <w:szCs w:val="20"/>
                <w:lang w:val="ro-RO"/>
              </w:rPr>
              <w:t>titui cu textul „anexelor nr. 2</w:t>
            </w:r>
            <w:r>
              <w:rPr>
                <w:rFonts w:ascii="Times New Roman" w:hAnsi="Times New Roman" w:cs="Times New Roman"/>
                <w:sz w:val="20"/>
                <w:szCs w:val="20"/>
                <w:vertAlign w:val="superscript"/>
                <w:lang w:val="ro-RO"/>
              </w:rPr>
              <w:t>3</w:t>
            </w:r>
            <w:r>
              <w:rPr>
                <w:rFonts w:ascii="Times New Roman" w:hAnsi="Times New Roman" w:cs="Times New Roman"/>
                <w:sz w:val="20"/>
                <w:szCs w:val="20"/>
                <w:lang w:val="ro-RO"/>
              </w:rPr>
              <w:t>-nr. 2</w:t>
            </w:r>
            <w:r>
              <w:rPr>
                <w:rFonts w:ascii="Times New Roman" w:hAnsi="Times New Roman" w:cs="Times New Roman"/>
                <w:sz w:val="20"/>
                <w:szCs w:val="20"/>
                <w:vertAlign w:val="superscript"/>
                <w:lang w:val="ro-RO"/>
              </w:rPr>
              <w:t>6</w:t>
            </w:r>
            <w:r w:rsidRPr="004A6E6B">
              <w:rPr>
                <w:rFonts w:ascii="Times New Roman" w:hAnsi="Times New Roman" w:cs="Times New Roman"/>
                <w:sz w:val="20"/>
                <w:szCs w:val="20"/>
                <w:lang w:val="ro-RO"/>
              </w:rPr>
              <w:t>”.</w:t>
            </w:r>
          </w:p>
        </w:tc>
        <w:tc>
          <w:tcPr>
            <w:tcW w:w="3436" w:type="dxa"/>
          </w:tcPr>
          <w:p w14:paraId="49A5E514" w14:textId="77777777" w:rsidR="009B2EC3" w:rsidRPr="0078264B" w:rsidRDefault="009B2EC3" w:rsidP="009B2EC3">
            <w:pPr>
              <w:tabs>
                <w:tab w:val="left" w:pos="8505"/>
              </w:tabs>
              <w:jc w:val="both"/>
              <w:rPr>
                <w:rFonts w:ascii="Times New Roman" w:hAnsi="Times New Roman" w:cs="Times New Roman"/>
                <w:b/>
                <w:bCs/>
                <w:sz w:val="20"/>
                <w:szCs w:val="20"/>
                <w:lang w:val="ro-RO"/>
              </w:rPr>
            </w:pPr>
            <w:r w:rsidRPr="0078264B">
              <w:rPr>
                <w:rFonts w:ascii="Times New Roman" w:hAnsi="Times New Roman" w:cs="Times New Roman"/>
                <w:b/>
                <w:bCs/>
                <w:sz w:val="20"/>
                <w:szCs w:val="20"/>
                <w:lang w:val="ro-RO"/>
              </w:rPr>
              <w:t>Se acceptǎ</w:t>
            </w:r>
          </w:p>
          <w:p w14:paraId="1874B814" w14:textId="7C5209F4" w:rsidR="004A6E6B" w:rsidRDefault="009B2EC3" w:rsidP="009B2EC3">
            <w:pPr>
              <w:tabs>
                <w:tab w:val="left" w:pos="8505"/>
              </w:tabs>
              <w:jc w:val="both"/>
              <w:rPr>
                <w:rFonts w:ascii="Times New Roman" w:hAnsi="Times New Roman" w:cs="Times New Roman"/>
                <w:b/>
                <w:sz w:val="20"/>
                <w:szCs w:val="20"/>
                <w:lang w:val="ro-RO"/>
              </w:rPr>
            </w:pPr>
            <w:r w:rsidRPr="0078264B">
              <w:rPr>
                <w:rFonts w:ascii="Times New Roman" w:hAnsi="Times New Roman" w:cs="Times New Roman"/>
                <w:sz w:val="20"/>
                <w:szCs w:val="20"/>
                <w:lang w:val="ro-RO"/>
              </w:rPr>
              <w:t>Au fost operate modificările propuse</w:t>
            </w:r>
            <w:r>
              <w:rPr>
                <w:rFonts w:ascii="Times New Roman" w:hAnsi="Times New Roman" w:cs="Times New Roman"/>
                <w:sz w:val="20"/>
                <w:szCs w:val="20"/>
                <w:lang w:val="ro-RO"/>
              </w:rPr>
              <w:t>.</w:t>
            </w:r>
          </w:p>
        </w:tc>
      </w:tr>
      <w:tr w:rsidR="004A6E6B" w:rsidRPr="00457EC3" w14:paraId="7576E1D8" w14:textId="77777777" w:rsidTr="00A919EA">
        <w:trPr>
          <w:trHeight w:val="416"/>
        </w:trPr>
        <w:tc>
          <w:tcPr>
            <w:tcW w:w="3397" w:type="dxa"/>
          </w:tcPr>
          <w:p w14:paraId="2EBF8D36" w14:textId="414E3F86" w:rsidR="004A6E6B"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t>În contextul proiectului</w:t>
            </w:r>
          </w:p>
        </w:tc>
        <w:tc>
          <w:tcPr>
            <w:tcW w:w="2977" w:type="dxa"/>
          </w:tcPr>
          <w:p w14:paraId="05991C60" w14:textId="77777777" w:rsidR="004A6E6B" w:rsidRPr="00457EC3" w:rsidRDefault="004A6E6B" w:rsidP="00650C80">
            <w:pPr>
              <w:pStyle w:val="p1"/>
              <w:jc w:val="center"/>
              <w:rPr>
                <w:b/>
                <w:color w:val="000000" w:themeColor="text1"/>
                <w:sz w:val="20"/>
                <w:szCs w:val="20"/>
                <w:lang w:val="ro-RO"/>
              </w:rPr>
            </w:pPr>
          </w:p>
        </w:tc>
        <w:tc>
          <w:tcPr>
            <w:tcW w:w="533" w:type="dxa"/>
          </w:tcPr>
          <w:p w14:paraId="5DE2347D" w14:textId="2C1AC370" w:rsidR="004A6E6B" w:rsidRDefault="004A6E6B"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10</w:t>
            </w:r>
          </w:p>
        </w:tc>
        <w:tc>
          <w:tcPr>
            <w:tcW w:w="3402" w:type="dxa"/>
          </w:tcPr>
          <w:p w14:paraId="4A04804B" w14:textId="46AAFA5B" w:rsidR="004A6E6B" w:rsidRDefault="004A6E6B" w:rsidP="004A6E6B">
            <w:pPr>
              <w:jc w:val="both"/>
              <w:rPr>
                <w:rFonts w:ascii="Times New Roman" w:hAnsi="Times New Roman" w:cs="Times New Roman"/>
                <w:sz w:val="20"/>
                <w:szCs w:val="20"/>
                <w:lang w:val="ro-RO"/>
              </w:rPr>
            </w:pPr>
            <w:r w:rsidRPr="004A6E6B">
              <w:rPr>
                <w:rFonts w:ascii="Times New Roman" w:hAnsi="Times New Roman" w:cs="Times New Roman"/>
                <w:sz w:val="20"/>
                <w:szCs w:val="20"/>
              </w:rPr>
              <w:t>La sbp. 1.24 se va indica că punctul 29 se completează cu un enunț.</w:t>
            </w:r>
          </w:p>
        </w:tc>
        <w:tc>
          <w:tcPr>
            <w:tcW w:w="3436" w:type="dxa"/>
          </w:tcPr>
          <w:p w14:paraId="4A346461" w14:textId="77777777" w:rsidR="00E21E64" w:rsidRPr="0078264B" w:rsidRDefault="00E21E64" w:rsidP="00E21E64">
            <w:pPr>
              <w:tabs>
                <w:tab w:val="left" w:pos="8505"/>
              </w:tabs>
              <w:jc w:val="both"/>
              <w:rPr>
                <w:rFonts w:ascii="Times New Roman" w:hAnsi="Times New Roman" w:cs="Times New Roman"/>
                <w:b/>
                <w:bCs/>
                <w:sz w:val="20"/>
                <w:szCs w:val="20"/>
                <w:lang w:val="ro-RO"/>
              </w:rPr>
            </w:pPr>
            <w:r w:rsidRPr="0078264B">
              <w:rPr>
                <w:rFonts w:ascii="Times New Roman" w:hAnsi="Times New Roman" w:cs="Times New Roman"/>
                <w:b/>
                <w:bCs/>
                <w:sz w:val="20"/>
                <w:szCs w:val="20"/>
                <w:lang w:val="ro-RO"/>
              </w:rPr>
              <w:t>Se acceptǎ</w:t>
            </w:r>
          </w:p>
          <w:p w14:paraId="29BA91C4" w14:textId="56FBAC70" w:rsidR="004A6E6B" w:rsidRDefault="00E21E64" w:rsidP="00E21E64">
            <w:pPr>
              <w:tabs>
                <w:tab w:val="left" w:pos="8505"/>
              </w:tabs>
              <w:jc w:val="both"/>
              <w:rPr>
                <w:rFonts w:ascii="Times New Roman" w:hAnsi="Times New Roman" w:cs="Times New Roman"/>
                <w:b/>
                <w:sz w:val="20"/>
                <w:szCs w:val="20"/>
                <w:lang w:val="ro-RO"/>
              </w:rPr>
            </w:pPr>
            <w:r w:rsidRPr="0078264B">
              <w:rPr>
                <w:rFonts w:ascii="Times New Roman" w:hAnsi="Times New Roman" w:cs="Times New Roman"/>
                <w:sz w:val="20"/>
                <w:szCs w:val="20"/>
                <w:lang w:val="ro-RO"/>
              </w:rPr>
              <w:t>Au fost operate modificările propuse</w:t>
            </w:r>
            <w:r>
              <w:rPr>
                <w:rFonts w:ascii="Times New Roman" w:hAnsi="Times New Roman" w:cs="Times New Roman"/>
                <w:sz w:val="20"/>
                <w:szCs w:val="20"/>
                <w:lang w:val="ro-RO"/>
              </w:rPr>
              <w:t>.</w:t>
            </w:r>
          </w:p>
        </w:tc>
      </w:tr>
      <w:tr w:rsidR="004A6E6B" w:rsidRPr="00457EC3" w14:paraId="3D29EA5A" w14:textId="77777777" w:rsidTr="00A919EA">
        <w:trPr>
          <w:trHeight w:val="416"/>
        </w:trPr>
        <w:tc>
          <w:tcPr>
            <w:tcW w:w="3397" w:type="dxa"/>
          </w:tcPr>
          <w:p w14:paraId="5FF5A509" w14:textId="567B65BE" w:rsidR="004A6E6B"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lastRenderedPageBreak/>
              <w:t>În contextul proiectului</w:t>
            </w:r>
          </w:p>
        </w:tc>
        <w:tc>
          <w:tcPr>
            <w:tcW w:w="2977" w:type="dxa"/>
          </w:tcPr>
          <w:p w14:paraId="6DC9399C" w14:textId="77777777" w:rsidR="004A6E6B" w:rsidRPr="00457EC3" w:rsidRDefault="004A6E6B" w:rsidP="00650C80">
            <w:pPr>
              <w:pStyle w:val="p1"/>
              <w:jc w:val="center"/>
              <w:rPr>
                <w:b/>
                <w:color w:val="000000" w:themeColor="text1"/>
                <w:sz w:val="20"/>
                <w:szCs w:val="20"/>
                <w:lang w:val="ro-RO"/>
              </w:rPr>
            </w:pPr>
          </w:p>
        </w:tc>
        <w:tc>
          <w:tcPr>
            <w:tcW w:w="533" w:type="dxa"/>
          </w:tcPr>
          <w:p w14:paraId="5BB412BA" w14:textId="2FB82D12" w:rsidR="004A6E6B" w:rsidRDefault="004A6E6B"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11</w:t>
            </w:r>
          </w:p>
        </w:tc>
        <w:tc>
          <w:tcPr>
            <w:tcW w:w="3402" w:type="dxa"/>
          </w:tcPr>
          <w:p w14:paraId="263F498E" w14:textId="06737D01" w:rsidR="004A6E6B" w:rsidRPr="004A6E6B" w:rsidRDefault="004A6E6B" w:rsidP="004A6E6B">
            <w:pPr>
              <w:jc w:val="both"/>
              <w:rPr>
                <w:rFonts w:ascii="Times New Roman" w:hAnsi="Times New Roman" w:cs="Times New Roman"/>
                <w:sz w:val="20"/>
                <w:szCs w:val="20"/>
              </w:rPr>
            </w:pPr>
            <w:r w:rsidRPr="004A6E6B">
              <w:rPr>
                <w:rFonts w:ascii="Times New Roman" w:hAnsi="Times New Roman" w:cs="Times New Roman"/>
                <w:sz w:val="20"/>
                <w:szCs w:val="20"/>
              </w:rPr>
              <w:t>La sbp. 1.33 cuprinsul pct. 57² urmează a fi revizuit în partea ce ține de utilizarea sintagmei „conducătorilor de rang înalt ai autorităților administrației publice centrale”, dat fiind că nici în Legea nr. 136/2017 cu privire la Guvern și nici în Legea nr. 98/2012 privind administrația publică centrală de specialitate nu poate fi indentificat cine face parte din sfera persoanelor vizate. Astfel, nu poate fi determinată cu certitudine sfera persoanelor vizate, fapt pentru care se recomandă să se precizeze acest aspect.</w:t>
            </w:r>
          </w:p>
        </w:tc>
        <w:tc>
          <w:tcPr>
            <w:tcW w:w="3436" w:type="dxa"/>
          </w:tcPr>
          <w:p w14:paraId="00542F1A" w14:textId="6DA5E9C2" w:rsidR="00C8246E" w:rsidRPr="00C8246E" w:rsidRDefault="00C8246E" w:rsidP="00C8246E">
            <w:pPr>
              <w:tabs>
                <w:tab w:val="left" w:pos="8505"/>
              </w:tabs>
              <w:jc w:val="both"/>
              <w:rPr>
                <w:rFonts w:ascii="Times New Roman" w:hAnsi="Times New Roman" w:cs="Times New Roman"/>
                <w:b/>
                <w:sz w:val="20"/>
                <w:szCs w:val="20"/>
                <w:lang w:val="ro-RO"/>
              </w:rPr>
            </w:pPr>
            <w:r w:rsidRPr="00C8246E">
              <w:rPr>
                <w:rFonts w:ascii="Times New Roman" w:hAnsi="Times New Roman" w:cs="Times New Roman"/>
                <w:b/>
                <w:sz w:val="20"/>
                <w:szCs w:val="20"/>
                <w:lang w:val="ro-RO"/>
              </w:rPr>
              <w:t>Se acceptă parțial</w:t>
            </w:r>
          </w:p>
          <w:p w14:paraId="342AABDC" w14:textId="25CB38F1" w:rsidR="00C8246E" w:rsidRPr="00C8246E" w:rsidRDefault="00C8246E" w:rsidP="00C8246E">
            <w:pPr>
              <w:tabs>
                <w:tab w:val="left" w:pos="8505"/>
              </w:tabs>
              <w:jc w:val="both"/>
              <w:rPr>
                <w:rFonts w:ascii="Times New Roman" w:hAnsi="Times New Roman" w:cs="Times New Roman"/>
                <w:sz w:val="20"/>
                <w:szCs w:val="20"/>
                <w:lang w:val="ro-RO"/>
              </w:rPr>
            </w:pPr>
            <w:r w:rsidRPr="00C8246E">
              <w:rPr>
                <w:rFonts w:ascii="Times New Roman" w:hAnsi="Times New Roman" w:cs="Times New Roman"/>
                <w:i/>
                <w:sz w:val="20"/>
                <w:szCs w:val="20"/>
                <w:lang w:val="ro-RO"/>
              </w:rPr>
              <w:t>Argumentare</w:t>
            </w:r>
            <w:r w:rsidRPr="00C8246E">
              <w:rPr>
                <w:rFonts w:ascii="Times New Roman" w:hAnsi="Times New Roman" w:cs="Times New Roman"/>
                <w:sz w:val="20"/>
                <w:szCs w:val="20"/>
                <w:lang w:val="ro-RO"/>
              </w:rPr>
              <w:t>:</w:t>
            </w:r>
          </w:p>
          <w:p w14:paraId="640FF1F5" w14:textId="77777777" w:rsidR="00C8246E" w:rsidRPr="00C8246E" w:rsidRDefault="00C8246E" w:rsidP="00C8246E">
            <w:pPr>
              <w:tabs>
                <w:tab w:val="left" w:pos="8505"/>
              </w:tabs>
              <w:jc w:val="both"/>
              <w:rPr>
                <w:rFonts w:ascii="Times New Roman" w:hAnsi="Times New Roman" w:cs="Times New Roman"/>
                <w:sz w:val="20"/>
                <w:szCs w:val="20"/>
                <w:lang w:val="ro-RO"/>
              </w:rPr>
            </w:pPr>
            <w:r w:rsidRPr="00C8246E">
              <w:rPr>
                <w:rFonts w:ascii="Times New Roman" w:hAnsi="Times New Roman" w:cs="Times New Roman"/>
                <w:sz w:val="20"/>
                <w:szCs w:val="20"/>
                <w:lang w:val="ro-RO"/>
              </w:rPr>
              <w:t>Art. 62 alin. (5) lit. a) din Legea nr. 181/2014 reglementează expres categoria persoanelor pentru care pot fi utilizate cardurile de plată business.</w:t>
            </w:r>
          </w:p>
          <w:p w14:paraId="52C23871" w14:textId="77777777" w:rsidR="00C8246E" w:rsidRPr="00C8246E" w:rsidRDefault="00C8246E" w:rsidP="00C8246E">
            <w:pPr>
              <w:tabs>
                <w:tab w:val="left" w:pos="8505"/>
              </w:tabs>
              <w:jc w:val="both"/>
              <w:rPr>
                <w:rFonts w:ascii="Times New Roman" w:hAnsi="Times New Roman" w:cs="Times New Roman"/>
                <w:sz w:val="20"/>
                <w:szCs w:val="20"/>
                <w:lang w:val="ro-RO"/>
              </w:rPr>
            </w:pPr>
            <w:r w:rsidRPr="00C8246E">
              <w:rPr>
                <w:rFonts w:ascii="Times New Roman" w:hAnsi="Times New Roman" w:cs="Times New Roman"/>
                <w:sz w:val="20"/>
                <w:szCs w:val="20"/>
                <w:lang w:val="ro-RO"/>
              </w:rPr>
              <w:t>Hotărârea de Guvern nu poate modifica sau extinde sfera beneficiarilor stabilită prin lege.</w:t>
            </w:r>
          </w:p>
          <w:p w14:paraId="7FFC2B3A" w14:textId="77777777" w:rsidR="00C8246E" w:rsidRPr="00C8246E" w:rsidRDefault="00C8246E" w:rsidP="00C8246E">
            <w:pPr>
              <w:tabs>
                <w:tab w:val="left" w:pos="8505"/>
              </w:tabs>
              <w:jc w:val="both"/>
              <w:rPr>
                <w:rFonts w:ascii="Times New Roman" w:hAnsi="Times New Roman" w:cs="Times New Roman"/>
                <w:sz w:val="20"/>
                <w:szCs w:val="20"/>
                <w:lang w:val="ro-RO"/>
              </w:rPr>
            </w:pPr>
            <w:r w:rsidRPr="00C8246E">
              <w:rPr>
                <w:rFonts w:ascii="Times New Roman" w:hAnsi="Times New Roman" w:cs="Times New Roman"/>
                <w:sz w:val="20"/>
                <w:szCs w:val="20"/>
                <w:lang w:val="ro-RO"/>
              </w:rPr>
              <w:t>Introducerea trimiterii exprese la temeiul legal consolidează previzibilitatea și claritatea normei, fără a altera conținutul material al reglementării.</w:t>
            </w:r>
          </w:p>
          <w:p w14:paraId="08134AA8" w14:textId="77777777" w:rsidR="00C8246E" w:rsidRPr="00C8246E" w:rsidRDefault="00C8246E" w:rsidP="00C8246E">
            <w:pPr>
              <w:tabs>
                <w:tab w:val="left" w:pos="8505"/>
              </w:tabs>
              <w:jc w:val="both"/>
              <w:rPr>
                <w:rFonts w:ascii="Times New Roman" w:hAnsi="Times New Roman" w:cs="Times New Roman"/>
                <w:sz w:val="20"/>
                <w:szCs w:val="20"/>
                <w:lang w:val="ro-RO"/>
              </w:rPr>
            </w:pPr>
            <w:r w:rsidRPr="00C8246E">
              <w:rPr>
                <w:rFonts w:ascii="Times New Roman" w:hAnsi="Times New Roman" w:cs="Times New Roman"/>
                <w:sz w:val="20"/>
                <w:szCs w:val="20"/>
                <w:lang w:val="ro-RO"/>
              </w:rPr>
              <w:t>Se menține respectarea principiului ierarhiei actelor normative.</w:t>
            </w:r>
          </w:p>
          <w:p w14:paraId="64F59A36" w14:textId="6723C8CD" w:rsidR="004A6E6B" w:rsidRDefault="00C8246E" w:rsidP="00C8246E">
            <w:pPr>
              <w:tabs>
                <w:tab w:val="left" w:pos="8505"/>
              </w:tabs>
              <w:jc w:val="both"/>
              <w:rPr>
                <w:rFonts w:ascii="Times New Roman" w:hAnsi="Times New Roman" w:cs="Times New Roman"/>
                <w:b/>
                <w:sz w:val="20"/>
                <w:szCs w:val="20"/>
                <w:lang w:val="ro-RO"/>
              </w:rPr>
            </w:pPr>
            <w:r w:rsidRPr="00C8246E">
              <w:rPr>
                <w:rFonts w:ascii="Times New Roman" w:hAnsi="Times New Roman" w:cs="Times New Roman"/>
                <w:sz w:val="20"/>
                <w:szCs w:val="20"/>
                <w:lang w:val="ro-RO"/>
              </w:rPr>
              <w:t xml:space="preserve">Prin urmare, propunerea </w:t>
            </w:r>
            <w:r w:rsidRPr="00C8246E">
              <w:rPr>
                <w:rFonts w:ascii="Times New Roman" w:hAnsi="Times New Roman" w:cs="Times New Roman"/>
                <w:i/>
                <w:sz w:val="20"/>
                <w:szCs w:val="20"/>
                <w:lang w:val="ro-RO"/>
              </w:rPr>
              <w:t>se acceptă parțial</w:t>
            </w:r>
            <w:r w:rsidRPr="00C8246E">
              <w:rPr>
                <w:rFonts w:ascii="Times New Roman" w:hAnsi="Times New Roman" w:cs="Times New Roman"/>
                <w:sz w:val="20"/>
                <w:szCs w:val="20"/>
                <w:lang w:val="ro-RO"/>
              </w:rPr>
              <w:t>, exclusiv în sensul completării cu trimiterea expresă la art. 62 din Legea nr. 181/2014, fără modificarea categoriei persoanelor vizate.</w:t>
            </w:r>
          </w:p>
        </w:tc>
      </w:tr>
      <w:tr w:rsidR="004A6E6B" w:rsidRPr="00457EC3" w14:paraId="4E033E88" w14:textId="77777777" w:rsidTr="00A919EA">
        <w:trPr>
          <w:trHeight w:val="416"/>
        </w:trPr>
        <w:tc>
          <w:tcPr>
            <w:tcW w:w="3397" w:type="dxa"/>
          </w:tcPr>
          <w:p w14:paraId="3628F269" w14:textId="5B33A6C4" w:rsidR="004A6E6B"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t>În contextul proiectului</w:t>
            </w:r>
          </w:p>
        </w:tc>
        <w:tc>
          <w:tcPr>
            <w:tcW w:w="2977" w:type="dxa"/>
          </w:tcPr>
          <w:p w14:paraId="5BE882D4" w14:textId="77777777" w:rsidR="004A6E6B" w:rsidRPr="00457EC3" w:rsidRDefault="004A6E6B" w:rsidP="00650C80">
            <w:pPr>
              <w:pStyle w:val="p1"/>
              <w:jc w:val="center"/>
              <w:rPr>
                <w:b/>
                <w:color w:val="000000" w:themeColor="text1"/>
                <w:sz w:val="20"/>
                <w:szCs w:val="20"/>
                <w:lang w:val="ro-RO"/>
              </w:rPr>
            </w:pPr>
          </w:p>
        </w:tc>
        <w:tc>
          <w:tcPr>
            <w:tcW w:w="533" w:type="dxa"/>
          </w:tcPr>
          <w:p w14:paraId="01EFF34F" w14:textId="5FBBE6D5" w:rsidR="004A6E6B" w:rsidRDefault="004A6E6B"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12</w:t>
            </w:r>
          </w:p>
        </w:tc>
        <w:tc>
          <w:tcPr>
            <w:tcW w:w="3402" w:type="dxa"/>
          </w:tcPr>
          <w:p w14:paraId="6D55CD93" w14:textId="498526DC" w:rsidR="004A6E6B" w:rsidRPr="004A6E6B" w:rsidRDefault="004A6E6B" w:rsidP="004A6E6B">
            <w:pPr>
              <w:jc w:val="both"/>
              <w:rPr>
                <w:rFonts w:ascii="Times New Roman" w:hAnsi="Times New Roman" w:cs="Times New Roman"/>
                <w:sz w:val="20"/>
                <w:szCs w:val="20"/>
              </w:rPr>
            </w:pPr>
            <w:r w:rsidRPr="004A6E6B">
              <w:rPr>
                <w:rFonts w:ascii="Times New Roman" w:hAnsi="Times New Roman" w:cs="Times New Roman"/>
                <w:sz w:val="20"/>
                <w:szCs w:val="20"/>
              </w:rPr>
              <w:t>La anexa nr. 1</w:t>
            </w:r>
            <w:r>
              <w:rPr>
                <w:rFonts w:ascii="Times New Roman" w:hAnsi="Times New Roman" w:cs="Times New Roman"/>
                <w:sz w:val="20"/>
                <w:szCs w:val="20"/>
                <w:vertAlign w:val="superscript"/>
              </w:rPr>
              <w:t>1</w:t>
            </w:r>
            <w:r w:rsidRPr="004A6E6B">
              <w:rPr>
                <w:rFonts w:ascii="Times New Roman" w:hAnsi="Times New Roman" w:cs="Times New Roman"/>
                <w:sz w:val="20"/>
                <w:szCs w:val="20"/>
              </w:rPr>
              <w:t xml:space="preserve"> pct. 17 recomandăm excluderea exemplificărilor, dat fiind că nu sunt proprii actelor normative. De asemenea, se va exclude acronimul „etc.”, deoarece semnificaţia acestuia este periculoasă sub aspect de interpretare extensivă.</w:t>
            </w:r>
          </w:p>
        </w:tc>
        <w:tc>
          <w:tcPr>
            <w:tcW w:w="3436" w:type="dxa"/>
          </w:tcPr>
          <w:p w14:paraId="73817560" w14:textId="77777777" w:rsidR="00DA6616" w:rsidRPr="0078264B" w:rsidRDefault="00DA6616" w:rsidP="00DA6616">
            <w:pPr>
              <w:tabs>
                <w:tab w:val="left" w:pos="8505"/>
              </w:tabs>
              <w:jc w:val="both"/>
              <w:rPr>
                <w:rFonts w:ascii="Times New Roman" w:hAnsi="Times New Roman" w:cs="Times New Roman"/>
                <w:b/>
                <w:bCs/>
                <w:sz w:val="20"/>
                <w:szCs w:val="20"/>
                <w:lang w:val="ro-RO"/>
              </w:rPr>
            </w:pPr>
            <w:r w:rsidRPr="0078264B">
              <w:rPr>
                <w:rFonts w:ascii="Times New Roman" w:hAnsi="Times New Roman" w:cs="Times New Roman"/>
                <w:b/>
                <w:bCs/>
                <w:sz w:val="20"/>
                <w:szCs w:val="20"/>
                <w:lang w:val="ro-RO"/>
              </w:rPr>
              <w:t>Se acceptǎ</w:t>
            </w:r>
          </w:p>
          <w:p w14:paraId="0FBC833C" w14:textId="4880E9B2" w:rsidR="004A6E6B" w:rsidRDefault="00DA6616" w:rsidP="00DA6616">
            <w:pPr>
              <w:tabs>
                <w:tab w:val="left" w:pos="8505"/>
              </w:tabs>
              <w:jc w:val="both"/>
              <w:rPr>
                <w:rFonts w:ascii="Times New Roman" w:hAnsi="Times New Roman" w:cs="Times New Roman"/>
                <w:b/>
                <w:sz w:val="20"/>
                <w:szCs w:val="20"/>
                <w:lang w:val="ro-RO"/>
              </w:rPr>
            </w:pPr>
            <w:r w:rsidRPr="0078264B">
              <w:rPr>
                <w:rFonts w:ascii="Times New Roman" w:hAnsi="Times New Roman" w:cs="Times New Roman"/>
                <w:sz w:val="20"/>
                <w:szCs w:val="20"/>
                <w:lang w:val="ro-RO"/>
              </w:rPr>
              <w:t>Au fost operate modificările propuse</w:t>
            </w:r>
            <w:r>
              <w:rPr>
                <w:rFonts w:ascii="Times New Roman" w:hAnsi="Times New Roman" w:cs="Times New Roman"/>
                <w:sz w:val="20"/>
                <w:szCs w:val="20"/>
                <w:lang w:val="ro-RO"/>
              </w:rPr>
              <w:t>.</w:t>
            </w:r>
          </w:p>
        </w:tc>
      </w:tr>
      <w:tr w:rsidR="004A6E6B" w:rsidRPr="00457EC3" w14:paraId="17F31279" w14:textId="77777777" w:rsidTr="00A919EA">
        <w:trPr>
          <w:trHeight w:val="416"/>
        </w:trPr>
        <w:tc>
          <w:tcPr>
            <w:tcW w:w="3397" w:type="dxa"/>
          </w:tcPr>
          <w:p w14:paraId="31A6E8A8" w14:textId="6B6DB68F" w:rsidR="004A6E6B"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t>În contextul proiectului</w:t>
            </w:r>
          </w:p>
        </w:tc>
        <w:tc>
          <w:tcPr>
            <w:tcW w:w="2977" w:type="dxa"/>
          </w:tcPr>
          <w:p w14:paraId="6B384C65" w14:textId="77777777" w:rsidR="004A6E6B" w:rsidRPr="00457EC3" w:rsidRDefault="004A6E6B" w:rsidP="00650C80">
            <w:pPr>
              <w:pStyle w:val="p1"/>
              <w:jc w:val="center"/>
              <w:rPr>
                <w:b/>
                <w:color w:val="000000" w:themeColor="text1"/>
                <w:sz w:val="20"/>
                <w:szCs w:val="20"/>
                <w:lang w:val="ro-RO"/>
              </w:rPr>
            </w:pPr>
          </w:p>
        </w:tc>
        <w:tc>
          <w:tcPr>
            <w:tcW w:w="533" w:type="dxa"/>
          </w:tcPr>
          <w:p w14:paraId="69D7B6F3" w14:textId="5C157158" w:rsidR="004A6E6B" w:rsidRDefault="004A6E6B"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13</w:t>
            </w:r>
          </w:p>
        </w:tc>
        <w:tc>
          <w:tcPr>
            <w:tcW w:w="3402" w:type="dxa"/>
          </w:tcPr>
          <w:p w14:paraId="139276A6" w14:textId="2650F0AF" w:rsidR="004A6E6B" w:rsidRPr="004A6E6B" w:rsidRDefault="004A6E6B" w:rsidP="004A6E6B">
            <w:pPr>
              <w:jc w:val="both"/>
              <w:rPr>
                <w:rFonts w:ascii="Times New Roman" w:hAnsi="Times New Roman" w:cs="Times New Roman"/>
                <w:sz w:val="20"/>
                <w:szCs w:val="20"/>
              </w:rPr>
            </w:pPr>
            <w:r>
              <w:rPr>
                <w:rFonts w:ascii="Times New Roman" w:hAnsi="Times New Roman" w:cs="Times New Roman"/>
                <w:sz w:val="20"/>
                <w:szCs w:val="20"/>
              </w:rPr>
              <w:t>La anexele nr. 2</w:t>
            </w:r>
            <w:r>
              <w:rPr>
                <w:rFonts w:ascii="Times New Roman" w:hAnsi="Times New Roman" w:cs="Times New Roman"/>
                <w:sz w:val="20"/>
                <w:szCs w:val="20"/>
                <w:vertAlign w:val="superscript"/>
              </w:rPr>
              <w:t>2</w:t>
            </w:r>
            <w:r w:rsidRPr="004A6E6B">
              <w:rPr>
                <w:rFonts w:ascii="Times New Roman" w:hAnsi="Times New Roman" w:cs="Times New Roman"/>
                <w:sz w:val="20"/>
                <w:szCs w:val="20"/>
              </w:rPr>
              <w:t>, 2</w:t>
            </w:r>
            <w:r>
              <w:rPr>
                <w:rFonts w:ascii="Times New Roman" w:hAnsi="Times New Roman" w:cs="Times New Roman"/>
                <w:sz w:val="20"/>
                <w:szCs w:val="20"/>
                <w:vertAlign w:val="superscript"/>
              </w:rPr>
              <w:t>3</w:t>
            </w:r>
            <w:r w:rsidRPr="004A6E6B">
              <w:rPr>
                <w:rFonts w:ascii="Times New Roman" w:hAnsi="Times New Roman" w:cs="Times New Roman"/>
                <w:sz w:val="20"/>
                <w:szCs w:val="20"/>
              </w:rPr>
              <w:t xml:space="preserve"> și 2</w:t>
            </w:r>
            <w:r>
              <w:rPr>
                <w:rFonts w:ascii="Times New Roman" w:hAnsi="Times New Roman" w:cs="Times New Roman"/>
                <w:sz w:val="20"/>
                <w:szCs w:val="20"/>
                <w:vertAlign w:val="superscript"/>
              </w:rPr>
              <w:t>6</w:t>
            </w:r>
            <w:r w:rsidRPr="004A6E6B">
              <w:rPr>
                <w:rFonts w:ascii="Times New Roman" w:hAnsi="Times New Roman" w:cs="Times New Roman"/>
                <w:sz w:val="20"/>
                <w:szCs w:val="20"/>
              </w:rPr>
              <w:t xml:space="preserve"> precizăm că asteriscul nu este specific pentru utilizare în cazul actelor normative. Referitor la textul explicativ care urmează tabelul, menționăm că potrivit art. 49 alin. (5) al Legii nr. 100/2017, exprimările cifrice, tabelele, planurile şi altele asemenea, care sunt incluse în anexe, pot fi urmate de explicații suplimentare, care se notează cu indici numerici, în ordinea în care au fost enunțate în textul anexei (spre ex. 1, 2, 3…).</w:t>
            </w:r>
          </w:p>
        </w:tc>
        <w:tc>
          <w:tcPr>
            <w:tcW w:w="3436" w:type="dxa"/>
          </w:tcPr>
          <w:p w14:paraId="4A4F0415" w14:textId="77777777" w:rsidR="00DA6616" w:rsidRPr="0078264B" w:rsidRDefault="00DA6616" w:rsidP="00DA6616">
            <w:pPr>
              <w:tabs>
                <w:tab w:val="left" w:pos="8505"/>
              </w:tabs>
              <w:jc w:val="both"/>
              <w:rPr>
                <w:rFonts w:ascii="Times New Roman" w:hAnsi="Times New Roman" w:cs="Times New Roman"/>
                <w:b/>
                <w:bCs/>
                <w:sz w:val="20"/>
                <w:szCs w:val="20"/>
                <w:lang w:val="ro-RO"/>
              </w:rPr>
            </w:pPr>
            <w:r w:rsidRPr="0078264B">
              <w:rPr>
                <w:rFonts w:ascii="Times New Roman" w:hAnsi="Times New Roman" w:cs="Times New Roman"/>
                <w:b/>
                <w:bCs/>
                <w:sz w:val="20"/>
                <w:szCs w:val="20"/>
                <w:lang w:val="ro-RO"/>
              </w:rPr>
              <w:t>Se acceptǎ</w:t>
            </w:r>
          </w:p>
          <w:p w14:paraId="74DE8722" w14:textId="545C8407" w:rsidR="004A6E6B" w:rsidRDefault="00DA6616" w:rsidP="00DA6616">
            <w:pPr>
              <w:tabs>
                <w:tab w:val="left" w:pos="8505"/>
              </w:tabs>
              <w:jc w:val="both"/>
              <w:rPr>
                <w:rFonts w:ascii="Times New Roman" w:hAnsi="Times New Roman" w:cs="Times New Roman"/>
                <w:b/>
                <w:sz w:val="20"/>
                <w:szCs w:val="20"/>
                <w:lang w:val="ro-RO"/>
              </w:rPr>
            </w:pPr>
            <w:r w:rsidRPr="0078264B">
              <w:rPr>
                <w:rFonts w:ascii="Times New Roman" w:hAnsi="Times New Roman" w:cs="Times New Roman"/>
                <w:sz w:val="20"/>
                <w:szCs w:val="20"/>
                <w:lang w:val="ro-RO"/>
              </w:rPr>
              <w:t>Au fost operate modificările propuse</w:t>
            </w:r>
            <w:r>
              <w:rPr>
                <w:rFonts w:ascii="Times New Roman" w:hAnsi="Times New Roman" w:cs="Times New Roman"/>
                <w:sz w:val="20"/>
                <w:szCs w:val="20"/>
                <w:lang w:val="ro-RO"/>
              </w:rPr>
              <w:t>.</w:t>
            </w:r>
          </w:p>
        </w:tc>
      </w:tr>
      <w:tr w:rsidR="004A6E6B" w:rsidRPr="00457EC3" w14:paraId="21E59AC5" w14:textId="77777777" w:rsidTr="00A919EA">
        <w:trPr>
          <w:trHeight w:val="416"/>
        </w:trPr>
        <w:tc>
          <w:tcPr>
            <w:tcW w:w="3397" w:type="dxa"/>
          </w:tcPr>
          <w:p w14:paraId="2FB2C8C4" w14:textId="1509C665" w:rsidR="004A6E6B"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t>În contextul proiectului</w:t>
            </w:r>
          </w:p>
        </w:tc>
        <w:tc>
          <w:tcPr>
            <w:tcW w:w="2977" w:type="dxa"/>
          </w:tcPr>
          <w:p w14:paraId="78CCE65C" w14:textId="77777777" w:rsidR="004A6E6B" w:rsidRPr="00457EC3" w:rsidRDefault="004A6E6B" w:rsidP="00650C80">
            <w:pPr>
              <w:pStyle w:val="p1"/>
              <w:jc w:val="center"/>
              <w:rPr>
                <w:b/>
                <w:color w:val="000000" w:themeColor="text1"/>
                <w:sz w:val="20"/>
                <w:szCs w:val="20"/>
                <w:lang w:val="ro-RO"/>
              </w:rPr>
            </w:pPr>
          </w:p>
        </w:tc>
        <w:tc>
          <w:tcPr>
            <w:tcW w:w="533" w:type="dxa"/>
          </w:tcPr>
          <w:p w14:paraId="67AE4B7C" w14:textId="633EEF9B" w:rsidR="004A6E6B" w:rsidRDefault="004A6E6B"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14</w:t>
            </w:r>
          </w:p>
        </w:tc>
        <w:tc>
          <w:tcPr>
            <w:tcW w:w="3402" w:type="dxa"/>
          </w:tcPr>
          <w:p w14:paraId="2492BBD3" w14:textId="64F256DA" w:rsidR="004A6E6B" w:rsidRDefault="004A6E6B" w:rsidP="004A6E6B">
            <w:pPr>
              <w:jc w:val="both"/>
              <w:rPr>
                <w:rFonts w:ascii="Times New Roman" w:hAnsi="Times New Roman" w:cs="Times New Roman"/>
                <w:sz w:val="20"/>
                <w:szCs w:val="20"/>
              </w:rPr>
            </w:pPr>
            <w:r>
              <w:rPr>
                <w:rFonts w:ascii="Times New Roman" w:hAnsi="Times New Roman" w:cs="Times New Roman"/>
                <w:sz w:val="20"/>
                <w:szCs w:val="20"/>
              </w:rPr>
              <w:t>La anexele nr. 2</w:t>
            </w:r>
            <w:r>
              <w:rPr>
                <w:rFonts w:ascii="Times New Roman" w:hAnsi="Times New Roman" w:cs="Times New Roman"/>
                <w:sz w:val="20"/>
                <w:szCs w:val="20"/>
                <w:vertAlign w:val="superscript"/>
              </w:rPr>
              <w:t>5</w:t>
            </w:r>
            <w:r w:rsidRPr="004A6E6B">
              <w:rPr>
                <w:rFonts w:ascii="Times New Roman" w:hAnsi="Times New Roman" w:cs="Times New Roman"/>
                <w:sz w:val="20"/>
                <w:szCs w:val="20"/>
              </w:rPr>
              <w:t xml:space="preserve"> și nr. 4 se va ține cont că „notele” nu sunt elemente structurale </w:t>
            </w:r>
            <w:r w:rsidRPr="004A6E6B">
              <w:rPr>
                <w:rFonts w:ascii="Times New Roman" w:hAnsi="Times New Roman" w:cs="Times New Roman"/>
                <w:sz w:val="20"/>
                <w:szCs w:val="20"/>
              </w:rPr>
              <w:lastRenderedPageBreak/>
              <w:t>ale actului normativ. Astfel, textul „Notă:” se va exclude.</w:t>
            </w:r>
          </w:p>
        </w:tc>
        <w:tc>
          <w:tcPr>
            <w:tcW w:w="3436" w:type="dxa"/>
          </w:tcPr>
          <w:p w14:paraId="2D9FE2BB" w14:textId="77777777" w:rsidR="00DA6616" w:rsidRPr="0078264B" w:rsidRDefault="00DA6616" w:rsidP="00DA6616">
            <w:pPr>
              <w:tabs>
                <w:tab w:val="left" w:pos="8505"/>
              </w:tabs>
              <w:jc w:val="both"/>
              <w:rPr>
                <w:rFonts w:ascii="Times New Roman" w:hAnsi="Times New Roman" w:cs="Times New Roman"/>
                <w:b/>
                <w:bCs/>
                <w:sz w:val="20"/>
                <w:szCs w:val="20"/>
                <w:lang w:val="ro-RO"/>
              </w:rPr>
            </w:pPr>
            <w:r w:rsidRPr="0078264B">
              <w:rPr>
                <w:rFonts w:ascii="Times New Roman" w:hAnsi="Times New Roman" w:cs="Times New Roman"/>
                <w:b/>
                <w:bCs/>
                <w:sz w:val="20"/>
                <w:szCs w:val="20"/>
                <w:lang w:val="ro-RO"/>
              </w:rPr>
              <w:lastRenderedPageBreak/>
              <w:t>Se acceptǎ</w:t>
            </w:r>
          </w:p>
          <w:p w14:paraId="2C3C5715" w14:textId="69C9F354" w:rsidR="004A6E6B" w:rsidRDefault="00DA6616" w:rsidP="00DA6616">
            <w:pPr>
              <w:tabs>
                <w:tab w:val="left" w:pos="8505"/>
              </w:tabs>
              <w:jc w:val="both"/>
              <w:rPr>
                <w:rFonts w:ascii="Times New Roman" w:hAnsi="Times New Roman" w:cs="Times New Roman"/>
                <w:b/>
                <w:sz w:val="20"/>
                <w:szCs w:val="20"/>
                <w:lang w:val="ro-RO"/>
              </w:rPr>
            </w:pPr>
            <w:r w:rsidRPr="0078264B">
              <w:rPr>
                <w:rFonts w:ascii="Times New Roman" w:hAnsi="Times New Roman" w:cs="Times New Roman"/>
                <w:sz w:val="20"/>
                <w:szCs w:val="20"/>
                <w:lang w:val="ro-RO"/>
              </w:rPr>
              <w:t>Au fost operate modificările propuse</w:t>
            </w:r>
            <w:r>
              <w:rPr>
                <w:rFonts w:ascii="Times New Roman" w:hAnsi="Times New Roman" w:cs="Times New Roman"/>
                <w:sz w:val="20"/>
                <w:szCs w:val="20"/>
                <w:lang w:val="ro-RO"/>
              </w:rPr>
              <w:t>.</w:t>
            </w:r>
          </w:p>
        </w:tc>
      </w:tr>
      <w:tr w:rsidR="004A6E6B" w:rsidRPr="00457EC3" w14:paraId="34F6B44B" w14:textId="77777777" w:rsidTr="00A919EA">
        <w:trPr>
          <w:trHeight w:val="416"/>
        </w:trPr>
        <w:tc>
          <w:tcPr>
            <w:tcW w:w="3397" w:type="dxa"/>
          </w:tcPr>
          <w:p w14:paraId="3088FAFD" w14:textId="39F4EEE6" w:rsidR="004A6E6B"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lastRenderedPageBreak/>
              <w:t>În contextul proiectului</w:t>
            </w:r>
          </w:p>
        </w:tc>
        <w:tc>
          <w:tcPr>
            <w:tcW w:w="2977" w:type="dxa"/>
          </w:tcPr>
          <w:p w14:paraId="121197AA" w14:textId="77777777" w:rsidR="004A6E6B" w:rsidRPr="00457EC3" w:rsidRDefault="004A6E6B" w:rsidP="00650C80">
            <w:pPr>
              <w:pStyle w:val="p1"/>
              <w:jc w:val="center"/>
              <w:rPr>
                <w:b/>
                <w:color w:val="000000" w:themeColor="text1"/>
                <w:sz w:val="20"/>
                <w:szCs w:val="20"/>
                <w:lang w:val="ro-RO"/>
              </w:rPr>
            </w:pPr>
          </w:p>
        </w:tc>
        <w:tc>
          <w:tcPr>
            <w:tcW w:w="533" w:type="dxa"/>
          </w:tcPr>
          <w:p w14:paraId="47F40520" w14:textId="703CC92C" w:rsidR="004A6E6B" w:rsidRDefault="004A6E6B"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15</w:t>
            </w:r>
          </w:p>
        </w:tc>
        <w:tc>
          <w:tcPr>
            <w:tcW w:w="3402" w:type="dxa"/>
          </w:tcPr>
          <w:p w14:paraId="77756CD5" w14:textId="02ED275F" w:rsidR="004A6E6B" w:rsidRDefault="004A6E6B" w:rsidP="004A6E6B">
            <w:pPr>
              <w:jc w:val="both"/>
              <w:rPr>
                <w:rFonts w:ascii="Times New Roman" w:hAnsi="Times New Roman" w:cs="Times New Roman"/>
                <w:sz w:val="20"/>
                <w:szCs w:val="20"/>
              </w:rPr>
            </w:pPr>
            <w:r w:rsidRPr="004A6E6B">
              <w:rPr>
                <w:rFonts w:ascii="Times New Roman" w:hAnsi="Times New Roman" w:cs="Times New Roman"/>
                <w:sz w:val="20"/>
                <w:szCs w:val="20"/>
              </w:rPr>
              <w:t>De asemenea, la anexa nr. 4 pct. 4 referitor la utilizarea abrevierii „JOUE” menționăm că potrivit art. 54 alin. (1) lit. i) din Legea nr. 100/2017 cu privire la actele normative, exprimarea prin abrevieri a unor denumiri sau termeni se poate face numai după explicarea acestora în text, la prima folosire.</w:t>
            </w:r>
          </w:p>
        </w:tc>
        <w:tc>
          <w:tcPr>
            <w:tcW w:w="3436" w:type="dxa"/>
          </w:tcPr>
          <w:p w14:paraId="79A3856D" w14:textId="77777777" w:rsidR="00DA6616" w:rsidRPr="0078264B" w:rsidRDefault="00DA6616" w:rsidP="00DA6616">
            <w:pPr>
              <w:tabs>
                <w:tab w:val="left" w:pos="8505"/>
              </w:tabs>
              <w:jc w:val="both"/>
              <w:rPr>
                <w:rFonts w:ascii="Times New Roman" w:hAnsi="Times New Roman" w:cs="Times New Roman"/>
                <w:b/>
                <w:bCs/>
                <w:sz w:val="20"/>
                <w:szCs w:val="20"/>
                <w:lang w:val="ro-RO"/>
              </w:rPr>
            </w:pPr>
            <w:r w:rsidRPr="0078264B">
              <w:rPr>
                <w:rFonts w:ascii="Times New Roman" w:hAnsi="Times New Roman" w:cs="Times New Roman"/>
                <w:b/>
                <w:bCs/>
                <w:sz w:val="20"/>
                <w:szCs w:val="20"/>
                <w:lang w:val="ro-RO"/>
              </w:rPr>
              <w:t>Se acceptǎ</w:t>
            </w:r>
          </w:p>
          <w:p w14:paraId="6EDD258E" w14:textId="1142ADFF" w:rsidR="004A6E6B" w:rsidRDefault="00DA6616" w:rsidP="00DA6616">
            <w:pPr>
              <w:tabs>
                <w:tab w:val="left" w:pos="8505"/>
              </w:tabs>
              <w:jc w:val="both"/>
              <w:rPr>
                <w:rFonts w:ascii="Times New Roman" w:hAnsi="Times New Roman" w:cs="Times New Roman"/>
                <w:b/>
                <w:sz w:val="20"/>
                <w:szCs w:val="20"/>
                <w:lang w:val="ro-RO"/>
              </w:rPr>
            </w:pPr>
            <w:r w:rsidRPr="0078264B">
              <w:rPr>
                <w:rFonts w:ascii="Times New Roman" w:hAnsi="Times New Roman" w:cs="Times New Roman"/>
                <w:sz w:val="20"/>
                <w:szCs w:val="20"/>
                <w:lang w:val="ro-RO"/>
              </w:rPr>
              <w:t>Au fost operate modificările propuse</w:t>
            </w:r>
            <w:r>
              <w:rPr>
                <w:rFonts w:ascii="Times New Roman" w:hAnsi="Times New Roman" w:cs="Times New Roman"/>
                <w:sz w:val="20"/>
                <w:szCs w:val="20"/>
                <w:lang w:val="ro-RO"/>
              </w:rPr>
              <w:t>.</w:t>
            </w:r>
          </w:p>
        </w:tc>
      </w:tr>
      <w:tr w:rsidR="004A6E6B" w:rsidRPr="00457EC3" w14:paraId="063EB891" w14:textId="77777777" w:rsidTr="00A919EA">
        <w:trPr>
          <w:trHeight w:val="416"/>
        </w:trPr>
        <w:tc>
          <w:tcPr>
            <w:tcW w:w="3397" w:type="dxa"/>
          </w:tcPr>
          <w:p w14:paraId="307F609E" w14:textId="0DCABFE4" w:rsidR="004A6E6B"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t>În contextul proiectului</w:t>
            </w:r>
          </w:p>
        </w:tc>
        <w:tc>
          <w:tcPr>
            <w:tcW w:w="2977" w:type="dxa"/>
          </w:tcPr>
          <w:p w14:paraId="21AA61C5" w14:textId="77777777" w:rsidR="004A6E6B" w:rsidRPr="00457EC3" w:rsidRDefault="004A6E6B" w:rsidP="00650C80">
            <w:pPr>
              <w:pStyle w:val="p1"/>
              <w:jc w:val="center"/>
              <w:rPr>
                <w:b/>
                <w:color w:val="000000" w:themeColor="text1"/>
                <w:sz w:val="20"/>
                <w:szCs w:val="20"/>
                <w:lang w:val="ro-RO"/>
              </w:rPr>
            </w:pPr>
          </w:p>
        </w:tc>
        <w:tc>
          <w:tcPr>
            <w:tcW w:w="533" w:type="dxa"/>
          </w:tcPr>
          <w:p w14:paraId="20758A46" w14:textId="68BD7844" w:rsidR="004A6E6B" w:rsidRDefault="004A6E6B"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16</w:t>
            </w:r>
          </w:p>
        </w:tc>
        <w:tc>
          <w:tcPr>
            <w:tcW w:w="3402" w:type="dxa"/>
          </w:tcPr>
          <w:p w14:paraId="584672C0" w14:textId="67663F8E" w:rsidR="004A6E6B" w:rsidRPr="004A6E6B" w:rsidRDefault="004A6E6B" w:rsidP="004A6E6B">
            <w:pPr>
              <w:jc w:val="both"/>
              <w:rPr>
                <w:rFonts w:ascii="Times New Roman" w:hAnsi="Times New Roman" w:cs="Times New Roman"/>
                <w:sz w:val="20"/>
                <w:szCs w:val="20"/>
              </w:rPr>
            </w:pPr>
            <w:r w:rsidRPr="004A6E6B">
              <w:rPr>
                <w:rFonts w:ascii="Times New Roman" w:hAnsi="Times New Roman" w:cs="Times New Roman"/>
                <w:sz w:val="20"/>
                <w:szCs w:val="20"/>
              </w:rPr>
              <w:t>La pct. 3 cuvântul „punctelor” se va substitui cu cuvântul „subpunctelor”.</w:t>
            </w:r>
          </w:p>
        </w:tc>
        <w:tc>
          <w:tcPr>
            <w:tcW w:w="3436" w:type="dxa"/>
          </w:tcPr>
          <w:p w14:paraId="725A66B1" w14:textId="77777777" w:rsidR="00DA6616" w:rsidRPr="0078264B" w:rsidRDefault="00DA6616" w:rsidP="00DA6616">
            <w:pPr>
              <w:tabs>
                <w:tab w:val="left" w:pos="8505"/>
              </w:tabs>
              <w:jc w:val="both"/>
              <w:rPr>
                <w:rFonts w:ascii="Times New Roman" w:hAnsi="Times New Roman" w:cs="Times New Roman"/>
                <w:b/>
                <w:bCs/>
                <w:sz w:val="20"/>
                <w:szCs w:val="20"/>
                <w:lang w:val="ro-RO"/>
              </w:rPr>
            </w:pPr>
            <w:r w:rsidRPr="0078264B">
              <w:rPr>
                <w:rFonts w:ascii="Times New Roman" w:hAnsi="Times New Roman" w:cs="Times New Roman"/>
                <w:b/>
                <w:bCs/>
                <w:sz w:val="20"/>
                <w:szCs w:val="20"/>
                <w:lang w:val="ro-RO"/>
              </w:rPr>
              <w:t>Se acceptǎ</w:t>
            </w:r>
          </w:p>
          <w:p w14:paraId="21AD08FE" w14:textId="11228DD6" w:rsidR="004A6E6B" w:rsidRDefault="00DA6616" w:rsidP="00DA6616">
            <w:pPr>
              <w:tabs>
                <w:tab w:val="left" w:pos="8505"/>
              </w:tabs>
              <w:jc w:val="both"/>
              <w:rPr>
                <w:rFonts w:ascii="Times New Roman" w:hAnsi="Times New Roman" w:cs="Times New Roman"/>
                <w:b/>
                <w:sz w:val="20"/>
                <w:szCs w:val="20"/>
                <w:lang w:val="ro-RO"/>
              </w:rPr>
            </w:pPr>
            <w:r w:rsidRPr="0078264B">
              <w:rPr>
                <w:rFonts w:ascii="Times New Roman" w:hAnsi="Times New Roman" w:cs="Times New Roman"/>
                <w:sz w:val="20"/>
                <w:szCs w:val="20"/>
                <w:lang w:val="ro-RO"/>
              </w:rPr>
              <w:t>Au fost operate modificările propuse</w:t>
            </w:r>
            <w:r>
              <w:rPr>
                <w:rFonts w:ascii="Times New Roman" w:hAnsi="Times New Roman" w:cs="Times New Roman"/>
                <w:sz w:val="20"/>
                <w:szCs w:val="20"/>
                <w:lang w:val="ro-RO"/>
              </w:rPr>
              <w:t>.</w:t>
            </w:r>
          </w:p>
        </w:tc>
      </w:tr>
      <w:tr w:rsidR="004A6E6B" w:rsidRPr="00457EC3" w14:paraId="18491F39" w14:textId="77777777" w:rsidTr="00A919EA">
        <w:trPr>
          <w:trHeight w:val="416"/>
        </w:trPr>
        <w:tc>
          <w:tcPr>
            <w:tcW w:w="3397" w:type="dxa"/>
          </w:tcPr>
          <w:p w14:paraId="652D15FE" w14:textId="6EB19C3E" w:rsidR="004A6E6B"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t>În contextul proiectului</w:t>
            </w:r>
          </w:p>
        </w:tc>
        <w:tc>
          <w:tcPr>
            <w:tcW w:w="2977" w:type="dxa"/>
          </w:tcPr>
          <w:p w14:paraId="0DB18E90" w14:textId="77777777" w:rsidR="004A6E6B" w:rsidRPr="00457EC3" w:rsidRDefault="004A6E6B" w:rsidP="00650C80">
            <w:pPr>
              <w:pStyle w:val="p1"/>
              <w:jc w:val="center"/>
              <w:rPr>
                <w:b/>
                <w:color w:val="000000" w:themeColor="text1"/>
                <w:sz w:val="20"/>
                <w:szCs w:val="20"/>
                <w:lang w:val="ro-RO"/>
              </w:rPr>
            </w:pPr>
          </w:p>
        </w:tc>
        <w:tc>
          <w:tcPr>
            <w:tcW w:w="533" w:type="dxa"/>
          </w:tcPr>
          <w:p w14:paraId="6FB6E341" w14:textId="4B18CD30" w:rsidR="004A6E6B" w:rsidRDefault="004A6E6B"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17</w:t>
            </w:r>
          </w:p>
        </w:tc>
        <w:tc>
          <w:tcPr>
            <w:tcW w:w="3402" w:type="dxa"/>
          </w:tcPr>
          <w:p w14:paraId="5639369D" w14:textId="39B62639" w:rsidR="004A6E6B" w:rsidRPr="004A6E6B" w:rsidRDefault="004A6E6B" w:rsidP="004A6E6B">
            <w:pPr>
              <w:jc w:val="both"/>
              <w:rPr>
                <w:rFonts w:ascii="Times New Roman" w:hAnsi="Times New Roman" w:cs="Times New Roman"/>
                <w:sz w:val="20"/>
                <w:szCs w:val="20"/>
              </w:rPr>
            </w:pPr>
            <w:r w:rsidRPr="004A6E6B">
              <w:rPr>
                <w:rFonts w:ascii="Times New Roman" w:hAnsi="Times New Roman" w:cs="Times New Roman"/>
                <w:sz w:val="20"/>
                <w:szCs w:val="20"/>
              </w:rPr>
              <w:t>Adițional, în proiect se va revedea corectitudinea utilizării termenilor „factură de plată” și „factură”, or, potrivit Codului fiscal formularul tipizat de document primar cu regim special, pe suport de hîrtie sau în formă electronică, prezentat cumpărătorului (beneficiarului) la livrare de mărfuri, servicii este factura fiscală.</w:t>
            </w:r>
          </w:p>
        </w:tc>
        <w:tc>
          <w:tcPr>
            <w:tcW w:w="3436" w:type="dxa"/>
          </w:tcPr>
          <w:p w14:paraId="53A037E0" w14:textId="77777777" w:rsidR="00102D26" w:rsidRPr="0078264B" w:rsidRDefault="00102D26" w:rsidP="00102D26">
            <w:pPr>
              <w:tabs>
                <w:tab w:val="left" w:pos="8505"/>
              </w:tabs>
              <w:jc w:val="both"/>
              <w:rPr>
                <w:rFonts w:ascii="Times New Roman" w:hAnsi="Times New Roman" w:cs="Times New Roman"/>
                <w:b/>
                <w:bCs/>
                <w:sz w:val="20"/>
                <w:szCs w:val="20"/>
                <w:lang w:val="ro-RO"/>
              </w:rPr>
            </w:pPr>
            <w:r w:rsidRPr="0078264B">
              <w:rPr>
                <w:rFonts w:ascii="Times New Roman" w:hAnsi="Times New Roman" w:cs="Times New Roman"/>
                <w:b/>
                <w:bCs/>
                <w:sz w:val="20"/>
                <w:szCs w:val="20"/>
                <w:lang w:val="ro-RO"/>
              </w:rPr>
              <w:t>Se acceptǎ</w:t>
            </w:r>
          </w:p>
          <w:p w14:paraId="3FCF9341" w14:textId="77777777" w:rsidR="00253F55" w:rsidRPr="00253F55" w:rsidRDefault="00253F55" w:rsidP="00253F55">
            <w:pPr>
              <w:tabs>
                <w:tab w:val="left" w:pos="8505"/>
              </w:tabs>
              <w:jc w:val="both"/>
              <w:rPr>
                <w:rFonts w:ascii="Times New Roman" w:hAnsi="Times New Roman" w:cs="Times New Roman"/>
                <w:sz w:val="20"/>
                <w:szCs w:val="20"/>
              </w:rPr>
            </w:pPr>
            <w:r w:rsidRPr="00253F55">
              <w:rPr>
                <w:rFonts w:ascii="Times New Roman" w:hAnsi="Times New Roman" w:cs="Times New Roman"/>
                <w:sz w:val="20"/>
                <w:szCs w:val="20"/>
              </w:rPr>
              <w:t>Se acceptă observația privind necesitatea clarificării utilizării sintagmelor „factură de plată” și „factură”, precum și revizuirea corectitudinii utilizării termenilor menționați, în vederea asigurării coerenței terminologice și a corelării interne a actului normativ.</w:t>
            </w:r>
          </w:p>
          <w:p w14:paraId="6BF10491" w14:textId="50479BF4" w:rsidR="00253F55" w:rsidRDefault="00253F55" w:rsidP="00253F55">
            <w:pPr>
              <w:tabs>
                <w:tab w:val="left" w:pos="8505"/>
              </w:tabs>
              <w:jc w:val="both"/>
              <w:rPr>
                <w:rFonts w:ascii="Times New Roman" w:hAnsi="Times New Roman" w:cs="Times New Roman"/>
                <w:b/>
                <w:sz w:val="20"/>
                <w:szCs w:val="20"/>
                <w:lang w:val="ro-RO"/>
              </w:rPr>
            </w:pPr>
            <w:r w:rsidRPr="00253F55">
              <w:rPr>
                <w:rFonts w:ascii="Times New Roman" w:hAnsi="Times New Roman" w:cs="Times New Roman"/>
                <w:sz w:val="20"/>
                <w:szCs w:val="20"/>
              </w:rPr>
              <w:t>În acest sens, punctele 57¹ și 9 au fost reformulate corespunzător.</w:t>
            </w:r>
          </w:p>
        </w:tc>
      </w:tr>
      <w:tr w:rsidR="00C53832" w:rsidRPr="00457EC3" w14:paraId="4C5F5E50" w14:textId="77777777" w:rsidTr="00A919EA">
        <w:trPr>
          <w:trHeight w:val="416"/>
        </w:trPr>
        <w:tc>
          <w:tcPr>
            <w:tcW w:w="3397" w:type="dxa"/>
          </w:tcPr>
          <w:p w14:paraId="2CF6DFA8" w14:textId="77777777" w:rsidR="00C53832" w:rsidRPr="00F9367D" w:rsidRDefault="00C53832" w:rsidP="00650C80">
            <w:pPr>
              <w:tabs>
                <w:tab w:val="left" w:pos="8505"/>
              </w:tabs>
              <w:jc w:val="both"/>
              <w:rPr>
                <w:rFonts w:ascii="Times New Roman" w:hAnsi="Times New Roman" w:cs="Times New Roman"/>
                <w:b/>
                <w:sz w:val="20"/>
                <w:szCs w:val="20"/>
                <w:lang w:val="ro-RO"/>
              </w:rPr>
            </w:pPr>
          </w:p>
        </w:tc>
        <w:tc>
          <w:tcPr>
            <w:tcW w:w="2977" w:type="dxa"/>
          </w:tcPr>
          <w:p w14:paraId="15EEEB87" w14:textId="26FC10F9" w:rsidR="00C53832" w:rsidRPr="00457EC3" w:rsidRDefault="00C53832" w:rsidP="00650C80">
            <w:pPr>
              <w:pStyle w:val="p1"/>
              <w:jc w:val="center"/>
              <w:rPr>
                <w:b/>
                <w:color w:val="000000" w:themeColor="text1"/>
                <w:sz w:val="20"/>
                <w:szCs w:val="20"/>
                <w:lang w:val="ro-RO"/>
              </w:rPr>
            </w:pPr>
            <w:r w:rsidRPr="00C53832">
              <w:rPr>
                <w:b/>
                <w:color w:val="000000" w:themeColor="text1"/>
                <w:sz w:val="20"/>
                <w:szCs w:val="20"/>
              </w:rPr>
              <w:t>Centrul Național Anticorupție</w:t>
            </w:r>
            <w:r>
              <w:rPr>
                <w:b/>
                <w:color w:val="000000" w:themeColor="text1"/>
                <w:sz w:val="20"/>
                <w:szCs w:val="20"/>
              </w:rPr>
              <w:t xml:space="preserve"> (</w:t>
            </w:r>
            <w:r w:rsidRPr="00C53832">
              <w:rPr>
                <w:b/>
                <w:color w:val="000000" w:themeColor="text1"/>
                <w:sz w:val="20"/>
                <w:szCs w:val="20"/>
                <w:lang w:val="it-IT"/>
              </w:rPr>
              <w:t xml:space="preserve">scrisoarea nr. </w:t>
            </w:r>
            <w:r w:rsidRPr="00C53832">
              <w:rPr>
                <w:b/>
                <w:color w:val="000000" w:themeColor="text1"/>
                <w:sz w:val="20"/>
                <w:szCs w:val="20"/>
              </w:rPr>
              <w:t>06/2/9513 din 26.05.2026</w:t>
            </w:r>
            <w:r w:rsidRPr="00C53832">
              <w:rPr>
                <w:b/>
                <w:color w:val="000000" w:themeColor="text1"/>
                <w:sz w:val="20"/>
                <w:szCs w:val="20"/>
                <w:lang w:val="it-IT"/>
              </w:rPr>
              <w:t>)</w:t>
            </w:r>
          </w:p>
        </w:tc>
        <w:tc>
          <w:tcPr>
            <w:tcW w:w="533" w:type="dxa"/>
          </w:tcPr>
          <w:p w14:paraId="09CE5610" w14:textId="77777777" w:rsidR="00C53832" w:rsidRDefault="00C53832" w:rsidP="00650C80">
            <w:pPr>
              <w:tabs>
                <w:tab w:val="left" w:pos="8505"/>
              </w:tabs>
              <w:jc w:val="center"/>
              <w:rPr>
                <w:rFonts w:ascii="Times New Roman" w:hAnsi="Times New Roman" w:cs="Times New Roman"/>
                <w:b/>
                <w:sz w:val="20"/>
                <w:szCs w:val="20"/>
                <w:lang w:val="ro-RO"/>
              </w:rPr>
            </w:pPr>
          </w:p>
        </w:tc>
        <w:tc>
          <w:tcPr>
            <w:tcW w:w="3402" w:type="dxa"/>
          </w:tcPr>
          <w:p w14:paraId="4BC86A3F" w14:textId="77777777" w:rsidR="00C53832" w:rsidRPr="004A6E6B" w:rsidRDefault="00C53832" w:rsidP="004A6E6B">
            <w:pPr>
              <w:jc w:val="both"/>
              <w:rPr>
                <w:rFonts w:ascii="Times New Roman" w:hAnsi="Times New Roman" w:cs="Times New Roman"/>
                <w:sz w:val="20"/>
                <w:szCs w:val="20"/>
              </w:rPr>
            </w:pPr>
          </w:p>
        </w:tc>
        <w:tc>
          <w:tcPr>
            <w:tcW w:w="3436" w:type="dxa"/>
          </w:tcPr>
          <w:p w14:paraId="62A0C2D5" w14:textId="77777777" w:rsidR="00C53832" w:rsidRDefault="00C53832" w:rsidP="00650C80">
            <w:pPr>
              <w:tabs>
                <w:tab w:val="left" w:pos="8505"/>
              </w:tabs>
              <w:jc w:val="both"/>
              <w:rPr>
                <w:rFonts w:ascii="Times New Roman" w:hAnsi="Times New Roman" w:cs="Times New Roman"/>
                <w:b/>
                <w:sz w:val="20"/>
                <w:szCs w:val="20"/>
                <w:lang w:val="ro-RO"/>
              </w:rPr>
            </w:pPr>
          </w:p>
        </w:tc>
      </w:tr>
      <w:tr w:rsidR="00C53832" w:rsidRPr="00457EC3" w14:paraId="033494B5" w14:textId="77777777" w:rsidTr="00A919EA">
        <w:trPr>
          <w:trHeight w:val="416"/>
        </w:trPr>
        <w:tc>
          <w:tcPr>
            <w:tcW w:w="3397" w:type="dxa"/>
          </w:tcPr>
          <w:p w14:paraId="4C606199" w14:textId="726C9206" w:rsidR="00C53832"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t>În contextul proiectului</w:t>
            </w:r>
          </w:p>
        </w:tc>
        <w:tc>
          <w:tcPr>
            <w:tcW w:w="2977" w:type="dxa"/>
          </w:tcPr>
          <w:p w14:paraId="288D17AE" w14:textId="77777777" w:rsidR="00C53832" w:rsidRPr="00457EC3" w:rsidRDefault="00C53832" w:rsidP="00650C80">
            <w:pPr>
              <w:pStyle w:val="p1"/>
              <w:jc w:val="center"/>
              <w:rPr>
                <w:b/>
                <w:color w:val="000000" w:themeColor="text1"/>
                <w:sz w:val="20"/>
                <w:szCs w:val="20"/>
                <w:lang w:val="ro-RO"/>
              </w:rPr>
            </w:pPr>
          </w:p>
        </w:tc>
        <w:tc>
          <w:tcPr>
            <w:tcW w:w="533" w:type="dxa"/>
          </w:tcPr>
          <w:p w14:paraId="47D233AB" w14:textId="07BE3386" w:rsidR="00C53832" w:rsidRDefault="00C53832"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1389ACEA" w14:textId="77777777" w:rsidR="00C53832" w:rsidRDefault="00EF406F" w:rsidP="00EF406F">
            <w:pPr>
              <w:jc w:val="both"/>
              <w:rPr>
                <w:rFonts w:ascii="Times New Roman" w:hAnsi="Times New Roman" w:cs="Times New Roman"/>
                <w:sz w:val="20"/>
                <w:szCs w:val="20"/>
              </w:rPr>
            </w:pPr>
            <w:r w:rsidRPr="00EF406F">
              <w:rPr>
                <w:rFonts w:ascii="Times New Roman" w:hAnsi="Times New Roman" w:cs="Times New Roman"/>
                <w:sz w:val="20"/>
                <w:szCs w:val="20"/>
              </w:rPr>
              <w:t>Punctul 27 va avea următorul cuprins: „27. Autoritatea/entita</w:t>
            </w:r>
            <w:r>
              <w:rPr>
                <w:rFonts w:ascii="Times New Roman" w:hAnsi="Times New Roman" w:cs="Times New Roman"/>
                <w:sz w:val="20"/>
                <w:szCs w:val="20"/>
              </w:rPr>
              <w:t xml:space="preserve">tea contractantă poate utiliza, </w:t>
            </w:r>
            <w:r w:rsidRPr="00EF406F">
              <w:rPr>
                <w:rFonts w:ascii="Times New Roman" w:hAnsi="Times New Roman" w:cs="Times New Roman"/>
                <w:sz w:val="20"/>
                <w:szCs w:val="20"/>
              </w:rPr>
              <w:t>după caz, formularele aprobate prin actele normative de im</w:t>
            </w:r>
            <w:r>
              <w:rPr>
                <w:rFonts w:ascii="Times New Roman" w:hAnsi="Times New Roman" w:cs="Times New Roman"/>
                <w:sz w:val="20"/>
                <w:szCs w:val="20"/>
              </w:rPr>
              <w:t xml:space="preserve">plementare a Legii nr. 325/2025 </w:t>
            </w:r>
            <w:r w:rsidRPr="00EF406F">
              <w:rPr>
                <w:rFonts w:ascii="Times New Roman" w:hAnsi="Times New Roman" w:cs="Times New Roman"/>
                <w:sz w:val="20"/>
                <w:szCs w:val="20"/>
              </w:rPr>
              <w:t>privind achizițiile publice și ale Legii nr. 74/2020 privind achizițiile î</w:t>
            </w:r>
            <w:r>
              <w:rPr>
                <w:rFonts w:ascii="Times New Roman" w:hAnsi="Times New Roman" w:cs="Times New Roman"/>
                <w:sz w:val="20"/>
                <w:szCs w:val="20"/>
              </w:rPr>
              <w:t xml:space="preserve">n sectoarele energeticii, apei, </w:t>
            </w:r>
            <w:r w:rsidRPr="00EF406F">
              <w:rPr>
                <w:rFonts w:ascii="Times New Roman" w:hAnsi="Times New Roman" w:cs="Times New Roman"/>
                <w:sz w:val="20"/>
                <w:szCs w:val="20"/>
              </w:rPr>
              <w:t>transporturilor și serviciilor poștale, având dreptul de a le ada</w:t>
            </w:r>
            <w:r>
              <w:rPr>
                <w:rFonts w:ascii="Times New Roman" w:hAnsi="Times New Roman" w:cs="Times New Roman"/>
                <w:sz w:val="20"/>
                <w:szCs w:val="20"/>
              </w:rPr>
              <w:t xml:space="preserve">pta și simplifica în funcție de </w:t>
            </w:r>
            <w:r w:rsidRPr="00EF406F">
              <w:rPr>
                <w:rFonts w:ascii="Times New Roman" w:hAnsi="Times New Roman" w:cs="Times New Roman"/>
                <w:sz w:val="20"/>
                <w:szCs w:val="20"/>
              </w:rPr>
              <w:t>specificul achiziției de valoare mică.”.</w:t>
            </w:r>
          </w:p>
          <w:p w14:paraId="5CF23CC1" w14:textId="77777777" w:rsidR="00EF406F" w:rsidRPr="00EF406F" w:rsidRDefault="00EF406F" w:rsidP="00EF406F">
            <w:pPr>
              <w:jc w:val="both"/>
              <w:rPr>
                <w:rFonts w:ascii="Times New Roman" w:hAnsi="Times New Roman" w:cs="Times New Roman"/>
                <w:b/>
                <w:bCs/>
                <w:sz w:val="20"/>
                <w:szCs w:val="20"/>
              </w:rPr>
            </w:pPr>
            <w:r w:rsidRPr="00EF406F">
              <w:rPr>
                <w:rFonts w:ascii="Times New Roman" w:hAnsi="Times New Roman" w:cs="Times New Roman"/>
                <w:b/>
                <w:bCs/>
                <w:sz w:val="20"/>
                <w:szCs w:val="20"/>
              </w:rPr>
              <w:t>Obiecții:</w:t>
            </w:r>
          </w:p>
          <w:p w14:paraId="446EC8E7" w14:textId="3586FC05" w:rsidR="00EF406F" w:rsidRPr="00EF406F" w:rsidRDefault="00EF406F" w:rsidP="00EF406F">
            <w:pPr>
              <w:jc w:val="both"/>
              <w:rPr>
                <w:rFonts w:ascii="Times New Roman" w:hAnsi="Times New Roman" w:cs="Times New Roman"/>
                <w:sz w:val="20"/>
                <w:szCs w:val="20"/>
              </w:rPr>
            </w:pPr>
            <w:r w:rsidRPr="00EF406F">
              <w:rPr>
                <w:rFonts w:ascii="Times New Roman" w:hAnsi="Times New Roman" w:cs="Times New Roman"/>
                <w:sz w:val="20"/>
                <w:szCs w:val="20"/>
              </w:rPr>
              <w:t>Prevederile proiectului, similar prevederilor în vigoare ale pct.27 supus modificării, operează cu formule</w:t>
            </w:r>
            <w:r>
              <w:rPr>
                <w:rFonts w:ascii="Times New Roman" w:hAnsi="Times New Roman" w:cs="Times New Roman"/>
                <w:sz w:val="20"/>
                <w:szCs w:val="20"/>
              </w:rPr>
              <w:t xml:space="preserve"> </w:t>
            </w:r>
            <w:r w:rsidRPr="00EF406F">
              <w:rPr>
                <w:rFonts w:ascii="Times New Roman" w:hAnsi="Times New Roman" w:cs="Times New Roman"/>
                <w:sz w:val="20"/>
                <w:szCs w:val="20"/>
              </w:rPr>
              <w:t xml:space="preserve">permisive de reglementare a activității </w:t>
            </w:r>
            <w:r w:rsidRPr="00EF406F">
              <w:rPr>
                <w:rFonts w:ascii="Times New Roman" w:hAnsi="Times New Roman" w:cs="Times New Roman"/>
                <w:sz w:val="20"/>
                <w:szCs w:val="20"/>
              </w:rPr>
              <w:lastRenderedPageBreak/>
              <w:t>autorității contractante/entității contractante.</w:t>
            </w:r>
          </w:p>
          <w:p w14:paraId="51CACAAF" w14:textId="77777777" w:rsidR="00EF406F" w:rsidRDefault="00EF406F" w:rsidP="00EF406F">
            <w:pPr>
              <w:jc w:val="both"/>
              <w:rPr>
                <w:rFonts w:ascii="Times New Roman" w:hAnsi="Times New Roman" w:cs="Times New Roman"/>
                <w:sz w:val="20"/>
                <w:szCs w:val="20"/>
              </w:rPr>
            </w:pPr>
            <w:r w:rsidRPr="00EF406F">
              <w:rPr>
                <w:rFonts w:ascii="Times New Roman" w:hAnsi="Times New Roman" w:cs="Times New Roman"/>
                <w:sz w:val="20"/>
                <w:szCs w:val="20"/>
              </w:rPr>
              <w:t>Determinarea competen</w:t>
            </w:r>
            <w:r>
              <w:rPr>
                <w:rFonts w:ascii="Times New Roman" w:hAnsi="Times New Roman" w:cs="Times New Roman"/>
                <w:sz w:val="20"/>
                <w:szCs w:val="20"/>
              </w:rPr>
              <w:t>ţei după formulă „este în drept”, „poate”</w:t>
            </w:r>
            <w:r w:rsidRPr="00EF406F">
              <w:rPr>
                <w:rFonts w:ascii="Times New Roman" w:hAnsi="Times New Roman" w:cs="Times New Roman"/>
                <w:sz w:val="20"/>
                <w:szCs w:val="20"/>
              </w:rPr>
              <w:t xml:space="preserve"> este o modalitate coruptibilă de</w:t>
            </w:r>
            <w:r>
              <w:rPr>
                <w:rFonts w:ascii="Times New Roman" w:hAnsi="Times New Roman" w:cs="Times New Roman"/>
                <w:sz w:val="20"/>
                <w:szCs w:val="20"/>
              </w:rPr>
              <w:t xml:space="preserve"> </w:t>
            </w:r>
            <w:r w:rsidRPr="00EF406F">
              <w:rPr>
                <w:rFonts w:ascii="Times New Roman" w:hAnsi="Times New Roman" w:cs="Times New Roman"/>
                <w:sz w:val="20"/>
                <w:szCs w:val="20"/>
              </w:rPr>
              <w:t>determinare a competenţelor autorității contractante/entității contractante în context. Coruptibilitatea</w:t>
            </w:r>
            <w:r>
              <w:rPr>
                <w:rFonts w:ascii="Times New Roman" w:hAnsi="Times New Roman" w:cs="Times New Roman"/>
                <w:sz w:val="20"/>
                <w:szCs w:val="20"/>
              </w:rPr>
              <w:t xml:space="preserve"> </w:t>
            </w:r>
            <w:r w:rsidRPr="00EF406F">
              <w:rPr>
                <w:rFonts w:ascii="Times New Roman" w:hAnsi="Times New Roman" w:cs="Times New Roman"/>
                <w:sz w:val="20"/>
                <w:szCs w:val="20"/>
              </w:rPr>
              <w:t>acestui element rezidă în discreţia agenților publici care apare în cazul utilizării unor asemenea determinări</w:t>
            </w:r>
            <w:r>
              <w:rPr>
                <w:rFonts w:ascii="Times New Roman" w:hAnsi="Times New Roman" w:cs="Times New Roman"/>
                <w:sz w:val="20"/>
                <w:szCs w:val="20"/>
              </w:rPr>
              <w:t xml:space="preserve"> </w:t>
            </w:r>
            <w:r w:rsidRPr="00EF406F">
              <w:rPr>
                <w:rFonts w:ascii="Times New Roman" w:hAnsi="Times New Roman" w:cs="Times New Roman"/>
                <w:sz w:val="20"/>
                <w:szCs w:val="20"/>
              </w:rPr>
              <w:t>permisive ale competenţelor lor, care urmau a fi stabilite de o manieră imperativă. Această discreţie poate fi</w:t>
            </w:r>
            <w:r>
              <w:rPr>
                <w:rFonts w:ascii="Times New Roman" w:hAnsi="Times New Roman" w:cs="Times New Roman"/>
                <w:sz w:val="20"/>
                <w:szCs w:val="20"/>
              </w:rPr>
              <w:t xml:space="preserve"> </w:t>
            </w:r>
            <w:r w:rsidRPr="00EF406F">
              <w:rPr>
                <w:rFonts w:ascii="Times New Roman" w:hAnsi="Times New Roman" w:cs="Times New Roman"/>
                <w:sz w:val="20"/>
                <w:szCs w:val="20"/>
              </w:rPr>
              <w:t>folosită în mod abuziv de către agentul public pentru a nu-şi executa obligaţiile sale legale tocmai în virtutea</w:t>
            </w:r>
            <w:r>
              <w:rPr>
                <w:rFonts w:ascii="Times New Roman" w:hAnsi="Times New Roman" w:cs="Times New Roman"/>
                <w:sz w:val="20"/>
                <w:szCs w:val="20"/>
              </w:rPr>
              <w:t xml:space="preserve"> </w:t>
            </w:r>
            <w:r w:rsidRPr="00EF406F">
              <w:rPr>
                <w:rFonts w:ascii="Times New Roman" w:hAnsi="Times New Roman" w:cs="Times New Roman"/>
                <w:sz w:val="20"/>
                <w:szCs w:val="20"/>
              </w:rPr>
              <w:t>caracterului permisiv al formulării competenţelor sale. Riscul de coruptibilitate a acestor norme creşte în</w:t>
            </w:r>
            <w:r>
              <w:rPr>
                <w:rFonts w:ascii="Times New Roman" w:hAnsi="Times New Roman" w:cs="Times New Roman"/>
                <w:sz w:val="20"/>
                <w:szCs w:val="20"/>
              </w:rPr>
              <w:t xml:space="preserve"> </w:t>
            </w:r>
            <w:r w:rsidRPr="00EF406F">
              <w:rPr>
                <w:rFonts w:ascii="Times New Roman" w:hAnsi="Times New Roman" w:cs="Times New Roman"/>
                <w:sz w:val="20"/>
                <w:szCs w:val="20"/>
              </w:rPr>
              <w:t>cazul în care lipsesc criterii pentru a stabili în ce cazuri agentul</w:t>
            </w:r>
            <w:r>
              <w:rPr>
                <w:rFonts w:ascii="Times New Roman" w:hAnsi="Times New Roman" w:cs="Times New Roman"/>
                <w:sz w:val="20"/>
                <w:szCs w:val="20"/>
              </w:rPr>
              <w:t xml:space="preserve"> public „este în drept”</w:t>
            </w:r>
            <w:r w:rsidRPr="00EF406F">
              <w:rPr>
                <w:rFonts w:ascii="Times New Roman" w:hAnsi="Times New Roman" w:cs="Times New Roman"/>
                <w:sz w:val="20"/>
                <w:szCs w:val="20"/>
              </w:rPr>
              <w:t xml:space="preserve"> sau „poate</w:t>
            </w:r>
            <w:r>
              <w:rPr>
                <w:rFonts w:ascii="Times New Roman" w:hAnsi="Times New Roman" w:cs="Times New Roman"/>
                <w:sz w:val="20"/>
                <w:szCs w:val="20"/>
              </w:rPr>
              <w:t>”</w:t>
            </w:r>
            <w:r w:rsidRPr="00EF406F">
              <w:rPr>
                <w:rFonts w:ascii="Times New Roman" w:hAnsi="Times New Roman" w:cs="Times New Roman"/>
                <w:sz w:val="20"/>
                <w:szCs w:val="20"/>
              </w:rPr>
              <w:t xml:space="preserve"> şi în ce</w:t>
            </w:r>
            <w:r>
              <w:rPr>
                <w:rFonts w:ascii="Times New Roman" w:hAnsi="Times New Roman" w:cs="Times New Roman"/>
                <w:sz w:val="20"/>
                <w:szCs w:val="20"/>
              </w:rPr>
              <w:t xml:space="preserve"> </w:t>
            </w:r>
            <w:r w:rsidRPr="00EF406F">
              <w:rPr>
                <w:rFonts w:ascii="Times New Roman" w:hAnsi="Times New Roman" w:cs="Times New Roman"/>
                <w:sz w:val="20"/>
                <w:szCs w:val="20"/>
              </w:rPr>
              <w:t>cazuri este în drept şi poate să nu-şi realizeze competenţele, cît și a unor standarde minine ce nu pot fi</w:t>
            </w:r>
            <w:r>
              <w:rPr>
                <w:rFonts w:ascii="Times New Roman" w:hAnsi="Times New Roman" w:cs="Times New Roman"/>
                <w:sz w:val="20"/>
                <w:szCs w:val="20"/>
              </w:rPr>
              <w:t xml:space="preserve"> </w:t>
            </w:r>
            <w:r w:rsidRPr="00EF406F">
              <w:rPr>
                <w:rFonts w:ascii="Times New Roman" w:hAnsi="Times New Roman" w:cs="Times New Roman"/>
                <w:sz w:val="20"/>
                <w:szCs w:val="20"/>
              </w:rPr>
              <w:t>revizuite în context.</w:t>
            </w:r>
          </w:p>
          <w:p w14:paraId="664B76B3" w14:textId="77777777" w:rsidR="00EF406F" w:rsidRPr="00EF406F" w:rsidRDefault="00EF406F" w:rsidP="00EF406F">
            <w:pPr>
              <w:jc w:val="both"/>
              <w:rPr>
                <w:rFonts w:ascii="Times New Roman" w:hAnsi="Times New Roman" w:cs="Times New Roman"/>
                <w:b/>
                <w:bCs/>
                <w:sz w:val="20"/>
                <w:szCs w:val="20"/>
              </w:rPr>
            </w:pPr>
            <w:r w:rsidRPr="00EF406F">
              <w:rPr>
                <w:rFonts w:ascii="Times New Roman" w:hAnsi="Times New Roman" w:cs="Times New Roman"/>
                <w:b/>
                <w:bCs/>
                <w:sz w:val="20"/>
                <w:szCs w:val="20"/>
              </w:rPr>
              <w:t>Recomandări:</w:t>
            </w:r>
          </w:p>
          <w:p w14:paraId="66150F92" w14:textId="10B89582" w:rsidR="00EF406F" w:rsidRPr="004A6E6B" w:rsidRDefault="00EF406F" w:rsidP="00EF406F">
            <w:pPr>
              <w:jc w:val="both"/>
              <w:rPr>
                <w:rFonts w:ascii="Times New Roman" w:hAnsi="Times New Roman" w:cs="Times New Roman"/>
                <w:sz w:val="20"/>
                <w:szCs w:val="20"/>
              </w:rPr>
            </w:pPr>
            <w:r w:rsidRPr="00EF406F">
              <w:rPr>
                <w:rFonts w:ascii="Times New Roman" w:hAnsi="Times New Roman" w:cs="Times New Roman"/>
                <w:sz w:val="20"/>
                <w:szCs w:val="20"/>
              </w:rPr>
              <w:t>Reconsiderarea utilizării formulelor permisive de reglementare a activității autorității contractante/entității</w:t>
            </w:r>
            <w:r>
              <w:rPr>
                <w:rFonts w:ascii="Times New Roman" w:hAnsi="Times New Roman" w:cs="Times New Roman"/>
                <w:sz w:val="20"/>
                <w:szCs w:val="20"/>
              </w:rPr>
              <w:t xml:space="preserve"> </w:t>
            </w:r>
            <w:r w:rsidRPr="00EF406F">
              <w:rPr>
                <w:rFonts w:ascii="Times New Roman" w:hAnsi="Times New Roman" w:cs="Times New Roman"/>
                <w:sz w:val="20"/>
                <w:szCs w:val="20"/>
              </w:rPr>
              <w:t>contractante și aprecierea utilității reglementării unor standarde minine ce nu pot fi revizuite în context.</w:t>
            </w:r>
          </w:p>
        </w:tc>
        <w:tc>
          <w:tcPr>
            <w:tcW w:w="3436" w:type="dxa"/>
          </w:tcPr>
          <w:p w14:paraId="07245654" w14:textId="634A8BF6" w:rsidR="00F96FA3" w:rsidRPr="00F96FA3" w:rsidRDefault="00F96FA3" w:rsidP="00F96FA3">
            <w:pPr>
              <w:tabs>
                <w:tab w:val="left" w:pos="8505"/>
              </w:tabs>
              <w:jc w:val="both"/>
              <w:rPr>
                <w:rFonts w:ascii="Times New Roman" w:hAnsi="Times New Roman" w:cs="Times New Roman"/>
                <w:b/>
                <w:sz w:val="20"/>
                <w:szCs w:val="20"/>
              </w:rPr>
            </w:pPr>
            <w:r>
              <w:rPr>
                <w:rFonts w:ascii="Times New Roman" w:hAnsi="Times New Roman" w:cs="Times New Roman"/>
                <w:b/>
                <w:sz w:val="20"/>
                <w:szCs w:val="20"/>
              </w:rPr>
              <w:lastRenderedPageBreak/>
              <w:t>N</w:t>
            </w:r>
            <w:r w:rsidRPr="00F96FA3">
              <w:rPr>
                <w:rFonts w:ascii="Times New Roman" w:hAnsi="Times New Roman" w:cs="Times New Roman"/>
                <w:b/>
                <w:sz w:val="20"/>
                <w:szCs w:val="20"/>
              </w:rPr>
              <w:t>u se acceptă</w:t>
            </w:r>
          </w:p>
          <w:p w14:paraId="18108C91" w14:textId="77777777" w:rsidR="00F96FA3" w:rsidRPr="00F96FA3" w:rsidRDefault="00F96FA3" w:rsidP="00F96FA3">
            <w:pPr>
              <w:tabs>
                <w:tab w:val="left" w:pos="8505"/>
              </w:tabs>
              <w:jc w:val="both"/>
              <w:rPr>
                <w:rFonts w:ascii="Times New Roman" w:hAnsi="Times New Roman" w:cs="Times New Roman"/>
                <w:i/>
                <w:sz w:val="20"/>
                <w:szCs w:val="20"/>
              </w:rPr>
            </w:pPr>
            <w:r w:rsidRPr="00F96FA3">
              <w:rPr>
                <w:rFonts w:ascii="Times New Roman" w:hAnsi="Times New Roman" w:cs="Times New Roman"/>
                <w:i/>
                <w:sz w:val="20"/>
                <w:szCs w:val="20"/>
              </w:rPr>
              <w:t>Argumentare:</w:t>
            </w:r>
          </w:p>
          <w:p w14:paraId="42FA5026" w14:textId="2222A56E" w:rsidR="00F96FA3" w:rsidRDefault="00F96FA3" w:rsidP="00F96FA3">
            <w:pPr>
              <w:tabs>
                <w:tab w:val="left" w:pos="8505"/>
              </w:tabs>
              <w:jc w:val="both"/>
              <w:rPr>
                <w:rFonts w:ascii="Times New Roman" w:hAnsi="Times New Roman" w:cs="Times New Roman"/>
                <w:sz w:val="20"/>
                <w:szCs w:val="20"/>
              </w:rPr>
            </w:pPr>
            <w:r w:rsidRPr="00F96FA3">
              <w:rPr>
                <w:rFonts w:ascii="Times New Roman" w:hAnsi="Times New Roman" w:cs="Times New Roman"/>
                <w:sz w:val="20"/>
                <w:szCs w:val="20"/>
              </w:rPr>
              <w:t xml:space="preserve">1. Specificul achizițiilor de valoare </w:t>
            </w:r>
            <w:r>
              <w:rPr>
                <w:rFonts w:ascii="Times New Roman" w:hAnsi="Times New Roman" w:cs="Times New Roman"/>
                <w:sz w:val="20"/>
                <w:szCs w:val="20"/>
              </w:rPr>
              <w:t>mic</w:t>
            </w:r>
            <w:r w:rsidR="002406DC">
              <w:rPr>
                <w:rFonts w:ascii="Times New Roman" w:hAnsi="Times New Roman" w:cs="Times New Roman"/>
                <w:sz w:val="20"/>
                <w:szCs w:val="20"/>
              </w:rPr>
              <w:t>ă</w:t>
            </w:r>
            <w:r>
              <w:rPr>
                <w:rFonts w:ascii="Times New Roman" w:hAnsi="Times New Roman" w:cs="Times New Roman"/>
                <w:sz w:val="20"/>
                <w:szCs w:val="20"/>
              </w:rPr>
              <w:t>.</w:t>
            </w:r>
          </w:p>
          <w:p w14:paraId="00476FEF" w14:textId="138668DE" w:rsidR="00F96FA3" w:rsidRPr="00F96FA3" w:rsidRDefault="00F96FA3" w:rsidP="00F96FA3">
            <w:pPr>
              <w:tabs>
                <w:tab w:val="left" w:pos="8505"/>
              </w:tabs>
              <w:jc w:val="both"/>
              <w:rPr>
                <w:rFonts w:ascii="Times New Roman" w:hAnsi="Times New Roman" w:cs="Times New Roman"/>
                <w:sz w:val="20"/>
                <w:szCs w:val="20"/>
              </w:rPr>
            </w:pPr>
            <w:r w:rsidRPr="00F96FA3">
              <w:rPr>
                <w:rFonts w:ascii="Times New Roman" w:hAnsi="Times New Roman" w:cs="Times New Roman"/>
                <w:sz w:val="20"/>
                <w:szCs w:val="20"/>
              </w:rPr>
              <w:t>H</w:t>
            </w:r>
            <w:r>
              <w:rPr>
                <w:rFonts w:ascii="Times New Roman" w:hAnsi="Times New Roman" w:cs="Times New Roman"/>
                <w:sz w:val="20"/>
                <w:szCs w:val="20"/>
              </w:rPr>
              <w:t xml:space="preserve">otărârea de </w:t>
            </w:r>
            <w:r w:rsidRPr="00F96FA3">
              <w:rPr>
                <w:rFonts w:ascii="Times New Roman" w:hAnsi="Times New Roman" w:cs="Times New Roman"/>
                <w:sz w:val="20"/>
                <w:szCs w:val="20"/>
              </w:rPr>
              <w:t>G</w:t>
            </w:r>
            <w:r>
              <w:rPr>
                <w:rFonts w:ascii="Times New Roman" w:hAnsi="Times New Roman" w:cs="Times New Roman"/>
                <w:sz w:val="20"/>
                <w:szCs w:val="20"/>
              </w:rPr>
              <w:t>uvern</w:t>
            </w:r>
            <w:r w:rsidRPr="00F96FA3">
              <w:rPr>
                <w:rFonts w:ascii="Times New Roman" w:hAnsi="Times New Roman" w:cs="Times New Roman"/>
                <w:sz w:val="20"/>
                <w:szCs w:val="20"/>
              </w:rPr>
              <w:t xml:space="preserve"> nr. 870/2023 reglementează achiziții simplificate, de valoare redusă. Caracterul permisiv al normei este intenționat pentru a asigura flexibilitate și eficiență, fără formalități excesive nejustificate de valoarea contractului.</w:t>
            </w:r>
          </w:p>
          <w:p w14:paraId="758A5472" w14:textId="0599CBA3" w:rsidR="00F96FA3" w:rsidRPr="00F96FA3" w:rsidRDefault="00F96FA3" w:rsidP="00F96FA3">
            <w:pPr>
              <w:tabs>
                <w:tab w:val="left" w:pos="8505"/>
              </w:tabs>
              <w:jc w:val="both"/>
              <w:rPr>
                <w:rFonts w:ascii="Times New Roman" w:hAnsi="Times New Roman" w:cs="Times New Roman"/>
                <w:sz w:val="20"/>
                <w:szCs w:val="20"/>
              </w:rPr>
            </w:pPr>
            <w:r w:rsidRPr="00F96FA3">
              <w:rPr>
                <w:rFonts w:ascii="Times New Roman" w:hAnsi="Times New Roman" w:cs="Times New Roman"/>
                <w:sz w:val="20"/>
                <w:szCs w:val="20"/>
              </w:rPr>
              <w:t>2. Formularele sunt instrumente de suport, nu obligații</w:t>
            </w:r>
            <w:r>
              <w:rPr>
                <w:rFonts w:ascii="Times New Roman" w:hAnsi="Times New Roman" w:cs="Times New Roman"/>
                <w:sz w:val="20"/>
                <w:szCs w:val="20"/>
              </w:rPr>
              <w:t>.</w:t>
            </w:r>
          </w:p>
          <w:p w14:paraId="7F26D2DE" w14:textId="7321CF8F" w:rsidR="00F96FA3" w:rsidRPr="00F96FA3" w:rsidRDefault="00F96FA3" w:rsidP="00F96FA3">
            <w:pPr>
              <w:tabs>
                <w:tab w:val="left" w:pos="8505"/>
              </w:tabs>
              <w:jc w:val="both"/>
              <w:rPr>
                <w:rFonts w:ascii="Times New Roman" w:hAnsi="Times New Roman" w:cs="Times New Roman"/>
                <w:sz w:val="20"/>
                <w:szCs w:val="20"/>
              </w:rPr>
            </w:pPr>
            <w:r w:rsidRPr="00F96FA3">
              <w:rPr>
                <w:rFonts w:ascii="Times New Roman" w:hAnsi="Times New Roman" w:cs="Times New Roman"/>
                <w:sz w:val="20"/>
                <w:szCs w:val="20"/>
              </w:rPr>
              <w:t>Formularele standardizate reprezintă ghidaje metodologice pentru autoritățile</w:t>
            </w:r>
            <w:r>
              <w:rPr>
                <w:rFonts w:ascii="Times New Roman" w:hAnsi="Times New Roman" w:cs="Times New Roman"/>
                <w:sz w:val="20"/>
                <w:szCs w:val="20"/>
              </w:rPr>
              <w:t>/entitățile</w:t>
            </w:r>
            <w:r w:rsidRPr="00F96FA3">
              <w:rPr>
                <w:rFonts w:ascii="Times New Roman" w:hAnsi="Times New Roman" w:cs="Times New Roman"/>
                <w:sz w:val="20"/>
                <w:szCs w:val="20"/>
              </w:rPr>
              <w:t xml:space="preserve"> contractante, nu obligații procedurale. Pentru achiziții de </w:t>
            </w:r>
            <w:r w:rsidRPr="00F96FA3">
              <w:rPr>
                <w:rFonts w:ascii="Times New Roman" w:hAnsi="Times New Roman" w:cs="Times New Roman"/>
                <w:sz w:val="20"/>
                <w:szCs w:val="20"/>
              </w:rPr>
              <w:lastRenderedPageBreak/>
              <w:t>valoare mică, impunerea obligativității unor formulare specifice ar fi disproporționată și ar genera birocrație inutilă.</w:t>
            </w:r>
          </w:p>
          <w:p w14:paraId="04823F91" w14:textId="09B1C642" w:rsidR="00F96FA3" w:rsidRPr="00F96FA3" w:rsidRDefault="00F96FA3" w:rsidP="00F96FA3">
            <w:pPr>
              <w:tabs>
                <w:tab w:val="left" w:pos="8505"/>
              </w:tabs>
              <w:jc w:val="both"/>
              <w:rPr>
                <w:rFonts w:ascii="Times New Roman" w:hAnsi="Times New Roman" w:cs="Times New Roman"/>
                <w:sz w:val="20"/>
                <w:szCs w:val="20"/>
              </w:rPr>
            </w:pPr>
            <w:r w:rsidRPr="00F96FA3">
              <w:rPr>
                <w:rFonts w:ascii="Times New Roman" w:hAnsi="Times New Roman" w:cs="Times New Roman"/>
                <w:sz w:val="20"/>
                <w:szCs w:val="20"/>
              </w:rPr>
              <w:t>3. Reglementare existentă, fără cazuri de abuz</w:t>
            </w:r>
            <w:r>
              <w:rPr>
                <w:rFonts w:ascii="Times New Roman" w:hAnsi="Times New Roman" w:cs="Times New Roman"/>
                <w:sz w:val="20"/>
                <w:szCs w:val="20"/>
              </w:rPr>
              <w:t xml:space="preserve">. </w:t>
            </w:r>
          </w:p>
          <w:p w14:paraId="455EC5F9" w14:textId="25AF0ACE" w:rsidR="00F96FA3" w:rsidRPr="00F96FA3" w:rsidRDefault="00F96FA3" w:rsidP="00F96FA3">
            <w:pPr>
              <w:tabs>
                <w:tab w:val="left" w:pos="8505"/>
              </w:tabs>
              <w:jc w:val="both"/>
              <w:rPr>
                <w:rFonts w:ascii="Times New Roman" w:hAnsi="Times New Roman" w:cs="Times New Roman"/>
                <w:sz w:val="20"/>
                <w:szCs w:val="20"/>
              </w:rPr>
            </w:pPr>
            <w:r w:rsidRPr="00F96FA3">
              <w:rPr>
                <w:rFonts w:ascii="Times New Roman" w:hAnsi="Times New Roman" w:cs="Times New Roman"/>
                <w:sz w:val="20"/>
                <w:szCs w:val="20"/>
              </w:rPr>
              <w:t>Formularea permisivă există și în actuala redactare a pct. 27 din HG nr. 870/2023. În practică nu au fost identificate cazuri de utilizare abuzivă a acestei discreții de către autoritățile</w:t>
            </w:r>
            <w:r>
              <w:rPr>
                <w:rFonts w:ascii="Times New Roman" w:hAnsi="Times New Roman" w:cs="Times New Roman"/>
                <w:sz w:val="20"/>
                <w:szCs w:val="20"/>
              </w:rPr>
              <w:t>/entitățile</w:t>
            </w:r>
            <w:r w:rsidRPr="00F96FA3">
              <w:rPr>
                <w:rFonts w:ascii="Times New Roman" w:hAnsi="Times New Roman" w:cs="Times New Roman"/>
                <w:sz w:val="20"/>
                <w:szCs w:val="20"/>
              </w:rPr>
              <w:t xml:space="preserve"> contractante.</w:t>
            </w:r>
          </w:p>
          <w:p w14:paraId="55DAA1A3" w14:textId="2DC16A4D" w:rsidR="00F96FA3" w:rsidRPr="00F96FA3" w:rsidRDefault="00F96FA3" w:rsidP="00F96FA3">
            <w:pPr>
              <w:tabs>
                <w:tab w:val="left" w:pos="8505"/>
              </w:tabs>
              <w:jc w:val="both"/>
              <w:rPr>
                <w:rFonts w:ascii="Times New Roman" w:hAnsi="Times New Roman" w:cs="Times New Roman"/>
                <w:sz w:val="20"/>
                <w:szCs w:val="20"/>
              </w:rPr>
            </w:pPr>
            <w:r w:rsidRPr="00F96FA3">
              <w:rPr>
                <w:rFonts w:ascii="Times New Roman" w:hAnsi="Times New Roman" w:cs="Times New Roman"/>
                <w:sz w:val="20"/>
                <w:szCs w:val="20"/>
              </w:rPr>
              <w:t>4. Obligațiile esențiale rămân imperative</w:t>
            </w:r>
            <w:r>
              <w:rPr>
                <w:rFonts w:ascii="Times New Roman" w:hAnsi="Times New Roman" w:cs="Times New Roman"/>
                <w:sz w:val="20"/>
                <w:szCs w:val="20"/>
              </w:rPr>
              <w:t>.</w:t>
            </w:r>
          </w:p>
          <w:p w14:paraId="72CE260E" w14:textId="47E530BC" w:rsidR="00F96FA3" w:rsidRPr="00F96FA3" w:rsidRDefault="00F96FA3" w:rsidP="00F96FA3">
            <w:pPr>
              <w:tabs>
                <w:tab w:val="left" w:pos="8505"/>
              </w:tabs>
              <w:jc w:val="both"/>
              <w:rPr>
                <w:rFonts w:ascii="Times New Roman" w:hAnsi="Times New Roman" w:cs="Times New Roman"/>
                <w:sz w:val="20"/>
                <w:szCs w:val="20"/>
              </w:rPr>
            </w:pPr>
            <w:r w:rsidRPr="00F96FA3">
              <w:rPr>
                <w:rFonts w:ascii="Times New Roman" w:hAnsi="Times New Roman" w:cs="Times New Roman"/>
                <w:sz w:val="20"/>
                <w:szCs w:val="20"/>
              </w:rPr>
              <w:t xml:space="preserve">Principiile fundamentale (transparență, tratament egal, eficiența fondurilor) și obligațiile de fond sunt stabilite imperativ prin </w:t>
            </w:r>
            <w:r w:rsidR="002406DC">
              <w:rPr>
                <w:rFonts w:ascii="Times New Roman" w:hAnsi="Times New Roman" w:cs="Times New Roman"/>
                <w:sz w:val="20"/>
                <w:szCs w:val="20"/>
              </w:rPr>
              <w:t>actele normative în domeniul achizițiilor publice</w:t>
            </w:r>
            <w:r w:rsidR="00C21A8D">
              <w:rPr>
                <w:rFonts w:ascii="Times New Roman" w:hAnsi="Times New Roman" w:cs="Times New Roman"/>
                <w:sz w:val="20"/>
                <w:szCs w:val="20"/>
              </w:rPr>
              <w:t>/sectoriale</w:t>
            </w:r>
            <w:r w:rsidRPr="00F96FA3">
              <w:rPr>
                <w:rFonts w:ascii="Times New Roman" w:hAnsi="Times New Roman" w:cs="Times New Roman"/>
                <w:sz w:val="20"/>
                <w:szCs w:val="20"/>
              </w:rPr>
              <w:t>. Flexibilitatea privind formulare nu exonerează autoritatea</w:t>
            </w:r>
            <w:r>
              <w:rPr>
                <w:rFonts w:ascii="Times New Roman" w:hAnsi="Times New Roman" w:cs="Times New Roman"/>
                <w:sz w:val="20"/>
                <w:szCs w:val="20"/>
              </w:rPr>
              <w:t>/entitatea</w:t>
            </w:r>
            <w:r w:rsidRPr="00F96FA3">
              <w:rPr>
                <w:rFonts w:ascii="Times New Roman" w:hAnsi="Times New Roman" w:cs="Times New Roman"/>
                <w:sz w:val="20"/>
                <w:szCs w:val="20"/>
              </w:rPr>
              <w:t xml:space="preserve"> de aceste obligații legale.</w:t>
            </w:r>
          </w:p>
          <w:p w14:paraId="510335D2" w14:textId="698395CA" w:rsidR="00C53832" w:rsidRPr="00F96FA3" w:rsidRDefault="00C53832" w:rsidP="00F96FA3">
            <w:pPr>
              <w:tabs>
                <w:tab w:val="left" w:pos="8505"/>
              </w:tabs>
              <w:jc w:val="both"/>
              <w:rPr>
                <w:rFonts w:ascii="Times New Roman" w:hAnsi="Times New Roman" w:cs="Times New Roman"/>
                <w:b/>
                <w:sz w:val="20"/>
                <w:szCs w:val="20"/>
              </w:rPr>
            </w:pPr>
          </w:p>
        </w:tc>
      </w:tr>
      <w:tr w:rsidR="00C53832" w:rsidRPr="00457EC3" w14:paraId="563EC5C1" w14:textId="77777777" w:rsidTr="00A919EA">
        <w:trPr>
          <w:trHeight w:val="416"/>
        </w:trPr>
        <w:tc>
          <w:tcPr>
            <w:tcW w:w="3397" w:type="dxa"/>
          </w:tcPr>
          <w:p w14:paraId="1E6BE544" w14:textId="563C23F9" w:rsidR="00C53832" w:rsidRPr="00F9367D" w:rsidRDefault="0078264B" w:rsidP="00650C80">
            <w:pPr>
              <w:tabs>
                <w:tab w:val="left" w:pos="8505"/>
              </w:tabs>
              <w:jc w:val="both"/>
              <w:rPr>
                <w:rFonts w:ascii="Times New Roman" w:hAnsi="Times New Roman" w:cs="Times New Roman"/>
                <w:b/>
                <w:sz w:val="20"/>
                <w:szCs w:val="20"/>
                <w:lang w:val="ro-RO"/>
              </w:rPr>
            </w:pPr>
            <w:r w:rsidRPr="0078264B">
              <w:rPr>
                <w:rFonts w:ascii="Times New Roman" w:hAnsi="Times New Roman" w:cs="Times New Roman"/>
                <w:b/>
                <w:sz w:val="20"/>
                <w:szCs w:val="20"/>
                <w:lang w:val="it-IT"/>
              </w:rPr>
              <w:lastRenderedPageBreak/>
              <w:t>În contextul proiectului</w:t>
            </w:r>
          </w:p>
        </w:tc>
        <w:tc>
          <w:tcPr>
            <w:tcW w:w="2977" w:type="dxa"/>
          </w:tcPr>
          <w:p w14:paraId="2C471209" w14:textId="77777777" w:rsidR="00C53832" w:rsidRPr="00457EC3" w:rsidRDefault="00C53832" w:rsidP="00650C80">
            <w:pPr>
              <w:pStyle w:val="p1"/>
              <w:jc w:val="center"/>
              <w:rPr>
                <w:b/>
                <w:color w:val="000000" w:themeColor="text1"/>
                <w:sz w:val="20"/>
                <w:szCs w:val="20"/>
                <w:lang w:val="ro-RO"/>
              </w:rPr>
            </w:pPr>
          </w:p>
        </w:tc>
        <w:tc>
          <w:tcPr>
            <w:tcW w:w="533" w:type="dxa"/>
          </w:tcPr>
          <w:p w14:paraId="3D8B9CD1" w14:textId="02FCAE74" w:rsidR="00C53832" w:rsidRDefault="00C53832" w:rsidP="00650C80">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52D47A54" w14:textId="053125A7" w:rsidR="00EF406F" w:rsidRPr="00EF406F" w:rsidRDefault="00EF406F" w:rsidP="00EF406F">
            <w:pPr>
              <w:jc w:val="both"/>
              <w:rPr>
                <w:rFonts w:ascii="Times New Roman" w:hAnsi="Times New Roman" w:cs="Times New Roman"/>
                <w:sz w:val="20"/>
                <w:szCs w:val="20"/>
              </w:rPr>
            </w:pPr>
            <w:r w:rsidRPr="00EF406F">
              <w:rPr>
                <w:rFonts w:ascii="Times New Roman" w:hAnsi="Times New Roman" w:cs="Times New Roman"/>
                <w:sz w:val="20"/>
                <w:szCs w:val="20"/>
              </w:rPr>
              <w:t>Potrivit notei de fundamentare, proiectul are drept scop actualizarea corespunzătoare a cadrului</w:t>
            </w:r>
            <w:r>
              <w:rPr>
                <w:rFonts w:ascii="Times New Roman" w:hAnsi="Times New Roman" w:cs="Times New Roman"/>
                <w:sz w:val="20"/>
                <w:szCs w:val="20"/>
              </w:rPr>
              <w:t xml:space="preserve"> </w:t>
            </w:r>
            <w:r w:rsidRPr="00EF406F">
              <w:rPr>
                <w:rFonts w:ascii="Times New Roman" w:hAnsi="Times New Roman" w:cs="Times New Roman"/>
                <w:sz w:val="20"/>
                <w:szCs w:val="20"/>
              </w:rPr>
              <w:t>normativ secundar în contextul Legii nr. 325/2025.</w:t>
            </w:r>
          </w:p>
          <w:p w14:paraId="213619B9" w14:textId="7AE81F11" w:rsidR="00EF406F" w:rsidRPr="00EF406F" w:rsidRDefault="00EF406F" w:rsidP="00EF406F">
            <w:pPr>
              <w:jc w:val="both"/>
              <w:rPr>
                <w:rFonts w:ascii="Times New Roman" w:hAnsi="Times New Roman" w:cs="Times New Roman"/>
                <w:sz w:val="20"/>
                <w:szCs w:val="20"/>
              </w:rPr>
            </w:pPr>
            <w:r w:rsidRPr="00EF406F">
              <w:rPr>
                <w:rFonts w:ascii="Times New Roman" w:hAnsi="Times New Roman" w:cs="Times New Roman"/>
                <w:sz w:val="20"/>
                <w:szCs w:val="20"/>
              </w:rPr>
              <w:t xml:space="preserve">Autorul a prezentat </w:t>
            </w:r>
            <w:r w:rsidRPr="00EF406F">
              <w:rPr>
                <w:rFonts w:ascii="Times New Roman" w:hAnsi="Times New Roman" w:cs="Times New Roman"/>
                <w:i/>
                <w:iCs/>
                <w:sz w:val="20"/>
                <w:szCs w:val="20"/>
              </w:rPr>
              <w:t xml:space="preserve">sinteza </w:t>
            </w:r>
            <w:r w:rsidRPr="00EF406F">
              <w:rPr>
                <w:rFonts w:ascii="Times New Roman" w:hAnsi="Times New Roman" w:cs="Times New Roman"/>
                <w:sz w:val="20"/>
                <w:szCs w:val="20"/>
              </w:rPr>
              <w:t>avizelor parvenite în cadrul procesului de consultare publică a proiectului</w:t>
            </w:r>
            <w:r>
              <w:rPr>
                <w:rFonts w:ascii="Times New Roman" w:hAnsi="Times New Roman" w:cs="Times New Roman"/>
                <w:sz w:val="20"/>
                <w:szCs w:val="20"/>
              </w:rPr>
              <w:t xml:space="preserve"> </w:t>
            </w:r>
            <w:r w:rsidRPr="00EF406F">
              <w:rPr>
                <w:rFonts w:ascii="Times New Roman" w:hAnsi="Times New Roman" w:cs="Times New Roman"/>
                <w:sz w:val="20"/>
                <w:szCs w:val="20"/>
              </w:rPr>
              <w:t xml:space="preserve">de către autoritățile responsabile de implementarea prevederilor conţinute în </w:t>
            </w:r>
            <w:r w:rsidRPr="00EF406F">
              <w:rPr>
                <w:rFonts w:ascii="Times New Roman" w:hAnsi="Times New Roman" w:cs="Times New Roman"/>
                <w:sz w:val="20"/>
                <w:szCs w:val="20"/>
              </w:rPr>
              <w:lastRenderedPageBreak/>
              <w:t>proiect/instituţiilor</w:t>
            </w:r>
            <w:r>
              <w:rPr>
                <w:rFonts w:ascii="Times New Roman" w:hAnsi="Times New Roman" w:cs="Times New Roman"/>
                <w:sz w:val="20"/>
                <w:szCs w:val="20"/>
              </w:rPr>
              <w:t xml:space="preserve"> </w:t>
            </w:r>
            <w:r w:rsidRPr="00EF406F">
              <w:rPr>
                <w:rFonts w:ascii="Times New Roman" w:hAnsi="Times New Roman" w:cs="Times New Roman"/>
                <w:sz w:val="20"/>
                <w:szCs w:val="20"/>
              </w:rPr>
              <w:t>interesate, fapt ce denotă aspectul definitivat al acestuia și întrunirea condițiilor stabilite de</w:t>
            </w:r>
            <w:r>
              <w:rPr>
                <w:rFonts w:ascii="Times New Roman" w:hAnsi="Times New Roman" w:cs="Times New Roman"/>
                <w:sz w:val="20"/>
                <w:szCs w:val="20"/>
              </w:rPr>
              <w:t xml:space="preserve"> </w:t>
            </w:r>
            <w:r w:rsidRPr="00EF406F">
              <w:rPr>
                <w:rFonts w:ascii="Times New Roman" w:hAnsi="Times New Roman" w:cs="Times New Roman"/>
                <w:sz w:val="20"/>
                <w:szCs w:val="20"/>
              </w:rPr>
              <w:t>prevederile art.</w:t>
            </w:r>
            <w:r>
              <w:rPr>
                <w:rFonts w:ascii="Times New Roman" w:hAnsi="Times New Roman" w:cs="Times New Roman"/>
                <w:sz w:val="20"/>
                <w:szCs w:val="20"/>
              </w:rPr>
              <w:t xml:space="preserve"> </w:t>
            </w:r>
            <w:r w:rsidRPr="00EF406F">
              <w:rPr>
                <w:rFonts w:ascii="Times New Roman" w:hAnsi="Times New Roman" w:cs="Times New Roman"/>
                <w:sz w:val="20"/>
                <w:szCs w:val="20"/>
              </w:rPr>
              <w:t>28 din Legea nr.</w:t>
            </w:r>
            <w:r>
              <w:rPr>
                <w:rFonts w:ascii="Times New Roman" w:hAnsi="Times New Roman" w:cs="Times New Roman"/>
                <w:sz w:val="20"/>
                <w:szCs w:val="20"/>
              </w:rPr>
              <w:t xml:space="preserve"> </w:t>
            </w:r>
            <w:r w:rsidRPr="00EF406F">
              <w:rPr>
                <w:rFonts w:ascii="Times New Roman" w:hAnsi="Times New Roman" w:cs="Times New Roman"/>
                <w:sz w:val="20"/>
                <w:szCs w:val="20"/>
              </w:rPr>
              <w:t>82/2017.</w:t>
            </w:r>
          </w:p>
          <w:p w14:paraId="372B8F58" w14:textId="3EE38540" w:rsidR="00EF406F" w:rsidRPr="00EF406F" w:rsidRDefault="00EF406F" w:rsidP="00EF406F">
            <w:pPr>
              <w:jc w:val="both"/>
              <w:rPr>
                <w:rFonts w:ascii="Times New Roman" w:hAnsi="Times New Roman" w:cs="Times New Roman"/>
                <w:sz w:val="20"/>
                <w:szCs w:val="20"/>
              </w:rPr>
            </w:pPr>
            <w:r w:rsidRPr="00EF406F">
              <w:rPr>
                <w:rFonts w:ascii="Times New Roman" w:hAnsi="Times New Roman" w:cs="Times New Roman"/>
                <w:sz w:val="20"/>
                <w:szCs w:val="20"/>
              </w:rPr>
              <w:t>În procesul de promovare a proiectului, au fost respectate rigorile de asigurare a transparenţei</w:t>
            </w:r>
            <w:r>
              <w:rPr>
                <w:rFonts w:ascii="Times New Roman" w:hAnsi="Times New Roman" w:cs="Times New Roman"/>
                <w:sz w:val="20"/>
                <w:szCs w:val="20"/>
              </w:rPr>
              <w:t xml:space="preserve"> </w:t>
            </w:r>
            <w:r w:rsidRPr="00EF406F">
              <w:rPr>
                <w:rFonts w:ascii="Times New Roman" w:hAnsi="Times New Roman" w:cs="Times New Roman"/>
                <w:sz w:val="20"/>
                <w:szCs w:val="20"/>
              </w:rPr>
              <w:t>decizionale statuate de prevederile art.</w:t>
            </w:r>
            <w:r>
              <w:rPr>
                <w:rFonts w:ascii="Times New Roman" w:hAnsi="Times New Roman" w:cs="Times New Roman"/>
                <w:sz w:val="20"/>
                <w:szCs w:val="20"/>
              </w:rPr>
              <w:t xml:space="preserve"> </w:t>
            </w:r>
            <w:r w:rsidRPr="00EF406F">
              <w:rPr>
                <w:rFonts w:ascii="Times New Roman" w:hAnsi="Times New Roman" w:cs="Times New Roman"/>
                <w:sz w:val="20"/>
                <w:szCs w:val="20"/>
              </w:rPr>
              <w:t>8 lit.</w:t>
            </w:r>
            <w:r>
              <w:rPr>
                <w:rFonts w:ascii="Times New Roman" w:hAnsi="Times New Roman" w:cs="Times New Roman"/>
                <w:sz w:val="20"/>
                <w:szCs w:val="20"/>
              </w:rPr>
              <w:t xml:space="preserve"> </w:t>
            </w:r>
            <w:r w:rsidRPr="00EF406F">
              <w:rPr>
                <w:rFonts w:ascii="Times New Roman" w:hAnsi="Times New Roman" w:cs="Times New Roman"/>
                <w:sz w:val="20"/>
                <w:szCs w:val="20"/>
              </w:rPr>
              <w:t>a)-d) din Legea nr. 239/2008 privind transparenţa în</w:t>
            </w:r>
            <w:r>
              <w:rPr>
                <w:rFonts w:ascii="Times New Roman" w:hAnsi="Times New Roman" w:cs="Times New Roman"/>
                <w:sz w:val="20"/>
                <w:szCs w:val="20"/>
              </w:rPr>
              <w:t xml:space="preserve"> </w:t>
            </w:r>
            <w:r w:rsidRPr="00EF406F">
              <w:rPr>
                <w:rFonts w:ascii="Times New Roman" w:hAnsi="Times New Roman" w:cs="Times New Roman"/>
                <w:sz w:val="20"/>
                <w:szCs w:val="20"/>
              </w:rPr>
              <w:t>procesul decizional. Nota informativă a proiectului a fost structurată potrivit exigențelor de tehnică</w:t>
            </w:r>
            <w:r>
              <w:rPr>
                <w:rFonts w:ascii="Times New Roman" w:hAnsi="Times New Roman" w:cs="Times New Roman"/>
                <w:sz w:val="20"/>
                <w:szCs w:val="20"/>
              </w:rPr>
              <w:t xml:space="preserve"> </w:t>
            </w:r>
            <w:r w:rsidRPr="00EF406F">
              <w:rPr>
                <w:rFonts w:ascii="Times New Roman" w:hAnsi="Times New Roman" w:cs="Times New Roman"/>
                <w:sz w:val="20"/>
                <w:szCs w:val="20"/>
              </w:rPr>
              <w:t>legislativă statuate de prevederile art.</w:t>
            </w:r>
            <w:r>
              <w:rPr>
                <w:rFonts w:ascii="Times New Roman" w:hAnsi="Times New Roman" w:cs="Times New Roman"/>
                <w:sz w:val="20"/>
                <w:szCs w:val="20"/>
              </w:rPr>
              <w:t xml:space="preserve"> </w:t>
            </w:r>
            <w:r w:rsidRPr="00EF406F">
              <w:rPr>
                <w:rFonts w:ascii="Times New Roman" w:hAnsi="Times New Roman" w:cs="Times New Roman"/>
                <w:sz w:val="20"/>
                <w:szCs w:val="20"/>
              </w:rPr>
              <w:t>30 lit.</w:t>
            </w:r>
            <w:r>
              <w:rPr>
                <w:rFonts w:ascii="Times New Roman" w:hAnsi="Times New Roman" w:cs="Times New Roman"/>
                <w:sz w:val="20"/>
                <w:szCs w:val="20"/>
              </w:rPr>
              <w:t xml:space="preserve"> </w:t>
            </w:r>
            <w:r w:rsidRPr="00EF406F">
              <w:rPr>
                <w:rFonts w:ascii="Times New Roman" w:hAnsi="Times New Roman" w:cs="Times New Roman"/>
                <w:sz w:val="20"/>
                <w:szCs w:val="20"/>
              </w:rPr>
              <w:t>a)-f) din Legea nr. 100/2017 cu privire la actele</w:t>
            </w:r>
            <w:r>
              <w:rPr>
                <w:rFonts w:ascii="Times New Roman" w:hAnsi="Times New Roman" w:cs="Times New Roman"/>
                <w:sz w:val="20"/>
                <w:szCs w:val="20"/>
              </w:rPr>
              <w:t xml:space="preserve"> </w:t>
            </w:r>
            <w:r w:rsidRPr="00EF406F">
              <w:rPr>
                <w:rFonts w:ascii="Times New Roman" w:hAnsi="Times New Roman" w:cs="Times New Roman"/>
                <w:sz w:val="20"/>
                <w:szCs w:val="20"/>
              </w:rPr>
              <w:t>normative.</w:t>
            </w:r>
          </w:p>
          <w:p w14:paraId="0AA3F30F" w14:textId="77777777" w:rsidR="00EF406F" w:rsidRPr="00EF406F" w:rsidRDefault="00EF406F" w:rsidP="00EF406F">
            <w:pPr>
              <w:jc w:val="both"/>
              <w:rPr>
                <w:rFonts w:ascii="Times New Roman" w:hAnsi="Times New Roman" w:cs="Times New Roman"/>
                <w:sz w:val="20"/>
                <w:szCs w:val="20"/>
              </w:rPr>
            </w:pPr>
            <w:r w:rsidRPr="00EF406F">
              <w:rPr>
                <w:rFonts w:ascii="Times New Roman" w:hAnsi="Times New Roman" w:cs="Times New Roman"/>
                <w:sz w:val="20"/>
                <w:szCs w:val="20"/>
              </w:rPr>
              <w:t>Analiza prevederilor propuse, denotă unele deficiențe ce pot condiționa disfuncționalități ale</w:t>
            </w:r>
            <w:r>
              <w:rPr>
                <w:rFonts w:ascii="Times New Roman" w:hAnsi="Times New Roman" w:cs="Times New Roman"/>
                <w:sz w:val="20"/>
                <w:szCs w:val="20"/>
              </w:rPr>
              <w:t xml:space="preserve"> </w:t>
            </w:r>
            <w:r w:rsidRPr="00EF406F">
              <w:rPr>
                <w:rFonts w:ascii="Times New Roman" w:hAnsi="Times New Roman" w:cs="Times New Roman"/>
                <w:sz w:val="20"/>
                <w:szCs w:val="20"/>
              </w:rPr>
              <w:t>proceselor administrative reglementate și multiple riscuri de corupție aferente utilizării unor formule</w:t>
            </w:r>
            <w:r>
              <w:rPr>
                <w:rFonts w:ascii="Times New Roman" w:hAnsi="Times New Roman" w:cs="Times New Roman"/>
                <w:sz w:val="20"/>
                <w:szCs w:val="20"/>
              </w:rPr>
              <w:t xml:space="preserve"> </w:t>
            </w:r>
            <w:r w:rsidRPr="00EF406F">
              <w:rPr>
                <w:rFonts w:ascii="Times New Roman" w:hAnsi="Times New Roman" w:cs="Times New Roman"/>
                <w:sz w:val="20"/>
                <w:szCs w:val="20"/>
              </w:rPr>
              <w:t>permisive de reglementare a activității autorității contractante/entității contractante.</w:t>
            </w:r>
          </w:p>
          <w:p w14:paraId="5A0FBD3C" w14:textId="28776B53" w:rsidR="00EF406F" w:rsidRPr="00EF406F" w:rsidRDefault="00EF406F" w:rsidP="00EF406F">
            <w:pPr>
              <w:jc w:val="both"/>
              <w:rPr>
                <w:rFonts w:ascii="Times New Roman" w:hAnsi="Times New Roman" w:cs="Times New Roman"/>
                <w:sz w:val="20"/>
                <w:szCs w:val="20"/>
              </w:rPr>
            </w:pPr>
            <w:r w:rsidRPr="00EF406F">
              <w:rPr>
                <w:rFonts w:ascii="Times New Roman" w:hAnsi="Times New Roman" w:cs="Times New Roman"/>
                <w:sz w:val="20"/>
                <w:szCs w:val="20"/>
              </w:rPr>
              <w:t>Implementarea prevederilor propuse, poate contribui la realizarea interesului public vizat de proiect,</w:t>
            </w:r>
            <w:r>
              <w:rPr>
                <w:rFonts w:ascii="Times New Roman" w:hAnsi="Times New Roman" w:cs="Times New Roman"/>
                <w:sz w:val="20"/>
                <w:szCs w:val="20"/>
              </w:rPr>
              <w:t xml:space="preserve"> </w:t>
            </w:r>
            <w:r w:rsidRPr="00EF406F">
              <w:rPr>
                <w:rFonts w:ascii="Times New Roman" w:hAnsi="Times New Roman" w:cs="Times New Roman"/>
                <w:sz w:val="20"/>
                <w:szCs w:val="20"/>
              </w:rPr>
              <w:t>fapt care nu este detrimentul interesului public general (în sensul prevăzut de prevederile Legii</w:t>
            </w:r>
          </w:p>
          <w:p w14:paraId="300BC496" w14:textId="28DB976A" w:rsidR="00C53832" w:rsidRPr="004A6E6B" w:rsidRDefault="00EF406F" w:rsidP="00EF406F">
            <w:pPr>
              <w:jc w:val="both"/>
              <w:rPr>
                <w:rFonts w:ascii="Times New Roman" w:hAnsi="Times New Roman" w:cs="Times New Roman"/>
                <w:sz w:val="20"/>
                <w:szCs w:val="20"/>
              </w:rPr>
            </w:pPr>
            <w:r w:rsidRPr="00EF406F">
              <w:rPr>
                <w:rFonts w:ascii="Times New Roman" w:hAnsi="Times New Roman" w:cs="Times New Roman"/>
                <w:sz w:val="20"/>
                <w:szCs w:val="20"/>
              </w:rPr>
              <w:t>integrităţii nr.82 din 25 mai 2017).</w:t>
            </w:r>
          </w:p>
        </w:tc>
        <w:tc>
          <w:tcPr>
            <w:tcW w:w="3436" w:type="dxa"/>
          </w:tcPr>
          <w:p w14:paraId="4E816CFB" w14:textId="12CB0038" w:rsidR="00C53832" w:rsidRDefault="00284B25" w:rsidP="00650C80">
            <w:pPr>
              <w:tabs>
                <w:tab w:val="left" w:pos="8505"/>
              </w:tabs>
              <w:jc w:val="both"/>
              <w:rPr>
                <w:rFonts w:ascii="Times New Roman" w:hAnsi="Times New Roman" w:cs="Times New Roman"/>
                <w:b/>
                <w:sz w:val="20"/>
                <w:szCs w:val="20"/>
                <w:lang w:val="ro-RO"/>
              </w:rPr>
            </w:pPr>
            <w:r w:rsidRPr="00284B25">
              <w:rPr>
                <w:rFonts w:ascii="Times New Roman" w:hAnsi="Times New Roman" w:cs="Times New Roman"/>
                <w:b/>
                <w:sz w:val="20"/>
                <w:szCs w:val="20"/>
                <w:lang w:val="ro-RO"/>
              </w:rPr>
              <w:lastRenderedPageBreak/>
              <w:t>Se ia act</w:t>
            </w:r>
          </w:p>
        </w:tc>
      </w:tr>
    </w:tbl>
    <w:p w14:paraId="6E670417" w14:textId="77777777" w:rsidR="00D951CE" w:rsidRDefault="00D951CE">
      <w:pPr>
        <w:tabs>
          <w:tab w:val="left" w:pos="8505"/>
        </w:tabs>
        <w:rPr>
          <w:rFonts w:ascii="Times New Roman" w:hAnsi="Times New Roman" w:cs="Times New Roman"/>
          <w:sz w:val="20"/>
          <w:szCs w:val="20"/>
          <w:lang w:val="ro-RO"/>
        </w:rPr>
      </w:pPr>
      <w:bookmarkStart w:id="0" w:name="_GoBack"/>
      <w:bookmarkEnd w:id="0"/>
    </w:p>
    <w:sectPr w:rsidR="00D951CE">
      <w:footerReference w:type="default" r:id="rId9"/>
      <w:pgSz w:w="15840" w:h="12240" w:orient="landscape"/>
      <w:pgMar w:top="993" w:right="851"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9D5FF" w14:textId="77777777" w:rsidR="005139D0" w:rsidRDefault="005139D0">
      <w:pPr>
        <w:spacing w:after="0" w:line="240" w:lineRule="auto"/>
      </w:pPr>
      <w:r>
        <w:separator/>
      </w:r>
    </w:p>
  </w:endnote>
  <w:endnote w:type="continuationSeparator" w:id="0">
    <w:p w14:paraId="3414AEF1" w14:textId="77777777" w:rsidR="005139D0" w:rsidRDefault="00513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995018"/>
      <w:docPartObj>
        <w:docPartGallery w:val="Page Numbers (Bottom of Page)"/>
        <w:docPartUnique/>
      </w:docPartObj>
    </w:sdtPr>
    <w:sdtEndPr/>
    <w:sdtContent>
      <w:p w14:paraId="6E0A13C8" w14:textId="31879B5B" w:rsidR="00457EC3" w:rsidRDefault="00457EC3">
        <w:pPr>
          <w:pStyle w:val="Subsol"/>
          <w:jc w:val="right"/>
        </w:pPr>
        <w:r>
          <w:fldChar w:fldCharType="begin"/>
        </w:r>
        <w:r>
          <w:instrText>PAGE   \* MERGEFORMAT</w:instrText>
        </w:r>
        <w:r>
          <w:fldChar w:fldCharType="separate"/>
        </w:r>
        <w:r w:rsidR="00284B25" w:rsidRPr="00284B25">
          <w:rPr>
            <w:noProof/>
            <w:lang w:val="ro-RO"/>
          </w:rPr>
          <w:t>97</w:t>
        </w:r>
        <w:r>
          <w:fldChar w:fldCharType="end"/>
        </w:r>
      </w:p>
    </w:sdtContent>
  </w:sdt>
  <w:p w14:paraId="13A5D872" w14:textId="77777777" w:rsidR="00457EC3" w:rsidRDefault="00457EC3">
    <w:pPr>
      <w:pStyle w:val="Subsol"/>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B7435" w14:textId="77777777" w:rsidR="005139D0" w:rsidRDefault="005139D0">
      <w:pPr>
        <w:spacing w:after="0" w:line="240" w:lineRule="auto"/>
      </w:pPr>
      <w:r>
        <w:separator/>
      </w:r>
    </w:p>
  </w:footnote>
  <w:footnote w:type="continuationSeparator" w:id="0">
    <w:p w14:paraId="07FA9CB1" w14:textId="77777777" w:rsidR="005139D0" w:rsidRDefault="00513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66C998"/>
    <w:multiLevelType w:val="hybridMultilevel"/>
    <w:tmpl w:val="9F8648A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8EBA3D"/>
    <w:multiLevelType w:val="hybridMultilevel"/>
    <w:tmpl w:val="A3B61F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5042F"/>
    <w:multiLevelType w:val="multilevel"/>
    <w:tmpl w:val="65C2339C"/>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975EFD"/>
    <w:multiLevelType w:val="multilevel"/>
    <w:tmpl w:val="B55ABDA2"/>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04AB4343"/>
    <w:multiLevelType w:val="multilevel"/>
    <w:tmpl w:val="59DCB3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EA54E6"/>
    <w:multiLevelType w:val="multilevel"/>
    <w:tmpl w:val="66B471F0"/>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0CDA3F27"/>
    <w:multiLevelType w:val="multilevel"/>
    <w:tmpl w:val="A678D6B0"/>
    <w:lvl w:ilvl="0">
      <w:start w:val="10"/>
      <w:numFmt w:val="decimal"/>
      <w:lvlText w:val="%1."/>
      <w:lvlJc w:val="left"/>
      <w:pPr>
        <w:ind w:left="360" w:hanging="360"/>
      </w:pPr>
      <w:rPr>
        <w:rFonts w:hint="default"/>
        <w:b/>
      </w:rPr>
    </w:lvl>
    <w:lvl w:ilvl="1">
      <w:start w:val="1"/>
      <w:numFmt w:val="decimal"/>
      <w:isLgl/>
      <w:lvlText w:val="%1.%2."/>
      <w:lvlJc w:val="left"/>
      <w:pPr>
        <w:ind w:left="689"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C743F25"/>
    <w:multiLevelType w:val="multilevel"/>
    <w:tmpl w:val="741E3CA6"/>
    <w:lvl w:ilvl="0">
      <w:start w:val="1"/>
      <w:numFmt w:val="decimal"/>
      <w:lvlText w:val="%1."/>
      <w:lvlJc w:val="left"/>
      <w:pPr>
        <w:ind w:left="1068" w:hanging="360"/>
      </w:pPr>
      <w:rPr>
        <w:rFonts w:hint="default"/>
        <w:b/>
        <w:bCs/>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1E211F11"/>
    <w:multiLevelType w:val="multilevel"/>
    <w:tmpl w:val="2C1466F2"/>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A5F03"/>
    <w:multiLevelType w:val="multilevel"/>
    <w:tmpl w:val="A964EA5A"/>
    <w:lvl w:ilvl="0">
      <w:start w:val="1"/>
      <w:numFmt w:val="decimal"/>
      <w:lvlText w:val="%1."/>
      <w:lvlJc w:val="left"/>
      <w:pPr>
        <w:ind w:left="142" w:hanging="428"/>
      </w:pPr>
      <w:rPr>
        <w:rFonts w:ascii="Times New Roman" w:eastAsia="Times New Roman" w:hAnsi="Times New Roman" w:cs="Times New Roman" w:hint="default"/>
        <w:b/>
        <w:bCs/>
        <w:i w:val="0"/>
        <w:iCs w:val="0"/>
        <w:spacing w:val="0"/>
        <w:w w:val="100"/>
        <w:sz w:val="20"/>
        <w:szCs w:val="20"/>
        <w:lang w:val="ro-RO" w:eastAsia="en-US" w:bidi="ar-SA"/>
      </w:rPr>
    </w:lvl>
    <w:lvl w:ilvl="1">
      <w:start w:val="1"/>
      <w:numFmt w:val="decimal"/>
      <w:lvlText w:val="%1.%2."/>
      <w:lvlJc w:val="left"/>
      <w:pPr>
        <w:ind w:left="142" w:hanging="612"/>
      </w:pPr>
      <w:rPr>
        <w:rFonts w:ascii="Times New Roman" w:eastAsia="Times New Roman" w:hAnsi="Times New Roman" w:cs="Times New Roman" w:hint="default"/>
        <w:b w:val="0"/>
        <w:bCs w:val="0"/>
        <w:i w:val="0"/>
        <w:iCs w:val="0"/>
        <w:spacing w:val="-1"/>
        <w:w w:val="100"/>
        <w:sz w:val="28"/>
        <w:szCs w:val="28"/>
        <w:lang w:val="ro-RO" w:eastAsia="en-US" w:bidi="ar-SA"/>
      </w:rPr>
    </w:lvl>
    <w:lvl w:ilvl="2">
      <w:start w:val="1"/>
      <w:numFmt w:val="decimal"/>
      <w:lvlText w:val="%1.%2.%3."/>
      <w:lvlJc w:val="left"/>
      <w:pPr>
        <w:ind w:left="142" w:hanging="713"/>
      </w:pPr>
      <w:rPr>
        <w:rFonts w:ascii="Times New Roman" w:eastAsia="Times New Roman" w:hAnsi="Times New Roman" w:cs="Times New Roman" w:hint="default"/>
        <w:b w:val="0"/>
        <w:bCs w:val="0"/>
        <w:i w:val="0"/>
        <w:iCs w:val="0"/>
        <w:spacing w:val="-3"/>
        <w:w w:val="99"/>
        <w:sz w:val="28"/>
        <w:szCs w:val="28"/>
        <w:lang w:val="ro-RO" w:eastAsia="en-US" w:bidi="ar-SA"/>
      </w:rPr>
    </w:lvl>
    <w:lvl w:ilvl="3">
      <w:numFmt w:val="bullet"/>
      <w:lvlText w:val="•"/>
      <w:lvlJc w:val="left"/>
      <w:pPr>
        <w:ind w:left="980" w:hanging="713"/>
      </w:pPr>
      <w:rPr>
        <w:rFonts w:hint="default"/>
        <w:lang w:val="ro-RO" w:eastAsia="en-US" w:bidi="ar-SA"/>
      </w:rPr>
    </w:lvl>
    <w:lvl w:ilvl="4">
      <w:numFmt w:val="bullet"/>
      <w:lvlText w:val="•"/>
      <w:lvlJc w:val="left"/>
      <w:pPr>
        <w:ind w:left="1000" w:hanging="713"/>
      </w:pPr>
      <w:rPr>
        <w:rFonts w:hint="default"/>
        <w:lang w:val="ro-RO" w:eastAsia="en-US" w:bidi="ar-SA"/>
      </w:rPr>
    </w:lvl>
    <w:lvl w:ilvl="5">
      <w:numFmt w:val="bullet"/>
      <w:lvlText w:val="•"/>
      <w:lvlJc w:val="left"/>
      <w:pPr>
        <w:ind w:left="1060" w:hanging="713"/>
      </w:pPr>
      <w:rPr>
        <w:rFonts w:hint="default"/>
        <w:lang w:val="ro-RO" w:eastAsia="en-US" w:bidi="ar-SA"/>
      </w:rPr>
    </w:lvl>
    <w:lvl w:ilvl="6">
      <w:numFmt w:val="bullet"/>
      <w:lvlText w:val="•"/>
      <w:lvlJc w:val="left"/>
      <w:pPr>
        <w:ind w:left="1120" w:hanging="713"/>
      </w:pPr>
      <w:rPr>
        <w:rFonts w:hint="default"/>
        <w:lang w:val="ro-RO" w:eastAsia="en-US" w:bidi="ar-SA"/>
      </w:rPr>
    </w:lvl>
    <w:lvl w:ilvl="7">
      <w:numFmt w:val="bullet"/>
      <w:lvlText w:val="•"/>
      <w:lvlJc w:val="left"/>
      <w:pPr>
        <w:ind w:left="1140" w:hanging="713"/>
      </w:pPr>
      <w:rPr>
        <w:rFonts w:hint="default"/>
        <w:lang w:val="ro-RO" w:eastAsia="en-US" w:bidi="ar-SA"/>
      </w:rPr>
    </w:lvl>
    <w:lvl w:ilvl="8">
      <w:numFmt w:val="bullet"/>
      <w:lvlText w:val="•"/>
      <w:lvlJc w:val="left"/>
      <w:pPr>
        <w:ind w:left="3973" w:hanging="713"/>
      </w:pPr>
      <w:rPr>
        <w:rFonts w:hint="default"/>
        <w:lang w:val="ro-RO" w:eastAsia="en-US" w:bidi="ar-SA"/>
      </w:rPr>
    </w:lvl>
  </w:abstractNum>
  <w:abstractNum w:abstractNumId="10" w15:restartNumberingAfterBreak="0">
    <w:nsid w:val="22A37C07"/>
    <w:multiLevelType w:val="multilevel"/>
    <w:tmpl w:val="D15AFD9C"/>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1" w15:restartNumberingAfterBreak="0">
    <w:nsid w:val="25781A08"/>
    <w:multiLevelType w:val="multilevel"/>
    <w:tmpl w:val="D0B40558"/>
    <w:lvl w:ilvl="0">
      <w:start w:val="4"/>
      <w:numFmt w:val="low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2E1C2324"/>
    <w:multiLevelType w:val="hybridMultilevel"/>
    <w:tmpl w:val="C3B45992"/>
    <w:lvl w:ilvl="0" w:tplc="9EA008C2">
      <w:start w:val="1"/>
      <w:numFmt w:val="decimal"/>
      <w:lvlText w:val="%1."/>
      <w:lvlJc w:val="left"/>
      <w:pPr>
        <w:ind w:left="142" w:hanging="356"/>
      </w:pPr>
      <w:rPr>
        <w:rFonts w:ascii="Times New Roman" w:eastAsia="Times New Roman" w:hAnsi="Times New Roman" w:cs="Times New Roman" w:hint="default"/>
        <w:b w:val="0"/>
        <w:bCs w:val="0"/>
        <w:i w:val="0"/>
        <w:iCs w:val="0"/>
        <w:spacing w:val="0"/>
        <w:w w:val="100"/>
        <w:sz w:val="28"/>
        <w:szCs w:val="28"/>
        <w:lang w:val="ro-RO" w:eastAsia="en-US" w:bidi="ar-SA"/>
      </w:rPr>
    </w:lvl>
    <w:lvl w:ilvl="1" w:tplc="5936D150">
      <w:numFmt w:val="bullet"/>
      <w:lvlText w:val="•"/>
      <w:lvlJc w:val="left"/>
      <w:pPr>
        <w:ind w:left="1089" w:hanging="356"/>
      </w:pPr>
      <w:rPr>
        <w:rFonts w:hint="default"/>
        <w:lang w:val="ro-RO" w:eastAsia="en-US" w:bidi="ar-SA"/>
      </w:rPr>
    </w:lvl>
    <w:lvl w:ilvl="2" w:tplc="82F8FE3C">
      <w:numFmt w:val="bullet"/>
      <w:lvlText w:val="•"/>
      <w:lvlJc w:val="left"/>
      <w:pPr>
        <w:ind w:left="2039" w:hanging="356"/>
      </w:pPr>
      <w:rPr>
        <w:rFonts w:hint="default"/>
        <w:lang w:val="ro-RO" w:eastAsia="en-US" w:bidi="ar-SA"/>
      </w:rPr>
    </w:lvl>
    <w:lvl w:ilvl="3" w:tplc="CC56797E">
      <w:numFmt w:val="bullet"/>
      <w:lvlText w:val="•"/>
      <w:lvlJc w:val="left"/>
      <w:pPr>
        <w:ind w:left="2989" w:hanging="356"/>
      </w:pPr>
      <w:rPr>
        <w:rFonts w:hint="default"/>
        <w:lang w:val="ro-RO" w:eastAsia="en-US" w:bidi="ar-SA"/>
      </w:rPr>
    </w:lvl>
    <w:lvl w:ilvl="4" w:tplc="337216A4">
      <w:numFmt w:val="bullet"/>
      <w:lvlText w:val="•"/>
      <w:lvlJc w:val="left"/>
      <w:pPr>
        <w:ind w:left="3939" w:hanging="356"/>
      </w:pPr>
      <w:rPr>
        <w:rFonts w:hint="default"/>
        <w:lang w:val="ro-RO" w:eastAsia="en-US" w:bidi="ar-SA"/>
      </w:rPr>
    </w:lvl>
    <w:lvl w:ilvl="5" w:tplc="EB748760">
      <w:numFmt w:val="bullet"/>
      <w:lvlText w:val="•"/>
      <w:lvlJc w:val="left"/>
      <w:pPr>
        <w:ind w:left="4889" w:hanging="356"/>
      </w:pPr>
      <w:rPr>
        <w:rFonts w:hint="default"/>
        <w:lang w:val="ro-RO" w:eastAsia="en-US" w:bidi="ar-SA"/>
      </w:rPr>
    </w:lvl>
    <w:lvl w:ilvl="6" w:tplc="105E58A4">
      <w:numFmt w:val="bullet"/>
      <w:lvlText w:val="•"/>
      <w:lvlJc w:val="left"/>
      <w:pPr>
        <w:ind w:left="5839" w:hanging="356"/>
      </w:pPr>
      <w:rPr>
        <w:rFonts w:hint="default"/>
        <w:lang w:val="ro-RO" w:eastAsia="en-US" w:bidi="ar-SA"/>
      </w:rPr>
    </w:lvl>
    <w:lvl w:ilvl="7" w:tplc="FEAE22BE">
      <w:numFmt w:val="bullet"/>
      <w:lvlText w:val="•"/>
      <w:lvlJc w:val="left"/>
      <w:pPr>
        <w:ind w:left="6789" w:hanging="356"/>
      </w:pPr>
      <w:rPr>
        <w:rFonts w:hint="default"/>
        <w:lang w:val="ro-RO" w:eastAsia="en-US" w:bidi="ar-SA"/>
      </w:rPr>
    </w:lvl>
    <w:lvl w:ilvl="8" w:tplc="2D8E1C8E">
      <w:numFmt w:val="bullet"/>
      <w:lvlText w:val="•"/>
      <w:lvlJc w:val="left"/>
      <w:pPr>
        <w:ind w:left="7739" w:hanging="356"/>
      </w:pPr>
      <w:rPr>
        <w:rFonts w:hint="default"/>
        <w:lang w:val="ro-RO" w:eastAsia="en-US" w:bidi="ar-SA"/>
      </w:rPr>
    </w:lvl>
  </w:abstractNum>
  <w:abstractNum w:abstractNumId="13" w15:restartNumberingAfterBreak="0">
    <w:nsid w:val="3B5C6D03"/>
    <w:multiLevelType w:val="hybridMultilevel"/>
    <w:tmpl w:val="CC36E0EE"/>
    <w:lvl w:ilvl="0" w:tplc="0E0C51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EDD54A4"/>
    <w:multiLevelType w:val="multilevel"/>
    <w:tmpl w:val="A1C8E8F6"/>
    <w:lvl w:ilvl="0">
      <w:start w:val="1"/>
      <w:numFmt w:val="lowerLetter"/>
      <w:lvlText w:val="眜&amp;䭺欘볮蠌࿿࿿࿿࿿࿿࿿࿿࿿࿿詐ᇭꁬĶ"/>
      <w:lvlJc w:val="left"/>
    </w:lvl>
    <w:lvl w:ilvl="1">
      <w:numFmt w:val="decimal"/>
      <w:lvlText w:val="眜&amp;䭺欘볮蠌࿿࿿࿿࿿࿿࿿࿿࿿࿿詐ᇭꁬĶ"/>
      <w:lvlJc w:val="left"/>
    </w:lvl>
    <w:lvl w:ilvl="2">
      <w:numFmt w:val="decimal"/>
      <w:lvlText w:val="眜&amp;䭺欘볮蠌࿿࿿࿿࿿࿿࿿࿿࿿࿿詐ᇭꁬĶ"/>
      <w:lvlJc w:val="left"/>
    </w:lvl>
    <w:lvl w:ilvl="3">
      <w:numFmt w:val="decimal"/>
      <w:lvlText w:val="眜&amp;䭺欘볮蠌࿿࿿࿿࿿࿿࿿࿿࿿࿿詐ᇭꁬĶ"/>
      <w:lvlJc w:val="left"/>
    </w:lvl>
    <w:lvl w:ilvl="4">
      <w:numFmt w:val="decimal"/>
      <w:lvlText w:val="眜&amp;䭺欘볮蠌࿿࿿࿿࿿࿿࿿࿿࿿࿿詐ᇭꁬĶ"/>
      <w:lvlJc w:val="left"/>
    </w:lvl>
    <w:lvl w:ilvl="5">
      <w:numFmt w:val="decimal"/>
      <w:lvlText w:val="眜&amp;䭺欘볮蠌࿿࿿࿿࿿࿿࿿࿿࿿࿿詐ᇭꁬĶ"/>
      <w:lvlJc w:val="left"/>
    </w:lvl>
    <w:lvl w:ilvl="6">
      <w:numFmt w:val="decimal"/>
      <w:lvlText w:val="眜&amp;䭺欘볮蠌࿿࿿࿿࿿࿿࿿࿿࿿࿿詐ᇭꁬĶ"/>
      <w:lvlJc w:val="left"/>
    </w:lvl>
    <w:lvl w:ilvl="7">
      <w:numFmt w:val="decimal"/>
      <w:lvlText w:val="眜&amp;䭺欘볮蠌࿿࿿࿿࿿࿿࿿࿿࿿࿿詐ᇭꁬĶ"/>
      <w:lvlJc w:val="left"/>
    </w:lvl>
    <w:lvl w:ilvl="8">
      <w:numFmt w:val="decimal"/>
      <w:lvlText w:val="眜&amp;䭺欘볮蠌࿿࿿࿿࿿࿿࿿࿿࿿࿿詐ᇭꁬĶ"/>
      <w:lvlJc w:val="left"/>
    </w:lvl>
  </w:abstractNum>
  <w:abstractNum w:abstractNumId="15" w15:restartNumberingAfterBreak="0">
    <w:nsid w:val="41E939CA"/>
    <w:multiLevelType w:val="multilevel"/>
    <w:tmpl w:val="94CCE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34814"/>
    <w:multiLevelType w:val="multilevel"/>
    <w:tmpl w:val="C9BCAB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D49769F"/>
    <w:multiLevelType w:val="hybridMultilevel"/>
    <w:tmpl w:val="AB22E564"/>
    <w:lvl w:ilvl="0" w:tplc="BC92DE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156AA3"/>
    <w:multiLevelType w:val="hybridMultilevel"/>
    <w:tmpl w:val="B2FA95B0"/>
    <w:lvl w:ilvl="0" w:tplc="91C48F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200D5"/>
    <w:multiLevelType w:val="multilevel"/>
    <w:tmpl w:val="3FFAD32E"/>
    <w:lvl w:ilvl="0">
      <w:start w:val="2"/>
      <w:numFmt w:val="bullet"/>
      <w:lvlText w:val="-"/>
      <w:lvlJc w:val="left"/>
      <w:pPr>
        <w:ind w:left="1069" w:hanging="360"/>
      </w:pPr>
      <w:rPr>
        <w:rFonts w:ascii="Times New Roman" w:eastAsia="Calibri"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0" w15:restartNumberingAfterBreak="0">
    <w:nsid w:val="63E6367F"/>
    <w:multiLevelType w:val="multilevel"/>
    <w:tmpl w:val="E75E805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643871E6"/>
    <w:multiLevelType w:val="multilevel"/>
    <w:tmpl w:val="87EE460C"/>
    <w:lvl w:ilvl="0">
      <w:start w:val="4"/>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4236EC"/>
    <w:multiLevelType w:val="multilevel"/>
    <w:tmpl w:val="9292842E"/>
    <w:lvl w:ilvl="0">
      <w:start w:val="4"/>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BF7DD4"/>
    <w:multiLevelType w:val="multilevel"/>
    <w:tmpl w:val="147C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184B7A"/>
    <w:multiLevelType w:val="multilevel"/>
    <w:tmpl w:val="880CBC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A00436"/>
    <w:multiLevelType w:val="multilevel"/>
    <w:tmpl w:val="568E0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1415E7"/>
    <w:multiLevelType w:val="hybridMultilevel"/>
    <w:tmpl w:val="C679D8D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E816DF8"/>
    <w:multiLevelType w:val="multilevel"/>
    <w:tmpl w:val="3028C8FA"/>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4"/>
  </w:num>
  <w:num w:numId="2">
    <w:abstractNumId w:val="27"/>
  </w:num>
  <w:num w:numId="3">
    <w:abstractNumId w:val="7"/>
  </w:num>
  <w:num w:numId="4">
    <w:abstractNumId w:val="5"/>
  </w:num>
  <w:num w:numId="5">
    <w:abstractNumId w:val="3"/>
  </w:num>
  <w:num w:numId="6">
    <w:abstractNumId w:val="19"/>
  </w:num>
  <w:num w:numId="7">
    <w:abstractNumId w:val="21"/>
  </w:num>
  <w:num w:numId="8">
    <w:abstractNumId w:val="16"/>
  </w:num>
  <w:num w:numId="9">
    <w:abstractNumId w:val="24"/>
  </w:num>
  <w:num w:numId="10">
    <w:abstractNumId w:val="10"/>
  </w:num>
  <w:num w:numId="11">
    <w:abstractNumId w:val="15"/>
  </w:num>
  <w:num w:numId="12">
    <w:abstractNumId w:val="8"/>
  </w:num>
  <w:num w:numId="13">
    <w:abstractNumId w:val="22"/>
  </w:num>
  <w:num w:numId="14">
    <w:abstractNumId w:val="20"/>
  </w:num>
  <w:num w:numId="15">
    <w:abstractNumId w:val="11"/>
  </w:num>
  <w:num w:numId="16">
    <w:abstractNumId w:val="14"/>
  </w:num>
  <w:num w:numId="17">
    <w:abstractNumId w:val="2"/>
  </w:num>
  <w:num w:numId="18">
    <w:abstractNumId w:val="9"/>
  </w:num>
  <w:num w:numId="19">
    <w:abstractNumId w:val="6"/>
  </w:num>
  <w:num w:numId="20">
    <w:abstractNumId w:val="12"/>
  </w:num>
  <w:num w:numId="21">
    <w:abstractNumId w:val="23"/>
  </w:num>
  <w:num w:numId="22">
    <w:abstractNumId w:val="25"/>
  </w:num>
  <w:num w:numId="23">
    <w:abstractNumId w:val="26"/>
  </w:num>
  <w:num w:numId="24">
    <w:abstractNumId w:val="0"/>
  </w:num>
  <w:num w:numId="25">
    <w:abstractNumId w:val="1"/>
  </w:num>
  <w:num w:numId="26">
    <w:abstractNumId w:val="18"/>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27"/>
    <w:rsid w:val="0000688D"/>
    <w:rsid w:val="000113D3"/>
    <w:rsid w:val="00014740"/>
    <w:rsid w:val="00017136"/>
    <w:rsid w:val="0003195C"/>
    <w:rsid w:val="00032ED3"/>
    <w:rsid w:val="00040FEC"/>
    <w:rsid w:val="00045FD2"/>
    <w:rsid w:val="00046D23"/>
    <w:rsid w:val="00052892"/>
    <w:rsid w:val="00054EAC"/>
    <w:rsid w:val="00055657"/>
    <w:rsid w:val="00057657"/>
    <w:rsid w:val="00060388"/>
    <w:rsid w:val="00083227"/>
    <w:rsid w:val="00083BDF"/>
    <w:rsid w:val="00087168"/>
    <w:rsid w:val="00095E78"/>
    <w:rsid w:val="000B0A7F"/>
    <w:rsid w:val="000B7C33"/>
    <w:rsid w:val="000C24AC"/>
    <w:rsid w:val="000C4889"/>
    <w:rsid w:val="000D2638"/>
    <w:rsid w:val="000F07B2"/>
    <w:rsid w:val="000F2CDE"/>
    <w:rsid w:val="000F5CC2"/>
    <w:rsid w:val="000F65DA"/>
    <w:rsid w:val="00102D26"/>
    <w:rsid w:val="001050E3"/>
    <w:rsid w:val="00105148"/>
    <w:rsid w:val="001115CF"/>
    <w:rsid w:val="00117FBC"/>
    <w:rsid w:val="00121250"/>
    <w:rsid w:val="00127C76"/>
    <w:rsid w:val="0014153E"/>
    <w:rsid w:val="001440EC"/>
    <w:rsid w:val="00151C7E"/>
    <w:rsid w:val="00154388"/>
    <w:rsid w:val="00164484"/>
    <w:rsid w:val="00166C41"/>
    <w:rsid w:val="00174B97"/>
    <w:rsid w:val="0017603D"/>
    <w:rsid w:val="00181C0B"/>
    <w:rsid w:val="001862F1"/>
    <w:rsid w:val="00186986"/>
    <w:rsid w:val="00193B99"/>
    <w:rsid w:val="00194785"/>
    <w:rsid w:val="001A3146"/>
    <w:rsid w:val="001B4FCE"/>
    <w:rsid w:val="001B5580"/>
    <w:rsid w:val="001C21EF"/>
    <w:rsid w:val="001C66B3"/>
    <w:rsid w:val="001D3306"/>
    <w:rsid w:val="001E264E"/>
    <w:rsid w:val="001E63DD"/>
    <w:rsid w:val="001F0E53"/>
    <w:rsid w:val="001F26C0"/>
    <w:rsid w:val="001F2700"/>
    <w:rsid w:val="00201704"/>
    <w:rsid w:val="0020293F"/>
    <w:rsid w:val="0021766B"/>
    <w:rsid w:val="00221B50"/>
    <w:rsid w:val="00231688"/>
    <w:rsid w:val="0023574D"/>
    <w:rsid w:val="002406DC"/>
    <w:rsid w:val="0025168C"/>
    <w:rsid w:val="00253F55"/>
    <w:rsid w:val="002574BA"/>
    <w:rsid w:val="00257B72"/>
    <w:rsid w:val="002638BD"/>
    <w:rsid w:val="00264EE4"/>
    <w:rsid w:val="00265FE6"/>
    <w:rsid w:val="00274758"/>
    <w:rsid w:val="00274D20"/>
    <w:rsid w:val="0027634A"/>
    <w:rsid w:val="00284B25"/>
    <w:rsid w:val="00286B46"/>
    <w:rsid w:val="00286D7C"/>
    <w:rsid w:val="00293C91"/>
    <w:rsid w:val="00297583"/>
    <w:rsid w:val="002A277D"/>
    <w:rsid w:val="002A34BD"/>
    <w:rsid w:val="002A4D84"/>
    <w:rsid w:val="002B5843"/>
    <w:rsid w:val="002C25F4"/>
    <w:rsid w:val="002D48EA"/>
    <w:rsid w:val="002D4A69"/>
    <w:rsid w:val="002E5686"/>
    <w:rsid w:val="002E612E"/>
    <w:rsid w:val="002F054A"/>
    <w:rsid w:val="002F6230"/>
    <w:rsid w:val="003008C5"/>
    <w:rsid w:val="00302916"/>
    <w:rsid w:val="00305896"/>
    <w:rsid w:val="00307A1A"/>
    <w:rsid w:val="00311701"/>
    <w:rsid w:val="00317372"/>
    <w:rsid w:val="003218CF"/>
    <w:rsid w:val="003312F5"/>
    <w:rsid w:val="00341631"/>
    <w:rsid w:val="00344A13"/>
    <w:rsid w:val="003572DA"/>
    <w:rsid w:val="00371097"/>
    <w:rsid w:val="00373E83"/>
    <w:rsid w:val="003759D2"/>
    <w:rsid w:val="00397551"/>
    <w:rsid w:val="003B51AA"/>
    <w:rsid w:val="003B536D"/>
    <w:rsid w:val="003C79D2"/>
    <w:rsid w:val="003D0729"/>
    <w:rsid w:val="003D570B"/>
    <w:rsid w:val="003E3183"/>
    <w:rsid w:val="003E6901"/>
    <w:rsid w:val="003E790D"/>
    <w:rsid w:val="00405D37"/>
    <w:rsid w:val="00414914"/>
    <w:rsid w:val="0041636A"/>
    <w:rsid w:val="00417338"/>
    <w:rsid w:val="00417ECE"/>
    <w:rsid w:val="004229F4"/>
    <w:rsid w:val="00427C85"/>
    <w:rsid w:val="00454CE0"/>
    <w:rsid w:val="00457740"/>
    <w:rsid w:val="00457EC3"/>
    <w:rsid w:val="004622CB"/>
    <w:rsid w:val="004629C5"/>
    <w:rsid w:val="004658BB"/>
    <w:rsid w:val="004779EA"/>
    <w:rsid w:val="004976AE"/>
    <w:rsid w:val="00497EF8"/>
    <w:rsid w:val="004A0DC2"/>
    <w:rsid w:val="004A6E6B"/>
    <w:rsid w:val="004B09A8"/>
    <w:rsid w:val="004B2380"/>
    <w:rsid w:val="004B5017"/>
    <w:rsid w:val="004C5BB9"/>
    <w:rsid w:val="004D0445"/>
    <w:rsid w:val="004D12F9"/>
    <w:rsid w:val="004E1C86"/>
    <w:rsid w:val="004E3042"/>
    <w:rsid w:val="004F1188"/>
    <w:rsid w:val="004F36A0"/>
    <w:rsid w:val="005011C8"/>
    <w:rsid w:val="0051115B"/>
    <w:rsid w:val="00511C75"/>
    <w:rsid w:val="00512851"/>
    <w:rsid w:val="005139D0"/>
    <w:rsid w:val="0052158F"/>
    <w:rsid w:val="005239B1"/>
    <w:rsid w:val="00536796"/>
    <w:rsid w:val="005419BB"/>
    <w:rsid w:val="00543018"/>
    <w:rsid w:val="00557B7C"/>
    <w:rsid w:val="00562BC7"/>
    <w:rsid w:val="00566AE5"/>
    <w:rsid w:val="005833A9"/>
    <w:rsid w:val="005A0956"/>
    <w:rsid w:val="005C1357"/>
    <w:rsid w:val="005C715C"/>
    <w:rsid w:val="005D29BA"/>
    <w:rsid w:val="005D545A"/>
    <w:rsid w:val="005D5D74"/>
    <w:rsid w:val="005D7314"/>
    <w:rsid w:val="005E010E"/>
    <w:rsid w:val="005E2B75"/>
    <w:rsid w:val="005E6D90"/>
    <w:rsid w:val="005F53EF"/>
    <w:rsid w:val="005F56DA"/>
    <w:rsid w:val="00616183"/>
    <w:rsid w:val="00625531"/>
    <w:rsid w:val="0063169D"/>
    <w:rsid w:val="006359B8"/>
    <w:rsid w:val="00636E18"/>
    <w:rsid w:val="00643145"/>
    <w:rsid w:val="00645D53"/>
    <w:rsid w:val="00650C80"/>
    <w:rsid w:val="00651140"/>
    <w:rsid w:val="00651E8F"/>
    <w:rsid w:val="006533AC"/>
    <w:rsid w:val="006545EF"/>
    <w:rsid w:val="006553C5"/>
    <w:rsid w:val="006632B4"/>
    <w:rsid w:val="00671382"/>
    <w:rsid w:val="00674001"/>
    <w:rsid w:val="00674DBB"/>
    <w:rsid w:val="00676CBB"/>
    <w:rsid w:val="00681D3B"/>
    <w:rsid w:val="00682EC5"/>
    <w:rsid w:val="006869DC"/>
    <w:rsid w:val="00687F1A"/>
    <w:rsid w:val="006904A5"/>
    <w:rsid w:val="00696CA3"/>
    <w:rsid w:val="006A1212"/>
    <w:rsid w:val="006A6626"/>
    <w:rsid w:val="006B7C18"/>
    <w:rsid w:val="006C2C5E"/>
    <w:rsid w:val="006C352D"/>
    <w:rsid w:val="006D3918"/>
    <w:rsid w:val="006E6854"/>
    <w:rsid w:val="006F2F6E"/>
    <w:rsid w:val="007113D4"/>
    <w:rsid w:val="00713444"/>
    <w:rsid w:val="00720E22"/>
    <w:rsid w:val="007305DA"/>
    <w:rsid w:val="0074172B"/>
    <w:rsid w:val="00743902"/>
    <w:rsid w:val="0074674B"/>
    <w:rsid w:val="00753F83"/>
    <w:rsid w:val="00760BD0"/>
    <w:rsid w:val="00761B20"/>
    <w:rsid w:val="00762B9F"/>
    <w:rsid w:val="007739EE"/>
    <w:rsid w:val="0078264B"/>
    <w:rsid w:val="00797C0D"/>
    <w:rsid w:val="007A0F33"/>
    <w:rsid w:val="007A11AA"/>
    <w:rsid w:val="007A490A"/>
    <w:rsid w:val="007B279D"/>
    <w:rsid w:val="007C1143"/>
    <w:rsid w:val="007C406C"/>
    <w:rsid w:val="007D23E9"/>
    <w:rsid w:val="007D5191"/>
    <w:rsid w:val="007D5D94"/>
    <w:rsid w:val="007E4439"/>
    <w:rsid w:val="007E7525"/>
    <w:rsid w:val="007F41DF"/>
    <w:rsid w:val="008211B3"/>
    <w:rsid w:val="00830575"/>
    <w:rsid w:val="008373B8"/>
    <w:rsid w:val="00844F1F"/>
    <w:rsid w:val="0085390D"/>
    <w:rsid w:val="008615D6"/>
    <w:rsid w:val="00862FB1"/>
    <w:rsid w:val="008632EF"/>
    <w:rsid w:val="00863A23"/>
    <w:rsid w:val="00864CEA"/>
    <w:rsid w:val="00881744"/>
    <w:rsid w:val="0088390B"/>
    <w:rsid w:val="00891B2B"/>
    <w:rsid w:val="00894BEE"/>
    <w:rsid w:val="008A5E6E"/>
    <w:rsid w:val="008B4DB0"/>
    <w:rsid w:val="008D2E00"/>
    <w:rsid w:val="008E026D"/>
    <w:rsid w:val="008E1CFB"/>
    <w:rsid w:val="008E27CE"/>
    <w:rsid w:val="00913BB0"/>
    <w:rsid w:val="00914425"/>
    <w:rsid w:val="00925203"/>
    <w:rsid w:val="009302D4"/>
    <w:rsid w:val="00942682"/>
    <w:rsid w:val="0094355E"/>
    <w:rsid w:val="00951670"/>
    <w:rsid w:val="00954053"/>
    <w:rsid w:val="0095743C"/>
    <w:rsid w:val="0096625E"/>
    <w:rsid w:val="00977812"/>
    <w:rsid w:val="009817A2"/>
    <w:rsid w:val="00986D8C"/>
    <w:rsid w:val="0099281C"/>
    <w:rsid w:val="0099407B"/>
    <w:rsid w:val="009957C6"/>
    <w:rsid w:val="00996F3E"/>
    <w:rsid w:val="009A55F8"/>
    <w:rsid w:val="009A5C03"/>
    <w:rsid w:val="009A5C76"/>
    <w:rsid w:val="009A63D0"/>
    <w:rsid w:val="009B050A"/>
    <w:rsid w:val="009B2EC3"/>
    <w:rsid w:val="009B6F1E"/>
    <w:rsid w:val="009B7D1B"/>
    <w:rsid w:val="009D4AB8"/>
    <w:rsid w:val="009E31D2"/>
    <w:rsid w:val="009E4D8F"/>
    <w:rsid w:val="009F7644"/>
    <w:rsid w:val="00A03A9C"/>
    <w:rsid w:val="00A208FC"/>
    <w:rsid w:val="00A263E3"/>
    <w:rsid w:val="00A33B7C"/>
    <w:rsid w:val="00A34C17"/>
    <w:rsid w:val="00A416B0"/>
    <w:rsid w:val="00A51289"/>
    <w:rsid w:val="00A66B42"/>
    <w:rsid w:val="00A72D55"/>
    <w:rsid w:val="00A80EEB"/>
    <w:rsid w:val="00A87D8E"/>
    <w:rsid w:val="00A919EA"/>
    <w:rsid w:val="00A92B56"/>
    <w:rsid w:val="00A93811"/>
    <w:rsid w:val="00A94F11"/>
    <w:rsid w:val="00AA032E"/>
    <w:rsid w:val="00AA7D34"/>
    <w:rsid w:val="00AC1D68"/>
    <w:rsid w:val="00AC2AC1"/>
    <w:rsid w:val="00AD597B"/>
    <w:rsid w:val="00AE09B6"/>
    <w:rsid w:val="00AF625C"/>
    <w:rsid w:val="00B0459C"/>
    <w:rsid w:val="00B159AB"/>
    <w:rsid w:val="00B15DB3"/>
    <w:rsid w:val="00B21CB8"/>
    <w:rsid w:val="00B240DC"/>
    <w:rsid w:val="00B27DC3"/>
    <w:rsid w:val="00B31040"/>
    <w:rsid w:val="00B36CF1"/>
    <w:rsid w:val="00B40417"/>
    <w:rsid w:val="00B42FBA"/>
    <w:rsid w:val="00B437BF"/>
    <w:rsid w:val="00B44CB1"/>
    <w:rsid w:val="00B518BE"/>
    <w:rsid w:val="00B51C3C"/>
    <w:rsid w:val="00B5246F"/>
    <w:rsid w:val="00B601EC"/>
    <w:rsid w:val="00B70A3A"/>
    <w:rsid w:val="00B71595"/>
    <w:rsid w:val="00B74770"/>
    <w:rsid w:val="00B75D43"/>
    <w:rsid w:val="00B76E7D"/>
    <w:rsid w:val="00B9012B"/>
    <w:rsid w:val="00B92A81"/>
    <w:rsid w:val="00BA056C"/>
    <w:rsid w:val="00BA6AD5"/>
    <w:rsid w:val="00BB18D5"/>
    <w:rsid w:val="00BC0B7A"/>
    <w:rsid w:val="00BD1068"/>
    <w:rsid w:val="00BD6310"/>
    <w:rsid w:val="00BE2034"/>
    <w:rsid w:val="00BE2478"/>
    <w:rsid w:val="00BE426D"/>
    <w:rsid w:val="00BE6A06"/>
    <w:rsid w:val="00BF0C13"/>
    <w:rsid w:val="00BF1EEE"/>
    <w:rsid w:val="00BF6483"/>
    <w:rsid w:val="00BF723B"/>
    <w:rsid w:val="00C0157E"/>
    <w:rsid w:val="00C01664"/>
    <w:rsid w:val="00C02538"/>
    <w:rsid w:val="00C11A7B"/>
    <w:rsid w:val="00C15804"/>
    <w:rsid w:val="00C211A4"/>
    <w:rsid w:val="00C21A8D"/>
    <w:rsid w:val="00C27C6A"/>
    <w:rsid w:val="00C3303F"/>
    <w:rsid w:val="00C46C93"/>
    <w:rsid w:val="00C50416"/>
    <w:rsid w:val="00C50AA7"/>
    <w:rsid w:val="00C53832"/>
    <w:rsid w:val="00C63D7A"/>
    <w:rsid w:val="00C67B27"/>
    <w:rsid w:val="00C67F53"/>
    <w:rsid w:val="00C719F2"/>
    <w:rsid w:val="00C8246E"/>
    <w:rsid w:val="00C8539D"/>
    <w:rsid w:val="00CA4792"/>
    <w:rsid w:val="00CA6E1F"/>
    <w:rsid w:val="00CB07CF"/>
    <w:rsid w:val="00CD3E8F"/>
    <w:rsid w:val="00CE6313"/>
    <w:rsid w:val="00CE70C6"/>
    <w:rsid w:val="00CF0C10"/>
    <w:rsid w:val="00D133D0"/>
    <w:rsid w:val="00D166A4"/>
    <w:rsid w:val="00D205D5"/>
    <w:rsid w:val="00D307DD"/>
    <w:rsid w:val="00D353C0"/>
    <w:rsid w:val="00D37399"/>
    <w:rsid w:val="00D45417"/>
    <w:rsid w:val="00D45A57"/>
    <w:rsid w:val="00D47575"/>
    <w:rsid w:val="00D4778E"/>
    <w:rsid w:val="00D47D49"/>
    <w:rsid w:val="00D47E14"/>
    <w:rsid w:val="00D56A9F"/>
    <w:rsid w:val="00D60954"/>
    <w:rsid w:val="00D6238C"/>
    <w:rsid w:val="00D65FC6"/>
    <w:rsid w:val="00D71146"/>
    <w:rsid w:val="00D749BF"/>
    <w:rsid w:val="00D76447"/>
    <w:rsid w:val="00D87A14"/>
    <w:rsid w:val="00D94461"/>
    <w:rsid w:val="00D951CE"/>
    <w:rsid w:val="00DA5780"/>
    <w:rsid w:val="00DA6616"/>
    <w:rsid w:val="00DC5A7B"/>
    <w:rsid w:val="00DE6D70"/>
    <w:rsid w:val="00DE7CB8"/>
    <w:rsid w:val="00DF12F0"/>
    <w:rsid w:val="00DF53C1"/>
    <w:rsid w:val="00E0648B"/>
    <w:rsid w:val="00E15101"/>
    <w:rsid w:val="00E21E64"/>
    <w:rsid w:val="00E324EB"/>
    <w:rsid w:val="00E5165A"/>
    <w:rsid w:val="00E6789A"/>
    <w:rsid w:val="00E71384"/>
    <w:rsid w:val="00E7631C"/>
    <w:rsid w:val="00E7633A"/>
    <w:rsid w:val="00E84812"/>
    <w:rsid w:val="00E90647"/>
    <w:rsid w:val="00E97CA9"/>
    <w:rsid w:val="00E97F68"/>
    <w:rsid w:val="00EA0C93"/>
    <w:rsid w:val="00EA1B3D"/>
    <w:rsid w:val="00EA2F9A"/>
    <w:rsid w:val="00EA53FF"/>
    <w:rsid w:val="00EA7BE6"/>
    <w:rsid w:val="00EB579B"/>
    <w:rsid w:val="00EB7BDA"/>
    <w:rsid w:val="00EC02B5"/>
    <w:rsid w:val="00EC0AD8"/>
    <w:rsid w:val="00EC1ADE"/>
    <w:rsid w:val="00EC774B"/>
    <w:rsid w:val="00ED1598"/>
    <w:rsid w:val="00ED5238"/>
    <w:rsid w:val="00ED57F9"/>
    <w:rsid w:val="00EE4B35"/>
    <w:rsid w:val="00EF13FC"/>
    <w:rsid w:val="00EF406F"/>
    <w:rsid w:val="00F21BAE"/>
    <w:rsid w:val="00F34570"/>
    <w:rsid w:val="00F36342"/>
    <w:rsid w:val="00F425B3"/>
    <w:rsid w:val="00F430FE"/>
    <w:rsid w:val="00F57A2F"/>
    <w:rsid w:val="00F612A2"/>
    <w:rsid w:val="00F6151F"/>
    <w:rsid w:val="00F65431"/>
    <w:rsid w:val="00F67983"/>
    <w:rsid w:val="00F71856"/>
    <w:rsid w:val="00F768E7"/>
    <w:rsid w:val="00F77AAB"/>
    <w:rsid w:val="00F839DE"/>
    <w:rsid w:val="00F84E4C"/>
    <w:rsid w:val="00F87BDE"/>
    <w:rsid w:val="00F9367D"/>
    <w:rsid w:val="00F93901"/>
    <w:rsid w:val="00F946CE"/>
    <w:rsid w:val="00F94C8D"/>
    <w:rsid w:val="00F96FA3"/>
    <w:rsid w:val="00F9705B"/>
    <w:rsid w:val="00FA1495"/>
    <w:rsid w:val="00FA51BB"/>
    <w:rsid w:val="00FB5E3A"/>
    <w:rsid w:val="00FC387F"/>
    <w:rsid w:val="00FC7D57"/>
    <w:rsid w:val="00FD30D8"/>
    <w:rsid w:val="00FF2887"/>
    <w:rsid w:val="00FF7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4BC6"/>
  <w15:docId w15:val="{FC203211-CD5F-4751-8748-9BD19173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EC3"/>
  </w:style>
  <w:style w:type="paragraph" w:styleId="Titlu1">
    <w:name w:val="heading 1"/>
    <w:basedOn w:val="Normal"/>
    <w:next w:val="Normal"/>
    <w:link w:val="Titlu1Caracte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lu2">
    <w:name w:val="heading 2"/>
    <w:basedOn w:val="Normal"/>
    <w:next w:val="Normal"/>
    <w:link w:val="Titlu2Caracter"/>
    <w:uiPriority w:val="9"/>
    <w:semiHidden/>
    <w:unhideWhenUsed/>
    <w:qFormat/>
    <w:pPr>
      <w:keepNext/>
      <w:keepLines/>
      <w:spacing w:before="160" w:after="80" w:line="278" w:lineRule="auto"/>
      <w:outlineLvl w:val="1"/>
    </w:pPr>
    <w:rPr>
      <w:rFonts w:asciiTheme="majorHAnsi" w:eastAsiaTheme="majorEastAsia" w:hAnsiTheme="majorHAnsi" w:cstheme="majorBidi"/>
      <w:color w:val="2E74B5" w:themeColor="accent1" w:themeShade="BF"/>
      <w:sz w:val="32"/>
      <w:szCs w:val="32"/>
      <w14:ligatures w14:val="standardContextual"/>
    </w:rPr>
  </w:style>
  <w:style w:type="paragraph" w:styleId="Titlu3">
    <w:name w:val="heading 3"/>
    <w:basedOn w:val="Normal"/>
    <w:next w:val="Normal"/>
    <w:link w:val="Titlu3Caracte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lu4">
    <w:name w:val="heading 4"/>
    <w:basedOn w:val="Normal"/>
    <w:next w:val="Normal"/>
    <w:link w:val="Titlu4Caracte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unhideWhenUsed/>
    <w:qFormat/>
    <w:pPr>
      <w:keepNext/>
      <w:keepLines/>
      <w:spacing w:before="80" w:after="40"/>
      <w:outlineLvl w:val="4"/>
    </w:pPr>
    <w:rPr>
      <w:rFonts w:ascii="Arial" w:eastAsia="Arial" w:hAnsi="Arial" w:cs="Arial"/>
      <w:color w:val="2E74B5" w:themeColor="accent1" w:themeShade="BF"/>
    </w:rPr>
  </w:style>
  <w:style w:type="paragraph" w:styleId="Titlu6">
    <w:name w:val="heading 6"/>
    <w:basedOn w:val="Normal"/>
    <w:next w:val="Normal"/>
    <w:link w:val="Titlu6Caracte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lu7">
    <w:name w:val="heading 7"/>
    <w:basedOn w:val="Normal"/>
    <w:next w:val="Normal"/>
    <w:link w:val="Titlu7Caracter"/>
    <w:uiPriority w:val="9"/>
    <w:unhideWhenUsed/>
    <w:qFormat/>
    <w:pPr>
      <w:keepNext/>
      <w:keepLines/>
      <w:spacing w:before="40" w:after="0"/>
      <w:outlineLvl w:val="6"/>
    </w:pPr>
    <w:rPr>
      <w:rFonts w:ascii="Arial" w:eastAsia="Arial" w:hAnsi="Arial" w:cs="Arial"/>
      <w:color w:val="595959" w:themeColor="text1" w:themeTint="A6"/>
    </w:rPr>
  </w:style>
  <w:style w:type="paragraph" w:styleId="Titlu8">
    <w:name w:val="heading 8"/>
    <w:basedOn w:val="Normal"/>
    <w:next w:val="Normal"/>
    <w:link w:val="Titlu8Caracter"/>
    <w:uiPriority w:val="9"/>
    <w:unhideWhenUsed/>
    <w:qFormat/>
    <w:pPr>
      <w:keepNext/>
      <w:keepLines/>
      <w:spacing w:after="0"/>
      <w:outlineLvl w:val="7"/>
    </w:pPr>
    <w:rPr>
      <w:rFonts w:ascii="Arial" w:eastAsia="Arial" w:hAnsi="Arial" w:cs="Arial"/>
      <w:i/>
      <w:iCs/>
      <w:color w:val="272727" w:themeColor="text1" w:themeTint="D8"/>
    </w:rPr>
  </w:style>
  <w:style w:type="paragraph" w:styleId="Titlu9">
    <w:name w:val="heading 9"/>
    <w:basedOn w:val="Normal"/>
    <w:next w:val="Normal"/>
    <w:link w:val="Titlu9Caracte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Light">
    <w:name w:val="Table Grid Light"/>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simplu1">
    <w:name w:val="Plain Table 1"/>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simplu2">
    <w:name w:val="Plain Table 2"/>
    <w:basedOn w:val="Tabel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simplu3">
    <w:name w:val="Plain Table 3"/>
    <w:basedOn w:val="Tabel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gril2">
    <w:name w:val="Grid Table 2"/>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3">
    <w:name w:val="Grid Table 3"/>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4">
    <w:name w:val="Grid Table 4"/>
    <w:basedOn w:val="Tabel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5ntunecat">
    <w:name w:val="Grid Table 5 Dark"/>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gril6Colorat">
    <w:name w:val="Grid Table 6 Colorful"/>
    <w:basedOn w:val="Tabel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gril7Colorat">
    <w:name w:val="Grid Table 7 Colorful"/>
    <w:basedOn w:val="Tabel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ist1Luminos">
    <w:name w:val="List Table 1 Light"/>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ist2">
    <w:name w:val="List Table 2"/>
    <w:basedOn w:val="Tabel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ist3">
    <w:name w:val="List Table 3"/>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list4">
    <w:name w:val="List Table 4"/>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ist5ntunecat">
    <w:name w:val="List Table 5 Dark"/>
    <w:basedOn w:val="Tabel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ist6Colorat">
    <w:name w:val="List Table 6 Colorful"/>
    <w:basedOn w:val="Tabel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ist7Colorat">
    <w:name w:val="List Table 7 Colorful"/>
    <w:basedOn w:val="Tabel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lu1Caracter">
    <w:name w:val="Titlu 1 Caracter"/>
    <w:basedOn w:val="Fontdeparagrafimplicit"/>
    <w:link w:val="Titlu1"/>
    <w:uiPriority w:val="9"/>
    <w:rPr>
      <w:rFonts w:ascii="Arial" w:eastAsia="Arial" w:hAnsi="Arial" w:cs="Arial"/>
      <w:color w:val="2E74B5" w:themeColor="accent1" w:themeShade="BF"/>
      <w:sz w:val="40"/>
      <w:szCs w:val="40"/>
    </w:rPr>
  </w:style>
  <w:style w:type="character" w:customStyle="1" w:styleId="Heading2Char">
    <w:name w:val="Heading 2 Char"/>
    <w:basedOn w:val="Fontdeparagrafimplicit"/>
    <w:uiPriority w:val="9"/>
    <w:rPr>
      <w:rFonts w:ascii="Arial" w:eastAsia="Arial" w:hAnsi="Arial" w:cs="Arial"/>
      <w:color w:val="2E74B5" w:themeColor="accent1" w:themeShade="BF"/>
      <w:sz w:val="32"/>
      <w:szCs w:val="32"/>
    </w:rPr>
  </w:style>
  <w:style w:type="character" w:customStyle="1" w:styleId="Titlu3Caracter">
    <w:name w:val="Titlu 3 Caracter"/>
    <w:basedOn w:val="Fontdeparagrafimplicit"/>
    <w:link w:val="Titlu3"/>
    <w:uiPriority w:val="9"/>
    <w:rPr>
      <w:rFonts w:ascii="Arial" w:eastAsia="Arial" w:hAnsi="Arial" w:cs="Arial"/>
      <w:color w:val="2E74B5" w:themeColor="accent1" w:themeShade="BF"/>
      <w:sz w:val="28"/>
      <w:szCs w:val="28"/>
    </w:rPr>
  </w:style>
  <w:style w:type="character" w:customStyle="1" w:styleId="Heading4Char">
    <w:name w:val="Heading 4 Char"/>
    <w:basedOn w:val="Fontdeparagrafimplicit"/>
    <w:uiPriority w:val="9"/>
    <w:rPr>
      <w:rFonts w:ascii="Arial" w:eastAsia="Arial" w:hAnsi="Arial" w:cs="Arial"/>
      <w:i/>
      <w:iCs/>
      <w:color w:val="2E74B5" w:themeColor="accent1" w:themeShade="BF"/>
    </w:rPr>
  </w:style>
  <w:style w:type="character" w:customStyle="1" w:styleId="Titlu5Caracter">
    <w:name w:val="Titlu 5 Caracter"/>
    <w:basedOn w:val="Fontdeparagrafimplicit"/>
    <w:link w:val="Titlu5"/>
    <w:uiPriority w:val="9"/>
    <w:rPr>
      <w:rFonts w:ascii="Arial" w:eastAsia="Arial" w:hAnsi="Arial" w:cs="Arial"/>
      <w:color w:val="2E74B5" w:themeColor="accent1" w:themeShade="BF"/>
    </w:rPr>
  </w:style>
  <w:style w:type="character" w:customStyle="1" w:styleId="Titlu6Caracter">
    <w:name w:val="Titlu 6 Caracter"/>
    <w:basedOn w:val="Fontdeparagrafimplicit"/>
    <w:link w:val="Titlu6"/>
    <w:uiPriority w:val="9"/>
    <w:rPr>
      <w:rFonts w:ascii="Arial" w:eastAsia="Arial" w:hAnsi="Arial" w:cs="Arial"/>
      <w:i/>
      <w:iCs/>
      <w:color w:val="595959" w:themeColor="text1" w:themeTint="A6"/>
    </w:rPr>
  </w:style>
  <w:style w:type="character" w:customStyle="1" w:styleId="Titlu7Caracter">
    <w:name w:val="Titlu 7 Caracter"/>
    <w:basedOn w:val="Fontdeparagrafimplicit"/>
    <w:link w:val="Titlu7"/>
    <w:uiPriority w:val="9"/>
    <w:rPr>
      <w:rFonts w:ascii="Arial" w:eastAsia="Arial" w:hAnsi="Arial" w:cs="Arial"/>
      <w:color w:val="595959" w:themeColor="text1" w:themeTint="A6"/>
    </w:rPr>
  </w:style>
  <w:style w:type="character" w:customStyle="1" w:styleId="Titlu8Caracter">
    <w:name w:val="Titlu 8 Caracter"/>
    <w:basedOn w:val="Fontdeparagrafimplicit"/>
    <w:link w:val="Titlu8"/>
    <w:uiPriority w:val="9"/>
    <w:rPr>
      <w:rFonts w:ascii="Arial" w:eastAsia="Arial" w:hAnsi="Arial" w:cs="Arial"/>
      <w:i/>
      <w:iCs/>
      <w:color w:val="272727" w:themeColor="text1" w:themeTint="D8"/>
    </w:rPr>
  </w:style>
  <w:style w:type="character" w:customStyle="1" w:styleId="Titlu9Caracter">
    <w:name w:val="Titlu 9 Caracter"/>
    <w:basedOn w:val="Fontdeparagrafimplicit"/>
    <w:link w:val="Titlu9"/>
    <w:uiPriority w:val="9"/>
    <w:rPr>
      <w:rFonts w:ascii="Arial" w:eastAsia="Arial" w:hAnsi="Arial" w:cs="Arial"/>
      <w:i/>
      <w:iCs/>
      <w:color w:val="272727" w:themeColor="text1" w:themeTint="D8"/>
    </w:rPr>
  </w:style>
  <w:style w:type="paragraph" w:styleId="Titlu">
    <w:name w:val="Title"/>
    <w:basedOn w:val="Normal"/>
    <w:next w:val="Normal"/>
    <w:link w:val="TitluCaracter"/>
    <w:uiPriority w:val="10"/>
    <w:qFormat/>
    <w:pPr>
      <w:spacing w:after="80" w:line="240" w:lineRule="auto"/>
      <w:contextualSpacing/>
    </w:pPr>
    <w:rPr>
      <w:rFonts w:ascii="Arial" w:eastAsia="Arial" w:hAnsi="Arial" w:cs="Arial"/>
      <w:spacing w:val="-10"/>
      <w:sz w:val="56"/>
      <w:szCs w:val="56"/>
    </w:rPr>
  </w:style>
  <w:style w:type="character" w:customStyle="1" w:styleId="TitluCaracter">
    <w:name w:val="Titlu Caracter"/>
    <w:basedOn w:val="Fontdeparagrafimplicit"/>
    <w:link w:val="Titlu"/>
    <w:uiPriority w:val="10"/>
    <w:rPr>
      <w:rFonts w:ascii="Arial" w:eastAsia="Arial" w:hAnsi="Arial" w:cs="Arial"/>
      <w:spacing w:val="-10"/>
      <w:sz w:val="56"/>
      <w:szCs w:val="56"/>
    </w:rPr>
  </w:style>
  <w:style w:type="paragraph" w:styleId="Subtitlu">
    <w:name w:val="Subtitle"/>
    <w:basedOn w:val="Normal"/>
    <w:next w:val="Normal"/>
    <w:link w:val="SubtitluCaracter"/>
    <w:uiPriority w:val="11"/>
    <w:qFormat/>
    <w:pPr>
      <w:numPr>
        <w:ilvl w:val="1"/>
      </w:numPr>
    </w:pPr>
    <w:rPr>
      <w:color w:val="595959" w:themeColor="text1" w:themeTint="A6"/>
      <w:spacing w:val="15"/>
      <w:sz w:val="28"/>
      <w:szCs w:val="28"/>
    </w:rPr>
  </w:style>
  <w:style w:type="character" w:customStyle="1" w:styleId="SubtitluCaracter">
    <w:name w:val="Subtitlu Caracter"/>
    <w:basedOn w:val="Fontdeparagrafimplicit"/>
    <w:link w:val="Subtitlu"/>
    <w:uiPriority w:val="11"/>
    <w:rPr>
      <w:color w:val="595959" w:themeColor="text1" w:themeTint="A6"/>
      <w:spacing w:val="15"/>
      <w:sz w:val="28"/>
      <w:szCs w:val="28"/>
    </w:rPr>
  </w:style>
  <w:style w:type="paragraph" w:styleId="Citat">
    <w:name w:val="Quote"/>
    <w:basedOn w:val="Normal"/>
    <w:next w:val="Normal"/>
    <w:link w:val="CitatCaracter"/>
    <w:uiPriority w:val="29"/>
    <w:qFormat/>
    <w:pPr>
      <w:spacing w:before="160"/>
      <w:jc w:val="center"/>
    </w:pPr>
    <w:rPr>
      <w:i/>
      <w:iCs/>
      <w:color w:val="404040" w:themeColor="text1" w:themeTint="BF"/>
    </w:rPr>
  </w:style>
  <w:style w:type="character" w:customStyle="1" w:styleId="CitatCaracter">
    <w:name w:val="Citat Caracter"/>
    <w:basedOn w:val="Fontdeparagrafimplicit"/>
    <w:link w:val="Citat"/>
    <w:uiPriority w:val="29"/>
    <w:rPr>
      <w:i/>
      <w:iCs/>
      <w:color w:val="404040" w:themeColor="text1" w:themeTint="BF"/>
    </w:rPr>
  </w:style>
  <w:style w:type="character" w:styleId="Accentuareintens">
    <w:name w:val="Intense Emphasis"/>
    <w:basedOn w:val="Fontdeparagrafimplicit"/>
    <w:uiPriority w:val="21"/>
    <w:qFormat/>
    <w:rPr>
      <w:i/>
      <w:iCs/>
      <w:color w:val="2E74B5" w:themeColor="accent1" w:themeShade="BF"/>
    </w:rPr>
  </w:style>
  <w:style w:type="paragraph" w:styleId="Citatintens">
    <w:name w:val="Intense Quote"/>
    <w:basedOn w:val="Normal"/>
    <w:next w:val="Normal"/>
    <w:link w:val="CitatintensCaracte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Pr>
      <w:i/>
      <w:iCs/>
      <w:color w:val="2E74B5" w:themeColor="accent1" w:themeShade="BF"/>
    </w:rPr>
  </w:style>
  <w:style w:type="character" w:styleId="Referireintens">
    <w:name w:val="Intense Reference"/>
    <w:basedOn w:val="Fontdeparagrafimplicit"/>
    <w:uiPriority w:val="32"/>
    <w:qFormat/>
    <w:rPr>
      <w:b/>
      <w:bCs/>
      <w:smallCaps/>
      <w:color w:val="2E74B5" w:themeColor="accent1" w:themeShade="BF"/>
      <w:spacing w:val="5"/>
    </w:rPr>
  </w:style>
  <w:style w:type="paragraph" w:styleId="Frspaiere">
    <w:name w:val="No Spacing"/>
    <w:basedOn w:val="Normal"/>
    <w:uiPriority w:val="1"/>
    <w:qFormat/>
    <w:pPr>
      <w:spacing w:after="0" w:line="240" w:lineRule="auto"/>
    </w:pPr>
  </w:style>
  <w:style w:type="character" w:styleId="Accentuaresubtil">
    <w:name w:val="Subtle Emphasis"/>
    <w:basedOn w:val="Fontdeparagrafimplicit"/>
    <w:uiPriority w:val="19"/>
    <w:qFormat/>
    <w:rPr>
      <w:i/>
      <w:iCs/>
      <w:color w:val="404040" w:themeColor="text1" w:themeTint="BF"/>
    </w:rPr>
  </w:style>
  <w:style w:type="character" w:styleId="Accentuat">
    <w:name w:val="Emphasis"/>
    <w:basedOn w:val="Fontdeparagrafimplicit"/>
    <w:uiPriority w:val="20"/>
    <w:qFormat/>
    <w:rPr>
      <w:i/>
      <w:iCs/>
    </w:rPr>
  </w:style>
  <w:style w:type="character" w:styleId="Referiresubtil">
    <w:name w:val="Subtle Reference"/>
    <w:basedOn w:val="Fontdeparagrafimplicit"/>
    <w:uiPriority w:val="31"/>
    <w:qFormat/>
    <w:rPr>
      <w:smallCaps/>
      <w:color w:val="5A5A5A" w:themeColor="text1" w:themeTint="A5"/>
    </w:rPr>
  </w:style>
  <w:style w:type="character" w:styleId="Titlulcrii">
    <w:name w:val="Book Title"/>
    <w:basedOn w:val="Fontdeparagrafimplicit"/>
    <w:uiPriority w:val="33"/>
    <w:qFormat/>
    <w:rPr>
      <w:b/>
      <w:bCs/>
      <w:i/>
      <w:iCs/>
      <w:spacing w:val="5"/>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paragraph" w:styleId="Legend">
    <w:name w:val="caption"/>
    <w:basedOn w:val="Normal"/>
    <w:next w:val="Normal"/>
    <w:uiPriority w:val="35"/>
    <w:unhideWhenUsed/>
    <w:qFormat/>
    <w:pPr>
      <w:spacing w:after="200" w:line="240" w:lineRule="auto"/>
    </w:pPr>
    <w:rPr>
      <w:i/>
      <w:iCs/>
      <w:color w:val="44546A" w:themeColor="text2"/>
      <w:sz w:val="18"/>
      <w:szCs w:val="18"/>
    </w:rPr>
  </w:style>
  <w:style w:type="paragraph" w:styleId="Textnotdesubsol">
    <w:name w:val="footnote text"/>
    <w:basedOn w:val="Normal"/>
    <w:link w:val="TextnotdesubsolCaracter"/>
    <w:uiPriority w:val="99"/>
    <w:semiHidden/>
    <w:unhideWhenUs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Pr>
      <w:sz w:val="20"/>
      <w:szCs w:val="20"/>
    </w:rPr>
  </w:style>
  <w:style w:type="character" w:styleId="Referinnotdesubsol">
    <w:name w:val="footnote reference"/>
    <w:basedOn w:val="Fontdeparagrafimplicit"/>
    <w:uiPriority w:val="99"/>
    <w:semiHidden/>
    <w:unhideWhenUsed/>
    <w:rPr>
      <w:vertAlign w:val="superscript"/>
    </w:rPr>
  </w:style>
  <w:style w:type="paragraph" w:styleId="Textnotdefinal">
    <w:name w:val="endnote text"/>
    <w:basedOn w:val="Normal"/>
    <w:link w:val="TextnotdefinalCaracter"/>
    <w:uiPriority w:val="99"/>
    <w:semiHidden/>
    <w:unhideWhenUsed/>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Pr>
      <w:sz w:val="20"/>
      <w:szCs w:val="20"/>
    </w:rPr>
  </w:style>
  <w:style w:type="character" w:styleId="Referinnotdefinal">
    <w:name w:val="endnote reference"/>
    <w:basedOn w:val="Fontdeparagrafimplicit"/>
    <w:uiPriority w:val="99"/>
    <w:semiHidden/>
    <w:unhideWhenUsed/>
    <w:rPr>
      <w:vertAlign w:val="superscript"/>
    </w:rPr>
  </w:style>
  <w:style w:type="character" w:styleId="HyperlinkParcurs">
    <w:name w:val="FollowedHyperlink"/>
    <w:basedOn w:val="Fontdeparagrafimplicit"/>
    <w:uiPriority w:val="99"/>
    <w:semiHidden/>
    <w:unhideWhenUsed/>
    <w:rPr>
      <w:color w:val="954F72" w:themeColor="followedHyperlink"/>
      <w:u w:val="single"/>
    </w:rPr>
  </w:style>
  <w:style w:type="paragraph" w:styleId="Titlucuprins">
    <w:name w:val="TOC Heading"/>
    <w:uiPriority w:val="39"/>
    <w:unhideWhenUsed/>
  </w:style>
  <w:style w:type="paragraph" w:styleId="Tabeldefiguri">
    <w:name w:val="table of figures"/>
    <w:basedOn w:val="Normal"/>
    <w:next w:val="Normal"/>
    <w:uiPriority w:val="99"/>
    <w:unhideWhenUsed/>
    <w:pPr>
      <w:spacing w:after="0"/>
    </w:pPr>
  </w:style>
  <w:style w:type="table" w:styleId="Tabelgril">
    <w:name w:val="Table Grid"/>
    <w:basedOn w:val="Tabel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1"/>
    <w:qFormat/>
    <w:pPr>
      <w:ind w:left="720"/>
      <w:contextualSpacing/>
    </w:pPr>
  </w:style>
  <w:style w:type="character" w:styleId="Referincomentariu">
    <w:name w:val="annotation reference"/>
    <w:basedOn w:val="Fontdeparagrafimplicit"/>
    <w:uiPriority w:val="99"/>
    <w:semiHidden/>
    <w:unhideWhenUsed/>
    <w:rPr>
      <w:sz w:val="16"/>
      <w:szCs w:val="16"/>
    </w:rPr>
  </w:style>
  <w:style w:type="paragraph" w:styleId="Textcomentariu">
    <w:name w:val="annotation text"/>
    <w:basedOn w:val="Normal"/>
    <w:link w:val="TextcomentariuCaracter"/>
    <w:uiPriority w:val="99"/>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rPr>
      <w:sz w:val="20"/>
      <w:szCs w:val="20"/>
    </w:rPr>
  </w:style>
  <w:style w:type="paragraph" w:styleId="SubiectComentariu">
    <w:name w:val="annotation subject"/>
    <w:basedOn w:val="Textcomentariu"/>
    <w:next w:val="Textcomentariu"/>
    <w:link w:val="SubiectComentariuCaracter"/>
    <w:uiPriority w:val="99"/>
    <w:semiHidden/>
    <w:unhideWhenUsed/>
    <w:rPr>
      <w:b/>
      <w:bCs/>
    </w:rPr>
  </w:style>
  <w:style w:type="character" w:customStyle="1" w:styleId="SubiectComentariuCaracter">
    <w:name w:val="Subiect Comentariu Caracter"/>
    <w:basedOn w:val="TextcomentariuCaracter"/>
    <w:link w:val="SubiectComentariu"/>
    <w:uiPriority w:val="99"/>
    <w:semiHidden/>
    <w:rPr>
      <w:b/>
      <w:bCs/>
      <w:sz w:val="20"/>
      <w:szCs w:val="20"/>
    </w:rPr>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character" w:customStyle="1" w:styleId="FontStyle81">
    <w:name w:val="Font Style81"/>
    <w:basedOn w:val="Fontdeparagrafimplicit"/>
    <w:uiPriority w:val="99"/>
    <w:rPr>
      <w:rFonts w:ascii="Book Antiqua" w:hAnsi="Book Antiqua" w:cs="Book Antiqua"/>
      <w:b/>
      <w:bCs/>
      <w:sz w:val="16"/>
      <w:szCs w:val="16"/>
    </w:rPr>
  </w:style>
  <w:style w:type="character" w:styleId="Hyperlink">
    <w:name w:val="Hyperlink"/>
    <w:basedOn w:val="Fontdeparagrafimplici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Robust">
    <w:name w:val="Strong"/>
    <w:basedOn w:val="Fontdeparagrafimplicit"/>
    <w:uiPriority w:val="22"/>
    <w:qFormat/>
    <w:rPr>
      <w:b/>
      <w:bCs/>
    </w:rPr>
  </w:style>
  <w:style w:type="character" w:customStyle="1" w:styleId="Titlu2Caracter">
    <w:name w:val="Titlu 2 Caracter"/>
    <w:basedOn w:val="Fontdeparagrafimplicit"/>
    <w:link w:val="Titlu2"/>
    <w:uiPriority w:val="9"/>
    <w:semiHidden/>
    <w:rPr>
      <w:rFonts w:asciiTheme="majorHAnsi" w:eastAsiaTheme="majorEastAsia" w:hAnsiTheme="majorHAnsi" w:cstheme="majorBidi"/>
      <w:color w:val="2E74B5" w:themeColor="accent1" w:themeShade="BF"/>
      <w:sz w:val="32"/>
      <w:szCs w:val="32"/>
      <w14:ligatures w14:val="standardContextual"/>
    </w:rPr>
  </w:style>
  <w:style w:type="paragraph" w:customStyle="1" w:styleId="Para">
    <w:name w:val="Para"/>
    <w:link w:val="ParaChar"/>
    <w:uiPriority w:val="4"/>
    <w:qFormat/>
    <w:pPr>
      <w:spacing w:before="120" w:after="120" w:line="240" w:lineRule="auto"/>
      <w:jc w:val="both"/>
    </w:pPr>
    <w:rPr>
      <w:color w:val="000000" w:themeColor="text1"/>
      <w:sz w:val="20"/>
      <w:szCs w:val="20"/>
      <w:lang w:val="ro"/>
    </w:rPr>
  </w:style>
  <w:style w:type="character" w:customStyle="1" w:styleId="ParaChar">
    <w:name w:val="Para Char"/>
    <w:basedOn w:val="Fontdeparagrafimplicit"/>
    <w:link w:val="Para"/>
    <w:uiPriority w:val="4"/>
    <w:rPr>
      <w:color w:val="000000" w:themeColor="text1"/>
      <w:sz w:val="20"/>
      <w:szCs w:val="20"/>
      <w:lang w:val="ro"/>
    </w:rPr>
  </w:style>
  <w:style w:type="paragraph" w:customStyle="1" w:styleId="P68B1DB1-Para010">
    <w:name w:val="P68B1DB1-Para010"/>
    <w:basedOn w:val="Para"/>
    <w:rPr>
      <w:b/>
    </w:rPr>
  </w:style>
  <w:style w:type="paragraph" w:customStyle="1" w:styleId="P68B1DB1-Normal11">
    <w:name w:val="P68B1DB1-Normal11"/>
    <w:basedOn w:val="Normal"/>
    <w:rPr>
      <w:rFonts w:eastAsiaTheme="minorEastAsia"/>
      <w:sz w:val="20"/>
      <w:szCs w:val="20"/>
      <w:lang w:val="ro"/>
    </w:rPr>
  </w:style>
  <w:style w:type="paragraph" w:styleId="Antet">
    <w:name w:val="header"/>
    <w:basedOn w:val="Normal"/>
    <w:link w:val="AntetCaracter"/>
    <w:uiPriority w:val="99"/>
    <w:unhideWhenUsed/>
    <w:pPr>
      <w:tabs>
        <w:tab w:val="center" w:pos="4703"/>
        <w:tab w:val="right" w:pos="9406"/>
      </w:tabs>
      <w:spacing w:after="0" w:line="240" w:lineRule="auto"/>
    </w:pPr>
  </w:style>
  <w:style w:type="character" w:customStyle="1" w:styleId="AntetCaracter">
    <w:name w:val="Antet Caracter"/>
    <w:basedOn w:val="Fontdeparagrafimplicit"/>
    <w:link w:val="Antet"/>
    <w:uiPriority w:val="99"/>
  </w:style>
  <w:style w:type="paragraph" w:styleId="Subsol">
    <w:name w:val="footer"/>
    <w:basedOn w:val="Normal"/>
    <w:link w:val="SubsolCaracter"/>
    <w:uiPriority w:val="99"/>
    <w:unhideWhenUsed/>
    <w:pPr>
      <w:tabs>
        <w:tab w:val="center" w:pos="4703"/>
        <w:tab w:val="right" w:pos="9406"/>
      </w:tabs>
      <w:spacing w:after="0" w:line="240" w:lineRule="auto"/>
    </w:pPr>
  </w:style>
  <w:style w:type="character" w:customStyle="1" w:styleId="SubsolCaracter">
    <w:name w:val="Subsol Caracter"/>
    <w:basedOn w:val="Fontdeparagrafimplicit"/>
    <w:link w:val="Subsol"/>
    <w:uiPriority w:val="99"/>
  </w:style>
  <w:style w:type="character" w:customStyle="1" w:styleId="Titlu4Caracter">
    <w:name w:val="Titlu 4 Caracter"/>
    <w:basedOn w:val="Fontdeparagrafimplicit"/>
    <w:link w:val="Titlu4"/>
    <w:uiPriority w:val="9"/>
    <w:semiHidden/>
    <w:rPr>
      <w:rFonts w:asciiTheme="majorHAnsi" w:eastAsiaTheme="majorEastAsia" w:hAnsiTheme="majorHAnsi" w:cstheme="majorBidi"/>
      <w:i/>
      <w:iCs/>
      <w:color w:val="2E74B5" w:themeColor="accent1" w:themeShade="BF"/>
    </w:rPr>
  </w:style>
  <w:style w:type="paragraph" w:customStyle="1" w:styleId="p1">
    <w:name w:val="p1"/>
    <w:basedOn w:val="Normal"/>
    <w:rsid w:val="009957C6"/>
    <w:pPr>
      <w:spacing w:after="0" w:line="240" w:lineRule="auto"/>
    </w:pPr>
    <w:rPr>
      <w:rFonts w:ascii="Times New Roman" w:eastAsia="Times New Roman" w:hAnsi="Times New Roman" w:cs="Times New Roman"/>
      <w:color w:val="000000"/>
      <w:sz w:val="21"/>
      <w:szCs w:val="21"/>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96">
      <w:bodyDiv w:val="1"/>
      <w:marLeft w:val="0"/>
      <w:marRight w:val="0"/>
      <w:marTop w:val="0"/>
      <w:marBottom w:val="0"/>
      <w:divBdr>
        <w:top w:val="none" w:sz="0" w:space="0" w:color="auto"/>
        <w:left w:val="none" w:sz="0" w:space="0" w:color="auto"/>
        <w:bottom w:val="none" w:sz="0" w:space="0" w:color="auto"/>
        <w:right w:val="none" w:sz="0" w:space="0" w:color="auto"/>
      </w:divBdr>
    </w:div>
    <w:div w:id="52773567">
      <w:bodyDiv w:val="1"/>
      <w:marLeft w:val="0"/>
      <w:marRight w:val="0"/>
      <w:marTop w:val="0"/>
      <w:marBottom w:val="0"/>
      <w:divBdr>
        <w:top w:val="none" w:sz="0" w:space="0" w:color="auto"/>
        <w:left w:val="none" w:sz="0" w:space="0" w:color="auto"/>
        <w:bottom w:val="none" w:sz="0" w:space="0" w:color="auto"/>
        <w:right w:val="none" w:sz="0" w:space="0" w:color="auto"/>
      </w:divBdr>
    </w:div>
    <w:div w:id="183129731">
      <w:bodyDiv w:val="1"/>
      <w:marLeft w:val="0"/>
      <w:marRight w:val="0"/>
      <w:marTop w:val="0"/>
      <w:marBottom w:val="0"/>
      <w:divBdr>
        <w:top w:val="none" w:sz="0" w:space="0" w:color="auto"/>
        <w:left w:val="none" w:sz="0" w:space="0" w:color="auto"/>
        <w:bottom w:val="none" w:sz="0" w:space="0" w:color="auto"/>
        <w:right w:val="none" w:sz="0" w:space="0" w:color="auto"/>
      </w:divBdr>
    </w:div>
    <w:div w:id="449323529">
      <w:bodyDiv w:val="1"/>
      <w:marLeft w:val="0"/>
      <w:marRight w:val="0"/>
      <w:marTop w:val="0"/>
      <w:marBottom w:val="0"/>
      <w:divBdr>
        <w:top w:val="none" w:sz="0" w:space="0" w:color="auto"/>
        <w:left w:val="none" w:sz="0" w:space="0" w:color="auto"/>
        <w:bottom w:val="none" w:sz="0" w:space="0" w:color="auto"/>
        <w:right w:val="none" w:sz="0" w:space="0" w:color="auto"/>
      </w:divBdr>
    </w:div>
    <w:div w:id="462970386">
      <w:bodyDiv w:val="1"/>
      <w:marLeft w:val="0"/>
      <w:marRight w:val="0"/>
      <w:marTop w:val="0"/>
      <w:marBottom w:val="0"/>
      <w:divBdr>
        <w:top w:val="none" w:sz="0" w:space="0" w:color="auto"/>
        <w:left w:val="none" w:sz="0" w:space="0" w:color="auto"/>
        <w:bottom w:val="none" w:sz="0" w:space="0" w:color="auto"/>
        <w:right w:val="none" w:sz="0" w:space="0" w:color="auto"/>
      </w:divBdr>
    </w:div>
    <w:div w:id="517087030">
      <w:bodyDiv w:val="1"/>
      <w:marLeft w:val="0"/>
      <w:marRight w:val="0"/>
      <w:marTop w:val="0"/>
      <w:marBottom w:val="0"/>
      <w:divBdr>
        <w:top w:val="none" w:sz="0" w:space="0" w:color="auto"/>
        <w:left w:val="none" w:sz="0" w:space="0" w:color="auto"/>
        <w:bottom w:val="none" w:sz="0" w:space="0" w:color="auto"/>
        <w:right w:val="none" w:sz="0" w:space="0" w:color="auto"/>
      </w:divBdr>
    </w:div>
    <w:div w:id="684596161">
      <w:bodyDiv w:val="1"/>
      <w:marLeft w:val="0"/>
      <w:marRight w:val="0"/>
      <w:marTop w:val="0"/>
      <w:marBottom w:val="0"/>
      <w:divBdr>
        <w:top w:val="none" w:sz="0" w:space="0" w:color="auto"/>
        <w:left w:val="none" w:sz="0" w:space="0" w:color="auto"/>
        <w:bottom w:val="none" w:sz="0" w:space="0" w:color="auto"/>
        <w:right w:val="none" w:sz="0" w:space="0" w:color="auto"/>
      </w:divBdr>
    </w:div>
    <w:div w:id="725643021">
      <w:bodyDiv w:val="1"/>
      <w:marLeft w:val="0"/>
      <w:marRight w:val="0"/>
      <w:marTop w:val="0"/>
      <w:marBottom w:val="0"/>
      <w:divBdr>
        <w:top w:val="none" w:sz="0" w:space="0" w:color="auto"/>
        <w:left w:val="none" w:sz="0" w:space="0" w:color="auto"/>
        <w:bottom w:val="none" w:sz="0" w:space="0" w:color="auto"/>
        <w:right w:val="none" w:sz="0" w:space="0" w:color="auto"/>
      </w:divBdr>
    </w:div>
    <w:div w:id="739595172">
      <w:bodyDiv w:val="1"/>
      <w:marLeft w:val="0"/>
      <w:marRight w:val="0"/>
      <w:marTop w:val="0"/>
      <w:marBottom w:val="0"/>
      <w:divBdr>
        <w:top w:val="none" w:sz="0" w:space="0" w:color="auto"/>
        <w:left w:val="none" w:sz="0" w:space="0" w:color="auto"/>
        <w:bottom w:val="none" w:sz="0" w:space="0" w:color="auto"/>
        <w:right w:val="none" w:sz="0" w:space="0" w:color="auto"/>
      </w:divBdr>
    </w:div>
    <w:div w:id="850878257">
      <w:bodyDiv w:val="1"/>
      <w:marLeft w:val="0"/>
      <w:marRight w:val="0"/>
      <w:marTop w:val="0"/>
      <w:marBottom w:val="0"/>
      <w:divBdr>
        <w:top w:val="none" w:sz="0" w:space="0" w:color="auto"/>
        <w:left w:val="none" w:sz="0" w:space="0" w:color="auto"/>
        <w:bottom w:val="none" w:sz="0" w:space="0" w:color="auto"/>
        <w:right w:val="none" w:sz="0" w:space="0" w:color="auto"/>
      </w:divBdr>
    </w:div>
    <w:div w:id="904995642">
      <w:bodyDiv w:val="1"/>
      <w:marLeft w:val="0"/>
      <w:marRight w:val="0"/>
      <w:marTop w:val="0"/>
      <w:marBottom w:val="0"/>
      <w:divBdr>
        <w:top w:val="none" w:sz="0" w:space="0" w:color="auto"/>
        <w:left w:val="none" w:sz="0" w:space="0" w:color="auto"/>
        <w:bottom w:val="none" w:sz="0" w:space="0" w:color="auto"/>
        <w:right w:val="none" w:sz="0" w:space="0" w:color="auto"/>
      </w:divBdr>
      <w:divsChild>
        <w:div w:id="1248423515">
          <w:marLeft w:val="0"/>
          <w:marRight w:val="0"/>
          <w:marTop w:val="0"/>
          <w:marBottom w:val="0"/>
          <w:divBdr>
            <w:top w:val="none" w:sz="0" w:space="0" w:color="auto"/>
            <w:left w:val="none" w:sz="0" w:space="0" w:color="auto"/>
            <w:bottom w:val="none" w:sz="0" w:space="0" w:color="auto"/>
            <w:right w:val="none" w:sz="0" w:space="0" w:color="auto"/>
          </w:divBdr>
        </w:div>
      </w:divsChild>
    </w:div>
    <w:div w:id="912811889">
      <w:bodyDiv w:val="1"/>
      <w:marLeft w:val="0"/>
      <w:marRight w:val="0"/>
      <w:marTop w:val="0"/>
      <w:marBottom w:val="0"/>
      <w:divBdr>
        <w:top w:val="none" w:sz="0" w:space="0" w:color="auto"/>
        <w:left w:val="none" w:sz="0" w:space="0" w:color="auto"/>
        <w:bottom w:val="none" w:sz="0" w:space="0" w:color="auto"/>
        <w:right w:val="none" w:sz="0" w:space="0" w:color="auto"/>
      </w:divBdr>
    </w:div>
    <w:div w:id="1000160815">
      <w:bodyDiv w:val="1"/>
      <w:marLeft w:val="0"/>
      <w:marRight w:val="0"/>
      <w:marTop w:val="0"/>
      <w:marBottom w:val="0"/>
      <w:divBdr>
        <w:top w:val="none" w:sz="0" w:space="0" w:color="auto"/>
        <w:left w:val="none" w:sz="0" w:space="0" w:color="auto"/>
        <w:bottom w:val="none" w:sz="0" w:space="0" w:color="auto"/>
        <w:right w:val="none" w:sz="0" w:space="0" w:color="auto"/>
      </w:divBdr>
    </w:div>
    <w:div w:id="1101488823">
      <w:bodyDiv w:val="1"/>
      <w:marLeft w:val="0"/>
      <w:marRight w:val="0"/>
      <w:marTop w:val="0"/>
      <w:marBottom w:val="0"/>
      <w:divBdr>
        <w:top w:val="none" w:sz="0" w:space="0" w:color="auto"/>
        <w:left w:val="none" w:sz="0" w:space="0" w:color="auto"/>
        <w:bottom w:val="none" w:sz="0" w:space="0" w:color="auto"/>
        <w:right w:val="none" w:sz="0" w:space="0" w:color="auto"/>
      </w:divBdr>
    </w:div>
    <w:div w:id="1185439603">
      <w:bodyDiv w:val="1"/>
      <w:marLeft w:val="0"/>
      <w:marRight w:val="0"/>
      <w:marTop w:val="0"/>
      <w:marBottom w:val="0"/>
      <w:divBdr>
        <w:top w:val="none" w:sz="0" w:space="0" w:color="auto"/>
        <w:left w:val="none" w:sz="0" w:space="0" w:color="auto"/>
        <w:bottom w:val="none" w:sz="0" w:space="0" w:color="auto"/>
        <w:right w:val="none" w:sz="0" w:space="0" w:color="auto"/>
      </w:divBdr>
    </w:div>
    <w:div w:id="1206914167">
      <w:bodyDiv w:val="1"/>
      <w:marLeft w:val="0"/>
      <w:marRight w:val="0"/>
      <w:marTop w:val="0"/>
      <w:marBottom w:val="0"/>
      <w:divBdr>
        <w:top w:val="none" w:sz="0" w:space="0" w:color="auto"/>
        <w:left w:val="none" w:sz="0" w:space="0" w:color="auto"/>
        <w:bottom w:val="none" w:sz="0" w:space="0" w:color="auto"/>
        <w:right w:val="none" w:sz="0" w:space="0" w:color="auto"/>
      </w:divBdr>
    </w:div>
    <w:div w:id="1257178033">
      <w:bodyDiv w:val="1"/>
      <w:marLeft w:val="0"/>
      <w:marRight w:val="0"/>
      <w:marTop w:val="0"/>
      <w:marBottom w:val="0"/>
      <w:divBdr>
        <w:top w:val="none" w:sz="0" w:space="0" w:color="auto"/>
        <w:left w:val="none" w:sz="0" w:space="0" w:color="auto"/>
        <w:bottom w:val="none" w:sz="0" w:space="0" w:color="auto"/>
        <w:right w:val="none" w:sz="0" w:space="0" w:color="auto"/>
      </w:divBdr>
    </w:div>
    <w:div w:id="1290278863">
      <w:bodyDiv w:val="1"/>
      <w:marLeft w:val="0"/>
      <w:marRight w:val="0"/>
      <w:marTop w:val="0"/>
      <w:marBottom w:val="0"/>
      <w:divBdr>
        <w:top w:val="none" w:sz="0" w:space="0" w:color="auto"/>
        <w:left w:val="none" w:sz="0" w:space="0" w:color="auto"/>
        <w:bottom w:val="none" w:sz="0" w:space="0" w:color="auto"/>
        <w:right w:val="none" w:sz="0" w:space="0" w:color="auto"/>
      </w:divBdr>
      <w:divsChild>
        <w:div w:id="2865141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294747389">
      <w:bodyDiv w:val="1"/>
      <w:marLeft w:val="0"/>
      <w:marRight w:val="0"/>
      <w:marTop w:val="0"/>
      <w:marBottom w:val="0"/>
      <w:divBdr>
        <w:top w:val="none" w:sz="0" w:space="0" w:color="auto"/>
        <w:left w:val="none" w:sz="0" w:space="0" w:color="auto"/>
        <w:bottom w:val="none" w:sz="0" w:space="0" w:color="auto"/>
        <w:right w:val="none" w:sz="0" w:space="0" w:color="auto"/>
      </w:divBdr>
    </w:div>
    <w:div w:id="1317299897">
      <w:bodyDiv w:val="1"/>
      <w:marLeft w:val="0"/>
      <w:marRight w:val="0"/>
      <w:marTop w:val="0"/>
      <w:marBottom w:val="0"/>
      <w:divBdr>
        <w:top w:val="none" w:sz="0" w:space="0" w:color="auto"/>
        <w:left w:val="none" w:sz="0" w:space="0" w:color="auto"/>
        <w:bottom w:val="none" w:sz="0" w:space="0" w:color="auto"/>
        <w:right w:val="none" w:sz="0" w:space="0" w:color="auto"/>
      </w:divBdr>
      <w:divsChild>
        <w:div w:id="1908220262">
          <w:marLeft w:val="0"/>
          <w:marRight w:val="0"/>
          <w:marTop w:val="0"/>
          <w:marBottom w:val="0"/>
          <w:divBdr>
            <w:top w:val="none" w:sz="0" w:space="0" w:color="auto"/>
            <w:left w:val="none" w:sz="0" w:space="0" w:color="auto"/>
            <w:bottom w:val="none" w:sz="0" w:space="0" w:color="auto"/>
            <w:right w:val="none" w:sz="0" w:space="0" w:color="auto"/>
          </w:divBdr>
        </w:div>
      </w:divsChild>
    </w:div>
    <w:div w:id="1345865109">
      <w:bodyDiv w:val="1"/>
      <w:marLeft w:val="0"/>
      <w:marRight w:val="0"/>
      <w:marTop w:val="0"/>
      <w:marBottom w:val="0"/>
      <w:divBdr>
        <w:top w:val="none" w:sz="0" w:space="0" w:color="auto"/>
        <w:left w:val="none" w:sz="0" w:space="0" w:color="auto"/>
        <w:bottom w:val="none" w:sz="0" w:space="0" w:color="auto"/>
        <w:right w:val="none" w:sz="0" w:space="0" w:color="auto"/>
      </w:divBdr>
    </w:div>
    <w:div w:id="1437363479">
      <w:bodyDiv w:val="1"/>
      <w:marLeft w:val="0"/>
      <w:marRight w:val="0"/>
      <w:marTop w:val="0"/>
      <w:marBottom w:val="0"/>
      <w:divBdr>
        <w:top w:val="none" w:sz="0" w:space="0" w:color="auto"/>
        <w:left w:val="none" w:sz="0" w:space="0" w:color="auto"/>
        <w:bottom w:val="none" w:sz="0" w:space="0" w:color="auto"/>
        <w:right w:val="none" w:sz="0" w:space="0" w:color="auto"/>
      </w:divBdr>
    </w:div>
    <w:div w:id="1555461926">
      <w:bodyDiv w:val="1"/>
      <w:marLeft w:val="0"/>
      <w:marRight w:val="0"/>
      <w:marTop w:val="0"/>
      <w:marBottom w:val="0"/>
      <w:divBdr>
        <w:top w:val="none" w:sz="0" w:space="0" w:color="auto"/>
        <w:left w:val="none" w:sz="0" w:space="0" w:color="auto"/>
        <w:bottom w:val="none" w:sz="0" w:space="0" w:color="auto"/>
        <w:right w:val="none" w:sz="0" w:space="0" w:color="auto"/>
      </w:divBdr>
    </w:div>
    <w:div w:id="1794205393">
      <w:bodyDiv w:val="1"/>
      <w:marLeft w:val="0"/>
      <w:marRight w:val="0"/>
      <w:marTop w:val="0"/>
      <w:marBottom w:val="0"/>
      <w:divBdr>
        <w:top w:val="none" w:sz="0" w:space="0" w:color="auto"/>
        <w:left w:val="none" w:sz="0" w:space="0" w:color="auto"/>
        <w:bottom w:val="none" w:sz="0" w:space="0" w:color="auto"/>
        <w:right w:val="none" w:sz="0" w:space="0" w:color="auto"/>
      </w:divBdr>
    </w:div>
    <w:div w:id="193713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3T19:05:16.129"/>
    </inkml:context>
    <inkml:brush xml:id="br0">
      <inkml:brushProperty name="width" value="0.035" units="cm"/>
      <inkml:brushProperty name="height" value="0.035" units="cm"/>
    </inkml:brush>
  </inkml:definitions>
  <inkml:trace contextRef="#ctx0" brushRef="#br0">1 1 24575,'0'0'0</inkml:trace>
</inkml:ink>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8FF20-7FFF-0000-B0EB-886DFF7F0000}">
  <ds:schemaRefs>
    <ds:schemaRef ds:uri="http://www.w3.org/2003/InkML"/>
  </ds:schemaRefs>
</ds:datastoreItem>
</file>

<file path=customXml/itemProps2.xml><?xml version="1.0" encoding="utf-8"?>
<ds:datastoreItem xmlns:ds="http://schemas.openxmlformats.org/officeDocument/2006/customXml" ds:itemID="{303C231D-6800-4208-BCA2-A66D44A8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98</Pages>
  <Words>32531</Words>
  <Characters>185427</Characters>
  <Application>Microsoft Office Word</Application>
  <DocSecurity>0</DocSecurity>
  <Lines>1545</Lines>
  <Paragraphs>435</Paragraphs>
  <ScaleCrop>false</ScaleCrop>
  <HeadingPairs>
    <vt:vector size="6" baseType="variant">
      <vt:variant>
        <vt:lpstr>Titlu</vt:lpstr>
      </vt:variant>
      <vt:variant>
        <vt:i4>1</vt:i4>
      </vt:variant>
      <vt:variant>
        <vt:lpstr>Titolo</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Fortuna</dc:creator>
  <cp:keywords/>
  <dc:description/>
  <cp:lastModifiedBy>Lilia, Radul</cp:lastModifiedBy>
  <cp:revision>7</cp:revision>
  <dcterms:created xsi:type="dcterms:W3CDTF">2026-05-21T11:27:00Z</dcterms:created>
  <dcterms:modified xsi:type="dcterms:W3CDTF">2026-05-28T06:29:00Z</dcterms:modified>
</cp:coreProperties>
</file>