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B27" w:rsidRPr="00C10518" w:rsidRDefault="005A0956">
      <w:pPr>
        <w:tabs>
          <w:tab w:val="left" w:pos="884"/>
          <w:tab w:val="left" w:pos="1196"/>
        </w:tabs>
        <w:spacing w:after="0" w:line="240" w:lineRule="auto"/>
        <w:jc w:val="center"/>
        <w:rPr>
          <w:rFonts w:ascii="Times New Roman" w:eastAsia="Times New Roman" w:hAnsi="Times New Roman" w:cs="Times New Roman"/>
          <w:sz w:val="20"/>
          <w:szCs w:val="20"/>
          <w:lang w:val="ro-RO"/>
        </w:rPr>
      </w:pPr>
      <w:r w:rsidRPr="00C10518">
        <w:rPr>
          <w:rFonts w:ascii="Times New Roman" w:eastAsia="Times New Roman" w:hAnsi="Times New Roman" w:cs="Times New Roman"/>
          <w:b/>
          <w:bCs/>
          <w:sz w:val="20"/>
          <w:szCs w:val="20"/>
          <w:lang w:val="ro-RO"/>
        </w:rPr>
        <w:t>SINTEZA</w:t>
      </w:r>
    </w:p>
    <w:p w:rsidR="00C67B27" w:rsidRPr="00C10518" w:rsidRDefault="005A0956" w:rsidP="004C7663">
      <w:pPr>
        <w:tabs>
          <w:tab w:val="left" w:pos="884"/>
          <w:tab w:val="left" w:pos="1196"/>
        </w:tabs>
        <w:spacing w:after="0" w:line="240" w:lineRule="auto"/>
        <w:ind w:right="955"/>
        <w:jc w:val="center"/>
        <w:rPr>
          <w:rFonts w:ascii="Times New Roman" w:eastAsia="Times New Roman" w:hAnsi="Times New Roman" w:cs="Times New Roman"/>
          <w:b/>
          <w:bCs/>
          <w:sz w:val="20"/>
          <w:szCs w:val="20"/>
        </w:rPr>
      </w:pPr>
      <w:r w:rsidRPr="00C10518">
        <w:rPr>
          <w:rFonts w:ascii="Times New Roman" w:eastAsia="Times New Roman" w:hAnsi="Times New Roman" w:cs="Times New Roman"/>
          <w:b/>
          <w:bCs/>
          <w:sz w:val="20"/>
          <w:szCs w:val="20"/>
          <w:lang w:val="ro-RO"/>
        </w:rPr>
        <w:t>la </w:t>
      </w:r>
      <w:r w:rsidRPr="00C10518">
        <w:rPr>
          <w:rFonts w:ascii="Times New Roman" w:eastAsia="Times New Roman" w:hAnsi="Times New Roman" w:cs="Times New Roman"/>
          <w:b/>
          <w:bCs/>
          <w:sz w:val="20"/>
          <w:szCs w:val="20"/>
        </w:rPr>
        <w:t xml:space="preserve">proiectul de lege </w:t>
      </w:r>
      <w:r w:rsidR="00584BE5" w:rsidRPr="00C10518">
        <w:rPr>
          <w:rFonts w:ascii="Times New Roman" w:eastAsia="Times New Roman" w:hAnsi="Times New Roman" w:cs="Times New Roman"/>
          <w:b/>
          <w:bCs/>
          <w:sz w:val="20"/>
          <w:szCs w:val="20"/>
        </w:rPr>
        <w:t>privind atribuirea anumitor contracte de lucrări, de furnizare de bunuri și de prestare de servicii de către autoritățile sau entitățile contractante în domeniile apărării și securității naționale</w:t>
      </w:r>
    </w:p>
    <w:p w:rsidR="004C7663" w:rsidRPr="00C10518" w:rsidRDefault="004C7663" w:rsidP="004C7663">
      <w:pPr>
        <w:tabs>
          <w:tab w:val="left" w:pos="884"/>
          <w:tab w:val="left" w:pos="1196"/>
        </w:tabs>
        <w:spacing w:after="0" w:line="240" w:lineRule="auto"/>
        <w:ind w:right="955"/>
        <w:jc w:val="center"/>
        <w:rPr>
          <w:rFonts w:ascii="Times New Roman" w:hAnsi="Times New Roman" w:cs="Times New Roman"/>
          <w:sz w:val="20"/>
          <w:szCs w:val="20"/>
        </w:rPr>
      </w:pPr>
    </w:p>
    <w:tbl>
      <w:tblPr>
        <w:tblStyle w:val="Tabelgril"/>
        <w:tblpPr w:leftFromText="180" w:rightFromText="180" w:vertAnchor="text" w:tblpX="137" w:tblpY="1"/>
        <w:tblOverlap w:val="never"/>
        <w:tblW w:w="0" w:type="auto"/>
        <w:tblLayout w:type="fixed"/>
        <w:tblLook w:val="04A0" w:firstRow="1" w:lastRow="0" w:firstColumn="1" w:lastColumn="0" w:noHBand="0" w:noVBand="1"/>
      </w:tblPr>
      <w:tblGrid>
        <w:gridCol w:w="2972"/>
        <w:gridCol w:w="567"/>
        <w:gridCol w:w="4111"/>
        <w:gridCol w:w="5528"/>
      </w:tblGrid>
      <w:tr w:rsidR="00C10518" w:rsidRPr="00C10518" w:rsidTr="004C7663">
        <w:tc>
          <w:tcPr>
            <w:tcW w:w="2972" w:type="dxa"/>
          </w:tcPr>
          <w:p w:rsidR="004C7663" w:rsidRPr="00C10518" w:rsidRDefault="004C7663" w:rsidP="004C7663">
            <w:pPr>
              <w:tabs>
                <w:tab w:val="left" w:pos="8505"/>
              </w:tabs>
              <w:jc w:val="center"/>
              <w:rPr>
                <w:rFonts w:ascii="Times New Roman" w:hAnsi="Times New Roman" w:cs="Times New Roman"/>
                <w:b/>
                <w:bCs/>
                <w:sz w:val="20"/>
                <w:szCs w:val="20"/>
                <w:lang w:val="ro-RO"/>
              </w:rPr>
            </w:pPr>
            <w:r w:rsidRPr="00C10518">
              <w:rPr>
                <w:rFonts w:ascii="Times New Roman" w:hAnsi="Times New Roman" w:cs="Times New Roman"/>
                <w:b/>
                <w:bCs/>
                <w:sz w:val="20"/>
                <w:szCs w:val="20"/>
                <w:lang w:val="ro-RO"/>
              </w:rPr>
              <w:t>Participantul la avizare,</w:t>
            </w:r>
          </w:p>
          <w:p w:rsidR="004C7663" w:rsidRPr="00C10518" w:rsidRDefault="004C7663" w:rsidP="004C7663">
            <w:pPr>
              <w:tabs>
                <w:tab w:val="left" w:pos="8505"/>
              </w:tabs>
              <w:jc w:val="center"/>
              <w:rPr>
                <w:rFonts w:ascii="Times New Roman" w:hAnsi="Times New Roman" w:cs="Times New Roman"/>
                <w:sz w:val="20"/>
                <w:szCs w:val="20"/>
                <w:lang w:val="ro-RO"/>
              </w:rPr>
            </w:pPr>
            <w:r w:rsidRPr="00C10518">
              <w:rPr>
                <w:rFonts w:ascii="Times New Roman" w:hAnsi="Times New Roman" w:cs="Times New Roman"/>
                <w:b/>
                <w:bCs/>
                <w:sz w:val="20"/>
                <w:szCs w:val="20"/>
                <w:lang w:val="ro-RO"/>
              </w:rPr>
              <w:t>consultare publică, expertizare</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Nr. crt.</w:t>
            </w:r>
          </w:p>
        </w:tc>
        <w:tc>
          <w:tcPr>
            <w:tcW w:w="4111" w:type="dxa"/>
          </w:tcPr>
          <w:p w:rsidR="004C7663" w:rsidRPr="00C10518" w:rsidRDefault="004C7663" w:rsidP="004C7663">
            <w:pPr>
              <w:tabs>
                <w:tab w:val="left" w:pos="8505"/>
              </w:tabs>
              <w:jc w:val="center"/>
              <w:rPr>
                <w:rFonts w:ascii="Times New Roman" w:hAnsi="Times New Roman" w:cs="Times New Roman"/>
                <w:sz w:val="20"/>
                <w:szCs w:val="20"/>
                <w:lang w:val="ro-RO"/>
              </w:rPr>
            </w:pPr>
            <w:r w:rsidRPr="00C10518">
              <w:rPr>
                <w:rFonts w:ascii="Times New Roman" w:hAnsi="Times New Roman" w:cs="Times New Roman"/>
                <w:b/>
                <w:bCs/>
                <w:sz w:val="20"/>
                <w:szCs w:val="20"/>
                <w:lang w:val="ro-RO"/>
              </w:rPr>
              <w:t>Conținutul obiecției,</w:t>
            </w:r>
          </w:p>
          <w:p w:rsidR="004C7663" w:rsidRPr="00C10518" w:rsidRDefault="004C7663" w:rsidP="004C7663">
            <w:pPr>
              <w:tabs>
                <w:tab w:val="left" w:pos="8505"/>
              </w:tabs>
              <w:jc w:val="center"/>
              <w:rPr>
                <w:rFonts w:ascii="Times New Roman" w:hAnsi="Times New Roman" w:cs="Times New Roman"/>
                <w:b/>
                <w:bCs/>
                <w:sz w:val="20"/>
                <w:szCs w:val="20"/>
                <w:lang w:val="ro-RO"/>
              </w:rPr>
            </w:pPr>
            <w:r w:rsidRPr="00C10518">
              <w:rPr>
                <w:rFonts w:ascii="Times New Roman" w:hAnsi="Times New Roman" w:cs="Times New Roman"/>
                <w:b/>
                <w:bCs/>
                <w:sz w:val="20"/>
                <w:szCs w:val="20"/>
                <w:lang w:val="ro-RO"/>
              </w:rPr>
              <w:t>propunerii, recomandării,</w:t>
            </w:r>
          </w:p>
          <w:p w:rsidR="004C7663" w:rsidRPr="00C10518" w:rsidRDefault="004C7663" w:rsidP="004C7663">
            <w:pPr>
              <w:tabs>
                <w:tab w:val="left" w:pos="8505"/>
              </w:tabs>
              <w:jc w:val="center"/>
              <w:rPr>
                <w:rFonts w:ascii="Times New Roman" w:hAnsi="Times New Roman" w:cs="Times New Roman"/>
                <w:sz w:val="20"/>
                <w:szCs w:val="20"/>
                <w:lang w:val="ro-RO"/>
              </w:rPr>
            </w:pPr>
            <w:r w:rsidRPr="00C10518">
              <w:rPr>
                <w:rFonts w:ascii="Times New Roman" w:hAnsi="Times New Roman" w:cs="Times New Roman"/>
                <w:b/>
                <w:bCs/>
                <w:sz w:val="20"/>
                <w:szCs w:val="20"/>
                <w:lang w:val="ro-RO"/>
              </w:rPr>
              <w:t>concluziei</w:t>
            </w:r>
          </w:p>
        </w:tc>
        <w:tc>
          <w:tcPr>
            <w:tcW w:w="5528" w:type="dxa"/>
          </w:tcPr>
          <w:p w:rsidR="004C7663" w:rsidRPr="00C10518" w:rsidRDefault="004C7663" w:rsidP="004C7663">
            <w:pPr>
              <w:tabs>
                <w:tab w:val="left" w:pos="8505"/>
              </w:tabs>
              <w:jc w:val="center"/>
              <w:rPr>
                <w:rFonts w:ascii="Times New Roman" w:hAnsi="Times New Roman" w:cs="Times New Roman"/>
                <w:sz w:val="20"/>
                <w:szCs w:val="20"/>
                <w:lang w:val="ro-RO"/>
              </w:rPr>
            </w:pPr>
            <w:r w:rsidRPr="00C10518">
              <w:rPr>
                <w:rFonts w:ascii="Times New Roman" w:eastAsia="Times New Roman" w:hAnsi="Times New Roman" w:cs="Times New Roman"/>
                <w:b/>
                <w:bCs/>
                <w:sz w:val="20"/>
                <w:szCs w:val="20"/>
                <w:lang w:val="ro-RO"/>
              </w:rPr>
              <w:t>Argumentarea autorului proiectului</w:t>
            </w:r>
          </w:p>
        </w:tc>
      </w:tr>
      <w:tr w:rsidR="00C10518" w:rsidRPr="00C10518" w:rsidTr="004C7663">
        <w:tc>
          <w:tcPr>
            <w:tcW w:w="13178" w:type="dxa"/>
            <w:gridSpan w:val="4"/>
          </w:tcPr>
          <w:p w:rsidR="004C7663" w:rsidRPr="00C10518" w:rsidRDefault="004C7663" w:rsidP="004C7663">
            <w:pPr>
              <w:tabs>
                <w:tab w:val="left" w:pos="8505"/>
              </w:tabs>
              <w:jc w:val="center"/>
              <w:rPr>
                <w:rFonts w:ascii="Times New Roman" w:hAnsi="Times New Roman" w:cs="Times New Roman"/>
                <w:iCs/>
                <w:sz w:val="20"/>
                <w:szCs w:val="20"/>
                <w:lang w:val="ro-RO"/>
              </w:rPr>
            </w:pPr>
            <w:r w:rsidRPr="00C10518">
              <w:rPr>
                <w:rFonts w:ascii="Times New Roman" w:hAnsi="Times New Roman" w:cs="Times New Roman"/>
                <w:iCs/>
                <w:sz w:val="20"/>
                <w:szCs w:val="20"/>
                <w:lang w:val="ro-RO"/>
              </w:rPr>
              <w:t>Avizare și consultare publică</w:t>
            </w:r>
          </w:p>
        </w:tc>
      </w:tr>
      <w:tr w:rsidR="00C10518" w:rsidRPr="00C10518" w:rsidTr="004C7663">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Ministerul Apărării</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tcPr>
          <w:p w:rsidR="004C7663" w:rsidRPr="00C10518" w:rsidRDefault="004C7663" w:rsidP="004C7663">
            <w:pPr>
              <w:tabs>
                <w:tab w:val="left" w:pos="8505"/>
              </w:tabs>
              <w:jc w:val="both"/>
              <w:rPr>
                <w:rFonts w:ascii="Times New Roman" w:hAnsi="Times New Roman" w:cs="Times New Roman"/>
                <w:bCs/>
                <w:iCs/>
                <w:sz w:val="20"/>
                <w:szCs w:val="20"/>
                <w:lang w:val="ro-RO"/>
              </w:rPr>
            </w:pPr>
          </w:p>
        </w:tc>
        <w:tc>
          <w:tcPr>
            <w:tcW w:w="5528" w:type="dxa"/>
          </w:tcPr>
          <w:p w:rsidR="004C7663" w:rsidRPr="00C10518" w:rsidRDefault="004C7663" w:rsidP="004C7663">
            <w:pPr>
              <w:tabs>
                <w:tab w:val="left" w:pos="8505"/>
              </w:tabs>
              <w:jc w:val="both"/>
              <w:rPr>
                <w:rFonts w:ascii="Times New Roman" w:hAnsi="Times New Roman" w:cs="Times New Roman"/>
                <w:i/>
                <w:iCs/>
                <w:sz w:val="20"/>
                <w:szCs w:val="20"/>
                <w:lang w:val="ro-RO"/>
              </w:rPr>
            </w:pPr>
          </w:p>
        </w:tc>
      </w:tr>
      <w:tr w:rsidR="00C10518" w:rsidRPr="00C10518" w:rsidTr="004C7663">
        <w:tc>
          <w:tcPr>
            <w:tcW w:w="2972" w:type="dxa"/>
            <w:shd w:val="clear" w:color="auto" w:fill="auto"/>
          </w:tcPr>
          <w:p w:rsidR="004C7663" w:rsidRPr="00C10518" w:rsidRDefault="004C7663" w:rsidP="004C7663">
            <w:pPr>
              <w:contextualSpacing/>
              <w:jc w:val="center"/>
              <w:rPr>
                <w:rFonts w:ascii="Times New Roman" w:hAnsi="Times New Roman" w:cs="Times New Roman"/>
                <w:b/>
                <w:sz w:val="20"/>
                <w:szCs w:val="20"/>
              </w:rPr>
            </w:pPr>
          </w:p>
        </w:tc>
        <w:tc>
          <w:tcPr>
            <w:tcW w:w="567" w:type="dxa"/>
            <w:shd w:val="clear" w:color="auto" w:fill="auto"/>
          </w:tcPr>
          <w:p w:rsidR="004C7663" w:rsidRPr="00C10518" w:rsidRDefault="004C7663" w:rsidP="004C7663">
            <w:pPr>
              <w:contextualSpacing/>
              <w:jc w:val="center"/>
              <w:rPr>
                <w:rFonts w:ascii="Times New Roman" w:hAnsi="Times New Roman" w:cs="Times New Roman"/>
                <w:b/>
                <w:sz w:val="20"/>
                <w:szCs w:val="20"/>
              </w:rPr>
            </w:pPr>
            <w:r w:rsidRPr="00C10518">
              <w:rPr>
                <w:rFonts w:ascii="Times New Roman" w:hAnsi="Times New Roman" w:cs="Times New Roman"/>
                <w:b/>
                <w:sz w:val="20"/>
                <w:szCs w:val="20"/>
              </w:rPr>
              <w:t>1</w:t>
            </w:r>
          </w:p>
          <w:p w:rsidR="004C7663" w:rsidRPr="00C10518" w:rsidRDefault="004C7663" w:rsidP="004C7663">
            <w:pPr>
              <w:contextualSpacing/>
              <w:jc w:val="center"/>
              <w:rPr>
                <w:rFonts w:ascii="Times New Roman" w:hAnsi="Times New Roman" w:cs="Times New Roman"/>
                <w:b/>
                <w:sz w:val="20"/>
                <w:szCs w:val="20"/>
              </w:rPr>
            </w:pPr>
          </w:p>
        </w:tc>
        <w:tc>
          <w:tcPr>
            <w:tcW w:w="4111" w:type="dxa"/>
            <w:shd w:val="clear" w:color="auto" w:fill="auto"/>
          </w:tcPr>
          <w:p w:rsidR="004C7663" w:rsidRPr="00C10518" w:rsidRDefault="004C7663" w:rsidP="004C7663">
            <w:pPr>
              <w:pStyle w:val="Corptext"/>
              <w:rPr>
                <w:sz w:val="20"/>
              </w:rPr>
            </w:pPr>
            <w:r w:rsidRPr="00C10518">
              <w:rPr>
                <w:sz w:val="20"/>
              </w:rPr>
              <w:t xml:space="preserve">Art. 1, alin. (1) se propune să fie completat cu următoarea definiție: </w:t>
            </w:r>
          </w:p>
          <w:p w:rsidR="004C7663" w:rsidRPr="00C10518" w:rsidRDefault="004C7663" w:rsidP="004C7663">
            <w:pPr>
              <w:pStyle w:val="Corptext"/>
              <w:rPr>
                <w:sz w:val="20"/>
              </w:rPr>
            </w:pPr>
            <w:r w:rsidRPr="00C10518">
              <w:rPr>
                <w:sz w:val="20"/>
              </w:rPr>
              <w:t xml:space="preserve">” „autoritate centrală de achiziție - autoritate contractantă care desfășoară activități de achiziție centralizate și, după caz, activități de achiziție auxiliare sau un organism public european care: </w:t>
            </w:r>
          </w:p>
          <w:p w:rsidR="004C7663" w:rsidRPr="00C10518" w:rsidRDefault="004C7663" w:rsidP="004C7663">
            <w:pPr>
              <w:pStyle w:val="Corptext"/>
              <w:rPr>
                <w:sz w:val="20"/>
              </w:rPr>
            </w:pPr>
            <w:r w:rsidRPr="00C10518">
              <w:rPr>
                <w:sz w:val="20"/>
              </w:rPr>
              <w:t>-</w:t>
            </w:r>
            <w:r w:rsidRPr="00C10518">
              <w:rPr>
                <w:sz w:val="20"/>
              </w:rPr>
              <w:tab/>
              <w:t xml:space="preserve">achiziționează bunuri și/sau servicii destinate autorităților/entităților contractante, sau; </w:t>
            </w:r>
          </w:p>
          <w:p w:rsidR="004C7663" w:rsidRPr="00C10518" w:rsidRDefault="004C7663" w:rsidP="004C7663">
            <w:pPr>
              <w:pStyle w:val="Corptext"/>
              <w:rPr>
                <w:sz w:val="20"/>
              </w:rPr>
            </w:pPr>
            <w:r w:rsidRPr="00C10518">
              <w:rPr>
                <w:sz w:val="20"/>
              </w:rPr>
              <w:t>-</w:t>
            </w:r>
            <w:r w:rsidRPr="00C10518">
              <w:rPr>
                <w:sz w:val="20"/>
              </w:rPr>
              <w:tab/>
              <w:t>atribuie contracte de achiziții sau încheie acorduri-cadru de achiziții de lucrări, de bunuri sau de servicii destinate autorităților/entităților contractante;”</w:t>
            </w:r>
          </w:p>
          <w:p w:rsidR="004C7663" w:rsidRPr="00C10518" w:rsidRDefault="004C7663" w:rsidP="004C7663">
            <w:pPr>
              <w:pStyle w:val="Corptext"/>
              <w:rPr>
                <w:sz w:val="20"/>
              </w:rPr>
            </w:pPr>
            <w:r w:rsidRPr="00C10518">
              <w:rPr>
                <w:i/>
                <w:sz w:val="20"/>
              </w:rPr>
              <w:t>Argumentare:</w:t>
            </w:r>
            <w:r w:rsidRPr="00C10518">
              <w:rPr>
                <w:sz w:val="20"/>
              </w:rPr>
              <w:t xml:space="preserve"> Definiția specificată în Directiva 2009/81/CE diferă de noțiunea prevăzută în Legea 131/2015 privind achiziţiile publice, și eventual permite autorităților contractante din Moldova participarea la programe de achiziții comune efectuate la nivelul Uniunii Europene prin intermediul agențiilor specializate în acest sens (de ex. European Defense Agency), pentru a obține avantajele care decurg din achiziții de cantități mari.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 a fost introdusă noțiunea de  „autoritate centrală de achiziție” conform prevederilor Directivei 2009/81/CE.</w:t>
            </w:r>
          </w:p>
        </w:tc>
      </w:tr>
      <w:tr w:rsidR="00C10518" w:rsidRPr="00C10518" w:rsidTr="004C7663">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w:t>
            </w:r>
          </w:p>
        </w:tc>
        <w:tc>
          <w:tcPr>
            <w:tcW w:w="4111" w:type="dxa"/>
            <w:shd w:val="clear" w:color="auto" w:fill="auto"/>
          </w:tcPr>
          <w:p w:rsidR="004C7663" w:rsidRPr="00C10518" w:rsidRDefault="004C7663" w:rsidP="004C7663">
            <w:pPr>
              <w:pStyle w:val="Corptext"/>
              <w:rPr>
                <w:sz w:val="20"/>
              </w:rPr>
            </w:pPr>
            <w:r w:rsidRPr="00C10518">
              <w:rPr>
                <w:sz w:val="20"/>
              </w:rPr>
              <w:t>La art. 1 alin. (1) definiția „echipamente militare” urmează a fi comasată cu cea a „produselor militare”, or considerăm că ultima este una generică și complexă și o cuprinde și pe prima.</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 în urma recomandărilor de la CAL și SIGMA.</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w:t>
            </w:r>
          </w:p>
        </w:tc>
        <w:tc>
          <w:tcPr>
            <w:tcW w:w="4111" w:type="dxa"/>
            <w:shd w:val="clear" w:color="auto" w:fill="auto"/>
          </w:tcPr>
          <w:p w:rsidR="004C7663" w:rsidRPr="00C10518" w:rsidRDefault="004C7663" w:rsidP="004C7663">
            <w:pPr>
              <w:pStyle w:val="Corptext"/>
              <w:rPr>
                <w:sz w:val="20"/>
              </w:rPr>
            </w:pPr>
            <w:r w:rsidRPr="00C10518">
              <w:rPr>
                <w:sz w:val="20"/>
              </w:rPr>
              <w:t xml:space="preserve">La art. 4 lit. f) „principiul recunoașterii reciproce în domeniul liberei circulații a mărfurilor ”, urmează a fi definit pentru a fi clar iar aplicarea acestuia previzibilă pentru toți cei vizați sau să fie exclus dat fiind faptul că este de domeniul </w:t>
            </w:r>
            <w:r w:rsidRPr="00C10518">
              <w:rPr>
                <w:sz w:val="20"/>
              </w:rPr>
              <w:lastRenderedPageBreak/>
              <w:t>Directivei 2009/43/EC privind transferul intracomunitar al echipamentelor militare.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i/>
                <w:sz w:val="20"/>
                <w:szCs w:val="20"/>
              </w:rPr>
              <w:t>„Principiul recunoașterii reciproce în domeniul liberei circulații a mărfurilor”</w:t>
            </w:r>
            <w:r w:rsidRPr="00C10518">
              <w:rPr>
                <w:rFonts w:ascii="Times New Roman" w:hAnsi="Times New Roman" w:cs="Times New Roman"/>
                <w:sz w:val="20"/>
                <w:szCs w:val="20"/>
              </w:rPr>
              <w:t xml:space="preserve"> este un concept fundamental al pieței interne a Uniunii Europene (UE). Acest principiu stabilește că un produs legal fabricat și pus în vânzare într-un stat membru al UE trebuie să fie acceptat și recunoscut ca fiind legal în toate celelalte state membre. </w:t>
            </w:r>
            <w:r w:rsidRPr="00C10518">
              <w:rPr>
                <w:rFonts w:ascii="Times New Roman" w:hAnsi="Times New Roman" w:cs="Times New Roman"/>
                <w:sz w:val="20"/>
                <w:szCs w:val="20"/>
              </w:rPr>
              <w:lastRenderedPageBreak/>
              <w:t>Acest lucru facilitează comerțul transfrontalier și promovează integrarea pieței unice europene.</w:t>
            </w:r>
          </w:p>
          <w:p w:rsidR="00CE46C5" w:rsidRPr="00C10518" w:rsidRDefault="00CE46C5" w:rsidP="004C7663">
            <w:pPr>
              <w:jc w:val="both"/>
              <w:rPr>
                <w:rFonts w:ascii="Times New Roman" w:hAnsi="Times New Roman" w:cs="Times New Roman"/>
                <w:sz w:val="20"/>
                <w:szCs w:val="20"/>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CE46C5" w:rsidRPr="00C10518" w:rsidRDefault="00CE46C5" w:rsidP="00CE46C5">
            <w:pPr>
              <w:ind w:left="30" w:right="170" w:firstLine="13"/>
              <w:jc w:val="both"/>
              <w:rPr>
                <w:rFonts w:ascii="Times New Roman" w:eastAsia="Calibri" w:hAnsi="Times New Roman" w:cs="Times New Roman"/>
                <w:b/>
                <w:sz w:val="20"/>
                <w:szCs w:val="20"/>
                <w:lang w:val="ro-RO"/>
              </w:rPr>
            </w:pPr>
            <w:r w:rsidRPr="00C10518">
              <w:rPr>
                <w:rFonts w:ascii="Times New Roman" w:eastAsia="Calibri" w:hAnsi="Times New Roman" w:cs="Times New Roman"/>
                <w:b/>
                <w:sz w:val="20"/>
                <w:szCs w:val="20"/>
                <w:lang w:val="ro-RO"/>
              </w:rPr>
              <w:t>Se acceptă</w:t>
            </w:r>
          </w:p>
          <w:p w:rsidR="00CE46C5" w:rsidRPr="00C10518" w:rsidRDefault="00CE46C5" w:rsidP="00DE47FB">
            <w:pPr>
              <w:ind w:left="30" w:right="170" w:firstLine="13"/>
              <w:jc w:val="both"/>
              <w:rPr>
                <w:rFonts w:ascii="Times New Roman" w:eastAsia="Calibri" w:hAnsi="Times New Roman" w:cs="Times New Roman"/>
                <w:sz w:val="20"/>
                <w:szCs w:val="20"/>
                <w:lang w:val="ro-RO"/>
              </w:rPr>
            </w:pPr>
            <w:r w:rsidRPr="00C10518">
              <w:rPr>
                <w:rFonts w:ascii="Times New Roman" w:eastAsia="Calibri" w:hAnsi="Times New Roman" w:cs="Times New Roman"/>
                <w:sz w:val="20"/>
                <w:szCs w:val="20"/>
                <w:lang w:val="ro-RO"/>
              </w:rPr>
              <w:t xml:space="preserve">În conformitate cu </w:t>
            </w:r>
            <w:r w:rsidR="00DE47FB" w:rsidRPr="00C10518">
              <w:rPr>
                <w:rFonts w:ascii="Times New Roman" w:eastAsia="Calibri" w:hAnsi="Times New Roman" w:cs="Times New Roman"/>
                <w:sz w:val="20"/>
                <w:szCs w:val="20"/>
                <w:lang w:val="ro-RO"/>
              </w:rPr>
              <w:t>opinia UE din data de 24.01.2025</w:t>
            </w:r>
            <w:r w:rsidRPr="00C10518">
              <w:rPr>
                <w:rFonts w:ascii="Times New Roman" w:eastAsia="Calibri" w:hAnsi="Times New Roman" w:cs="Times New Roman"/>
                <w:sz w:val="20"/>
                <w:szCs w:val="20"/>
                <w:lang w:val="ro-RO"/>
              </w:rPr>
              <w:t>, lit. f) a art. 4 a fost exclusă din proiectul legii</w:t>
            </w: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w:t>
            </w:r>
          </w:p>
        </w:tc>
        <w:tc>
          <w:tcPr>
            <w:tcW w:w="4111" w:type="dxa"/>
            <w:shd w:val="clear" w:color="auto" w:fill="auto"/>
          </w:tcPr>
          <w:p w:rsidR="004C7663" w:rsidRPr="00C10518" w:rsidRDefault="004C7663" w:rsidP="004C7663">
            <w:pPr>
              <w:pStyle w:val="Corptext"/>
              <w:rPr>
                <w:sz w:val="20"/>
              </w:rPr>
            </w:pPr>
            <w:r w:rsidRPr="00C10518">
              <w:rPr>
                <w:sz w:val="20"/>
              </w:rPr>
              <w:t>La art. 8 alin. (1) lit. a) se propune de a înlocui cifrele ”2 300 000” cu cifrele ”8 000 000”;</w:t>
            </w:r>
          </w:p>
          <w:p w:rsidR="004C7663" w:rsidRPr="00C10518" w:rsidRDefault="004C7663" w:rsidP="004C7663">
            <w:pPr>
              <w:pStyle w:val="Corptext"/>
              <w:rPr>
                <w:sz w:val="20"/>
              </w:rPr>
            </w:pPr>
            <w:r w:rsidRPr="00C10518">
              <w:rPr>
                <w:i/>
                <w:sz w:val="20"/>
              </w:rPr>
              <w:t>Argumentare:</w:t>
            </w:r>
            <w:r w:rsidRPr="00C10518">
              <w:rPr>
                <w:sz w:val="20"/>
              </w:rPr>
              <w:t xml:space="preserve"> Propunerile derivă din prevederile Directivei 2009/81/CE, reducerea cărora este o prevedere națională stabilită arbitrar și nu ține cont de particularitățile pieței internaționale din domeniul apărării, căruia se adresează această Directivă.</w:t>
            </w:r>
          </w:p>
          <w:p w:rsidR="004C7663" w:rsidRPr="00C10518" w:rsidRDefault="004C7663" w:rsidP="004C7663">
            <w:pPr>
              <w:pStyle w:val="Corptext"/>
              <w:rPr>
                <w:sz w:val="20"/>
              </w:rPr>
            </w:pPr>
            <w:r w:rsidRPr="00C10518">
              <w:rPr>
                <w:sz w:val="20"/>
              </w:rPr>
              <w:t>Reducerea nejustificată a pragurilor valorice contravine principiului proporționalității, stabilit în art. 4 lit. c) din proiectul de lege, care presupune corelarea efortului administrativ de inițiere a procedurii, participarea la licitație a operatorilor economici, atribuire și eventual ulterioara contestare a contractului cu cantitatea de bunuri/servicii posibil de achiziționat, ținând cont de prețurile pieței în sectorul de apărare. Nerespectarea principiului de proporționalitate în acest caz va duce la:</w:t>
            </w:r>
          </w:p>
          <w:p w:rsidR="004C7663" w:rsidRPr="00C10518" w:rsidRDefault="004C7663" w:rsidP="004C7663">
            <w:pPr>
              <w:pStyle w:val="Corptext"/>
              <w:rPr>
                <w:sz w:val="20"/>
              </w:rPr>
            </w:pPr>
            <w:r w:rsidRPr="00C10518">
              <w:rPr>
                <w:sz w:val="20"/>
              </w:rPr>
              <w:t>-</w:t>
            </w:r>
            <w:r w:rsidRPr="00C10518">
              <w:rPr>
                <w:sz w:val="20"/>
              </w:rPr>
              <w:tab/>
              <w:t xml:space="preserve"> creșterea cheltuielilor administrative ale autorității contractante; </w:t>
            </w:r>
          </w:p>
          <w:p w:rsidR="004C7663" w:rsidRPr="00C10518" w:rsidRDefault="004C7663" w:rsidP="004C7663">
            <w:pPr>
              <w:pStyle w:val="Corptext"/>
              <w:rPr>
                <w:sz w:val="20"/>
              </w:rPr>
            </w:pPr>
            <w:r w:rsidRPr="00C10518">
              <w:rPr>
                <w:sz w:val="20"/>
              </w:rPr>
              <w:t>-</w:t>
            </w:r>
            <w:r w:rsidRPr="00C10518">
              <w:rPr>
                <w:sz w:val="20"/>
              </w:rPr>
              <w:tab/>
              <w:t xml:space="preserve">descurajarea potențialilor ofertanți de a participa la licitații pentru loturi mici, și implicit </w:t>
            </w:r>
          </w:p>
          <w:p w:rsidR="004C7663" w:rsidRPr="00C10518" w:rsidRDefault="004C7663" w:rsidP="004C7663">
            <w:pPr>
              <w:pStyle w:val="Corptext"/>
              <w:rPr>
                <w:sz w:val="20"/>
              </w:rPr>
            </w:pPr>
            <w:r w:rsidRPr="00C10518">
              <w:rPr>
                <w:sz w:val="20"/>
              </w:rPr>
              <w:t>-</w:t>
            </w:r>
            <w:r w:rsidRPr="00C10518">
              <w:rPr>
                <w:sz w:val="20"/>
              </w:rPr>
              <w:tab/>
              <w:t>incapacitatea Armatei Naționale de a asigura achiziționarea unor echipamente și muniții particulare/specifice, necesare în cantități relativ mici, dar cu impact mare asupra realizării misiunii.</w:t>
            </w:r>
          </w:p>
          <w:p w:rsidR="004C7663" w:rsidRPr="00C10518" w:rsidRDefault="004C7663" w:rsidP="004C7663">
            <w:pPr>
              <w:pStyle w:val="Corptext"/>
              <w:rPr>
                <w:sz w:val="20"/>
              </w:rPr>
            </w:pPr>
            <w:r w:rsidRPr="00C10518">
              <w:rPr>
                <w:sz w:val="20"/>
              </w:rPr>
              <w:t>Propunerile ridică gradul de compatibilitate a proiectului de Lege cu acquisul european.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Conform recomandărilor CAL, SIS, au fost modificate pragurile și anume, au fost aduse în concordanță cu cele prevăzute în Legea nr. 131/2015 și în Legea nr. 74/2020 pentru a asigura coerența și uniformitatea.</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Pragurile stabilite în Directivele UE și legislația statelor membre, ținând cont de realitățile economice naționale și nivelul alocațiilor bugetare, pentru Republica Moldova sunt prea înalte și în cazul în care le vom aplica un număr foarte mic de proceduri de achiziții vor fi desfășurate în conformitate cu legislația.</w:t>
            </w:r>
          </w:p>
          <w:p w:rsidR="004C7663" w:rsidRPr="00C10518" w:rsidRDefault="004C7663" w:rsidP="004C7663">
            <w:pPr>
              <w:jc w:val="both"/>
              <w:rPr>
                <w:rFonts w:ascii="Times New Roman" w:hAnsi="Times New Roman" w:cs="Times New Roman"/>
                <w:sz w:val="20"/>
                <w:szCs w:val="20"/>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CE46C5" w:rsidRPr="00C10518" w:rsidRDefault="00CE46C5" w:rsidP="00CE46C5">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CE46C5" w:rsidRPr="00C10518" w:rsidRDefault="00CE46C5" w:rsidP="00CE46C5">
            <w:pPr>
              <w:jc w:val="both"/>
              <w:rPr>
                <w:rFonts w:ascii="Times New Roman" w:hAnsi="Times New Roman" w:cs="Times New Roman"/>
                <w:sz w:val="20"/>
                <w:szCs w:val="20"/>
              </w:rPr>
            </w:pPr>
            <w:r w:rsidRPr="00C10518">
              <w:rPr>
                <w:rFonts w:ascii="Times New Roman" w:hAnsi="Times New Roman" w:cs="Times New Roman"/>
                <w:sz w:val="20"/>
                <w:szCs w:val="20"/>
              </w:rPr>
              <w:t xml:space="preserve">Pragurile  de aplicare a legii, </w:t>
            </w:r>
            <w:r w:rsidR="0069346D" w:rsidRPr="00C10518">
              <w:rPr>
                <w:rFonts w:ascii="Times New Roman" w:hAnsi="Times New Roman" w:cs="Times New Roman"/>
                <w:sz w:val="20"/>
                <w:szCs w:val="20"/>
              </w:rPr>
              <w:t xml:space="preserve"> în conformitate cu opinia UE din data de 24.01.2025,</w:t>
            </w:r>
            <w:r w:rsidRPr="00C10518">
              <w:rPr>
                <w:rFonts w:ascii="Times New Roman" w:hAnsi="Times New Roman" w:cs="Times New Roman"/>
                <w:sz w:val="20"/>
                <w:szCs w:val="20"/>
              </w:rPr>
              <w:t xml:space="preserve"> au fost revizuite și aliniate la pragurile prevăzute de Directiva 2009/81/CE  </w:t>
            </w: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5</w:t>
            </w:r>
          </w:p>
        </w:tc>
        <w:tc>
          <w:tcPr>
            <w:tcW w:w="4111" w:type="dxa"/>
            <w:shd w:val="clear" w:color="auto" w:fill="auto"/>
          </w:tcPr>
          <w:p w:rsidR="004C7663" w:rsidRPr="00C10518" w:rsidRDefault="004C7663" w:rsidP="004C7663">
            <w:pPr>
              <w:pStyle w:val="Corptext"/>
              <w:rPr>
                <w:sz w:val="20"/>
              </w:rPr>
            </w:pPr>
            <w:r w:rsidRPr="00C10518">
              <w:rPr>
                <w:sz w:val="20"/>
              </w:rPr>
              <w:t>La art. 8 alin. (1) lit. b) se propune de a înlocui cifrele ”9 000 000” cu cifrele ”99 000 000”;</w:t>
            </w:r>
          </w:p>
          <w:p w:rsidR="004C7663" w:rsidRPr="00C10518" w:rsidRDefault="004C7663" w:rsidP="004C7663">
            <w:pPr>
              <w:pStyle w:val="Corptext"/>
              <w:rPr>
                <w:sz w:val="20"/>
              </w:rPr>
            </w:pPr>
            <w:r w:rsidRPr="00C10518">
              <w:rPr>
                <w:i/>
                <w:sz w:val="20"/>
              </w:rPr>
              <w:t>Argumentare:</w:t>
            </w:r>
            <w:r w:rsidRPr="00C10518">
              <w:rPr>
                <w:sz w:val="20"/>
              </w:rPr>
              <w:t xml:space="preserve"> Propunerile derivă din prevederile Directivei 2009/81/CE, reducerea cărora este o prevedere națională stabilită arbitrar și nu ține cont de particularitățile pieței internaționale din </w:t>
            </w:r>
            <w:r w:rsidRPr="00C10518">
              <w:rPr>
                <w:sz w:val="20"/>
              </w:rPr>
              <w:lastRenderedPageBreak/>
              <w:t>domeniul apărării, căruia se adresează această Directivă.</w:t>
            </w:r>
          </w:p>
          <w:p w:rsidR="004C7663" w:rsidRPr="00C10518" w:rsidRDefault="004C7663" w:rsidP="004C7663">
            <w:pPr>
              <w:pStyle w:val="Corptext"/>
              <w:rPr>
                <w:sz w:val="20"/>
              </w:rPr>
            </w:pPr>
            <w:r w:rsidRPr="00C10518">
              <w:rPr>
                <w:sz w:val="20"/>
              </w:rPr>
              <w:t>Reducerea nejustificată a pragurilor valorice contravine principiului proporționalității, stabilit în art. 4 lit. c) din proiectul de lege, care presupune corelarea efortului administrativ de inițiere a procedurii, participarea la licitație a operatorilor economici, atribuire și eventual ulterioara contestare a contractului cu cantitatea de bunuri/servicii posibil de achiziționat, ținând cont de prețurile pieței în sectorul de apărare. Nerespectarea principiului de proporționalitate în acest caz va duce la:</w:t>
            </w:r>
          </w:p>
          <w:p w:rsidR="004C7663" w:rsidRPr="00C10518" w:rsidRDefault="004C7663" w:rsidP="004C7663">
            <w:pPr>
              <w:pStyle w:val="Corptext"/>
              <w:rPr>
                <w:sz w:val="20"/>
              </w:rPr>
            </w:pPr>
            <w:r w:rsidRPr="00C10518">
              <w:rPr>
                <w:sz w:val="20"/>
              </w:rPr>
              <w:t>-</w:t>
            </w:r>
            <w:r w:rsidRPr="00C10518">
              <w:rPr>
                <w:sz w:val="20"/>
              </w:rPr>
              <w:tab/>
              <w:t xml:space="preserve"> creșterea cheltuielilor administrative ale autorității contractante; </w:t>
            </w:r>
          </w:p>
          <w:p w:rsidR="004C7663" w:rsidRPr="00C10518" w:rsidRDefault="004C7663" w:rsidP="004C7663">
            <w:pPr>
              <w:pStyle w:val="Corptext"/>
              <w:rPr>
                <w:sz w:val="20"/>
              </w:rPr>
            </w:pPr>
            <w:r w:rsidRPr="00C10518">
              <w:rPr>
                <w:sz w:val="20"/>
              </w:rPr>
              <w:t>-</w:t>
            </w:r>
            <w:r w:rsidRPr="00C10518">
              <w:rPr>
                <w:sz w:val="20"/>
              </w:rPr>
              <w:tab/>
              <w:t xml:space="preserve">descurajarea potențialilor ofertanți de a participa la licitații pentru loturi mici, și implicit </w:t>
            </w:r>
          </w:p>
          <w:p w:rsidR="004C7663" w:rsidRPr="00C10518" w:rsidRDefault="004C7663" w:rsidP="004C7663">
            <w:pPr>
              <w:pStyle w:val="Corptext"/>
              <w:rPr>
                <w:sz w:val="20"/>
              </w:rPr>
            </w:pPr>
            <w:r w:rsidRPr="00C10518">
              <w:rPr>
                <w:sz w:val="20"/>
              </w:rPr>
              <w:t>-</w:t>
            </w:r>
            <w:r w:rsidRPr="00C10518">
              <w:rPr>
                <w:sz w:val="20"/>
              </w:rPr>
              <w:tab/>
              <w:t>incapacitatea Armatei Naționale de a asigura achiziționarea unor echipamente și muniții particulare/specifice, necesare în cantități relativ mici, dar cu impact mare asupra realizării misiunii.</w:t>
            </w:r>
          </w:p>
          <w:p w:rsidR="004C7663" w:rsidRPr="00C10518" w:rsidRDefault="004C7663" w:rsidP="004C7663">
            <w:pPr>
              <w:pStyle w:val="Corptext"/>
              <w:rPr>
                <w:sz w:val="20"/>
              </w:rPr>
            </w:pPr>
            <w:r w:rsidRPr="00C10518">
              <w:rPr>
                <w:sz w:val="20"/>
              </w:rPr>
              <w:t>Propunerile ridică gradul de compatibilitate a proiectului de Lege cu acquisul european.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Conform recomandărilor CAL, SIS, au fost modificate pragurile și anume, au fost aduse în concordanță cu cele prevăzute în Legea nr. 131/2015 și în Legea nr. 74/2020 pentru a asigura coerența și uniformitatea.</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lastRenderedPageBreak/>
              <w:t>Pragurile stabilite în Directivele UE și legislația statelor membre, ținând cont de realitățile economice naționale și nivelul alocațiilor bugetare, pentru Republica Moldova sunt prea înalte și în cazul în care le vom aplica un număr foarte mic de proceduri de achiziții vor fi desfășurate în conformitate cu legislația.</w:t>
            </w:r>
          </w:p>
          <w:p w:rsidR="00CE46C5" w:rsidRPr="00C10518" w:rsidRDefault="00CE46C5" w:rsidP="004C7663">
            <w:pPr>
              <w:jc w:val="both"/>
              <w:rPr>
                <w:rFonts w:ascii="Times New Roman" w:hAnsi="Times New Roman" w:cs="Times New Roman"/>
                <w:sz w:val="20"/>
                <w:szCs w:val="20"/>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CE46C5" w:rsidRPr="00C10518" w:rsidRDefault="00CE46C5" w:rsidP="00CE46C5">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CE46C5" w:rsidRPr="00C10518" w:rsidRDefault="00CE46C5" w:rsidP="00CE46C5">
            <w:pPr>
              <w:jc w:val="both"/>
              <w:rPr>
                <w:rFonts w:ascii="Times New Roman" w:hAnsi="Times New Roman" w:cs="Times New Roman"/>
                <w:b/>
                <w:sz w:val="20"/>
                <w:szCs w:val="20"/>
              </w:rPr>
            </w:pPr>
            <w:r w:rsidRPr="00C10518">
              <w:rPr>
                <w:rFonts w:ascii="Times New Roman" w:hAnsi="Times New Roman" w:cs="Times New Roman"/>
                <w:sz w:val="20"/>
                <w:szCs w:val="20"/>
              </w:rPr>
              <w:t xml:space="preserve">Pragurile  de aplicare a legii, în </w:t>
            </w:r>
            <w:r w:rsidR="0069346D" w:rsidRPr="00C10518">
              <w:rPr>
                <w:rFonts w:ascii="Times New Roman" w:hAnsi="Times New Roman" w:cs="Times New Roman"/>
                <w:sz w:val="20"/>
                <w:szCs w:val="20"/>
              </w:rPr>
              <w:t xml:space="preserve"> conformitate cu opinia UE din data de 24.01.2025,</w:t>
            </w:r>
            <w:r w:rsidRPr="00C10518">
              <w:rPr>
                <w:rFonts w:ascii="Times New Roman" w:hAnsi="Times New Roman" w:cs="Times New Roman"/>
                <w:sz w:val="20"/>
                <w:szCs w:val="20"/>
              </w:rPr>
              <w:t xml:space="preserve"> au fost revizuite și aliniate la pragurile prevăzute de Directiva 2009/81/CE  </w:t>
            </w: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6</w:t>
            </w:r>
          </w:p>
        </w:tc>
        <w:tc>
          <w:tcPr>
            <w:tcW w:w="4111" w:type="dxa"/>
            <w:shd w:val="clear" w:color="auto" w:fill="auto"/>
          </w:tcPr>
          <w:p w:rsidR="004C7663" w:rsidRPr="00C10518" w:rsidRDefault="004C7663" w:rsidP="004C7663">
            <w:pPr>
              <w:pStyle w:val="Corptext"/>
              <w:rPr>
                <w:sz w:val="20"/>
              </w:rPr>
            </w:pPr>
            <w:r w:rsidRPr="00C10518">
              <w:rPr>
                <w:sz w:val="20"/>
              </w:rPr>
              <w:t>La art. 9 alin (5) lit. a) se propune de a înlocui cifrele ”2 000 000” cu cifrele ”20 000 000”;</w:t>
            </w:r>
          </w:p>
          <w:p w:rsidR="004C7663" w:rsidRPr="00C10518" w:rsidRDefault="004C7663" w:rsidP="004C7663">
            <w:pPr>
              <w:pStyle w:val="Corptext"/>
              <w:rPr>
                <w:sz w:val="20"/>
              </w:rPr>
            </w:pPr>
            <w:r w:rsidRPr="00C10518">
              <w:rPr>
                <w:i/>
                <w:sz w:val="20"/>
              </w:rPr>
              <w:t>Argumentare:</w:t>
            </w:r>
            <w:r w:rsidRPr="00C10518">
              <w:rPr>
                <w:sz w:val="20"/>
              </w:rPr>
              <w:t xml:space="preserve"> Propunerile derivă din prevederile Directivei 2009/81/CE, reducerea cărora este o prevedere națională stabilită arbitrar și nu ține cont de particularitățile pieței internaționale din domeniul apărării, căruia se adresează această Directivă.</w:t>
            </w:r>
          </w:p>
          <w:p w:rsidR="004C7663" w:rsidRPr="00C10518" w:rsidRDefault="004C7663" w:rsidP="004C7663">
            <w:pPr>
              <w:pStyle w:val="Corptext"/>
              <w:rPr>
                <w:sz w:val="20"/>
              </w:rPr>
            </w:pPr>
            <w:r w:rsidRPr="00C10518">
              <w:rPr>
                <w:sz w:val="20"/>
              </w:rPr>
              <w:t>Reducerea nejustificată a pragurilor valorice contravine principiului proporționalității, stabilit în art. 4 lit. c) din proiectul de lege, care presupune corelarea efortului administrativ de inițiere a procedurii, participarea la licitație a operatorilor economici, atribuire și eventual ulterioara contestare a contractului cu cantitatea de bunuri/servicii posibil de achiziționat, ținând cont de prețurile pieței în sectorul de apărare. Nerespectarea principiului de proporționalitate în acest caz va duce la:</w:t>
            </w:r>
          </w:p>
          <w:p w:rsidR="004C7663" w:rsidRPr="00C10518" w:rsidRDefault="004C7663" w:rsidP="004C7663">
            <w:pPr>
              <w:pStyle w:val="Corptext"/>
              <w:rPr>
                <w:sz w:val="20"/>
              </w:rPr>
            </w:pPr>
            <w:r w:rsidRPr="00C10518">
              <w:rPr>
                <w:sz w:val="20"/>
              </w:rPr>
              <w:lastRenderedPageBreak/>
              <w:t>-</w:t>
            </w:r>
            <w:r w:rsidRPr="00C10518">
              <w:rPr>
                <w:sz w:val="20"/>
              </w:rPr>
              <w:tab/>
              <w:t xml:space="preserve"> creșterea cheltuielilor administrative ale autorității contractante; </w:t>
            </w:r>
          </w:p>
          <w:p w:rsidR="004C7663" w:rsidRPr="00C10518" w:rsidRDefault="004C7663" w:rsidP="004C7663">
            <w:pPr>
              <w:pStyle w:val="Corptext"/>
              <w:rPr>
                <w:sz w:val="20"/>
              </w:rPr>
            </w:pPr>
            <w:r w:rsidRPr="00C10518">
              <w:rPr>
                <w:sz w:val="20"/>
              </w:rPr>
              <w:t>-</w:t>
            </w:r>
            <w:r w:rsidRPr="00C10518">
              <w:rPr>
                <w:sz w:val="20"/>
              </w:rPr>
              <w:tab/>
              <w:t xml:space="preserve">descurajarea potențialilor ofertanți de a participa la licitații pentru loturi mici, și implicit </w:t>
            </w:r>
          </w:p>
          <w:p w:rsidR="004C7663" w:rsidRPr="00C10518" w:rsidRDefault="004C7663" w:rsidP="004C7663">
            <w:pPr>
              <w:pStyle w:val="Corptext"/>
              <w:rPr>
                <w:sz w:val="20"/>
              </w:rPr>
            </w:pPr>
            <w:r w:rsidRPr="00C10518">
              <w:rPr>
                <w:sz w:val="20"/>
              </w:rPr>
              <w:t>-</w:t>
            </w:r>
            <w:r w:rsidRPr="00C10518">
              <w:rPr>
                <w:sz w:val="20"/>
              </w:rPr>
              <w:tab/>
              <w:t>incapacitatea Armatei Naționale de a asigura achiziționarea unor echipamente și muniții particulare/specifice, necesare în cantități relativ mici, dar cu impact mare asupra realizării misiunii.</w:t>
            </w:r>
          </w:p>
          <w:p w:rsidR="004C7663" w:rsidRPr="00C10518" w:rsidRDefault="004C7663" w:rsidP="004C7663">
            <w:pPr>
              <w:pStyle w:val="Corptext"/>
              <w:rPr>
                <w:sz w:val="20"/>
              </w:rPr>
            </w:pPr>
            <w:r w:rsidRPr="00C10518">
              <w:rPr>
                <w:sz w:val="20"/>
              </w:rPr>
              <w:t>Propunerile ridică gradul de compatibilitate a proiectului de Lege cu acquisul european.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Conform recomandărilor CAL, SIS, au fost modificate pragurile și anume, au fost aduse în concordanță cu cele prevăzute în Legea nr. 131/2015 și în Legea nr. 74/2020 pentru a asigura coerența și uniformitatea.</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Pragurile stabilite în Directivele UE și legislația statelor membre, ținând cont de realitățile economice naționale și nivelul alocațiilor bugetare, pentru Republica Moldova sunt prea înalte și în cazul în care le vom aplica un număr foarte mic de proceduri de achiziții vor fi desfășurate în conformitate cu legislația.</w:t>
            </w:r>
          </w:p>
          <w:p w:rsidR="00CE46C5" w:rsidRPr="00C10518" w:rsidRDefault="00CE46C5" w:rsidP="004C7663">
            <w:pPr>
              <w:jc w:val="both"/>
              <w:rPr>
                <w:rFonts w:ascii="Times New Roman" w:hAnsi="Times New Roman" w:cs="Times New Roman"/>
                <w:sz w:val="20"/>
                <w:szCs w:val="20"/>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CE46C5" w:rsidRPr="00C10518" w:rsidRDefault="00CE46C5" w:rsidP="00CE46C5">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CE46C5" w:rsidRPr="00C10518" w:rsidRDefault="00CE46C5" w:rsidP="00CE46C5">
            <w:pPr>
              <w:jc w:val="both"/>
              <w:rPr>
                <w:rFonts w:ascii="Times New Roman" w:hAnsi="Times New Roman" w:cs="Times New Roman"/>
                <w:b/>
                <w:sz w:val="20"/>
                <w:szCs w:val="20"/>
              </w:rPr>
            </w:pPr>
            <w:r w:rsidRPr="00C10518">
              <w:rPr>
                <w:rFonts w:ascii="Times New Roman" w:hAnsi="Times New Roman" w:cs="Times New Roman"/>
                <w:sz w:val="20"/>
                <w:szCs w:val="20"/>
              </w:rPr>
              <w:t xml:space="preserve">Pragurile  de aplicare a legii, în </w:t>
            </w:r>
            <w:r w:rsidR="0069346D" w:rsidRPr="00C10518">
              <w:rPr>
                <w:rFonts w:ascii="Times New Roman" w:hAnsi="Times New Roman" w:cs="Times New Roman"/>
                <w:sz w:val="20"/>
                <w:szCs w:val="20"/>
              </w:rPr>
              <w:t xml:space="preserve"> conformitate cu opinia UE din data de 24.01.2025, </w:t>
            </w:r>
            <w:r w:rsidRPr="00C10518">
              <w:rPr>
                <w:rFonts w:ascii="Times New Roman" w:hAnsi="Times New Roman" w:cs="Times New Roman"/>
                <w:sz w:val="20"/>
                <w:szCs w:val="20"/>
              </w:rPr>
              <w:t xml:space="preserve">au fost revizuite și aliniate la pragurile prevăzute de Directiva 2009/81/CE  </w:t>
            </w: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7</w:t>
            </w:r>
          </w:p>
        </w:tc>
        <w:tc>
          <w:tcPr>
            <w:tcW w:w="4111" w:type="dxa"/>
            <w:shd w:val="clear" w:color="auto" w:fill="auto"/>
          </w:tcPr>
          <w:p w:rsidR="004C7663" w:rsidRPr="00C10518" w:rsidRDefault="004C7663" w:rsidP="004C7663">
            <w:pPr>
              <w:pStyle w:val="Corptext"/>
              <w:rPr>
                <w:sz w:val="20"/>
              </w:rPr>
            </w:pPr>
            <w:r w:rsidRPr="00C10518">
              <w:rPr>
                <w:sz w:val="20"/>
              </w:rPr>
              <w:t>La art. 9 alin. (6) lit. a) se propune de a înlocui cifrele ”800 000” cu cifrele ”1 600 000”.</w:t>
            </w:r>
          </w:p>
          <w:p w:rsidR="004C7663" w:rsidRPr="00C10518" w:rsidRDefault="004C7663" w:rsidP="004C7663">
            <w:pPr>
              <w:pStyle w:val="Corptext"/>
              <w:rPr>
                <w:sz w:val="20"/>
              </w:rPr>
            </w:pPr>
            <w:r w:rsidRPr="00C10518">
              <w:rPr>
                <w:i/>
                <w:sz w:val="20"/>
              </w:rPr>
              <w:t>Argumentare:</w:t>
            </w:r>
            <w:r w:rsidRPr="00C10518">
              <w:rPr>
                <w:sz w:val="20"/>
              </w:rPr>
              <w:t xml:space="preserve"> Propunerile derivă din prevederile Directivei 2009/81/CE, reducerea cărora este o prevedere națională stabilită arbitrar și nu ține cont de particularitățile pieței internaționale din domeniul apărării, căruia se adresează această Directivă.</w:t>
            </w:r>
          </w:p>
          <w:p w:rsidR="004C7663" w:rsidRPr="00C10518" w:rsidRDefault="004C7663" w:rsidP="004C7663">
            <w:pPr>
              <w:pStyle w:val="Corptext"/>
              <w:rPr>
                <w:sz w:val="20"/>
              </w:rPr>
            </w:pPr>
            <w:r w:rsidRPr="00C10518">
              <w:rPr>
                <w:sz w:val="20"/>
              </w:rPr>
              <w:t>Reducerea nejustificată a pragurilor valorice contravine principiului proporționalității, stabilit în art. 4 lit. c) din proiectul de lege, care presupune corelarea efortului administrativ de inițiere a procedurii, participarea la licitație a operatorilor economici, atribuire și eventual ulterioara contestare a contractului cu cantitatea de bunuri/servicii posibil de achiziționat, ținând cont de prețurile pieței în sectorul de apărare. Nerespectarea principiului de proporționalitate în acest caz va duce la:</w:t>
            </w:r>
          </w:p>
          <w:p w:rsidR="004C7663" w:rsidRPr="00C10518" w:rsidRDefault="004C7663" w:rsidP="004C7663">
            <w:pPr>
              <w:pStyle w:val="Corptext"/>
              <w:rPr>
                <w:sz w:val="20"/>
              </w:rPr>
            </w:pPr>
            <w:r w:rsidRPr="00C10518">
              <w:rPr>
                <w:sz w:val="20"/>
              </w:rPr>
              <w:t>-</w:t>
            </w:r>
            <w:r w:rsidRPr="00C10518">
              <w:rPr>
                <w:sz w:val="20"/>
              </w:rPr>
              <w:tab/>
              <w:t xml:space="preserve"> creșterea cheltuielilor administrative ale autorității contractante; </w:t>
            </w:r>
          </w:p>
          <w:p w:rsidR="004C7663" w:rsidRPr="00C10518" w:rsidRDefault="004C7663" w:rsidP="004C7663">
            <w:pPr>
              <w:pStyle w:val="Corptext"/>
              <w:rPr>
                <w:sz w:val="20"/>
              </w:rPr>
            </w:pPr>
            <w:r w:rsidRPr="00C10518">
              <w:rPr>
                <w:sz w:val="20"/>
              </w:rPr>
              <w:t>-</w:t>
            </w:r>
            <w:r w:rsidRPr="00C10518">
              <w:rPr>
                <w:sz w:val="20"/>
              </w:rPr>
              <w:tab/>
              <w:t xml:space="preserve">descurajarea potențialilor ofertanți de a participa la licitații pentru loturi mici, și implicit </w:t>
            </w:r>
          </w:p>
          <w:p w:rsidR="004C7663" w:rsidRPr="00C10518" w:rsidRDefault="004C7663" w:rsidP="004C7663">
            <w:pPr>
              <w:pStyle w:val="Corptext"/>
              <w:rPr>
                <w:sz w:val="20"/>
              </w:rPr>
            </w:pPr>
            <w:r w:rsidRPr="00C10518">
              <w:rPr>
                <w:sz w:val="20"/>
              </w:rPr>
              <w:t>-</w:t>
            </w:r>
            <w:r w:rsidRPr="00C10518">
              <w:rPr>
                <w:sz w:val="20"/>
              </w:rPr>
              <w:tab/>
              <w:t>incapacitatea Armatei Naționale de a asigura achiziționarea unor echipamente și muniții particulare/specifice, necesare în cantități relativ mici, dar cu impact mare asupra realizării misiunii.</w:t>
            </w:r>
          </w:p>
          <w:p w:rsidR="004C7663" w:rsidRPr="00C10518" w:rsidRDefault="004C7663" w:rsidP="004C7663">
            <w:pPr>
              <w:pStyle w:val="Corptext"/>
              <w:rPr>
                <w:sz w:val="20"/>
              </w:rPr>
            </w:pPr>
            <w:r w:rsidRPr="00C10518">
              <w:rPr>
                <w:sz w:val="20"/>
              </w:rPr>
              <w:t>Propunerile ridică gradul de compatibilitate a proiectului de Lege cu acquisul european.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Conform recomandărilor CAL, SIS, au fost modificate pragurile și anume, au fost aduse în concordanță cu cele prevăzute în Legea nr. 131/2015 și în Legea nr. 74/2020 pentru a asigura coerența și uniformitatea.</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Pragurile stabilite în Directivele UE și legislația statelor membre, ținând cont de realitățile economice naționale și nivelul alocațiilor bugetare, pentru Republica Moldova sunt prea înalte și în cazul în care le vom aplica un număr foarte mic de proceduri de achiziții vor fi desfășurate în conformitate cu legislația.</w:t>
            </w:r>
          </w:p>
          <w:p w:rsidR="00CE46C5" w:rsidRPr="00C10518" w:rsidRDefault="00CE46C5" w:rsidP="004C7663">
            <w:pPr>
              <w:jc w:val="both"/>
              <w:rPr>
                <w:rFonts w:ascii="Times New Roman" w:hAnsi="Times New Roman" w:cs="Times New Roman"/>
                <w:sz w:val="20"/>
                <w:szCs w:val="20"/>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CE46C5" w:rsidRPr="00C10518" w:rsidRDefault="00CE46C5" w:rsidP="00CE46C5">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CE46C5" w:rsidRPr="00C10518" w:rsidRDefault="00CE46C5" w:rsidP="00CE46C5">
            <w:pPr>
              <w:jc w:val="both"/>
              <w:rPr>
                <w:rFonts w:ascii="Times New Roman" w:hAnsi="Times New Roman" w:cs="Times New Roman"/>
                <w:b/>
                <w:sz w:val="20"/>
                <w:szCs w:val="20"/>
              </w:rPr>
            </w:pPr>
            <w:r w:rsidRPr="00C10518">
              <w:rPr>
                <w:rFonts w:ascii="Times New Roman" w:hAnsi="Times New Roman" w:cs="Times New Roman"/>
                <w:sz w:val="20"/>
                <w:szCs w:val="20"/>
              </w:rPr>
              <w:t xml:space="preserve">Pragurile  de aplicare a legii, în </w:t>
            </w:r>
            <w:r w:rsidR="0069346D" w:rsidRPr="00C10518">
              <w:rPr>
                <w:rFonts w:ascii="Times New Roman" w:hAnsi="Times New Roman" w:cs="Times New Roman"/>
                <w:sz w:val="20"/>
                <w:szCs w:val="20"/>
              </w:rPr>
              <w:t xml:space="preserve"> conformitate cu opinia UE din data de 24.01.2025,</w:t>
            </w:r>
            <w:r w:rsidRPr="00C10518">
              <w:rPr>
                <w:rFonts w:ascii="Times New Roman" w:hAnsi="Times New Roman" w:cs="Times New Roman"/>
                <w:sz w:val="20"/>
                <w:szCs w:val="20"/>
              </w:rPr>
              <w:t xml:space="preserve"> au fost revizuite și aliniate la pragurile prevăzute de Directiva 2009/81/CE  </w:t>
            </w: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8</w:t>
            </w:r>
          </w:p>
        </w:tc>
        <w:tc>
          <w:tcPr>
            <w:tcW w:w="4111" w:type="dxa"/>
            <w:shd w:val="clear" w:color="auto" w:fill="auto"/>
          </w:tcPr>
          <w:p w:rsidR="004C7663" w:rsidRPr="00C10518" w:rsidRDefault="004C7663" w:rsidP="004C7663">
            <w:pPr>
              <w:pStyle w:val="Corptext"/>
              <w:rPr>
                <w:sz w:val="20"/>
              </w:rPr>
            </w:pPr>
            <w:r w:rsidRPr="00C10518">
              <w:rPr>
                <w:sz w:val="20"/>
              </w:rPr>
              <w:t xml:space="preserve">Art. 10 se propune de a completa cu un alineat nou cu următorul conținut: </w:t>
            </w:r>
          </w:p>
          <w:p w:rsidR="004C7663" w:rsidRPr="00C10518" w:rsidRDefault="004C7663" w:rsidP="004C7663">
            <w:pPr>
              <w:pStyle w:val="Corptext"/>
              <w:rPr>
                <w:sz w:val="20"/>
              </w:rPr>
            </w:pPr>
            <w:r w:rsidRPr="00C10518">
              <w:rPr>
                <w:sz w:val="20"/>
              </w:rPr>
              <w:lastRenderedPageBreak/>
              <w:t>”3) Modul de participare, organizare și desfășurare a achizițiilor publice centralizate pentru produse militare este reglementat de Guvern.”</w:t>
            </w:r>
          </w:p>
          <w:p w:rsidR="004C7663" w:rsidRPr="00C10518" w:rsidRDefault="004C7663" w:rsidP="004C7663">
            <w:pPr>
              <w:pStyle w:val="Corptext"/>
              <w:rPr>
                <w:sz w:val="20"/>
              </w:rPr>
            </w:pPr>
            <w:r w:rsidRPr="00C10518">
              <w:rPr>
                <w:i/>
                <w:sz w:val="20"/>
              </w:rPr>
              <w:t>Argumentare:</w:t>
            </w:r>
            <w:r w:rsidRPr="00C10518">
              <w:rPr>
                <w:sz w:val="20"/>
              </w:rPr>
              <w:t xml:space="preserve"> Conform indicațiilor Prim-ministrului Republicii Moldova, este în proces de implementare viziunea privind efectuarea achizițiilor centralizate pentru produse militare prin intermediul Agenției Asigurare Resurse Materiale și Administrare patrimoniu al MA. Totodată la moment este un vid legislativ care trebuie să fie reglementat în modalitatea de participare a Republicii Moldova la proiecte de achiziții centralizate la nivelul Uniunii Europene. Se propune de reglementat aceste aspecte prin Hotărîre de Guvern subsecventă. Propunerea nu afectează gradul de compatibilitate a proiectului de Lege cu acquisul european.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 parțial</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lastRenderedPageBreak/>
              <w:t>Au fost operate modificări în redacția propusă, deoarece, modul de desfășurare nu ține de domeniul actului normativ propus.</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Alineat nou va avea următorul conținut: „Autoritatea centrală de achiziții pentru atribuirea anumitor contracte de lucrări, de furnizare de bunuri și de prestare de servicii în domeniile apărării și securității este desemnată de Guvern.”</w:t>
            </w: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9</w:t>
            </w:r>
          </w:p>
        </w:tc>
        <w:tc>
          <w:tcPr>
            <w:tcW w:w="4111" w:type="dxa"/>
            <w:shd w:val="clear" w:color="auto" w:fill="auto"/>
          </w:tcPr>
          <w:p w:rsidR="004C7663" w:rsidRPr="00C10518" w:rsidRDefault="004C7663" w:rsidP="004C7663">
            <w:pPr>
              <w:pStyle w:val="Corptext"/>
              <w:rPr>
                <w:sz w:val="20"/>
              </w:rPr>
            </w:pPr>
            <w:r w:rsidRPr="00C10518">
              <w:rPr>
                <w:sz w:val="20"/>
              </w:rPr>
              <w:t xml:space="preserve">Art. 13 lit. a), după cuvintele ”informații” se completează cu expresia ”atribuite la secretul de stat sau” și în continuare după text. </w:t>
            </w:r>
          </w:p>
          <w:p w:rsidR="004C7663" w:rsidRPr="00C10518" w:rsidRDefault="004C7663" w:rsidP="004C7663">
            <w:pPr>
              <w:pStyle w:val="Corptext"/>
              <w:rPr>
                <w:sz w:val="20"/>
              </w:rPr>
            </w:pPr>
            <w:r w:rsidRPr="00C10518">
              <w:rPr>
                <w:i/>
                <w:sz w:val="20"/>
              </w:rPr>
              <w:t>Argumentare:</w:t>
            </w:r>
            <w:r w:rsidRPr="00C10518">
              <w:rPr>
                <w:sz w:val="20"/>
              </w:rPr>
              <w:t xml:space="preserve"> Ajustarea noțiunilor utilizate în legislația națională, în speță în Legea 245/2008 cu privire la secretul de stat. Propunerea nu afectează gradul de compatibilitate a proiectului de Lege cu acquisul european.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10</w:t>
            </w:r>
          </w:p>
        </w:tc>
        <w:tc>
          <w:tcPr>
            <w:tcW w:w="4111" w:type="dxa"/>
            <w:shd w:val="clear" w:color="auto" w:fill="auto"/>
          </w:tcPr>
          <w:p w:rsidR="004C7663" w:rsidRPr="00C10518" w:rsidRDefault="004C7663" w:rsidP="004C7663">
            <w:pPr>
              <w:pStyle w:val="Corptext"/>
              <w:rPr>
                <w:sz w:val="20"/>
              </w:rPr>
            </w:pPr>
            <w:r w:rsidRPr="00C10518">
              <w:rPr>
                <w:sz w:val="20"/>
              </w:rPr>
              <w:t xml:space="preserve">La art. 25  alin. (1) se propune de completat cu sintagma ”specificate în art. 8 alin (1)”. </w:t>
            </w:r>
          </w:p>
          <w:p w:rsidR="004C7663" w:rsidRPr="00C10518" w:rsidRDefault="004C7663" w:rsidP="004C7663">
            <w:pPr>
              <w:pStyle w:val="Corptext"/>
              <w:rPr>
                <w:sz w:val="20"/>
              </w:rPr>
            </w:pPr>
            <w:r w:rsidRPr="00C10518">
              <w:rPr>
                <w:i/>
                <w:sz w:val="20"/>
              </w:rPr>
              <w:t>Argumentare:</w:t>
            </w:r>
            <w:r w:rsidRPr="00C10518">
              <w:rPr>
                <w:sz w:val="20"/>
              </w:rPr>
              <w:t xml:space="preserve"> Propunerea este necesară pentru excluderea unor interpretări ambigue. Astfel, este necesară stabilirea expresă a domeniului de aplicare a prevederilor prezentului articol. Având în vedere intenția de stabilire a unor proceduri simplificate pentru achiziții minore, prevăzute în alineatul 2 al art. 8), și faptul că un proiect de Hotărâre de Guvern subsecvent vine întru executarea Legii, este necesară delimitarea clară a modalităților de achiziționare stabilite pentru achizițiile mai mari decât pragurile valorice specificate în alin (1) din art. 8 și cele specificate în alin (2).</w:t>
            </w:r>
          </w:p>
          <w:p w:rsidR="004C7663" w:rsidRPr="00C10518" w:rsidRDefault="004C7663" w:rsidP="004C7663">
            <w:pPr>
              <w:pStyle w:val="Corptext"/>
              <w:rPr>
                <w:sz w:val="20"/>
              </w:rPr>
            </w:pPr>
            <w:r w:rsidRPr="00C10518">
              <w:rPr>
                <w:sz w:val="20"/>
              </w:rPr>
              <w:lastRenderedPageBreak/>
              <w:t>Propunerea nu afectează gradul de compatibilitate a proiectului de Lege cu acquisul european.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Propunerea actuală nu poate fi acceptată, deoarece ar crea o duplicare în cadrul proiectului. </w:t>
            </w: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r w:rsidRPr="00C10518">
              <w:rPr>
                <w:rFonts w:ascii="Times New Roman" w:hAnsi="Times New Roman" w:cs="Times New Roman"/>
                <w:b/>
                <w:sz w:val="20"/>
                <w:szCs w:val="20"/>
                <w:lang w:val="ro-RO"/>
              </w:rPr>
              <w:lastRenderedPageBreak/>
              <w:t xml:space="preserve"> </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11</w:t>
            </w:r>
          </w:p>
        </w:tc>
        <w:tc>
          <w:tcPr>
            <w:tcW w:w="4111" w:type="dxa"/>
            <w:shd w:val="clear" w:color="auto" w:fill="auto"/>
          </w:tcPr>
          <w:p w:rsidR="004C7663" w:rsidRPr="00C10518" w:rsidRDefault="004C7663" w:rsidP="004C7663">
            <w:pPr>
              <w:pStyle w:val="Corptext"/>
              <w:rPr>
                <w:sz w:val="20"/>
              </w:rPr>
            </w:pPr>
            <w:r w:rsidRPr="00C10518">
              <w:rPr>
                <w:sz w:val="20"/>
              </w:rPr>
              <w:t>Art. 25 se propune să fie completat cu 2 alineate noi, după cum urmează:</w:t>
            </w:r>
          </w:p>
          <w:p w:rsidR="004C7663" w:rsidRPr="00C10518" w:rsidRDefault="004C7663" w:rsidP="004C7663">
            <w:pPr>
              <w:pStyle w:val="Corptext"/>
              <w:rPr>
                <w:sz w:val="20"/>
              </w:rPr>
            </w:pPr>
            <w:r w:rsidRPr="00C10518">
              <w:rPr>
                <w:sz w:val="20"/>
              </w:rPr>
              <w:t xml:space="preserve">” (7) Autoritatea/Entitatea contractantă are dreptul de a atribui contracte multianuale pe o perioada de până la trei ani bugetari, pentru achizițiile de bunuri, lucrări și servicii a căror perioadă de realizare este mai mare de un an, în limitele cheltuielilor prognozate în acest scop pe anii respectivi. Achizițiile a căror perioada de realizare este mai mare de 3 ani, pot fi atribuite după ce se aprobă de Parlament. </w:t>
            </w:r>
          </w:p>
          <w:p w:rsidR="004C7663" w:rsidRPr="00C10518" w:rsidRDefault="004C7663" w:rsidP="004C7663">
            <w:pPr>
              <w:pStyle w:val="Corptext"/>
              <w:rPr>
                <w:sz w:val="20"/>
              </w:rPr>
            </w:pPr>
            <w:r w:rsidRPr="00C10518">
              <w:rPr>
                <w:sz w:val="20"/>
              </w:rPr>
              <w:t xml:space="preserve">(8) Autoritatea/entitatea contractantă poate face plăți anticipate, în cazul în care ofertantul impune astfel de condiții pentru semnarea contractului.” </w:t>
            </w:r>
          </w:p>
          <w:p w:rsidR="004C7663" w:rsidRPr="00C10518" w:rsidRDefault="004C7663" w:rsidP="004C7663">
            <w:pPr>
              <w:pStyle w:val="Corptext"/>
              <w:rPr>
                <w:sz w:val="20"/>
              </w:rPr>
            </w:pPr>
            <w:r w:rsidRPr="00C10518">
              <w:rPr>
                <w:i/>
                <w:sz w:val="20"/>
              </w:rPr>
              <w:t>Argumentare:</w:t>
            </w:r>
            <w:r w:rsidRPr="00C10518">
              <w:rPr>
                <w:sz w:val="20"/>
              </w:rPr>
              <w:t xml:space="preserve"> La moment achizițiile multianuale sunt reglementate de prevederi similare din Legea 181/2014, dar este limitată de cadrul bugetar pe termen mediu de 3 ani. Pentru achizițiile mai mari de 3 ani, propunerea este bazată pe practica similară din SUA și Romania. Programele strategice de înzestrare (majore) de regulă se aprobă prin decizie de Parlament/Congres. Perioada de 3 ani este prevăzută în CBTM, iar ceea ce e mai mult de 3 ani necesită un angajament și aprobare a forului superior. De regulă divizarea pe mai mulți ani se face din cauza restricțiilor bugetare, în așa fel sumele achitate într-un an sunt mai mici, ceea ce face ca un plan de înzestrare să fie mai fezabil și corelat cu posibilitățile bugetar-fiscale ale statului. </w:t>
            </w:r>
          </w:p>
          <w:p w:rsidR="004C7663" w:rsidRPr="00C10518" w:rsidRDefault="004C7663" w:rsidP="004C7663">
            <w:pPr>
              <w:pStyle w:val="Corptext"/>
              <w:rPr>
                <w:sz w:val="20"/>
              </w:rPr>
            </w:pPr>
            <w:r w:rsidRPr="00C10518">
              <w:rPr>
                <w:sz w:val="20"/>
              </w:rPr>
              <w:t>Plățile anticipate astăzi se operează în baza unor excepții prevăzute în Legea 181/2014. Se propune ca toate reglementările specifice achizițiilor în domeniul apărării să fie expres prevăzute într-un singur act legislativ decât să continue practici bazate pe excepții de la reguli generale, dispersate în mai multe acte legislative și normative.</w:t>
            </w:r>
          </w:p>
          <w:p w:rsidR="004C7663" w:rsidRPr="00C10518" w:rsidRDefault="004C7663" w:rsidP="004C7663">
            <w:pPr>
              <w:pStyle w:val="Corptext"/>
              <w:rPr>
                <w:sz w:val="20"/>
              </w:rPr>
            </w:pPr>
            <w:r w:rsidRPr="00C10518">
              <w:rPr>
                <w:sz w:val="20"/>
              </w:rPr>
              <w:lastRenderedPageBreak/>
              <w:t>Propunerea nu afectează gradul de compatibilitate a proiectului de Lege cu acquisul european.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Propunerile date nu țin de domeniul de aplicare a proiectului dat, ci de domeniul finanţelor publice şi responsabilităţii bugetar-fiscale, respectiv, aceste propuneri urmează de înaintat direcțiilor competente de domeniul dat. Atenționăm că, în conformitate cu prevederile art. 1, alin. (2) al Legii nr. 181/2014 „ Actele legislative ce reglementează domenii specifice şi/sau activitatea unor autorităţi/instituţii bugetare, nu vor cuprinde prevederi ce ţin de elaborarea, aprobarea şi executarea bugetelor, precum şi alte proceduri aferente procesului bugetar, acestea fiind obiectul exclusiv al prezentei legi”.</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12</w:t>
            </w:r>
          </w:p>
        </w:tc>
        <w:tc>
          <w:tcPr>
            <w:tcW w:w="4111" w:type="dxa"/>
            <w:shd w:val="clear" w:color="auto" w:fill="auto"/>
          </w:tcPr>
          <w:p w:rsidR="004C7663" w:rsidRPr="00C10518" w:rsidRDefault="004C7663" w:rsidP="004C7663">
            <w:pPr>
              <w:pStyle w:val="Corptext"/>
              <w:rPr>
                <w:sz w:val="20"/>
              </w:rPr>
            </w:pPr>
            <w:r w:rsidRPr="00C10518">
              <w:rPr>
                <w:sz w:val="20"/>
              </w:rPr>
              <w:t xml:space="preserve">La art. 28 alin (3) se propune de completat cu o litera nouă cu următorul conținut: </w:t>
            </w:r>
          </w:p>
          <w:p w:rsidR="004C7663" w:rsidRPr="00C10518" w:rsidRDefault="004C7663" w:rsidP="004C7663">
            <w:pPr>
              <w:pStyle w:val="Corptext"/>
              <w:rPr>
                <w:sz w:val="20"/>
              </w:rPr>
            </w:pPr>
            <w:r w:rsidRPr="00C10518">
              <w:rPr>
                <w:sz w:val="20"/>
              </w:rPr>
              <w:t>”d) contractul de achiziții se referă la achiziționarea/completarea de/cu produse militare identice celor din stocurile existente.”</w:t>
            </w:r>
          </w:p>
          <w:p w:rsidR="004C7663" w:rsidRPr="00C10518" w:rsidRDefault="004C7663" w:rsidP="004C7663">
            <w:pPr>
              <w:pStyle w:val="Corptext"/>
              <w:rPr>
                <w:sz w:val="20"/>
              </w:rPr>
            </w:pPr>
            <w:r w:rsidRPr="00C10518">
              <w:rPr>
                <w:i/>
                <w:sz w:val="20"/>
              </w:rPr>
              <w:t>Argumentare</w:t>
            </w:r>
            <w:r w:rsidRPr="00C10518">
              <w:rPr>
                <w:sz w:val="20"/>
              </w:rPr>
              <w:t>: Prevederea va permite achiziționarea echipamentelor similare celor deja existente în stocurile curente/intangibile și va asigura posibilitățile de completare/suplinire a acestora, astfel diminuând costurile suplimentare necesare operaționalizării acestor echipamente, instruirii efectivului, etc.</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Nu 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Propunerea dată distorsionează esențial proiectul de lege cu Directiva, ceea ce va afecta semnificativ gradul de compatibilitate, reieșind din faptul că aplicarea lui ar permite achiziționarea de bunuri/servicii sau lucrări fără aplicarea unei proceduri concurențiale dacă el există în stoc.</w:t>
            </w: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13</w:t>
            </w:r>
          </w:p>
        </w:tc>
        <w:tc>
          <w:tcPr>
            <w:tcW w:w="4111" w:type="dxa"/>
            <w:shd w:val="clear" w:color="auto" w:fill="auto"/>
          </w:tcPr>
          <w:p w:rsidR="004C7663" w:rsidRPr="00C10518" w:rsidRDefault="004C7663" w:rsidP="004C7663">
            <w:pPr>
              <w:pStyle w:val="Corptext"/>
              <w:rPr>
                <w:sz w:val="20"/>
              </w:rPr>
            </w:pPr>
            <w:r w:rsidRPr="00C10518">
              <w:rPr>
                <w:sz w:val="20"/>
              </w:rPr>
              <w:t>Art. 57 se propune de expus în următoarea redacție:</w:t>
            </w:r>
          </w:p>
          <w:p w:rsidR="004C7663" w:rsidRPr="00C10518" w:rsidRDefault="004C7663" w:rsidP="004C7663">
            <w:pPr>
              <w:pStyle w:val="Corptext"/>
              <w:rPr>
                <w:sz w:val="20"/>
              </w:rPr>
            </w:pPr>
            <w:r w:rsidRPr="00C10518">
              <w:rPr>
                <w:sz w:val="20"/>
              </w:rPr>
              <w:t>”În vederea evaluării implementării prezentei legi, Autoritatea contractantă informează Comandantul Suprem al Forțelor Armate, cel târziu până la data de 31 octombrie a fiecărui an, printr-un raport statistic elaborat în conformitate cu prevederile art. 58 și care are ca obiect contractele de furnizare de bunuri, prestare de servicii și lucrări atribuite de autoritățile/entitățile contractante în cursul anului precedent.”</w:t>
            </w:r>
          </w:p>
          <w:p w:rsidR="004C7663" w:rsidRPr="00C10518" w:rsidRDefault="004C7663" w:rsidP="004C7663">
            <w:pPr>
              <w:pStyle w:val="Corptext"/>
              <w:rPr>
                <w:sz w:val="20"/>
              </w:rPr>
            </w:pPr>
            <w:r w:rsidRPr="00C10518">
              <w:rPr>
                <w:i/>
                <w:sz w:val="20"/>
              </w:rPr>
              <w:t>Argumentare</w:t>
            </w:r>
            <w:r w:rsidRPr="00C10518">
              <w:rPr>
                <w:sz w:val="20"/>
              </w:rPr>
              <w:t xml:space="preserve"> : Aceasta va permite o comunicare și o informare dintre autoritatea contractanta și Comandantul suprem al Forțelor Armate despre capabilitățile achiziționate pe parcursul anului cît și eventual impactul acestuia asupra capacității de apărare a țării. În virtutea statutului său, Comandantul suprem al FA are dreptul de a cunoaște despre capabilitățile existente în domeniul de apărare, condus de acesta. </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Având în vedere că Parlamentul este responsabil pentru aprobarea legilor și bugetului, iar Comisia pentru securitate națională, apărare și ordine publică are autoritatea de a decide în privința achizițiilor de armament, este esențial ca Guvernul să furnizeze informații detaliate și regulate către Parlament.</w:t>
            </w:r>
          </w:p>
        </w:tc>
      </w:tr>
      <w:tr w:rsidR="00C10518" w:rsidRPr="00C10518" w:rsidTr="004C7663">
        <w:trPr>
          <w:trHeight w:val="292"/>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Ministerul Justiției</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vAlign w:val="center"/>
          </w:tcPr>
          <w:p w:rsidR="004C7663" w:rsidRPr="00C10518" w:rsidRDefault="004C7663" w:rsidP="004C7663">
            <w:pPr>
              <w:rPr>
                <w:rFonts w:ascii="Times New Roman" w:hAnsi="Times New Roman" w:cs="Times New Roman"/>
                <w:sz w:val="20"/>
                <w:szCs w:val="20"/>
                <w:lang w:val="ro-RO"/>
              </w:rPr>
            </w:pPr>
          </w:p>
        </w:tc>
        <w:tc>
          <w:tcPr>
            <w:tcW w:w="5528" w:type="dxa"/>
            <w:shd w:val="clear" w:color="auto" w:fill="auto"/>
            <w:vAlign w:val="center"/>
          </w:tcPr>
          <w:p w:rsidR="004C7663" w:rsidRPr="00C10518" w:rsidRDefault="004C7663" w:rsidP="004C7663">
            <w:pPr>
              <w:ind w:left="30" w:right="170" w:hanging="141"/>
              <w:jc w:val="both"/>
              <w:rPr>
                <w:rFonts w:ascii="Times New Roman" w:hAnsi="Times New Roman" w:cs="Times New Roman"/>
                <w:sz w:val="20"/>
                <w:szCs w:val="20"/>
                <w:lang w:val="ro-RO"/>
              </w:rPr>
            </w:pPr>
          </w:p>
        </w:tc>
      </w:tr>
      <w:tr w:rsidR="00C10518" w:rsidRPr="00C10518" w:rsidTr="004C7663">
        <w:trPr>
          <w:trHeight w:val="416"/>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La proiectul hotărârii, din lista miniștrilor contrasemnatari se va exclude referința la ministrul justiției, prin prisma Regulamentului privind organizarea și funcționarea Ministerului </w:t>
            </w:r>
            <w:r w:rsidRPr="00C10518">
              <w:rPr>
                <w:bCs/>
                <w:sz w:val="20"/>
              </w:rPr>
              <w:lastRenderedPageBreak/>
              <w:t>Justiției, aprobat prin Hotărârea Guvernului nr. 698/2017.</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w:t>
            </w:r>
          </w:p>
        </w:tc>
        <w:tc>
          <w:tcPr>
            <w:tcW w:w="4111" w:type="dxa"/>
            <w:shd w:val="clear" w:color="auto" w:fill="auto"/>
          </w:tcPr>
          <w:p w:rsidR="004C7663" w:rsidRPr="00C10518" w:rsidRDefault="004C7663" w:rsidP="004C7663">
            <w:pPr>
              <w:pStyle w:val="Corptext"/>
              <w:rPr>
                <w:bCs/>
                <w:sz w:val="20"/>
              </w:rPr>
            </w:pPr>
            <w:r w:rsidRPr="00C10518">
              <w:rPr>
                <w:bCs/>
                <w:sz w:val="20"/>
              </w:rPr>
              <w:t>În conformitate cu art. 44 din Legea nr. 100/2017 cu privire la actele normative, clauza de armonizare indică tipul, numărul şi denumirea oficială a actelor Uniunii Europene care se transpun în actul normativ, seria, numărul şi data Jurnalului Oficial al Uniunii Europene în care au fost publicate actele respective, precum şi măsura în care acestea sunt transpuse. Clauza de armonizare se include după preambulul și clauza de adoptare a proiectului de act normativ, în conformitate cu modelele stabilite în anexa nr. 2 la Regulamentul armonizarea legislației Republicii Moldova cu legislația Uniunii Europene, aprobat prin Hotărârea Guvernului nr. 1171/2018.</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w:t>
            </w:r>
          </w:p>
        </w:tc>
        <w:tc>
          <w:tcPr>
            <w:tcW w:w="4111" w:type="dxa"/>
            <w:shd w:val="clear" w:color="auto" w:fill="auto"/>
          </w:tcPr>
          <w:p w:rsidR="004C7663" w:rsidRPr="00C10518" w:rsidRDefault="004C7663" w:rsidP="004C7663">
            <w:pPr>
              <w:pStyle w:val="Corptext"/>
              <w:rPr>
                <w:bCs/>
                <w:sz w:val="20"/>
              </w:rPr>
            </w:pPr>
            <w:r w:rsidRPr="00C10518">
              <w:rPr>
                <w:bCs/>
                <w:sz w:val="20"/>
              </w:rPr>
              <w:t>La art. 1, în contextul în care noțiunea „achiziții de natură civilă” nu se utilizează în proiectul de lege, nu se consideră necesar a fi definit termenul respectiv.</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În urma recomandărilor de la CAL, autorul trebuie să includă în proiectul de lege toate noțiunile descrise în actul UE, pentru a asigura transpunerea totală a Directivei UE.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w:t>
            </w:r>
          </w:p>
        </w:tc>
        <w:tc>
          <w:tcPr>
            <w:tcW w:w="4111" w:type="dxa"/>
            <w:shd w:val="clear" w:color="auto" w:fill="auto"/>
          </w:tcPr>
          <w:p w:rsidR="004C7663" w:rsidRPr="00C10518" w:rsidRDefault="004C7663" w:rsidP="004C7663">
            <w:pPr>
              <w:pStyle w:val="Corptext"/>
              <w:rPr>
                <w:bCs/>
                <w:sz w:val="20"/>
              </w:rPr>
            </w:pPr>
            <w:r w:rsidRPr="00C10518">
              <w:rPr>
                <w:bCs/>
                <w:sz w:val="20"/>
              </w:rPr>
              <w:t>Definirea „cercetării și dezvoltării” nu vine să aducă o claritate a ceea ce se dorește a fi denumit prin această noțiune. În acest sens, se recomandă descifrarea fiecărui element ce se include în acțiunile „cercetare și dezvoltare” similar Directivei 2009/81/CE a Parlamentului European și a Consiliului din 13 iulie 2009.</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5</w:t>
            </w:r>
          </w:p>
        </w:tc>
        <w:tc>
          <w:tcPr>
            <w:tcW w:w="4111" w:type="dxa"/>
            <w:shd w:val="clear" w:color="auto" w:fill="auto"/>
          </w:tcPr>
          <w:p w:rsidR="004C7663" w:rsidRPr="00C10518" w:rsidRDefault="004C7663" w:rsidP="004C7663">
            <w:pPr>
              <w:pStyle w:val="Corptext"/>
              <w:rPr>
                <w:bCs/>
                <w:sz w:val="20"/>
              </w:rPr>
            </w:pPr>
            <w:r w:rsidRPr="00C10518">
              <w:rPr>
                <w:bCs/>
                <w:sz w:val="20"/>
              </w:rPr>
              <w:t>Din alin. (10) al părții introductive a Directivei 2009/81/CE derivă ideea conform căreia definiția „echipamentelor militare” a fost atribuită „produselor militare” din proiectul legii. Totodată, la reformularea noțiunilor menționate anterior se va ține cont că, în sensul Directivei 2009/81/CE, „echipamente militare” ar trebui să se aplice, de asemenea, produselor care, deși inițial au fost concepute pentru a fi utilizate în scopuri civile, au fost mai târziu adaptate unor scopuri militare pentru a fi utilizate drept arme, muniții sau material de război.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 în urmă recomandărilor de la CAL.</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6</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Art. 10 creează incertitudini în sensul identificării autorității centrale responsabile de achiziții în domeniul apărării și securității. </w:t>
            </w:r>
            <w:r w:rsidRPr="00C10518">
              <w:rPr>
                <w:bCs/>
                <w:sz w:val="20"/>
              </w:rPr>
              <w:lastRenderedPageBreak/>
              <w:t>Totodată, alin. (2) lit. a) nu respectă cerința de claritate și previzibilitate a normei juridice, deoarece nu sunt specificate la care „condiții” de respectare se face referire.</w:t>
            </w:r>
          </w:p>
          <w:p w:rsidR="004C7663" w:rsidRPr="00C10518" w:rsidRDefault="004C7663" w:rsidP="004C7663">
            <w:pPr>
              <w:pStyle w:val="Corptext"/>
              <w:rPr>
                <w:bCs/>
                <w:sz w:val="20"/>
              </w:rPr>
            </w:pPr>
            <w:r w:rsidRPr="00C10518">
              <w:rPr>
                <w:bCs/>
                <w:sz w:val="20"/>
              </w:rPr>
              <w:t>Deși Capitolul III face trimitere la „contractele de prestări servicii”, se constată că proiectul de lege nu vine să clarifice însemnătatea respectivului termen și nici în nota informativă nu se aduc clarități în acest sens.</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lastRenderedPageBreak/>
              <w:t>A fost reformulat alin. (2) lit. a) și adăugat alin. (3) în urma recomandărilor.</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7</w:t>
            </w:r>
          </w:p>
        </w:tc>
        <w:tc>
          <w:tcPr>
            <w:tcW w:w="4111" w:type="dxa"/>
            <w:shd w:val="clear" w:color="auto" w:fill="auto"/>
          </w:tcPr>
          <w:p w:rsidR="004C7663" w:rsidRPr="00C10518" w:rsidRDefault="004C7663" w:rsidP="004C7663">
            <w:pPr>
              <w:pStyle w:val="Corptext"/>
              <w:rPr>
                <w:bCs/>
                <w:sz w:val="20"/>
              </w:rPr>
            </w:pPr>
            <w:r w:rsidRPr="00C10518">
              <w:rPr>
                <w:bCs/>
                <w:sz w:val="20"/>
              </w:rPr>
              <w:t>Art. 15 care prevede că contractele care au ca obiect serviciile prevăzute la art. 2, care sunt incluse în anexa nr. 1, se atribuie prin aplicarea art. 18 – 54, este inutil prin prisma art. 2 din lege, potrivit căruia prezenta lege se aplică contractelor/acordurilor-cadru de achiziții atribuite în domeniile apărării și securității care au ca obiect prevăzute la lit. a)-d). Suplimentar, aferent anexelor se va ține cont de prevederile art. 49 din Legea nr. 100/2017 cu privire la actele normative, care dispune că, dacă un act normativ are mai multe anexe, acestea sunt însemnate cu numere ordinare, exprimate prin cifre arabe, în ordinea în care au fost enunțate în textul actului. Anexa trebuie să aibă un temei-cadru în textul actului normativ şi să se refere exclusiv la obiectul determinat prin norma de trimitere (observație valabilă și pentru anexele nr. 2 – nr. 5 la proiectul de lege).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Textul art. 15 este relatat la fel ca și în Directivă.</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8</w:t>
            </w:r>
          </w:p>
        </w:tc>
        <w:tc>
          <w:tcPr>
            <w:tcW w:w="4111" w:type="dxa"/>
            <w:shd w:val="clear" w:color="auto" w:fill="auto"/>
          </w:tcPr>
          <w:p w:rsidR="004C7663" w:rsidRPr="00C10518" w:rsidRDefault="004C7663" w:rsidP="004C7663">
            <w:pPr>
              <w:pStyle w:val="Corptext"/>
              <w:rPr>
                <w:bCs/>
                <w:sz w:val="20"/>
              </w:rPr>
            </w:pPr>
            <w:r w:rsidRPr="00C10518">
              <w:rPr>
                <w:bCs/>
                <w:sz w:val="20"/>
              </w:rPr>
              <w:t>La art. 18, cu privire la textul „conform definiției în anexa nr. 3 pct. 1” se consideră necesară incorporarea noțiunilor și definițiilor acestora la art. 1 din proiectul de lege. Urmare intervențiilor recomandate, textul indicat anterior și trimiterea la anexa nr. 3 se vor exclude.</w:t>
            </w:r>
          </w:p>
          <w:p w:rsidR="004C7663" w:rsidRPr="00C10518" w:rsidRDefault="004C7663" w:rsidP="004C7663">
            <w:pPr>
              <w:pStyle w:val="Corptext"/>
              <w:rPr>
                <w:bCs/>
                <w:sz w:val="20"/>
              </w:rPr>
            </w:pP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9</w:t>
            </w:r>
          </w:p>
        </w:tc>
        <w:tc>
          <w:tcPr>
            <w:tcW w:w="4111" w:type="dxa"/>
            <w:shd w:val="clear" w:color="auto" w:fill="auto"/>
          </w:tcPr>
          <w:p w:rsidR="004C7663" w:rsidRPr="00C10518" w:rsidRDefault="004C7663" w:rsidP="004C7663">
            <w:pPr>
              <w:pStyle w:val="Corptext"/>
              <w:rPr>
                <w:bCs/>
                <w:sz w:val="20"/>
              </w:rPr>
            </w:pPr>
            <w:r w:rsidRPr="00C10518">
              <w:rPr>
                <w:bCs/>
                <w:sz w:val="20"/>
              </w:rPr>
              <w:t>Art. 22 alin. (2) lit. a) se va revizui prin prisma art. 901 alin. (1) lit. d) din Codul civil, conform căruia atunci când, fără justificare, debitorul nu își execută obligația, creditorul poate, în condițiile legii și, după caz, ale contractului, la alegerea sa, să recurgă la rezoluțiunea contractului.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10</w:t>
            </w:r>
          </w:p>
        </w:tc>
        <w:tc>
          <w:tcPr>
            <w:tcW w:w="4111" w:type="dxa"/>
            <w:shd w:val="clear" w:color="auto" w:fill="auto"/>
          </w:tcPr>
          <w:p w:rsidR="004C7663" w:rsidRPr="00C10518" w:rsidRDefault="004C7663" w:rsidP="004C7663">
            <w:pPr>
              <w:pStyle w:val="Corptext"/>
              <w:rPr>
                <w:bCs/>
                <w:sz w:val="20"/>
              </w:rPr>
            </w:pPr>
            <w:r w:rsidRPr="00C10518">
              <w:rPr>
                <w:bCs/>
                <w:sz w:val="20"/>
              </w:rPr>
              <w:t>La art. 25 alin. (5) remarcăm că exprimarea prin abrevieri a unor denumiri sau termeni se poate face numai după explicarea acestora în text, la prima folosire (obiecție valabilă în tot cuprinsul proiectului de lege), iar la alin. (6) cuvântul „reglementate” se recomandă a se substitui cu cuvântul „aprobate”.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11</w:t>
            </w:r>
          </w:p>
        </w:tc>
        <w:tc>
          <w:tcPr>
            <w:tcW w:w="4111" w:type="dxa"/>
            <w:shd w:val="clear" w:color="auto" w:fill="auto"/>
          </w:tcPr>
          <w:p w:rsidR="004C7663" w:rsidRPr="00C10518" w:rsidRDefault="004C7663" w:rsidP="004C7663">
            <w:pPr>
              <w:pStyle w:val="Corptext"/>
              <w:rPr>
                <w:bCs/>
                <w:sz w:val="20"/>
              </w:rPr>
            </w:pPr>
            <w:r w:rsidRPr="00C10518">
              <w:rPr>
                <w:bCs/>
                <w:sz w:val="20"/>
              </w:rPr>
              <w:t>La art. 29 alin. (3) se va revedea trimiterea la „art. 30 alin. (3) – (7)”, deoarece este indicată greșit.</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12</w:t>
            </w:r>
          </w:p>
        </w:tc>
        <w:tc>
          <w:tcPr>
            <w:tcW w:w="4111" w:type="dxa"/>
            <w:shd w:val="clear" w:color="auto" w:fill="auto"/>
          </w:tcPr>
          <w:p w:rsidR="004C7663" w:rsidRPr="00C10518" w:rsidRDefault="004C7663" w:rsidP="004C7663">
            <w:pPr>
              <w:pStyle w:val="Corptext"/>
              <w:rPr>
                <w:bCs/>
                <w:sz w:val="20"/>
              </w:rPr>
            </w:pPr>
            <w:r w:rsidRPr="00C10518">
              <w:rPr>
                <w:bCs/>
                <w:sz w:val="20"/>
              </w:rPr>
              <w:t>La art. 35 alin. (3), cazurile în care autoritatea/entitatea contractantă își rezervă dreptul de a nu comunica informații în condițiile prevăzute la alin. (2) din același articol, se propun a fi redate conform redacției art. 35 alin. (3) din Directiva 2009/81/CE în scopul evitării denaturării ideii conferite de norma menționată a directivei.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13</w:t>
            </w:r>
          </w:p>
        </w:tc>
        <w:tc>
          <w:tcPr>
            <w:tcW w:w="4111" w:type="dxa"/>
            <w:shd w:val="clear" w:color="auto" w:fill="auto"/>
          </w:tcPr>
          <w:p w:rsidR="004C7663" w:rsidRPr="00C10518" w:rsidRDefault="004C7663" w:rsidP="004C7663">
            <w:pPr>
              <w:pStyle w:val="Corptext"/>
              <w:rPr>
                <w:bCs/>
                <w:sz w:val="20"/>
              </w:rPr>
            </w:pPr>
            <w:r w:rsidRPr="00C10518">
              <w:rPr>
                <w:bCs/>
                <w:sz w:val="20"/>
              </w:rPr>
              <w:t>La art. 39 alin. (4):</w:t>
            </w:r>
          </w:p>
          <w:p w:rsidR="004C7663" w:rsidRPr="00C10518" w:rsidRDefault="004C7663" w:rsidP="004C7663">
            <w:pPr>
              <w:pStyle w:val="Corptext"/>
              <w:rPr>
                <w:bCs/>
                <w:sz w:val="20"/>
              </w:rPr>
            </w:pPr>
            <w:r w:rsidRPr="00C10518">
              <w:rPr>
                <w:bCs/>
                <w:sz w:val="20"/>
              </w:rPr>
              <w:t>lit. b) se va examina suplimentar prin prisma art. 87 din Codul fiscal nr. 1163/1997 care stabilește obligația contribuabilului să prezinte în termenul stabilit dări de seamă pentru fiecare tip de impozit sau de taxă, pentru primele de asigurare obligatorie de asistenţă medicală şi contribuţiile de asigurări sociale de stat obligatorii;</w:t>
            </w:r>
          </w:p>
          <w:p w:rsidR="004C7663" w:rsidRPr="00C10518" w:rsidRDefault="004C7663" w:rsidP="004C7663">
            <w:pPr>
              <w:pStyle w:val="Corptext"/>
              <w:rPr>
                <w:bCs/>
                <w:sz w:val="20"/>
              </w:rPr>
            </w:pPr>
            <w:r w:rsidRPr="00C10518">
              <w:rPr>
                <w:bCs/>
                <w:sz w:val="20"/>
              </w:rPr>
              <w:t>la lit. c), cu referire la „a fost condamnat pentru o faptă care a adus atingere eticii profesionale sau pentru comiterea unei greșeli în materie profesională” se va ține cont că instanţa hotărăşte asupra învinuirii înaintate inculpatului prin adoptarea sentinţei de condamnare, de achitare sau de încetare a procesului penal. Sentinţa de condamnare se adoptă numai în condiţia în care, în urma cercetării judecătoreşti, vinovăţia inculpatului în săvârşirea infracţiunii a fost confirmată prin ansamblul de probe cercetate de instanţa de judecată. Mai mult, condiția în cauză trebuie să fie formulată cu suficientă precizie pentru a putea determina cu exactitate infracțiunile avute în vedere;</w:t>
            </w:r>
          </w:p>
          <w:p w:rsidR="004C7663" w:rsidRPr="00C10518" w:rsidRDefault="004C7663" w:rsidP="004C7663">
            <w:pPr>
              <w:pStyle w:val="Corptext"/>
              <w:rPr>
                <w:bCs/>
                <w:sz w:val="20"/>
              </w:rPr>
            </w:pPr>
            <w:r w:rsidRPr="00C10518">
              <w:rPr>
                <w:bCs/>
                <w:sz w:val="20"/>
              </w:rPr>
              <w:t>lit. g) are un caracter ambiguu și este susceptibilă de diverse interpretări, motiv pentru care se va revizui.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14</w:t>
            </w:r>
          </w:p>
        </w:tc>
        <w:tc>
          <w:tcPr>
            <w:tcW w:w="4111" w:type="dxa"/>
            <w:shd w:val="clear" w:color="auto" w:fill="auto"/>
          </w:tcPr>
          <w:p w:rsidR="004C7663" w:rsidRPr="00C10518" w:rsidRDefault="004C7663" w:rsidP="004C7663">
            <w:pPr>
              <w:pStyle w:val="Corptext"/>
              <w:rPr>
                <w:bCs/>
                <w:sz w:val="20"/>
              </w:rPr>
            </w:pPr>
            <w:r w:rsidRPr="00C10518">
              <w:rPr>
                <w:bCs/>
                <w:sz w:val="20"/>
              </w:rPr>
              <w:t>La art. 56, se va ține cont că prevederile generale privind survenirea răspunderii poartă un caracter declarativ și necesită a fi excluse. Răspunderea juridică trebuie să fie prevăzută de normele materiale, ce stabilesc tipul concret de răspundere (penală sau contravențională), determină faptele și sancțiunile pentru comiterea acestora.</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Art. 56 a fost exclus.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15</w:t>
            </w:r>
          </w:p>
        </w:tc>
        <w:tc>
          <w:tcPr>
            <w:tcW w:w="4111" w:type="dxa"/>
            <w:shd w:val="clear" w:color="auto" w:fill="auto"/>
          </w:tcPr>
          <w:p w:rsidR="004C7663" w:rsidRPr="00C10518" w:rsidRDefault="004C7663" w:rsidP="004C7663">
            <w:pPr>
              <w:pStyle w:val="Corptext"/>
              <w:rPr>
                <w:bCs/>
                <w:sz w:val="20"/>
              </w:rPr>
            </w:pPr>
            <w:r w:rsidRPr="00C10518">
              <w:rPr>
                <w:bCs/>
                <w:sz w:val="20"/>
              </w:rPr>
              <w:t>Denumirea capitolului X nu corelează cu obiectul reglementat de dispozițiile respectivului element structural.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Denumirea capitolului X este exact ca în Directivă.</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16</w:t>
            </w:r>
          </w:p>
        </w:tc>
        <w:tc>
          <w:tcPr>
            <w:tcW w:w="4111" w:type="dxa"/>
            <w:shd w:val="clear" w:color="auto" w:fill="auto"/>
          </w:tcPr>
          <w:p w:rsidR="004C7663" w:rsidRPr="00C10518" w:rsidRDefault="004C7663" w:rsidP="004C7663">
            <w:pPr>
              <w:pStyle w:val="Corptext"/>
              <w:rPr>
                <w:bCs/>
                <w:sz w:val="20"/>
              </w:rPr>
            </w:pPr>
            <w:r w:rsidRPr="00C10518">
              <w:rPr>
                <w:bCs/>
                <w:sz w:val="20"/>
              </w:rPr>
              <w:t>La art. 58 alin. (2) și (3) cuvântul „paragraf” se va  substitui cu cuvântul „alineat” în corespundere cu art. 51 alin. (5) din Legea nr. 100/2017.</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17</w:t>
            </w:r>
          </w:p>
        </w:tc>
        <w:tc>
          <w:tcPr>
            <w:tcW w:w="4111" w:type="dxa"/>
            <w:shd w:val="clear" w:color="auto" w:fill="auto"/>
          </w:tcPr>
          <w:p w:rsidR="004C7663" w:rsidRPr="00C10518" w:rsidRDefault="004C7663" w:rsidP="004C7663">
            <w:pPr>
              <w:pStyle w:val="Corptext"/>
              <w:rPr>
                <w:bCs/>
                <w:sz w:val="20"/>
              </w:rPr>
            </w:pPr>
            <w:r w:rsidRPr="00C10518">
              <w:rPr>
                <w:bCs/>
                <w:sz w:val="20"/>
              </w:rPr>
              <w:t>La art. 59, pentru indicarea exactă a momentului intrării în vigoare a actului normativ recomandăm utilizarea cuvintelor „la expirarea a douăsprezece luni” sau prin indicarea exactă a datei intrării în vigoare. Cuvintele „are următoarele obligații” se vor exclude ca fiind inutile.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18</w:t>
            </w:r>
          </w:p>
        </w:tc>
        <w:tc>
          <w:tcPr>
            <w:tcW w:w="4111" w:type="dxa"/>
            <w:shd w:val="clear" w:color="auto" w:fill="auto"/>
          </w:tcPr>
          <w:p w:rsidR="004C7663" w:rsidRPr="00C10518" w:rsidRDefault="004C7663" w:rsidP="004C7663">
            <w:pPr>
              <w:pStyle w:val="Corptext"/>
              <w:rPr>
                <w:bCs/>
                <w:sz w:val="20"/>
              </w:rPr>
            </w:pPr>
            <w:r w:rsidRPr="00C10518">
              <w:rPr>
                <w:bCs/>
                <w:sz w:val="20"/>
              </w:rPr>
              <w:t>Numerotarea anexelor nr. 4 și nr. 5 se va revizui în temeiul art. 52 alin. (3) din Legea nr. 100/2017.</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rPr>
              <w:t>Serviciul de Informații şi Securitate</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sz w:val="20"/>
                <w:szCs w:val="20"/>
                <w:lang w:val="ro-RO"/>
              </w:rPr>
            </w:pPr>
          </w:p>
        </w:tc>
        <w:tc>
          <w:tcPr>
            <w:tcW w:w="5528" w:type="dxa"/>
            <w:shd w:val="clear" w:color="auto" w:fill="auto"/>
          </w:tcPr>
          <w:p w:rsidR="004C7663" w:rsidRPr="00C10518" w:rsidRDefault="004C7663" w:rsidP="004C7663">
            <w:pPr>
              <w:ind w:left="30" w:right="170" w:hanging="141"/>
              <w:jc w:val="both"/>
              <w:rPr>
                <w:rFonts w:ascii="Times New Roman" w:hAnsi="Times New Roman" w:cs="Times New Roman"/>
                <w:b/>
                <w:sz w:val="20"/>
                <w:szCs w:val="20"/>
                <w:lang w:val="ro-RO"/>
              </w:rPr>
            </w:pP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pStyle w:val="Corptext"/>
              <w:rPr>
                <w:bCs/>
                <w:sz w:val="20"/>
              </w:rPr>
            </w:pPr>
            <w:r w:rsidRPr="00C10518">
              <w:rPr>
                <w:bCs/>
                <w:sz w:val="20"/>
              </w:rPr>
              <w:t>În art. 6, precum și în tot textul proiectului de lege înaintat spre avizare, se operează cu noțiunea de „informații confidențiale”, ceea ce ar putea fi confundat cu informațiile ce au aplicată parafa de secretizare „Confidențial” în sensul Legii nr. 245/2008 cu privire la secretul de stat.</w:t>
            </w:r>
          </w:p>
          <w:p w:rsidR="004C7663" w:rsidRPr="00C10518" w:rsidRDefault="004C7663" w:rsidP="004C7663">
            <w:pPr>
              <w:pStyle w:val="Corptext"/>
              <w:rPr>
                <w:bCs/>
                <w:sz w:val="20"/>
              </w:rPr>
            </w:pPr>
            <w:r w:rsidRPr="00C10518">
              <w:rPr>
                <w:bCs/>
                <w:sz w:val="20"/>
              </w:rPr>
              <w:t>În acest sens, Serviciul propune înlocuirea sintagmei „informații confidențiale”, cu sintagma „informații cu accesibilitate limitată”, or potrivit prevederilor art. 54 alin. (1) lit. a) din Legea nr. 100/2017 cu privire la actele normative, textul actului normativ urmează a fi elaborat în așa fel, încât conținutul proiectului să fie într-un limbaj simplu, clar şi concis, pentru a se exclude orice echivoc.</w:t>
            </w:r>
          </w:p>
          <w:p w:rsidR="004C7663" w:rsidRPr="00C10518" w:rsidRDefault="004C7663" w:rsidP="004C7663">
            <w:pPr>
              <w:pStyle w:val="Corptext"/>
              <w:rPr>
                <w:bCs/>
                <w:sz w:val="20"/>
              </w:rPr>
            </w:pPr>
            <w:r w:rsidRPr="00C10518">
              <w:rPr>
                <w:bCs/>
                <w:sz w:val="20"/>
              </w:rPr>
              <w:lastRenderedPageBreak/>
              <w:t>Suplimentar, în proiect sunt prevăzute norme privind protejarea unor categorii de informați (care nu cad sub incidența Legii nr. 245/2008), însă nu sunt prevăzute mecanisme de control/sancționare pentru divulgarea acestora, or în lipsa unui asemenea mecanism, limitarea accesului nu va atinge scopul stabilit, respectiv, Serviciul propune completarea proiectului cu norme care ar reglementa această lacună.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 parțial</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art. 6 au fost operate modificări conform celor expuse de SIS.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w:t>
            </w:r>
          </w:p>
        </w:tc>
        <w:tc>
          <w:tcPr>
            <w:tcW w:w="4111" w:type="dxa"/>
            <w:shd w:val="clear" w:color="auto" w:fill="auto"/>
          </w:tcPr>
          <w:p w:rsidR="004C7663" w:rsidRPr="00C10518" w:rsidRDefault="004C7663" w:rsidP="004C7663">
            <w:pPr>
              <w:pStyle w:val="Corptext"/>
              <w:rPr>
                <w:bCs/>
                <w:sz w:val="20"/>
              </w:rPr>
            </w:pPr>
            <w:r w:rsidRPr="00C10518">
              <w:rPr>
                <w:bCs/>
                <w:sz w:val="20"/>
              </w:rPr>
              <w:t>Cu referire la „valoarea pragurilor” stabilite în art. 8 din proiectul de lege, Serviciul atenționează asupra faptului că acestea constituie o valoare mult prea mare pentru autoritățile publice, bugetul cărora pentru achizițiile de bunuri și servicii din domeniile de apărare și securitate nu atinge valorile stabilite.</w:t>
            </w:r>
          </w:p>
          <w:p w:rsidR="004C7663" w:rsidRPr="00C10518" w:rsidRDefault="004C7663" w:rsidP="004C7663">
            <w:pPr>
              <w:pStyle w:val="Corptext"/>
              <w:rPr>
                <w:bCs/>
                <w:sz w:val="20"/>
              </w:rPr>
            </w:pPr>
            <w:r w:rsidRPr="00C10518">
              <w:rPr>
                <w:bCs/>
                <w:sz w:val="20"/>
              </w:rPr>
              <w:t>Astfel, Serviciul consideră oportun de a micșora valoarea pragurilor stabilite în art. 8, or, păstrarea acestora în redacția inițială va face legea inaplicabilă pentru autoritățile menționate.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 inclusiv prin prisma recomandărilor CAL.</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w:t>
            </w:r>
          </w:p>
        </w:tc>
        <w:tc>
          <w:tcPr>
            <w:tcW w:w="4111" w:type="dxa"/>
            <w:shd w:val="clear" w:color="auto" w:fill="auto"/>
          </w:tcPr>
          <w:p w:rsidR="004C7663" w:rsidRPr="00C10518" w:rsidRDefault="004C7663" w:rsidP="004C7663">
            <w:pPr>
              <w:pStyle w:val="Corptext"/>
              <w:rPr>
                <w:bCs/>
                <w:sz w:val="20"/>
              </w:rPr>
            </w:pPr>
            <w:r w:rsidRPr="00C10518">
              <w:rPr>
                <w:bCs/>
                <w:sz w:val="20"/>
              </w:rPr>
              <w:t>Proiectul de lege stabilește la art. 10, posibilitatea achizițiilor centralizate, cu referire la acest capitol Serviciul consideră oportună completarea articolului menționat, cu prevederi care vor reglementa procedura achizițiilor centralizate sau autoritatea responsabilă de elaborarea unui asemenea regulament.</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 în urma recepționării avizelor.</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w:t>
            </w:r>
          </w:p>
        </w:tc>
        <w:tc>
          <w:tcPr>
            <w:tcW w:w="4111" w:type="dxa"/>
            <w:shd w:val="clear" w:color="auto" w:fill="auto"/>
          </w:tcPr>
          <w:p w:rsidR="004C7663" w:rsidRPr="00C10518" w:rsidRDefault="004C7663" w:rsidP="004C7663">
            <w:pPr>
              <w:pStyle w:val="Corptext"/>
              <w:rPr>
                <w:bCs/>
                <w:sz w:val="20"/>
              </w:rPr>
            </w:pPr>
            <w:r w:rsidRPr="00C10518">
              <w:rPr>
                <w:bCs/>
                <w:sz w:val="20"/>
              </w:rPr>
              <w:t>Serviciul propune excluderea sintagmei „sau acreditare” din prevederile art. 42, alin. (1) lit. h), alin. (2) lit. i) și (5) lit. h) al proiectului de lege, or, legislația națională nu prevede vreun tip de acreditare pentru domeniul protecției informațiilor clasificate, ci doar „autorizarea” emisă în urma controlului.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561"/>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Agenția Națională pentru Soluționarea Contestațiilor</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lang w:val="ro-RO"/>
              </w:rPr>
            </w:pPr>
          </w:p>
        </w:tc>
        <w:tc>
          <w:tcPr>
            <w:tcW w:w="5528" w:type="dxa"/>
            <w:shd w:val="clear" w:color="auto" w:fill="auto"/>
          </w:tcPr>
          <w:p w:rsidR="004C7663" w:rsidRPr="00C10518" w:rsidRDefault="004C7663" w:rsidP="004C7663">
            <w:pPr>
              <w:ind w:left="30" w:right="170" w:hanging="141"/>
              <w:jc w:val="both"/>
              <w:rPr>
                <w:rFonts w:ascii="Times New Roman" w:hAnsi="Times New Roman" w:cs="Times New Roman"/>
                <w:b/>
                <w:sz w:val="20"/>
                <w:szCs w:val="20"/>
                <w:lang w:val="ro-RO"/>
              </w:rPr>
            </w:pP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Potrivit capitolului IX Soluționarea litigiilor și Răspunderea Juridică, Agenția Națională pentru Soluționarea Contestațiilor este investită cu rolul și responsabilitatea de a soluționa contestațiile formulate în cadrul procedurilor privind atribuirea unor contracte de achiziții în domeniul apărării și securității, atât în relație cu alte </w:t>
            </w:r>
            <w:r w:rsidRPr="00C10518">
              <w:rPr>
                <w:bCs/>
                <w:sz w:val="20"/>
              </w:rPr>
              <w:lastRenderedPageBreak/>
              <w:t>autorități publice, cât și în raport cu persoane fizice și juridice.</w:t>
            </w:r>
          </w:p>
          <w:p w:rsidR="004C7663" w:rsidRPr="00C10518" w:rsidRDefault="004C7663" w:rsidP="004C7663">
            <w:pPr>
              <w:pStyle w:val="Corptext"/>
              <w:rPr>
                <w:bCs/>
                <w:sz w:val="20"/>
                <w:highlight w:val="yellow"/>
              </w:rPr>
            </w:pPr>
            <w:r w:rsidRPr="00C10518">
              <w:rPr>
                <w:bCs/>
                <w:sz w:val="20"/>
              </w:rPr>
              <w:t>Cu toate acestea, se remarcă că proiectul de lege nu specifică explicit mecanismul pentru soluționarea contestațiilor în pofida responsabilităților atribuite ANSC. În acest sens, un exemplu elocvent ar fi Legea nr. 74/2020 privind achizițiile în sectoarele energeticii, apei, transporturilor și serviciilor poștale, care la art. 87 alin. (2) din capitolul Soluționarea Litigiilor și Răspunderea Juridică, reglementează că „Soluționarea contestațiilor privind atribuirea contractelor de achiziții sectoriale se realizează conform cap. X din Legea nr. 131/2015 privind achizițiile publice”.</w:t>
            </w:r>
          </w:p>
          <w:p w:rsidR="004C7663" w:rsidRPr="00C10518" w:rsidRDefault="004C7663" w:rsidP="004C7663">
            <w:pPr>
              <w:pStyle w:val="Corptext"/>
              <w:rPr>
                <w:bCs/>
                <w:sz w:val="20"/>
              </w:rPr>
            </w:pPr>
            <w:r w:rsidRPr="00C10518">
              <w:rPr>
                <w:bCs/>
                <w:sz w:val="20"/>
              </w:rPr>
              <w:t>Prin urmare, în vederea asigurării clarității în procesul de soluționare a contestațiilor, precum și având în vedere subiectul reglementării în acest sens, propunem ca în textul proiectului de lege să fie stabilit clar mecanismul pentru soluționarea contestațiilor, fie să se facă trimitere  la Capitolul X din Legea nr. 131/2015 privind achizițiile publice, astfel cum e prevăzut în Legea nr. 74/2020 privind achizițiile în sectoarele energeticii, apei, transporturilor și serviciilor poștale, fie procedura de soluționare a contestațiilor să fie reglementată într-un capitol separat.</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Capitolele privind „Soluţionarea litigiilor şi răspunderea juridică” din Legea nr. 131/2015 și Legea nr. 74/2020 transpun prevederile Directivelor 92/13/CEE și 89/665/CEE. Norme aplicabile căilor de atac reglementate de Directiva 2009/81/CE nu sunt similare cu cele prevăzute în directivele menționate supra. Respectiv, trimiterea la Capitolul X din Legea nr. 131/2015 privind achizițiile publice, </w:t>
            </w:r>
            <w:r w:rsidRPr="00C10518">
              <w:rPr>
                <w:rFonts w:ascii="Times New Roman" w:hAnsi="Times New Roman" w:cs="Times New Roman"/>
                <w:sz w:val="20"/>
                <w:szCs w:val="20"/>
              </w:rPr>
              <w:lastRenderedPageBreak/>
              <w:t>astfel cum e prevăzut în Legea nr. 74/2020 nu poate fi inclusă în proiect.</w:t>
            </w:r>
          </w:p>
          <w:p w:rsidR="008F7076" w:rsidRPr="00C10518" w:rsidRDefault="008F7076" w:rsidP="004C7663">
            <w:pPr>
              <w:jc w:val="both"/>
              <w:rPr>
                <w:rFonts w:ascii="Times New Roman" w:hAnsi="Times New Roman" w:cs="Times New Roman"/>
                <w:sz w:val="20"/>
                <w:szCs w:val="20"/>
              </w:rPr>
            </w:pPr>
          </w:p>
          <w:p w:rsidR="008F7076" w:rsidRPr="00C10518" w:rsidRDefault="008F7076" w:rsidP="004C7663">
            <w:pPr>
              <w:jc w:val="both"/>
              <w:rPr>
                <w:rFonts w:ascii="Times New Roman" w:hAnsi="Times New Roman" w:cs="Times New Roman"/>
                <w:sz w:val="20"/>
                <w:szCs w:val="20"/>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8F7076" w:rsidRPr="00C10518" w:rsidRDefault="008F7076" w:rsidP="008F7076">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8F7076" w:rsidRPr="00C10518" w:rsidRDefault="008F7076" w:rsidP="008F7076">
            <w:pPr>
              <w:jc w:val="both"/>
              <w:rPr>
                <w:rFonts w:ascii="Times New Roman" w:hAnsi="Times New Roman" w:cs="Times New Roman"/>
                <w:sz w:val="20"/>
                <w:szCs w:val="20"/>
              </w:rPr>
            </w:pPr>
            <w:r w:rsidRPr="00C10518">
              <w:rPr>
                <w:rFonts w:ascii="Times New Roman" w:hAnsi="Times New Roman" w:cs="Times New Roman"/>
                <w:sz w:val="20"/>
                <w:szCs w:val="20"/>
              </w:rPr>
              <w:t>Reieșind din decizia adoptată în cadrul procesului de elaborare și promovare a Legii nr. 325/2025 privind achizițiile publice, potrivit căreia normele referitoare la remedii și căile de atac urmează să fie reglementate într-un act normativ distinct, a fost adoptată Legea nr. 20/2026 privind remediile și căile de atac în materie de atribuire a contractelor de achiziții publice, sectoriale și de concesiune. În acest context, s-a decis ca dispozițiile Titlului IV „Norme aplicabile căilor de atac” din Directiva 2009/81/CE să nu fie transpuse în prezentul proiect de lege. Transpunerea acestora va fi asigurată prin completarea Legii nr. 20/2026 cu un capitol distinct dedicat căilor de atac aplicabile contractelor de achiziții din domeniile apărării și securității naționale.</w:t>
            </w:r>
          </w:p>
        </w:tc>
      </w:tr>
      <w:tr w:rsidR="00C10518" w:rsidRPr="00C10518" w:rsidTr="004C7663">
        <w:trPr>
          <w:trHeight w:val="261"/>
        </w:trPr>
        <w:tc>
          <w:tcPr>
            <w:tcW w:w="2972" w:type="dxa"/>
          </w:tcPr>
          <w:p w:rsidR="004C7663" w:rsidRPr="00C10518" w:rsidRDefault="004C7663" w:rsidP="004C7663">
            <w:pPr>
              <w:tabs>
                <w:tab w:val="left" w:pos="767"/>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lastRenderedPageBreak/>
              <w:t>Ministerul Afacerilor Interne</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lang w:val="ro-RO"/>
              </w:rPr>
            </w:pPr>
          </w:p>
        </w:tc>
        <w:tc>
          <w:tcPr>
            <w:tcW w:w="5528" w:type="dxa"/>
            <w:shd w:val="clear" w:color="auto" w:fill="auto"/>
          </w:tcPr>
          <w:p w:rsidR="004C7663" w:rsidRPr="00C10518" w:rsidRDefault="004C7663" w:rsidP="004C7663">
            <w:pPr>
              <w:ind w:left="30" w:right="170" w:hanging="141"/>
              <w:jc w:val="both"/>
              <w:rPr>
                <w:rFonts w:ascii="Times New Roman" w:hAnsi="Times New Roman" w:cs="Times New Roman"/>
                <w:b/>
                <w:sz w:val="20"/>
                <w:szCs w:val="20"/>
                <w:lang w:val="ro-RO"/>
              </w:rPr>
            </w:pP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tcBorders>
              <w:bottom w:val="single" w:sz="4" w:space="0" w:color="auto"/>
            </w:tcBorders>
            <w:shd w:val="clear" w:color="auto" w:fill="auto"/>
          </w:tcPr>
          <w:p w:rsidR="004C7663" w:rsidRPr="00C10518" w:rsidRDefault="004C7663" w:rsidP="004C7663">
            <w:pPr>
              <w:pStyle w:val="Corptext"/>
              <w:rPr>
                <w:bCs/>
                <w:sz w:val="20"/>
              </w:rPr>
            </w:pPr>
            <w:r w:rsidRPr="00C10518">
              <w:rPr>
                <w:bCs/>
                <w:sz w:val="20"/>
              </w:rPr>
              <w:t>Se atrage atenția că, autorul proiectului propune unele reglementări de același nivel și care au același obiect de reglementare, acestea fiind dublate cu prevederile Legii nr. 131/2015 privind achizițiile publice și Legii nr. 74/2020 privind achizițiile în sectoarele energeticii, apei, transporturilor și serviciilor poștale, or, în conformitate cu prevederile art. 55 din Legea nr. 100/2017 cu privire la actele normative, în cazul în care proiectul actului normativ cuprinde prevederi ce se regăsesc în alte acte normative în vigoare, se face trimitere expresă la actul normativ care le conține.</w:t>
            </w:r>
          </w:p>
        </w:tc>
        <w:tc>
          <w:tcPr>
            <w:tcW w:w="5528" w:type="dxa"/>
            <w:tcBorders>
              <w:bottom w:val="single" w:sz="4" w:space="0" w:color="auto"/>
            </w:tcBorders>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Autorul în cazul în care proiectul actului normativ cuprinde prevederi ce se regăsesc în alte acte normative în vigoare, face trimitere expresă la actul normativ care le conține.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w:t>
            </w:r>
          </w:p>
        </w:tc>
        <w:tc>
          <w:tcPr>
            <w:tcW w:w="4111" w:type="dxa"/>
            <w:tcBorders>
              <w:bottom w:val="single" w:sz="4" w:space="0" w:color="auto"/>
            </w:tcBorders>
            <w:shd w:val="clear" w:color="auto" w:fill="auto"/>
          </w:tcPr>
          <w:p w:rsidR="004C7663" w:rsidRPr="00C10518" w:rsidRDefault="004C7663" w:rsidP="004C7663">
            <w:pPr>
              <w:pStyle w:val="Corptext"/>
              <w:rPr>
                <w:bCs/>
                <w:sz w:val="20"/>
              </w:rPr>
            </w:pPr>
            <w:r w:rsidRPr="00C10518">
              <w:rPr>
                <w:bCs/>
                <w:sz w:val="20"/>
              </w:rPr>
              <w:t>Cu referință la prevederile art. 8 din proiect, se menționează că reglementările propuse de autor creează incertitudine vis-a-vis de valoarea pragurilor stabilite contractelor de achiziții, din anumite considerente:</w:t>
            </w:r>
          </w:p>
          <w:p w:rsidR="004C7663" w:rsidRPr="00C10518" w:rsidRDefault="004C7663" w:rsidP="004C7663">
            <w:pPr>
              <w:pStyle w:val="Corptext"/>
              <w:rPr>
                <w:bCs/>
                <w:sz w:val="20"/>
              </w:rPr>
            </w:pPr>
            <w:r w:rsidRPr="00C10518">
              <w:rPr>
                <w:bCs/>
                <w:sz w:val="20"/>
              </w:rPr>
              <w:t>a) potrivit art. 8 alin. (1) din proiect, prezenta lege se aplică contractelor de achiziții a căror valoare estimată, fără taxa pe valoarea adăugată, este egală cu sau mai mare decât următoarele praguri: a) pentru contractele de achiziții publice de bunuri și servicii – 2 300 000 de lei și b) pentru contractele achiziții publice de lucrări – 9 000 000 lei. Analizând aceste prevederi, autorul proiectului nu a argumentat devierea valorii pragurilor de la prevederile art. 2 alin. (3) lit. b) din Legea nr. 131/2015 privind achizițiile publice, care statuează că, pentru contractele de achiziții publice de lucrări, valoarea pragurilor constituie 90 000 000 de lei;</w:t>
            </w:r>
          </w:p>
          <w:p w:rsidR="004C7663" w:rsidRPr="00C10518" w:rsidRDefault="004C7663" w:rsidP="004C7663">
            <w:pPr>
              <w:pStyle w:val="Corptext"/>
              <w:rPr>
                <w:bCs/>
                <w:sz w:val="20"/>
              </w:rPr>
            </w:pPr>
            <w:r w:rsidRPr="00C10518">
              <w:rPr>
                <w:bCs/>
                <w:sz w:val="20"/>
              </w:rPr>
              <w:t>b) cu toate acestea, analizând tabelul de concordanță, în speța ce vizează Articolul 8. Valoarea pragurilor pentru contracte din Directiva 2009/81/CE supusă transpunerii, în rubrica „proiect de lege” autorul propune la acest articol alineatele (2) și (3), care stabilește două forme de achiziționare a bunurilor, servicii sau lucrări prin contracte de achiziții: direct și prin cererea ofertei de prețuri. Adică:</w:t>
            </w:r>
          </w:p>
          <w:p w:rsidR="004C7663" w:rsidRPr="00C10518" w:rsidRDefault="004C7663" w:rsidP="004C7663">
            <w:pPr>
              <w:pStyle w:val="Corptext"/>
              <w:rPr>
                <w:bCs/>
                <w:sz w:val="20"/>
              </w:rPr>
            </w:pPr>
            <w:r w:rsidRPr="00C10518">
              <w:rPr>
                <w:bCs/>
                <w:sz w:val="20"/>
              </w:rPr>
              <w:t>„2) Autoritatea/entitatea contractantă are dreptul de a achiziționa direct bunuri, servicii sau lucrări pentru contractele de achiziții a căror valoare estimată, fără taxa pe valoarea adăugată, nu depășește pragurile: a) pentru contractele de achiziții de bunuri și servicii – 800 000 de lei; b) pentru contractele de achiziții de lucrări – 2 000 000 de lei.</w:t>
            </w:r>
          </w:p>
          <w:p w:rsidR="004C7663" w:rsidRPr="00C10518" w:rsidRDefault="004C7663" w:rsidP="004C7663">
            <w:pPr>
              <w:pStyle w:val="Corptext"/>
              <w:rPr>
                <w:bCs/>
                <w:sz w:val="20"/>
              </w:rPr>
            </w:pPr>
            <w:r w:rsidRPr="00C10518">
              <w:rPr>
                <w:bCs/>
                <w:sz w:val="20"/>
              </w:rPr>
              <w:t xml:space="preserve"> 3) Autoritatea/entitatea contractantă are dreptul de a achiziționa prin cererea ofertei de prețuri bunuri, servicii sau lucrări pentru contractele de achiziții a căror valoare estimată, fără taxa pe valoarea adăugată, nu depășește pragurile: a) pentru contractele de achiziții de bunuri şi </w:t>
            </w:r>
            <w:r w:rsidRPr="00C10518">
              <w:rPr>
                <w:bCs/>
                <w:sz w:val="20"/>
              </w:rPr>
              <w:lastRenderedPageBreak/>
              <w:t xml:space="preserve">servicii – 8 000 000 de lei; b) pentru contractele de achiziții de lucrări – 100 000 000 de lei”. </w:t>
            </w:r>
          </w:p>
          <w:p w:rsidR="004C7663" w:rsidRPr="00C10518" w:rsidRDefault="004C7663" w:rsidP="004C7663">
            <w:pPr>
              <w:pStyle w:val="Corptext"/>
              <w:rPr>
                <w:bCs/>
                <w:sz w:val="20"/>
              </w:rPr>
            </w:pPr>
            <w:r w:rsidRPr="00C10518">
              <w:rPr>
                <w:bCs/>
                <w:sz w:val="20"/>
              </w:rPr>
              <w:t>Aceste două alineate nu se regăsesc în proiectul de lege supus avizării.</w:t>
            </w:r>
          </w:p>
          <w:p w:rsidR="004C7663" w:rsidRPr="00C10518" w:rsidRDefault="004C7663" w:rsidP="004C7663">
            <w:pPr>
              <w:pStyle w:val="Corptext"/>
              <w:rPr>
                <w:bCs/>
                <w:sz w:val="20"/>
              </w:rPr>
            </w:pPr>
            <w:r w:rsidRPr="00C10518">
              <w:rPr>
                <w:bCs/>
                <w:sz w:val="20"/>
              </w:rPr>
              <w:t>Totodată, în pofida faptului că, la aceste două alineate, în rubrica „Observații”, autorul proiectului remarcă asupra faptului că, acestea sunt prevederi naționale care nu generează neconcordanțe cu Directiva, totuși rămâne a fi neargumentată și incertă propunerea autorului proiectului în raport cu art. 2 și cu art. 57 alin. (1) din Legea nr. 131/2015 privind achizițiile publice.</w:t>
            </w:r>
          </w:p>
          <w:p w:rsidR="004C7663" w:rsidRPr="00C10518" w:rsidRDefault="004C7663" w:rsidP="004C7663">
            <w:pPr>
              <w:pStyle w:val="Corptext"/>
              <w:rPr>
                <w:bCs/>
                <w:sz w:val="20"/>
              </w:rPr>
            </w:pPr>
            <w:r w:rsidRPr="00C10518">
              <w:rPr>
                <w:bCs/>
                <w:sz w:val="20"/>
              </w:rPr>
              <w:t xml:space="preserve">În circumstanțele descrise supra, se remarcă asupra necesității argumentării detaliate a neconcordanțelor proiectului supus avizării cu prevederile Articolului 8 din Directiva 2009/81/CE.       </w:t>
            </w:r>
          </w:p>
        </w:tc>
        <w:tc>
          <w:tcPr>
            <w:tcW w:w="5528" w:type="dxa"/>
            <w:tcBorders>
              <w:bottom w:val="single" w:sz="4" w:space="0" w:color="auto"/>
            </w:tcBorders>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Discrepanțele art. 8 din proiect și tabelul de concordanță au fost înlăturate, acestea fiind generate în urma erorilor tehnice.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w:t>
            </w:r>
          </w:p>
        </w:tc>
        <w:tc>
          <w:tcPr>
            <w:tcW w:w="4111" w:type="dxa"/>
            <w:tcBorders>
              <w:top w:val="single" w:sz="4" w:space="0" w:color="auto"/>
            </w:tcBorders>
            <w:shd w:val="clear" w:color="auto" w:fill="auto"/>
          </w:tcPr>
          <w:p w:rsidR="004C7663" w:rsidRPr="00C10518" w:rsidRDefault="004C7663" w:rsidP="004C7663">
            <w:pPr>
              <w:pStyle w:val="Corptext"/>
              <w:rPr>
                <w:bCs/>
                <w:sz w:val="20"/>
              </w:rPr>
            </w:pPr>
            <w:r w:rsidRPr="00C10518">
              <w:rPr>
                <w:bCs/>
                <w:sz w:val="20"/>
              </w:rPr>
              <w:t>La 32 alin. (1) și art. 33 alin (9), se propune utilizarea cifrelor arabe, substituind trimiterile la „anexa nr. VI”, cu sintagma „anexa nr. 4”, în conformitate cu prevederile art. 49 alin. (4) din Legea nr. 100/2017 cu privire la actele normative.</w:t>
            </w:r>
          </w:p>
        </w:tc>
        <w:tc>
          <w:tcPr>
            <w:tcW w:w="5528" w:type="dxa"/>
            <w:tcBorders>
              <w:top w:val="single" w:sz="4" w:space="0" w:color="auto"/>
            </w:tcBorders>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w:t>
            </w:r>
          </w:p>
        </w:tc>
        <w:tc>
          <w:tcPr>
            <w:tcW w:w="4111" w:type="dxa"/>
            <w:shd w:val="clear" w:color="auto" w:fill="auto"/>
          </w:tcPr>
          <w:p w:rsidR="004C7663" w:rsidRPr="00C10518" w:rsidRDefault="004C7663" w:rsidP="004C7663">
            <w:pPr>
              <w:pStyle w:val="Corptext"/>
              <w:rPr>
                <w:bCs/>
                <w:sz w:val="20"/>
              </w:rPr>
            </w:pPr>
            <w:r w:rsidRPr="00C10518">
              <w:rPr>
                <w:bCs/>
                <w:sz w:val="20"/>
              </w:rPr>
              <w:t>La art. 58 alin. (2) și (3) din proiect, autorul face referire, utilizând sintagma „primul paragraf”. În acest sens, se propune ajustarea sintagmei vizate în conformitate cu prevederile art. 51 alin. (5) din Legea nr. 100/2017 cu privire la actele normative, care statuează că articolul poate fi divizat „în alineate” [, …].</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5</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De asemenea, la art. 58 alin (2), sintagma „sunt dezmembrate”, se propune a fi substituită cu sintagma „sunt defalcate”, or, în conformitate cu prevederile </w:t>
            </w:r>
          </w:p>
          <w:p w:rsidR="004C7663" w:rsidRPr="00C10518" w:rsidRDefault="004C7663" w:rsidP="004C7663">
            <w:pPr>
              <w:pStyle w:val="Corptext"/>
              <w:rPr>
                <w:bCs/>
                <w:sz w:val="20"/>
              </w:rPr>
            </w:pPr>
            <w:r w:rsidRPr="00C10518">
              <w:rPr>
                <w:bCs/>
                <w:sz w:val="20"/>
              </w:rPr>
              <w:t xml:space="preserve">art. 54 alin. (1) lit. d) și alin. (4) din Legea nr. 100/2017 cu privire la actele normative, terminologia utilizată este constantă, uniformă și corespunde celei utilizate în alte acte normative (în cazul proiectului supus avizării, expresia va corespunde cu terminologia utilizată în Legea nr. 131/2015 privind achizițiile publice și cu cea </w:t>
            </w:r>
            <w:r w:rsidRPr="00C10518">
              <w:rPr>
                <w:bCs/>
                <w:sz w:val="20"/>
              </w:rPr>
              <w:lastRenderedPageBreak/>
              <w:t>utilizată în Directiva 2009/81/CE, ce urmează a fi transpusă).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6</w:t>
            </w:r>
          </w:p>
        </w:tc>
        <w:tc>
          <w:tcPr>
            <w:tcW w:w="4111" w:type="dxa"/>
            <w:shd w:val="clear" w:color="auto" w:fill="auto"/>
          </w:tcPr>
          <w:p w:rsidR="004C7663" w:rsidRPr="00C10518" w:rsidRDefault="004C7663" w:rsidP="004C7663">
            <w:pPr>
              <w:pStyle w:val="Corptext"/>
              <w:rPr>
                <w:bCs/>
                <w:sz w:val="20"/>
              </w:rPr>
            </w:pPr>
            <w:r w:rsidRPr="00C10518">
              <w:rPr>
                <w:bCs/>
                <w:sz w:val="20"/>
              </w:rPr>
              <w:t>La anexa nr. 1 din proiect, se propune a oferi o denumire anexei respective, în speța reflectării obiectului de reglementare, asupra căruia se extind serviciile menționate în anexa vizată.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7</w:t>
            </w:r>
          </w:p>
        </w:tc>
        <w:tc>
          <w:tcPr>
            <w:tcW w:w="4111" w:type="dxa"/>
            <w:shd w:val="clear" w:color="auto" w:fill="auto"/>
          </w:tcPr>
          <w:p w:rsidR="004C7663" w:rsidRPr="00C10518" w:rsidRDefault="004C7663" w:rsidP="004C7663">
            <w:pPr>
              <w:pStyle w:val="Corptext"/>
              <w:rPr>
                <w:bCs/>
                <w:sz w:val="20"/>
              </w:rPr>
            </w:pPr>
            <w:r w:rsidRPr="00C10518">
              <w:rPr>
                <w:bCs/>
                <w:sz w:val="20"/>
              </w:rPr>
              <w:t>Subsidiar, se consideră judicios revizuirea textului proiectului hotărârii de Guvern prin prisma cerințelor art. 54 din Legea nr.100/2017 cu privire la actele normative, expunerea conținutului într-un limbaj simplu, clar și concis, pentru a exclude orice echivoc, cu respectarea strictă a regulilor gramaticale, de ortografie și de punctuație.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42"/>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Centrul de armonizare a legislației</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lang w:val="ro-RO"/>
              </w:rPr>
            </w:pPr>
          </w:p>
        </w:tc>
        <w:tc>
          <w:tcPr>
            <w:tcW w:w="5528" w:type="dxa"/>
            <w:shd w:val="clear" w:color="auto" w:fill="auto"/>
          </w:tcPr>
          <w:p w:rsidR="004C7663" w:rsidRPr="00C10518" w:rsidRDefault="004C7663" w:rsidP="004C7663">
            <w:pPr>
              <w:ind w:left="30" w:right="170" w:hanging="141"/>
              <w:jc w:val="both"/>
              <w:rPr>
                <w:rFonts w:ascii="Times New Roman" w:hAnsi="Times New Roman" w:cs="Times New Roman"/>
                <w:b/>
                <w:sz w:val="20"/>
                <w:szCs w:val="20"/>
                <w:lang w:val="ro-RO"/>
              </w:rPr>
            </w:pP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pStyle w:val="Corptext"/>
              <w:rPr>
                <w:bCs/>
                <w:sz w:val="20"/>
              </w:rPr>
            </w:pPr>
            <w:r w:rsidRPr="00C10518">
              <w:rPr>
                <w:bCs/>
                <w:sz w:val="20"/>
              </w:rPr>
              <w:t>Prin art. 1, proiectul național a preluat următoarele definiții relevante domeniului: „echipamente militare”, „echipamente sensibile”, „lucrări sensibile” și „servicii sensibile”, „informații clasificate”, „criză”, „ciclu de viață”, „cercetare și dezvoltare”, „achiziții de natură civilă” în corespundere cu dispozițiile art. 1 al actului UE.</w:t>
            </w:r>
          </w:p>
          <w:p w:rsidR="004C7663" w:rsidRPr="00C10518" w:rsidRDefault="004C7663" w:rsidP="004C7663">
            <w:pPr>
              <w:pStyle w:val="Corptext"/>
              <w:rPr>
                <w:bCs/>
                <w:sz w:val="20"/>
              </w:rPr>
            </w:pPr>
            <w:r w:rsidRPr="00C10518">
              <w:rPr>
                <w:bCs/>
                <w:sz w:val="20"/>
              </w:rPr>
              <w:t>Totodată, definiția noțiunii de „întreprindere afiliată” din proiectul național nu corespunde în totalitate celei prezentate de actul UE. Astfel, directiva definește „întreprinderea afiliată” - întreprindere asupra căreia ofertantul selectat poate exercita, în mod direct sau indirect, o influență dominantă, sau orice întreprindere, care poate exercita o influență dominantă asupra ofertantului selectat sau care, ca și ofertantul selectat, face obiectul influenței dominante a altei întreprinderi din punctul de vedere al proprietății, al participării financiare sau al normelor care o guvernează...”. Totuși, definiția națională utilizează noțiunea de „operator economic” înlocuind-o pe cea de „ofertant selectat”, ceea ce nu corespunde definițiilor și noțiunilor utilizate de actul UE.</w:t>
            </w:r>
          </w:p>
          <w:p w:rsidR="004C7663" w:rsidRPr="00C10518" w:rsidRDefault="004C7663" w:rsidP="004C7663">
            <w:pPr>
              <w:pStyle w:val="Corptext"/>
              <w:rPr>
                <w:bCs/>
                <w:sz w:val="20"/>
              </w:rPr>
            </w:pPr>
            <w:r w:rsidRPr="00C10518">
              <w:rPr>
                <w:bCs/>
                <w:sz w:val="20"/>
              </w:rPr>
              <w:t xml:space="preserve">Proiectul național nu a preluat următoarele definiții prevăzute în art. 1 al Directivei </w:t>
            </w:r>
            <w:r w:rsidRPr="00C10518">
              <w:rPr>
                <w:bCs/>
                <w:sz w:val="20"/>
              </w:rPr>
              <w:lastRenderedPageBreak/>
              <w:t>2009/81/CE: „vocabularul comun privind achizițiile”, „contracte”, „contracte de lucrări”, „contracte de furnizare de bunuri”, „contracte de prestare de servicii”, „acord-cadru”, „licitație electronică”, „executant de lucrări”, „furnizor” și „prestator de servicii”, „operator economic”, „candidat”, „ofertant”, „autorități/entități contractante”, „organism central de achiziție”, „proceduri restrânse”, „proceduri de negociere”, „dialog competitiv”, „subcontract”, termenii „scris(ă)” sau „în scris”, „mijloc electronic”. În context, autorul menționează despre aplicarea acestora în corespundere cu definițiile prevăzute de Legea nr. 131/2015 privind achizițiile și Legea nr.74/2020 privind achizițiile în sectoarele energeticii, apei, transporturilor și serviciilor poștale.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Definiția noțiunii de </w:t>
            </w:r>
            <w:r w:rsidRPr="00C10518">
              <w:rPr>
                <w:rFonts w:ascii="Times New Roman" w:hAnsi="Times New Roman" w:cs="Times New Roman"/>
                <w:i/>
                <w:sz w:val="20"/>
                <w:szCs w:val="20"/>
              </w:rPr>
              <w:t>„întreprindere afiliată”</w:t>
            </w:r>
            <w:r w:rsidRPr="00C10518">
              <w:rPr>
                <w:rFonts w:ascii="Times New Roman" w:hAnsi="Times New Roman" w:cs="Times New Roman"/>
                <w:sz w:val="20"/>
                <w:szCs w:val="20"/>
              </w:rPr>
              <w:t xml:space="preserve"> a fost ajustată conform prevederilor actului UE.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În proiect a fost introdusă noțiunea de </w:t>
            </w:r>
            <w:r w:rsidRPr="00C10518">
              <w:rPr>
                <w:rFonts w:ascii="Times New Roman" w:hAnsi="Times New Roman" w:cs="Times New Roman"/>
                <w:i/>
                <w:sz w:val="20"/>
                <w:szCs w:val="20"/>
              </w:rPr>
              <w:t xml:space="preserve">„executant de lucrări, furnizor și prestator de servicii”, „autoritate centrală de achiziție”, „subcontract” </w:t>
            </w:r>
            <w:r w:rsidRPr="00C10518">
              <w:rPr>
                <w:rFonts w:ascii="Times New Roman" w:hAnsi="Times New Roman" w:cs="Times New Roman"/>
                <w:sz w:val="20"/>
                <w:szCs w:val="20"/>
              </w:rPr>
              <w:t>în corespundere cu actul UE.</w:t>
            </w:r>
          </w:p>
        </w:tc>
      </w:tr>
      <w:tr w:rsidR="00C10518" w:rsidRPr="00C10518" w:rsidTr="004C7663">
        <w:trPr>
          <w:trHeight w:val="213"/>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La fel, nu a fost transpusă definiția noțiunii de „administrație publică”, iar tabelul de concordanță nu conține referința normativă la definiția utilizată de cadrul normativ național. </w:t>
            </w:r>
          </w:p>
          <w:p w:rsidR="004C7663" w:rsidRPr="00C10518" w:rsidRDefault="004C7663" w:rsidP="004C7663">
            <w:pPr>
              <w:pStyle w:val="Corptext"/>
              <w:rPr>
                <w:bCs/>
                <w:sz w:val="20"/>
              </w:rPr>
            </w:pPr>
            <w:r w:rsidRPr="00C10518">
              <w:rPr>
                <w:bCs/>
                <w:sz w:val="20"/>
              </w:rPr>
              <w:t>Astfel, menționăm că în cazul în care prevederile actului UE au constituit anterior obiect al transpunerii în legislația națională, în tabelul de concordanță se va menționa titlul actului normativ național, articolul, alineatul, paragraful etc. care au transpus dispozițiile actului UE. Suplimentar atenționăm că, definirea necorespunzătoare a noțiunilor utilizate de actul UE poate genera interpretarea și aplicarea dispozițiilor relevante ale legislației naționale într-o manieră și semnificație care nu este coerentă sau chiar contrară semnificației dispozițiilor prevăzute de Directivă.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În proiect a fost introdusă noțiunea de „</w:t>
            </w:r>
            <w:r w:rsidRPr="00C10518">
              <w:rPr>
                <w:rFonts w:ascii="Times New Roman" w:hAnsi="Times New Roman" w:cs="Times New Roman"/>
                <w:i/>
                <w:sz w:val="20"/>
                <w:szCs w:val="20"/>
              </w:rPr>
              <w:t>administrație publică</w:t>
            </w:r>
            <w:r w:rsidRPr="00C10518">
              <w:rPr>
                <w:rFonts w:ascii="Times New Roman" w:hAnsi="Times New Roman" w:cs="Times New Roman"/>
                <w:sz w:val="20"/>
                <w:szCs w:val="20"/>
              </w:rPr>
              <w:t>”, în corespundere cu actul UE.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Definiția noțiunii de „produse militare” nu este prevăzută de actul UE examinat. Totuși, în Recitalul (10) se menționează că în sensul Directivei 2009/81/CE, echipamentele militare ar trebui să se refere, în special, la tipurile de produse incluse în lista de arme, muniții și material de război adoptată de Consiliu prin Decizia 255/58 din 15 aprilie 1958 , iar statele se pot limita doar la această listă atunci când </w:t>
            </w:r>
            <w:r w:rsidRPr="00C10518">
              <w:rPr>
                <w:bCs/>
                <w:sz w:val="20"/>
              </w:rPr>
              <w:lastRenderedPageBreak/>
              <w:t>transpun Directiva 2009/81/CE. Această listă include numai echipamente care sunt concepute, proiectate și produse în scopuri militare specifice. Cu toate acestea, această listă are un caracter general și trebuie interpretată într-un mod cât mai flexibil, de exemplu, pe baza Listei comune de echipamente militare a Uniunii, ținând seama de faptul că tehnologia, politica de achiziții și cerințele de ordin militar se află într-o continuă evoluție, ceea ce conduce la apariția unor noi tipuri de echipamente. În sensul prezentei directive, „echipamente militare” ar trebui să se aplice, de asemenea, produselor care, deși inițial au fost concepute pentru a fi utilizate în scopuri civile, au fost mai târziu adaptate unor scopuri militare pentru a fi utilizate drept arme, muniții sau material de război. Astfel, definiția noțiunii de „echipamente militare” urmează a fi ajustată în corespundere cu prevederile actului european, prin excluderea definiției de „produse militare”.</w:t>
            </w:r>
          </w:p>
        </w:tc>
        <w:tc>
          <w:tcPr>
            <w:tcW w:w="5528" w:type="dxa"/>
            <w:shd w:val="clear" w:color="auto" w:fill="auto"/>
          </w:tcPr>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lastRenderedPageBreak/>
              <w:t>Se acceptă</w:t>
            </w:r>
          </w:p>
          <w:p w:rsidR="004C7663" w:rsidRPr="00C10518" w:rsidRDefault="004C7663" w:rsidP="004C7663">
            <w:pPr>
              <w:jc w:val="both"/>
              <w:rPr>
                <w:rFonts w:ascii="Times New Roman" w:hAnsi="Times New Roman" w:cs="Times New Roman"/>
                <w:bCs/>
                <w:sz w:val="20"/>
                <w:szCs w:val="20"/>
              </w:rPr>
            </w:pPr>
            <w:r w:rsidRPr="00C10518">
              <w:rPr>
                <w:rFonts w:ascii="Times New Roman" w:hAnsi="Times New Roman" w:cs="Times New Roman"/>
                <w:bCs/>
                <w:sz w:val="20"/>
                <w:szCs w:val="20"/>
              </w:rPr>
              <w:t>Au fost operate modificări.</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Cs/>
                <w:sz w:val="20"/>
                <w:szCs w:val="20"/>
              </w:rPr>
              <w:t>Definiția noțiunii de „echipamente militare” a fost ajustată în corespundere cu prevederile actului european, a fost exclusă definiția de „produse militare”.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w:t>
            </w:r>
          </w:p>
        </w:tc>
        <w:tc>
          <w:tcPr>
            <w:tcW w:w="4111" w:type="dxa"/>
            <w:shd w:val="clear" w:color="auto" w:fill="auto"/>
          </w:tcPr>
          <w:p w:rsidR="004C7663" w:rsidRPr="00C10518" w:rsidRDefault="004C7663" w:rsidP="004C7663">
            <w:pPr>
              <w:pStyle w:val="Corptext"/>
              <w:rPr>
                <w:bCs/>
                <w:sz w:val="20"/>
              </w:rPr>
            </w:pPr>
            <w:r w:rsidRPr="00C10518">
              <w:rPr>
                <w:bCs/>
                <w:sz w:val="20"/>
              </w:rPr>
              <w:t>Totodată, reieșind din metodologia națională de armonizare a legislației naționale cu cea a UE, menționăm că din textul actului normativ național vor fi excluse orice referințe la actele juridice UE (de ex. Decizia nr. 255/58 din 15 aprilie 1958), or, această opțiune este disponibilă doar pentru statele membre ale UE, iar în cazul Republicii Moldova, trimiterea poate fi făcută doar la actele normative naționale care transpun prevederile UE în cauză.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5</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Art. 2 din actul UE privind domeniul de aplicare a fost transpus parțial prin art. 2 al proiectului național. Astfel, nu au fost transpuse excepțiile prevăzute în primul aliniat din art. 2 al Directivei. Menționăm că, deși prevederile art. 30, 45, 46 și 55 din tratat, reieșind din statutul de țară candidată, nu sunt obligatorii pentru transpunere, autorul urmează să examineze posibilitatea cooperării Republicii |Moldova de ex. în cadrul Agenției Europene de Apărare (AEA), cu includerea mențiunilor corespunzătoare în tabelul de concordanță. Astfel, Agenția ajută </w:t>
            </w:r>
            <w:r w:rsidRPr="00C10518">
              <w:rPr>
                <w:bCs/>
                <w:sz w:val="20"/>
              </w:rPr>
              <w:lastRenderedPageBreak/>
              <w:t>ministerele europene ale apărării să își abordeze deficiențele legate de capacități și formare. Totodată, AEA a încheiat acorduri cu unele țări din afara UE (Norvegia, Serbia, Elveția și Ucraina). De asemenea, are un acord administrativ cu Departamentul de Apărare al SUA. Acest acord asigură o cooperare transatlantică mai strânsă în domenii specifice ale apărării, inclusiv în domeniul schimbului de informații.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6</w:t>
            </w:r>
          </w:p>
        </w:tc>
        <w:tc>
          <w:tcPr>
            <w:tcW w:w="4111" w:type="dxa"/>
            <w:shd w:val="clear" w:color="auto" w:fill="FFFFFF" w:themeFill="background1"/>
          </w:tcPr>
          <w:p w:rsidR="004C7663" w:rsidRPr="00C10518" w:rsidRDefault="004C7663" w:rsidP="004C7663">
            <w:pPr>
              <w:pStyle w:val="Corptext"/>
              <w:rPr>
                <w:bCs/>
                <w:sz w:val="20"/>
              </w:rPr>
            </w:pPr>
            <w:r w:rsidRPr="00C10518">
              <w:rPr>
                <w:bCs/>
                <w:sz w:val="20"/>
              </w:rPr>
              <w:t>Dispozițiile UE aplicabile achizițiilor mixte din art. 3 au fost preluate parțial prin art. 3 al proiectului național. Menționăm că, transpunerea și aplicarea corectă a dispozițiilor menționate este condiționată de transpunerea totală în Legea nr. 131/2015 privind achizițiile publice a dispozițiilor corespondente din Directiva 2014/24/UE ( de ex. Subsecțiunea 2 „Achiziții publice care implică aspecte de apărare sau securitate”, art. 15-17).</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moment, Legea nr. 131/2015 privind achizițiile publice este în proces de modificare și se vor lua în calcul recomandările propuse.</w:t>
            </w:r>
          </w:p>
          <w:p w:rsidR="004C7663" w:rsidRPr="00C10518" w:rsidRDefault="004C7663" w:rsidP="004C7663">
            <w:pPr>
              <w:jc w:val="both"/>
              <w:rPr>
                <w:rFonts w:ascii="Times New Roman" w:hAnsi="Times New Roman" w:cs="Times New Roman"/>
                <w:b/>
                <w:sz w:val="20"/>
                <w:szCs w:val="20"/>
                <w:highlight w:val="yellow"/>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E50CC9" w:rsidRPr="00C10518" w:rsidRDefault="00E50CC9"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E50CC9" w:rsidRPr="00C10518" w:rsidRDefault="00E50CC9" w:rsidP="00E50CC9">
            <w:pPr>
              <w:ind w:left="28" w:right="170" w:firstLine="11"/>
              <w:jc w:val="both"/>
              <w:rPr>
                <w:rFonts w:ascii="Times New Roman" w:eastAsia="Times New Roman" w:hAnsi="Times New Roman" w:cs="Times New Roman"/>
                <w:sz w:val="20"/>
                <w:szCs w:val="20"/>
                <w:lang w:val="ro-RO" w:eastAsia="ru-RU"/>
              </w:rPr>
            </w:pPr>
            <w:r w:rsidRPr="00C10518">
              <w:rPr>
                <w:rFonts w:ascii="Times New Roman" w:eastAsia="Times New Roman" w:hAnsi="Times New Roman" w:cs="Times New Roman"/>
                <w:sz w:val="20"/>
                <w:szCs w:val="20"/>
                <w:lang w:val="ro-RO" w:eastAsia="ru-RU"/>
              </w:rPr>
              <w:t xml:space="preserve">Prevederile art. 3 au fost revizuite </w:t>
            </w:r>
            <w:r w:rsidR="007A07FC" w:rsidRPr="00C10518">
              <w:rPr>
                <w:rFonts w:ascii="Times New Roman" w:eastAsia="Times New Roman" w:hAnsi="Times New Roman" w:cs="Times New Roman"/>
                <w:sz w:val="20"/>
                <w:szCs w:val="20"/>
                <w:lang w:val="ro-RO" w:eastAsia="ru-RU"/>
              </w:rPr>
              <w:t>conform recomandărilor Comisiei UE din 21.05.2026</w:t>
            </w:r>
            <w:r w:rsidRPr="00C10518">
              <w:rPr>
                <w:rFonts w:ascii="Times New Roman" w:eastAsia="Times New Roman" w:hAnsi="Times New Roman" w:cs="Times New Roman"/>
                <w:sz w:val="20"/>
                <w:szCs w:val="20"/>
                <w:lang w:val="ro-RO" w:eastAsia="ru-RU"/>
              </w:rPr>
              <w:t>.</w:t>
            </w:r>
          </w:p>
          <w:p w:rsidR="00E50CC9" w:rsidRPr="00C10518" w:rsidRDefault="00E50CC9" w:rsidP="00E50CC9">
            <w:pPr>
              <w:spacing w:after="160"/>
              <w:ind w:left="30" w:right="170" w:firstLine="13"/>
              <w:jc w:val="both"/>
              <w:rPr>
                <w:rFonts w:ascii="Times New Roman" w:eastAsia="Times New Roman" w:hAnsi="Times New Roman" w:cs="Times New Roman"/>
                <w:sz w:val="20"/>
                <w:szCs w:val="20"/>
                <w:lang w:val="ro-RO" w:eastAsia="ru-RU"/>
              </w:rPr>
            </w:pPr>
          </w:p>
          <w:p w:rsidR="00E50CC9" w:rsidRPr="00C10518" w:rsidRDefault="00E50CC9" w:rsidP="004C7663">
            <w:pPr>
              <w:jc w:val="both"/>
              <w:rPr>
                <w:rFonts w:ascii="Times New Roman" w:hAnsi="Times New Roman" w:cs="Times New Roman"/>
                <w:b/>
                <w:sz w:val="20"/>
                <w:szCs w:val="20"/>
                <w:lang w:val="ro-RO"/>
              </w:rPr>
            </w:pP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7</w:t>
            </w:r>
          </w:p>
        </w:tc>
        <w:tc>
          <w:tcPr>
            <w:tcW w:w="4111" w:type="dxa"/>
            <w:shd w:val="clear" w:color="auto" w:fill="auto"/>
          </w:tcPr>
          <w:p w:rsidR="004C7663" w:rsidRPr="00C10518" w:rsidRDefault="004C7663" w:rsidP="004C7663">
            <w:pPr>
              <w:pStyle w:val="Corptext"/>
              <w:rPr>
                <w:bCs/>
                <w:sz w:val="20"/>
              </w:rPr>
            </w:pPr>
            <w:r w:rsidRPr="00C10518">
              <w:rPr>
                <w:bCs/>
                <w:sz w:val="20"/>
              </w:rPr>
              <w:t>Principiile general-aplicabile în domeniul achizițiilor prevăzute în art. 4 al actului UE au fost transpuse prin art. 4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8</w:t>
            </w:r>
          </w:p>
        </w:tc>
        <w:tc>
          <w:tcPr>
            <w:tcW w:w="4111" w:type="dxa"/>
            <w:shd w:val="clear" w:color="auto" w:fill="auto"/>
          </w:tcPr>
          <w:p w:rsidR="004C7663" w:rsidRPr="00C10518" w:rsidRDefault="004C7663" w:rsidP="004C7663">
            <w:pPr>
              <w:pStyle w:val="Corptext"/>
              <w:rPr>
                <w:bCs/>
                <w:sz w:val="20"/>
              </w:rPr>
            </w:pPr>
            <w:r w:rsidRPr="00C10518">
              <w:rPr>
                <w:bCs/>
                <w:sz w:val="20"/>
              </w:rPr>
              <w:t>Dispozițiile generale aplicabile operatorilor economici prevăzute în art. 5 al proiectului național nu corespund în totalitate dispozițiilor art. 5 din Directivă. Astfel, autorul proiectului la alin. (4) utilizează termenul privind „declararea ofertei comunei câștigătoare”, iar actul UE utilizează termenul de „atribuire a contractului”, or, etapa de evaluare a ofertelor se finalizează odată cu adoptarea deciziei de atribuire a contractului.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9</w:t>
            </w:r>
          </w:p>
        </w:tc>
        <w:tc>
          <w:tcPr>
            <w:tcW w:w="4111" w:type="dxa"/>
            <w:shd w:val="clear" w:color="auto" w:fill="auto"/>
          </w:tcPr>
          <w:p w:rsidR="004C7663" w:rsidRPr="00C10518" w:rsidRDefault="004C7663" w:rsidP="004C7663">
            <w:pPr>
              <w:pStyle w:val="Corptext"/>
              <w:rPr>
                <w:bCs/>
                <w:sz w:val="20"/>
              </w:rPr>
            </w:pPr>
            <w:r w:rsidRPr="00C10518">
              <w:rPr>
                <w:bCs/>
                <w:sz w:val="20"/>
              </w:rPr>
              <w:t>Obligațiile autorităților/entităților contractante privind asigurarea confidențialității prevăzute în art. 6 al actului UE au fost transpuse prin art. 6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10</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Prevederea privind impunerea de către autoritățile/entitățile contractante operatorilor economici a cerințelor care vizează protejarea informațiilor clasificate prevăzute în art. 7 al </w:t>
            </w:r>
            <w:r w:rsidRPr="00C10518">
              <w:rPr>
                <w:bCs/>
                <w:sz w:val="20"/>
              </w:rPr>
              <w:lastRenderedPageBreak/>
              <w:t>actului UE au fost transpuse prin art. 7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11</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Valoarea pragurilor pentru contracte prevăzută în art. 8 al actului național este mai mică decât cea stabilită prin art. 8 al actului UE. Evidențiem că, obligațiile privind transparența și concurența aplicabile contractelor care se află sub pragurile de aplicare a Directivei ar trebui să fie stabilite de state în conformitate cu principiile menționate în Tratat și ținând seama, în special, de situațiile în care există un interes transfrontalier. Responsabilitatea de a stabili modalitățile cele mai adecvate pentru a atribui astfel de contracte aparține statelor. Totodată, Recitalul (25) al Directivei menționează că numărul mare de praguri de aplicare a prevederilor coordonate reprezintă o sursă de complicații pentru autoritățile/entitățile contractante. Având în vedere valoarea medie a contractelor din domeniile apărării și securității, este oportun ca pragurile de aplicare a Directivei 2009/81/CE să fie aliniate la pragurile pe care entitățile contractante trebuie să le respecte în aplicarea Directivei 2014/25/UE. </w:t>
            </w:r>
          </w:p>
          <w:p w:rsidR="004C7663" w:rsidRPr="00C10518" w:rsidRDefault="004C7663" w:rsidP="004C7663">
            <w:pPr>
              <w:pStyle w:val="Corptext"/>
              <w:rPr>
                <w:bCs/>
                <w:sz w:val="20"/>
                <w:highlight w:val="yellow"/>
              </w:rPr>
            </w:pPr>
            <w:r w:rsidRPr="00C10518">
              <w:rPr>
                <w:bCs/>
                <w:sz w:val="20"/>
              </w:rPr>
              <w:t>Astfel, cu referire la prevederile naționale incluse în alin. (1) și (2) art. 8 privind reglementarea achizițiilor ce nu depășesc pragurile reglementate în alin. (1) art. 8 al proiectului național, recomandăm reexaminarea acestora prin prisma Legii nr. 131/2015 și a propunerilor de armonizare cu dispozițiile Directivei 2014/24/UE (Subsecțiunea 2 „Achiziții publice care implică aspecte de apărare sau securitate”, art. 15-17) menționate supra, precum și a articolelor corespondente naționale privind achizițiile care includ aspecte de apărare și securitate și pragurile stabilite prin Legea nr. 74/2020.</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Conform recomandărilor CAL, SIS, au fost modificate pragurile și anume, au fost aduse în concordanță cu cele prevăzute în Legea nr. 131/2015 și în Legea nr. 74/2020 pentru a asigura coerența și uniformitatea.</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Pragurile stabilite în Directivele UE și legislația statelor membre, ținând cont de realitățile economice naționale și nivelul alocațiilor bugetare, pentru Republica Moldova sunt prea înalte și în cazul în care le vom aplica un număr foarte mic de proceduri de achiziții vor fi desfășurate în conformitate cu legislația.</w:t>
            </w:r>
          </w:p>
          <w:p w:rsidR="00E50CC9" w:rsidRPr="00C10518" w:rsidRDefault="00E50CC9" w:rsidP="004C7663">
            <w:pPr>
              <w:jc w:val="both"/>
              <w:rPr>
                <w:rFonts w:ascii="Times New Roman" w:hAnsi="Times New Roman" w:cs="Times New Roman"/>
                <w:sz w:val="20"/>
                <w:szCs w:val="20"/>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E50CC9" w:rsidRPr="00C10518" w:rsidRDefault="00E50CC9" w:rsidP="00E50CC9">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E50CC9" w:rsidRPr="00C10518" w:rsidRDefault="00E50CC9" w:rsidP="00E50CC9">
            <w:pPr>
              <w:jc w:val="both"/>
              <w:rPr>
                <w:rFonts w:ascii="Times New Roman" w:hAnsi="Times New Roman" w:cs="Times New Roman"/>
                <w:b/>
                <w:sz w:val="20"/>
                <w:szCs w:val="20"/>
              </w:rPr>
            </w:pPr>
            <w:r w:rsidRPr="00C10518">
              <w:rPr>
                <w:rFonts w:ascii="Times New Roman" w:hAnsi="Times New Roman" w:cs="Times New Roman"/>
                <w:sz w:val="20"/>
                <w:szCs w:val="20"/>
              </w:rPr>
              <w:t xml:space="preserve">Pragurile  de aplicare a legii, în  conformitate cu opinia UE din data de 24.01.2025, au fost revizuite și aliniate la pragurile prevăzute de Directiva 2009/81/CE  </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12</w:t>
            </w:r>
          </w:p>
        </w:tc>
        <w:tc>
          <w:tcPr>
            <w:tcW w:w="4111" w:type="dxa"/>
            <w:shd w:val="clear" w:color="auto" w:fill="auto"/>
          </w:tcPr>
          <w:p w:rsidR="004C7663" w:rsidRPr="00C10518" w:rsidRDefault="004C7663" w:rsidP="004C7663">
            <w:pPr>
              <w:pStyle w:val="Corptext"/>
              <w:rPr>
                <w:bCs/>
                <w:sz w:val="20"/>
                <w:highlight w:val="yellow"/>
              </w:rPr>
            </w:pPr>
            <w:r w:rsidRPr="00C10518">
              <w:rPr>
                <w:bCs/>
                <w:sz w:val="20"/>
              </w:rPr>
              <w:t xml:space="preserve">Metodele de calcul al valorii estimate a contractelor și a acordurilor-cadru prevăzute în art. 9 al actului național nu corespund în totalitate prevederilor art. 9 din actul UE. În context, alin. (2) din art. 9 al proiectului național se va </w:t>
            </w:r>
            <w:r w:rsidRPr="00C10518">
              <w:rPr>
                <w:bCs/>
                <w:sz w:val="20"/>
              </w:rPr>
              <w:lastRenderedPageBreak/>
              <w:t>reformula astfel încât să corespundă prevederilor din alin. (2) din art. 9 al actului european. Totodată, nu a fost transpus alin. (3) din art. 9 care interzice divizarea proiectelor de lucrări și de achiziții în vederea obținerii unei anumite cantități de bunuri și/sau servicii, iar prevederea națională din alin. (3) al art. 9 nu reflectă conținutul dispozițiilor europene. La fel, termenii utilizați în art. 9 din proiectul național urmează a fi uniformizați, or, autorul utilizează termenul de „prelungire” a contractului, iar în alin. (8) din art. 9 introduce termenul de „reînnoire”. În context, menționăm că actul UE utilizează termenul de „loturi separate”, dar nu cel de „obiecte separate”.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13</w:t>
            </w:r>
          </w:p>
        </w:tc>
        <w:tc>
          <w:tcPr>
            <w:tcW w:w="4111" w:type="dxa"/>
            <w:shd w:val="clear" w:color="auto" w:fill="auto"/>
          </w:tcPr>
          <w:p w:rsidR="004C7663" w:rsidRPr="00C10518" w:rsidRDefault="004C7663" w:rsidP="004C7663">
            <w:pPr>
              <w:pStyle w:val="Corptext"/>
              <w:rPr>
                <w:bCs/>
                <w:sz w:val="20"/>
              </w:rPr>
            </w:pPr>
            <w:r w:rsidRPr="00C10518">
              <w:rPr>
                <w:bCs/>
                <w:sz w:val="20"/>
              </w:rPr>
              <w:t>Prevederile opționale privind achiziționarea lucrărilor, bunurilor și/sau serviciilor prin intermediul organismelor centrale de achiziție prevăzute în art. 10 al actului UE au fost preluate prin art. 10 al actului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14</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Dispozițiile privind excepțiile prevăzute de actul UE în art. 11, 12 și 13 au fost transpuse parțial prin art. 11, 12 și 13 al actului național. Totodată, textul articolelor urmează a fi revăzut prin excluderea termenilor juridici utilizați de Uniunea Europeană (de ex. „țară terță”). Mai mult, atenționăm că excepțiile prevăzute la art. 12 și 13 ale actului UE urmează a fi reglementate, inclusiv, ținând cont de prevederile art. 60(4) și 64 ale Directivei, care nu au fost transpuse prin proiectul național . </w:t>
            </w:r>
          </w:p>
          <w:p w:rsidR="004C7663" w:rsidRPr="00C10518" w:rsidRDefault="004C7663" w:rsidP="004C7663">
            <w:pPr>
              <w:pStyle w:val="Corptext"/>
              <w:rPr>
                <w:bCs/>
                <w:sz w:val="20"/>
              </w:rPr>
            </w:pPr>
            <w:r w:rsidRPr="00C10518">
              <w:rPr>
                <w:bCs/>
                <w:sz w:val="20"/>
              </w:rPr>
              <w:t xml:space="preserve">La fel, menționăm că în scopul realizării achizițiilor exceptate de actului UE, de ex. achizițiile cooperative în domeniul apărării, Comisia a publicat o Comunicare care analizează posibilitățile pe care Directiva privind achizițiile publice în domeniul apărării și Directiva 2014/24/UE privind achizițiile publice le oferă statelor în acest sens , iar cu referire la contractele atribuite de un guvern unui alt guvern referitoare la: (i) furnizarea de echipamente militare sau echipamente sensibile; (ii) lucrări și servicii în legătură directă cu astfel de echipamente; sau (iii) </w:t>
            </w:r>
            <w:r w:rsidRPr="00C10518">
              <w:rPr>
                <w:bCs/>
                <w:sz w:val="20"/>
              </w:rPr>
              <w:lastRenderedPageBreak/>
              <w:t>lucrări și servicii special destinate unor scopuri militare, sau lucrări și servicii cu caracter sensibil, reieșind din Recitalul (1) care prevede că: „Securitatea națională rămâne responsabilitatea exclusivă a fiecărui stat membru, atât în domeniul apărării, cât și al securității”, Comisia a publicat Orientări  cu privire la atribuirea unor astfel de contracte de către Guvern. În context, menționăm despre necesitatea introducerii  în tabelul de concordanță a mențiunilor privind acțiunile planificare în vederea reglementării ulterioare a excluderilor prevăzute în art. 12 și 13 ale actului UE.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15</w:t>
            </w:r>
          </w:p>
        </w:tc>
        <w:tc>
          <w:tcPr>
            <w:tcW w:w="4111" w:type="dxa"/>
            <w:shd w:val="clear" w:color="auto" w:fill="auto"/>
          </w:tcPr>
          <w:p w:rsidR="004C7663" w:rsidRPr="00C10518" w:rsidRDefault="004C7663" w:rsidP="004C7663">
            <w:pPr>
              <w:pStyle w:val="Corptext"/>
              <w:rPr>
                <w:bCs/>
                <w:sz w:val="20"/>
              </w:rPr>
            </w:pPr>
            <w:r w:rsidRPr="00C10518">
              <w:rPr>
                <w:bCs/>
                <w:sz w:val="20"/>
              </w:rPr>
              <w:t>Opțiunea privind aplicarea regimului special anumitor ateliere protejate, programelor de angajare protejată prevăzută în art. 14 a fost preluată prin art. 14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16</w:t>
            </w:r>
          </w:p>
        </w:tc>
        <w:tc>
          <w:tcPr>
            <w:tcW w:w="4111" w:type="dxa"/>
            <w:shd w:val="clear" w:color="auto" w:fill="auto"/>
          </w:tcPr>
          <w:p w:rsidR="004C7663" w:rsidRPr="00C10518" w:rsidRDefault="004C7663" w:rsidP="004C7663">
            <w:pPr>
              <w:pStyle w:val="Corptext"/>
              <w:rPr>
                <w:bCs/>
                <w:sz w:val="20"/>
              </w:rPr>
            </w:pPr>
            <w:r w:rsidRPr="00C10518">
              <w:rPr>
                <w:bCs/>
                <w:sz w:val="20"/>
              </w:rPr>
              <w:t>Prevederile privind regimul aplicabil contractelor de prestări servicii menționate în Anexele I și II ale actului UE, au fost transpuse prin art. 15-17 în conformitate cu prevederile art. 15-17 din actul UE.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17</w:t>
            </w:r>
          </w:p>
        </w:tc>
        <w:tc>
          <w:tcPr>
            <w:tcW w:w="4111" w:type="dxa"/>
            <w:shd w:val="clear" w:color="auto" w:fill="auto"/>
          </w:tcPr>
          <w:p w:rsidR="004C7663" w:rsidRPr="00C10518" w:rsidRDefault="004C7663" w:rsidP="004C7663">
            <w:pPr>
              <w:pStyle w:val="Corptext"/>
              <w:rPr>
                <w:bCs/>
                <w:sz w:val="20"/>
              </w:rPr>
            </w:pPr>
            <w:r w:rsidRPr="00C10518">
              <w:rPr>
                <w:bCs/>
                <w:sz w:val="20"/>
              </w:rPr>
              <w:t>Normele speciale privind documentele contractului prevăzute în art. 18, 19, 20, 21, 22, 23 și 24 din actul UE au fost transpuse prin prevederile corespondente naționale din art. 18, 19, 20, 21, 22, 23 și 24. Totodată, menționăm că nu sunt clare cerințele stabilite la nivel național privind redactarea într-un mod obiectiv a documentelor contractului prevăzute la alin. (1) al art. 18 din proiectul național, cerințe nereglementate de actul UE examinat. La fel, nu este argumentată nepreluarea dispoziției UE de la art. 18 (3) (b) privind cerința stabilită față de specificațiile tehnice care trebuie să fie suficient de exacte pentru ca ofertanții să poată stabili obiectul contractului și pentru ca autoritățile/entitățile contractante să poată atribui contractul.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18</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Prevederile privind procedurile aplicabile prevăzute în art. 25 al actului UE au fost adaptate și preluate prin art. 25 al proiectului național. </w:t>
            </w:r>
            <w:r w:rsidRPr="00C10518">
              <w:rPr>
                <w:bCs/>
                <w:sz w:val="20"/>
              </w:rPr>
              <w:lastRenderedPageBreak/>
              <w:t>Totodată, autorul prevede în alin. (5) din art. 25 că modul de derulare a procedurilor de atribuire prevăzute la acest articol urmează a fi reglementate de Guvern.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19</w:t>
            </w:r>
          </w:p>
        </w:tc>
        <w:tc>
          <w:tcPr>
            <w:tcW w:w="4111" w:type="dxa"/>
            <w:shd w:val="clear" w:color="auto" w:fill="auto"/>
          </w:tcPr>
          <w:p w:rsidR="004C7663" w:rsidRPr="00C10518" w:rsidRDefault="004C7663" w:rsidP="004C7663">
            <w:pPr>
              <w:pStyle w:val="Corptext"/>
              <w:rPr>
                <w:bCs/>
                <w:sz w:val="20"/>
              </w:rPr>
            </w:pPr>
            <w:r w:rsidRPr="00C10518">
              <w:rPr>
                <w:bCs/>
                <w:sz w:val="20"/>
              </w:rPr>
              <w:t>Prevederile privind procedura de negociere cu publicarea unui anunț de participare prevăzută la art. 26 din actul UE au fost transpuse prin art. 26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20</w:t>
            </w:r>
          </w:p>
        </w:tc>
        <w:tc>
          <w:tcPr>
            <w:tcW w:w="4111" w:type="dxa"/>
            <w:shd w:val="clear" w:color="auto" w:fill="auto"/>
          </w:tcPr>
          <w:p w:rsidR="004C7663" w:rsidRPr="00C10518" w:rsidRDefault="004C7663" w:rsidP="004C7663">
            <w:pPr>
              <w:pStyle w:val="Corptext"/>
              <w:rPr>
                <w:bCs/>
                <w:sz w:val="20"/>
              </w:rPr>
            </w:pPr>
            <w:r w:rsidRPr="00C10518">
              <w:rPr>
                <w:bCs/>
                <w:sz w:val="20"/>
              </w:rPr>
              <w:t>Prevederile privind dialogul competitiv din art. 27 al actului UE au fost transpuse parțial prin art. 27 al proiectului național. Astfel, nu a fost transpusă regula privind atribuirea contractului exclusiv pe baza criteriului de atribuire ofertei celei mai avantajoase din punct de vedere economic. Totodată, nu au fost preluate prevederile privind posibilitatea perfecționării ofertelor la cererea autorității/entității contractante. La fel, menționăm că intenția autorului privind oferirea stimulentelor financiare participanților la dialog par să contravină opțiunii stabilite de actul UE, or, acesta prevede că autoritățile/entitățile contractante pot prevedea prețuri sau plăți pentru participanții la dialog.</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 prevederile au fost transpuse.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21</w:t>
            </w:r>
          </w:p>
        </w:tc>
        <w:tc>
          <w:tcPr>
            <w:tcW w:w="4111" w:type="dxa"/>
            <w:shd w:val="clear" w:color="auto" w:fill="auto"/>
          </w:tcPr>
          <w:p w:rsidR="004C7663" w:rsidRPr="00C10518" w:rsidRDefault="004C7663" w:rsidP="004C7663">
            <w:pPr>
              <w:pStyle w:val="Corptext"/>
              <w:rPr>
                <w:bCs/>
                <w:sz w:val="20"/>
              </w:rPr>
            </w:pPr>
            <w:r w:rsidRPr="00C10518">
              <w:rPr>
                <w:bCs/>
                <w:sz w:val="20"/>
              </w:rPr>
              <w:t>Cazurile care justifică recurgerea la procedura de negociere fără publicarea unui anunț de participare prevăzute în art. 28 al actului UE au fost preluate de art. 28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22</w:t>
            </w:r>
          </w:p>
        </w:tc>
        <w:tc>
          <w:tcPr>
            <w:tcW w:w="4111" w:type="dxa"/>
            <w:shd w:val="clear" w:color="auto" w:fill="auto"/>
          </w:tcPr>
          <w:p w:rsidR="004C7663" w:rsidRPr="00C10518" w:rsidRDefault="004C7663" w:rsidP="004C7663">
            <w:pPr>
              <w:pStyle w:val="Corptext"/>
              <w:rPr>
                <w:bCs/>
                <w:sz w:val="20"/>
              </w:rPr>
            </w:pPr>
            <w:r w:rsidRPr="00C10518">
              <w:rPr>
                <w:bCs/>
                <w:sz w:val="20"/>
              </w:rPr>
              <w:t>Normele opționale privind posibilitatea autorităților/entităților contractante de a încheia acorduri-cadru prevăzute în art. 29 au fost preluate prin art. 29 al proiectului național. Menționăm că cerințele aplicabile în conformitate cu art. 47 (2), (4) ale actului UE n-au fost preluate în totalitate de proiectul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23</w:t>
            </w:r>
          </w:p>
        </w:tc>
        <w:tc>
          <w:tcPr>
            <w:tcW w:w="4111" w:type="dxa"/>
            <w:shd w:val="clear" w:color="auto" w:fill="auto"/>
          </w:tcPr>
          <w:p w:rsidR="004C7663" w:rsidRPr="00C10518" w:rsidRDefault="004C7663" w:rsidP="004C7663">
            <w:pPr>
              <w:pStyle w:val="Corptext"/>
              <w:rPr>
                <w:bCs/>
                <w:sz w:val="20"/>
              </w:rPr>
            </w:pPr>
            <w:r w:rsidRPr="00C10518">
              <w:rPr>
                <w:bCs/>
                <w:sz w:val="20"/>
              </w:rPr>
              <w:t>Normele UE de publicitate și transparență prevăzute în art. 30-32 au fost adaptate și transpuse prin art. 30-32 ale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24</w:t>
            </w:r>
          </w:p>
        </w:tc>
        <w:tc>
          <w:tcPr>
            <w:tcW w:w="4111" w:type="dxa"/>
            <w:shd w:val="clear" w:color="auto" w:fill="auto"/>
          </w:tcPr>
          <w:p w:rsidR="004C7663" w:rsidRPr="00C10518" w:rsidRDefault="004C7663" w:rsidP="004C7663">
            <w:pPr>
              <w:pStyle w:val="Corptext"/>
              <w:rPr>
                <w:bCs/>
                <w:sz w:val="20"/>
              </w:rPr>
            </w:pPr>
            <w:r w:rsidRPr="00C10518">
              <w:rPr>
                <w:bCs/>
                <w:sz w:val="20"/>
              </w:rPr>
              <w:t>Termenele de primire a cererilor de participare și de primire a ofertelor prevăzute în art. 33 al actului UE au fost preluate prin art. 33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25</w:t>
            </w:r>
          </w:p>
        </w:tc>
        <w:tc>
          <w:tcPr>
            <w:tcW w:w="4111" w:type="dxa"/>
            <w:shd w:val="clear" w:color="auto" w:fill="auto"/>
          </w:tcPr>
          <w:p w:rsidR="004C7663" w:rsidRPr="00C10518" w:rsidRDefault="004C7663" w:rsidP="004C7663">
            <w:pPr>
              <w:pStyle w:val="Corptext"/>
              <w:rPr>
                <w:bCs/>
                <w:sz w:val="20"/>
              </w:rPr>
            </w:pPr>
            <w:r w:rsidRPr="00C10518">
              <w:rPr>
                <w:bCs/>
                <w:sz w:val="20"/>
              </w:rPr>
              <w:t>Conținutul și mijloacele de transmitere a informațiilor prevăzute în art. 34 și 35 ale actului UE  au fost preluate prin prevederile art. 34 și 35 ale actului UE.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26</w:t>
            </w:r>
          </w:p>
        </w:tc>
        <w:tc>
          <w:tcPr>
            <w:tcW w:w="4111" w:type="dxa"/>
            <w:shd w:val="clear" w:color="auto" w:fill="auto"/>
          </w:tcPr>
          <w:p w:rsidR="004C7663" w:rsidRPr="00C10518" w:rsidRDefault="004C7663" w:rsidP="004C7663">
            <w:pPr>
              <w:pStyle w:val="Corptext"/>
              <w:rPr>
                <w:bCs/>
                <w:sz w:val="20"/>
              </w:rPr>
            </w:pPr>
            <w:r w:rsidRPr="00C10518">
              <w:rPr>
                <w:bCs/>
                <w:sz w:val="20"/>
              </w:rPr>
              <w:t>Normele aplicabile comunicărilor prevăzute în art. 36 din actul UE au fost preluate de art. 36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r w:rsidRPr="00C10518">
              <w:rPr>
                <w:rFonts w:ascii="Times New Roman" w:hAnsi="Times New Roman" w:cs="Times New Roman"/>
                <w:b/>
                <w:sz w:val="20"/>
                <w:szCs w:val="20"/>
              </w:rPr>
              <w:t>.</w:t>
            </w:r>
          </w:p>
        </w:tc>
      </w:tr>
      <w:tr w:rsidR="00C10518" w:rsidRPr="00C10518" w:rsidTr="004C7663">
        <w:trPr>
          <w:trHeight w:val="416"/>
        </w:trPr>
        <w:tc>
          <w:tcPr>
            <w:tcW w:w="2972" w:type="dxa"/>
          </w:tcPr>
          <w:p w:rsidR="004C7663" w:rsidRPr="00C10518" w:rsidRDefault="004C7663" w:rsidP="004C7663">
            <w:pPr>
              <w:rPr>
                <w:rFonts w:ascii="Times New Roman" w:hAnsi="Times New Roman" w:cs="Times New Roman"/>
                <w:b/>
                <w:sz w:val="20"/>
                <w:szCs w:val="20"/>
              </w:rPr>
            </w:pPr>
          </w:p>
        </w:tc>
        <w:tc>
          <w:tcPr>
            <w:tcW w:w="567" w:type="dxa"/>
          </w:tcPr>
          <w:p w:rsidR="004C7663" w:rsidRPr="00C10518" w:rsidRDefault="004C7663" w:rsidP="004C7663">
            <w:pPr>
              <w:jc w:val="center"/>
              <w:rPr>
                <w:rFonts w:ascii="Times New Roman" w:hAnsi="Times New Roman" w:cs="Times New Roman"/>
                <w:b/>
                <w:sz w:val="20"/>
                <w:szCs w:val="20"/>
              </w:rPr>
            </w:pPr>
            <w:r w:rsidRPr="00C10518">
              <w:rPr>
                <w:rFonts w:ascii="Times New Roman" w:hAnsi="Times New Roman" w:cs="Times New Roman"/>
                <w:b/>
                <w:sz w:val="20"/>
                <w:szCs w:val="20"/>
              </w:rPr>
              <w:t>27</w:t>
            </w:r>
          </w:p>
        </w:tc>
        <w:tc>
          <w:tcPr>
            <w:tcW w:w="4111" w:type="dxa"/>
            <w:shd w:val="clear" w:color="auto" w:fill="auto"/>
          </w:tcPr>
          <w:p w:rsidR="004C7663" w:rsidRPr="00C10518" w:rsidRDefault="004C7663" w:rsidP="004C7663">
            <w:pPr>
              <w:pStyle w:val="Corptext"/>
              <w:rPr>
                <w:bCs/>
                <w:sz w:val="20"/>
              </w:rPr>
            </w:pPr>
            <w:r w:rsidRPr="00C10518">
              <w:rPr>
                <w:bCs/>
                <w:sz w:val="20"/>
              </w:rPr>
              <w:t>Cerințele privind conținutul proceselor-verbale prevăzut la art. 37 al actului UE au fost adaptate și preluate prin art. 37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28</w:t>
            </w:r>
          </w:p>
        </w:tc>
        <w:tc>
          <w:tcPr>
            <w:tcW w:w="4111" w:type="dxa"/>
            <w:shd w:val="clear" w:color="auto" w:fill="auto"/>
          </w:tcPr>
          <w:p w:rsidR="004C7663" w:rsidRPr="00C10518" w:rsidRDefault="004C7663" w:rsidP="004C7663">
            <w:pPr>
              <w:pStyle w:val="Corptext"/>
              <w:rPr>
                <w:bCs/>
                <w:sz w:val="20"/>
              </w:rPr>
            </w:pPr>
            <w:r w:rsidRPr="00C10518">
              <w:rPr>
                <w:bCs/>
                <w:sz w:val="20"/>
              </w:rPr>
              <w:t>Prevederile privind desfășurarea procedurii, criteriile calitative de selecție,  aptitudinea de exercitare a activității profesionale, capacitatea economică și financiară,  capacitatea tehnică și/sau profesională, normele sistemelor de gestionare a calității, standarde de gestionare a mediului, alte documente stabilite prin art. 38-45 ale actului UE au fost adaptate și transpuse prin art. 38-45 ale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29</w:t>
            </w:r>
          </w:p>
        </w:tc>
        <w:tc>
          <w:tcPr>
            <w:tcW w:w="4111" w:type="dxa"/>
            <w:shd w:val="clear" w:color="auto" w:fill="auto"/>
          </w:tcPr>
          <w:p w:rsidR="004C7663" w:rsidRPr="00C10518" w:rsidRDefault="004C7663" w:rsidP="004C7663">
            <w:pPr>
              <w:pStyle w:val="Corptext"/>
              <w:rPr>
                <w:bCs/>
                <w:sz w:val="20"/>
              </w:rPr>
            </w:pPr>
            <w:r w:rsidRPr="00C10518">
              <w:rPr>
                <w:bCs/>
                <w:sz w:val="20"/>
              </w:rPr>
              <w:t>Dispozițiile opționale privind întocmirea Listelor oficiale ale operatorilor economici agreați și certificarea de către organismele de drept public sau privat prevăzute în art. 46 al actului UE au fost preluate prin art. 46 al proiectului național, iar cerințele detaliate privind întocmirea Listelor menționate urmează a fi transpuse ulterior prin regulamentul Guvernului.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30</w:t>
            </w:r>
          </w:p>
        </w:tc>
        <w:tc>
          <w:tcPr>
            <w:tcW w:w="4111" w:type="dxa"/>
            <w:shd w:val="clear" w:color="auto" w:fill="auto"/>
          </w:tcPr>
          <w:p w:rsidR="004C7663" w:rsidRPr="00C10518" w:rsidRDefault="004C7663" w:rsidP="004C7663">
            <w:pPr>
              <w:pStyle w:val="Corptext"/>
              <w:rPr>
                <w:bCs/>
                <w:sz w:val="20"/>
              </w:rPr>
            </w:pPr>
            <w:r w:rsidRPr="00C10518">
              <w:rPr>
                <w:bCs/>
                <w:sz w:val="20"/>
              </w:rPr>
              <w:t>Criteriile de atribuire a contractelor prevăzute în art. 47 al actului UE au fost stabilite prin art. 47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31</w:t>
            </w:r>
          </w:p>
        </w:tc>
        <w:tc>
          <w:tcPr>
            <w:tcW w:w="4111" w:type="dxa"/>
            <w:shd w:val="clear" w:color="auto" w:fill="auto"/>
          </w:tcPr>
          <w:p w:rsidR="004C7663" w:rsidRPr="00C10518" w:rsidRDefault="004C7663" w:rsidP="004C7663">
            <w:pPr>
              <w:pStyle w:val="Corptext"/>
              <w:rPr>
                <w:bCs/>
                <w:sz w:val="20"/>
              </w:rPr>
            </w:pPr>
            <w:r w:rsidRPr="00C10518">
              <w:rPr>
                <w:bCs/>
                <w:sz w:val="20"/>
              </w:rPr>
              <w:t>Posibilitatea ca autoritățile/entitățile contractante să utilizeze licitații electronice prevăzută în art. 48 al actului UE a fost preluată prin prevederile art. 48 din proiectul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32</w:t>
            </w:r>
          </w:p>
        </w:tc>
        <w:tc>
          <w:tcPr>
            <w:tcW w:w="4111" w:type="dxa"/>
            <w:shd w:val="clear" w:color="auto" w:fill="auto"/>
          </w:tcPr>
          <w:p w:rsidR="004C7663" w:rsidRPr="00C10518" w:rsidRDefault="004C7663" w:rsidP="004C7663">
            <w:pPr>
              <w:pStyle w:val="Corptext"/>
              <w:rPr>
                <w:bCs/>
                <w:sz w:val="20"/>
              </w:rPr>
            </w:pPr>
            <w:r w:rsidRPr="00C10518">
              <w:rPr>
                <w:bCs/>
                <w:sz w:val="20"/>
              </w:rPr>
              <w:t>Prevederile privind ofertele anormal de scăzute prevăzute în art. 49 al actului UE au fost stabilite prin art. 49 al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33</w:t>
            </w:r>
          </w:p>
        </w:tc>
        <w:tc>
          <w:tcPr>
            <w:tcW w:w="4111" w:type="dxa"/>
            <w:shd w:val="clear" w:color="auto" w:fill="auto"/>
          </w:tcPr>
          <w:p w:rsidR="004C7663" w:rsidRPr="00C10518" w:rsidRDefault="004C7663" w:rsidP="004C7663">
            <w:pPr>
              <w:pStyle w:val="Corptext"/>
              <w:rPr>
                <w:bCs/>
                <w:sz w:val="20"/>
              </w:rPr>
            </w:pPr>
            <w:r w:rsidRPr="00C10518">
              <w:rPr>
                <w:bCs/>
                <w:sz w:val="20"/>
              </w:rPr>
              <w:t>Normele aplicabile subcontractării prevăzute în art. 50-54 ale actului UE au fost transpuse prin prevederile corespondente naționale din art. 50-54 ale proiectului.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34</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Normele aplicabile căilor de atac prevăzute în art. 55-64  ale actului UE nu au fost transpuse </w:t>
            </w:r>
            <w:r w:rsidRPr="00C10518">
              <w:rPr>
                <w:bCs/>
                <w:sz w:val="20"/>
              </w:rPr>
              <w:lastRenderedPageBreak/>
              <w:t>prin proiectul național. Proiectul național în art. 55 stabilește autoritatea de soluționare a litigiilor – Agenția națională pentru soluționarea contestațiilor, iar în alin. (2) al aceluiași articol stabilește că procedura de soluționare a contestațiilor urmează a fi reglementată de Guvern. Totodată, în art. 56 proiectul național prevede o dispoziție generală privind răspunderea juridică pentru încălcarea prevederilor legale.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lastRenderedPageBreak/>
              <w:t>Capitolele privind „Soluţionarea litigiilor şi răspunderea juridică” din Legea nr. 131/2015 și Legea nr. 74/2020 transpun prevederile Directivelor 92/13/CEE și 89/665/CEE. Norme aplicabile căilor de atac reglementate de Directiva 2009/81/CE nu sunt similare cu cele prevăzute în directivele menționate supra. Respectiv, trimiterea la Capitolul X din Legea nr. 131/2015 privind achizițiile publice, astfel cum e prevăzut în Legea nr. 74/2020 nu poate fi inclusă în proiect, însă se vor desfășura conform regulamentului elaborat de Guvern și aprobat prin hotărârea Parlamentului.</w:t>
            </w:r>
          </w:p>
          <w:p w:rsidR="00E50CC9" w:rsidRPr="00C10518" w:rsidRDefault="00E50CC9" w:rsidP="004C7663">
            <w:pPr>
              <w:jc w:val="both"/>
              <w:rPr>
                <w:rFonts w:ascii="Times New Roman" w:hAnsi="Times New Roman" w:cs="Times New Roman"/>
                <w:sz w:val="20"/>
                <w:szCs w:val="20"/>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E50CC9" w:rsidRPr="00C10518" w:rsidRDefault="00E50CC9" w:rsidP="00E50CC9">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E50CC9" w:rsidRPr="00C10518" w:rsidRDefault="00E50CC9" w:rsidP="00E50CC9">
            <w:pPr>
              <w:jc w:val="both"/>
              <w:rPr>
                <w:rFonts w:ascii="Times New Roman" w:hAnsi="Times New Roman" w:cs="Times New Roman"/>
                <w:b/>
                <w:sz w:val="20"/>
                <w:szCs w:val="20"/>
              </w:rPr>
            </w:pPr>
            <w:r w:rsidRPr="00C10518">
              <w:rPr>
                <w:rFonts w:ascii="Times New Roman" w:hAnsi="Times New Roman" w:cs="Times New Roman"/>
                <w:sz w:val="20"/>
                <w:szCs w:val="20"/>
              </w:rPr>
              <w:t>Reieșind din decizia adoptată în cadrul procesului de elaborare și promovare a Legii nr. 325/2025 privind achizițiile publice, potrivit căreia normele referitoare la remedii și căile de atac urmează să fie reglementate într-un act normativ distinct, a fost adoptată Legea nr. 20/2026 privind remediile și căile de atac în materie de atribuire a contractelor de achiziții publice, sectoriale și de concesiune. În acest context, s-a decis ca dispozițiile Titlului IV „Norme aplicabile căilor de atac” din Directiva 2009/81/CE să nu fie transpuse în prezentul proiect de lege. Transpunerea acestora va fi asigurată prin completarea Legii nr. 20/2026 cu un capitol distinct dedicat căilor de atac aplicabile contractelor de achiziții din domeniile apărării și securității naționale.</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35</w:t>
            </w:r>
          </w:p>
        </w:tc>
        <w:tc>
          <w:tcPr>
            <w:tcW w:w="4111" w:type="dxa"/>
            <w:shd w:val="clear" w:color="auto" w:fill="auto"/>
          </w:tcPr>
          <w:p w:rsidR="004C7663" w:rsidRPr="00C10518" w:rsidRDefault="004C7663" w:rsidP="004C7663">
            <w:pPr>
              <w:pStyle w:val="Corptext"/>
              <w:rPr>
                <w:bCs/>
                <w:sz w:val="20"/>
              </w:rPr>
            </w:pPr>
            <w:r w:rsidRPr="00C10518">
              <w:rPr>
                <w:bCs/>
                <w:sz w:val="20"/>
              </w:rPr>
              <w:t>Anexa I „Servicii menționate la articolele 2 și 15” din actul UE a fost transpusă prin Anexa nr. 1 a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36</w:t>
            </w:r>
          </w:p>
        </w:tc>
        <w:tc>
          <w:tcPr>
            <w:tcW w:w="4111" w:type="dxa"/>
            <w:shd w:val="clear" w:color="auto" w:fill="auto"/>
          </w:tcPr>
          <w:p w:rsidR="004C7663" w:rsidRPr="00C10518" w:rsidRDefault="004C7663" w:rsidP="004C7663">
            <w:pPr>
              <w:pStyle w:val="Corptext"/>
              <w:rPr>
                <w:bCs/>
                <w:sz w:val="20"/>
              </w:rPr>
            </w:pPr>
            <w:r w:rsidRPr="00C10518">
              <w:rPr>
                <w:bCs/>
                <w:sz w:val="20"/>
              </w:rPr>
              <w:t>Anexa II „Servicii menționate la articolele 2 și 16” din actul UE a fost transpusă prin Anexa nr. 2 a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37</w:t>
            </w:r>
          </w:p>
        </w:tc>
        <w:tc>
          <w:tcPr>
            <w:tcW w:w="4111" w:type="dxa"/>
            <w:shd w:val="clear" w:color="auto" w:fill="auto"/>
          </w:tcPr>
          <w:p w:rsidR="004C7663" w:rsidRPr="00C10518" w:rsidRDefault="004C7663" w:rsidP="004C7663">
            <w:pPr>
              <w:pStyle w:val="Corptext"/>
              <w:rPr>
                <w:bCs/>
                <w:sz w:val="20"/>
              </w:rPr>
            </w:pPr>
            <w:r w:rsidRPr="00C10518">
              <w:rPr>
                <w:bCs/>
                <w:sz w:val="20"/>
              </w:rPr>
              <w:t>Anexa III „Definiții privind anumite specificații tehnice menționate la articolul 18” din actul UE a fost transpusă prin Anexa nr. 3 a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416"/>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38</w:t>
            </w:r>
          </w:p>
        </w:tc>
        <w:tc>
          <w:tcPr>
            <w:tcW w:w="4111" w:type="dxa"/>
            <w:shd w:val="clear" w:color="auto" w:fill="auto"/>
          </w:tcPr>
          <w:p w:rsidR="004C7663" w:rsidRPr="00C10518" w:rsidRDefault="004C7663" w:rsidP="004C7663">
            <w:pPr>
              <w:pStyle w:val="Corptext"/>
              <w:rPr>
                <w:bCs/>
                <w:sz w:val="20"/>
              </w:rPr>
            </w:pPr>
            <w:r w:rsidRPr="00C10518">
              <w:rPr>
                <w:bCs/>
                <w:sz w:val="20"/>
              </w:rPr>
              <w:t>Anexa IV „Informații care trebuie să figureze în anunțurile menționate la articolul 30” a fost transpusă parțial prin Anexa nr. 4 a proiectului național. În context, nu a fost transpus Anunțul privind publicarea unui anunț de informare prealabilă cu privire la un profil de cumpărător și conținutul acestuia.</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Lipsa transpunerii </w:t>
            </w:r>
            <w:r w:rsidRPr="00C10518">
              <w:rPr>
                <w:rFonts w:ascii="Times New Roman" w:hAnsi="Times New Roman" w:cs="Times New Roman"/>
                <w:i/>
                <w:sz w:val="20"/>
                <w:szCs w:val="20"/>
              </w:rPr>
              <w:t xml:space="preserve">Anunțului privind publicarea unui anunț de informare prealabilă cu privire la un profil de cumpărător și conținutul acestuia </w:t>
            </w:r>
            <w:r w:rsidRPr="00C10518">
              <w:rPr>
                <w:rFonts w:ascii="Times New Roman" w:hAnsi="Times New Roman" w:cs="Times New Roman"/>
                <w:sz w:val="20"/>
                <w:szCs w:val="20"/>
              </w:rPr>
              <w:t>nu generează neconcordanțe cu Directiva.</w:t>
            </w:r>
          </w:p>
          <w:p w:rsidR="00461396" w:rsidRPr="00C10518" w:rsidRDefault="00461396" w:rsidP="004C7663">
            <w:pPr>
              <w:jc w:val="both"/>
              <w:rPr>
                <w:rFonts w:ascii="Times New Roman" w:hAnsi="Times New Roman" w:cs="Times New Roman"/>
                <w:sz w:val="20"/>
                <w:szCs w:val="20"/>
              </w:rPr>
            </w:pPr>
          </w:p>
          <w:p w:rsidR="00461396" w:rsidRPr="00C10518" w:rsidRDefault="00461396"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r w:rsidR="00AA769E" w:rsidRPr="00C10518">
              <w:rPr>
                <w:rFonts w:ascii="Times New Roman" w:hAnsi="Times New Roman" w:cs="Times New Roman"/>
                <w:b/>
                <w:sz w:val="20"/>
                <w:szCs w:val="20"/>
              </w:rPr>
              <w:t xml:space="preserve"> ca rezultat al definitivării proiectului</w:t>
            </w:r>
          </w:p>
          <w:p w:rsidR="002173DA" w:rsidRPr="00C10518" w:rsidRDefault="007A07FC" w:rsidP="00592E04">
            <w:pPr>
              <w:jc w:val="both"/>
              <w:rPr>
                <w:rFonts w:ascii="Times New Roman" w:hAnsi="Times New Roman" w:cs="Times New Roman"/>
                <w:sz w:val="20"/>
                <w:szCs w:val="20"/>
              </w:rPr>
            </w:pPr>
            <w:r w:rsidRPr="00C10518">
              <w:rPr>
                <w:rFonts w:ascii="Times New Roman" w:hAnsi="Times New Roman" w:cs="Times New Roman"/>
                <w:sz w:val="20"/>
                <w:szCs w:val="20"/>
              </w:rPr>
              <w:t xml:space="preserve">Prevederea nu a fost preluată în proiectul de lege. </w:t>
            </w:r>
          </w:p>
          <w:p w:rsidR="00592E04" w:rsidRPr="00C10518" w:rsidRDefault="00592E04" w:rsidP="00592E04">
            <w:pPr>
              <w:jc w:val="both"/>
              <w:rPr>
                <w:rFonts w:ascii="Times New Roman" w:hAnsi="Times New Roman" w:cs="Times New Roman"/>
                <w:sz w:val="20"/>
                <w:szCs w:val="20"/>
              </w:rPr>
            </w:pPr>
            <w:r w:rsidRPr="00C10518">
              <w:rPr>
                <w:rFonts w:ascii="Times New Roman" w:hAnsi="Times New Roman" w:cs="Times New Roman"/>
                <w:sz w:val="20"/>
                <w:szCs w:val="20"/>
              </w:rPr>
              <w:t xml:space="preserve">În vederea alinierii cadrului normativ național la acquis-ul Uniunii Europene, Ministerul Finanțelor a elaborat și a asigurat adoptarea </w:t>
            </w:r>
            <w:r w:rsidRPr="00C10518">
              <w:rPr>
                <w:rFonts w:ascii="Times New Roman" w:hAnsi="Times New Roman" w:cs="Times New Roman"/>
                <w:sz w:val="20"/>
                <w:szCs w:val="20"/>
              </w:rPr>
              <w:lastRenderedPageBreak/>
              <w:t>Hotărârii Guvernului nr. 610/2025 cu privire la punerea în aplicare a formularelor standard pentru publicarea anunțurilor în domeniul achizițiilor publice/sectoriale, al apărării și securității, precum și al concesiunilor.</w:t>
            </w:r>
          </w:p>
          <w:p w:rsidR="00461396" w:rsidRPr="00C10518" w:rsidRDefault="00592E04" w:rsidP="00592E04">
            <w:pPr>
              <w:jc w:val="both"/>
              <w:rPr>
                <w:rFonts w:ascii="Times New Roman" w:hAnsi="Times New Roman" w:cs="Times New Roman"/>
                <w:sz w:val="20"/>
                <w:szCs w:val="20"/>
              </w:rPr>
            </w:pPr>
            <w:r w:rsidRPr="00C10518">
              <w:rPr>
                <w:rFonts w:ascii="Times New Roman" w:hAnsi="Times New Roman" w:cs="Times New Roman"/>
                <w:sz w:val="20"/>
                <w:szCs w:val="20"/>
              </w:rPr>
              <w:t xml:space="preserve">Prin actul normativ menționat a fost asigurată transpunerea Anexei IV „Informațiile care trebuie să figureze în anunțurile menționate la articolul 30” din Directiva 2009/81/CE, inclusiv prin </w:t>
            </w:r>
            <w:r w:rsidR="002173DA" w:rsidRPr="00C10518">
              <w:rPr>
                <w:rFonts w:ascii="Times New Roman" w:hAnsi="Times New Roman" w:cs="Times New Roman"/>
                <w:sz w:val="20"/>
                <w:szCs w:val="20"/>
              </w:rPr>
              <w:t xml:space="preserve">ulterioara </w:t>
            </w:r>
            <w:r w:rsidRPr="00C10518">
              <w:rPr>
                <w:rFonts w:ascii="Times New Roman" w:hAnsi="Times New Roman" w:cs="Times New Roman"/>
                <w:sz w:val="20"/>
                <w:szCs w:val="20"/>
              </w:rPr>
              <w:t>implementare în SI „RSAP” (e-Achiziții) a funcționalităților necesare pentru publicarea informațiilor aferente anunțului privind publicarea unui anunț de informare prealabilă pe profilul cumpărătorului, la nivelul profilului autorității/entității contractante care desfășoară procedura de achiziție.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39</w:t>
            </w:r>
          </w:p>
        </w:tc>
        <w:tc>
          <w:tcPr>
            <w:tcW w:w="4111" w:type="dxa"/>
            <w:shd w:val="clear" w:color="auto" w:fill="auto"/>
          </w:tcPr>
          <w:p w:rsidR="004C7663" w:rsidRPr="00C10518" w:rsidRDefault="004C7663" w:rsidP="004C7663">
            <w:pPr>
              <w:pStyle w:val="Corptext"/>
              <w:rPr>
                <w:bCs/>
                <w:sz w:val="20"/>
              </w:rPr>
            </w:pPr>
            <w:r w:rsidRPr="00C10518">
              <w:rPr>
                <w:bCs/>
                <w:sz w:val="20"/>
              </w:rPr>
              <w:t>Anexa V „Informații care trebuie să figureze în anunțurile de subcontractare menționate la articolul 52”a fost transpusă prin Anexa nr. 5 a proiectului național.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 fost transpus.</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40</w:t>
            </w:r>
          </w:p>
        </w:tc>
        <w:tc>
          <w:tcPr>
            <w:tcW w:w="4111" w:type="dxa"/>
            <w:shd w:val="clear" w:color="auto" w:fill="auto"/>
          </w:tcPr>
          <w:p w:rsidR="004C7663" w:rsidRPr="00C10518" w:rsidRDefault="004C7663" w:rsidP="004C7663">
            <w:pPr>
              <w:pStyle w:val="Corptext"/>
              <w:rPr>
                <w:bCs/>
                <w:sz w:val="20"/>
              </w:rPr>
            </w:pPr>
            <w:r w:rsidRPr="00C10518">
              <w:rPr>
                <w:bCs/>
                <w:sz w:val="20"/>
              </w:rPr>
              <w:t>Anexa VI „Caracteristici privind publicarea”, Anexa VII „Registre” și Anexa VIII „Cerințe privind dispozitivele de primire pe cale electronică a cererilor de participare și a ofertelor” din actul UE nu au fost transpuse prin proiectul național, iar autorul menționează despre transpunerea ulterioară a acestora prin regulamentul elaborat și aprobat de Guvern ținând cont de prevederile Legii nr. 124/2022 privind identificarea electronica și serviciile de încredere.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Cu privire la Anexa VI „Caracteristici privind publicarea”, transpunerea prevederii date va fi asigurată printr-un regulament elaborat și aprobat de Guvern.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Referitor la Anexa VII „Registre”, lipsa transpunerii acestei prevederi nu generează neconcordanțe cu Directiva, cât și, cu referire la Anexa VIII „Cerințe privind dispozitivele de primire pe cale electronică a cererilor de participare și a ofertelor”, transpunerea prevederii date va fi asigurată prin regulamentul elaborat și aprobat de Guvern ținând cont de prevederile Legii nr. 124/2022.</w:t>
            </w:r>
          </w:p>
          <w:p w:rsidR="00592E04" w:rsidRPr="00C10518" w:rsidRDefault="00592E04" w:rsidP="004C7663">
            <w:pPr>
              <w:jc w:val="both"/>
              <w:rPr>
                <w:rFonts w:ascii="Times New Roman" w:hAnsi="Times New Roman" w:cs="Times New Roman"/>
                <w:sz w:val="20"/>
                <w:szCs w:val="20"/>
              </w:rPr>
            </w:pPr>
          </w:p>
          <w:p w:rsidR="00592E04" w:rsidRPr="00C10518" w:rsidRDefault="00592E04" w:rsidP="00592E04">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592E04" w:rsidRPr="00C10518" w:rsidRDefault="00592E04" w:rsidP="00592E04">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F263BF" w:rsidRPr="00C10518" w:rsidRDefault="00F263BF" w:rsidP="00F263BF">
            <w:pPr>
              <w:pStyle w:val="Listparagraf"/>
              <w:tabs>
                <w:tab w:val="left" w:pos="-90"/>
                <w:tab w:val="left" w:pos="311"/>
                <w:tab w:val="left" w:pos="1260"/>
              </w:tabs>
              <w:ind w:left="39"/>
              <w:jc w:val="both"/>
              <w:rPr>
                <w:rFonts w:ascii="Times New Roman" w:hAnsi="Times New Roman" w:cs="Times New Roman"/>
                <w:sz w:val="20"/>
                <w:szCs w:val="20"/>
              </w:rPr>
            </w:pPr>
            <w:r w:rsidRPr="00C10518">
              <w:rPr>
                <w:rFonts w:ascii="Times New Roman" w:hAnsi="Times New Roman" w:cs="Times New Roman"/>
                <w:sz w:val="20"/>
                <w:szCs w:val="20"/>
              </w:rPr>
              <w:t>Anexa VI la Directivă a fost transpusă în legislația națională prin dispozițiile art. 30 „Anunțuri”, art. 32 „Forma și modalitățile de publicare a anunțurilor” și art. 52 „Praguri și norme privind publicitatea pentru subcontractele atribuite de ofertanții desemnați câștigători care nu au calitatea de autoritate/entitate contractantă”.</w:t>
            </w:r>
          </w:p>
          <w:p w:rsidR="00F263BF" w:rsidRPr="00C10518" w:rsidRDefault="00F263BF" w:rsidP="00F263BF">
            <w:pPr>
              <w:pStyle w:val="Listparagraf"/>
              <w:tabs>
                <w:tab w:val="left" w:pos="-90"/>
                <w:tab w:val="left" w:pos="311"/>
                <w:tab w:val="left" w:pos="1260"/>
              </w:tabs>
              <w:ind w:left="39"/>
              <w:jc w:val="both"/>
              <w:rPr>
                <w:rFonts w:ascii="Times New Roman" w:hAnsi="Times New Roman" w:cs="Times New Roman"/>
                <w:sz w:val="20"/>
                <w:szCs w:val="20"/>
              </w:rPr>
            </w:pPr>
            <w:r w:rsidRPr="00C10518">
              <w:rPr>
                <w:rFonts w:ascii="Times New Roman" w:hAnsi="Times New Roman" w:cs="Times New Roman"/>
                <w:sz w:val="20"/>
                <w:szCs w:val="20"/>
              </w:rPr>
              <w:t>În ceea ce privește Anexa VII, aceasta nu a necesitat măsuri distincte de transpunere, nepreluarea sa nefiind de natură să genereze neconcordanțe cu prevederile Directivei.</w:t>
            </w:r>
          </w:p>
          <w:p w:rsidR="00592E04" w:rsidRPr="00C10518" w:rsidRDefault="00F263BF" w:rsidP="00F263BF">
            <w:pPr>
              <w:pStyle w:val="Listparagraf"/>
              <w:tabs>
                <w:tab w:val="left" w:pos="-90"/>
                <w:tab w:val="left" w:pos="311"/>
                <w:tab w:val="left" w:pos="1260"/>
              </w:tabs>
              <w:ind w:left="39"/>
              <w:jc w:val="both"/>
              <w:rPr>
                <w:rFonts w:ascii="Times New Roman" w:hAnsi="Times New Roman" w:cs="Times New Roman"/>
                <w:sz w:val="20"/>
                <w:szCs w:val="20"/>
              </w:rPr>
            </w:pPr>
            <w:r w:rsidRPr="00C10518">
              <w:rPr>
                <w:rFonts w:ascii="Times New Roman" w:hAnsi="Times New Roman" w:cs="Times New Roman"/>
                <w:sz w:val="20"/>
                <w:szCs w:val="20"/>
              </w:rPr>
              <w:t>Anexa VIII a fost transpusă prin dispozițiile art. 36 „Regulile aplicabile comunicărilor”</w:t>
            </w:r>
            <w:r w:rsidR="00EE1CBB" w:rsidRPr="00C10518">
              <w:rPr>
                <w:rFonts w:ascii="Times New Roman" w:hAnsi="Times New Roman" w:cs="Times New Roman"/>
                <w:sz w:val="20"/>
                <w:szCs w:val="20"/>
              </w:rPr>
              <w:t xml:space="preserve"> alin. (5)</w:t>
            </w:r>
            <w:r w:rsidRPr="00C10518">
              <w:rPr>
                <w:rFonts w:ascii="Times New Roman" w:hAnsi="Times New Roman" w:cs="Times New Roman"/>
                <w:sz w:val="20"/>
                <w:szCs w:val="20"/>
              </w:rPr>
              <w:t>.</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41</w:t>
            </w:r>
          </w:p>
        </w:tc>
        <w:tc>
          <w:tcPr>
            <w:tcW w:w="4111" w:type="dxa"/>
            <w:shd w:val="clear" w:color="auto" w:fill="auto"/>
          </w:tcPr>
          <w:p w:rsidR="004C7663" w:rsidRPr="00C10518" w:rsidRDefault="004C7663" w:rsidP="004C7663">
            <w:pPr>
              <w:pStyle w:val="Corptext"/>
              <w:rPr>
                <w:bCs/>
                <w:sz w:val="20"/>
              </w:rPr>
            </w:pPr>
            <w:r w:rsidRPr="00C10518">
              <w:rPr>
                <w:bCs/>
                <w:sz w:val="20"/>
              </w:rPr>
              <w:t xml:space="preserve">Următoarele dispoziții ale actului UE nu constituie obiect al transpunerii, întrucât stabilesc obligații specifice pe seama statelor </w:t>
            </w:r>
            <w:r w:rsidRPr="00C10518">
              <w:rPr>
                <w:bCs/>
                <w:sz w:val="20"/>
              </w:rPr>
              <w:lastRenderedPageBreak/>
              <w:t>membre, precum și obligații pe seama instituțiilor UE care nu pot fi implementate de către Republica Moldova până la aderarea la UE: art. 65 „Obligații statistice”, art. 66 „Conținutul raportului statistic”, art. 66a „Exercitarea delegării de competențe”, art. 67 „Procedura comitetului”, art. 68 „Revizuirea pragurilor”, art. 69 „Modificări”, art. 70 „Modificarea Directivei 2004/17/CE”, art. 71 „Modificarea Directivei 2004/18/CE”, art. 72 „Transpunerea”, art.73 „Reexaminarea și raportarea”, art. 74 „Intrarea în vigoare”, art. 75 „Destinatari”.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bCs/>
                <w:sz w:val="20"/>
                <w:szCs w:val="20"/>
              </w:rPr>
              <w:t xml:space="preserve">Prevederile art. 65 „Obligații statistice” și art. 66 „Conținutul raportului statistic”, art. 74 „Intrarea în vigoare” au fost transpuse </w:t>
            </w:r>
            <w:r w:rsidRPr="00C10518">
              <w:rPr>
                <w:rFonts w:ascii="Times New Roman" w:hAnsi="Times New Roman" w:cs="Times New Roman"/>
                <w:bCs/>
                <w:sz w:val="20"/>
                <w:szCs w:val="20"/>
              </w:rPr>
              <w:lastRenderedPageBreak/>
              <w:t>în proiectul național, însă prevederile art. 67 „Procedura comitetului”, art. 68 „Revizuirea pragurilor”, art. 69 „Modificări”, art. 70 „Modificarea Directivei 2004/17/CE”, art. 71 „Modificarea Directivei 2004/18/CE”, art. 72 „Transpunerea”, art.73 „Reexaminarea și raportarea”, art. 75 „Destinatari” sunt</w:t>
            </w:r>
            <w:r w:rsidRPr="00C10518">
              <w:rPr>
                <w:rFonts w:ascii="Times New Roman" w:hAnsi="Times New Roman" w:cs="Times New Roman"/>
                <w:sz w:val="20"/>
                <w:szCs w:val="20"/>
              </w:rPr>
              <w:t xml:space="preserve"> </w:t>
            </w:r>
            <w:r w:rsidRPr="00C10518">
              <w:rPr>
                <w:rFonts w:ascii="Times New Roman" w:hAnsi="Times New Roman" w:cs="Times New Roman"/>
                <w:bCs/>
                <w:sz w:val="20"/>
                <w:szCs w:val="20"/>
              </w:rPr>
              <w:t>norme UE neaplicabile. Lipsa transpunerii acestor prevederi nu generează neconcordanțe cu Directiva.</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42</w:t>
            </w:r>
          </w:p>
        </w:tc>
        <w:tc>
          <w:tcPr>
            <w:tcW w:w="4111" w:type="dxa"/>
            <w:shd w:val="clear" w:color="auto" w:fill="auto"/>
          </w:tcPr>
          <w:p w:rsidR="004C7663" w:rsidRPr="00C10518" w:rsidRDefault="004C7663" w:rsidP="004C7663">
            <w:pPr>
              <w:pStyle w:val="Corptext"/>
              <w:rPr>
                <w:bCs/>
                <w:sz w:val="20"/>
              </w:rPr>
            </w:pPr>
            <w:r w:rsidRPr="00C10518">
              <w:rPr>
                <w:bCs/>
                <w:sz w:val="20"/>
              </w:rPr>
              <w:t>În rezultatul definitivării proiectului, clauza de armonizare urmează a fi revăzută și inclusă după preambulul și clauza de adoptare a proiectului de act normativ, în corespundere cu modelul nr. 1 din Anexa nr. 2 la Regulamentul privind armonizarea legislației Republicii Moldova cu legislația Uniunii Europene, aprobat prin HG 1171/2018.</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 în urma recomandărilor MJ.</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43</w:t>
            </w:r>
          </w:p>
        </w:tc>
        <w:tc>
          <w:tcPr>
            <w:tcW w:w="4111" w:type="dxa"/>
            <w:shd w:val="clear" w:color="auto" w:fill="auto"/>
          </w:tcPr>
          <w:p w:rsidR="004C7663" w:rsidRPr="00C10518" w:rsidRDefault="004C7663" w:rsidP="004C7663">
            <w:pPr>
              <w:pStyle w:val="Corptext"/>
              <w:rPr>
                <w:bCs/>
                <w:sz w:val="20"/>
              </w:rPr>
            </w:pPr>
            <w:r w:rsidRPr="00C10518">
              <w:rPr>
                <w:bCs/>
                <w:sz w:val="20"/>
              </w:rPr>
              <w:t>Tabelul de concordanță prezentat nu corespunde în totalitate cerințelor legale înaintate pentru acesta. În acest sens, se impune actualizarea lui în conformitate cu condițiile stabilite de Anexa 3 din HG nr.1171/2018 (Regulamentul privind armonizarea). Astfel, acesta va fi modificat după cum urmează:</w:t>
            </w:r>
          </w:p>
          <w:p w:rsidR="004C7663" w:rsidRPr="00C10518" w:rsidRDefault="004C7663" w:rsidP="004C7663">
            <w:pPr>
              <w:pStyle w:val="Corptext"/>
              <w:rPr>
                <w:bCs/>
                <w:sz w:val="20"/>
              </w:rPr>
            </w:pPr>
            <w:r w:rsidRPr="00C10518">
              <w:rPr>
                <w:bCs/>
                <w:sz w:val="20"/>
              </w:rPr>
              <w:t>˗ Compartimentul 1 va fi completat cu cea mai recentă modificare a actului care constituie obiect al transpunerii, prin precizarea tipului, numărului și a datei de adoptare a actului Uniunii Europene de modificare;</w:t>
            </w:r>
          </w:p>
          <w:p w:rsidR="004C7663" w:rsidRPr="00C10518" w:rsidRDefault="004C7663" w:rsidP="004C7663">
            <w:pPr>
              <w:pStyle w:val="Corptext"/>
              <w:rPr>
                <w:bCs/>
                <w:sz w:val="20"/>
              </w:rPr>
            </w:pPr>
            <w:r w:rsidRPr="00C10518">
              <w:rPr>
                <w:bCs/>
                <w:sz w:val="20"/>
              </w:rPr>
              <w:t>- În Compartimentul 3 al tabelului de concordanță gradul de compatibilitate va fi modificat din „Compatibil” cu „Parțial compatibil”;</w:t>
            </w:r>
          </w:p>
          <w:p w:rsidR="004C7663" w:rsidRPr="00C10518" w:rsidRDefault="004C7663" w:rsidP="004C7663">
            <w:pPr>
              <w:pStyle w:val="Corptext"/>
              <w:rPr>
                <w:bCs/>
                <w:sz w:val="20"/>
              </w:rPr>
            </w:pPr>
            <w:r w:rsidRPr="00C10518">
              <w:rPr>
                <w:bCs/>
                <w:sz w:val="20"/>
              </w:rPr>
              <w:t>- În Compartimentul 5, în cazul în care prevederile actului Uniunii Europene au constituit anterior obiect al transpunerii în legislația națională, se va menționa titlul actului normativ național, articolul, alineatul, paragraful etc. care au transpus dispozițiile actului Uniunii Europene;</w:t>
            </w:r>
          </w:p>
          <w:p w:rsidR="004C7663" w:rsidRPr="00C10518" w:rsidRDefault="004C7663" w:rsidP="004C7663">
            <w:pPr>
              <w:pStyle w:val="Corptext"/>
              <w:rPr>
                <w:bCs/>
                <w:sz w:val="20"/>
              </w:rPr>
            </w:pPr>
            <w:r w:rsidRPr="00C10518">
              <w:rPr>
                <w:bCs/>
                <w:sz w:val="20"/>
              </w:rPr>
              <w:lastRenderedPageBreak/>
              <w:t>- Compartimentul 7 al tabelului de concordanță va fi completat cu explicațiile și motivele care stau la baza netranspunerii sau transpunerii parțiale a prevederilor actului UE, fiind inserate trimiteri, mențiuni relevante ce menționează diferențele dintre prevederile actului UE și prevederile proiectului de act normativ național, în corespundere cu obiecțiile prezentate în prezenta Declarație.</w:t>
            </w:r>
          </w:p>
          <w:p w:rsidR="004C7663" w:rsidRPr="00C10518" w:rsidRDefault="004C7663" w:rsidP="004C7663">
            <w:pPr>
              <w:pStyle w:val="Corptext"/>
              <w:rPr>
                <w:bCs/>
                <w:sz w:val="20"/>
              </w:rPr>
            </w:pPr>
            <w:r w:rsidRPr="00C10518">
              <w:rPr>
                <w:bCs/>
                <w:sz w:val="20"/>
              </w:rPr>
              <w:t>Totodată, pentru analiza conformității și evaluarea corespunderii definițiilor prevăzute în art. 2 din Directiva 2014/24/UE și art. 2 Directiva 2014/25/UE, în scopul aplicării uniforme a noțiunilor utilizate, definițiile corespondente naționale urmează a fi incluse în tabelul de concordanță, în corespundere cu cerințele enumerate mai sus.</w:t>
            </w:r>
          </w:p>
          <w:p w:rsidR="004C7663" w:rsidRPr="00C10518" w:rsidRDefault="004C7663" w:rsidP="004C7663">
            <w:pPr>
              <w:pStyle w:val="Corptext"/>
              <w:rPr>
                <w:bCs/>
                <w:sz w:val="20"/>
              </w:rPr>
            </w:pPr>
            <w:r w:rsidRPr="00C10518">
              <w:rPr>
                <w:bCs/>
                <w:sz w:val="20"/>
              </w:rPr>
              <w:t>De asemenea remarcăm că, în conformitate cu pct. 53 din Regulament, tabelul de concordanță actualizat urmează a fi prezentat în format electronic, în termen de 20 zile de la aprobarea proiectului de act normativ Cancelariei de Stat (Centrului de armonizare a legislației) pentru a fi inclus în baza de date a legislației naționale armonizate.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EE1CBB">
        <w:trPr>
          <w:trHeight w:val="368"/>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lastRenderedPageBreak/>
              <w:t>Ministerul Mediului</w:t>
            </w:r>
          </w:p>
        </w:tc>
        <w:tc>
          <w:tcPr>
            <w:tcW w:w="567"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lang w:val="it-IT"/>
              </w:rPr>
            </w:pPr>
          </w:p>
        </w:tc>
        <w:tc>
          <w:tcPr>
            <w:tcW w:w="5528" w:type="dxa"/>
            <w:shd w:val="clear" w:color="auto" w:fill="auto"/>
          </w:tcPr>
          <w:p w:rsidR="004C7663" w:rsidRPr="00C10518" w:rsidRDefault="004C7663" w:rsidP="004C7663">
            <w:pPr>
              <w:ind w:right="170"/>
              <w:jc w:val="both"/>
              <w:rPr>
                <w:rFonts w:ascii="Times New Roman" w:hAnsi="Times New Roman" w:cs="Times New Roman"/>
                <w:b/>
                <w:sz w:val="20"/>
                <w:szCs w:val="20"/>
                <w:lang w:val="it-IT"/>
              </w:rPr>
            </w:pPr>
          </w:p>
        </w:tc>
      </w:tr>
      <w:tr w:rsidR="00C10518" w:rsidRPr="00C10518" w:rsidTr="004C7663">
        <w:trPr>
          <w:trHeight w:val="418"/>
        </w:trPr>
        <w:tc>
          <w:tcPr>
            <w:tcW w:w="2972" w:type="dxa"/>
          </w:tcPr>
          <w:p w:rsidR="004C7663" w:rsidRPr="00C10518" w:rsidRDefault="004C7663" w:rsidP="004C7663">
            <w:pPr>
              <w:tabs>
                <w:tab w:val="left" w:pos="8505"/>
              </w:tabs>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jc w:val="both"/>
              <w:rPr>
                <w:rFonts w:ascii="Times New Roman" w:hAnsi="Times New Roman" w:cs="Times New Roman"/>
                <w:bCs/>
                <w:sz w:val="20"/>
                <w:szCs w:val="20"/>
                <w:lang w:val="it-IT"/>
              </w:rPr>
            </w:pPr>
            <w:r w:rsidRPr="00C10518">
              <w:rPr>
                <w:rFonts w:ascii="Times New Roman" w:hAnsi="Times New Roman" w:cs="Times New Roman"/>
                <w:bCs/>
                <w:sz w:val="20"/>
                <w:szCs w:val="20"/>
                <w:lang w:val="it-IT"/>
              </w:rPr>
              <w:t>Lipsă de obiecții și propuneri</w:t>
            </w: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b/>
                <w:sz w:val="20"/>
                <w:szCs w:val="20"/>
                <w:lang w:val="ro-RO"/>
              </w:rPr>
            </w:pPr>
          </w:p>
        </w:tc>
      </w:tr>
      <w:tr w:rsidR="00C10518" w:rsidRPr="00C10518" w:rsidTr="004C7663">
        <w:trPr>
          <w:trHeight w:val="315"/>
        </w:trPr>
        <w:tc>
          <w:tcPr>
            <w:tcW w:w="2972" w:type="dxa"/>
            <w:shd w:val="clear" w:color="auto" w:fill="auto"/>
          </w:tcPr>
          <w:p w:rsidR="004C7663" w:rsidRPr="00C10518" w:rsidRDefault="004C7663" w:rsidP="004C7663">
            <w:pPr>
              <w:jc w:val="center"/>
              <w:rPr>
                <w:rFonts w:ascii="Times New Roman" w:hAnsi="Times New Roman" w:cs="Times New Roman"/>
                <w:b/>
                <w:sz w:val="20"/>
                <w:szCs w:val="20"/>
              </w:rPr>
            </w:pPr>
            <w:r w:rsidRPr="00C10518">
              <w:rPr>
                <w:rFonts w:ascii="Times New Roman" w:hAnsi="Times New Roman" w:cs="Times New Roman"/>
                <w:b/>
                <w:sz w:val="20"/>
                <w:szCs w:val="20"/>
              </w:rPr>
              <w:t>Ministerul Apărării</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Cs/>
                <w:sz w:val="20"/>
                <w:szCs w:val="20"/>
              </w:rPr>
            </w:pP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sz w:val="20"/>
                <w:szCs w:val="20"/>
                <w:lang w:val="ro-RO"/>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1) La art. 8 alin. (1) lit. a) se propune de a înlocui cifrele ”2 300 000” cu cifrele ”8 000 000”;</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2) La art. 8 alin. (1) lit. b) se propune de a înlocui cifrele ”9 000 000” cu cifrele ”99 000 000”;</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3)   La art. 9 alin. (5) lit. a) se propune de a înlocui cifrele ”2 000 000” cu cifrele ”20 000 000”;</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4)  La art. 9 alin. (6) lit. a) se propune de a înlocui cifrele ”800 000” cu cifrele ”1 600 000”.</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Propunerile derivă din prevederile Directivei 2009/81/CE, reducerea cărora este o prevedere națională stabilită arbitrar și nu ține cont de particularitățile pieței internaționale din domeniul apărării, căruia se adresează această </w:t>
            </w:r>
            <w:r w:rsidRPr="00C10518">
              <w:rPr>
                <w:rFonts w:ascii="Times New Roman" w:hAnsi="Times New Roman" w:cs="Times New Roman"/>
                <w:sz w:val="20"/>
                <w:szCs w:val="20"/>
              </w:rPr>
              <w:lastRenderedPageBreak/>
              <w:t xml:space="preserve">Directivă și nu realităților economice și bugetelor aprobate pentru unele autorități publice centrale, pentru care se planifică asigurarea centralizată cu echipamente militare.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Recitalul (25) din Directivă menționează necesitatea ajustării pragurilor valorice stabilite în directivele 2009/81/CE la cea din Directiva 2004/17/CE în mărimea de 414000 Euro sau la 8 000 000, ceea ce este în concordanță cu propunerea Ministerul Apărării. Recitalul (25) nici într-un caz nu sugerează necesitatea ajustării pragurilor valorice la pragurile naționale, reduse arbitrar în procesul de transpunere a altor directive.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Reducerea nejustificată a pragurilor valorice contravine principiului proporționalității, stabilit în art. 4 lit. c) din proiectul de lege, care presupune corelarea efortului administrativ de inițiere a procedurii, participarea la licitație a operatorilor economici, atribuire și eventual ulterioara contestare a contractului cu cantitatea de bunuri/servicii posibil de achiziționat, ținând cont de prețurile pieței în sectorul de apărare. Nerespectarea principiului de proporționalitate în acest caz va duce la:</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w:t>
            </w:r>
            <w:r w:rsidRPr="00C10518">
              <w:rPr>
                <w:rFonts w:ascii="Times New Roman" w:hAnsi="Times New Roman" w:cs="Times New Roman"/>
                <w:sz w:val="20"/>
                <w:szCs w:val="20"/>
              </w:rPr>
              <w:tab/>
              <w:t xml:space="preserve"> creșterea cheltuielilor administrative ale autorității contractante;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w:t>
            </w:r>
            <w:r w:rsidRPr="00C10518">
              <w:rPr>
                <w:rFonts w:ascii="Times New Roman" w:hAnsi="Times New Roman" w:cs="Times New Roman"/>
                <w:sz w:val="20"/>
                <w:szCs w:val="20"/>
              </w:rPr>
              <w:tab/>
              <w:t>descurajarea potențialilor ofertanți de a participa la licitații pentru loturi mici, și implicit incapacitatea Armatei Naționale de a asigura achiziționarea unor echipamente și muniții particulare/specifice, necesare în cantități relativ mici, dar cu impact mare asupra realizării misiunii.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În cadrul reuniunii de screening explicativ al GL </w:t>
            </w:r>
            <w:proofErr w:type="gramStart"/>
            <w:r w:rsidRPr="00C10518">
              <w:rPr>
                <w:rFonts w:ascii="Times New Roman" w:hAnsi="Times New Roman" w:cs="Times New Roman"/>
                <w:sz w:val="20"/>
                <w:szCs w:val="20"/>
              </w:rPr>
              <w:t>5 ”Achiziții</w:t>
            </w:r>
            <w:proofErr w:type="gramEnd"/>
            <w:r w:rsidRPr="00C10518">
              <w:rPr>
                <w:rFonts w:ascii="Times New Roman" w:hAnsi="Times New Roman" w:cs="Times New Roman"/>
                <w:sz w:val="20"/>
                <w:szCs w:val="20"/>
              </w:rPr>
              <w:t xml:space="preserve"> publice”din 21 martie 2024 care a avut loc la Bruxelles, reprezentanții DG GROW, au menționat referitor la oportunitatea reducerii pragurilor valorice reieșind din condițiile economice naționale că eventuala revizuire a pragurilor valorice trebuie corelată cu principiul proporționalității. Autorul proiectului reducând fără vreo analiză pragurile valorice nu a ținut </w:t>
            </w:r>
            <w:r w:rsidRPr="00C10518">
              <w:rPr>
                <w:rFonts w:ascii="Times New Roman" w:hAnsi="Times New Roman" w:cs="Times New Roman"/>
                <w:sz w:val="20"/>
                <w:szCs w:val="20"/>
              </w:rPr>
              <w:lastRenderedPageBreak/>
              <w:t xml:space="preserve">cont în acest sens de recomandările primite de reprezentanții DG GROW în cadrul reuniunii.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Analiza statistica achizițiilor de echipamente militare urmează să fie prezentată suplimentar restricționat.    </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deoarece, valoarea pragurilor au fost aduse în concordanță cu cele prevăzute în proiectul de modificare a Legii nr. 131/2015 și a Legii nr. 74/2020 pentru a asigura coerența și uniformitatea similar pragurilor din directivele UE pe domeniul achizițiilor publice. </w:t>
            </w:r>
          </w:p>
          <w:p w:rsidR="004C7663" w:rsidRPr="00C10518" w:rsidRDefault="004C7663" w:rsidP="004C7663">
            <w:pPr>
              <w:pStyle w:val="Corptext"/>
              <w:rPr>
                <w:bCs/>
                <w:i/>
                <w:sz w:val="20"/>
              </w:rPr>
            </w:pPr>
            <w:r w:rsidRPr="00C10518">
              <w:rPr>
                <w:sz w:val="20"/>
              </w:rPr>
              <w:t>Ținem să evidențiem că, obligațiile</w:t>
            </w:r>
            <w:r w:rsidRPr="00C10518">
              <w:rPr>
                <w:bCs/>
                <w:sz w:val="20"/>
              </w:rPr>
              <w:t xml:space="preserve"> privind transparența și concurența aplicabile contractelor care se află sub pragurile de aplicare a Directivei ar trebui să fie stabilite de state în conformitate cu principiile menționate în Tratat și ținând seama, în special, de situațiile în care există un interes transfrontalier.</w:t>
            </w:r>
            <w:r w:rsidRPr="00C10518">
              <w:rPr>
                <w:bCs/>
                <w:i/>
                <w:sz w:val="20"/>
              </w:rPr>
              <w:t xml:space="preserve"> </w:t>
            </w:r>
            <w:r w:rsidRPr="00C10518">
              <w:rPr>
                <w:bCs/>
                <w:sz w:val="20"/>
              </w:rPr>
              <w:t>Responsabilitatea de a stabili modalitățile cele mai adecvate pentru a atribui astfel de contracte aparține statelor.</w:t>
            </w:r>
          </w:p>
          <w:p w:rsidR="004C7663" w:rsidRPr="00C10518" w:rsidRDefault="004C7663" w:rsidP="004C7663">
            <w:pPr>
              <w:pStyle w:val="Corptext"/>
              <w:rPr>
                <w:bCs/>
                <w:sz w:val="20"/>
              </w:rPr>
            </w:pPr>
            <w:r w:rsidRPr="00C10518">
              <w:rPr>
                <w:bCs/>
                <w:sz w:val="20"/>
              </w:rPr>
              <w:lastRenderedPageBreak/>
              <w:t>Totodată, Recitalul (25) al Directivei menționează că numărul mare de praguri de aplicare a prevederilor coordonate reprezintă o sursă de complicații pentru autoritățile/entitățile contractante.</w:t>
            </w:r>
            <w:r w:rsidRPr="00C10518">
              <w:rPr>
                <w:bCs/>
                <w:i/>
                <w:sz w:val="20"/>
              </w:rPr>
              <w:t xml:space="preserve"> </w:t>
            </w:r>
            <w:r w:rsidRPr="00C10518">
              <w:rPr>
                <w:bCs/>
                <w:sz w:val="20"/>
              </w:rPr>
              <w:t xml:space="preserve">Având în vedere valoarea medie a contractelor din domeniile apărării și securității, este oportun ca pragurile de aplicare a Directivei 2009/81/CE să fie aliniate la pragurile pe care entitățile contractante trebuie să le respecte în aplicarea Directivei 2014/25/UE. </w:t>
            </w:r>
          </w:p>
          <w:p w:rsidR="004C7663" w:rsidRPr="00C10518" w:rsidRDefault="004C7663" w:rsidP="004C7663">
            <w:pPr>
              <w:jc w:val="both"/>
              <w:rPr>
                <w:rFonts w:ascii="Times New Roman" w:hAnsi="Times New Roman" w:cs="Times New Roman"/>
                <w:bCs/>
                <w:sz w:val="20"/>
                <w:szCs w:val="20"/>
              </w:rPr>
            </w:pPr>
            <w:r w:rsidRPr="00C10518">
              <w:rPr>
                <w:rFonts w:ascii="Times New Roman" w:hAnsi="Times New Roman" w:cs="Times New Roman"/>
                <w:bCs/>
                <w:sz w:val="20"/>
                <w:szCs w:val="20"/>
              </w:rPr>
              <w:t>Astfel, cu referire la prevederile naționale incluse în alin. (1) și (2) art. 8 privind reglementarea achizițiilor ce nu depășesc pragurile reglementate în alin. (1) art. 8 al proiectului național, este imperativ stabilirea acestora prin prisma Legii nr. 131/2015 și a propunerilor de armonizare cu dispozițiile</w:t>
            </w:r>
            <w:r w:rsidRPr="00C10518">
              <w:rPr>
                <w:rFonts w:ascii="Times New Roman" w:hAnsi="Times New Roman" w:cs="Times New Roman"/>
                <w:bCs/>
                <w:i/>
                <w:sz w:val="20"/>
                <w:szCs w:val="20"/>
              </w:rPr>
              <w:t xml:space="preserve"> </w:t>
            </w:r>
            <w:r w:rsidRPr="00C10518">
              <w:rPr>
                <w:rFonts w:ascii="Times New Roman" w:hAnsi="Times New Roman" w:cs="Times New Roman"/>
                <w:bCs/>
                <w:sz w:val="20"/>
                <w:szCs w:val="20"/>
              </w:rPr>
              <w:t>Directivei 2014/24/UE (Subsecțiunea 2 „Achiziții publice care implică aspecte de apărare sau securitate”, art. 15-17) menționate supra, precum și a articolelor corespondente naționale privind achizițiile care includ aspecte de apărare și securitate și pragurile stabilite prin Legea nr. 74/2020.</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Totodată, menționăm că a fost modificat art. 10 care va permite alăturarea la achizițiile centralizate desfășurate de către Agenția Europeană de Apărare, ceea ce va ajuta Ministerul Apărării în achiziționarea bunurilor/serviciilor/lucrărilor strategice.</w:t>
            </w:r>
          </w:p>
          <w:p w:rsidR="00AA769E" w:rsidRPr="00C10518" w:rsidRDefault="00AA769E" w:rsidP="004C7663">
            <w:pPr>
              <w:jc w:val="both"/>
              <w:rPr>
                <w:rFonts w:ascii="Times New Roman" w:hAnsi="Times New Roman" w:cs="Times New Roman"/>
                <w:sz w:val="20"/>
                <w:szCs w:val="20"/>
              </w:rPr>
            </w:pP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AA769E" w:rsidRPr="00C10518" w:rsidRDefault="00AA769E" w:rsidP="00AA769E">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AA769E" w:rsidRPr="00C10518" w:rsidRDefault="00AA769E" w:rsidP="00AA769E">
            <w:pPr>
              <w:jc w:val="both"/>
              <w:rPr>
                <w:rFonts w:ascii="Times New Roman" w:hAnsi="Times New Roman" w:cs="Times New Roman"/>
                <w:sz w:val="20"/>
                <w:szCs w:val="20"/>
              </w:rPr>
            </w:pPr>
            <w:r w:rsidRPr="00C10518">
              <w:rPr>
                <w:rFonts w:ascii="Times New Roman" w:hAnsi="Times New Roman" w:cs="Times New Roman"/>
                <w:sz w:val="20"/>
                <w:szCs w:val="20"/>
              </w:rPr>
              <w:t xml:space="preserve">Pragurile  de aplicare a legii, în  conformitate cu opinia UE din data de 24.01.2025, au fost revizuite și aliniate la pragurile prevăzute de Directiva 2009/81/CE  </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Art. 10 alin (3) se propune de a expune în următoare redacție: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”3) Mecanismul de desfășurare a achizițiilor centralizate naționale, prin intermediul organismelor publice europene sau în parteneriate cu alte state pentru produse militare este reglementat de Guvern.”</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Argumentare: Conform indicațiilor Prim-ministrului Republicii Moldova, este în proces de implementare viziunea privind efectuarea achizițiilor centralizate pentru produse militare prin intermediul Agenției Asigurare Resurse Materiale și Administrare patrimoniu al MA. Formularea propusă de autor este limitată doar la desemnarea unei autorități centrale de achiziții naționale, fără a descrie modalitatea de desfășurarea a acestora, subiectul care perfect încadrat în </w:t>
            </w:r>
            <w:proofErr w:type="gramStart"/>
            <w:r w:rsidRPr="00C10518">
              <w:rPr>
                <w:rFonts w:ascii="Times New Roman" w:hAnsi="Times New Roman" w:cs="Times New Roman"/>
                <w:sz w:val="20"/>
                <w:szCs w:val="20"/>
              </w:rPr>
              <w:t>capitolul ”Activități</w:t>
            </w:r>
            <w:proofErr w:type="gramEnd"/>
            <w:r w:rsidRPr="00C10518">
              <w:rPr>
                <w:rFonts w:ascii="Times New Roman" w:hAnsi="Times New Roman" w:cs="Times New Roman"/>
                <w:sz w:val="20"/>
                <w:szCs w:val="20"/>
              </w:rPr>
              <w:t xml:space="preserve"> de achiziții centralizate” din proiect de Lege al cărei domeniul de aplicare se referă la contractele de achiziții în domeniul apărării.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Totodată la moment este un vid legislativ care trebuie să fie reglementat în modalitatea de participare a Republicii Moldova la proiecte de achiziții centralizate la nivelul Uniunii Europene. Propunerea este în concordanță cu avizul CAL, care a sugerat necesitatea examinării posibilității cooperării Republicii Moldova de ex. cu Agenția Europeană de Apărare, și respectiv reglementării acesteia.</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 xml:space="preserve">Se acceptă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Art. 10 a fost completat cu alin. (4) cu următorul conținut: „</w:t>
            </w:r>
            <w:r w:rsidRPr="00C10518">
              <w:rPr>
                <w:rFonts w:ascii="Times New Roman" w:eastAsia="Calibri" w:hAnsi="Times New Roman" w:cs="Times New Roman"/>
                <w:sz w:val="20"/>
                <w:szCs w:val="20"/>
              </w:rPr>
              <w:t>Autoritatea/Entitatea contractantă cu permisiunea Guvernului are dreptul să se alăture la achizițiile centralizate desfășurate de către Agenția Europeană de Apărare, în acest caz, achizițiile centralizate se desfășoară conform regulilor Agenției Europene de Apărare.”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Art. 25 se propune să fie completat cu 2 alineate noi, după cum urmează:</w:t>
            </w:r>
          </w:p>
          <w:p w:rsidR="004C7663" w:rsidRPr="00C10518" w:rsidRDefault="004C7663" w:rsidP="004C7663">
            <w:pPr>
              <w:jc w:val="both"/>
              <w:rPr>
                <w:rFonts w:ascii="Times New Roman" w:hAnsi="Times New Roman" w:cs="Times New Roman"/>
                <w:sz w:val="20"/>
                <w:szCs w:val="20"/>
              </w:rPr>
            </w:pPr>
            <w:proofErr w:type="gramStart"/>
            <w:r w:rsidRPr="00C10518">
              <w:rPr>
                <w:rFonts w:ascii="Times New Roman" w:hAnsi="Times New Roman" w:cs="Times New Roman"/>
                <w:sz w:val="20"/>
                <w:szCs w:val="20"/>
              </w:rPr>
              <w:t>”(</w:t>
            </w:r>
            <w:proofErr w:type="gramEnd"/>
            <w:r w:rsidRPr="00C10518">
              <w:rPr>
                <w:rFonts w:ascii="Times New Roman" w:hAnsi="Times New Roman" w:cs="Times New Roman"/>
                <w:sz w:val="20"/>
                <w:szCs w:val="20"/>
              </w:rPr>
              <w:t xml:space="preserve">7) Autoritatea/Entitatea contractantă are dreptul de a atribui contracte multianuale pe o perioada de până la trei ani bugetari, pentru achizițiile de bunuri, lucrări și servicii a căror perioadă de realizare este mai mare de un an, în limitele cheltuielilor prognozate în acest scop pe </w:t>
            </w:r>
            <w:r w:rsidRPr="00C10518">
              <w:rPr>
                <w:rFonts w:ascii="Times New Roman" w:hAnsi="Times New Roman" w:cs="Times New Roman"/>
                <w:sz w:val="20"/>
                <w:szCs w:val="20"/>
              </w:rPr>
              <w:lastRenderedPageBreak/>
              <w:t xml:space="preserve">anii respectivi. Achizițiile a căror perioada de realizare este mai mare de 3 ani, pot fi atribuite după ce se aprobă de Parlament.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(8) Autoritatea/entitatea contractantă poate face plăți anticipate, în cazul în care ofertantul impune astfel de condiții pentru semnarea contractului.”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Argumentare: La moment achizițiile multianuale sunt reglementate de prevedere similare din Legea 181/2014, dar este limitată de cadrul bugetar pe termen mediu de 3 ani. Pentru achizițiile mai mari de 3 ani, propunerea este bazată pe practica similară din SUA și Romania. Programele strategice de înzestrare (majore) de regulă se aprobă prin decizie de Parlament/Congres. Perioada de 3 ani este prevăzută în CBTM, iar ceea ce e mai mult de 3 ani necesită un angajament și aprobare a forului superior. De regulă divizarea pe mai mulți ani se face din cauza restricțiilor bugetare, în așa fel sumele achitate într-un an sunt mai mici, ceea ce face ca un plan de înzestrare să fie mai fezabil și corelat cu posibilitățile bugetar-fiscale ale statului.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Plățile anticipate astăzi se operează în baza unor excepții prevăzute în Legea 181/2014. Se propune ca toate reglementările specifice achizițiilor în domeniul apărării să fie expres prevăzute într-un singur act legislativ decât să continue practici bazate pe excepții de la reguli generale, dispersate în mai multe acte legislative și normative.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Propunerea nu afectează gradul de compatibilitate a proiectului de Lege cu acquisul european.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Propunerile date nu țin de domeniul de aplicare a proiectului dat, ci de domeniul finanţelor publice şi responsabilităţii bugetar-fiscale, respectiv, aceste propuneri urmează de înaintat direcțiilor competente de domeniul dat. Atenționăm că, în conformitate cu prevederile art. 1, alin. (2) al Legii nr. 181/2014 „ Actele legislative ce reglementează domenii specifice şi/sau activitatea unor autorităţi/instituţii bugetare, nu vor cuprinde prevederi ce ţin de </w:t>
            </w:r>
            <w:r w:rsidRPr="00C10518">
              <w:rPr>
                <w:rFonts w:ascii="Times New Roman" w:hAnsi="Times New Roman" w:cs="Times New Roman"/>
                <w:sz w:val="20"/>
                <w:szCs w:val="20"/>
              </w:rPr>
              <w:lastRenderedPageBreak/>
              <w:t>elaborarea, aprobarea şi executarea bugetelor, precum şi alte proceduri aferente procesului bugetar, acestea fiind obiectul exclusiv al prezentei legi”.</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Art. 49 alin (5) se propune să fie exclus. Obligația de raportare este o prevedere națională, care nu se regăsește nici în Directivă nici în alte acte legislative similare (Legea 131/2015 sau 74/2020) și nici nu este justificată, ținînd cont că ofertanții în majoritatea cazurilor vor fi agenții economici din alte state, asupra cărora nici AAP și nici Consiliul Concurenței nu au autoritate.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Menționăm că, art. 49 alin. (5) al proiectului transpune prevederile art. 49 alin. (3) al Directivei „</w:t>
            </w:r>
            <w:r w:rsidRPr="00C10518">
              <w:rPr>
                <w:rFonts w:ascii="Times New Roman" w:hAnsi="Times New Roman" w:cs="Times New Roman"/>
                <w:i/>
                <w:sz w:val="20"/>
                <w:szCs w:val="20"/>
              </w:rPr>
              <w:t>Autoritatea/entitatea contractantă care respinge o ofertă în aceste condiții informează Comisia cu privire la aceasta.</w:t>
            </w:r>
            <w:r w:rsidRPr="00C10518">
              <w:rPr>
                <w:rFonts w:ascii="Times New Roman" w:hAnsi="Times New Roman" w:cs="Times New Roman"/>
                <w:sz w:val="20"/>
                <w:szCs w:val="20"/>
              </w:rPr>
              <w:t xml:space="preserve">”, astfel, din motivul că nu suntem țară membră UE nu putem informa Comisia, însă informăm autoritatea națională care are această competență, Consiliul Concurenței și pentru monitorizare și statistică Agenția Achiziții Publice care trebuie sa dețină informația respectivă. </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5</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Art. 57 se propune de expus în următoarea redacție:</w:t>
            </w:r>
          </w:p>
          <w:p w:rsidR="004C7663" w:rsidRPr="00C10518" w:rsidRDefault="004C7663" w:rsidP="004C7663">
            <w:pPr>
              <w:jc w:val="both"/>
              <w:rPr>
                <w:rFonts w:ascii="Times New Roman" w:hAnsi="Times New Roman" w:cs="Times New Roman"/>
                <w:sz w:val="20"/>
                <w:szCs w:val="20"/>
              </w:rPr>
            </w:pPr>
            <w:proofErr w:type="gramStart"/>
            <w:r w:rsidRPr="00C10518">
              <w:rPr>
                <w:rFonts w:ascii="Times New Roman" w:hAnsi="Times New Roman" w:cs="Times New Roman"/>
                <w:sz w:val="20"/>
                <w:szCs w:val="20"/>
              </w:rPr>
              <w:t>”În</w:t>
            </w:r>
            <w:proofErr w:type="gramEnd"/>
            <w:r w:rsidRPr="00C10518">
              <w:rPr>
                <w:rFonts w:ascii="Times New Roman" w:hAnsi="Times New Roman" w:cs="Times New Roman"/>
                <w:sz w:val="20"/>
                <w:szCs w:val="20"/>
              </w:rPr>
              <w:t xml:space="preserve"> vederea evaluării implementării prezentei legi, Autoritatea contractantă informează Comandantul Suprem al Forțelor Armate, cel târziu până la data de 31 octombrie a fiecărui an, printr-un raport statistic elaborat în conformitate cu prevederile art. 58 și care are ca obiect contractele de furnizare de bunuri, prestare de servicii și lucrări atribuite de autoritățile/entitățile contractante în cursul anului precedent.”</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Argumentare: Aceasta va permite o comunicare și o informare dintre autoritatea contractanta și Comandantul suprem al Forțelor Armate despre capabilitățile achiziționate pe parcursul anului cît și eventual impactul acestuia asupra capacității de apărare a țării. În virtutea statutului său, Comandantul suprem al FA are dreptul de a cunoaște despre capabilitățile existente în domeniul de apărare, condus de acesta.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Odată cu aderarea Republicii Moldova la Uniunea Europeană prevederea aceasta va trebui să fie revizuită.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Prevederile art. 57 transpune art. 65 din Directiva 2009/81/CE, respectiv, menționăm că din momentul aderării Republicii Moldova la Uniunea Europeană se va aplica mecanismul de raportare la Comisie.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Ținând cont de faptul că Comisia Europeană are atribuții în propunerea de norme și politici europene, monitorizarea implementării acestora și gestionarea bugetului UE, și având în vedere că, conform articolului 66 din Constituția Republicii Moldova, Parlamentul are responsabilitatea de a adopta legi și hotărâri, de a aproba doctrina militară a statului, de a exercita control parlamentar asupra puterii executive în limitele prevăzute de Constituție și de a aproba și controla bugetul de stat, Ministerul Finanțelor reconfirmă necesitatea păstrării normei în forma propusă de autor.</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rPr>
              <w:t>Ministerul Justiției</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Cs/>
                <w:sz w:val="20"/>
                <w:szCs w:val="20"/>
                <w:lang w:val="it-IT"/>
              </w:rPr>
            </w:pP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b/>
                <w:sz w:val="20"/>
                <w:szCs w:val="20"/>
                <w:lang w:val="ro-RO"/>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La art. 1, din definirea noțiunii „informații clasificate” se vor exclude cuvintele „și actelor administrative în vigoare la nivel național”, în contextul în care legislaţia Republicii Moldova este constituită din actele normative prevăzute la art. 6 din Legea nr. 100/2017 cu privire la actele normative. Totodată, potrivit art. 17 din Codul administrativ nr. 116/2018, actul administrativ normativ este actul juridic subordonat legii adoptat, aprobat sau emis de o autoritate publică în baza prevederilor constituționale sau legale, care nu se supune controlului constituționalității și stabilește reguli de aplicare obligatorii pentru un număr nedeterminat de situații identice. Actul administrativ individual nu reprezintă un act normativ în sensul art. 2 din Legea nr. 100/2017 (art. 10 din Codul administrativ). În acest </w:t>
            </w:r>
            <w:r w:rsidRPr="00C10518">
              <w:rPr>
                <w:rFonts w:ascii="Times New Roman" w:hAnsi="Times New Roman" w:cs="Times New Roman"/>
                <w:sz w:val="20"/>
                <w:szCs w:val="20"/>
              </w:rPr>
              <w:lastRenderedPageBreak/>
              <w:t>context, urmează a se vedea și art. 22 alin. (2) lit. a). Aferent cuvintelor „în vigoare”, regula generală este că referințele la actele normative reprezintă referințe la legislația în vigoare și doar pentru excepțiile de la regulă se va specifica dacă este vorba despre legislația aplicabilă la un anumit moment.</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lang w:val="ro-RO"/>
              </w:rPr>
              <w:t xml:space="preserve">Alin. (2) al art. 3 creează confuzii privind aplicabilitatea proiectului legii în cazul atribuirii unui contract cu obiectul achizițiilor de bunuri, lucrări sau servicii, care, în parte, se încadrează sub incidența prezentei legi, în timp ce cealaltă parte a contractului nu intră sub incidența respectivei legi, a Legii nr. 131/2015 sau, după caz, a Legii nr. 74/2020. </w:t>
            </w:r>
            <w:r w:rsidRPr="00C10518">
              <w:rPr>
                <w:rFonts w:ascii="Times New Roman" w:hAnsi="Times New Roman" w:cs="Times New Roman"/>
                <w:sz w:val="20"/>
                <w:szCs w:val="20"/>
              </w:rPr>
              <w:t>Or, alin. (3) al art. 3 din proiectul legii stipulează expres că atribuirea contractului prevăzut la alin. (1) sau (2) nu poate fi luată în scopul evitării aplicării prezentei legi sau, după caz, a Legii nr. 131/2015 sau a Legii nr. 74/2020.</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Art. 3 al proiectului transpune prevederile art. 3 al Directivei cu descrierea cazurilor de achiziții cu regim diferit juridic. Alin. (1) și (2) descriu situații diferite, însă alin. (3) specifică interzicerea atribuirii unui singur contract pentru evitarea aplicării legilor in domeniul achizițiilor publice.</w:t>
            </w:r>
          </w:p>
          <w:p w:rsidR="00CB6B84" w:rsidRPr="00C10518" w:rsidRDefault="00CB6B84" w:rsidP="004C7663">
            <w:pPr>
              <w:jc w:val="both"/>
              <w:rPr>
                <w:rFonts w:ascii="Times New Roman" w:hAnsi="Times New Roman" w:cs="Times New Roman"/>
                <w:sz w:val="20"/>
                <w:szCs w:val="20"/>
              </w:rPr>
            </w:pPr>
          </w:p>
          <w:p w:rsidR="00CB6B84" w:rsidRPr="00C10518" w:rsidRDefault="00CB6B84" w:rsidP="00CB6B84">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CB6B84" w:rsidRPr="00C10518" w:rsidRDefault="00CB6B84" w:rsidP="00CB6B84">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CB6B84" w:rsidRPr="00C10518" w:rsidRDefault="00CB6B84" w:rsidP="00CB6B84">
            <w:pPr>
              <w:ind w:left="28" w:right="170" w:firstLine="11"/>
              <w:jc w:val="both"/>
              <w:rPr>
                <w:rFonts w:ascii="Times New Roman" w:eastAsia="Times New Roman" w:hAnsi="Times New Roman" w:cs="Times New Roman"/>
                <w:sz w:val="20"/>
                <w:szCs w:val="20"/>
                <w:lang w:val="ro-RO" w:eastAsia="ru-RU"/>
              </w:rPr>
            </w:pPr>
            <w:r w:rsidRPr="00C10518">
              <w:rPr>
                <w:rFonts w:ascii="Times New Roman" w:eastAsia="Times New Roman" w:hAnsi="Times New Roman" w:cs="Times New Roman"/>
                <w:sz w:val="20"/>
                <w:szCs w:val="20"/>
                <w:lang w:val="ro-RO" w:eastAsia="ru-RU"/>
              </w:rPr>
              <w:t xml:space="preserve">Prevederile art. 3 au fost revizuite </w:t>
            </w:r>
            <w:r w:rsidR="00E3408D" w:rsidRPr="00C10518" w:rsidDel="007A07FC">
              <w:rPr>
                <w:rFonts w:ascii="Times New Roman" w:eastAsia="Times New Roman" w:hAnsi="Times New Roman" w:cs="Times New Roman"/>
                <w:sz w:val="20"/>
                <w:szCs w:val="20"/>
                <w:lang w:val="ro-RO" w:eastAsia="ru-RU"/>
              </w:rPr>
              <w:t xml:space="preserve"> </w:t>
            </w:r>
            <w:r w:rsidR="00E3408D" w:rsidRPr="00C10518">
              <w:rPr>
                <w:rFonts w:ascii="Times New Roman" w:eastAsia="Times New Roman" w:hAnsi="Times New Roman" w:cs="Times New Roman"/>
                <w:sz w:val="20"/>
                <w:szCs w:val="20"/>
                <w:lang w:val="ro-RO" w:eastAsia="ru-RU"/>
              </w:rPr>
              <w:t>conform recomandărilor Comisiei UE din 21.05.2026</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art. 13 lit. f) cuvântul „Guvern” se va scrie cu majusculă.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art. 15, se va ține cont de prevederile art. 49 din Legea nr. 100/2017 cu privire la actele normative, care dispune că anexa trebuie să aibă un temei-cadru în textul actului normativ şi să se refere exclusiv la obiectul determinat prin norma de trimitere (obiecție valabilă și pentru anexele nr. 2 – nr. 5).</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Autorul menționează că a ținut cont de prevederile art. 49 din Legea nr. 100/2017 cu privire la actele normative, care dispune că anexa trebuie să aibă un temei-cadru în textul actului normativ şi să se refere exclusiv la obiectul determinat prin norma de trimitere.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5</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art. 17 alin. (3) propunem excluderea textului „Autoritatea/”, deoarece termenul „entitate” include și autoritățile (propunere valabilă și pentru restul cazurilor similare).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Nu 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Noțiunile de autoritate contractantă și entitate contractantă sunt distincte, definirea autorității contractante și entității contractatnte, și elementele distincte ale acestora sunt reglemetate la art. 3 și 4 al Legii nr. 74/2020.</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Astfel, autorul nu consideră oportun excluderea textului „Autoritatea/”.</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6</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art. 18, cu privire la textele „definite în anexa nr. 3” și „definite în anexa nr. 3 pct. 3” se consideră necesară incorporarea noțiunilor și definițiilor acestora la art. 1 din proiectul de lege. Urmare intervențiilor recomandate, textele indicate anterior care fac trimitere la anexa nr. 3 se vor exclude.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7</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art. 21 alin. (1) și art. 30 alin. (4) textele „alineatele 3 și 10” și „aliniatelor 1-3” se vor conforma art. 51 alin. (6) din Legea nr. 100/2017.</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8</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art. 34 alin. (5) enumerarea alineatelor se va efectua cu utilizarea cratimei „alin. (2)-(4)”.</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9</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art. 38 și 52 remarcăm că, într-o enumerare de referințe, denumirea elementului structural nu se repetă.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10</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art. 39 alin. (4) lit. b), reiterăm necesitatea examinării suplimentare prin prisma art. 87 din Codul fiscal nr. 1163/1997 care stabilește obligația contribuabilului să prezinte în termenul stabilit dări de seamă pentru fiecare tip de impozit sau de taxă, pentru primele de asigurare obligatorie de asistenţă medicală şi contribuţiile de asigurări sociale de stat obligatorii. Lit. g) are un caracter ambiguu și este susceptibilă de diverse interpretări, motiv pentru care se va revizui, or, normei juridice trebuie să i se imprime un conținut cert, clar, astfel încât actul normativ să corespundă cerinței de previzibilitate.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11</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Cu referire la cuvintele „din prezenta lege” cuprinse în art. 54, remarcăm că, în cazul în care se face trimitere la o normă juridică care este stabilită în același act normativ, pentru evitarea reproducerii acesteia, se face trimitere la elementul structural sau constitutiv respectiv, fără a se indica că elementul respectiv face parte din același act normativ.</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12</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Aspectul privind elaborarea de către Guvern a regulamentului cu privire la soluţionarea contestaţiilor privind atribuirea contractelor de achiziţii în domeniul apărării și securității, nu este necesar de a fi încadrat în conținutul art. 56 alin. (2). În conformitate cu art. 23 din Legea nr. 100/2017, proiectele actelor normative sunt elaborate de către autorităţile publice abilitate să le iniţieze, conform programelor şi planurilor aprobate în modul stabilit de lege, precum și la solicitarea Parlamentului, a Preşedintelui Republicii Moldova, a Guvernului sau din iniţiativă proprie, în modul stabilit de lege. Unul </w:t>
            </w:r>
            <w:r w:rsidRPr="00C10518">
              <w:rPr>
                <w:rFonts w:ascii="Times New Roman" w:hAnsi="Times New Roman" w:cs="Times New Roman"/>
                <w:sz w:val="20"/>
                <w:szCs w:val="20"/>
              </w:rPr>
              <w:lastRenderedPageBreak/>
              <w:t>din subiecţii care pot iniţia elaborarea proiectelor de acte normative, în limitele competenţei şi în conformitate cu atribuţiile şi domeniul de activitate ale acestora, indicați la alin. (2) al art. 23 din legea nominalizată, este și Guvernul, inclusiv prin intermediul ministerelor şi altor autorităţi administrative centrale.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13</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În cuprinsul anexei nr. 3 cuvântul „handicap” se va substitui cu cuvântul „dizabilitate”. Precizăm că directivele Uniunii Europene nu impun statelor obligația de a prelua sau de a utiliza terminologia stabilită în aceste directive, aceasta conformându-se termenilor utilizate în legislația națională. Noțiunile se vor numerota prin puncte, iar liniuțele se vor substitui cu litere arabe urmate de paranteză.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14</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anexa nr. 4, la Capitolul I. „Anunţ de intenţie” ultimele alineate necesită a fi numerotate. Suplimentar, este de menționat necesitatea revizuirii acesteia în temeiul art. 52 din Legea nr. 100/2017, conform căruia punctele se însemnează consecutiv cu numere ordinare, exprimate prin cifre arabe, urmate de punct, începând cu primul și terminând cu ultimul, de la începutul şi până la sfârșitul actului normativ. Pentru interpretare corectă şi aplicare comodă, punctele pot fi divizate în subpuncte sau alineate. Subpunctele sunt însemnate cu numere ordinare, exprimate prin cifre arabe, urmate de o paranteză, şi se evidenţiază printr-o uşoară retragere spre dreapta de la alinierea textului pe verticală. Subpunctul poate conţine diviziuni însemnate succesiv, de regulă, cu litere latine mici urmate de o paranteză. Dacă diviziunile punctului nu sunt însemnate cu litere sau numere, alineatele se evidenţiază printr-o uşoară retragere spre dreapta de la alinierea textului pe verticală (obiecție valabilă inclusiv în cazul anexei nr. 5).</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15</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Remarcăm că, la stabilirea datei intrării în vigoare a actului normativ după o anumită perioadă de timp din data publicării în Monitorul Oficial al Republicii Moldova, în modul stabilit de art. 59 alin. (1), care se referă nu la o dată </w:t>
            </w:r>
            <w:r w:rsidRPr="00C10518">
              <w:rPr>
                <w:rFonts w:ascii="Times New Roman" w:hAnsi="Times New Roman" w:cs="Times New Roman"/>
                <w:sz w:val="20"/>
                <w:szCs w:val="20"/>
              </w:rPr>
              <w:lastRenderedPageBreak/>
              <w:t>concretă, ci la o anumită perioadă, este conceptual inacceptabil, deoarece legea nu poate intra în vigoare la diferite momente în interiorul unei perioade. Pentru indicarea exactă a momentului intrării în vigoare a actului normativ recomandăm utilizarea cuvintelor „la expirarea a”, urmată de perioada rezervată pentru intrarea în vigoare a actului, după următorul exemplu: „intră în vigoare la expirarea a douăsprezece luni de la data publicării în Monitorul Oficial al Republicii Moldova”, sau prin indicarea exactă a datei intrării în vigoare.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16</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alin. (2), reieșind din prevederile alin. (1), în dispoziția introductivă textul „ , la expirarea a douăsprezece luni de la data publicării” se vor substitui cu cuvintele „la data intrării în vigoare a ”.</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rPr>
              <w:t>Centrul Național Anticorupție</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Obiecții: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Apreciind </w:t>
            </w:r>
            <w:r w:rsidRPr="00C10518">
              <w:rPr>
                <w:rFonts w:ascii="Times New Roman" w:hAnsi="Times New Roman" w:cs="Times New Roman"/>
                <w:i/>
                <w:iCs/>
                <w:sz w:val="20"/>
                <w:szCs w:val="20"/>
              </w:rPr>
              <w:t xml:space="preserve">structura Sistemului </w:t>
            </w:r>
            <w:r w:rsidRPr="00C10518">
              <w:rPr>
                <w:rFonts w:ascii="Times New Roman" w:hAnsi="Times New Roman" w:cs="Times New Roman"/>
                <w:sz w:val="20"/>
                <w:szCs w:val="20"/>
              </w:rPr>
              <w:t xml:space="preserve">organelor securităţii statului prin prisma prevederilor art.13 alin.(1) al Legii securităţii statului nr.618 din 31 octombrie 1995 și ținînd cont de </w:t>
            </w:r>
            <w:r w:rsidRPr="00C10518">
              <w:rPr>
                <w:rFonts w:ascii="Times New Roman" w:hAnsi="Times New Roman" w:cs="Times New Roman"/>
                <w:i/>
                <w:iCs/>
                <w:sz w:val="20"/>
                <w:szCs w:val="20"/>
              </w:rPr>
              <w:t xml:space="preserve">caracterul specific al contractelor de achiziţii publice </w:t>
            </w:r>
            <w:r w:rsidRPr="00C10518">
              <w:rPr>
                <w:rFonts w:ascii="Times New Roman" w:hAnsi="Times New Roman" w:cs="Times New Roman"/>
                <w:sz w:val="20"/>
                <w:szCs w:val="20"/>
              </w:rPr>
              <w:t>atribuite de către autorităţile care efectuează activităţi speciale de investigaţii şi măsuri contrainformative şi informative externe, care se referă la achiziţionarea de programe informatice şi softuri, precum şi mijloace tehnice speciale, în scopul obţinerii în secret a informaţiei, recunoscut prin amendarea prevederilor art.5 alin.(1) al Legii privind achiziţiile publice nr.131 din 03 iulie 2015 (</w:t>
            </w:r>
            <w:r w:rsidRPr="00C10518">
              <w:rPr>
                <w:rFonts w:ascii="Times New Roman" w:hAnsi="Times New Roman" w:cs="Times New Roman"/>
                <w:i/>
                <w:iCs/>
                <w:sz w:val="20"/>
                <w:szCs w:val="20"/>
              </w:rPr>
              <w:t>și instituirea unei excepții în acest sens</w:t>
            </w:r>
            <w:r w:rsidRPr="00C10518">
              <w:rPr>
                <w:rFonts w:ascii="Times New Roman" w:hAnsi="Times New Roman" w:cs="Times New Roman"/>
                <w:sz w:val="20"/>
                <w:szCs w:val="20"/>
              </w:rPr>
              <w:t>), se remarcă caracterul disproporțional al derogărilor prescrise de art.13 lit.b) al proiectului.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Carența în speță, denotă neîntrunirea exigențelor prescrise de art.3 alin. (1) lit. c)-d), alin. (4) lit. a) al Legii nr. 100/2017 și periclitează coerenţa și echilibrul între reglementările concurente.</w:t>
            </w:r>
          </w:p>
          <w:p w:rsidR="004C7663" w:rsidRPr="00C10518" w:rsidRDefault="004C7663" w:rsidP="004C7663">
            <w:pPr>
              <w:rPr>
                <w:rFonts w:ascii="Times New Roman" w:hAnsi="Times New Roman" w:cs="Times New Roman"/>
                <w:b/>
                <w:bCs/>
                <w:sz w:val="20"/>
                <w:szCs w:val="20"/>
              </w:rPr>
            </w:pPr>
            <w:r w:rsidRPr="00C10518">
              <w:rPr>
                <w:rFonts w:ascii="Times New Roman" w:hAnsi="Times New Roman" w:cs="Times New Roman"/>
                <w:b/>
                <w:bCs/>
                <w:sz w:val="20"/>
                <w:szCs w:val="20"/>
              </w:rPr>
              <w:t>Recomandări: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lastRenderedPageBreak/>
              <w:t>Completarea la sfîrșit cu ”și Centrul Național Anticorupție”.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w:t>
            </w:r>
          </w:p>
        </w:tc>
        <w:tc>
          <w:tcPr>
            <w:tcW w:w="4111" w:type="dxa"/>
            <w:shd w:val="clear" w:color="auto" w:fill="auto"/>
          </w:tcPr>
          <w:p w:rsidR="004C7663" w:rsidRPr="00C10518" w:rsidRDefault="004C7663" w:rsidP="004C7663">
            <w:pPr>
              <w:rPr>
                <w:rFonts w:ascii="Times New Roman" w:hAnsi="Times New Roman" w:cs="Times New Roman"/>
                <w:b/>
                <w:bCs/>
                <w:sz w:val="20"/>
                <w:szCs w:val="20"/>
              </w:rPr>
            </w:pPr>
            <w:r w:rsidRPr="00C10518">
              <w:rPr>
                <w:rFonts w:ascii="Times New Roman" w:hAnsi="Times New Roman" w:cs="Times New Roman"/>
                <w:b/>
                <w:bCs/>
                <w:sz w:val="20"/>
                <w:szCs w:val="20"/>
              </w:rPr>
              <w:t>Obiecții: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Determinarea competenţei după formulă </w:t>
            </w:r>
            <w:r w:rsidRPr="00C10518">
              <w:rPr>
                <w:rFonts w:ascii="Times New Roman" w:hAnsi="Times New Roman" w:cs="Times New Roman"/>
                <w:i/>
                <w:iCs/>
                <w:sz w:val="20"/>
                <w:szCs w:val="20"/>
              </w:rPr>
              <w:t xml:space="preserve">„este în drept", „poate" </w:t>
            </w:r>
            <w:r w:rsidRPr="00C10518">
              <w:rPr>
                <w:rFonts w:ascii="Times New Roman" w:hAnsi="Times New Roman" w:cs="Times New Roman"/>
                <w:sz w:val="20"/>
                <w:szCs w:val="20"/>
              </w:rPr>
              <w:t>este o modalitate coruptibilă de determinare a competenţei funcționale a agentului public. Coruptibilitatea acestui element rezidă în discreţia agentului public care apare în cazul utilizării unor asemenea determinări permisive ale competenţelor lor, care urmau a fi stabilite de o manieră imperativă. Această discreţie poate fi folosită în mod abuziv de către agentul public pentru a nu-şi executa obligaţiile sale legale tocmai în virtutea caracterului permisiv al formulării competenţelor sale. Riscul de coruptibilitate a acestor norme creşte în cazul în care lipsesc criterii pentru a stabili în ce cazuri agentul public „este în drept" sau „poate" şi în ce cazuri este în drept şi poate să nu-şi realizeze competenţele.</w:t>
            </w:r>
          </w:p>
          <w:p w:rsidR="004C7663" w:rsidRPr="00C10518" w:rsidRDefault="004C7663" w:rsidP="004C7663">
            <w:pPr>
              <w:rPr>
                <w:rFonts w:ascii="Times New Roman" w:hAnsi="Times New Roman" w:cs="Times New Roman"/>
                <w:b/>
                <w:bCs/>
                <w:sz w:val="20"/>
                <w:szCs w:val="20"/>
              </w:rPr>
            </w:pPr>
            <w:r w:rsidRPr="00C10518">
              <w:rPr>
                <w:rFonts w:ascii="Times New Roman" w:hAnsi="Times New Roman" w:cs="Times New Roman"/>
                <w:b/>
                <w:bCs/>
                <w:sz w:val="20"/>
                <w:szCs w:val="20"/>
              </w:rPr>
              <w:t>Recomandări: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Excluderea formulelor permisive și reglementarea cu suficientă precizie a atribuțiilor agenților publici vizați și excluderea expresiei</w:t>
            </w:r>
            <w:r w:rsidRPr="00C10518">
              <w:rPr>
                <w:rFonts w:ascii="Times New Roman" w:hAnsi="Times New Roman" w:cs="Times New Roman"/>
                <w:i/>
                <w:iCs/>
                <w:sz w:val="20"/>
                <w:szCs w:val="20"/>
              </w:rPr>
              <w:t>”deja identificați”</w:t>
            </w:r>
            <w:r w:rsidRPr="00C10518">
              <w:rPr>
                <w:rFonts w:ascii="Times New Roman" w:hAnsi="Times New Roman" w:cs="Times New Roman"/>
                <w:sz w:val="20"/>
                <w:szCs w:val="20"/>
              </w:rPr>
              <w:t>.</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w:t>
            </w:r>
          </w:p>
        </w:tc>
        <w:tc>
          <w:tcPr>
            <w:tcW w:w="4111"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Obiecții: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Redacția propusă nu vizează aspecte ce țin de asumarea răspunderii de către ofertant în ipotezele vizate de autor, fapt care denotă neîntrunirea exigențelor vizate de art.29 alin.</w:t>
            </w:r>
            <w:r w:rsidR="005B726D" w:rsidRPr="00C10518">
              <w:rPr>
                <w:rFonts w:ascii="Times New Roman" w:hAnsi="Times New Roman" w:cs="Times New Roman"/>
                <w:sz w:val="20"/>
                <w:szCs w:val="20"/>
              </w:rPr>
              <w:t xml:space="preserve"> </w:t>
            </w:r>
            <w:r w:rsidRPr="00C10518">
              <w:rPr>
                <w:rFonts w:ascii="Times New Roman" w:hAnsi="Times New Roman" w:cs="Times New Roman"/>
                <w:sz w:val="20"/>
                <w:szCs w:val="20"/>
              </w:rPr>
              <w:t>(2) al Legii nr.100/2017 și principiilor de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reglementare vizate de prevederile art.3 alin.</w:t>
            </w:r>
            <w:r w:rsidR="005B726D" w:rsidRPr="00C10518">
              <w:rPr>
                <w:rFonts w:ascii="Times New Roman" w:hAnsi="Times New Roman" w:cs="Times New Roman"/>
                <w:sz w:val="20"/>
                <w:szCs w:val="20"/>
              </w:rPr>
              <w:t xml:space="preserve"> </w:t>
            </w:r>
            <w:r w:rsidRPr="00C10518">
              <w:rPr>
                <w:rFonts w:ascii="Times New Roman" w:hAnsi="Times New Roman" w:cs="Times New Roman"/>
                <w:sz w:val="20"/>
                <w:szCs w:val="20"/>
              </w:rPr>
              <w:t>(1) lit.</w:t>
            </w:r>
            <w:r w:rsidR="005B726D" w:rsidRPr="00C10518">
              <w:rPr>
                <w:rFonts w:ascii="Times New Roman" w:hAnsi="Times New Roman" w:cs="Times New Roman"/>
                <w:sz w:val="20"/>
                <w:szCs w:val="20"/>
              </w:rPr>
              <w:t xml:space="preserve"> </w:t>
            </w:r>
            <w:r w:rsidRPr="00C10518">
              <w:rPr>
                <w:rFonts w:ascii="Times New Roman" w:hAnsi="Times New Roman" w:cs="Times New Roman"/>
                <w:sz w:val="20"/>
                <w:szCs w:val="20"/>
              </w:rPr>
              <w:t>d) al Legii cu privire la actele normative nr.100 din 22 decembrie 2017, sub aspectul predictibilității normelor juridice: (1) La elaborarea unui act normativ se respectă următoarele principii: [..] d) oportunitatea, coerența, consecutivitatea, stabilitatea şi predictibilitatea normelor juridice;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În context, reținem concluziile Curții Constituționale din Hotărârea nr.26 din 23 noiembrie 2010, după cum urmează: “Pentru a corespunde celor trei criterii de calitate – </w:t>
            </w:r>
            <w:r w:rsidRPr="00C10518">
              <w:rPr>
                <w:rFonts w:ascii="Times New Roman" w:hAnsi="Times New Roman" w:cs="Times New Roman"/>
                <w:sz w:val="20"/>
                <w:szCs w:val="20"/>
              </w:rPr>
              <w:lastRenderedPageBreak/>
              <w:t>accesibilitate, previzibilitate şi claritate – norma de drept trebuie să fie formulată cu suficientă precizie, astfel încât să permită persoanei să decidă asupra conduitei sale şi să prevadă, în mod rezonabil, în funcţie de circumstanţele cauzei, consecinţele acestei conduite. În caz contrar, cu toate că legea conţine o normă de drept care aparent descrie conduita persoanei în situaţia dată, persoana poate pretinde că nu-şi cunoaşte drepturile şi obligaţiile. Într-o astfel de interpretare, norma ce nu corespunde criteriilor clarităţii este contrară art.23 din Constituţie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49. Curtea Europeană în jurisprudenţa sa a subliniat importanţa asigurării accesibilităţii şi previzibilităţii legii, instituind o serie de repere, pe care legiuitorul trebuie să le aibă în vedere pentru respectarea acestor exigenţe.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50. Astfel, Curtea Europeană a menţionat că nu poate fi considerată “lege” decât o normă enunţată cu suficientă precizie, pentru a permite individului să-şi corecteze conduita. În special, o normă este previzibilă atunci când oferă o anume garanţie contra atingerilor arbitrare ale puterii publice (cauza Amann v. Elveţia, hotărârea din 16 februarie 2000, §56). Testul preciziei legii impune ca legea, în situaţiile în care oferă o anumită marjă de discreţie, să indice cu suficientă claritate limitele acesteia (cauza Silver şi alţii v. Regatul Unit, hotărârea din 25 martie 1983, §80).</w:t>
            </w:r>
          </w:p>
          <w:p w:rsidR="004C7663" w:rsidRPr="00C10518" w:rsidRDefault="004C7663" w:rsidP="004C7663">
            <w:pPr>
              <w:rPr>
                <w:rFonts w:ascii="Times New Roman" w:hAnsi="Times New Roman" w:cs="Times New Roman"/>
                <w:b/>
                <w:bCs/>
                <w:sz w:val="20"/>
                <w:szCs w:val="20"/>
              </w:rPr>
            </w:pPr>
            <w:r w:rsidRPr="00C10518">
              <w:rPr>
                <w:rFonts w:ascii="Times New Roman" w:hAnsi="Times New Roman" w:cs="Times New Roman"/>
                <w:b/>
                <w:bCs/>
                <w:sz w:val="20"/>
                <w:szCs w:val="20"/>
              </w:rPr>
              <w:t>Recomandări: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Completarea cu expresia ”pe propria răspundere” după cuvîntul ”angajamentul”.</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w:t>
            </w: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Obiecții: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Spre deosebire de prevederile acquisului comunitar transpus (în special art.28 Directiva 2009/81/CE), reținem lipsa unor reglementări ce vizează circumstanțele, la întrunirea cărora este aplicată procedura prenotată. Carența în speță, denotă neîntrunirea exigențelor vizate de art.29 alin. (2) al Legii nr.100/2017 și poate condiționa </w:t>
            </w:r>
            <w:r w:rsidRPr="00C10518">
              <w:rPr>
                <w:rFonts w:ascii="Times New Roman" w:hAnsi="Times New Roman" w:cs="Times New Roman"/>
                <w:sz w:val="20"/>
                <w:szCs w:val="20"/>
              </w:rPr>
              <w:lastRenderedPageBreak/>
              <w:t>multiple riscuri aferente implementării prevederilor propuse.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Subsecvent, reținem faptul că aspectele prenotate sunt reglementate de cadrul normativ sectorial ce vizează achiziţiile în sectoarele energeticii, apei (art.55 Legea nr. 74 din 21 mai 2020).</w:t>
            </w:r>
          </w:p>
          <w:p w:rsidR="004C7663" w:rsidRPr="00C10518" w:rsidRDefault="004C7663" w:rsidP="004C7663">
            <w:pPr>
              <w:rPr>
                <w:rFonts w:ascii="Times New Roman" w:hAnsi="Times New Roman" w:cs="Times New Roman"/>
                <w:b/>
                <w:bCs/>
                <w:sz w:val="20"/>
                <w:szCs w:val="20"/>
              </w:rPr>
            </w:pPr>
            <w:r w:rsidRPr="00C10518">
              <w:rPr>
                <w:rFonts w:ascii="Times New Roman" w:hAnsi="Times New Roman" w:cs="Times New Roman"/>
                <w:b/>
                <w:bCs/>
                <w:sz w:val="20"/>
                <w:szCs w:val="20"/>
              </w:rPr>
              <w:t>Recomandări: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Reglementarea circumstanțelor, la întrunirea cărora, este aplicată procedura prenotată.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Art. 26 al proiectului transpune în totalitate art. 26 al Directivei.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Subliniem că, în domeniul achizițiilor pentru apărare și securitate, procedura de negociere cu publicarea prealabilă a unui anunț de participare și licitația restrânsă sunt proceduri de bază, asemănătoare cu licitația deschisă și restrânsă utilizate în achizițiile publice și sectoriale. Prin urmare, aplicarea negocierii cu publicarea prealabilă a unui anunț de participare în achizițiile din domeniul apărării și securității nu necesită condiții specifice.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5</w:t>
            </w:r>
          </w:p>
        </w:tc>
        <w:tc>
          <w:tcPr>
            <w:tcW w:w="4111" w:type="dxa"/>
            <w:shd w:val="clear" w:color="auto" w:fill="auto"/>
          </w:tcPr>
          <w:p w:rsidR="004C7663" w:rsidRPr="00C10518" w:rsidRDefault="004C7663" w:rsidP="004C7663">
            <w:pPr>
              <w:rPr>
                <w:rFonts w:ascii="Times New Roman" w:hAnsi="Times New Roman" w:cs="Times New Roman"/>
                <w:b/>
                <w:bCs/>
                <w:sz w:val="20"/>
                <w:szCs w:val="20"/>
              </w:rPr>
            </w:pPr>
            <w:r w:rsidRPr="00C10518">
              <w:rPr>
                <w:rFonts w:ascii="Times New Roman" w:hAnsi="Times New Roman" w:cs="Times New Roman"/>
                <w:b/>
                <w:bCs/>
                <w:sz w:val="20"/>
                <w:szCs w:val="20"/>
              </w:rPr>
              <w:t>Obiecții: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Prim-plan se remarcă faptul că utilizarea </w:t>
            </w:r>
            <w:proofErr w:type="gramStart"/>
            <w:r w:rsidRPr="00C10518">
              <w:rPr>
                <w:rFonts w:ascii="Times New Roman" w:hAnsi="Times New Roman" w:cs="Times New Roman"/>
                <w:sz w:val="20"/>
                <w:szCs w:val="20"/>
              </w:rPr>
              <w:t>cuvîntului</w:t>
            </w:r>
            <w:r w:rsidR="00E3408D" w:rsidRPr="00C10518">
              <w:rPr>
                <w:rFonts w:ascii="Times New Roman" w:hAnsi="Times New Roman" w:cs="Times New Roman"/>
                <w:sz w:val="20"/>
                <w:szCs w:val="20"/>
              </w:rPr>
              <w:t xml:space="preserve"> </w:t>
            </w:r>
            <w:r w:rsidRPr="00C10518">
              <w:rPr>
                <w:rFonts w:ascii="Times New Roman" w:hAnsi="Times New Roman" w:cs="Times New Roman"/>
                <w:i/>
                <w:iCs/>
                <w:sz w:val="20"/>
                <w:szCs w:val="20"/>
              </w:rPr>
              <w:t>”distorsiona</w:t>
            </w:r>
            <w:proofErr w:type="gramEnd"/>
            <w:r w:rsidRPr="00C10518">
              <w:rPr>
                <w:rFonts w:ascii="Times New Roman" w:hAnsi="Times New Roman" w:cs="Times New Roman"/>
                <w:i/>
                <w:iCs/>
                <w:sz w:val="20"/>
                <w:szCs w:val="20"/>
              </w:rPr>
              <w:t xml:space="preserve">” </w:t>
            </w:r>
            <w:r w:rsidRPr="00C10518">
              <w:rPr>
                <w:rFonts w:ascii="Times New Roman" w:hAnsi="Times New Roman" w:cs="Times New Roman"/>
                <w:sz w:val="20"/>
                <w:szCs w:val="20"/>
              </w:rPr>
              <w:t>în context nu corespunde terminologiei proiectului și Legii concurenţei *nr. 183 din 11 iulie 2012.</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Subsecvent, apreciind prin prisma prevederilor art.32 alin. (4) al Legii nr. 98 din 04 mai 2012, coroborat cu art.6 alin. (2) al Legii nr.235-XVI din 20 iulie 2006, cu referire la prerogativa vizată la art.27 alin. (14) al proiectului, reținem caracterul excesiv al acesteia, or autorul nu a reglementat criterii de delimitare a </w:t>
            </w:r>
            <w:proofErr w:type="gramStart"/>
            <w:r w:rsidRPr="00C10518">
              <w:rPr>
                <w:rFonts w:ascii="Times New Roman" w:hAnsi="Times New Roman" w:cs="Times New Roman"/>
                <w:sz w:val="20"/>
                <w:szCs w:val="20"/>
              </w:rPr>
              <w:t>cuantumului</w:t>
            </w:r>
            <w:r w:rsidR="005B726D" w:rsidRPr="00C10518">
              <w:rPr>
                <w:rFonts w:ascii="Times New Roman" w:hAnsi="Times New Roman" w:cs="Times New Roman"/>
                <w:sz w:val="20"/>
                <w:szCs w:val="20"/>
              </w:rPr>
              <w:t xml:space="preserve"> </w:t>
            </w:r>
            <w:r w:rsidRPr="00C10518">
              <w:rPr>
                <w:rFonts w:ascii="Times New Roman" w:hAnsi="Times New Roman" w:cs="Times New Roman"/>
                <w:sz w:val="20"/>
                <w:szCs w:val="20"/>
              </w:rPr>
              <w:t>”prețuri</w:t>
            </w:r>
            <w:proofErr w:type="gramEnd"/>
            <w:r w:rsidRPr="00C10518">
              <w:rPr>
                <w:rFonts w:ascii="Times New Roman" w:hAnsi="Times New Roman" w:cs="Times New Roman"/>
                <w:sz w:val="20"/>
                <w:szCs w:val="20"/>
              </w:rPr>
              <w:t xml:space="preserve"> sau plăți”, exigențe de formă (</w:t>
            </w:r>
            <w:r w:rsidRPr="00C10518">
              <w:rPr>
                <w:rFonts w:ascii="Times New Roman" w:hAnsi="Times New Roman" w:cs="Times New Roman"/>
                <w:i/>
                <w:iCs/>
                <w:sz w:val="20"/>
                <w:szCs w:val="20"/>
              </w:rPr>
              <w:t xml:space="preserve">aprobarea </w:t>
            </w:r>
            <w:r w:rsidRPr="00C10518">
              <w:rPr>
                <w:rFonts w:ascii="Times New Roman" w:hAnsi="Times New Roman" w:cs="Times New Roman"/>
                <w:sz w:val="20"/>
                <w:szCs w:val="20"/>
              </w:rPr>
              <w:t>prin act departamental), cît și circumstanțele în care acestea sunt instituite. Deficiențele prenotate, sun accentuate de utilizarea în context a unei formule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permisive de reglementare a atribuțiilor agentului </w:t>
            </w:r>
            <w:proofErr w:type="gramStart"/>
            <w:r w:rsidRPr="00C10518">
              <w:rPr>
                <w:rFonts w:ascii="Times New Roman" w:hAnsi="Times New Roman" w:cs="Times New Roman"/>
                <w:sz w:val="20"/>
                <w:szCs w:val="20"/>
              </w:rPr>
              <w:t xml:space="preserve">public </w:t>
            </w:r>
            <w:r w:rsidRPr="00C10518">
              <w:rPr>
                <w:rFonts w:ascii="Times New Roman" w:hAnsi="Times New Roman" w:cs="Times New Roman"/>
                <w:i/>
                <w:iCs/>
                <w:sz w:val="20"/>
                <w:szCs w:val="20"/>
              </w:rPr>
              <w:t>”au</w:t>
            </w:r>
            <w:proofErr w:type="gramEnd"/>
            <w:r w:rsidRPr="00C10518">
              <w:rPr>
                <w:rFonts w:ascii="Times New Roman" w:hAnsi="Times New Roman" w:cs="Times New Roman"/>
                <w:i/>
                <w:iCs/>
                <w:sz w:val="20"/>
                <w:szCs w:val="20"/>
              </w:rPr>
              <w:t xml:space="preserve"> dreptul de a prevedea” </w:t>
            </w:r>
            <w:r w:rsidRPr="00C10518">
              <w:rPr>
                <w:rFonts w:ascii="Times New Roman" w:hAnsi="Times New Roman" w:cs="Times New Roman"/>
                <w:sz w:val="20"/>
                <w:szCs w:val="20"/>
              </w:rPr>
              <w:t>(riscurile aferente utilzării unor formule similare a fost analizate anterior).</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Circumstanțele prenotate, pot condiționa incertitudine la etapa implementării normei, stabilirea unor cerințe excesive în raport cu participanții și multiple riscuri aferente stabilirii plăților în speță. </w:t>
            </w:r>
          </w:p>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Recomandare: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Substituirea </w:t>
            </w:r>
            <w:proofErr w:type="gramStart"/>
            <w:r w:rsidRPr="00C10518">
              <w:rPr>
                <w:rFonts w:ascii="Times New Roman" w:hAnsi="Times New Roman" w:cs="Times New Roman"/>
                <w:sz w:val="20"/>
                <w:szCs w:val="20"/>
              </w:rPr>
              <w:t xml:space="preserve">cuvîntului </w:t>
            </w:r>
            <w:r w:rsidRPr="00C10518">
              <w:rPr>
                <w:rFonts w:ascii="Times New Roman" w:hAnsi="Times New Roman" w:cs="Times New Roman"/>
                <w:i/>
                <w:iCs/>
                <w:sz w:val="20"/>
                <w:szCs w:val="20"/>
              </w:rPr>
              <w:t>”distorsiona</w:t>
            </w:r>
            <w:proofErr w:type="gramEnd"/>
            <w:r w:rsidRPr="00C10518">
              <w:rPr>
                <w:rFonts w:ascii="Times New Roman" w:hAnsi="Times New Roman" w:cs="Times New Roman"/>
                <w:i/>
                <w:iCs/>
                <w:sz w:val="20"/>
                <w:szCs w:val="20"/>
              </w:rPr>
              <w:t xml:space="preserve">” </w:t>
            </w:r>
            <w:r w:rsidRPr="00C10518">
              <w:rPr>
                <w:rFonts w:ascii="Times New Roman" w:hAnsi="Times New Roman" w:cs="Times New Roman"/>
                <w:sz w:val="20"/>
                <w:szCs w:val="20"/>
              </w:rPr>
              <w:t>cu cuvîntul</w:t>
            </w:r>
            <w:r w:rsidRPr="00C10518">
              <w:rPr>
                <w:rFonts w:ascii="Times New Roman" w:hAnsi="Times New Roman" w:cs="Times New Roman"/>
                <w:i/>
                <w:iCs/>
                <w:sz w:val="20"/>
                <w:szCs w:val="20"/>
              </w:rPr>
              <w:t xml:space="preserve"> ”denatura”</w:t>
            </w:r>
            <w:r w:rsidRPr="00C10518">
              <w:rPr>
                <w:rFonts w:ascii="Times New Roman" w:hAnsi="Times New Roman" w:cs="Times New Roman"/>
                <w:sz w:val="20"/>
                <w:szCs w:val="20"/>
              </w:rPr>
              <w:t xml:space="preserve">. Reglementarea aspectelor deficitare evidențiate supra. </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6</w:t>
            </w: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Obiecții: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Apreciind prin prisma art.39 al Directivei 2009/81/CE supusă armonizări, reținem faptul că </w:t>
            </w:r>
            <w:r w:rsidRPr="00C10518">
              <w:rPr>
                <w:rFonts w:ascii="Times New Roman" w:hAnsi="Times New Roman" w:cs="Times New Roman"/>
                <w:sz w:val="20"/>
                <w:szCs w:val="20"/>
              </w:rPr>
              <w:lastRenderedPageBreak/>
              <w:t xml:space="preserve">utilizarea </w:t>
            </w:r>
            <w:proofErr w:type="gramStart"/>
            <w:r w:rsidRPr="00C10518">
              <w:rPr>
                <w:rFonts w:ascii="Times New Roman" w:hAnsi="Times New Roman" w:cs="Times New Roman"/>
                <w:sz w:val="20"/>
                <w:szCs w:val="20"/>
              </w:rPr>
              <w:t xml:space="preserve">expresiei </w:t>
            </w:r>
            <w:r w:rsidRPr="00C10518">
              <w:rPr>
                <w:rFonts w:ascii="Times New Roman" w:hAnsi="Times New Roman" w:cs="Times New Roman"/>
                <w:i/>
                <w:iCs/>
                <w:sz w:val="20"/>
                <w:szCs w:val="20"/>
              </w:rPr>
              <w:t>”în</w:t>
            </w:r>
            <w:proofErr w:type="gramEnd"/>
            <w:r w:rsidRPr="00C10518">
              <w:rPr>
                <w:rFonts w:ascii="Times New Roman" w:hAnsi="Times New Roman" w:cs="Times New Roman"/>
                <w:i/>
                <w:iCs/>
                <w:sz w:val="20"/>
                <w:szCs w:val="20"/>
              </w:rPr>
              <w:t xml:space="preserve"> ultimii 5 ani” </w:t>
            </w:r>
            <w:r w:rsidRPr="00C10518">
              <w:rPr>
                <w:rFonts w:ascii="Times New Roman" w:hAnsi="Times New Roman" w:cs="Times New Roman"/>
                <w:sz w:val="20"/>
                <w:szCs w:val="20"/>
              </w:rPr>
              <w:t>în context constituie o suprareglementare.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Subsecvent, apreciind reglementarea propusă de către autor a noțiunii </w:t>
            </w:r>
            <w:proofErr w:type="gramStart"/>
            <w:r w:rsidRPr="00C10518">
              <w:rPr>
                <w:rFonts w:ascii="Times New Roman" w:hAnsi="Times New Roman" w:cs="Times New Roman"/>
                <w:sz w:val="20"/>
                <w:szCs w:val="20"/>
              </w:rPr>
              <w:t>de ”întreprindere</w:t>
            </w:r>
            <w:proofErr w:type="gramEnd"/>
            <w:r w:rsidRPr="00C10518">
              <w:rPr>
                <w:rFonts w:ascii="Times New Roman" w:hAnsi="Times New Roman" w:cs="Times New Roman"/>
                <w:sz w:val="20"/>
                <w:szCs w:val="20"/>
              </w:rPr>
              <w:t xml:space="preserve"> afiliată” reținem riscurile aferente utilizării conceptului prenotat în calitate de tertip juridic pentru eludarea restricțiilor de participare. Existența zonelor de legislație deficitară, coroborat cu inadecvarea resurselor disponibile organelor abilitate cu prevenirea și combaterea corupției, spălării banilor și finanțării terorismului, poate favoriza riscul sporit de materializare a folosirii intensive a numerarului de către grupurile de crimă organizată pentru disimularea originii ilicite a banilor și reciclarea acestora, condiționând lipsa unui răspuns adecvat la realitățile sociale actuale.</w:t>
            </w:r>
          </w:p>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Recomandări: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Excluderea expresiei </w:t>
            </w:r>
            <w:r w:rsidRPr="00C10518">
              <w:rPr>
                <w:rFonts w:ascii="Times New Roman" w:hAnsi="Times New Roman" w:cs="Times New Roman"/>
                <w:i/>
                <w:iCs/>
                <w:sz w:val="20"/>
                <w:szCs w:val="20"/>
              </w:rPr>
              <w:t xml:space="preserve">”în ultimii 5 ani” </w:t>
            </w:r>
            <w:r w:rsidRPr="00C10518">
              <w:rPr>
                <w:rFonts w:ascii="Times New Roman" w:hAnsi="Times New Roman" w:cs="Times New Roman"/>
                <w:sz w:val="20"/>
                <w:szCs w:val="20"/>
              </w:rPr>
              <w:t xml:space="preserve">și completarea după cuvintele ” ofertant sau candidat” cu cuvintele </w:t>
            </w:r>
            <w:r w:rsidRPr="00C10518">
              <w:rPr>
                <w:rFonts w:ascii="Times New Roman" w:hAnsi="Times New Roman" w:cs="Times New Roman"/>
                <w:i/>
                <w:iCs/>
                <w:sz w:val="20"/>
                <w:szCs w:val="20"/>
              </w:rPr>
              <w:t>”persoane afiliate acestora”.</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7</w:t>
            </w: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Obiecții: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Utilizarea cuvintelor </w:t>
            </w:r>
            <w:r w:rsidRPr="00C10518">
              <w:rPr>
                <w:rFonts w:ascii="Times New Roman" w:hAnsi="Times New Roman" w:cs="Times New Roman"/>
                <w:i/>
                <w:iCs/>
                <w:sz w:val="20"/>
                <w:szCs w:val="20"/>
              </w:rPr>
              <w:t xml:space="preserve">„după caz” </w:t>
            </w:r>
            <w:r w:rsidRPr="00C10518">
              <w:rPr>
                <w:rFonts w:ascii="Times New Roman" w:hAnsi="Times New Roman" w:cs="Times New Roman"/>
                <w:sz w:val="20"/>
                <w:szCs w:val="20"/>
              </w:rPr>
              <w:t>atribuie caracter ambiguu spectrului de exigențelor de formă/conținut a dării de seamă întocmite, fapt care denotă neîntrunirea exigențelor de tehnică legislativă vizate de art. 54 al Legii nr. 100/2017. Carența în speță, poate determina interpretarea extensivă a normei în contextul aprecierii de către agentului public responsabil de implementarea normei a completitudinii întrunirii cerințelor prescrise de lege și întocmirea formală a actelor în speță de către agentului public responsabil de implementarea normei.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Totodată, apreciind obiectul de reglementare a prevederilor art. 37 alin. (1) lit. b)-c) al proiectului, cît și ținînd cont de finalitățile scontate ale procesului de întocmire și prezentare a dării de seamă, reținem insuficiența redacției art. 37 alin. (1) lit. b) întru responsabilizarea agentului public vizat.</w:t>
            </w:r>
          </w:p>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lastRenderedPageBreak/>
              <w:t>Recomandări:</w:t>
            </w:r>
          </w:p>
          <w:p w:rsidR="004C7663" w:rsidRPr="00C10518" w:rsidRDefault="004C7663" w:rsidP="004C7663">
            <w:pPr>
              <w:jc w:val="both"/>
              <w:rPr>
                <w:rFonts w:ascii="Times New Roman" w:hAnsi="Times New Roman" w:cs="Times New Roman"/>
                <w:i/>
                <w:iCs/>
                <w:sz w:val="20"/>
                <w:szCs w:val="20"/>
              </w:rPr>
            </w:pPr>
            <w:r w:rsidRPr="00C10518">
              <w:rPr>
                <w:rFonts w:ascii="Times New Roman" w:hAnsi="Times New Roman" w:cs="Times New Roman"/>
                <w:sz w:val="20"/>
                <w:szCs w:val="20"/>
              </w:rPr>
              <w:t xml:space="preserve">Excluderea cuvintelor </w:t>
            </w:r>
            <w:r w:rsidRPr="00C10518">
              <w:rPr>
                <w:rFonts w:ascii="Times New Roman" w:hAnsi="Times New Roman" w:cs="Times New Roman"/>
                <w:i/>
                <w:iCs/>
                <w:sz w:val="20"/>
                <w:szCs w:val="20"/>
              </w:rPr>
              <w:t>„după caz”.</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Unificarea prevederilor art.37 alin.</w:t>
            </w:r>
            <w:r w:rsidR="005B726D" w:rsidRPr="00C10518">
              <w:rPr>
                <w:rFonts w:ascii="Times New Roman" w:hAnsi="Times New Roman" w:cs="Times New Roman"/>
                <w:sz w:val="20"/>
                <w:szCs w:val="20"/>
              </w:rPr>
              <w:t xml:space="preserve"> </w:t>
            </w:r>
            <w:r w:rsidRPr="00C10518">
              <w:rPr>
                <w:rFonts w:ascii="Times New Roman" w:hAnsi="Times New Roman" w:cs="Times New Roman"/>
                <w:sz w:val="20"/>
                <w:szCs w:val="20"/>
              </w:rPr>
              <w:t>(1) lit.</w:t>
            </w:r>
            <w:r w:rsidR="005B726D" w:rsidRPr="00C10518">
              <w:rPr>
                <w:rFonts w:ascii="Times New Roman" w:hAnsi="Times New Roman" w:cs="Times New Roman"/>
                <w:sz w:val="20"/>
                <w:szCs w:val="20"/>
              </w:rPr>
              <w:t xml:space="preserve"> </w:t>
            </w:r>
            <w:r w:rsidRPr="00C10518">
              <w:rPr>
                <w:rFonts w:ascii="Times New Roman" w:hAnsi="Times New Roman" w:cs="Times New Roman"/>
                <w:sz w:val="20"/>
                <w:szCs w:val="20"/>
              </w:rPr>
              <w:t xml:space="preserve">b)-c), astfel încît redacția finală să prevadă </w:t>
            </w:r>
            <w:r w:rsidRPr="00C10518">
              <w:rPr>
                <w:rFonts w:ascii="Times New Roman" w:hAnsi="Times New Roman" w:cs="Times New Roman"/>
                <w:i/>
                <w:iCs/>
                <w:sz w:val="20"/>
                <w:szCs w:val="20"/>
              </w:rPr>
              <w:t xml:space="preserve">obligația generală </w:t>
            </w:r>
            <w:r w:rsidRPr="00C10518">
              <w:rPr>
                <w:rFonts w:ascii="Times New Roman" w:hAnsi="Times New Roman" w:cs="Times New Roman"/>
                <w:sz w:val="20"/>
                <w:szCs w:val="20"/>
              </w:rPr>
              <w:t>a Autorităților/Entităților contractante de a motiva procedura de atribuire aleasă. O soluție în acest sens poate</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constitui ” procedura de atribuire aleasă și circumstanţele care justifică recurgerea la această procedură”.</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8</w:t>
            </w: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Obiecții:</w:t>
            </w:r>
          </w:p>
          <w:p w:rsidR="004C7663" w:rsidRPr="00C10518" w:rsidRDefault="004C7663" w:rsidP="004C7663">
            <w:pPr>
              <w:jc w:val="both"/>
              <w:rPr>
                <w:rFonts w:ascii="Times New Roman" w:hAnsi="Times New Roman" w:cs="Times New Roman"/>
                <w:i/>
                <w:iCs/>
                <w:sz w:val="20"/>
                <w:szCs w:val="20"/>
              </w:rPr>
            </w:pPr>
            <w:r w:rsidRPr="00C10518">
              <w:rPr>
                <w:rFonts w:ascii="Times New Roman" w:hAnsi="Times New Roman" w:cs="Times New Roman"/>
                <w:sz w:val="20"/>
                <w:szCs w:val="20"/>
              </w:rPr>
              <w:t xml:space="preserve">Abrogarea HG 1420/2016 prin care a fost reglementată evidența operatorilor calificați în cadrul procedurilor de achiziţie publică a fost condiționată de desuetudinea conceptului în speță și modificarea corespunzătoare a Legii nr.131/2015 privind achizițiile publice, potrivit cărora Agenția Achiziții Publice elaborează și menține doar </w:t>
            </w:r>
            <w:r w:rsidRPr="00C10518">
              <w:rPr>
                <w:rFonts w:ascii="Times New Roman" w:hAnsi="Times New Roman" w:cs="Times New Roman"/>
                <w:i/>
                <w:iCs/>
                <w:sz w:val="20"/>
                <w:szCs w:val="20"/>
              </w:rPr>
              <w:t>Lista de interdicție a operatorilor economici, nu și Lista operatorilor economici calificați.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Subsecvent, se remarcă lipsa unor referințe corespondente în cadrul proiectului ce vizează </w:t>
            </w:r>
            <w:r w:rsidRPr="00C10518">
              <w:rPr>
                <w:rFonts w:ascii="Times New Roman" w:hAnsi="Times New Roman" w:cs="Times New Roman"/>
                <w:i/>
                <w:iCs/>
                <w:sz w:val="20"/>
                <w:szCs w:val="20"/>
              </w:rPr>
              <w:t xml:space="preserve">Lista de interdicție a operatorilor economici </w:t>
            </w:r>
            <w:r w:rsidRPr="00C10518">
              <w:rPr>
                <w:rFonts w:ascii="Times New Roman" w:hAnsi="Times New Roman" w:cs="Times New Roman"/>
                <w:sz w:val="20"/>
                <w:szCs w:val="20"/>
              </w:rPr>
              <w:t>(obligația întocmirii acesteia și entitatea publică responsabilă, criterii de includere în conținutului acesteia (inclusiv în contextul prezentării informațiilor false/neveridice); neeligibilitatea ofertantului sau candidatului în condițiile în care se regăsește în Lista de interdicţie a operatorilor economici și obligaţia autorității contractante de a-l exclude din procedura de atribuire a contractului de achiziţii publice a acestuia).</w:t>
            </w:r>
          </w:p>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Recomandări: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Reconsiderarea prevederilor art. 46 și reglementarea aspectelor deficitare evidențiate supra ce țin de </w:t>
            </w:r>
            <w:r w:rsidRPr="00C10518">
              <w:rPr>
                <w:rFonts w:ascii="Times New Roman" w:hAnsi="Times New Roman" w:cs="Times New Roman"/>
                <w:i/>
                <w:iCs/>
                <w:sz w:val="20"/>
                <w:szCs w:val="20"/>
              </w:rPr>
              <w:t>Lista de interdicție a operatorilor economici.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 xml:space="preserve">În prezent, Ministerul Finanțelor modifică Legea nr. 131/2015, iar ca rezultat al acestui proces, vor fi eliminate toate prevederile referitoare la </w:t>
            </w:r>
            <w:r w:rsidRPr="00C10518">
              <w:rPr>
                <w:rFonts w:ascii="Times New Roman" w:hAnsi="Times New Roman" w:cs="Times New Roman"/>
                <w:i/>
                <w:sz w:val="20"/>
                <w:szCs w:val="20"/>
              </w:rPr>
              <w:t>Lista de interdicție a operatorilor economici</w:t>
            </w:r>
            <w:r w:rsidRPr="00C10518">
              <w:rPr>
                <w:rFonts w:ascii="Times New Roman" w:hAnsi="Times New Roman" w:cs="Times New Roman"/>
                <w:sz w:val="20"/>
                <w:szCs w:val="20"/>
              </w:rPr>
              <w:t>.</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9</w:t>
            </w:r>
          </w:p>
        </w:tc>
        <w:tc>
          <w:tcPr>
            <w:tcW w:w="4111" w:type="dxa"/>
            <w:shd w:val="clear" w:color="auto" w:fill="auto"/>
          </w:tcPr>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Obiecții: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Adoptarea prevederilor proiectului citate supra în redacția propusă, va determina un vid legislativ sub aspectul reglementării normelor procedurale de examinare și soluţionare a contestaţiilor </w:t>
            </w:r>
            <w:r w:rsidRPr="00C10518">
              <w:rPr>
                <w:rFonts w:ascii="Times New Roman" w:hAnsi="Times New Roman" w:cs="Times New Roman"/>
                <w:sz w:val="20"/>
                <w:szCs w:val="20"/>
              </w:rPr>
              <w:lastRenderedPageBreak/>
              <w:t>privind atribuirea contractelor de achiziţii în domeniul apărării și securității. Carența în speță, denotă neîntrunirea exigențelor vizate de art.29 alin.</w:t>
            </w:r>
            <w:r w:rsidR="005B726D" w:rsidRPr="00C10518">
              <w:rPr>
                <w:rFonts w:ascii="Times New Roman" w:hAnsi="Times New Roman" w:cs="Times New Roman"/>
                <w:sz w:val="20"/>
                <w:szCs w:val="20"/>
              </w:rPr>
              <w:t xml:space="preserve"> </w:t>
            </w:r>
            <w:r w:rsidRPr="00C10518">
              <w:rPr>
                <w:rFonts w:ascii="Times New Roman" w:hAnsi="Times New Roman" w:cs="Times New Roman"/>
                <w:sz w:val="20"/>
                <w:szCs w:val="20"/>
              </w:rPr>
              <w:t>(2), art.47 alin.</w:t>
            </w:r>
            <w:r w:rsidR="005B726D" w:rsidRPr="00C10518">
              <w:rPr>
                <w:rFonts w:ascii="Times New Roman" w:hAnsi="Times New Roman" w:cs="Times New Roman"/>
                <w:sz w:val="20"/>
                <w:szCs w:val="20"/>
              </w:rPr>
              <w:t xml:space="preserve"> </w:t>
            </w:r>
            <w:r w:rsidRPr="00C10518">
              <w:rPr>
                <w:rFonts w:ascii="Times New Roman" w:hAnsi="Times New Roman" w:cs="Times New Roman"/>
                <w:sz w:val="20"/>
                <w:szCs w:val="20"/>
              </w:rPr>
              <w:t>(2) și art.63 alin.</w:t>
            </w:r>
            <w:r w:rsidR="005B726D" w:rsidRPr="00C10518">
              <w:rPr>
                <w:rFonts w:ascii="Times New Roman" w:hAnsi="Times New Roman" w:cs="Times New Roman"/>
                <w:sz w:val="20"/>
                <w:szCs w:val="20"/>
              </w:rPr>
              <w:t xml:space="preserve"> </w:t>
            </w:r>
            <w:r w:rsidRPr="00C10518">
              <w:rPr>
                <w:rFonts w:ascii="Times New Roman" w:hAnsi="Times New Roman" w:cs="Times New Roman"/>
                <w:sz w:val="20"/>
                <w:szCs w:val="20"/>
              </w:rPr>
              <w:t>(4) al Legii nr.100/2017, după cum urmează:</w:t>
            </w:r>
          </w:p>
          <w:p w:rsidR="004C7663" w:rsidRPr="00C10518" w:rsidRDefault="004C7663" w:rsidP="004C7663">
            <w:pPr>
              <w:jc w:val="both"/>
              <w:rPr>
                <w:rFonts w:ascii="Times New Roman" w:hAnsi="Times New Roman" w:cs="Times New Roman"/>
                <w:i/>
                <w:iCs/>
                <w:sz w:val="20"/>
                <w:szCs w:val="20"/>
              </w:rPr>
            </w:pPr>
            <w:r w:rsidRPr="00C10518">
              <w:rPr>
                <w:rFonts w:ascii="Times New Roman" w:hAnsi="Times New Roman" w:cs="Times New Roman"/>
                <w:i/>
                <w:iCs/>
                <w:sz w:val="20"/>
                <w:szCs w:val="20"/>
              </w:rPr>
              <w:t>Articolul 29. Întocmirea versiunii iniţiale a proiectului actului normativ Pentru a se evita lacunele legislative, soluţiile propuse în proiectul actului normativ trebuie să acopere întreaga problematică a relaţiilor sociale ce constituie obiectul de reglementare al proiectului.</w:t>
            </w:r>
          </w:p>
          <w:p w:rsidR="004C7663" w:rsidRPr="00C10518" w:rsidRDefault="004C7663" w:rsidP="004C7663">
            <w:pPr>
              <w:jc w:val="both"/>
              <w:rPr>
                <w:rFonts w:ascii="Times New Roman" w:hAnsi="Times New Roman" w:cs="Times New Roman"/>
                <w:i/>
                <w:iCs/>
                <w:sz w:val="20"/>
                <w:szCs w:val="20"/>
              </w:rPr>
            </w:pPr>
            <w:r w:rsidRPr="00C10518">
              <w:rPr>
                <w:rFonts w:ascii="Times New Roman" w:hAnsi="Times New Roman" w:cs="Times New Roman"/>
                <w:i/>
                <w:iCs/>
                <w:sz w:val="20"/>
                <w:szCs w:val="20"/>
              </w:rPr>
              <w:t xml:space="preserve">Articolul 47. Dispoziţiile finale </w:t>
            </w:r>
          </w:p>
          <w:p w:rsidR="004C7663" w:rsidRPr="00C10518" w:rsidRDefault="004C7663" w:rsidP="004C7663">
            <w:pPr>
              <w:jc w:val="both"/>
              <w:rPr>
                <w:rFonts w:ascii="Times New Roman" w:hAnsi="Times New Roman" w:cs="Times New Roman"/>
                <w:i/>
                <w:iCs/>
                <w:sz w:val="20"/>
                <w:szCs w:val="20"/>
              </w:rPr>
            </w:pPr>
            <w:r w:rsidRPr="00C10518">
              <w:rPr>
                <w:rFonts w:ascii="Times New Roman" w:hAnsi="Times New Roman" w:cs="Times New Roman"/>
                <w:i/>
                <w:iCs/>
                <w:sz w:val="20"/>
                <w:szCs w:val="20"/>
              </w:rPr>
              <w:t>În dispoziţiile finale se includ reglementările privind obligaţia autorităţilor responsabile de a executa actul normativ, de a întreprinde măsurile şi de a realiza procedurile necesare</w:t>
            </w:r>
          </w:p>
          <w:p w:rsidR="004C7663" w:rsidRPr="00C10518" w:rsidRDefault="004C7663" w:rsidP="004C7663">
            <w:pPr>
              <w:jc w:val="both"/>
              <w:rPr>
                <w:rFonts w:ascii="Times New Roman" w:hAnsi="Times New Roman" w:cs="Times New Roman"/>
                <w:i/>
                <w:iCs/>
                <w:sz w:val="20"/>
                <w:szCs w:val="20"/>
              </w:rPr>
            </w:pPr>
            <w:r w:rsidRPr="00C10518">
              <w:rPr>
                <w:rFonts w:ascii="Times New Roman" w:hAnsi="Times New Roman" w:cs="Times New Roman"/>
                <w:i/>
                <w:iCs/>
                <w:sz w:val="20"/>
                <w:szCs w:val="20"/>
              </w:rPr>
              <w:t>executării. În cazul în care pentru punerea în aplicare a actului normativ este necesară adoptarea sau aprobarea unor norme de aplicare (metodologii, regulamente etc.) ori constituirea unor organe sau instituţii, proiectele actelor normative respective se prezintă spre adoptare, aprobare sau emitere nu mai tîrziu de intrarea în vigoare a actului normativ de bază, dacă în actul normativ de bază nu este prevăzut altfel.</w:t>
            </w:r>
          </w:p>
          <w:p w:rsidR="004C7663" w:rsidRPr="00C10518" w:rsidRDefault="004C7663" w:rsidP="004C7663">
            <w:pPr>
              <w:jc w:val="both"/>
              <w:rPr>
                <w:rFonts w:ascii="Times New Roman" w:hAnsi="Times New Roman" w:cs="Times New Roman"/>
                <w:i/>
                <w:iCs/>
                <w:sz w:val="20"/>
                <w:szCs w:val="20"/>
              </w:rPr>
            </w:pPr>
            <w:r w:rsidRPr="00C10518">
              <w:rPr>
                <w:rFonts w:ascii="Times New Roman" w:hAnsi="Times New Roman" w:cs="Times New Roman"/>
                <w:i/>
                <w:iCs/>
                <w:sz w:val="20"/>
                <w:szCs w:val="20"/>
              </w:rPr>
              <w:t>Articolul 63. Condiţiile generale de modificare a actului normativ”</w:t>
            </w:r>
          </w:p>
          <w:p w:rsidR="004C7663" w:rsidRPr="00C10518" w:rsidRDefault="004C7663" w:rsidP="004C7663">
            <w:pPr>
              <w:jc w:val="both"/>
              <w:rPr>
                <w:rFonts w:ascii="Times New Roman" w:hAnsi="Times New Roman" w:cs="Times New Roman"/>
                <w:i/>
                <w:iCs/>
                <w:sz w:val="20"/>
                <w:szCs w:val="20"/>
              </w:rPr>
            </w:pPr>
            <w:r w:rsidRPr="00C10518">
              <w:rPr>
                <w:rFonts w:ascii="Times New Roman" w:hAnsi="Times New Roman" w:cs="Times New Roman"/>
                <w:i/>
                <w:iCs/>
                <w:sz w:val="20"/>
                <w:szCs w:val="20"/>
              </w:rPr>
              <w:t>Dacă adoptarea, aprobarea sau emiterea unui act normativ presupune modificarea ulterioară a altor acte normative, modificările respective se includ, în ordine cronologică, într-un proiect separat de modificare a cadrului normativ conex, care se prezintă împreună cu proiectul actului normativ de bază, sau se includ în dispoziţiile tranzitorii ale actului normativ de bază.”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Subsecvent reținem faptul că reglementarea lacunară a procedurilor administrative pe care le gestionează entitățile publice (în speță ANSC), denotă neîntrunirea exigențelor de reglementare comprehensibilă și transparentă a acțiunilor </w:t>
            </w:r>
            <w:r w:rsidRPr="00C10518">
              <w:rPr>
                <w:rFonts w:ascii="Times New Roman" w:hAnsi="Times New Roman" w:cs="Times New Roman"/>
                <w:sz w:val="20"/>
                <w:szCs w:val="20"/>
              </w:rPr>
              <w:lastRenderedPageBreak/>
              <w:t>autorităților publice stabilite inclusiv de prevederile art.32 al Codului administrative nr.116 din 19 iulie 2018 și determină discreţia periculoasă a agentului public responsabil de implementarea normei, de a dezvolta reguli procedurale convenabile propriilor sale interese, contrare interesului public (în sensul stabilit de prevederile Legii integrităţii nr.82 din 25 mai 2017).</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În acest context, se accentuează faptul că potrivit exigențelor prenotate, procedura administrativă se structurează în mod indispensabil în cadrul unui act normativ, astfel încît participanţii să poată înţelege fiecare etapă a procedurii desfășurate, spectrul de drepturi exercitate și obligațiile asumate. Omisiunea legiuitorului de a reglementa procedurile administrative pe care le gestionează entitatea publică/agentul public, determină discreţia periculoasă a agentului public responsabil de a dezvolta reguli procedural convenabile propriilor sale interese, contrare interesului public.</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Totodată, deficiența în speță, atribuie per ansamblu, caracter incert relaţiilor sociale reglementate, îndeosebi cele referitoare la mecanismele de realizare a drepturilor, de îndeplinire a obligaţiilor, ambiguitatea atribuţiilor agenților publici şi a procedurilor administrative de care aceștia sunt responsabili etc., situaţii în care agenții publici responsabili/persoanele care au/susțin că au influență asupra acestora, se pot prevala de această deficienţă pentru a comite incidente de integritate/manifestări de corupție.</w:t>
            </w:r>
          </w:p>
          <w:p w:rsidR="004C7663" w:rsidRPr="00C10518" w:rsidRDefault="004C7663" w:rsidP="004C7663">
            <w:pPr>
              <w:jc w:val="both"/>
              <w:rPr>
                <w:rFonts w:ascii="Times New Roman" w:hAnsi="Times New Roman" w:cs="Times New Roman"/>
                <w:b/>
                <w:bCs/>
                <w:sz w:val="20"/>
                <w:szCs w:val="20"/>
              </w:rPr>
            </w:pPr>
            <w:r w:rsidRPr="00C10518">
              <w:rPr>
                <w:rFonts w:ascii="Times New Roman" w:hAnsi="Times New Roman" w:cs="Times New Roman"/>
                <w:b/>
                <w:bCs/>
                <w:sz w:val="20"/>
                <w:szCs w:val="20"/>
              </w:rPr>
              <w:t>Recomandări: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Revizuirea dispozițiilor finale sub aspectul momentului intrării în vigoare a prevederilor înaintate spre examinare. Elaborarea, promovarea și adoptarea concomitentă a amendamentelor la cadrul normative primar și normelor procedurale de examinare a contestațiilor.</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Dispozițiile finale au fost modificate conform propunerilor Ministerului Justiției.</w:t>
            </w:r>
          </w:p>
          <w:p w:rsidR="004C7663" w:rsidRPr="00C10518" w:rsidRDefault="004C7663" w:rsidP="004C7663">
            <w:pPr>
              <w:jc w:val="both"/>
              <w:rPr>
                <w:rFonts w:ascii="Times New Roman" w:hAnsi="Times New Roman" w:cs="Times New Roman"/>
                <w:sz w:val="20"/>
                <w:szCs w:val="20"/>
              </w:rPr>
            </w:pPr>
          </w:p>
          <w:p w:rsidR="004C7663" w:rsidRPr="00C10518" w:rsidRDefault="004C7663" w:rsidP="004C7663">
            <w:pPr>
              <w:jc w:val="both"/>
              <w:rPr>
                <w:rFonts w:ascii="Times New Roman" w:hAnsi="Times New Roman" w:cs="Times New Roman"/>
                <w:b/>
                <w:sz w:val="20"/>
                <w:szCs w:val="20"/>
              </w:rPr>
            </w:pPr>
          </w:p>
          <w:p w:rsidR="004C7663" w:rsidRPr="00C10518" w:rsidRDefault="004C7663" w:rsidP="004C7663">
            <w:pPr>
              <w:jc w:val="both"/>
              <w:rPr>
                <w:rFonts w:ascii="Times New Roman" w:hAnsi="Times New Roman" w:cs="Times New Roman"/>
                <w:b/>
                <w:sz w:val="20"/>
                <w:szCs w:val="20"/>
              </w:rPr>
            </w:pPr>
          </w:p>
          <w:p w:rsidR="004C7663" w:rsidRPr="00C10518" w:rsidRDefault="004C7663" w:rsidP="004C7663">
            <w:pPr>
              <w:jc w:val="both"/>
              <w:rPr>
                <w:rFonts w:ascii="Times New Roman" w:hAnsi="Times New Roman" w:cs="Times New Roman"/>
                <w:b/>
                <w:sz w:val="20"/>
                <w:szCs w:val="20"/>
              </w:rPr>
            </w:pPr>
          </w:p>
          <w:p w:rsidR="004C7663" w:rsidRPr="00C10518" w:rsidRDefault="004C7663" w:rsidP="004C7663">
            <w:pPr>
              <w:jc w:val="both"/>
              <w:rPr>
                <w:rFonts w:ascii="Times New Roman" w:hAnsi="Times New Roman" w:cs="Times New Roman"/>
                <w:b/>
                <w:sz w:val="20"/>
                <w:szCs w:val="20"/>
              </w:rPr>
            </w:pPr>
          </w:p>
          <w:p w:rsidR="004C7663" w:rsidRPr="00C10518" w:rsidRDefault="004C7663" w:rsidP="004C7663">
            <w:pPr>
              <w:jc w:val="both"/>
              <w:rPr>
                <w:rFonts w:ascii="Times New Roman" w:hAnsi="Times New Roman" w:cs="Times New Roman"/>
                <w:b/>
                <w:sz w:val="20"/>
                <w:szCs w:val="20"/>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lastRenderedPageBreak/>
              <w:t>Centrul de armonizare a legislației</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Cs/>
                <w:sz w:val="20"/>
                <w:szCs w:val="20"/>
                <w:lang w:val="ro-RO"/>
              </w:rPr>
            </w:pP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b/>
                <w:sz w:val="20"/>
                <w:szCs w:val="20"/>
                <w:lang w:val="ro-RO"/>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pStyle w:val="Default"/>
              <w:jc w:val="both"/>
              <w:rPr>
                <w:color w:val="auto"/>
                <w:sz w:val="20"/>
                <w:szCs w:val="20"/>
                <w:lang w:val="en-US"/>
              </w:rPr>
            </w:pPr>
            <w:r w:rsidRPr="00C10518">
              <w:rPr>
                <w:color w:val="auto"/>
                <w:sz w:val="20"/>
                <w:szCs w:val="20"/>
                <w:lang w:val="en-US"/>
              </w:rPr>
              <w:t xml:space="preserve">Ca urmare a examinării versiunii inițiale a proiectului, prin Declarația de compatibilitate nr. 31/02-126-3246 din 22 martie 2024, au fost înaintate un șir de recomandări și obiecții de compatibilitate care au fost însușite parțial de către autor în procesul definitivării acestuia. </w:t>
            </w:r>
          </w:p>
          <w:p w:rsidR="004C7663" w:rsidRPr="00C10518" w:rsidRDefault="004C7663" w:rsidP="004C7663">
            <w:pPr>
              <w:pStyle w:val="Default"/>
              <w:jc w:val="both"/>
              <w:rPr>
                <w:color w:val="auto"/>
                <w:sz w:val="20"/>
                <w:szCs w:val="20"/>
                <w:lang w:val="en-US"/>
              </w:rPr>
            </w:pPr>
            <w:r w:rsidRPr="00C10518">
              <w:rPr>
                <w:color w:val="auto"/>
                <w:sz w:val="20"/>
                <w:szCs w:val="20"/>
                <w:lang w:val="en-US"/>
              </w:rPr>
              <w:t xml:space="preserve">În context, reiterăm necesitatea inserării clauzei de armonizare în proiectul național, în următoarea redacție: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i/>
                <w:iCs/>
                <w:sz w:val="20"/>
                <w:szCs w:val="20"/>
              </w:rPr>
              <w:t>Prezenta lege transpune parțial (transpune art. 1 - 55 și Anexele I - V) Directiva 2009/81/CE a Parlamentului European și a Consiliului din 13 iulie 2009 privind coordonarea procedurilor de atribuire a anumitor contracte de lucrări, de furnizare de bunuri și de prestare de servicii de către autoritățile contractante în domeniile apărării și securității, de modificare a Directivelor 2004/17/CE și 2004/18/CE, (CELEX: 32009L0081), publicată în Jurnalul Oficial al Uniunii Europene L 216/76 din 20 august 2009, așa cum a fost modificat ultima dată prin Regulamentul delegat (UE) 2023/2510 al Comisiei din 15 noiembrie 2023 de modificare a Directivei 2009/81/CE a Parlamentului European și a Consiliului în ceea ce privește pragurile pentru contractele de achiziții publice de lucrări, de bunuri și de servicii.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2</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Evidențiem că, transpunerea parțială a dispozițiilor actului UE prin actul normativ național este condiționată de următoarele: </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Un șir de noțiuni utilizate în textul proiectului, conform dispozițiilor art. 1 din Directivă, se regăsesc deja definite în art. 1 din Legea nr. 131/2015 privind achizițiile publice și art. 2 din Legea nr. 74/2020 privind achizițiile în sectoarele energeticii, apei, transporturilor și serviciilor poștale. Menționăm că, aceste referințe normative urmează a fi incluse în Tabelul de concordanță, în care se va menționa titlul actului normativ național, articolul, </w:t>
            </w:r>
            <w:r w:rsidRPr="00C10518">
              <w:rPr>
                <w:rFonts w:ascii="Times New Roman" w:hAnsi="Times New Roman" w:cs="Times New Roman"/>
                <w:sz w:val="20"/>
                <w:szCs w:val="20"/>
              </w:rPr>
              <w:lastRenderedPageBreak/>
              <w:t>alineatul, paragraful etc., care au transpus dispozițiile actului UE.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3</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Deși prevederile art. 30, 45, 46 și 55 din Tratat menționate în art. 2 din Directivă, reieșind din statutul de țară candidată, nu sunt obligatorii pentru transpunere în cadrul juridic național, autorul menționează posibilitatea identificării unui mecanism de cooperare a Republicii Moldova în cadrul Agenției Europene de Apărare (AEA).</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În urma recomandărilor propuse de către Ministerul Apărării art. 10 al proiectului a fost completat cu alin. (4)  cu următorul conținut: „</w:t>
            </w:r>
            <w:r w:rsidRPr="00C10518">
              <w:rPr>
                <w:rFonts w:ascii="Times New Roman" w:eastAsia="Calibri" w:hAnsi="Times New Roman" w:cs="Times New Roman"/>
                <w:sz w:val="20"/>
                <w:szCs w:val="20"/>
              </w:rPr>
              <w:t>Autoritatea/Entitatea contractantă cu permisiunea Guvernului are dreptul să se alăture la achizițiile centralizate desfășurate de către Agenția Europeană de Apărare, în acest caz, achizițiile centralizate se desfășoară conform regulilor Agenției Europene de Apărare.”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4</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Dispozițiile UE aplicabile achizițiilor mixte din art. 3 au fost preluate parțial prin art. 3 al proiectului național. Menționăm că, transpunerea și aplicarea corectă a dispozițiilor menționate este condiționată de transpunerea totală în Legea nr. 131/2015 privind achizițiile publice a dispozițiilor corespondente din Directiva 2014/24/UE (de ex. Subsecțiunea 2 „Achiziții publice care implică aspecte de apărare sau securitate”, art. 15 - 17).</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În prezent, Ministerul Finanțelor modifică Legea nr. 131/2015, iar ca rezultat al acestui proces, vor fi transpuse total dispozițiile UE aplicabile achizițiilor mixte din art. 3.</w:t>
            </w:r>
          </w:p>
          <w:p w:rsidR="00CB6B84" w:rsidRPr="00C10518" w:rsidRDefault="00CB6B84" w:rsidP="004C7663">
            <w:pPr>
              <w:jc w:val="both"/>
              <w:rPr>
                <w:rFonts w:ascii="Times New Roman" w:hAnsi="Times New Roman" w:cs="Times New Roman"/>
                <w:sz w:val="20"/>
                <w:szCs w:val="20"/>
              </w:rPr>
            </w:pPr>
          </w:p>
          <w:p w:rsidR="00CB6B84" w:rsidRPr="00C10518" w:rsidRDefault="00CB6B84" w:rsidP="00CB6B84">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CB6B84" w:rsidRPr="00C10518" w:rsidRDefault="00CB6B84" w:rsidP="00CB6B84">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CB6B84" w:rsidRPr="00C10518" w:rsidRDefault="00CB6B84" w:rsidP="00CB6B84">
            <w:pPr>
              <w:ind w:left="28" w:right="170" w:firstLine="11"/>
              <w:jc w:val="both"/>
              <w:rPr>
                <w:rFonts w:ascii="Times New Roman" w:eastAsia="Times New Roman" w:hAnsi="Times New Roman" w:cs="Times New Roman"/>
                <w:sz w:val="20"/>
                <w:szCs w:val="20"/>
                <w:lang w:val="ro-RO" w:eastAsia="ru-RU"/>
              </w:rPr>
            </w:pPr>
            <w:r w:rsidRPr="00C10518">
              <w:rPr>
                <w:rFonts w:ascii="Times New Roman" w:eastAsia="Times New Roman" w:hAnsi="Times New Roman" w:cs="Times New Roman"/>
                <w:sz w:val="20"/>
                <w:szCs w:val="20"/>
                <w:lang w:val="ro-RO" w:eastAsia="ru-RU"/>
              </w:rPr>
              <w:t xml:space="preserve">Prevederile art. 3 au fost revizuite </w:t>
            </w:r>
            <w:r w:rsidR="00E3408D" w:rsidRPr="00C10518" w:rsidDel="007A07FC">
              <w:rPr>
                <w:rFonts w:ascii="Times New Roman" w:eastAsia="Times New Roman" w:hAnsi="Times New Roman" w:cs="Times New Roman"/>
                <w:sz w:val="20"/>
                <w:szCs w:val="20"/>
                <w:lang w:val="ro-RO" w:eastAsia="ru-RU"/>
              </w:rPr>
              <w:t xml:space="preserve"> </w:t>
            </w:r>
            <w:r w:rsidR="00E3408D" w:rsidRPr="00C10518">
              <w:rPr>
                <w:rFonts w:ascii="Times New Roman" w:eastAsia="Times New Roman" w:hAnsi="Times New Roman" w:cs="Times New Roman"/>
                <w:sz w:val="20"/>
                <w:szCs w:val="20"/>
                <w:lang w:val="ro-RO" w:eastAsia="ru-RU"/>
              </w:rPr>
              <w:t>conform recomandărilor Comisiei UE din 21.05.2026</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5</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Dispozițiile opționale din art. 10 al Directivei au fost preluate parțial prin art. 10 al actului național. Astfel, autoritatea centrală de achiziții pentru atribuirea anumitor contracte de lucrări, de furnizare de bunuri și de prestare de servicii în domeniile apărării și securității urmează a fi desemnată de Guvern.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Transpunerea totală cu privire la autoritatea centrală de achiziții pentru atribuirea anumitor contracte de lucrări, de furnizare de bunuri și de prestare de servicii în domeniile apărării și securității va fi asigurată prin regulamentul elaborat și aprobat de Guvern.</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6</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Prevederile privind procedurile aplicabile prevăzute în art. 25 al actului UE au fost adaptate și preluate parțial prin art. 25 al proiectului național. Totodată, autorul prevede în alin. (6) din art. 25 că modul de derulare a procedurilor de atribuire prevăzute la acest articol urmează a fi reglementate de Guvern.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CB6B84">
            <w:pPr>
              <w:jc w:val="both"/>
              <w:rPr>
                <w:rFonts w:ascii="Times New Roman" w:hAnsi="Times New Roman" w:cs="Times New Roman"/>
                <w:b/>
                <w:sz w:val="20"/>
                <w:szCs w:val="20"/>
              </w:rPr>
            </w:pPr>
            <w:r w:rsidRPr="00C10518">
              <w:rPr>
                <w:rFonts w:ascii="Times New Roman" w:hAnsi="Times New Roman" w:cs="Times New Roman"/>
                <w:sz w:val="20"/>
                <w:szCs w:val="20"/>
              </w:rPr>
              <w:t>Transpunerea  modului de derulare a procedurilor de atribuire va fi asigurată prin regulamentul elaborat și aprobat de Guvern.</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7</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Cerințele privind forma și modalitățile de publicare a anunțurilor prevăzute în art. 32 și 33 ale actului UE au fost transpuse parțial prin prevederile art. 32 și 33 ale actului național. În context, modalitatea de transmitere și publicare a anunțurilor urmează a fi reglementată de Guvern.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Transpunerea modalității de transmitere și publicare a anunțurilor va fi asigurată prin regulamentul elaborat și aprobat de Guvern.</w:t>
            </w:r>
          </w:p>
          <w:p w:rsidR="00CB6B84" w:rsidRPr="00C10518" w:rsidRDefault="00CB6B84" w:rsidP="004C7663">
            <w:pPr>
              <w:jc w:val="both"/>
              <w:rPr>
                <w:rFonts w:ascii="Times New Roman" w:hAnsi="Times New Roman" w:cs="Times New Roman"/>
                <w:sz w:val="20"/>
                <w:szCs w:val="20"/>
              </w:rPr>
            </w:pPr>
          </w:p>
          <w:p w:rsidR="00CB6B84" w:rsidRPr="00C10518" w:rsidRDefault="00CB6B84" w:rsidP="00CB6B84">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CB6B84" w:rsidRPr="00C10518" w:rsidRDefault="00CB6B84" w:rsidP="00CB6B84">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CB6B84" w:rsidRPr="00C10518" w:rsidRDefault="00CB6B84" w:rsidP="00CB6B84">
            <w:pPr>
              <w:jc w:val="both"/>
              <w:rPr>
                <w:rFonts w:ascii="Times New Roman" w:hAnsi="Times New Roman" w:cs="Times New Roman"/>
                <w:sz w:val="20"/>
                <w:szCs w:val="20"/>
              </w:rPr>
            </w:pPr>
            <w:r w:rsidRPr="00C10518">
              <w:rPr>
                <w:rFonts w:ascii="Times New Roman" w:hAnsi="Times New Roman" w:cs="Times New Roman"/>
                <w:sz w:val="20"/>
                <w:szCs w:val="20"/>
              </w:rPr>
              <w:t xml:space="preserve">În vederea alinierii cadrului normativ național la acquis-ul Uniunii Europene, Ministerul Finanțelor a elaborat și a asigurat adoptarea Hotărârii Guvernului nr. 610/2025 cu privire la punerea în aplicare </w:t>
            </w:r>
            <w:r w:rsidRPr="00C10518">
              <w:rPr>
                <w:rFonts w:ascii="Times New Roman" w:hAnsi="Times New Roman" w:cs="Times New Roman"/>
                <w:sz w:val="20"/>
                <w:szCs w:val="20"/>
              </w:rPr>
              <w:lastRenderedPageBreak/>
              <w:t>a formularelor standard pentru publicarea anunțurilor în domeniul achizițiilor publice/sectoriale, al apărării și securității, precum și al concesiunilor.</w:t>
            </w:r>
            <w:r w:rsidR="00E3408D" w:rsidRPr="00C10518">
              <w:rPr>
                <w:rFonts w:ascii="Times New Roman" w:hAnsi="Times New Roman" w:cs="Times New Roman"/>
                <w:sz w:val="20"/>
                <w:szCs w:val="20"/>
              </w:rPr>
              <w:t xml:space="preserve"> Totodată, a fost asigurată transpunerea integral a art. 32 și 33 din Directivă.</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8</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Dispozițiile opționale privind întocmirea Listelor oficiale ale operatorilor economici agreați și certificarea de către organismele de drept public sau privat prevăzute în art. 46 al actului UE au fost preluate prin art. 46 al proiectului național, iar cerințele detaliate privind întocmirea Listelor menționate urmează a fi transpuse ulterior prin regulamentul Guvernului.</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Transpunerea Listelor menționate va fi asigurată prin regulamentul elaborat și aprobat de Guvern.</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9</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Normele aplicabile căilor de atac prevăzute în art. 55 - 64 ale actului UE au fost transpuse parțial prin proiectul național. Proiectul național în art. 55 stabilește autoritatea de soluționare a litigiilor – Agenția națională pentru soluționarea contestațiilor, iar în alin. (2) al aceluiași articol stabilește că procedura de soluționare a contestațiilor urmează a fi stabilită de Guvern și aprobată de legislativ.</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Transpus parțial, însă   transpunerea totală va fi asigurată prin regulamentul elaborat de Guvern și aprobat prin hotărârea Parlamentului. </w:t>
            </w:r>
          </w:p>
          <w:p w:rsidR="009E6F9B" w:rsidRPr="00C10518" w:rsidRDefault="009E6F9B" w:rsidP="004C7663">
            <w:pPr>
              <w:jc w:val="both"/>
              <w:rPr>
                <w:rFonts w:ascii="Times New Roman" w:hAnsi="Times New Roman" w:cs="Times New Roman"/>
                <w:sz w:val="20"/>
                <w:szCs w:val="20"/>
              </w:rPr>
            </w:pPr>
          </w:p>
          <w:p w:rsidR="009E6F9B" w:rsidRPr="00C10518" w:rsidRDefault="009E6F9B" w:rsidP="009E6F9B">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9E6F9B" w:rsidRPr="00C10518" w:rsidRDefault="009E6F9B" w:rsidP="009E6F9B">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9E6F9B" w:rsidRPr="00C10518" w:rsidRDefault="009E6F9B" w:rsidP="009E6F9B">
            <w:pPr>
              <w:jc w:val="both"/>
              <w:rPr>
                <w:rFonts w:ascii="Times New Roman" w:hAnsi="Times New Roman" w:cs="Times New Roman"/>
                <w:sz w:val="20"/>
                <w:szCs w:val="20"/>
              </w:rPr>
            </w:pPr>
            <w:r w:rsidRPr="00C10518">
              <w:rPr>
                <w:rFonts w:ascii="Times New Roman" w:hAnsi="Times New Roman" w:cs="Times New Roman"/>
                <w:sz w:val="20"/>
                <w:szCs w:val="20"/>
              </w:rPr>
              <w:t>Reieșind din decizia adoptată în cadrul procesului de elaborare și promovare a Legii nr. 325/2025 privind achizițiile publice, potrivit căreia normele referitoare la remedii și căile de atac urmează să fie reglementate într-un act normativ distinct, a fost adoptată Legea nr. 20/2026 privind remediile și căile de atac în materie de atribuire a contractelor de achiziții publice, sectoriale și de concesiune. În acest context, s-a decis ca dispozițiile Titlului IV „Norme aplicabile căilor de atac” din Directiva 2009/81/CE să nu fie transpuse în prezentul proiect de lege. Transpunerea acestora va fi asigurată prin completarea Legii nr. 20/2026 cu un capitol distinct dedicat căilor de atac aplicabile contractelor de achiziții din domeniile apărării și securității naționale.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10</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Anexa VI „Caracteristici privind publicarea”, Anexa VII „Registre” și Anexa VIII „Cerințe privind dispozitivele de primire pe cale electronică a cererilor de participare și a ofertelor” din actul UE nu au fost transpuse prin proiectul național, iar autorul menționează despre ulterioara transpunerea a acestora prin regulamentul elaborat și aprobat de Guvern.</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Transpunerea anexelor enumerate va fi asigurată prin regulamentul elaborat și aprobat de Guvern.</w:t>
            </w:r>
          </w:p>
          <w:p w:rsidR="009E6F9B" w:rsidRPr="00C10518" w:rsidRDefault="009E6F9B" w:rsidP="004C7663">
            <w:pPr>
              <w:jc w:val="both"/>
              <w:rPr>
                <w:rFonts w:ascii="Times New Roman" w:hAnsi="Times New Roman" w:cs="Times New Roman"/>
                <w:sz w:val="20"/>
                <w:szCs w:val="20"/>
              </w:rPr>
            </w:pPr>
          </w:p>
          <w:p w:rsidR="009E6F9B" w:rsidRPr="00C10518" w:rsidRDefault="009E6F9B" w:rsidP="009E6F9B">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9E6F9B" w:rsidRPr="00C10518" w:rsidRDefault="009E6F9B" w:rsidP="009E6F9B">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9E6F9B" w:rsidRPr="00C10518" w:rsidRDefault="009E6F9B" w:rsidP="009E6F9B">
            <w:pPr>
              <w:pStyle w:val="Listparagraf"/>
              <w:tabs>
                <w:tab w:val="left" w:pos="-90"/>
                <w:tab w:val="left" w:pos="311"/>
                <w:tab w:val="left" w:pos="1260"/>
              </w:tabs>
              <w:ind w:left="39"/>
              <w:jc w:val="both"/>
              <w:rPr>
                <w:rFonts w:ascii="Times New Roman" w:hAnsi="Times New Roman" w:cs="Times New Roman"/>
                <w:sz w:val="20"/>
                <w:szCs w:val="20"/>
              </w:rPr>
            </w:pPr>
            <w:r w:rsidRPr="00C10518">
              <w:rPr>
                <w:rFonts w:ascii="Times New Roman" w:hAnsi="Times New Roman" w:cs="Times New Roman"/>
                <w:sz w:val="20"/>
                <w:szCs w:val="20"/>
              </w:rPr>
              <w:t>Anexa VI la Directivă a fost transpusă în legislația națională prin dispozițiile art. 30 „Anunțuri”, art. 32 „Forma și modalitățile de publicare a anunțurilor” și art. 52 „Praguri și norme privind publicitatea pentru subcontractele atribuite de ofertanții desemnați câștigători care nu au calitatea de autoritate/entitate contractantă”.</w:t>
            </w:r>
          </w:p>
          <w:p w:rsidR="009E6F9B" w:rsidRPr="00C10518" w:rsidRDefault="009E6F9B" w:rsidP="009E6F9B">
            <w:pPr>
              <w:pStyle w:val="Listparagraf"/>
              <w:tabs>
                <w:tab w:val="left" w:pos="-90"/>
                <w:tab w:val="left" w:pos="311"/>
                <w:tab w:val="left" w:pos="1260"/>
              </w:tabs>
              <w:ind w:left="39"/>
              <w:jc w:val="both"/>
              <w:rPr>
                <w:rFonts w:ascii="Times New Roman" w:hAnsi="Times New Roman" w:cs="Times New Roman"/>
                <w:sz w:val="20"/>
                <w:szCs w:val="20"/>
              </w:rPr>
            </w:pPr>
            <w:r w:rsidRPr="00C10518">
              <w:rPr>
                <w:rFonts w:ascii="Times New Roman" w:hAnsi="Times New Roman" w:cs="Times New Roman"/>
                <w:sz w:val="20"/>
                <w:szCs w:val="20"/>
              </w:rPr>
              <w:lastRenderedPageBreak/>
              <w:t>În ceea ce privește Anexa VII, aceasta nu a necesitat măsuri distincte de transpunere, nepreluarea sa nefiind de natură să genereze neconcordanțe cu prevederile Directivei.</w:t>
            </w:r>
          </w:p>
          <w:p w:rsidR="009E6F9B" w:rsidRPr="00C10518" w:rsidRDefault="009E6F9B" w:rsidP="009E6F9B">
            <w:pPr>
              <w:jc w:val="both"/>
              <w:rPr>
                <w:rFonts w:ascii="Times New Roman" w:hAnsi="Times New Roman" w:cs="Times New Roman"/>
                <w:b/>
                <w:sz w:val="20"/>
                <w:szCs w:val="20"/>
              </w:rPr>
            </w:pPr>
            <w:r w:rsidRPr="00C10518">
              <w:rPr>
                <w:rFonts w:ascii="Times New Roman" w:hAnsi="Times New Roman" w:cs="Times New Roman"/>
                <w:sz w:val="20"/>
                <w:szCs w:val="20"/>
              </w:rPr>
              <w:t>Anexa VIII a fost transpusă prin dispozițiile art. 36 „Regulile aplicabile comunicărilor”</w:t>
            </w:r>
            <w:r w:rsidR="00E3408D" w:rsidRPr="00C10518">
              <w:rPr>
                <w:rFonts w:ascii="Times New Roman" w:hAnsi="Times New Roman" w:cs="Times New Roman"/>
                <w:sz w:val="20"/>
                <w:szCs w:val="20"/>
              </w:rPr>
              <w:t xml:space="preserve"> alin. (5)</w:t>
            </w:r>
            <w:r w:rsidRPr="00C10518">
              <w:rPr>
                <w:rFonts w:ascii="Times New Roman" w:hAnsi="Times New Roman" w:cs="Times New Roman"/>
                <w:sz w:val="20"/>
                <w:szCs w:val="20"/>
              </w:rPr>
              <w:t>.</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11</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Reieșind din constatările expuse </w:t>
            </w:r>
            <w:r w:rsidRPr="00C10518">
              <w:rPr>
                <w:rFonts w:ascii="Times New Roman" w:hAnsi="Times New Roman" w:cs="Times New Roman"/>
                <w:i/>
                <w:iCs/>
                <w:sz w:val="20"/>
                <w:szCs w:val="20"/>
              </w:rPr>
              <w:t xml:space="preserve">supra, </w:t>
            </w:r>
            <w:r w:rsidRPr="00C10518">
              <w:rPr>
                <w:rFonts w:ascii="Times New Roman" w:hAnsi="Times New Roman" w:cs="Times New Roman"/>
                <w:sz w:val="20"/>
                <w:szCs w:val="20"/>
              </w:rPr>
              <w:t>în Tabelul de concordanță calificativul „compatibil” va fi înlocuit cu „parțial compatibil” în toate cazurile când prevederile proiectului actului normativ național transpun prevederile actului UE, însă: a) nu în totalitate, iar prevederile actului UE netranspuse nu sunt fundamentale; b) prevederile actului UE fac referință la alte acte ale UE ce nu au fost transpuse sau au fost transpuse parțial de proiectul normativ sau de legislația națională în vigoare. Consecutiv, pentru prevederile fundamentale și obligatorii ale actului juridic european, care nu sunt transpuse de proiectul de act normativ, dar urmează a fi transpuse obligatoriu printr-un alt proiect de act normativ național sau/și sunt transpuse deja de alte acte normative naționale se va utiliza calificativul „norme UE netranspuse”, cu includerea argumentelor corespunzătoare.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Au fost operate modificările propuse.</w:t>
            </w:r>
          </w:p>
        </w:tc>
      </w:tr>
      <w:tr w:rsidR="00C10518" w:rsidRPr="00C10518" w:rsidTr="00C10518">
        <w:trPr>
          <w:trHeight w:val="70"/>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12</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Totodată, textul proiectului urmează a fi revăzut prin excluderea termenilor juridici utilizați de Uniunea Europeană (de ex. „țară/țări terță/terțe”).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Au fost operate modificările propuse.</w:t>
            </w:r>
          </w:p>
          <w:p w:rsidR="00E3408D" w:rsidRPr="00C10518" w:rsidRDefault="00E3408D" w:rsidP="004C7663">
            <w:pPr>
              <w:jc w:val="both"/>
              <w:rPr>
                <w:rFonts w:ascii="Times New Roman" w:hAnsi="Times New Roman" w:cs="Times New Roman"/>
                <w:sz w:val="20"/>
                <w:szCs w:val="20"/>
              </w:rPr>
            </w:pPr>
          </w:p>
          <w:p w:rsidR="00E3408D" w:rsidRPr="00C10518" w:rsidRDefault="00E3408D" w:rsidP="00E3408D">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E3408D" w:rsidRPr="00C10518" w:rsidRDefault="00E3408D" w:rsidP="004C7663">
            <w:pPr>
              <w:jc w:val="both"/>
              <w:rPr>
                <w:rFonts w:ascii="Times New Roman" w:hAnsi="Times New Roman" w:cs="Times New Roman"/>
                <w:b/>
                <w:sz w:val="20"/>
                <w:szCs w:val="20"/>
              </w:rPr>
            </w:pPr>
            <w:r w:rsidRPr="00C10518">
              <w:rPr>
                <w:rFonts w:ascii="Times New Roman" w:hAnsi="Times New Roman" w:cs="Times New Roman"/>
                <w:b/>
                <w:sz w:val="20"/>
                <w:szCs w:val="20"/>
              </w:rPr>
              <w:t>Nu se acceptă</w:t>
            </w:r>
          </w:p>
          <w:p w:rsidR="00E3408D" w:rsidRPr="00C10518" w:rsidRDefault="00E3408D" w:rsidP="004C7663">
            <w:pPr>
              <w:jc w:val="both"/>
              <w:rPr>
                <w:rFonts w:ascii="Times New Roman" w:hAnsi="Times New Roman" w:cs="Times New Roman"/>
                <w:sz w:val="20"/>
                <w:szCs w:val="20"/>
              </w:rPr>
            </w:pPr>
            <w:r w:rsidRPr="00C10518">
              <w:rPr>
                <w:rFonts w:ascii="Times New Roman" w:hAnsi="Times New Roman" w:cs="Times New Roman"/>
                <w:sz w:val="20"/>
                <w:szCs w:val="20"/>
              </w:rPr>
              <w:t>Terminologia utilizată în proiect este menținută pentru a asigura coerența și uniformitatea cadrului normativ național în domeniul achizițiilor publice și al concesiunilor. În acest sens, noțiunea de „stat terț” este utilizată în Legea nr. 325/2025 privind achizițiile publice, în Legea nr. 102/2026 pentru modificarea Legii nr. 74/2020 privind achizițiile în sectoarele energeticii, apei, transporturilor și serviciilor poștale, precum și în Legea nr. 22/2025 privind concesiunile de lucrări și concesiunile de servicii.</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13</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 xml:space="preserve">De asemenea remarcăm că, în conformitate cu pct. 53 din Regulament, tabelul de concordanță actualizat urmează a fi prezentat în format electronic, în termen de 20 zile de la aprobarea proiectului de act normativ Cancelariei de Stat </w:t>
            </w:r>
            <w:r w:rsidRPr="00C10518">
              <w:rPr>
                <w:rFonts w:ascii="Times New Roman" w:hAnsi="Times New Roman" w:cs="Times New Roman"/>
                <w:sz w:val="20"/>
                <w:szCs w:val="20"/>
              </w:rPr>
              <w:lastRenderedPageBreak/>
              <w:t>(Centrului de armonizare a legislației) pentru a fi inclus în baza de date a legislației naționale armonizate.</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Se acceptă</w:t>
            </w:r>
          </w:p>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sz w:val="20"/>
                <w:szCs w:val="20"/>
              </w:rPr>
              <w:t>Tabelul de concordanță actualizat va fi prezentat în format electronic, în termen de 20 zile de la aprobarea proiectului de act normativ Cancelariei de Stat (Centrului de armonizare a legislației).</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rPr>
              <w:lastRenderedPageBreak/>
              <w:t>Agenția Națională pentru Soluționarea Contestațiilor</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Cs/>
                <w:sz w:val="20"/>
                <w:szCs w:val="20"/>
                <w:lang w:val="ro-RO"/>
              </w:rPr>
            </w:pP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b/>
                <w:sz w:val="20"/>
                <w:szCs w:val="20"/>
                <w:lang w:val="ro-RO"/>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jc w:val="both"/>
              <w:rPr>
                <w:rFonts w:ascii="Times New Roman" w:hAnsi="Times New Roman" w:cs="Times New Roman"/>
                <w:bCs/>
                <w:sz w:val="20"/>
                <w:szCs w:val="20"/>
              </w:rPr>
            </w:pPr>
            <w:r w:rsidRPr="00C10518">
              <w:rPr>
                <w:rFonts w:ascii="Times New Roman" w:hAnsi="Times New Roman" w:cs="Times New Roman"/>
                <w:bCs/>
                <w:sz w:val="20"/>
                <w:szCs w:val="20"/>
              </w:rPr>
              <w:t xml:space="preserve">Potrivit art. 56 alin. (1) din proiect, Agenția Națională pentru Soluționarea Contestațiilor este o autoritate publică autonomă și independentă, distinctă de alte autorități publice, care </w:t>
            </w:r>
            <w:proofErr w:type="gramStart"/>
            <w:r w:rsidRPr="00C10518">
              <w:rPr>
                <w:rFonts w:ascii="Times New Roman" w:hAnsi="Times New Roman" w:cs="Times New Roman"/>
                <w:bCs/>
                <w:sz w:val="20"/>
                <w:szCs w:val="20"/>
              </w:rPr>
              <w:t>are</w:t>
            </w:r>
            <w:proofErr w:type="gramEnd"/>
            <w:r w:rsidRPr="00C10518">
              <w:rPr>
                <w:rFonts w:ascii="Times New Roman" w:hAnsi="Times New Roman" w:cs="Times New Roman"/>
                <w:bCs/>
                <w:sz w:val="20"/>
                <w:szCs w:val="20"/>
              </w:rPr>
              <w:t xml:space="preserve"> responsabilitatea de a examina contestațiile formulate în cadrul procedurilor de achiziții privind atribuirea unor contracte de achiziții în domeniul apărării și securității, atât în relație cu alte autorități publice, cât și în raport cu persoane fizice și juridice. Conform, alin. (2) din același articol, soluționarea contestațiilor privind atribuirea contractelor de achiziții în domeniul apărării și securității se desfășoară conform regulamentului elaborat de Guvern și aprobat prin hotărârea Parlamentului.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bCs/>
                <w:sz w:val="20"/>
                <w:szCs w:val="20"/>
              </w:rPr>
              <w:t xml:space="preserve">În pofida faptului că Directiva 2009/81/CE conține unele norme speciale aplicabile căilor de atac, aceasta nu impune obligativitatea elaborării unui act normativ separat care să reglementeze mecanismul de soluționare a contestațiilor depuse pe marginea procedurilor de atribuire </w:t>
            </w:r>
            <w:r w:rsidRPr="00C10518">
              <w:rPr>
                <w:rFonts w:ascii="Times New Roman" w:hAnsi="Times New Roman" w:cs="Times New Roman"/>
                <w:sz w:val="20"/>
                <w:szCs w:val="20"/>
              </w:rPr>
              <w:t>anumitor contracte de lucrări, de furnizare de bunuri și de prestare de servicii de către autoritățile sau entitățile contractante în domeniul apărării și securității.</w:t>
            </w:r>
          </w:p>
          <w:p w:rsidR="004C7663" w:rsidRPr="00C10518" w:rsidRDefault="004C7663" w:rsidP="004C7663">
            <w:pPr>
              <w:jc w:val="both"/>
              <w:rPr>
                <w:rFonts w:ascii="Times New Roman" w:hAnsi="Times New Roman" w:cs="Times New Roman"/>
                <w:bCs/>
                <w:sz w:val="20"/>
                <w:szCs w:val="20"/>
              </w:rPr>
            </w:pPr>
            <w:r w:rsidRPr="00C10518">
              <w:rPr>
                <w:rFonts w:ascii="Times New Roman" w:hAnsi="Times New Roman" w:cs="Times New Roman"/>
                <w:bCs/>
                <w:sz w:val="20"/>
                <w:szCs w:val="20"/>
              </w:rPr>
              <w:t xml:space="preserve">Astfel, Agenția consideră că aplicarea unui regulament privind soluționarea contestațiilor depuse pe marginea procedurilor de atribuire </w:t>
            </w:r>
            <w:r w:rsidRPr="00C10518">
              <w:rPr>
                <w:rFonts w:ascii="Times New Roman" w:hAnsi="Times New Roman" w:cs="Times New Roman"/>
                <w:sz w:val="20"/>
                <w:szCs w:val="20"/>
              </w:rPr>
              <w:t xml:space="preserve">anumitor contracte de lucrări, de furnizare de bunuri și de prestare de servicii de către autoritățile sau entitățile contractante în domeniul apărării și securității, este oportună până la consolidarea cadrului normativ național ce ține de soluționarea contestațiilor după practica Uniunii Europene și a statului vecin România, acesta din urmă având o experiență avansată în ceea ce ține de implementarea Directivelor UE. Consolidarea cadrului normativ </w:t>
            </w:r>
            <w:r w:rsidRPr="00C10518">
              <w:rPr>
                <w:rFonts w:ascii="Times New Roman" w:hAnsi="Times New Roman" w:cs="Times New Roman"/>
                <w:sz w:val="20"/>
                <w:szCs w:val="20"/>
              </w:rPr>
              <w:lastRenderedPageBreak/>
              <w:t>ce reglementează soluționarea de contestații urmează a fi efectuată prin adoptarea unei legi distincte care să reglementeze, pe de o parte, organizarea și funcționarea Agenției Naționale pentru Soluționarea Contestațiilor, iar pe de  altă parte să prevadă procedura de soluționare a contestațiilor pe toate domeniile de competență ale Agenției, respectiv va interveni cu o reglementare generală, aplicabilă în egală măsură tuturor domeniilor de competență ale Agenției Naționale pentru Soluționarea Contestațiilor, reprezentând un cadru unitar de norme privind soluționarea contestațiilor la nivel național.</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bCs/>
                <w:sz w:val="20"/>
                <w:szCs w:val="20"/>
              </w:rPr>
              <w:t>În contextul celor menționate, Agenția susține adoptarea L</w:t>
            </w:r>
            <w:r w:rsidRPr="00C10518">
              <w:rPr>
                <w:rFonts w:ascii="Times New Roman" w:hAnsi="Times New Roman" w:cs="Times New Roman"/>
                <w:sz w:val="20"/>
                <w:szCs w:val="20"/>
              </w:rPr>
              <w:t>egii privind atribuirea anumitor contracte de lucrări, de furnizare de bunuri și de prestare de servicii de către autoritățile sau entitățile contractante în domeniul apărării și securității ținând cont de cele menționate supra.</w:t>
            </w:r>
          </w:p>
        </w:tc>
        <w:tc>
          <w:tcPr>
            <w:tcW w:w="5528" w:type="dxa"/>
            <w:shd w:val="clear" w:color="auto" w:fill="auto"/>
          </w:tcPr>
          <w:p w:rsidR="004C7663" w:rsidRPr="00C10518" w:rsidRDefault="004C7663" w:rsidP="004C7663">
            <w:pPr>
              <w:jc w:val="both"/>
              <w:rPr>
                <w:rFonts w:ascii="Times New Roman" w:hAnsi="Times New Roman" w:cs="Times New Roman"/>
                <w:b/>
                <w:sz w:val="20"/>
                <w:szCs w:val="20"/>
              </w:rPr>
            </w:pPr>
            <w:r w:rsidRPr="00C10518">
              <w:rPr>
                <w:rFonts w:ascii="Times New Roman" w:hAnsi="Times New Roman" w:cs="Times New Roman"/>
                <w:b/>
                <w:sz w:val="20"/>
                <w:szCs w:val="20"/>
              </w:rPr>
              <w:lastRenderedPageBreak/>
              <w:t>Comentariu</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La moment, Ministerul Finanțelor este în proces de modificare a Legii nr. 131/2015 privind achizițiile publice și se vor lua în calcul recomandările propuse de ANSC.</w:t>
            </w:r>
          </w:p>
          <w:p w:rsidR="004C7663" w:rsidRPr="00C10518" w:rsidRDefault="004C7663" w:rsidP="004C7663">
            <w:pPr>
              <w:jc w:val="both"/>
              <w:rPr>
                <w:rFonts w:ascii="Times New Roman" w:hAnsi="Times New Roman" w:cs="Times New Roman"/>
                <w:b/>
                <w:sz w:val="20"/>
                <w:szCs w:val="20"/>
              </w:rPr>
            </w:pPr>
          </w:p>
          <w:p w:rsidR="00A84369" w:rsidRPr="00C10518" w:rsidRDefault="00A84369" w:rsidP="00A84369">
            <w:pPr>
              <w:jc w:val="both"/>
              <w:rPr>
                <w:rFonts w:ascii="Times New Roman" w:hAnsi="Times New Roman" w:cs="Times New Roman"/>
                <w:b/>
                <w:sz w:val="20"/>
                <w:szCs w:val="20"/>
              </w:rPr>
            </w:pPr>
            <w:r w:rsidRPr="00C10518">
              <w:rPr>
                <w:rFonts w:ascii="Times New Roman" w:hAnsi="Times New Roman" w:cs="Times New Roman"/>
                <w:b/>
                <w:sz w:val="20"/>
                <w:szCs w:val="20"/>
              </w:rPr>
              <w:t>Comentariu ca rezultat al definitivării proiectului</w:t>
            </w:r>
          </w:p>
          <w:p w:rsidR="00A84369" w:rsidRPr="00C10518" w:rsidRDefault="00A84369" w:rsidP="00A84369">
            <w:pPr>
              <w:jc w:val="both"/>
              <w:rPr>
                <w:rFonts w:ascii="Times New Roman" w:hAnsi="Times New Roman" w:cs="Times New Roman"/>
                <w:b/>
                <w:sz w:val="20"/>
                <w:szCs w:val="20"/>
              </w:rPr>
            </w:pPr>
            <w:r w:rsidRPr="00C10518">
              <w:rPr>
                <w:rFonts w:ascii="Times New Roman" w:hAnsi="Times New Roman" w:cs="Times New Roman"/>
                <w:b/>
                <w:sz w:val="20"/>
                <w:szCs w:val="20"/>
              </w:rPr>
              <w:t>Se acceptă</w:t>
            </w:r>
          </w:p>
          <w:p w:rsidR="00A84369" w:rsidRPr="00C10518" w:rsidRDefault="00A84369" w:rsidP="00A84369">
            <w:pPr>
              <w:jc w:val="both"/>
              <w:rPr>
                <w:rFonts w:ascii="Times New Roman" w:hAnsi="Times New Roman" w:cs="Times New Roman"/>
                <w:b/>
                <w:sz w:val="20"/>
                <w:szCs w:val="20"/>
              </w:rPr>
            </w:pPr>
            <w:r w:rsidRPr="00C10518">
              <w:rPr>
                <w:rFonts w:ascii="Times New Roman" w:hAnsi="Times New Roman" w:cs="Times New Roman"/>
                <w:sz w:val="20"/>
                <w:szCs w:val="20"/>
              </w:rPr>
              <w:t>Reieșind din decizia adoptată în cadrul procesului de elaborare și promovare a Legii nr. 325/2025 privind achizițiile publice, potrivit căreia normele referitoare la remedii și căile de atac urmează să fie reglementate într-un act normativ distinct, a fost adoptată Legea nr. 20/2026 privind remediile și căile de atac în materie de atribuire a contractelor de achiziții publice, sectoriale și de concesiune. În acest context, s-a decis ca dispozițiile Titlului IV „Norme aplicabile căilor de atac” din Directiva 2009/81/CE să nu fie transpuse în prezentul proiect de lege. Transpunerea acestora va fi asigurată prin completarea Legii nr. 20/2026 cu un capitol distinct dedicat căilor de atac aplicabile contractelor de achiziții din domeniile apărării și securității naționale.</w:t>
            </w: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lastRenderedPageBreak/>
              <w:t>Ministerul Afacerilor Interne</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Cs/>
                <w:sz w:val="20"/>
                <w:szCs w:val="20"/>
                <w:lang w:val="it-IT"/>
              </w:rPr>
            </w:pP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sz w:val="20"/>
                <w:szCs w:val="20"/>
                <w:lang w:val="it-IT"/>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Lipsă de obiecții și propuneri</w:t>
            </w: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b/>
                <w:sz w:val="20"/>
                <w:szCs w:val="20"/>
                <w:lang w:val="ro-RO"/>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Ministerul Mediului</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Cs/>
                <w:sz w:val="20"/>
                <w:szCs w:val="20"/>
                <w:lang w:val="ro-RO"/>
              </w:rPr>
            </w:pP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bCs/>
                <w:sz w:val="20"/>
                <w:szCs w:val="20"/>
                <w:lang w:val="ro-RO"/>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jc w:val="both"/>
              <w:rPr>
                <w:rFonts w:ascii="Times New Roman" w:hAnsi="Times New Roman" w:cs="Times New Roman"/>
                <w:bCs/>
                <w:sz w:val="20"/>
                <w:szCs w:val="20"/>
                <w:lang w:val="it-IT"/>
              </w:rPr>
            </w:pPr>
            <w:r w:rsidRPr="00C10518">
              <w:rPr>
                <w:rFonts w:ascii="Times New Roman" w:hAnsi="Times New Roman" w:cs="Times New Roman"/>
                <w:bCs/>
                <w:sz w:val="20"/>
                <w:szCs w:val="20"/>
              </w:rPr>
              <w:t>Lipsă de obiecții și propuneri</w:t>
            </w: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bCs/>
                <w:sz w:val="20"/>
                <w:szCs w:val="20"/>
                <w:lang w:val="it-IT"/>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Serviciul de Informații şi Securitate</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hAnsi="Times New Roman" w:cs="Times New Roman"/>
                <w:bCs/>
                <w:sz w:val="20"/>
                <w:szCs w:val="20"/>
                <w:lang w:val="it-IT"/>
              </w:rPr>
            </w:pP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bCs/>
                <w:sz w:val="20"/>
                <w:szCs w:val="20"/>
                <w:lang w:val="it-IT"/>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1</w:t>
            </w:r>
          </w:p>
        </w:tc>
        <w:tc>
          <w:tcPr>
            <w:tcW w:w="4111" w:type="dxa"/>
            <w:shd w:val="clear" w:color="auto" w:fill="auto"/>
          </w:tcPr>
          <w:p w:rsidR="004C7663" w:rsidRPr="00C10518" w:rsidRDefault="004C7663" w:rsidP="004C7663">
            <w:pPr>
              <w:jc w:val="both"/>
              <w:rPr>
                <w:rFonts w:ascii="Times New Roman" w:hAnsi="Times New Roman" w:cs="Times New Roman"/>
                <w:bCs/>
                <w:sz w:val="20"/>
                <w:szCs w:val="20"/>
                <w:lang w:val="it-IT"/>
              </w:rPr>
            </w:pPr>
            <w:r w:rsidRPr="00C10518">
              <w:rPr>
                <w:rFonts w:ascii="Times New Roman" w:hAnsi="Times New Roman" w:cs="Times New Roman"/>
                <w:bCs/>
                <w:sz w:val="20"/>
                <w:szCs w:val="20"/>
              </w:rPr>
              <w:t>Lipsă de obiecții și propuneri</w:t>
            </w: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b/>
                <w:sz w:val="20"/>
                <w:szCs w:val="20"/>
                <w:lang w:val="ro-RO"/>
              </w:rPr>
            </w:pPr>
          </w:p>
        </w:tc>
      </w:tr>
      <w:tr w:rsidR="00C10518" w:rsidRPr="00C10518" w:rsidTr="004C7663">
        <w:trPr>
          <w:trHeight w:val="315"/>
        </w:trPr>
        <w:tc>
          <w:tcPr>
            <w:tcW w:w="2972" w:type="dxa"/>
          </w:tcPr>
          <w:p w:rsidR="004C7663" w:rsidRPr="00C10518" w:rsidRDefault="004C7663" w:rsidP="004C7663">
            <w:pPr>
              <w:tabs>
                <w:tab w:val="left" w:pos="8505"/>
              </w:tabs>
              <w:jc w:val="center"/>
              <w:rPr>
                <w:rFonts w:ascii="Times New Roman" w:hAnsi="Times New Roman" w:cs="Times New Roman"/>
                <w:b/>
                <w:sz w:val="20"/>
                <w:szCs w:val="20"/>
                <w:lang w:val="ro-RO"/>
              </w:rPr>
            </w:pPr>
            <w:r w:rsidRPr="00C10518">
              <w:rPr>
                <w:rFonts w:ascii="Times New Roman" w:hAnsi="Times New Roman" w:cs="Times New Roman"/>
                <w:b/>
                <w:sz w:val="20"/>
                <w:szCs w:val="20"/>
                <w:lang w:val="ro-RO"/>
              </w:rPr>
              <w:t>Ministerul Finanțelor</w:t>
            </w:r>
          </w:p>
        </w:tc>
        <w:tc>
          <w:tcPr>
            <w:tcW w:w="567" w:type="dxa"/>
          </w:tcPr>
          <w:p w:rsidR="004C7663" w:rsidRPr="00C10518" w:rsidRDefault="004C7663" w:rsidP="004C7663">
            <w:pPr>
              <w:tabs>
                <w:tab w:val="left" w:pos="8505"/>
              </w:tabs>
              <w:jc w:val="center"/>
              <w:rPr>
                <w:rFonts w:ascii="Times New Roman" w:hAnsi="Times New Roman" w:cs="Times New Roman"/>
                <w:b/>
                <w:sz w:val="20"/>
                <w:szCs w:val="20"/>
                <w:lang w:val="ro-RO"/>
              </w:rPr>
            </w:pPr>
          </w:p>
        </w:tc>
        <w:tc>
          <w:tcPr>
            <w:tcW w:w="4111" w:type="dxa"/>
            <w:shd w:val="clear" w:color="auto" w:fill="auto"/>
          </w:tcPr>
          <w:p w:rsidR="004C7663" w:rsidRPr="00C10518" w:rsidRDefault="004C7663" w:rsidP="004C7663">
            <w:pPr>
              <w:jc w:val="both"/>
              <w:rPr>
                <w:rFonts w:ascii="Times New Roman" w:eastAsia="Calibri" w:hAnsi="Times New Roman" w:cs="Times New Roman"/>
                <w:sz w:val="20"/>
                <w:szCs w:val="20"/>
              </w:rPr>
            </w:pPr>
            <w:r w:rsidRPr="00C10518">
              <w:rPr>
                <w:rFonts w:ascii="Times New Roman" w:hAnsi="Times New Roman" w:cs="Times New Roman"/>
                <w:sz w:val="20"/>
                <w:szCs w:val="20"/>
              </w:rPr>
              <w:t>În urma ședinței comune interministeriale din data de 23.07.2024 (Proces-verbal nr. 1, se anexează) și ședinței prin corespondență dintre Ministerul Finanțelor și Ministerul Apărării din data de 31.07.2024 (Proces-verbal nr. 2, se anexează) desfășurate în scopul definitivării proiectului de lege privind atribuirea anumitor contracte de lucrări, de furnizare de bunuri și de prestare de servicii de către autoritățile sau entitățile contractante în domeniile apărării și securității (număr unic 126/MF/2024), u</w:t>
            </w:r>
            <w:r w:rsidRPr="00C10518">
              <w:rPr>
                <w:rFonts w:ascii="Times New Roman" w:hAnsi="Times New Roman" w:cs="Times New Roman"/>
                <w:bCs/>
                <w:sz w:val="20"/>
                <w:szCs w:val="20"/>
              </w:rPr>
              <w:t xml:space="preserve">rmare a analizei datelor suplimentare furnizate de către Ministerul Apărării prin scrisoarea </w:t>
            </w:r>
            <w:r w:rsidRPr="00C10518">
              <w:rPr>
                <w:rFonts w:ascii="Times New Roman" w:eastAsia="Calibri" w:hAnsi="Times New Roman" w:cs="Times New Roman"/>
                <w:sz w:val="20"/>
                <w:szCs w:val="20"/>
              </w:rPr>
              <w:t xml:space="preserve">nr. 11/0292 din data de 25.07.2024, </w:t>
            </w:r>
            <w:r w:rsidRPr="00C10518">
              <w:rPr>
                <w:rFonts w:ascii="Times New Roman" w:hAnsi="Times New Roman" w:cs="Times New Roman"/>
                <w:bCs/>
                <w:sz w:val="20"/>
                <w:szCs w:val="20"/>
              </w:rPr>
              <w:t xml:space="preserve">a fost luată decizia de a modifica art. 8 „Valoarea pragurilor” din </w:t>
            </w:r>
            <w:r w:rsidRPr="00C10518">
              <w:rPr>
                <w:rFonts w:ascii="Times New Roman" w:hAnsi="Times New Roman" w:cs="Times New Roman"/>
                <w:bCs/>
                <w:sz w:val="20"/>
                <w:szCs w:val="20"/>
              </w:rPr>
              <w:lastRenderedPageBreak/>
              <w:t xml:space="preserve">proiectul de lege, în următoarea redacție, </w:t>
            </w:r>
            <w:proofErr w:type="gramStart"/>
            <w:r w:rsidRPr="00C10518">
              <w:rPr>
                <w:rFonts w:ascii="Times New Roman" w:hAnsi="Times New Roman" w:cs="Times New Roman"/>
                <w:bCs/>
                <w:sz w:val="20"/>
                <w:szCs w:val="20"/>
              </w:rPr>
              <w:t>„</w:t>
            </w:r>
            <w:r w:rsidRPr="00C10518">
              <w:rPr>
                <w:rFonts w:ascii="Times New Roman" w:hAnsi="Times New Roman" w:cs="Times New Roman"/>
                <w:sz w:val="20"/>
                <w:szCs w:val="20"/>
              </w:rPr>
              <w:t>(</w:t>
            </w:r>
            <w:proofErr w:type="gramEnd"/>
            <w:r w:rsidRPr="00C10518">
              <w:rPr>
                <w:rFonts w:ascii="Times New Roman" w:hAnsi="Times New Roman" w:cs="Times New Roman"/>
                <w:sz w:val="20"/>
                <w:szCs w:val="20"/>
              </w:rPr>
              <w:t>1) Prezenta lege se aplică contractelor de achiziții a căror valoare estimată, fără taxa pe valoarea adăugată, este egală cu sau mai mare decât următoarele praguri: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a) 4 000 000 lei, pentru contractele de achiziții de bunuri și servicii;</w:t>
            </w:r>
          </w:p>
          <w:p w:rsidR="004C7663" w:rsidRPr="00C10518" w:rsidRDefault="004C7663" w:rsidP="004C7663">
            <w:pPr>
              <w:jc w:val="both"/>
              <w:rPr>
                <w:rFonts w:ascii="Times New Roman" w:hAnsi="Times New Roman" w:cs="Times New Roman"/>
                <w:sz w:val="20"/>
                <w:szCs w:val="20"/>
              </w:rPr>
            </w:pPr>
            <w:r w:rsidRPr="00C10518">
              <w:rPr>
                <w:rFonts w:ascii="Times New Roman" w:hAnsi="Times New Roman" w:cs="Times New Roman"/>
                <w:sz w:val="20"/>
                <w:szCs w:val="20"/>
              </w:rPr>
              <w:t>b) 9 000 000 lei, pentru contractele de lucrări.”.</w:t>
            </w:r>
          </w:p>
        </w:tc>
        <w:tc>
          <w:tcPr>
            <w:tcW w:w="5528" w:type="dxa"/>
            <w:shd w:val="clear" w:color="auto" w:fill="auto"/>
          </w:tcPr>
          <w:p w:rsidR="004C7663" w:rsidRPr="00C10518" w:rsidRDefault="004C7663" w:rsidP="004C7663">
            <w:pPr>
              <w:ind w:left="30" w:right="170" w:firstLine="13"/>
              <w:jc w:val="both"/>
              <w:rPr>
                <w:rFonts w:ascii="Times New Roman" w:hAnsi="Times New Roman" w:cs="Times New Roman"/>
                <w:sz w:val="20"/>
                <w:szCs w:val="20"/>
                <w:lang w:val="ro-RO"/>
              </w:rPr>
            </w:pPr>
          </w:p>
        </w:tc>
      </w:tr>
    </w:tbl>
    <w:p w:rsidR="00C67B27" w:rsidRPr="00C10518" w:rsidRDefault="00C67B27">
      <w:pPr>
        <w:tabs>
          <w:tab w:val="left" w:pos="8505"/>
        </w:tabs>
        <w:rPr>
          <w:rFonts w:ascii="Times New Roman" w:hAnsi="Times New Roman" w:cs="Times New Roman"/>
          <w:sz w:val="20"/>
          <w:szCs w:val="20"/>
          <w:lang w:val="ro-RO"/>
        </w:rPr>
      </w:pPr>
      <w:bookmarkStart w:id="0" w:name="_GoBack"/>
      <w:bookmarkEnd w:id="0"/>
    </w:p>
    <w:sectPr w:rsidR="00C67B27" w:rsidRPr="00C10518">
      <w:footerReference w:type="default" r:id="rId9"/>
      <w:pgSz w:w="15840" w:h="12240" w:orient="landscape"/>
      <w:pgMar w:top="993" w:right="851"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139" w:rsidRDefault="008B4139">
      <w:pPr>
        <w:spacing w:after="0" w:line="240" w:lineRule="auto"/>
      </w:pPr>
      <w:r>
        <w:separator/>
      </w:r>
    </w:p>
  </w:endnote>
  <w:endnote w:type="continuationSeparator" w:id="0">
    <w:p w:rsidR="008B4139" w:rsidRDefault="008B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995018"/>
      <w:docPartObj>
        <w:docPartGallery w:val="Page Numbers (Bottom of Page)"/>
        <w:docPartUnique/>
      </w:docPartObj>
    </w:sdtPr>
    <w:sdtEndPr/>
    <w:sdtContent>
      <w:p w:rsidR="004C7663" w:rsidRDefault="004C7663">
        <w:pPr>
          <w:pStyle w:val="Subsol"/>
          <w:jc w:val="right"/>
        </w:pPr>
        <w:r>
          <w:fldChar w:fldCharType="begin"/>
        </w:r>
        <w:r>
          <w:instrText>PAGE   \* MERGEFORMAT</w:instrText>
        </w:r>
        <w:r>
          <w:fldChar w:fldCharType="separate"/>
        </w:r>
        <w:r w:rsidR="00A37B4F" w:rsidRPr="00A37B4F">
          <w:rPr>
            <w:noProof/>
            <w:lang w:val="ro-RO"/>
          </w:rPr>
          <w:t>21</w:t>
        </w:r>
        <w:r>
          <w:fldChar w:fldCharType="end"/>
        </w:r>
      </w:p>
    </w:sdtContent>
  </w:sdt>
  <w:p w:rsidR="004C7663" w:rsidRDefault="004C7663">
    <w:pPr>
      <w:pStyle w:val="Subso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139" w:rsidRDefault="008B4139">
      <w:pPr>
        <w:spacing w:after="0" w:line="240" w:lineRule="auto"/>
      </w:pPr>
      <w:r>
        <w:separator/>
      </w:r>
    </w:p>
  </w:footnote>
  <w:footnote w:type="continuationSeparator" w:id="0">
    <w:p w:rsidR="008B4139" w:rsidRDefault="008B4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042F"/>
    <w:multiLevelType w:val="multilevel"/>
    <w:tmpl w:val="65C2339C"/>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75EFD"/>
    <w:multiLevelType w:val="multilevel"/>
    <w:tmpl w:val="B55ABDA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04AB4343"/>
    <w:multiLevelType w:val="multilevel"/>
    <w:tmpl w:val="59DCB3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A54E6"/>
    <w:multiLevelType w:val="multilevel"/>
    <w:tmpl w:val="66B471F0"/>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1C743F25"/>
    <w:multiLevelType w:val="multilevel"/>
    <w:tmpl w:val="741E3CA6"/>
    <w:lvl w:ilvl="0">
      <w:start w:val="1"/>
      <w:numFmt w:val="decimal"/>
      <w:lvlText w:val="%1."/>
      <w:lvlJc w:val="left"/>
      <w:pPr>
        <w:ind w:left="1068" w:hanging="360"/>
      </w:pPr>
      <w:rPr>
        <w:rFonts w:hint="default"/>
        <w:b/>
        <w:bCs/>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E211F11"/>
    <w:multiLevelType w:val="multilevel"/>
    <w:tmpl w:val="2C1466F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A37C07"/>
    <w:multiLevelType w:val="multilevel"/>
    <w:tmpl w:val="D15AFD9C"/>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7" w15:restartNumberingAfterBreak="0">
    <w:nsid w:val="25781A08"/>
    <w:multiLevelType w:val="multilevel"/>
    <w:tmpl w:val="D0B40558"/>
    <w:lvl w:ilvl="0">
      <w:start w:val="4"/>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EDD54A4"/>
    <w:multiLevelType w:val="multilevel"/>
    <w:tmpl w:val="A1C8E8F6"/>
    <w:lvl w:ilvl="0">
      <w:start w:val="1"/>
      <w:numFmt w:val="lowerLetter"/>
      <w:lvlText w:val="眜&amp;䭺欘볮蠌࿿࿿࿿࿿࿿࿿࿿࿿࿿詐ᇭꁬĶ"/>
      <w:lvlJc w:val="left"/>
    </w:lvl>
    <w:lvl w:ilvl="1">
      <w:numFmt w:val="decimal"/>
      <w:lvlText w:val="眜&amp;䭺欘볮蠌࿿࿿࿿࿿࿿࿿࿿࿿࿿詐ᇭꁬĶ"/>
      <w:lvlJc w:val="left"/>
    </w:lvl>
    <w:lvl w:ilvl="2">
      <w:numFmt w:val="decimal"/>
      <w:lvlText w:val="眜&amp;䭺欘볮蠌࿿࿿࿿࿿࿿࿿࿿࿿࿿詐ᇭꁬĶ"/>
      <w:lvlJc w:val="left"/>
    </w:lvl>
    <w:lvl w:ilvl="3">
      <w:numFmt w:val="decimal"/>
      <w:lvlText w:val="眜&amp;䭺欘볮蠌࿿࿿࿿࿿࿿࿿࿿࿿࿿詐ᇭꁬĶ"/>
      <w:lvlJc w:val="left"/>
    </w:lvl>
    <w:lvl w:ilvl="4">
      <w:numFmt w:val="decimal"/>
      <w:lvlText w:val="眜&amp;䭺欘볮蠌࿿࿿࿿࿿࿿࿿࿿࿿࿿詐ᇭꁬĶ"/>
      <w:lvlJc w:val="left"/>
    </w:lvl>
    <w:lvl w:ilvl="5">
      <w:numFmt w:val="decimal"/>
      <w:lvlText w:val="眜&amp;䭺欘볮蠌࿿࿿࿿࿿࿿࿿࿿࿿࿿詐ᇭꁬĶ"/>
      <w:lvlJc w:val="left"/>
    </w:lvl>
    <w:lvl w:ilvl="6">
      <w:numFmt w:val="decimal"/>
      <w:lvlText w:val="眜&amp;䭺欘볮蠌࿿࿿࿿࿿࿿࿿࿿࿿࿿詐ᇭꁬĶ"/>
      <w:lvlJc w:val="left"/>
    </w:lvl>
    <w:lvl w:ilvl="7">
      <w:numFmt w:val="decimal"/>
      <w:lvlText w:val="眜&amp;䭺欘볮蠌࿿࿿࿿࿿࿿࿿࿿࿿࿿詐ᇭꁬĶ"/>
      <w:lvlJc w:val="left"/>
    </w:lvl>
    <w:lvl w:ilvl="8">
      <w:numFmt w:val="decimal"/>
      <w:lvlText w:val="眜&amp;䭺欘볮蠌࿿࿿࿿࿿࿿࿿࿿࿿࿿詐ᇭꁬĶ"/>
      <w:lvlJc w:val="left"/>
    </w:lvl>
  </w:abstractNum>
  <w:abstractNum w:abstractNumId="9" w15:restartNumberingAfterBreak="0">
    <w:nsid w:val="41E939CA"/>
    <w:multiLevelType w:val="multilevel"/>
    <w:tmpl w:val="94CCE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34814"/>
    <w:multiLevelType w:val="multilevel"/>
    <w:tmpl w:val="C9BCA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05200D5"/>
    <w:multiLevelType w:val="multilevel"/>
    <w:tmpl w:val="3FFAD32E"/>
    <w:lvl w:ilvl="0">
      <w:start w:val="2"/>
      <w:numFmt w:val="bullet"/>
      <w:lvlText w:val="-"/>
      <w:lvlJc w:val="left"/>
      <w:pPr>
        <w:ind w:left="1069" w:hanging="360"/>
      </w:pPr>
      <w:rPr>
        <w:rFonts w:ascii="Times New Roman" w:eastAsia="Calibr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2" w15:restartNumberingAfterBreak="0">
    <w:nsid w:val="63E6367F"/>
    <w:multiLevelType w:val="multilevel"/>
    <w:tmpl w:val="E75E805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643871E6"/>
    <w:multiLevelType w:val="multilevel"/>
    <w:tmpl w:val="87EE460C"/>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4236EC"/>
    <w:multiLevelType w:val="multilevel"/>
    <w:tmpl w:val="9292842E"/>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184B7A"/>
    <w:multiLevelType w:val="multilevel"/>
    <w:tmpl w:val="880CBC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816DF8"/>
    <w:multiLevelType w:val="multilevel"/>
    <w:tmpl w:val="3028C8FA"/>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
  </w:num>
  <w:num w:numId="2">
    <w:abstractNumId w:val="16"/>
  </w:num>
  <w:num w:numId="3">
    <w:abstractNumId w:val="4"/>
  </w:num>
  <w:num w:numId="4">
    <w:abstractNumId w:val="3"/>
  </w:num>
  <w:num w:numId="5">
    <w:abstractNumId w:val="1"/>
  </w:num>
  <w:num w:numId="6">
    <w:abstractNumId w:val="11"/>
  </w:num>
  <w:num w:numId="7">
    <w:abstractNumId w:val="13"/>
  </w:num>
  <w:num w:numId="8">
    <w:abstractNumId w:val="10"/>
  </w:num>
  <w:num w:numId="9">
    <w:abstractNumId w:val="15"/>
  </w:num>
  <w:num w:numId="10">
    <w:abstractNumId w:val="6"/>
  </w:num>
  <w:num w:numId="11">
    <w:abstractNumId w:val="9"/>
  </w:num>
  <w:num w:numId="12">
    <w:abstractNumId w:val="5"/>
  </w:num>
  <w:num w:numId="13">
    <w:abstractNumId w:val="14"/>
  </w:num>
  <w:num w:numId="14">
    <w:abstractNumId w:val="12"/>
  </w:num>
  <w:num w:numId="15">
    <w:abstractNumId w:val="7"/>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27"/>
    <w:rsid w:val="00016451"/>
    <w:rsid w:val="00031AF0"/>
    <w:rsid w:val="00040FEC"/>
    <w:rsid w:val="0005537F"/>
    <w:rsid w:val="000B7C33"/>
    <w:rsid w:val="000F07B2"/>
    <w:rsid w:val="000F5CC2"/>
    <w:rsid w:val="00102695"/>
    <w:rsid w:val="00124C81"/>
    <w:rsid w:val="00144BF0"/>
    <w:rsid w:val="00164484"/>
    <w:rsid w:val="00181C0B"/>
    <w:rsid w:val="0020489C"/>
    <w:rsid w:val="002173DA"/>
    <w:rsid w:val="0021766B"/>
    <w:rsid w:val="002A34BD"/>
    <w:rsid w:val="002F054A"/>
    <w:rsid w:val="00307A1A"/>
    <w:rsid w:val="00317372"/>
    <w:rsid w:val="003E790D"/>
    <w:rsid w:val="00414914"/>
    <w:rsid w:val="00461396"/>
    <w:rsid w:val="004658BB"/>
    <w:rsid w:val="004A0DC2"/>
    <w:rsid w:val="004B7307"/>
    <w:rsid w:val="004C7663"/>
    <w:rsid w:val="00536796"/>
    <w:rsid w:val="005419BB"/>
    <w:rsid w:val="00543018"/>
    <w:rsid w:val="00584BE5"/>
    <w:rsid w:val="00592E04"/>
    <w:rsid w:val="00596BDF"/>
    <w:rsid w:val="005A0956"/>
    <w:rsid w:val="005B726D"/>
    <w:rsid w:val="005C715C"/>
    <w:rsid w:val="005D29BA"/>
    <w:rsid w:val="005D545A"/>
    <w:rsid w:val="005E6D90"/>
    <w:rsid w:val="00600ADB"/>
    <w:rsid w:val="006533AC"/>
    <w:rsid w:val="00674DBB"/>
    <w:rsid w:val="00676CBB"/>
    <w:rsid w:val="0069346D"/>
    <w:rsid w:val="006E4BD9"/>
    <w:rsid w:val="007305DA"/>
    <w:rsid w:val="00783DC1"/>
    <w:rsid w:val="007A07FC"/>
    <w:rsid w:val="007C3BEC"/>
    <w:rsid w:val="008373B8"/>
    <w:rsid w:val="00844F1F"/>
    <w:rsid w:val="00891B2B"/>
    <w:rsid w:val="008B4139"/>
    <w:rsid w:val="008F7076"/>
    <w:rsid w:val="00913BB0"/>
    <w:rsid w:val="00925203"/>
    <w:rsid w:val="0096625E"/>
    <w:rsid w:val="00977812"/>
    <w:rsid w:val="00986D8C"/>
    <w:rsid w:val="00996F3E"/>
    <w:rsid w:val="009C0068"/>
    <w:rsid w:val="009E4F4F"/>
    <w:rsid w:val="009E6F9B"/>
    <w:rsid w:val="00A06878"/>
    <w:rsid w:val="00A263E3"/>
    <w:rsid w:val="00A33B7C"/>
    <w:rsid w:val="00A37B4F"/>
    <w:rsid w:val="00A60F00"/>
    <w:rsid w:val="00A80EEB"/>
    <w:rsid w:val="00A84369"/>
    <w:rsid w:val="00A94F11"/>
    <w:rsid w:val="00AA769E"/>
    <w:rsid w:val="00AE7A5F"/>
    <w:rsid w:val="00AE7C7D"/>
    <w:rsid w:val="00AF71B6"/>
    <w:rsid w:val="00B033C8"/>
    <w:rsid w:val="00B15DB3"/>
    <w:rsid w:val="00B70A3A"/>
    <w:rsid w:val="00BA6AD5"/>
    <w:rsid w:val="00BC3BE2"/>
    <w:rsid w:val="00BE6A06"/>
    <w:rsid w:val="00C01664"/>
    <w:rsid w:val="00C10518"/>
    <w:rsid w:val="00C27C6A"/>
    <w:rsid w:val="00C46C93"/>
    <w:rsid w:val="00C50416"/>
    <w:rsid w:val="00C50AA7"/>
    <w:rsid w:val="00C67B27"/>
    <w:rsid w:val="00CA4792"/>
    <w:rsid w:val="00CB6B84"/>
    <w:rsid w:val="00CC13C8"/>
    <w:rsid w:val="00CE09F8"/>
    <w:rsid w:val="00CE46C5"/>
    <w:rsid w:val="00D133D0"/>
    <w:rsid w:val="00D433B1"/>
    <w:rsid w:val="00D47D49"/>
    <w:rsid w:val="00D5078B"/>
    <w:rsid w:val="00D749BF"/>
    <w:rsid w:val="00D76447"/>
    <w:rsid w:val="00DA5780"/>
    <w:rsid w:val="00DE47FB"/>
    <w:rsid w:val="00DF000A"/>
    <w:rsid w:val="00E15101"/>
    <w:rsid w:val="00E3408D"/>
    <w:rsid w:val="00E50CC9"/>
    <w:rsid w:val="00EA0C93"/>
    <w:rsid w:val="00EA53FF"/>
    <w:rsid w:val="00EA7BE6"/>
    <w:rsid w:val="00EE1CBB"/>
    <w:rsid w:val="00EE4B35"/>
    <w:rsid w:val="00EF13FC"/>
    <w:rsid w:val="00F263BF"/>
    <w:rsid w:val="00F34570"/>
    <w:rsid w:val="00F946CE"/>
    <w:rsid w:val="00FF2887"/>
    <w:rsid w:val="00FF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03211-CD5F-4751-8748-9BD19173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B84"/>
  </w:style>
  <w:style w:type="paragraph" w:styleId="Titlu1">
    <w:name w:val="heading 1"/>
    <w:basedOn w:val="Normal"/>
    <w:next w:val="Normal"/>
    <w:link w:val="Titlu1Caracte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lu2">
    <w:name w:val="heading 2"/>
    <w:basedOn w:val="Normal"/>
    <w:next w:val="Normal"/>
    <w:link w:val="Titlu2Caracter"/>
    <w:uiPriority w:val="9"/>
    <w:semiHidden/>
    <w:unhideWhenUsed/>
    <w:qFormat/>
    <w:pPr>
      <w:keepNext/>
      <w:keepLines/>
      <w:spacing w:before="160" w:after="80" w:line="278" w:lineRule="auto"/>
      <w:outlineLvl w:val="1"/>
    </w:pPr>
    <w:rPr>
      <w:rFonts w:asciiTheme="majorHAnsi" w:eastAsiaTheme="majorEastAsia" w:hAnsiTheme="majorHAnsi" w:cstheme="majorBidi"/>
      <w:color w:val="2E74B5" w:themeColor="accent1" w:themeShade="BF"/>
      <w:sz w:val="32"/>
      <w:szCs w:val="32"/>
      <w14:ligatures w14:val="standardContextual"/>
    </w:rPr>
  </w:style>
  <w:style w:type="paragraph" w:styleId="Titlu3">
    <w:name w:val="heading 3"/>
    <w:basedOn w:val="Normal"/>
    <w:next w:val="Normal"/>
    <w:link w:val="Titlu3Caracte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lu4">
    <w:name w:val="heading 4"/>
    <w:basedOn w:val="Normal"/>
    <w:next w:val="Normal"/>
    <w:link w:val="Titlu4Caracte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unhideWhenUsed/>
    <w:qFormat/>
    <w:pPr>
      <w:keepNext/>
      <w:keepLines/>
      <w:spacing w:before="80" w:after="40"/>
      <w:outlineLvl w:val="4"/>
    </w:pPr>
    <w:rPr>
      <w:rFonts w:ascii="Arial" w:eastAsia="Arial" w:hAnsi="Arial" w:cs="Arial"/>
      <w:color w:val="2E74B5" w:themeColor="accent1" w:themeShade="BF"/>
    </w:rPr>
  </w:style>
  <w:style w:type="paragraph" w:styleId="Titlu6">
    <w:name w:val="heading 6"/>
    <w:basedOn w:val="Normal"/>
    <w:next w:val="Normal"/>
    <w:link w:val="Titlu6Caracte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lu7">
    <w:name w:val="heading 7"/>
    <w:basedOn w:val="Normal"/>
    <w:next w:val="Normal"/>
    <w:link w:val="Titlu7Caracter"/>
    <w:uiPriority w:val="9"/>
    <w:unhideWhenUsed/>
    <w:qFormat/>
    <w:pPr>
      <w:keepNext/>
      <w:keepLines/>
      <w:spacing w:before="40" w:after="0"/>
      <w:outlineLvl w:val="6"/>
    </w:pPr>
    <w:rPr>
      <w:rFonts w:ascii="Arial" w:eastAsia="Arial" w:hAnsi="Arial" w:cs="Arial"/>
      <w:color w:val="595959" w:themeColor="text1" w:themeTint="A6"/>
    </w:rPr>
  </w:style>
  <w:style w:type="paragraph" w:styleId="Titlu8">
    <w:name w:val="heading 8"/>
    <w:basedOn w:val="Normal"/>
    <w:next w:val="Normal"/>
    <w:link w:val="Titlu8Caracter"/>
    <w:uiPriority w:val="9"/>
    <w:unhideWhenUsed/>
    <w:qFormat/>
    <w:pPr>
      <w:keepNext/>
      <w:keepLines/>
      <w:spacing w:after="0"/>
      <w:outlineLvl w:val="7"/>
    </w:pPr>
    <w:rPr>
      <w:rFonts w:ascii="Arial" w:eastAsia="Arial" w:hAnsi="Arial" w:cs="Arial"/>
      <w:i/>
      <w:iCs/>
      <w:color w:val="272727" w:themeColor="text1" w:themeTint="D8"/>
    </w:rPr>
  </w:style>
  <w:style w:type="paragraph" w:styleId="Titlu9">
    <w:name w:val="heading 9"/>
    <w:basedOn w:val="Normal"/>
    <w:next w:val="Normal"/>
    <w:link w:val="Titlu9Caracte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Light1">
    <w:name w:val="Table Grid Light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el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gril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el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el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el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5ntunecat">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gril6Colorat">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el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gril7Colorat">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el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ist1Luminos">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ist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el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el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list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el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5ntunecat">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el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ist6Colorat">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el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ist7Colorat">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el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lu1Caracter">
    <w:name w:val="Titlu 1 Caracter"/>
    <w:basedOn w:val="Fontdeparagrafimplicit"/>
    <w:link w:val="Titlu1"/>
    <w:uiPriority w:val="9"/>
    <w:rPr>
      <w:rFonts w:ascii="Arial" w:eastAsia="Arial" w:hAnsi="Arial" w:cs="Arial"/>
      <w:color w:val="2E74B5" w:themeColor="accent1" w:themeShade="BF"/>
      <w:sz w:val="40"/>
      <w:szCs w:val="40"/>
    </w:rPr>
  </w:style>
  <w:style w:type="character" w:customStyle="1" w:styleId="Heading2Char">
    <w:name w:val="Heading 2 Char"/>
    <w:basedOn w:val="Fontdeparagrafimplicit"/>
    <w:uiPriority w:val="9"/>
    <w:rPr>
      <w:rFonts w:ascii="Arial" w:eastAsia="Arial" w:hAnsi="Arial" w:cs="Arial"/>
      <w:color w:val="2E74B5" w:themeColor="accent1" w:themeShade="BF"/>
      <w:sz w:val="32"/>
      <w:szCs w:val="32"/>
    </w:rPr>
  </w:style>
  <w:style w:type="character" w:customStyle="1" w:styleId="Titlu3Caracter">
    <w:name w:val="Titlu 3 Caracter"/>
    <w:basedOn w:val="Fontdeparagrafimplicit"/>
    <w:link w:val="Titlu3"/>
    <w:uiPriority w:val="9"/>
    <w:rPr>
      <w:rFonts w:ascii="Arial" w:eastAsia="Arial" w:hAnsi="Arial" w:cs="Arial"/>
      <w:color w:val="2E74B5" w:themeColor="accent1" w:themeShade="BF"/>
      <w:sz w:val="28"/>
      <w:szCs w:val="28"/>
    </w:rPr>
  </w:style>
  <w:style w:type="character" w:customStyle="1" w:styleId="Heading4Char">
    <w:name w:val="Heading 4 Char"/>
    <w:basedOn w:val="Fontdeparagrafimplicit"/>
    <w:uiPriority w:val="9"/>
    <w:rPr>
      <w:rFonts w:ascii="Arial" w:eastAsia="Arial" w:hAnsi="Arial" w:cs="Arial"/>
      <w:i/>
      <w:iCs/>
      <w:color w:val="2E74B5" w:themeColor="accent1" w:themeShade="BF"/>
    </w:rPr>
  </w:style>
  <w:style w:type="character" w:customStyle="1" w:styleId="Titlu5Caracter">
    <w:name w:val="Titlu 5 Caracter"/>
    <w:basedOn w:val="Fontdeparagrafimplicit"/>
    <w:link w:val="Titlu5"/>
    <w:uiPriority w:val="9"/>
    <w:rPr>
      <w:rFonts w:ascii="Arial" w:eastAsia="Arial" w:hAnsi="Arial" w:cs="Arial"/>
      <w:color w:val="2E74B5" w:themeColor="accent1" w:themeShade="BF"/>
    </w:rPr>
  </w:style>
  <w:style w:type="character" w:customStyle="1" w:styleId="Titlu6Caracter">
    <w:name w:val="Titlu 6 Caracter"/>
    <w:basedOn w:val="Fontdeparagrafimplicit"/>
    <w:link w:val="Titlu6"/>
    <w:uiPriority w:val="9"/>
    <w:rPr>
      <w:rFonts w:ascii="Arial" w:eastAsia="Arial" w:hAnsi="Arial" w:cs="Arial"/>
      <w:i/>
      <w:iCs/>
      <w:color w:val="595959" w:themeColor="text1" w:themeTint="A6"/>
    </w:rPr>
  </w:style>
  <w:style w:type="character" w:customStyle="1" w:styleId="Titlu7Caracter">
    <w:name w:val="Titlu 7 Caracter"/>
    <w:basedOn w:val="Fontdeparagrafimplicit"/>
    <w:link w:val="Titlu7"/>
    <w:uiPriority w:val="9"/>
    <w:rPr>
      <w:rFonts w:ascii="Arial" w:eastAsia="Arial" w:hAnsi="Arial" w:cs="Arial"/>
      <w:color w:val="595959" w:themeColor="text1" w:themeTint="A6"/>
    </w:rPr>
  </w:style>
  <w:style w:type="character" w:customStyle="1" w:styleId="Titlu8Caracter">
    <w:name w:val="Titlu 8 Caracter"/>
    <w:basedOn w:val="Fontdeparagrafimplicit"/>
    <w:link w:val="Titlu8"/>
    <w:uiPriority w:val="9"/>
    <w:rPr>
      <w:rFonts w:ascii="Arial" w:eastAsia="Arial" w:hAnsi="Arial" w:cs="Arial"/>
      <w:i/>
      <w:iCs/>
      <w:color w:val="272727" w:themeColor="text1" w:themeTint="D8"/>
    </w:rPr>
  </w:style>
  <w:style w:type="character" w:customStyle="1" w:styleId="Titlu9Caracter">
    <w:name w:val="Titlu 9 Caracter"/>
    <w:basedOn w:val="Fontdeparagrafimplicit"/>
    <w:link w:val="Titlu9"/>
    <w:uiPriority w:val="9"/>
    <w:rPr>
      <w:rFonts w:ascii="Arial" w:eastAsia="Arial" w:hAnsi="Arial" w:cs="Arial"/>
      <w:i/>
      <w:iCs/>
      <w:color w:val="272727" w:themeColor="text1" w:themeTint="D8"/>
    </w:rPr>
  </w:style>
  <w:style w:type="paragraph" w:styleId="Titlu">
    <w:name w:val="Title"/>
    <w:basedOn w:val="Normal"/>
    <w:next w:val="Normal"/>
    <w:link w:val="TitluCaracter"/>
    <w:uiPriority w:val="10"/>
    <w:qFormat/>
    <w:pPr>
      <w:spacing w:after="80" w:line="240" w:lineRule="auto"/>
      <w:contextualSpacing/>
    </w:pPr>
    <w:rPr>
      <w:rFonts w:ascii="Arial" w:eastAsia="Arial" w:hAnsi="Arial" w:cs="Arial"/>
      <w:spacing w:val="-10"/>
      <w:sz w:val="56"/>
      <w:szCs w:val="56"/>
    </w:rPr>
  </w:style>
  <w:style w:type="character" w:customStyle="1" w:styleId="TitluCaracter">
    <w:name w:val="Titlu Caracter"/>
    <w:basedOn w:val="Fontdeparagrafimplicit"/>
    <w:link w:val="Titlu"/>
    <w:uiPriority w:val="10"/>
    <w:rPr>
      <w:rFonts w:ascii="Arial" w:eastAsia="Arial" w:hAnsi="Arial" w:cs="Arial"/>
      <w:spacing w:val="-10"/>
      <w:sz w:val="56"/>
      <w:szCs w:val="56"/>
    </w:rPr>
  </w:style>
  <w:style w:type="paragraph" w:styleId="Subtitlu">
    <w:name w:val="Subtitle"/>
    <w:basedOn w:val="Normal"/>
    <w:next w:val="Normal"/>
    <w:link w:val="SubtitluCaracter"/>
    <w:uiPriority w:val="11"/>
    <w:qFormat/>
    <w:pPr>
      <w:numPr>
        <w:ilvl w:val="1"/>
      </w:numPr>
    </w:pPr>
    <w:rPr>
      <w:color w:val="595959" w:themeColor="text1" w:themeTint="A6"/>
      <w:spacing w:val="15"/>
      <w:sz w:val="28"/>
      <w:szCs w:val="28"/>
    </w:rPr>
  </w:style>
  <w:style w:type="character" w:customStyle="1" w:styleId="SubtitluCaracter">
    <w:name w:val="Subtitlu Caracter"/>
    <w:basedOn w:val="Fontdeparagrafimplicit"/>
    <w:link w:val="Subtitlu"/>
    <w:uiPriority w:val="11"/>
    <w:rPr>
      <w:color w:val="595959" w:themeColor="text1" w:themeTint="A6"/>
      <w:spacing w:val="15"/>
      <w:sz w:val="28"/>
      <w:szCs w:val="28"/>
    </w:rPr>
  </w:style>
  <w:style w:type="paragraph" w:styleId="Citat">
    <w:name w:val="Quote"/>
    <w:basedOn w:val="Normal"/>
    <w:next w:val="Normal"/>
    <w:link w:val="CitatCaracter"/>
    <w:uiPriority w:val="29"/>
    <w:qFormat/>
    <w:pPr>
      <w:spacing w:before="160"/>
      <w:jc w:val="center"/>
    </w:pPr>
    <w:rPr>
      <w:i/>
      <w:iCs/>
      <w:color w:val="404040" w:themeColor="text1" w:themeTint="BF"/>
    </w:rPr>
  </w:style>
  <w:style w:type="character" w:customStyle="1" w:styleId="CitatCaracter">
    <w:name w:val="Citat Caracter"/>
    <w:basedOn w:val="Fontdeparagrafimplicit"/>
    <w:link w:val="Citat"/>
    <w:uiPriority w:val="29"/>
    <w:rPr>
      <w:i/>
      <w:iCs/>
      <w:color w:val="404040" w:themeColor="text1" w:themeTint="BF"/>
    </w:rPr>
  </w:style>
  <w:style w:type="character" w:styleId="Accentuareintens">
    <w:name w:val="Intense Emphasis"/>
    <w:basedOn w:val="Fontdeparagrafimplicit"/>
    <w:uiPriority w:val="21"/>
    <w:qFormat/>
    <w:rPr>
      <w:i/>
      <w:iCs/>
      <w:color w:val="2E74B5" w:themeColor="accent1" w:themeShade="BF"/>
    </w:rPr>
  </w:style>
  <w:style w:type="paragraph" w:styleId="Citatintens">
    <w:name w:val="Intense Quote"/>
    <w:basedOn w:val="Normal"/>
    <w:next w:val="Normal"/>
    <w:link w:val="CitatintensCaracte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Pr>
      <w:i/>
      <w:iCs/>
      <w:color w:val="2E74B5" w:themeColor="accent1" w:themeShade="BF"/>
    </w:rPr>
  </w:style>
  <w:style w:type="character" w:styleId="Referireintens">
    <w:name w:val="Intense Reference"/>
    <w:basedOn w:val="Fontdeparagrafimplicit"/>
    <w:uiPriority w:val="32"/>
    <w:qFormat/>
    <w:rPr>
      <w:b/>
      <w:bCs/>
      <w:smallCaps/>
      <w:color w:val="2E74B5" w:themeColor="accent1" w:themeShade="BF"/>
      <w:spacing w:val="5"/>
    </w:rPr>
  </w:style>
  <w:style w:type="paragraph" w:styleId="Frspaiere">
    <w:name w:val="No Spacing"/>
    <w:basedOn w:val="Normal"/>
    <w:uiPriority w:val="1"/>
    <w:qFormat/>
    <w:pPr>
      <w:spacing w:after="0" w:line="240" w:lineRule="auto"/>
    </w:pPr>
  </w:style>
  <w:style w:type="character" w:styleId="Accentuaresubtil">
    <w:name w:val="Subtle Emphasis"/>
    <w:basedOn w:val="Fontdeparagrafimplicit"/>
    <w:uiPriority w:val="19"/>
    <w:qFormat/>
    <w:rPr>
      <w:i/>
      <w:iCs/>
      <w:color w:val="404040" w:themeColor="text1" w:themeTint="BF"/>
    </w:rPr>
  </w:style>
  <w:style w:type="character" w:styleId="Accentuat">
    <w:name w:val="Emphasis"/>
    <w:basedOn w:val="Fontdeparagrafimplicit"/>
    <w:uiPriority w:val="20"/>
    <w:qFormat/>
    <w:rPr>
      <w:i/>
      <w:iCs/>
    </w:rPr>
  </w:style>
  <w:style w:type="character" w:styleId="Referiresubtil">
    <w:name w:val="Subtle Reference"/>
    <w:basedOn w:val="Fontdeparagrafimplicit"/>
    <w:uiPriority w:val="31"/>
    <w:qFormat/>
    <w:rPr>
      <w:smallCaps/>
      <w:color w:val="5A5A5A" w:themeColor="text1" w:themeTint="A5"/>
    </w:rPr>
  </w:style>
  <w:style w:type="character" w:styleId="Titlulcrii">
    <w:name w:val="Book Title"/>
    <w:basedOn w:val="Fontdeparagrafimplicit"/>
    <w:uiPriority w:val="33"/>
    <w:qFormat/>
    <w:rPr>
      <w:b/>
      <w:bCs/>
      <w:i/>
      <w:iCs/>
      <w:spacing w:val="5"/>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paragraph" w:styleId="Legend">
    <w:name w:val="caption"/>
    <w:basedOn w:val="Normal"/>
    <w:next w:val="Normal"/>
    <w:uiPriority w:val="35"/>
    <w:unhideWhenUsed/>
    <w:qFormat/>
    <w:pPr>
      <w:spacing w:after="200" w:line="240" w:lineRule="auto"/>
    </w:pPr>
    <w:rPr>
      <w:i/>
      <w:iCs/>
      <w:color w:val="44546A" w:themeColor="text2"/>
      <w:sz w:val="18"/>
      <w:szCs w:val="18"/>
    </w:rPr>
  </w:style>
  <w:style w:type="paragraph" w:styleId="Textnotdesubsol">
    <w:name w:val="footnote text"/>
    <w:basedOn w:val="Normal"/>
    <w:link w:val="TextnotdesubsolCaracter"/>
    <w:uiPriority w:val="99"/>
    <w:semiHidden/>
    <w:unhideWhenUs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Pr>
      <w:sz w:val="20"/>
      <w:szCs w:val="20"/>
    </w:rPr>
  </w:style>
  <w:style w:type="character" w:styleId="Referinnotdesubsol">
    <w:name w:val="footnote reference"/>
    <w:basedOn w:val="Fontdeparagrafimplicit"/>
    <w:uiPriority w:val="99"/>
    <w:semiHidden/>
    <w:unhideWhenUsed/>
    <w:rPr>
      <w:vertAlign w:val="superscript"/>
    </w:rPr>
  </w:style>
  <w:style w:type="paragraph" w:styleId="Textnotdefinal">
    <w:name w:val="endnote text"/>
    <w:basedOn w:val="Normal"/>
    <w:link w:val="TextnotdefinalCaracter"/>
    <w:uiPriority w:val="99"/>
    <w:semiHidden/>
    <w:unhideWhenUsed/>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Pr>
      <w:sz w:val="20"/>
      <w:szCs w:val="20"/>
    </w:rPr>
  </w:style>
  <w:style w:type="character" w:styleId="Referinnotdefinal">
    <w:name w:val="endnote reference"/>
    <w:basedOn w:val="Fontdeparagrafimplicit"/>
    <w:uiPriority w:val="99"/>
    <w:semiHidden/>
    <w:unhideWhenUsed/>
    <w:rPr>
      <w:vertAlign w:val="superscript"/>
    </w:rPr>
  </w:style>
  <w:style w:type="character" w:styleId="HyperlinkParcurs">
    <w:name w:val="FollowedHyperlink"/>
    <w:basedOn w:val="Fontdeparagrafimplicit"/>
    <w:uiPriority w:val="99"/>
    <w:semiHidden/>
    <w:unhideWhenUsed/>
    <w:rPr>
      <w:color w:val="954F72" w:themeColor="followedHyperlink"/>
      <w:u w:val="single"/>
    </w:rPr>
  </w:style>
  <w:style w:type="paragraph" w:styleId="Titlucuprins">
    <w:name w:val="TOC Heading"/>
    <w:uiPriority w:val="39"/>
    <w:unhideWhenUsed/>
  </w:style>
  <w:style w:type="paragraph" w:styleId="Tabeldefiguri">
    <w:name w:val="table of figures"/>
    <w:basedOn w:val="Normal"/>
    <w:next w:val="Normal"/>
    <w:uiPriority w:val="99"/>
    <w:unhideWhenUsed/>
    <w:pPr>
      <w:spacing w:after="0"/>
    </w:pPr>
  </w:style>
  <w:style w:type="table" w:styleId="Tabelgril">
    <w:name w:val="Table Grid"/>
    <w:basedOn w:val="Tabel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character" w:styleId="Referincomentariu">
    <w:name w:val="annotation reference"/>
    <w:basedOn w:val="Fontdeparagrafimplicit"/>
    <w:uiPriority w:val="99"/>
    <w:semiHidden/>
    <w:unhideWhenUsed/>
    <w:rPr>
      <w:sz w:val="16"/>
      <w:szCs w:val="16"/>
    </w:r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Pr>
      <w:sz w:val="20"/>
      <w:szCs w:val="20"/>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SubiectComentariuCaracter">
    <w:name w:val="Subiect Comentariu Caracter"/>
    <w:basedOn w:val="TextcomentariuCaracter"/>
    <w:link w:val="SubiectComentariu"/>
    <w:uiPriority w:val="99"/>
    <w:semiHidden/>
    <w:rPr>
      <w:b/>
      <w:bCs/>
      <w:sz w:val="20"/>
      <w:szCs w:val="20"/>
    </w:rPr>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character" w:customStyle="1" w:styleId="FontStyle81">
    <w:name w:val="Font Style81"/>
    <w:basedOn w:val="Fontdeparagrafimplicit"/>
    <w:uiPriority w:val="99"/>
    <w:rPr>
      <w:rFonts w:ascii="Book Antiqua" w:hAnsi="Book Antiqua" w:cs="Book Antiqua"/>
      <w:b/>
      <w:bCs/>
      <w:sz w:val="16"/>
      <w:szCs w:val="16"/>
    </w:rPr>
  </w:style>
  <w:style w:type="character" w:styleId="Hyperlink">
    <w:name w:val="Hyperlink"/>
    <w:basedOn w:val="Fontdeparagrafimplici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Robust">
    <w:name w:val="Strong"/>
    <w:basedOn w:val="Fontdeparagrafimplicit"/>
    <w:uiPriority w:val="22"/>
    <w:qFormat/>
    <w:rPr>
      <w:b/>
      <w:bCs/>
    </w:rPr>
  </w:style>
  <w:style w:type="character" w:customStyle="1" w:styleId="Titlu2Caracter">
    <w:name w:val="Titlu 2 Caracter"/>
    <w:basedOn w:val="Fontdeparagrafimplicit"/>
    <w:link w:val="Titlu2"/>
    <w:uiPriority w:val="9"/>
    <w:semiHidden/>
    <w:rPr>
      <w:rFonts w:asciiTheme="majorHAnsi" w:eastAsiaTheme="majorEastAsia" w:hAnsiTheme="majorHAnsi" w:cstheme="majorBidi"/>
      <w:color w:val="2E74B5" w:themeColor="accent1" w:themeShade="BF"/>
      <w:sz w:val="32"/>
      <w:szCs w:val="32"/>
      <w14:ligatures w14:val="standardContextual"/>
    </w:rPr>
  </w:style>
  <w:style w:type="paragraph" w:customStyle="1" w:styleId="Para">
    <w:name w:val="Para"/>
    <w:link w:val="ParaChar"/>
    <w:uiPriority w:val="4"/>
    <w:qFormat/>
    <w:pPr>
      <w:spacing w:before="120" w:after="120" w:line="240" w:lineRule="auto"/>
      <w:jc w:val="both"/>
    </w:pPr>
    <w:rPr>
      <w:color w:val="000000" w:themeColor="text1"/>
      <w:sz w:val="20"/>
      <w:szCs w:val="20"/>
      <w:lang w:val="ro"/>
    </w:rPr>
  </w:style>
  <w:style w:type="character" w:customStyle="1" w:styleId="ParaChar">
    <w:name w:val="Para Char"/>
    <w:basedOn w:val="Fontdeparagrafimplicit"/>
    <w:link w:val="Para"/>
    <w:uiPriority w:val="4"/>
    <w:rPr>
      <w:color w:val="000000" w:themeColor="text1"/>
      <w:sz w:val="20"/>
      <w:szCs w:val="20"/>
      <w:lang w:val="ro"/>
    </w:rPr>
  </w:style>
  <w:style w:type="paragraph" w:customStyle="1" w:styleId="P68B1DB1-Para010">
    <w:name w:val="P68B1DB1-Para010"/>
    <w:basedOn w:val="Para"/>
    <w:rPr>
      <w:b/>
    </w:rPr>
  </w:style>
  <w:style w:type="paragraph" w:customStyle="1" w:styleId="P68B1DB1-Normal11">
    <w:name w:val="P68B1DB1-Normal11"/>
    <w:basedOn w:val="Normal"/>
    <w:rPr>
      <w:rFonts w:eastAsiaTheme="minorEastAsia"/>
      <w:sz w:val="20"/>
      <w:szCs w:val="20"/>
      <w:lang w:val="ro"/>
    </w:rPr>
  </w:style>
  <w:style w:type="paragraph" w:styleId="Antet">
    <w:name w:val="header"/>
    <w:basedOn w:val="Normal"/>
    <w:link w:val="AntetCaracter"/>
    <w:uiPriority w:val="99"/>
    <w:unhideWhenUsed/>
    <w:pPr>
      <w:tabs>
        <w:tab w:val="center" w:pos="4703"/>
        <w:tab w:val="right" w:pos="9406"/>
      </w:tabs>
      <w:spacing w:after="0" w:line="240" w:lineRule="auto"/>
    </w:pPr>
  </w:style>
  <w:style w:type="character" w:customStyle="1" w:styleId="AntetCaracter">
    <w:name w:val="Antet Caracter"/>
    <w:basedOn w:val="Fontdeparagrafimplicit"/>
    <w:link w:val="Antet"/>
    <w:uiPriority w:val="99"/>
  </w:style>
  <w:style w:type="paragraph" w:styleId="Subsol">
    <w:name w:val="footer"/>
    <w:basedOn w:val="Normal"/>
    <w:link w:val="SubsolCaracter"/>
    <w:uiPriority w:val="99"/>
    <w:unhideWhenUsed/>
    <w:pPr>
      <w:tabs>
        <w:tab w:val="center" w:pos="4703"/>
        <w:tab w:val="right" w:pos="9406"/>
      </w:tabs>
      <w:spacing w:after="0" w:line="240" w:lineRule="auto"/>
    </w:pPr>
  </w:style>
  <w:style w:type="character" w:customStyle="1" w:styleId="SubsolCaracter">
    <w:name w:val="Subsol Caracter"/>
    <w:basedOn w:val="Fontdeparagrafimplicit"/>
    <w:link w:val="Subsol"/>
    <w:uiPriority w:val="99"/>
  </w:style>
  <w:style w:type="character" w:customStyle="1" w:styleId="Titlu4Caracter">
    <w:name w:val="Titlu 4 Caracter"/>
    <w:basedOn w:val="Fontdeparagrafimplicit"/>
    <w:link w:val="Titlu4"/>
    <w:uiPriority w:val="9"/>
    <w:semiHidden/>
    <w:rPr>
      <w:rFonts w:asciiTheme="majorHAnsi" w:eastAsiaTheme="majorEastAsia" w:hAnsiTheme="majorHAnsi" w:cstheme="majorBidi"/>
      <w:i/>
      <w:iCs/>
      <w:color w:val="2E74B5" w:themeColor="accent1" w:themeShade="BF"/>
    </w:rPr>
  </w:style>
  <w:style w:type="paragraph" w:styleId="Corptext">
    <w:name w:val="Body Text"/>
    <w:basedOn w:val="Normal"/>
    <w:link w:val="CorptextCaracter"/>
    <w:rsid w:val="00584BE5"/>
    <w:pPr>
      <w:spacing w:after="0" w:line="240" w:lineRule="auto"/>
      <w:jc w:val="both"/>
    </w:pPr>
    <w:rPr>
      <w:rFonts w:ascii="Times New Roman" w:eastAsia="Times New Roman" w:hAnsi="Times New Roman" w:cs="Times New Roman"/>
      <w:sz w:val="28"/>
      <w:szCs w:val="20"/>
      <w:lang w:val="ro-RO" w:eastAsia="ru-RU"/>
    </w:rPr>
  </w:style>
  <w:style w:type="character" w:customStyle="1" w:styleId="CorptextCaracter">
    <w:name w:val="Corp text Caracter"/>
    <w:basedOn w:val="Fontdeparagrafimplicit"/>
    <w:link w:val="Corptext"/>
    <w:rsid w:val="00584BE5"/>
    <w:rPr>
      <w:rFonts w:ascii="Times New Roman" w:eastAsia="Times New Roman" w:hAnsi="Times New Roman" w:cs="Times New Roman"/>
      <w:sz w:val="28"/>
      <w:szCs w:val="20"/>
      <w:lang w:val="ro-RO" w:eastAsia="ru-RU"/>
    </w:rPr>
  </w:style>
  <w:style w:type="paragraph" w:customStyle="1" w:styleId="Default">
    <w:name w:val="Default"/>
    <w:rsid w:val="00B033C8"/>
    <w:pPr>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7283">
      <w:bodyDiv w:val="1"/>
      <w:marLeft w:val="0"/>
      <w:marRight w:val="0"/>
      <w:marTop w:val="0"/>
      <w:marBottom w:val="0"/>
      <w:divBdr>
        <w:top w:val="none" w:sz="0" w:space="0" w:color="auto"/>
        <w:left w:val="none" w:sz="0" w:space="0" w:color="auto"/>
        <w:bottom w:val="none" w:sz="0" w:space="0" w:color="auto"/>
        <w:right w:val="none" w:sz="0" w:space="0" w:color="auto"/>
      </w:divBdr>
      <w:divsChild>
        <w:div w:id="415709556">
          <w:marLeft w:val="0"/>
          <w:marRight w:val="0"/>
          <w:marTop w:val="0"/>
          <w:marBottom w:val="0"/>
          <w:divBdr>
            <w:top w:val="none" w:sz="0" w:space="0" w:color="auto"/>
            <w:left w:val="none" w:sz="0" w:space="0" w:color="auto"/>
            <w:bottom w:val="none" w:sz="0" w:space="0" w:color="auto"/>
            <w:right w:val="none" w:sz="0" w:space="0" w:color="auto"/>
          </w:divBdr>
        </w:div>
      </w:divsChild>
    </w:div>
    <w:div w:id="18351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3T19:05:16.129"/>
    </inkml:context>
    <inkml:brush xml:id="br0">
      <inkml:brushProperty name="width" value="0.035" units="cm"/>
      <inkml:brushProperty name="height" value="0.035" units="cm"/>
    </inkml:brush>
  </inkml:definitions>
  <inkml:trace contextRef="#ctx0" brushRef="#br0">1 1 24575,'0'0'0</inkml:trace>
</inkml:in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FF20-7FFF-0000-B0EB-886DFF7F0000}">
  <ds:schemaRefs>
    <ds:schemaRef ds:uri="http://www.w3.org/2003/InkML"/>
  </ds:schemaRefs>
</ds:datastoreItem>
</file>

<file path=customXml/itemProps2.xml><?xml version="1.0" encoding="utf-8"?>
<ds:datastoreItem xmlns:ds="http://schemas.openxmlformats.org/officeDocument/2006/customXml" ds:itemID="{2D9E62D2-10D1-4A29-B7D2-782763E3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17660</Words>
  <Characters>100662</Characters>
  <Application>Microsoft Office Word</Application>
  <DocSecurity>0</DocSecurity>
  <Lines>838</Lines>
  <Paragraphs>236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Fortuna</dc:creator>
  <cp:keywords/>
  <dc:description/>
  <cp:lastModifiedBy>Lilia, Radul</cp:lastModifiedBy>
  <cp:revision>3</cp:revision>
  <dcterms:created xsi:type="dcterms:W3CDTF">2026-06-17T10:59:00Z</dcterms:created>
  <dcterms:modified xsi:type="dcterms:W3CDTF">2026-06-17T11:11:00Z</dcterms:modified>
</cp:coreProperties>
</file>