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EDC" w:rsidRPr="005A0EDC" w:rsidRDefault="005A0EDC" w:rsidP="005A0EDC">
      <w:pPr>
        <w:shd w:val="clear" w:color="auto" w:fill="FFFFFF"/>
        <w:spacing w:before="165" w:after="165" w:line="240" w:lineRule="auto"/>
        <w:jc w:val="right"/>
        <w:outlineLvl w:val="3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o-MD"/>
        </w:rPr>
      </w:pPr>
      <w:r w:rsidRPr="005A0ED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ro-MD"/>
        </w:rPr>
        <w:t>Proiect</w:t>
      </w:r>
    </w:p>
    <w:p w:rsidR="005A0EDC" w:rsidRDefault="005A0EDC" w:rsidP="005A0EDC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o-MD"/>
        </w:rPr>
      </w:pPr>
    </w:p>
    <w:p w:rsidR="005A0EDC" w:rsidRPr="00701AD0" w:rsidRDefault="005A0EDC" w:rsidP="005A0EDC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701AD0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LEGE</w:t>
      </w:r>
      <w:r w:rsidRPr="00701AD0">
        <w:rPr>
          <w:rFonts w:ascii="Times New Roman" w:eastAsia="Times New Roman" w:hAnsi="Times New Roman" w:cs="Times New Roman"/>
          <w:sz w:val="28"/>
          <w:szCs w:val="28"/>
          <w:lang w:val="ro-MD"/>
        </w:rPr>
        <w:t> </w:t>
      </w:r>
    </w:p>
    <w:p w:rsidR="005A0EDC" w:rsidRPr="00701AD0" w:rsidRDefault="005A0EDC" w:rsidP="005A0EDC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701AD0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 xml:space="preserve"> pentru modificarea Legii bugetului de stat</w:t>
      </w:r>
      <w:r w:rsidRPr="00701AD0">
        <w:rPr>
          <w:rFonts w:ascii="Times New Roman" w:eastAsia="Times New Roman" w:hAnsi="Times New Roman" w:cs="Times New Roman"/>
          <w:sz w:val="28"/>
          <w:szCs w:val="28"/>
          <w:lang w:val="ro-MD"/>
        </w:rPr>
        <w:br/>
      </w:r>
      <w:r w:rsidRPr="00701AD0">
        <w:rPr>
          <w:rFonts w:ascii="Times New Roman" w:eastAsia="Times New Roman" w:hAnsi="Times New Roman" w:cs="Times New Roman"/>
          <w:b/>
          <w:bCs/>
          <w:sz w:val="28"/>
          <w:szCs w:val="28"/>
          <w:lang w:val="ro-MD"/>
        </w:rPr>
        <w:t>pentru anul 2025 nr. 310/2024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Parlamentul adoptă prezenta lege organică.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701AD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o-MD"/>
        </w:rPr>
        <w:t>Art. I.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 – </w:t>
      </w:r>
      <w:r w:rsidRPr="00701AD0">
        <w:rPr>
          <w:rFonts w:ascii="Times New Roman" w:hAnsi="Times New Roman" w:cs="Times New Roman"/>
          <w:sz w:val="28"/>
          <w:szCs w:val="28"/>
          <w:lang w:val="ro-MD"/>
        </w:rPr>
        <w:t>Legea bugetului de stat pentru anul 2025 nr. 310/2024 (Monitorul Oficial al Republicii Moldova, nr. 556-559, art. 768) se modifică după cum urmează: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o-MD"/>
        </w:rPr>
      </w:pPr>
    </w:p>
    <w:p w:rsidR="005A0EDC" w:rsidRPr="00810E07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1. La articolul 1 alineatul (1), cifrele „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71553900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,0”, „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85447900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,0” și „1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3894000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,0” se substituie, respectiv, cu cifrele „</w:t>
      </w:r>
      <w:r w:rsidR="00BB08A3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75284779,0</w:t>
      </w:r>
      <w:r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”, „</w:t>
      </w:r>
      <w:r w:rsidR="00BB08A3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93</w:t>
      </w:r>
      <w:r w:rsidR="00810E07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191130</w:t>
      </w:r>
      <w:r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="00BB08A3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</w:t>
      </w:r>
      <w:r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și „</w:t>
      </w:r>
      <w:r w:rsidR="00BB08A3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</w:t>
      </w:r>
      <w:r w:rsidR="00810E07"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7906351,1</w:t>
      </w:r>
      <w:r w:rsidRP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”.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2. Articolul 2:</w:t>
      </w:r>
    </w:p>
    <w:p w:rsidR="005C5EF1" w:rsidRPr="00701AD0" w:rsidRDefault="005C5EF1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a) cifrele „1698156,0” și „53,95” se subst</w:t>
      </w:r>
      <w:bookmarkStart w:id="0" w:name="_GoBack"/>
      <w:bookmarkEnd w:id="0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ituie, respectiv, cu cifrele „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2698156,0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și „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78,24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” ;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b), cifrele „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1700000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 cu cifrele „</w:t>
      </w:r>
      <w:r w:rsidR="00B74277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1900000,0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d), cifrele „1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524402,8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 cu cifrele „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3640002,8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f), cifrele „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701500,0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 cu cifrele „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8945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00,0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g), cifrele „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125000,0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 cu cifrele „</w:t>
      </w:r>
      <w:r w:rsidR="00B74277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225000,0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5C5EF1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k), cifrele „2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208446,3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” 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se substituie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cu cifrele „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2218744,4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3. Articolul 3: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la litera b), cifrele 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„2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50000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,0” se substituie cu cifrele „31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0000,0”;</w:t>
      </w:r>
      <w:r w:rsidR="001B3432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1B3432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f), cifrele „35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500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0,0” se substituie cu cifrele „</w:t>
      </w:r>
      <w:r w:rsidR="00881D66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6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55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000,0”.</w:t>
      </w:r>
    </w:p>
    <w:p w:rsidR="00B74277" w:rsidRPr="00701AD0" w:rsidRDefault="00B74277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se completează cu litera h) cu următorul cuprins:</w:t>
      </w:r>
    </w:p>
    <w:p w:rsidR="00B74277" w:rsidRPr="00701AD0" w:rsidRDefault="00B74277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„asigurarea </w:t>
      </w:r>
      <w:r w:rsidR="00907E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financiară a 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măsurilor de reforme economice în conformitate </w:t>
      </w:r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cu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Planul de creștere economică pentru Republica Moldova –</w:t>
      </w:r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în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sumă de </w:t>
      </w:r>
      <w:r w:rsidR="00810E0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400</w:t>
      </w:r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000,0 mii de lei.</w:t>
      </w:r>
      <w:r w:rsidR="00515C8B" w:rsidRPr="00701AD0">
        <w:t xml:space="preserve"> </w:t>
      </w:r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Repartizarea acestor </w:t>
      </w:r>
      <w:proofErr w:type="spellStart"/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alocaţii</w:t>
      </w:r>
      <w:proofErr w:type="spellEnd"/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pe </w:t>
      </w:r>
      <w:proofErr w:type="spellStart"/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autorităţi</w:t>
      </w:r>
      <w:proofErr w:type="spellEnd"/>
      <w:r w:rsidR="00515C8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publice se efectuează în baza hotărârilor de Guvern;”.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4. Articolul 4 alineatul (1):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a), cifrele „1</w:t>
      </w:r>
      <w:r w:rsidR="00D32FEF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7948497,8” 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și „1</w:t>
      </w:r>
      <w:r w:rsidR="00D32FEF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445202,8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substituie, respectiv, cu cifrele „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1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9397</w:t>
      </w:r>
      <w:r w:rsidR="00137155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84</w:t>
      </w:r>
      <w:r w:rsidR="008A31ED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,8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și „</w:t>
      </w:r>
      <w:r w:rsidR="00192B7B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2415802,8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”;</w:t>
      </w:r>
      <w:r w:rsidR="00D32FEF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la litera c), cifrele „</w:t>
      </w:r>
      <w:r w:rsidR="00D32FEF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20094345,9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se substituie cu cifrele „</w:t>
      </w:r>
      <w:r w:rsidR="00541C5A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20</w:t>
      </w:r>
      <w:r w:rsidR="004D1C64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294019</w:t>
      </w:r>
      <w:r w:rsidR="00541C5A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,0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”.</w:t>
      </w:r>
      <w:r w:rsidR="00D32FEF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D32FEF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lastRenderedPageBreak/>
        <w:t>5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 La articolul 8, cifrele „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53121,8”, „82152,8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” și „4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469,7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” se substituie, respectiv, cu cifrele </w:t>
      </w:r>
      <w:r w:rsidR="00812D75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„53104,1”, „87058,1” și „4582,0”.</w:t>
      </w:r>
    </w:p>
    <w:p w:rsidR="008F66D4" w:rsidRPr="00701AD0" w:rsidRDefault="008F66D4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8F66D4" w:rsidRPr="00701AD0" w:rsidRDefault="008F66D4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6. La articolul 10, alineatul (2) litera b), liniuța opt, textul ,,al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autorităţilor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administrative responsabile de digitalizare în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justiţie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şi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administrare judecătorească din subordinea Ministerului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Justiţiei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” 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se substituie cu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textul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,,al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Agenţiei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Digitalizare în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Justiţie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</w:t>
      </w:r>
      <w:proofErr w:type="spellStart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şi</w:t>
      </w:r>
      <w:proofErr w:type="spellEnd"/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 Administrare Judecătorească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”.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8F66D4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7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. Anexele nr. 1–7 se substituie cu anexele 1–7 la prezenta lege.</w:t>
      </w: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E56665" w:rsidRPr="00701AD0" w:rsidRDefault="008F66D4" w:rsidP="00362C69">
      <w:pPr>
        <w:pStyle w:val="ListParagraph"/>
        <w:ind w:left="0" w:firstLine="720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8</w:t>
      </w:r>
      <w:r w:rsidR="005A0EDC"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 xml:space="preserve">. În anexa nr. 8, </w:t>
      </w:r>
      <w:r w:rsidR="00E56665" w:rsidRPr="00701AD0">
        <w:rPr>
          <w:rFonts w:ascii="Times New Roman" w:hAnsi="Times New Roman" w:cs="Times New Roman"/>
          <w:sz w:val="28"/>
          <w:szCs w:val="28"/>
          <w:lang w:val="ro-MD"/>
        </w:rPr>
        <w:t>compartimentul „Ministerul Energiei” se completează cu poziția 224</w:t>
      </w:r>
      <w:r w:rsidR="00E56665" w:rsidRPr="00701AD0">
        <w:rPr>
          <w:rFonts w:ascii="Times New Roman" w:hAnsi="Times New Roman" w:cs="Times New Roman"/>
          <w:sz w:val="28"/>
          <w:szCs w:val="28"/>
          <w:vertAlign w:val="superscript"/>
          <w:lang w:val="ro-MD"/>
        </w:rPr>
        <w:t>1</w:t>
      </w:r>
      <w:r w:rsidR="00E56665" w:rsidRPr="00701AD0">
        <w:rPr>
          <w:rFonts w:ascii="Times New Roman" w:hAnsi="Times New Roman" w:cs="Times New Roman"/>
          <w:sz w:val="28"/>
          <w:szCs w:val="28"/>
          <w:lang w:val="ro-MD"/>
        </w:rPr>
        <w:t xml:space="preserve"> cu următorul cuprins:</w:t>
      </w:r>
    </w:p>
    <w:p w:rsidR="00E56665" w:rsidRPr="00701AD0" w:rsidRDefault="00E56665" w:rsidP="00E56665">
      <w:pPr>
        <w:pStyle w:val="ListParagraph"/>
        <w:jc w:val="both"/>
        <w:rPr>
          <w:rFonts w:ascii="Times New Roman" w:hAnsi="Times New Roman" w:cs="Times New Roman"/>
          <w:sz w:val="28"/>
          <w:szCs w:val="28"/>
        </w:rPr>
      </w:pPr>
      <w:r w:rsidRPr="00701AD0">
        <w:rPr>
          <w:rFonts w:ascii="Times New Roman" w:hAnsi="Times New Roman" w:cs="Times New Roman"/>
          <w:sz w:val="28"/>
          <w:szCs w:val="28"/>
          <w:lang w:val="ro-MD"/>
        </w:rPr>
        <w:t>„224</w:t>
      </w:r>
      <w:r w:rsidRPr="00701AD0">
        <w:rPr>
          <w:rFonts w:ascii="Times New Roman" w:hAnsi="Times New Roman" w:cs="Times New Roman"/>
          <w:sz w:val="28"/>
          <w:szCs w:val="28"/>
          <w:vertAlign w:val="superscript"/>
          <w:lang w:val="ro-MD"/>
        </w:rPr>
        <w:t xml:space="preserve">1 </w:t>
      </w:r>
      <w:r w:rsidRPr="00701AD0">
        <w:rPr>
          <w:rFonts w:ascii="Times New Roman" w:hAnsi="Times New Roman" w:cs="Times New Roman"/>
          <w:sz w:val="28"/>
          <w:szCs w:val="28"/>
          <w:lang w:val="ro-MD"/>
        </w:rPr>
        <w:t xml:space="preserve">SA </w:t>
      </w:r>
      <w:proofErr w:type="spellStart"/>
      <w:r w:rsidRPr="00701AD0">
        <w:rPr>
          <w:rFonts w:ascii="Times New Roman" w:hAnsi="Times New Roman" w:cs="Times New Roman"/>
          <w:sz w:val="28"/>
          <w:szCs w:val="28"/>
          <w:lang w:val="ro-MD"/>
        </w:rPr>
        <w:t>Energocom</w:t>
      </w:r>
      <w:proofErr w:type="spellEnd"/>
      <w:r w:rsidRPr="00701AD0">
        <w:rPr>
          <w:rFonts w:ascii="Times New Roman" w:hAnsi="Times New Roman" w:cs="Times New Roman"/>
          <w:sz w:val="28"/>
          <w:szCs w:val="28"/>
          <w:lang w:val="ro-MD"/>
        </w:rPr>
        <w:t>”.</w:t>
      </w:r>
    </w:p>
    <w:p w:rsidR="005A0EDC" w:rsidRPr="00701AD0" w:rsidRDefault="005A0EDC" w:rsidP="00D32F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o-MD"/>
        </w:rPr>
      </w:pPr>
    </w:p>
    <w:p w:rsidR="005A0EDC" w:rsidRPr="00701AD0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</w:pPr>
      <w:r w:rsidRPr="00701AD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ro-MD"/>
        </w:rPr>
        <w:t>Art. II.</w:t>
      </w:r>
      <w:r w:rsidRPr="00701AD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o-MD"/>
        </w:rPr>
        <w:t> – Prezenta lege intră în vigoare la data publicării în Monitorul Oficial al Republicii Moldova.</w:t>
      </w:r>
    </w:p>
    <w:p w:rsidR="005A0EDC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o-MD"/>
        </w:rPr>
      </w:pPr>
      <w:r w:rsidRPr="005A0ED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o-MD"/>
        </w:rPr>
        <w:t> </w:t>
      </w:r>
    </w:p>
    <w:p w:rsidR="005A0EDC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o-MD"/>
        </w:rPr>
      </w:pPr>
    </w:p>
    <w:p w:rsidR="005A0EDC" w:rsidRPr="005A0EDC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o-MD"/>
        </w:rPr>
      </w:pPr>
    </w:p>
    <w:p w:rsidR="005A0EDC" w:rsidRPr="005A0EDC" w:rsidRDefault="005A0EDC" w:rsidP="005A0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o-MD"/>
        </w:rPr>
      </w:pPr>
      <w:r w:rsidRPr="005A0E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MD"/>
        </w:rPr>
        <w:t>PREȘEDINT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MD"/>
        </w:rPr>
        <w:t>ELE</w:t>
      </w:r>
      <w:r w:rsidRPr="005A0E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o-MD"/>
        </w:rPr>
        <w:t xml:space="preserve"> PARLAMENTULUI          </w:t>
      </w:r>
    </w:p>
    <w:p w:rsidR="00CE07D5" w:rsidRPr="005A0EDC" w:rsidRDefault="00810E07">
      <w:pPr>
        <w:rPr>
          <w:rFonts w:ascii="Times New Roman" w:hAnsi="Times New Roman" w:cs="Times New Roman"/>
          <w:sz w:val="28"/>
          <w:szCs w:val="28"/>
          <w:lang w:val="ro-MD"/>
        </w:rPr>
      </w:pPr>
    </w:p>
    <w:sectPr w:rsidR="00CE07D5" w:rsidRPr="005A0E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54F17"/>
    <w:multiLevelType w:val="hybridMultilevel"/>
    <w:tmpl w:val="6032D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DC"/>
    <w:rsid w:val="00137155"/>
    <w:rsid w:val="00192B7B"/>
    <w:rsid w:val="001B3432"/>
    <w:rsid w:val="002E2EF6"/>
    <w:rsid w:val="00362C69"/>
    <w:rsid w:val="004D1C64"/>
    <w:rsid w:val="00515C8B"/>
    <w:rsid w:val="00522ED9"/>
    <w:rsid w:val="00541C5A"/>
    <w:rsid w:val="005A0EDC"/>
    <w:rsid w:val="005C5EF1"/>
    <w:rsid w:val="00701AD0"/>
    <w:rsid w:val="007344EE"/>
    <w:rsid w:val="00810E07"/>
    <w:rsid w:val="00812D75"/>
    <w:rsid w:val="00881D66"/>
    <w:rsid w:val="008A31ED"/>
    <w:rsid w:val="008F66D4"/>
    <w:rsid w:val="00907E7C"/>
    <w:rsid w:val="00947128"/>
    <w:rsid w:val="00B74277"/>
    <w:rsid w:val="00BB08A3"/>
    <w:rsid w:val="00BB43A1"/>
    <w:rsid w:val="00D32FEF"/>
    <w:rsid w:val="00E46F4F"/>
    <w:rsid w:val="00E56665"/>
    <w:rsid w:val="00F8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A5050"/>
  <w15:chartTrackingRefBased/>
  <w15:docId w15:val="{9341A70C-A0EB-494B-BDBF-19B606BC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5A0E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A0ED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A0ED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A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A0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9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10</cp:revision>
  <dcterms:created xsi:type="dcterms:W3CDTF">2025-04-01T10:53:00Z</dcterms:created>
  <dcterms:modified xsi:type="dcterms:W3CDTF">2025-04-02T13:54:00Z</dcterms:modified>
</cp:coreProperties>
</file>