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52" w:rsidRPr="00B74F11" w:rsidRDefault="001A2652" w:rsidP="001A2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74F11">
        <w:rPr>
          <w:rFonts w:ascii="Times New Roman" w:hAnsi="Times New Roman" w:cs="Times New Roman"/>
          <w:sz w:val="28"/>
          <w:szCs w:val="28"/>
        </w:rPr>
        <w:t>Proiect</w:t>
      </w:r>
    </w:p>
    <w:p w:rsidR="00A42D07" w:rsidRPr="00B74F11" w:rsidRDefault="00A42D07" w:rsidP="001A2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2652" w:rsidRPr="00B74F11" w:rsidRDefault="001A2652" w:rsidP="001A2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F11">
        <w:rPr>
          <w:rFonts w:ascii="Times New Roman" w:hAnsi="Times New Roman" w:cs="Times New Roman"/>
          <w:b/>
          <w:sz w:val="28"/>
          <w:szCs w:val="28"/>
        </w:rPr>
        <w:t>GUVERNUL  REPUBLICII  MOLDOVA</w:t>
      </w:r>
    </w:p>
    <w:p w:rsidR="001A2652" w:rsidRPr="00B74F11" w:rsidRDefault="001A2652" w:rsidP="001A2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652" w:rsidRPr="00B74F11" w:rsidRDefault="001A2652" w:rsidP="001A2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F11">
        <w:rPr>
          <w:rFonts w:ascii="Times New Roman" w:hAnsi="Times New Roman" w:cs="Times New Roman"/>
          <w:b/>
          <w:sz w:val="28"/>
          <w:szCs w:val="28"/>
        </w:rPr>
        <w:t>HOTĂRÎRE nr. _________</w:t>
      </w:r>
    </w:p>
    <w:p w:rsidR="001A2652" w:rsidRPr="00B74F11" w:rsidRDefault="001A2652" w:rsidP="001A2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F11">
        <w:rPr>
          <w:rFonts w:ascii="Times New Roman" w:hAnsi="Times New Roman" w:cs="Times New Roman"/>
          <w:b/>
          <w:sz w:val="28"/>
          <w:szCs w:val="28"/>
        </w:rPr>
        <w:t xml:space="preserve">din ____________________ </w:t>
      </w:r>
      <w:r w:rsidR="00BA1CC6" w:rsidRPr="00B74F11">
        <w:rPr>
          <w:rFonts w:ascii="Times New Roman" w:hAnsi="Times New Roman" w:cs="Times New Roman"/>
          <w:b/>
          <w:sz w:val="28"/>
          <w:szCs w:val="28"/>
        </w:rPr>
        <w:t>201</w:t>
      </w:r>
      <w:r w:rsidR="00E11E3D" w:rsidRPr="00B74F11">
        <w:rPr>
          <w:rFonts w:ascii="Times New Roman" w:hAnsi="Times New Roman" w:cs="Times New Roman"/>
          <w:b/>
          <w:sz w:val="28"/>
          <w:szCs w:val="28"/>
        </w:rPr>
        <w:t>8</w:t>
      </w:r>
    </w:p>
    <w:p w:rsidR="001A2652" w:rsidRPr="00B74F11" w:rsidRDefault="001A2652" w:rsidP="001A2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F11">
        <w:rPr>
          <w:rFonts w:ascii="Times New Roman" w:hAnsi="Times New Roman" w:cs="Times New Roman"/>
          <w:b/>
          <w:sz w:val="28"/>
          <w:szCs w:val="28"/>
        </w:rPr>
        <w:t>Chișinău</w:t>
      </w:r>
    </w:p>
    <w:p w:rsidR="001A2652" w:rsidRPr="00B74F11" w:rsidRDefault="001A2652" w:rsidP="001A2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652" w:rsidRPr="00B74F11" w:rsidRDefault="001A2652" w:rsidP="00062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F11">
        <w:rPr>
          <w:rFonts w:ascii="Times New Roman" w:hAnsi="Times New Roman" w:cs="Times New Roman"/>
          <w:b/>
          <w:sz w:val="28"/>
          <w:szCs w:val="28"/>
        </w:rPr>
        <w:t xml:space="preserve">Cu privire la </w:t>
      </w:r>
      <w:r w:rsidR="00ED5189" w:rsidRPr="00B74F11">
        <w:rPr>
          <w:rFonts w:ascii="Times New Roman" w:hAnsi="Times New Roman" w:cs="Times New Roman"/>
          <w:b/>
          <w:sz w:val="28"/>
          <w:szCs w:val="28"/>
        </w:rPr>
        <w:t xml:space="preserve">modificarea și completarea unor </w:t>
      </w:r>
      <w:proofErr w:type="spellStart"/>
      <w:r w:rsidR="00ED5189" w:rsidRPr="00B74F11">
        <w:rPr>
          <w:rFonts w:ascii="Times New Roman" w:hAnsi="Times New Roman" w:cs="Times New Roman"/>
          <w:b/>
          <w:sz w:val="28"/>
          <w:szCs w:val="28"/>
        </w:rPr>
        <w:t>hotărîri</w:t>
      </w:r>
      <w:proofErr w:type="spellEnd"/>
      <w:r w:rsidR="00ED5189" w:rsidRPr="00B74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15A" w:rsidRPr="00B74F11">
        <w:rPr>
          <w:rFonts w:ascii="Times New Roman" w:hAnsi="Times New Roman" w:cs="Times New Roman"/>
          <w:b/>
          <w:sz w:val="28"/>
          <w:szCs w:val="28"/>
        </w:rPr>
        <w:t>ale</w:t>
      </w:r>
      <w:r w:rsidR="00ED5189" w:rsidRPr="00B74F11">
        <w:rPr>
          <w:rFonts w:ascii="Times New Roman" w:hAnsi="Times New Roman" w:cs="Times New Roman"/>
          <w:b/>
          <w:sz w:val="28"/>
          <w:szCs w:val="28"/>
        </w:rPr>
        <w:t xml:space="preserve"> Guvern</w:t>
      </w:r>
      <w:r w:rsidR="00B4415A" w:rsidRPr="00B74F11">
        <w:rPr>
          <w:rFonts w:ascii="Times New Roman" w:hAnsi="Times New Roman" w:cs="Times New Roman"/>
          <w:b/>
          <w:sz w:val="28"/>
          <w:szCs w:val="28"/>
        </w:rPr>
        <w:t>ului</w:t>
      </w:r>
      <w:r w:rsidR="00ED5189" w:rsidRPr="00B74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F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652" w:rsidRPr="00B74F11" w:rsidRDefault="001A2652" w:rsidP="001A2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2A56" w:rsidRDefault="00F62A56" w:rsidP="00F62A56">
      <w:pPr>
        <w:spacing w:before="1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2F5A" w:rsidRPr="00B74F11" w:rsidRDefault="00F62A56" w:rsidP="00F62A56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Guvernul </w:t>
      </w:r>
      <w:r w:rsidR="001A2652" w:rsidRPr="00B74F11">
        <w:rPr>
          <w:rFonts w:ascii="Times New Roman" w:hAnsi="Times New Roman" w:cs="Times New Roman"/>
          <w:b/>
          <w:sz w:val="28"/>
          <w:szCs w:val="28"/>
        </w:rPr>
        <w:t>HOTĂRĂȘTE</w:t>
      </w:r>
      <w:r w:rsidR="001A2652" w:rsidRPr="00B74F11">
        <w:rPr>
          <w:rFonts w:ascii="Times New Roman" w:hAnsi="Times New Roman" w:cs="Times New Roman"/>
          <w:sz w:val="28"/>
          <w:szCs w:val="28"/>
        </w:rPr>
        <w:t>:</w:t>
      </w:r>
    </w:p>
    <w:p w:rsidR="00E22F5A" w:rsidRPr="00B74F11" w:rsidRDefault="00E22F5A" w:rsidP="00F62A56">
      <w:pPr>
        <w:tabs>
          <w:tab w:val="left" w:pos="90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F11">
        <w:rPr>
          <w:rFonts w:ascii="Times New Roman" w:hAnsi="Times New Roman" w:cs="Times New Roman"/>
          <w:sz w:val="28"/>
          <w:szCs w:val="28"/>
        </w:rPr>
        <w:t xml:space="preserve">Se aprobă modificările și completările ce se operează în unele </w:t>
      </w:r>
      <w:proofErr w:type="spellStart"/>
      <w:r w:rsidRPr="00B74F11">
        <w:rPr>
          <w:rFonts w:ascii="Times New Roman" w:hAnsi="Times New Roman" w:cs="Times New Roman"/>
          <w:sz w:val="28"/>
          <w:szCs w:val="28"/>
        </w:rPr>
        <w:t>hotărîri</w:t>
      </w:r>
      <w:proofErr w:type="spellEnd"/>
      <w:r w:rsidRPr="00B74F11">
        <w:rPr>
          <w:rFonts w:ascii="Times New Roman" w:hAnsi="Times New Roman" w:cs="Times New Roman"/>
          <w:sz w:val="28"/>
          <w:szCs w:val="28"/>
        </w:rPr>
        <w:t xml:space="preserve"> </w:t>
      </w:r>
      <w:r w:rsidR="00B4415A" w:rsidRPr="00B74F11">
        <w:rPr>
          <w:rFonts w:ascii="Times New Roman" w:hAnsi="Times New Roman" w:cs="Times New Roman"/>
          <w:sz w:val="28"/>
          <w:szCs w:val="28"/>
        </w:rPr>
        <w:t>ale</w:t>
      </w:r>
      <w:r w:rsidRPr="00B74F11">
        <w:rPr>
          <w:rFonts w:ascii="Times New Roman" w:hAnsi="Times New Roman" w:cs="Times New Roman"/>
          <w:sz w:val="28"/>
          <w:szCs w:val="28"/>
        </w:rPr>
        <w:t xml:space="preserve"> Guvernului (</w:t>
      </w:r>
      <w:r w:rsidR="00B4415A" w:rsidRPr="00B74F11">
        <w:rPr>
          <w:rFonts w:ascii="Times New Roman" w:hAnsi="Times New Roman" w:cs="Times New Roman"/>
          <w:sz w:val="28"/>
          <w:szCs w:val="28"/>
        </w:rPr>
        <w:t xml:space="preserve">se </w:t>
      </w:r>
      <w:r w:rsidRPr="00B74F11">
        <w:rPr>
          <w:rFonts w:ascii="Times New Roman" w:hAnsi="Times New Roman" w:cs="Times New Roman"/>
          <w:sz w:val="28"/>
          <w:szCs w:val="28"/>
        </w:rPr>
        <w:t>anexe</w:t>
      </w:r>
      <w:r w:rsidR="00B4415A" w:rsidRPr="00B74F11">
        <w:rPr>
          <w:rFonts w:ascii="Times New Roman" w:hAnsi="Times New Roman" w:cs="Times New Roman"/>
          <w:sz w:val="28"/>
          <w:szCs w:val="28"/>
        </w:rPr>
        <w:t>ază</w:t>
      </w:r>
      <w:r w:rsidRPr="00B74F11">
        <w:rPr>
          <w:rFonts w:ascii="Times New Roman" w:hAnsi="Times New Roman" w:cs="Times New Roman"/>
          <w:sz w:val="28"/>
          <w:szCs w:val="28"/>
        </w:rPr>
        <w:t>).</w:t>
      </w:r>
    </w:p>
    <w:p w:rsidR="00E22F5A" w:rsidRPr="00B74F11" w:rsidRDefault="00E22F5A" w:rsidP="00E22F5A">
      <w:pPr>
        <w:pStyle w:val="ListParagraph"/>
        <w:tabs>
          <w:tab w:val="left" w:pos="0"/>
          <w:tab w:val="left" w:pos="900"/>
        </w:tabs>
        <w:spacing w:after="0" w:line="240" w:lineRule="auto"/>
        <w:ind w:left="10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2F5A" w:rsidRPr="00B74F11" w:rsidRDefault="00E22F5A" w:rsidP="00E22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F5A" w:rsidRDefault="00E22F5A" w:rsidP="00E22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A56" w:rsidRDefault="00F62A56" w:rsidP="00E22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A56" w:rsidRDefault="00F62A56" w:rsidP="00E22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A56" w:rsidRDefault="00F62A56" w:rsidP="00E22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A56" w:rsidRPr="00B74F11" w:rsidRDefault="00F62A56" w:rsidP="00E22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F5A" w:rsidRPr="00B74F11" w:rsidRDefault="00E22F5A" w:rsidP="00E22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F1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Style w:val="TableGrid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786"/>
      </w:tblGrid>
      <w:tr w:rsidR="00E22F5A" w:rsidRPr="00B74F11" w:rsidTr="00D3254C">
        <w:trPr>
          <w:trHeight w:val="868"/>
        </w:trPr>
        <w:tc>
          <w:tcPr>
            <w:tcW w:w="4818" w:type="dxa"/>
          </w:tcPr>
          <w:p w:rsidR="00E22F5A" w:rsidRPr="00B74F11" w:rsidRDefault="00E22F5A" w:rsidP="0063493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 w:cs="Times New Roman"/>
                <w:b/>
                <w:sz w:val="28"/>
                <w:szCs w:val="28"/>
              </w:rPr>
              <w:t>Prim-ministru</w:t>
            </w:r>
          </w:p>
          <w:p w:rsidR="00E22F5A" w:rsidRPr="00B74F11" w:rsidRDefault="00E22F5A" w:rsidP="0063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F5A" w:rsidRPr="00B74F11" w:rsidRDefault="00E22F5A" w:rsidP="0063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22F5A" w:rsidRPr="00B74F11" w:rsidRDefault="00E22F5A" w:rsidP="00634937">
            <w:pPr>
              <w:tabs>
                <w:tab w:val="left" w:pos="1865"/>
              </w:tabs>
              <w:ind w:firstLine="18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 w:cs="Times New Roman"/>
                <w:b/>
                <w:sz w:val="28"/>
                <w:szCs w:val="28"/>
              </w:rPr>
              <w:t>Pavel FILIP</w:t>
            </w:r>
          </w:p>
        </w:tc>
      </w:tr>
      <w:tr w:rsidR="00E22F5A" w:rsidRPr="00B74F11" w:rsidTr="00D3254C">
        <w:trPr>
          <w:trHeight w:val="594"/>
        </w:trPr>
        <w:tc>
          <w:tcPr>
            <w:tcW w:w="4818" w:type="dxa"/>
          </w:tcPr>
          <w:p w:rsidR="00E22F5A" w:rsidRPr="00B74F11" w:rsidRDefault="00E22F5A" w:rsidP="0063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F11">
              <w:rPr>
                <w:rFonts w:ascii="Times New Roman" w:hAnsi="Times New Roman" w:cs="Times New Roman"/>
                <w:sz w:val="28"/>
                <w:szCs w:val="28"/>
              </w:rPr>
              <w:t>Contrasemnează:</w:t>
            </w:r>
          </w:p>
        </w:tc>
        <w:tc>
          <w:tcPr>
            <w:tcW w:w="4786" w:type="dxa"/>
          </w:tcPr>
          <w:p w:rsidR="00E22F5A" w:rsidRPr="00B74F11" w:rsidRDefault="00E22F5A" w:rsidP="006349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F5A" w:rsidRPr="00B74F11" w:rsidTr="00D3254C">
        <w:trPr>
          <w:trHeight w:val="975"/>
        </w:trPr>
        <w:tc>
          <w:tcPr>
            <w:tcW w:w="4818" w:type="dxa"/>
          </w:tcPr>
          <w:p w:rsidR="00E22F5A" w:rsidRPr="00B74F11" w:rsidRDefault="00E22F5A" w:rsidP="00D3254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 w:cs="Times New Roman"/>
                <w:b/>
                <w:sz w:val="28"/>
                <w:szCs w:val="28"/>
              </w:rPr>
              <w:t>Ministrul finanțelor</w:t>
            </w:r>
          </w:p>
        </w:tc>
        <w:tc>
          <w:tcPr>
            <w:tcW w:w="4786" w:type="dxa"/>
          </w:tcPr>
          <w:p w:rsidR="00E22F5A" w:rsidRPr="00B74F11" w:rsidRDefault="00E22F5A" w:rsidP="00D3254C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B74F11">
              <w:rPr>
                <w:rFonts w:ascii="Times New Roman" w:hAnsi="Times New Roman" w:cs="Times New Roman"/>
                <w:b/>
                <w:sz w:val="28"/>
                <w:szCs w:val="28"/>
              </w:rPr>
              <w:t>Octavian  ARMAȘU</w:t>
            </w:r>
          </w:p>
        </w:tc>
      </w:tr>
    </w:tbl>
    <w:p w:rsidR="00E22F5A" w:rsidRPr="00B74F11" w:rsidRDefault="00E22F5A" w:rsidP="00D3254C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E22F5A" w:rsidRPr="00B74F11" w:rsidRDefault="00E22F5A" w:rsidP="00384F55">
      <w:pPr>
        <w:spacing w:before="12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2F5A" w:rsidRPr="00B74F11" w:rsidRDefault="00E22F5A" w:rsidP="00384F55">
      <w:pPr>
        <w:spacing w:before="12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23D8" w:rsidRPr="00B74F11" w:rsidRDefault="008D23D8" w:rsidP="00384F55">
      <w:pPr>
        <w:spacing w:before="12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23D8" w:rsidRDefault="008D23D8" w:rsidP="00384F55">
      <w:pPr>
        <w:spacing w:before="12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62A56" w:rsidRPr="00B74F11" w:rsidRDefault="00F62A56" w:rsidP="00384F55">
      <w:pPr>
        <w:spacing w:before="12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23D8" w:rsidRPr="00B74F11" w:rsidRDefault="008D23D8" w:rsidP="00384F55">
      <w:pPr>
        <w:spacing w:before="12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23D8" w:rsidRPr="00B74F11" w:rsidRDefault="008D23D8" w:rsidP="00384F55">
      <w:pPr>
        <w:spacing w:before="12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23D8" w:rsidRPr="00B74F11" w:rsidRDefault="008D23D8" w:rsidP="00384F55">
      <w:pPr>
        <w:spacing w:before="12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2F5A" w:rsidRPr="00B74F11" w:rsidRDefault="006E5BD9" w:rsidP="00D61F6D">
      <w:pPr>
        <w:spacing w:after="0"/>
        <w:ind w:firstLine="547"/>
        <w:jc w:val="right"/>
        <w:rPr>
          <w:rFonts w:ascii="Times New Roman" w:hAnsi="Times New Roman" w:cs="Times New Roman"/>
          <w:sz w:val="28"/>
          <w:szCs w:val="28"/>
        </w:rPr>
      </w:pPr>
      <w:r w:rsidRPr="00B74F11">
        <w:rPr>
          <w:rFonts w:ascii="Times New Roman" w:hAnsi="Times New Roman" w:cs="Times New Roman"/>
          <w:sz w:val="28"/>
          <w:szCs w:val="28"/>
        </w:rPr>
        <w:lastRenderedPageBreak/>
        <w:t>Aprobate</w:t>
      </w:r>
    </w:p>
    <w:p w:rsidR="006E5BD9" w:rsidRPr="00B74F11" w:rsidRDefault="001E0E69" w:rsidP="00D61F6D">
      <w:pPr>
        <w:spacing w:after="0"/>
        <w:ind w:firstLine="547"/>
        <w:jc w:val="right"/>
        <w:rPr>
          <w:rFonts w:ascii="Times New Roman" w:hAnsi="Times New Roman" w:cs="Times New Roman"/>
          <w:sz w:val="28"/>
          <w:szCs w:val="28"/>
        </w:rPr>
      </w:pPr>
      <w:r w:rsidRPr="00B74F11">
        <w:rPr>
          <w:rFonts w:ascii="Times New Roman" w:hAnsi="Times New Roman" w:cs="Times New Roman"/>
          <w:sz w:val="28"/>
          <w:szCs w:val="28"/>
        </w:rPr>
        <w:t>p</w:t>
      </w:r>
      <w:r w:rsidR="006E5BD9" w:rsidRPr="00B74F11">
        <w:rPr>
          <w:rFonts w:ascii="Times New Roman" w:hAnsi="Times New Roman" w:cs="Times New Roman"/>
          <w:sz w:val="28"/>
          <w:szCs w:val="28"/>
        </w:rPr>
        <w:t xml:space="preserve">rin </w:t>
      </w:r>
      <w:proofErr w:type="spellStart"/>
      <w:r w:rsidR="006E5BD9" w:rsidRPr="00B74F11">
        <w:rPr>
          <w:rFonts w:ascii="Times New Roman" w:hAnsi="Times New Roman" w:cs="Times New Roman"/>
          <w:sz w:val="28"/>
          <w:szCs w:val="28"/>
        </w:rPr>
        <w:t>Hotărîrea</w:t>
      </w:r>
      <w:proofErr w:type="spellEnd"/>
      <w:r w:rsidR="006E5BD9" w:rsidRPr="00B74F11">
        <w:rPr>
          <w:rFonts w:ascii="Times New Roman" w:hAnsi="Times New Roman" w:cs="Times New Roman"/>
          <w:sz w:val="28"/>
          <w:szCs w:val="28"/>
        </w:rPr>
        <w:t xml:space="preserve"> Guvernului </w:t>
      </w:r>
    </w:p>
    <w:p w:rsidR="006E5BD9" w:rsidRPr="00B74F11" w:rsidRDefault="00B4415A" w:rsidP="00D61F6D">
      <w:pPr>
        <w:spacing w:after="0"/>
        <w:ind w:firstLine="547"/>
        <w:jc w:val="right"/>
        <w:rPr>
          <w:rFonts w:ascii="Times New Roman" w:hAnsi="Times New Roman" w:cs="Times New Roman"/>
          <w:sz w:val="28"/>
          <w:szCs w:val="28"/>
        </w:rPr>
      </w:pPr>
      <w:r w:rsidRPr="00B74F11">
        <w:rPr>
          <w:rFonts w:ascii="Times New Roman" w:hAnsi="Times New Roman" w:cs="Times New Roman"/>
          <w:sz w:val="28"/>
          <w:szCs w:val="28"/>
        </w:rPr>
        <w:t>nr.___ din ____</w:t>
      </w:r>
      <w:r w:rsidR="006E5BD9" w:rsidRPr="00B74F11">
        <w:rPr>
          <w:rFonts w:ascii="Times New Roman" w:hAnsi="Times New Roman" w:cs="Times New Roman"/>
          <w:sz w:val="28"/>
          <w:szCs w:val="28"/>
        </w:rPr>
        <w:t>________201</w:t>
      </w:r>
      <w:r w:rsidR="008D23D8" w:rsidRPr="00B74F11">
        <w:rPr>
          <w:rFonts w:ascii="Times New Roman" w:hAnsi="Times New Roman" w:cs="Times New Roman"/>
          <w:sz w:val="28"/>
          <w:szCs w:val="28"/>
        </w:rPr>
        <w:t>8</w:t>
      </w:r>
    </w:p>
    <w:p w:rsidR="00E22F5A" w:rsidRPr="00B74F11" w:rsidRDefault="00E22F5A" w:rsidP="00D61F6D">
      <w:pPr>
        <w:spacing w:after="0"/>
        <w:ind w:firstLine="547"/>
        <w:jc w:val="center"/>
        <w:rPr>
          <w:rFonts w:ascii="Times New Roman" w:hAnsi="Times New Roman" w:cs="Times New Roman"/>
          <w:sz w:val="28"/>
          <w:szCs w:val="28"/>
        </w:rPr>
      </w:pPr>
    </w:p>
    <w:p w:rsidR="00E22F5A" w:rsidRPr="00B74F11" w:rsidRDefault="001E0E69" w:rsidP="00D61F6D">
      <w:pPr>
        <w:spacing w:after="0"/>
        <w:ind w:firstLine="5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F11">
        <w:rPr>
          <w:rFonts w:ascii="Times New Roman" w:hAnsi="Times New Roman" w:cs="Times New Roman"/>
          <w:b/>
          <w:sz w:val="28"/>
          <w:szCs w:val="28"/>
        </w:rPr>
        <w:t>M</w:t>
      </w:r>
      <w:r w:rsidR="00B4415A" w:rsidRPr="00B74F11">
        <w:rPr>
          <w:rFonts w:ascii="Times New Roman" w:hAnsi="Times New Roman" w:cs="Times New Roman"/>
          <w:b/>
          <w:sz w:val="28"/>
          <w:szCs w:val="28"/>
        </w:rPr>
        <w:t>ODIFICĂRILE ȘI COMPLETĂRILE</w:t>
      </w:r>
    </w:p>
    <w:p w:rsidR="001E0E69" w:rsidRPr="00B74F11" w:rsidRDefault="001E0E69" w:rsidP="00D61F6D">
      <w:pPr>
        <w:spacing w:after="0"/>
        <w:ind w:firstLine="5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F11">
        <w:rPr>
          <w:rFonts w:ascii="Times New Roman" w:hAnsi="Times New Roman" w:cs="Times New Roman"/>
          <w:b/>
          <w:sz w:val="28"/>
          <w:szCs w:val="28"/>
        </w:rPr>
        <w:t xml:space="preserve">ce se operează în unele </w:t>
      </w:r>
      <w:proofErr w:type="spellStart"/>
      <w:r w:rsidRPr="00B74F11">
        <w:rPr>
          <w:rFonts w:ascii="Times New Roman" w:hAnsi="Times New Roman" w:cs="Times New Roman"/>
          <w:b/>
          <w:sz w:val="28"/>
          <w:szCs w:val="28"/>
        </w:rPr>
        <w:t>hotărîri</w:t>
      </w:r>
      <w:proofErr w:type="spellEnd"/>
      <w:r w:rsidRPr="00B74F11">
        <w:rPr>
          <w:rFonts w:ascii="Times New Roman" w:hAnsi="Times New Roman" w:cs="Times New Roman"/>
          <w:b/>
          <w:sz w:val="28"/>
          <w:szCs w:val="28"/>
        </w:rPr>
        <w:t xml:space="preserve"> ale Guvernului </w:t>
      </w:r>
    </w:p>
    <w:p w:rsidR="001E0E69" w:rsidRPr="00B74F11" w:rsidRDefault="001E0E69" w:rsidP="00D61F6D">
      <w:pPr>
        <w:spacing w:after="0"/>
        <w:ind w:firstLine="547"/>
        <w:jc w:val="center"/>
        <w:rPr>
          <w:rFonts w:ascii="Times New Roman" w:hAnsi="Times New Roman" w:cs="Times New Roman"/>
          <w:sz w:val="28"/>
          <w:szCs w:val="28"/>
        </w:rPr>
      </w:pPr>
    </w:p>
    <w:p w:rsidR="008D23D8" w:rsidRPr="00286D1A" w:rsidRDefault="00286D1A" w:rsidP="00286D1A">
      <w:pPr>
        <w:pStyle w:val="ListParagraph"/>
        <w:numPr>
          <w:ilvl w:val="0"/>
          <w:numId w:val="13"/>
        </w:numPr>
        <w:tabs>
          <w:tab w:val="left" w:pos="900"/>
        </w:tabs>
        <w:spacing w:before="240" w:after="0" w:line="240" w:lineRule="auto"/>
        <w:ind w:left="0"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Punctul 5 din </w:t>
      </w:r>
      <w:proofErr w:type="spellStart"/>
      <w:r w:rsidRPr="007E1911">
        <w:rPr>
          <w:rFonts w:ascii="Times New Roman" w:hAnsi="Times New Roman" w:cs="Times New Roman"/>
          <w:b/>
          <w:sz w:val="28"/>
          <w:szCs w:val="28"/>
        </w:rPr>
        <w:t>Hotărîrea</w:t>
      </w:r>
      <w:proofErr w:type="spellEnd"/>
      <w:r w:rsidRPr="007E1911">
        <w:rPr>
          <w:rFonts w:ascii="Times New Roman" w:hAnsi="Times New Roman" w:cs="Times New Roman"/>
          <w:b/>
          <w:sz w:val="28"/>
          <w:szCs w:val="28"/>
        </w:rPr>
        <w:t xml:space="preserve"> Guvernului </w:t>
      </w:r>
      <w:bookmarkStart w:id="0" w:name="_GoBack"/>
      <w:r w:rsidRPr="007E1911">
        <w:rPr>
          <w:rFonts w:ascii="Times New Roman" w:hAnsi="Times New Roman" w:cs="Times New Roman"/>
          <w:b/>
          <w:sz w:val="28"/>
          <w:szCs w:val="28"/>
        </w:rPr>
        <w:t xml:space="preserve">nr.759 din 03 decembrie 1993 „Cu privire la încurajarea donării de </w:t>
      </w:r>
      <w:proofErr w:type="spellStart"/>
      <w:r w:rsidRPr="007E1911">
        <w:rPr>
          <w:rFonts w:ascii="Times New Roman" w:hAnsi="Times New Roman" w:cs="Times New Roman"/>
          <w:b/>
          <w:sz w:val="28"/>
          <w:szCs w:val="28"/>
        </w:rPr>
        <w:t>sînge</w:t>
      </w:r>
      <w:proofErr w:type="spellEnd"/>
      <w:r w:rsidRPr="007E1911">
        <w:rPr>
          <w:rFonts w:ascii="Times New Roman" w:hAnsi="Times New Roman" w:cs="Times New Roman"/>
          <w:b/>
          <w:sz w:val="28"/>
          <w:szCs w:val="28"/>
        </w:rPr>
        <w:t xml:space="preserve"> în Republica Moldova”</w:t>
      </w:r>
      <w:bookmarkEnd w:id="0"/>
      <w:r>
        <w:rPr>
          <w:rFonts w:ascii="Times New Roman" w:hAnsi="Times New Roman" w:cs="Times New Roman"/>
          <w:sz w:val="28"/>
          <w:szCs w:val="28"/>
        </w:rPr>
        <w:t>, cu modificările ulterioare, se abrogă.</w:t>
      </w:r>
    </w:p>
    <w:p w:rsidR="003F1813" w:rsidRDefault="00E974D1" w:rsidP="00286D1A">
      <w:pPr>
        <w:pStyle w:val="ListParagraph"/>
        <w:numPr>
          <w:ilvl w:val="0"/>
          <w:numId w:val="13"/>
        </w:numPr>
        <w:tabs>
          <w:tab w:val="left" w:pos="900"/>
        </w:tabs>
        <w:spacing w:before="120" w:after="0" w:line="240" w:lineRule="auto"/>
        <w:ind w:left="0" w:firstLine="53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F11">
        <w:rPr>
          <w:rFonts w:ascii="Times New Roman" w:hAnsi="Times New Roman" w:cs="Times New Roman"/>
          <w:b/>
          <w:sz w:val="28"/>
          <w:szCs w:val="28"/>
        </w:rPr>
        <w:t>Hotărîrea</w:t>
      </w:r>
      <w:proofErr w:type="spellEnd"/>
      <w:r w:rsidR="004140A4" w:rsidRPr="00B74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F11">
        <w:rPr>
          <w:rFonts w:ascii="Times New Roman" w:hAnsi="Times New Roman" w:cs="Times New Roman"/>
          <w:b/>
          <w:sz w:val="28"/>
          <w:szCs w:val="28"/>
        </w:rPr>
        <w:t>Guvernului nr.</w:t>
      </w:r>
      <w:r w:rsidR="001E0E69" w:rsidRPr="00B74F11">
        <w:rPr>
          <w:rFonts w:ascii="Times New Roman" w:hAnsi="Times New Roman" w:cs="Times New Roman"/>
          <w:b/>
          <w:sz w:val="28"/>
          <w:szCs w:val="28"/>
        </w:rPr>
        <w:t xml:space="preserve">381 din 13 aprilie 2006 </w:t>
      </w:r>
      <w:r w:rsidRPr="00B74F11">
        <w:rPr>
          <w:rFonts w:ascii="Times New Roman" w:hAnsi="Times New Roman" w:cs="Times New Roman"/>
          <w:b/>
          <w:sz w:val="28"/>
          <w:szCs w:val="28"/>
        </w:rPr>
        <w:t>„</w:t>
      </w:r>
      <w:r w:rsidR="001E0E69" w:rsidRPr="00B74F11">
        <w:rPr>
          <w:rFonts w:ascii="Times New Roman" w:hAnsi="Times New Roman" w:cs="Times New Roman"/>
          <w:b/>
          <w:sz w:val="28"/>
          <w:szCs w:val="28"/>
        </w:rPr>
        <w:t>Cu privire la condițiile de salarizare a personalului din unitățile bugetare</w:t>
      </w:r>
      <w:r w:rsidRPr="00B74F11">
        <w:rPr>
          <w:rFonts w:ascii="Times New Roman" w:hAnsi="Times New Roman" w:cs="Times New Roman"/>
          <w:b/>
          <w:sz w:val="28"/>
          <w:szCs w:val="28"/>
        </w:rPr>
        <w:t>”</w:t>
      </w:r>
      <w:r w:rsidRPr="00B74F11">
        <w:rPr>
          <w:rFonts w:ascii="Times New Roman" w:hAnsi="Times New Roman" w:cs="Times New Roman"/>
          <w:sz w:val="28"/>
          <w:szCs w:val="28"/>
        </w:rPr>
        <w:t xml:space="preserve">  (Monitorul Oficial </w:t>
      </w:r>
      <w:r w:rsidR="001E0E69" w:rsidRPr="00B74F11">
        <w:rPr>
          <w:rFonts w:ascii="Times New Roman" w:hAnsi="Times New Roman" w:cs="Times New Roman"/>
          <w:sz w:val="28"/>
          <w:szCs w:val="28"/>
        </w:rPr>
        <w:t>al Republicii Moldova, 2006, nr.66-69, art.431)</w:t>
      </w:r>
      <w:r w:rsidR="008D2560" w:rsidRPr="00B74F11">
        <w:rPr>
          <w:rFonts w:ascii="Times New Roman" w:hAnsi="Times New Roman" w:cs="Times New Roman"/>
          <w:sz w:val="28"/>
          <w:szCs w:val="28"/>
        </w:rPr>
        <w:t xml:space="preserve">, cu modificările și completările ulterioare, </w:t>
      </w:r>
      <w:r w:rsidR="003343EF">
        <w:rPr>
          <w:rFonts w:ascii="Times New Roman" w:hAnsi="Times New Roman" w:cs="Times New Roman"/>
          <w:sz w:val="28"/>
          <w:szCs w:val="28"/>
        </w:rPr>
        <w:t>se modifică și se completează după cum urmează</w:t>
      </w:r>
      <w:r w:rsidR="003F1813" w:rsidRPr="00B74F11">
        <w:rPr>
          <w:rFonts w:ascii="Times New Roman" w:hAnsi="Times New Roman" w:cs="Times New Roman"/>
          <w:sz w:val="28"/>
          <w:szCs w:val="28"/>
        </w:rPr>
        <w:t>:</w:t>
      </w:r>
    </w:p>
    <w:p w:rsidR="003343EF" w:rsidRDefault="003343EF" w:rsidP="0097601E">
      <w:pPr>
        <w:pStyle w:val="ListParagraph"/>
        <w:numPr>
          <w:ilvl w:val="0"/>
          <w:numId w:val="29"/>
        </w:num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3EF">
        <w:rPr>
          <w:rFonts w:ascii="Times New Roman" w:hAnsi="Times New Roman" w:cs="Times New Roman"/>
          <w:sz w:val="28"/>
          <w:szCs w:val="28"/>
        </w:rPr>
        <w:t>în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3EF">
        <w:rPr>
          <w:rFonts w:ascii="Times New Roman" w:hAnsi="Times New Roman" w:cs="Times New Roman"/>
          <w:sz w:val="28"/>
          <w:szCs w:val="28"/>
        </w:rPr>
        <w:t>anexa nr.18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43EF" w:rsidRDefault="003343EF" w:rsidP="003343EF">
      <w:pPr>
        <w:pStyle w:val="ListParagraph"/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categoria de salarizare 14, cifra „1170” indicată în coloana 2 se substituie cu cifra „1770”;</w:t>
      </w:r>
    </w:p>
    <w:p w:rsidR="003343EF" w:rsidRDefault="003343EF" w:rsidP="003343EF">
      <w:pPr>
        <w:pStyle w:val="ListParagraph"/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categoria de salarizare 15, semnul „x” indicat în coloana 3 se substituie cu cifra „1680”;</w:t>
      </w:r>
    </w:p>
    <w:p w:rsidR="003343EF" w:rsidRDefault="003343EF" w:rsidP="003343EF">
      <w:pPr>
        <w:pStyle w:val="ListParagraph"/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la categoria de salarizare 16, semnul „x” indicat în coloana 3 se substituie cu cifra „1720”;</w:t>
      </w:r>
    </w:p>
    <w:p w:rsidR="009031C2" w:rsidRPr="00286D1A" w:rsidRDefault="009031C2" w:rsidP="00286D1A">
      <w:pPr>
        <w:pStyle w:val="ListParagraph"/>
        <w:numPr>
          <w:ilvl w:val="0"/>
          <w:numId w:val="13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D1A">
        <w:rPr>
          <w:rFonts w:ascii="Times New Roman" w:hAnsi="Times New Roman" w:cs="Times New Roman"/>
          <w:b/>
          <w:sz w:val="28"/>
          <w:szCs w:val="28"/>
        </w:rPr>
        <w:t>Hotărîrea</w:t>
      </w:r>
      <w:proofErr w:type="spellEnd"/>
      <w:r w:rsidRPr="00286D1A">
        <w:rPr>
          <w:rFonts w:ascii="Times New Roman" w:hAnsi="Times New Roman" w:cs="Times New Roman"/>
          <w:b/>
          <w:sz w:val="28"/>
          <w:szCs w:val="28"/>
        </w:rPr>
        <w:t xml:space="preserve"> Guvernului nr.650 din 12 iunie 2006 „</w:t>
      </w:r>
      <w:r w:rsidR="00114ADA" w:rsidRPr="00286D1A">
        <w:rPr>
          <w:rFonts w:ascii="Times New Roman" w:hAnsi="Times New Roman" w:cs="Times New Roman"/>
          <w:b/>
          <w:sz w:val="28"/>
          <w:szCs w:val="28"/>
        </w:rPr>
        <w:t>Privind salarizarea militarilor, efectivului de trupă și corpulu</w:t>
      </w:r>
      <w:r w:rsidR="00C3348B" w:rsidRPr="00286D1A">
        <w:rPr>
          <w:rFonts w:ascii="Times New Roman" w:hAnsi="Times New Roman" w:cs="Times New Roman"/>
          <w:b/>
          <w:sz w:val="28"/>
          <w:szCs w:val="28"/>
        </w:rPr>
        <w:t>i de comandă angajați în serviciul organelor apărării naționale, securității statului și ordinii publice</w:t>
      </w:r>
      <w:r w:rsidRPr="00286D1A">
        <w:rPr>
          <w:rFonts w:ascii="Times New Roman" w:hAnsi="Times New Roman" w:cs="Times New Roman"/>
          <w:b/>
          <w:sz w:val="28"/>
          <w:szCs w:val="28"/>
        </w:rPr>
        <w:t>”</w:t>
      </w:r>
      <w:r w:rsidRPr="00286D1A">
        <w:rPr>
          <w:rFonts w:ascii="Times New Roman" w:hAnsi="Times New Roman" w:cs="Times New Roman"/>
          <w:sz w:val="28"/>
          <w:szCs w:val="28"/>
        </w:rPr>
        <w:t xml:space="preserve">  (Monitorul Oficial al Republicii Moldova, 2006, nr.</w:t>
      </w:r>
      <w:r w:rsidR="00C3348B" w:rsidRPr="00286D1A">
        <w:rPr>
          <w:rFonts w:ascii="Times New Roman" w:hAnsi="Times New Roman" w:cs="Times New Roman"/>
          <w:sz w:val="28"/>
          <w:szCs w:val="28"/>
        </w:rPr>
        <w:t>91-94</w:t>
      </w:r>
      <w:r w:rsidRPr="00286D1A">
        <w:rPr>
          <w:rFonts w:ascii="Times New Roman" w:hAnsi="Times New Roman" w:cs="Times New Roman"/>
          <w:sz w:val="28"/>
          <w:szCs w:val="28"/>
        </w:rPr>
        <w:t>, art.</w:t>
      </w:r>
      <w:r w:rsidR="00C3348B" w:rsidRPr="00286D1A">
        <w:rPr>
          <w:rFonts w:ascii="Times New Roman" w:hAnsi="Times New Roman" w:cs="Times New Roman"/>
          <w:sz w:val="28"/>
          <w:szCs w:val="28"/>
        </w:rPr>
        <w:t>692</w:t>
      </w:r>
      <w:r w:rsidRPr="00286D1A">
        <w:rPr>
          <w:rFonts w:ascii="Times New Roman" w:hAnsi="Times New Roman" w:cs="Times New Roman"/>
          <w:sz w:val="28"/>
          <w:szCs w:val="28"/>
        </w:rPr>
        <w:t xml:space="preserve">), cu modificările și completările ulterioare, </w:t>
      </w:r>
      <w:r w:rsidR="00C3348B" w:rsidRPr="00286D1A">
        <w:rPr>
          <w:rFonts w:ascii="Times New Roman" w:hAnsi="Times New Roman" w:cs="Times New Roman"/>
          <w:sz w:val="28"/>
          <w:szCs w:val="28"/>
        </w:rPr>
        <w:t>se modifică și se completează după cum urmează</w:t>
      </w:r>
      <w:r w:rsidRPr="00286D1A">
        <w:rPr>
          <w:rFonts w:ascii="Times New Roman" w:hAnsi="Times New Roman" w:cs="Times New Roman"/>
          <w:sz w:val="28"/>
          <w:szCs w:val="28"/>
        </w:rPr>
        <w:t>:</w:t>
      </w:r>
    </w:p>
    <w:p w:rsidR="00C3348B" w:rsidRPr="00B74F11" w:rsidRDefault="00133D40" w:rsidP="00133D40">
      <w:pPr>
        <w:pStyle w:val="ListParagraph"/>
        <w:numPr>
          <w:ilvl w:val="0"/>
          <w:numId w:val="15"/>
        </w:numPr>
        <w:tabs>
          <w:tab w:val="left" w:pos="900"/>
        </w:tabs>
        <w:spacing w:before="120"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F11">
        <w:rPr>
          <w:rFonts w:ascii="Times New Roman" w:hAnsi="Times New Roman" w:cs="Times New Roman"/>
          <w:sz w:val="28"/>
          <w:szCs w:val="28"/>
        </w:rPr>
        <w:t>î</w:t>
      </w:r>
      <w:r w:rsidR="00C3348B" w:rsidRPr="00B74F11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B74F11">
        <w:rPr>
          <w:rFonts w:ascii="Times New Roman" w:hAnsi="Times New Roman" w:cs="Times New Roman"/>
          <w:sz w:val="28"/>
          <w:szCs w:val="28"/>
        </w:rPr>
        <w:t>hotărîre</w:t>
      </w:r>
      <w:proofErr w:type="spellEnd"/>
      <w:r w:rsidRPr="00B74F11">
        <w:rPr>
          <w:rFonts w:ascii="Times New Roman" w:hAnsi="Times New Roman" w:cs="Times New Roman"/>
          <w:sz w:val="28"/>
          <w:szCs w:val="28"/>
        </w:rPr>
        <w:t>:</w:t>
      </w:r>
    </w:p>
    <w:p w:rsidR="00133D40" w:rsidRDefault="00790F96" w:rsidP="00F06C9F">
      <w:pPr>
        <w:pStyle w:val="ListParagraph"/>
        <w:tabs>
          <w:tab w:val="left" w:pos="900"/>
        </w:tabs>
        <w:spacing w:before="12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="001F7203" w:rsidRPr="00B74F11">
        <w:rPr>
          <w:rFonts w:ascii="Times New Roman" w:hAnsi="Times New Roman" w:cs="Times New Roman"/>
          <w:sz w:val="28"/>
          <w:szCs w:val="28"/>
        </w:rPr>
        <w:t xml:space="preserve">punctul </w:t>
      </w:r>
      <w:r>
        <w:rPr>
          <w:rFonts w:ascii="Times New Roman" w:hAnsi="Times New Roman" w:cs="Times New Roman"/>
          <w:sz w:val="28"/>
          <w:szCs w:val="28"/>
        </w:rPr>
        <w:t xml:space="preserve">8, în </w:t>
      </w:r>
      <w:r w:rsidR="001F7203" w:rsidRPr="00B74F11">
        <w:rPr>
          <w:rFonts w:ascii="Times New Roman" w:hAnsi="Times New Roman" w:cs="Times New Roman"/>
          <w:sz w:val="28"/>
          <w:szCs w:val="28"/>
        </w:rPr>
        <w:t>alineat</w:t>
      </w:r>
      <w:r>
        <w:rPr>
          <w:rFonts w:ascii="Times New Roman" w:hAnsi="Times New Roman" w:cs="Times New Roman"/>
          <w:sz w:val="28"/>
          <w:szCs w:val="28"/>
        </w:rPr>
        <w:t>ul 3</w:t>
      </w:r>
      <w:r w:rsidR="001F7203" w:rsidRPr="00B74F11">
        <w:rPr>
          <w:rFonts w:ascii="Times New Roman" w:hAnsi="Times New Roman" w:cs="Times New Roman"/>
          <w:sz w:val="28"/>
          <w:szCs w:val="28"/>
        </w:rPr>
        <w:t xml:space="preserve">, după </w:t>
      </w:r>
      <w:r>
        <w:rPr>
          <w:rFonts w:ascii="Times New Roman" w:hAnsi="Times New Roman" w:cs="Times New Roman"/>
          <w:sz w:val="28"/>
          <w:szCs w:val="28"/>
        </w:rPr>
        <w:t>textul</w:t>
      </w:r>
      <w:r w:rsidR="001F7203" w:rsidRPr="00B74F11">
        <w:rPr>
          <w:rFonts w:ascii="Times New Roman" w:hAnsi="Times New Roman" w:cs="Times New Roman"/>
          <w:sz w:val="28"/>
          <w:szCs w:val="28"/>
        </w:rPr>
        <w:t xml:space="preserve"> „</w:t>
      </w:r>
      <w:r>
        <w:rPr>
          <w:rFonts w:ascii="Times New Roman" w:hAnsi="Times New Roman" w:cs="Times New Roman"/>
          <w:sz w:val="28"/>
          <w:szCs w:val="28"/>
        </w:rPr>
        <w:t xml:space="preserve">Ministerul Muncii, </w:t>
      </w:r>
      <w:r w:rsidR="00BF5D3D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rotecției Sociale și Familiei</w:t>
      </w:r>
      <w:r w:rsidR="001F7203" w:rsidRPr="00B74F11">
        <w:rPr>
          <w:rFonts w:ascii="Times New Roman" w:hAnsi="Times New Roman" w:cs="Times New Roman"/>
          <w:sz w:val="28"/>
          <w:szCs w:val="28"/>
        </w:rPr>
        <w:t xml:space="preserve">” se </w:t>
      </w:r>
      <w:r>
        <w:rPr>
          <w:rFonts w:ascii="Times New Roman" w:hAnsi="Times New Roman" w:cs="Times New Roman"/>
          <w:sz w:val="28"/>
          <w:szCs w:val="28"/>
        </w:rPr>
        <w:t xml:space="preserve">substituie </w:t>
      </w:r>
      <w:r w:rsidR="001F7203" w:rsidRPr="00B74F11">
        <w:rPr>
          <w:rFonts w:ascii="Times New Roman" w:hAnsi="Times New Roman" w:cs="Times New Roman"/>
          <w:sz w:val="28"/>
          <w:szCs w:val="28"/>
        </w:rPr>
        <w:t xml:space="preserve">cu </w:t>
      </w:r>
      <w:r>
        <w:rPr>
          <w:rFonts w:ascii="Times New Roman" w:hAnsi="Times New Roman" w:cs="Times New Roman"/>
          <w:sz w:val="28"/>
          <w:szCs w:val="28"/>
        </w:rPr>
        <w:t>textul</w:t>
      </w:r>
      <w:r w:rsidR="001F7203" w:rsidRPr="00B74F11">
        <w:rPr>
          <w:rFonts w:ascii="Times New Roman" w:hAnsi="Times New Roman" w:cs="Times New Roman"/>
          <w:sz w:val="28"/>
          <w:szCs w:val="28"/>
        </w:rPr>
        <w:t xml:space="preserve"> „</w:t>
      </w:r>
      <w:r>
        <w:rPr>
          <w:rFonts w:ascii="Times New Roman" w:hAnsi="Times New Roman" w:cs="Times New Roman"/>
          <w:sz w:val="28"/>
          <w:szCs w:val="28"/>
        </w:rPr>
        <w:t>Ministerul Sănătății, Muncii și Protecției Sociale”;</w:t>
      </w:r>
    </w:p>
    <w:p w:rsidR="00BF5D3D" w:rsidRDefault="00A11CC7" w:rsidP="00BF5D3D">
      <w:pPr>
        <w:pStyle w:val="ListParagraph"/>
        <w:tabs>
          <w:tab w:val="left" w:pos="900"/>
        </w:tabs>
        <w:spacing w:before="12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</w:t>
      </w:r>
      <w:r w:rsidR="00BF5D3D">
        <w:rPr>
          <w:rFonts w:ascii="Times New Roman" w:hAnsi="Times New Roman" w:cs="Times New Roman"/>
          <w:sz w:val="28"/>
          <w:szCs w:val="28"/>
        </w:rPr>
        <w:t xml:space="preserve"> punctul 11, textul „Ministerul Sănătății în comun cu Ministerul Muncii, </w:t>
      </w:r>
      <w:r>
        <w:rPr>
          <w:rFonts w:ascii="Times New Roman" w:hAnsi="Times New Roman" w:cs="Times New Roman"/>
          <w:sz w:val="28"/>
          <w:szCs w:val="28"/>
        </w:rPr>
        <w:t>P</w:t>
      </w:r>
      <w:r w:rsidR="00BF5D3D">
        <w:rPr>
          <w:rFonts w:ascii="Times New Roman" w:hAnsi="Times New Roman" w:cs="Times New Roman"/>
          <w:sz w:val="28"/>
          <w:szCs w:val="28"/>
        </w:rPr>
        <w:t xml:space="preserve">rotecției Sociale și Familiei” se substituie cu textul </w:t>
      </w:r>
      <w:r w:rsidR="00BF5D3D" w:rsidRPr="00B74F11">
        <w:rPr>
          <w:rFonts w:ascii="Times New Roman" w:hAnsi="Times New Roman" w:cs="Times New Roman"/>
          <w:sz w:val="28"/>
          <w:szCs w:val="28"/>
        </w:rPr>
        <w:t>„</w:t>
      </w:r>
      <w:r w:rsidR="00BF5D3D">
        <w:rPr>
          <w:rFonts w:ascii="Times New Roman" w:hAnsi="Times New Roman" w:cs="Times New Roman"/>
          <w:sz w:val="28"/>
          <w:szCs w:val="28"/>
        </w:rPr>
        <w:t>Ministerul Sănătății, Muncii și Protecției Sociale”;</w:t>
      </w:r>
    </w:p>
    <w:p w:rsidR="00A11CC7" w:rsidRDefault="00A11CC7" w:rsidP="00BF5D3D">
      <w:pPr>
        <w:pStyle w:val="ListParagraph"/>
        <w:tabs>
          <w:tab w:val="left" w:pos="900"/>
        </w:tabs>
        <w:spacing w:before="12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punctul 17, textul „Departamentul Poliției de Frontieră” se substituie cu textul „Inspectoratul General pentru Situații de Urgență”;</w:t>
      </w:r>
    </w:p>
    <w:p w:rsidR="008B6DD1" w:rsidRDefault="008B6DD1" w:rsidP="008B6DD1">
      <w:pPr>
        <w:pStyle w:val="ListParagraph"/>
        <w:numPr>
          <w:ilvl w:val="0"/>
          <w:numId w:val="15"/>
        </w:numPr>
        <w:tabs>
          <w:tab w:val="left" w:pos="90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tabel la anexa nr.4, după textul „șef direcție generală”, se completează cu textul „șef subdiviziune teritorială”;</w:t>
      </w:r>
    </w:p>
    <w:p w:rsidR="00286D1A" w:rsidRPr="00286D1A" w:rsidRDefault="008B6DD1" w:rsidP="00286D1A">
      <w:pPr>
        <w:pStyle w:val="ListParagraph"/>
        <w:numPr>
          <w:ilvl w:val="0"/>
          <w:numId w:val="15"/>
        </w:numPr>
        <w:tabs>
          <w:tab w:val="left" w:pos="90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 tabel la anexa nr.6, după textul „ofițer superior, inspector superior” se completează </w:t>
      </w:r>
      <w:r w:rsidR="00AD4710">
        <w:rPr>
          <w:rFonts w:ascii="Times New Roman" w:hAnsi="Times New Roman" w:cs="Times New Roman"/>
          <w:sz w:val="28"/>
          <w:szCs w:val="28"/>
        </w:rPr>
        <w:t>cu textul „specialist superior”.</w:t>
      </w:r>
    </w:p>
    <w:p w:rsidR="00286D1A" w:rsidRPr="008F3ACD" w:rsidRDefault="00286D1A" w:rsidP="00286D1A">
      <w:pPr>
        <w:pStyle w:val="ListParagraph"/>
        <w:numPr>
          <w:ilvl w:val="0"/>
          <w:numId w:val="13"/>
        </w:numPr>
        <w:tabs>
          <w:tab w:val="left" w:pos="900"/>
        </w:tabs>
        <w:spacing w:before="120" w:after="0" w:line="240" w:lineRule="auto"/>
        <w:ind w:left="0" w:firstLine="53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3313">
        <w:rPr>
          <w:rFonts w:ascii="Times New Roman" w:hAnsi="Times New Roman" w:cs="Times New Roman"/>
          <w:b/>
          <w:sz w:val="28"/>
          <w:szCs w:val="28"/>
        </w:rPr>
        <w:t>Hotărîrea</w:t>
      </w:r>
      <w:proofErr w:type="spellEnd"/>
      <w:r w:rsidRPr="00F93313">
        <w:rPr>
          <w:rFonts w:ascii="Times New Roman" w:hAnsi="Times New Roman" w:cs="Times New Roman"/>
          <w:b/>
          <w:sz w:val="28"/>
          <w:szCs w:val="28"/>
        </w:rPr>
        <w:t xml:space="preserve"> Guvernului nr.122 din 07 februarie 2007 „Privind salarizarea personalului din domeniul expertizei judiciare, constatărilor </w:t>
      </w:r>
      <w:proofErr w:type="spellStart"/>
      <w:r w:rsidRPr="00F93313">
        <w:rPr>
          <w:rFonts w:ascii="Times New Roman" w:hAnsi="Times New Roman" w:cs="Times New Roman"/>
          <w:b/>
          <w:sz w:val="28"/>
          <w:szCs w:val="28"/>
        </w:rPr>
        <w:t>tehnico</w:t>
      </w:r>
      <w:proofErr w:type="spellEnd"/>
      <w:r w:rsidRPr="00F93313">
        <w:rPr>
          <w:rFonts w:ascii="Times New Roman" w:hAnsi="Times New Roman" w:cs="Times New Roman"/>
          <w:b/>
          <w:sz w:val="28"/>
          <w:szCs w:val="28"/>
        </w:rPr>
        <w:t>-științifice și medico-legale”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31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Monitorul Oficial al Republicii Moldova, 2007, nr.21-24, art.138), cu modificările și completările în vigoare, se modifică după cum urmează:</w:t>
      </w:r>
    </w:p>
    <w:p w:rsidR="00286D1A" w:rsidRDefault="00286D1A" w:rsidP="00286D1A">
      <w:pPr>
        <w:pStyle w:val="ListParagraph"/>
        <w:numPr>
          <w:ilvl w:val="0"/>
          <w:numId w:val="28"/>
        </w:numPr>
        <w:tabs>
          <w:tab w:val="left" w:pos="993"/>
        </w:tabs>
        <w:spacing w:before="12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</w:t>
      </w:r>
      <w:r w:rsidRPr="006A5029">
        <w:rPr>
          <w:rFonts w:ascii="Times New Roman" w:hAnsi="Times New Roman" w:cs="Times New Roman"/>
          <w:sz w:val="28"/>
          <w:szCs w:val="28"/>
        </w:rPr>
        <w:t>a punctul 4</w:t>
      </w:r>
      <w:r>
        <w:rPr>
          <w:rFonts w:ascii="Times New Roman" w:hAnsi="Times New Roman" w:cs="Times New Roman"/>
          <w:sz w:val="28"/>
          <w:szCs w:val="28"/>
        </w:rPr>
        <w:t>, după textul „50% din salariul funcției” se completează cu textul „</w:t>
      </w:r>
      <w:proofErr w:type="spellStart"/>
      <w:r>
        <w:rPr>
          <w:rFonts w:ascii="Times New Roman" w:hAnsi="Times New Roman" w:cs="Times New Roman"/>
          <w:sz w:val="28"/>
          <w:szCs w:val="28"/>
        </w:rPr>
        <w:t>ținîndu</w:t>
      </w:r>
      <w:proofErr w:type="spellEnd"/>
      <w:r>
        <w:rPr>
          <w:rFonts w:ascii="Times New Roman" w:hAnsi="Times New Roman" w:cs="Times New Roman"/>
          <w:sz w:val="28"/>
          <w:szCs w:val="28"/>
        </w:rPr>
        <w:t>-se cont de sporul pentru gradul (categoria) de calificare”;</w:t>
      </w:r>
    </w:p>
    <w:p w:rsidR="00286D1A" w:rsidRDefault="00286D1A" w:rsidP="00286D1A">
      <w:pPr>
        <w:pStyle w:val="ListParagraph"/>
        <w:numPr>
          <w:ilvl w:val="0"/>
          <w:numId w:val="28"/>
        </w:numPr>
        <w:spacing w:before="120" w:after="0" w:line="240" w:lineRule="auto"/>
        <w:ind w:left="993" w:hanging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anexa nr.3, pozițiile 21 – 22 vor avea următorul cuprins:</w:t>
      </w:r>
    </w:p>
    <w:p w:rsidR="00286D1A" w:rsidRDefault="00286D1A" w:rsidP="00286D1A">
      <w:pPr>
        <w:pStyle w:val="ListParagraph"/>
        <w:spacing w:before="120"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127"/>
        <w:gridCol w:w="2126"/>
        <w:gridCol w:w="1984"/>
        <w:gridCol w:w="2092"/>
      </w:tblGrid>
      <w:tr w:rsidR="00286D1A" w:rsidTr="005A1C34">
        <w:tc>
          <w:tcPr>
            <w:tcW w:w="1134" w:type="dxa"/>
          </w:tcPr>
          <w:p w:rsidR="00286D1A" w:rsidRDefault="00286D1A" w:rsidP="005A1C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„21</w:t>
            </w:r>
          </w:p>
        </w:tc>
        <w:tc>
          <w:tcPr>
            <w:tcW w:w="2127" w:type="dxa"/>
          </w:tcPr>
          <w:p w:rsidR="00286D1A" w:rsidRDefault="00286D1A" w:rsidP="005A1C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26" w:type="dxa"/>
          </w:tcPr>
          <w:p w:rsidR="00286D1A" w:rsidRDefault="00286D1A" w:rsidP="005A1C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4" w:type="dxa"/>
          </w:tcPr>
          <w:p w:rsidR="00286D1A" w:rsidRDefault="00286D1A" w:rsidP="005A1C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092" w:type="dxa"/>
          </w:tcPr>
          <w:p w:rsidR="00286D1A" w:rsidRDefault="00286D1A" w:rsidP="005A1C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1760</w:t>
            </w:r>
          </w:p>
        </w:tc>
      </w:tr>
      <w:tr w:rsidR="00286D1A" w:rsidTr="005A1C34">
        <w:tc>
          <w:tcPr>
            <w:tcW w:w="1134" w:type="dxa"/>
          </w:tcPr>
          <w:p w:rsidR="00286D1A" w:rsidRDefault="00286D1A" w:rsidP="005A1C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:rsidR="00286D1A" w:rsidRDefault="00286D1A" w:rsidP="005A1C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26" w:type="dxa"/>
          </w:tcPr>
          <w:p w:rsidR="00286D1A" w:rsidRDefault="00286D1A" w:rsidP="005A1C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4" w:type="dxa"/>
          </w:tcPr>
          <w:p w:rsidR="00286D1A" w:rsidRDefault="00286D1A" w:rsidP="005A1C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</w:t>
            </w:r>
          </w:p>
        </w:tc>
        <w:tc>
          <w:tcPr>
            <w:tcW w:w="2092" w:type="dxa"/>
          </w:tcPr>
          <w:p w:rsidR="00286D1A" w:rsidRDefault="00286D1A" w:rsidP="005A1C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1870”</w:t>
            </w:r>
          </w:p>
        </w:tc>
      </w:tr>
    </w:tbl>
    <w:p w:rsidR="0060273B" w:rsidRPr="0060273B" w:rsidRDefault="0060273B" w:rsidP="00D0089D">
      <w:pPr>
        <w:pStyle w:val="ListParagraph"/>
        <w:numPr>
          <w:ilvl w:val="0"/>
          <w:numId w:val="13"/>
        </w:numPr>
        <w:tabs>
          <w:tab w:val="left" w:pos="900"/>
        </w:tabs>
        <w:spacing w:before="120" w:after="0" w:line="240" w:lineRule="auto"/>
        <w:ind w:left="0" w:firstLine="54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73B">
        <w:rPr>
          <w:rFonts w:ascii="Times New Roman" w:hAnsi="Times New Roman" w:cs="Times New Roman"/>
          <w:sz w:val="28"/>
          <w:szCs w:val="28"/>
        </w:rPr>
        <w:t>Punctul 6, subpunctul</w:t>
      </w:r>
      <w:r>
        <w:rPr>
          <w:rFonts w:ascii="Times New Roman" w:hAnsi="Times New Roman" w:cs="Times New Roman"/>
          <w:sz w:val="28"/>
          <w:szCs w:val="28"/>
        </w:rPr>
        <w:t xml:space="preserve"> 7) din </w:t>
      </w:r>
      <w:proofErr w:type="spellStart"/>
      <w:r w:rsidR="00463076" w:rsidRPr="003B78E8">
        <w:rPr>
          <w:rFonts w:ascii="Times New Roman" w:hAnsi="Times New Roman" w:cs="Times New Roman"/>
          <w:b/>
          <w:sz w:val="28"/>
          <w:szCs w:val="28"/>
        </w:rPr>
        <w:t>Hotărîrea</w:t>
      </w:r>
      <w:proofErr w:type="spellEnd"/>
      <w:r w:rsidR="00463076" w:rsidRPr="003B78E8">
        <w:rPr>
          <w:rFonts w:ascii="Times New Roman" w:hAnsi="Times New Roman" w:cs="Times New Roman"/>
          <w:b/>
          <w:sz w:val="28"/>
          <w:szCs w:val="28"/>
        </w:rPr>
        <w:t xml:space="preserve"> Guvernului nr.801 din 20 iulie 2007 „Privind aprobarea Regulamentului cu privire la modul de calculare </w:t>
      </w:r>
      <w:r w:rsidR="003B78E8" w:rsidRPr="003B78E8">
        <w:rPr>
          <w:rFonts w:ascii="Times New Roman" w:hAnsi="Times New Roman" w:cs="Times New Roman"/>
          <w:b/>
          <w:sz w:val="28"/>
          <w:szCs w:val="28"/>
        </w:rPr>
        <w:t>a perioadei de muncă în vederea acordării sporului pentru vechime în muncă</w:t>
      </w:r>
      <w:r w:rsidR="003B7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E4A">
        <w:rPr>
          <w:rFonts w:ascii="Times New Roman" w:hAnsi="Times New Roman" w:cs="Times New Roman"/>
          <w:b/>
          <w:sz w:val="28"/>
          <w:szCs w:val="28"/>
        </w:rPr>
        <w:t xml:space="preserve">personalului din unitățile bugetare” </w:t>
      </w:r>
      <w:r w:rsidR="00425E4A" w:rsidRPr="00425E4A">
        <w:rPr>
          <w:rFonts w:ascii="Times New Roman" w:hAnsi="Times New Roman" w:cs="Times New Roman"/>
          <w:sz w:val="28"/>
          <w:szCs w:val="28"/>
        </w:rPr>
        <w:t>(Monitorul Oficial al Republicii Moldova,</w:t>
      </w:r>
      <w:r w:rsidR="00425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E4A">
        <w:rPr>
          <w:rFonts w:ascii="Times New Roman" w:hAnsi="Times New Roman" w:cs="Times New Roman"/>
          <w:sz w:val="28"/>
          <w:szCs w:val="28"/>
        </w:rPr>
        <w:t>2007, nr.117-126, a</w:t>
      </w:r>
      <w:r w:rsidR="00286D1A">
        <w:rPr>
          <w:rFonts w:ascii="Times New Roman" w:hAnsi="Times New Roman" w:cs="Times New Roman"/>
          <w:sz w:val="28"/>
          <w:szCs w:val="28"/>
        </w:rPr>
        <w:t>rt</w:t>
      </w:r>
      <w:r w:rsidR="00425E4A">
        <w:rPr>
          <w:rFonts w:ascii="Times New Roman" w:hAnsi="Times New Roman" w:cs="Times New Roman"/>
          <w:sz w:val="28"/>
          <w:szCs w:val="28"/>
        </w:rPr>
        <w:t>.889)</w:t>
      </w:r>
      <w:r w:rsidR="005A7B18">
        <w:rPr>
          <w:rFonts w:ascii="Times New Roman" w:hAnsi="Times New Roman" w:cs="Times New Roman"/>
          <w:sz w:val="28"/>
          <w:szCs w:val="28"/>
        </w:rPr>
        <w:t xml:space="preserve">, cu modificările </w:t>
      </w:r>
      <w:r w:rsidR="007876DA">
        <w:rPr>
          <w:rFonts w:ascii="Times New Roman" w:hAnsi="Times New Roman" w:cs="Times New Roman"/>
          <w:sz w:val="28"/>
          <w:szCs w:val="28"/>
        </w:rPr>
        <w:t>ș</w:t>
      </w:r>
      <w:r>
        <w:rPr>
          <w:rFonts w:ascii="Times New Roman" w:hAnsi="Times New Roman" w:cs="Times New Roman"/>
          <w:sz w:val="28"/>
          <w:szCs w:val="28"/>
        </w:rPr>
        <w:t>i completările ulterioare, se completează în final cu textul „, pentru persoanele ce ocupă funcții în unități, în situațiile descrise în prezentul punct”.</w:t>
      </w:r>
    </w:p>
    <w:p w:rsidR="00286D1A" w:rsidRPr="00B74F11" w:rsidRDefault="00286D1A" w:rsidP="00286D1A">
      <w:pPr>
        <w:pStyle w:val="ListParagraph"/>
        <w:numPr>
          <w:ilvl w:val="0"/>
          <w:numId w:val="13"/>
        </w:numPr>
        <w:tabs>
          <w:tab w:val="left" w:pos="900"/>
        </w:tabs>
        <w:spacing w:before="120" w:after="0" w:line="240" w:lineRule="auto"/>
        <w:ind w:left="0" w:firstLine="53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D1A">
        <w:rPr>
          <w:rFonts w:ascii="Times New Roman" w:hAnsi="Times New Roman" w:cs="Times New Roman"/>
          <w:b/>
          <w:sz w:val="28"/>
          <w:szCs w:val="28"/>
        </w:rPr>
        <w:t>Hotărîrea</w:t>
      </w:r>
      <w:proofErr w:type="spellEnd"/>
      <w:r w:rsidRPr="00286D1A">
        <w:rPr>
          <w:rFonts w:ascii="Times New Roman" w:hAnsi="Times New Roman" w:cs="Times New Roman"/>
          <w:b/>
          <w:sz w:val="28"/>
          <w:szCs w:val="28"/>
        </w:rPr>
        <w:t xml:space="preserve"> Guvernului nr.331 din 28 mai 2012 „Privind salarizarea funcționarilor publici”</w:t>
      </w:r>
      <w:r w:rsidRPr="00B74F11">
        <w:rPr>
          <w:rFonts w:ascii="Times New Roman" w:hAnsi="Times New Roman" w:cs="Times New Roman"/>
          <w:sz w:val="28"/>
          <w:szCs w:val="28"/>
        </w:rPr>
        <w:t xml:space="preserve"> (Monitorul Oficial al Republicii Moldova, 2012, nr.104-108, art.371), cu modificările și completările ulterioare, se modifică și se completează după cum urmează:</w:t>
      </w:r>
    </w:p>
    <w:p w:rsidR="00286D1A" w:rsidRPr="00B74F11" w:rsidRDefault="00286D1A" w:rsidP="00286D1A">
      <w:pPr>
        <w:pStyle w:val="ListParagraph"/>
        <w:numPr>
          <w:ilvl w:val="0"/>
          <w:numId w:val="20"/>
        </w:num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punctul </w:t>
      </w:r>
      <w:r w:rsidRPr="00B74F11">
        <w:rPr>
          <w:rFonts w:ascii="Times New Roman" w:hAnsi="Times New Roman" w:cs="Times New Roman"/>
          <w:sz w:val="28"/>
          <w:szCs w:val="28"/>
        </w:rPr>
        <w:t xml:space="preserve">4 din </w:t>
      </w:r>
      <w:proofErr w:type="spellStart"/>
      <w:r w:rsidRPr="00B74F11">
        <w:rPr>
          <w:rFonts w:ascii="Times New Roman" w:hAnsi="Times New Roman" w:cs="Times New Roman"/>
          <w:sz w:val="28"/>
          <w:szCs w:val="28"/>
        </w:rPr>
        <w:t>hotărîre</w:t>
      </w:r>
      <w:proofErr w:type="spellEnd"/>
      <w:r w:rsidRPr="00B74F11">
        <w:rPr>
          <w:rFonts w:ascii="Times New Roman" w:hAnsi="Times New Roman" w:cs="Times New Roman"/>
          <w:sz w:val="28"/>
          <w:szCs w:val="28"/>
        </w:rPr>
        <w:t>:</w:t>
      </w:r>
    </w:p>
    <w:p w:rsidR="00286D1A" w:rsidRDefault="00286D1A" w:rsidP="00286D1A">
      <w:pPr>
        <w:pStyle w:val="ListParagraph"/>
        <w:tabs>
          <w:tab w:val="left" w:pos="90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 primul alineat, </w:t>
      </w:r>
      <w:r w:rsidRPr="00B74F11">
        <w:rPr>
          <w:rFonts w:ascii="Times New Roman" w:hAnsi="Times New Roman" w:cs="Times New Roman"/>
          <w:sz w:val="28"/>
          <w:szCs w:val="28"/>
        </w:rPr>
        <w:t>textul „Inspecția Muncii”</w:t>
      </w:r>
      <w:r>
        <w:rPr>
          <w:rFonts w:ascii="Times New Roman" w:hAnsi="Times New Roman" w:cs="Times New Roman"/>
          <w:sz w:val="28"/>
          <w:szCs w:val="28"/>
        </w:rPr>
        <w:t xml:space="preserve"> se substituie cu textul „Inspectoratul de Stat al Muncii”, iar sintagma „, Centrul Național Anticorupție” se exclude;</w:t>
      </w:r>
    </w:p>
    <w:p w:rsidR="00286D1A" w:rsidRDefault="00286D1A" w:rsidP="00286D1A">
      <w:pPr>
        <w:pStyle w:val="ListParagraph"/>
        <w:tabs>
          <w:tab w:val="left" w:pos="90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poziția a treia din tabel se exclude;</w:t>
      </w:r>
    </w:p>
    <w:p w:rsidR="00286D1A" w:rsidRDefault="00286D1A" w:rsidP="00286D1A">
      <w:pPr>
        <w:pStyle w:val="ListParagraph"/>
        <w:numPr>
          <w:ilvl w:val="0"/>
          <w:numId w:val="20"/>
        </w:num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punctul 8:</w:t>
      </w:r>
      <w:r w:rsidRPr="001D4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D1A" w:rsidRDefault="00286D1A" w:rsidP="00286D1A">
      <w:pPr>
        <w:pStyle w:val="ListParagraph"/>
        <w:numPr>
          <w:ilvl w:val="0"/>
          <w:numId w:val="24"/>
        </w:num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F6">
        <w:rPr>
          <w:rFonts w:ascii="Times New Roman" w:hAnsi="Times New Roman" w:cs="Times New Roman"/>
          <w:sz w:val="28"/>
          <w:szCs w:val="28"/>
        </w:rPr>
        <w:t>la subpunctul 2)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42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D1A" w:rsidRPr="00842CF6" w:rsidRDefault="00286D1A" w:rsidP="00286D1A">
      <w:pPr>
        <w:pStyle w:val="ListParagraph"/>
        <w:tabs>
          <w:tab w:val="left" w:pos="900"/>
        </w:tabs>
        <w:spacing w:before="120"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 w:rsidRPr="00842CF6">
        <w:rPr>
          <w:rFonts w:ascii="Times New Roman" w:hAnsi="Times New Roman" w:cs="Times New Roman"/>
          <w:sz w:val="28"/>
          <w:szCs w:val="28"/>
        </w:rPr>
        <w:t xml:space="preserve">în alineatul 6: </w:t>
      </w:r>
    </w:p>
    <w:p w:rsidR="00286D1A" w:rsidRDefault="00286D1A" w:rsidP="00286D1A">
      <w:pPr>
        <w:pStyle w:val="ListParagraph"/>
        <w:tabs>
          <w:tab w:val="left" w:pos="90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după textul „- sporul pentru gradul de calificare, gradul special sau rangul diplomatic” se completează cu textul „- sporul lunar pentru eficiența în activitate”;</w:t>
      </w:r>
    </w:p>
    <w:p w:rsidR="00286D1A" w:rsidRDefault="00286D1A" w:rsidP="00286D1A">
      <w:pPr>
        <w:pStyle w:val="ListParagraph"/>
        <w:tabs>
          <w:tab w:val="left" w:pos="90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textul „sporul pentru performanța colectivă” se substituie cu textul „alte plăți de stimulare, calculate în conformitate cu subpunctul 5) al prezentului punct”;</w:t>
      </w:r>
    </w:p>
    <w:p w:rsidR="00286D1A" w:rsidRDefault="00286D1A" w:rsidP="00286D1A">
      <w:pPr>
        <w:pStyle w:val="ListParagraph"/>
        <w:tabs>
          <w:tab w:val="left" w:pos="90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ultimul alineat se completează în final cu textul „, compensația pentru concediu nefolosit, indemnizația pentru incapacitate temporară de muncă și alte plăți de care a beneficiat angajatul în anul pentru care se face premierea, nespecificate mai sus”;</w:t>
      </w:r>
    </w:p>
    <w:p w:rsidR="00286D1A" w:rsidRDefault="00286D1A" w:rsidP="00286D1A">
      <w:pPr>
        <w:pStyle w:val="ListParagraph"/>
        <w:tabs>
          <w:tab w:val="left" w:pos="90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după ultimul alineat, se introduc următoarele alineate:</w:t>
      </w:r>
    </w:p>
    <w:p w:rsidR="00286D1A" w:rsidRDefault="00286D1A" w:rsidP="00286D1A">
      <w:pPr>
        <w:pStyle w:val="ListParagraph"/>
        <w:tabs>
          <w:tab w:val="left" w:pos="90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„Pentru funcționarii publici, a căror raporturi de serviciu au început pe parcursul </w:t>
      </w:r>
      <w:r w:rsidR="00D0089D">
        <w:rPr>
          <w:rFonts w:ascii="Times New Roman" w:hAnsi="Times New Roman" w:cs="Times New Roman"/>
          <w:sz w:val="28"/>
          <w:szCs w:val="28"/>
        </w:rPr>
        <w:t xml:space="preserve">sau au încetat înainte de sfârșitul </w:t>
      </w:r>
      <w:r>
        <w:rPr>
          <w:rFonts w:ascii="Times New Roman" w:hAnsi="Times New Roman" w:cs="Times New Roman"/>
          <w:sz w:val="28"/>
          <w:szCs w:val="28"/>
        </w:rPr>
        <w:t xml:space="preserve">anului calendaristic pentru care se face premierea, </w:t>
      </w:r>
      <w:r w:rsidR="00D0089D">
        <w:rPr>
          <w:rFonts w:ascii="Times New Roman" w:hAnsi="Times New Roman" w:cs="Times New Roman"/>
          <w:sz w:val="28"/>
          <w:szCs w:val="28"/>
        </w:rPr>
        <w:t xml:space="preserve">cu excepția celor care au fost sancționați </w:t>
      </w:r>
      <w:r w:rsidR="00D0089D" w:rsidRPr="00D0089D">
        <w:rPr>
          <w:rFonts w:ascii="Times New Roman" w:hAnsi="Times New Roman" w:cs="Times New Roman"/>
          <w:sz w:val="28"/>
          <w:szCs w:val="28"/>
        </w:rPr>
        <w:t>disciplinar în anul pentru care se face premierea,</w:t>
      </w:r>
      <w:r w:rsidR="00D00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cuantumul premiului anual se va determina reieșind din plățile salariale primite pe parcursul timpului efectiv lucrat în autoritate, definite în contextul alineatelor 5 și 6 ale acestui subpunct.</w:t>
      </w:r>
    </w:p>
    <w:p w:rsidR="00286D1A" w:rsidRPr="00E77B2C" w:rsidRDefault="00286D1A" w:rsidP="00286D1A">
      <w:pPr>
        <w:pStyle w:val="ListParagraph"/>
        <w:tabs>
          <w:tab w:val="left" w:pos="90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43F">
        <w:rPr>
          <w:rFonts w:ascii="Times New Roman" w:hAnsi="Times New Roman" w:cs="Times New Roman"/>
          <w:sz w:val="28"/>
          <w:szCs w:val="28"/>
        </w:rPr>
        <w:t>În cazul în care pe parcursul anului</w:t>
      </w:r>
      <w:r w:rsidR="00D0089D">
        <w:rPr>
          <w:rFonts w:ascii="Times New Roman" w:hAnsi="Times New Roman" w:cs="Times New Roman"/>
          <w:sz w:val="28"/>
          <w:szCs w:val="28"/>
        </w:rPr>
        <w:t>,</w:t>
      </w:r>
      <w:r w:rsidRPr="0026643F">
        <w:rPr>
          <w:rFonts w:ascii="Times New Roman" w:hAnsi="Times New Roman" w:cs="Times New Roman"/>
          <w:sz w:val="28"/>
          <w:szCs w:val="28"/>
        </w:rPr>
        <w:t xml:space="preserve"> salariatul</w:t>
      </w:r>
      <w:r w:rsidR="00D0089D">
        <w:rPr>
          <w:rFonts w:ascii="Times New Roman" w:hAnsi="Times New Roman" w:cs="Times New Roman"/>
          <w:sz w:val="28"/>
          <w:szCs w:val="28"/>
        </w:rPr>
        <w:t>,</w:t>
      </w:r>
      <w:r w:rsidRPr="0026643F">
        <w:rPr>
          <w:rFonts w:ascii="Times New Roman" w:hAnsi="Times New Roman" w:cs="Times New Roman"/>
          <w:sz w:val="28"/>
          <w:szCs w:val="28"/>
        </w:rPr>
        <w:t xml:space="preserve"> o anumită perioadă de timp a activat într-o funcție pentru care condițiile de salarizare prevăd achitarea premiului anual, iar altă perioadă </w:t>
      </w:r>
      <w:r>
        <w:rPr>
          <w:rFonts w:ascii="Times New Roman" w:hAnsi="Times New Roman" w:cs="Times New Roman"/>
          <w:sz w:val="28"/>
          <w:szCs w:val="28"/>
        </w:rPr>
        <w:t>a activat</w:t>
      </w:r>
      <w:r w:rsidRPr="0026643F">
        <w:rPr>
          <w:rFonts w:ascii="Times New Roman" w:hAnsi="Times New Roman" w:cs="Times New Roman"/>
          <w:sz w:val="28"/>
          <w:szCs w:val="28"/>
        </w:rPr>
        <w:t xml:space="preserve"> într-o funcție pentru care premiul în cauză nu este prevăzut, acesta va beneficia de premiu anual doar pentru perioada pentru care conform legislației în vigoare se cuvine acordarea premiului.</w:t>
      </w:r>
      <w:r>
        <w:rPr>
          <w:rFonts w:ascii="Times New Roman" w:hAnsi="Times New Roman" w:cs="Times New Roman"/>
          <w:sz w:val="28"/>
          <w:szCs w:val="28"/>
        </w:rPr>
        <w:t xml:space="preserve">”;   </w:t>
      </w:r>
    </w:p>
    <w:p w:rsidR="00286D1A" w:rsidRDefault="00286D1A" w:rsidP="00286D1A">
      <w:pPr>
        <w:pStyle w:val="ListParagraph"/>
        <w:numPr>
          <w:ilvl w:val="0"/>
          <w:numId w:val="24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în</w:t>
      </w:r>
      <w:r w:rsidRPr="00E77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subpunctul</w:t>
      </w:r>
      <w:r w:rsidRPr="00E77B2C">
        <w:rPr>
          <w:rFonts w:ascii="Times New Roman" w:hAnsi="Times New Roman" w:cs="Times New Roman"/>
          <w:sz w:val="28"/>
          <w:szCs w:val="28"/>
        </w:rPr>
        <w:t xml:space="preserve"> 4)</w:t>
      </w:r>
      <w:r>
        <w:rPr>
          <w:rFonts w:ascii="Times New Roman" w:hAnsi="Times New Roman" w:cs="Times New Roman"/>
          <w:sz w:val="28"/>
          <w:szCs w:val="28"/>
        </w:rPr>
        <w:t>, după primul alineat se introduce un alineat nou cu următorul cuprins:</w:t>
      </w:r>
    </w:p>
    <w:p w:rsidR="00286D1A" w:rsidRDefault="00286D1A" w:rsidP="00286D1A">
      <w:pPr>
        <w:pStyle w:val="ListParagraph"/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„Salariul mediu pentru calculul ajutorului material funcționarilor publici se determină conform Modului de calculare a salariului mediu, aprobat prin anexa nr.1 la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Hotărîrea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Guvernului nr.426 din 26 aprilie 2004.”;</w:t>
      </w:r>
    </w:p>
    <w:p w:rsidR="00286D1A" w:rsidRDefault="00286D1A" w:rsidP="00286D1A">
      <w:pPr>
        <w:pStyle w:val="ListParagraph"/>
        <w:numPr>
          <w:ilvl w:val="0"/>
          <w:numId w:val="20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după punctul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se introduce punctul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cu următorul cuprins:</w:t>
      </w:r>
    </w:p>
    <w:p w:rsidR="00286D1A" w:rsidRDefault="00286D1A" w:rsidP="00286D1A">
      <w:pPr>
        <w:pStyle w:val="ListParagraph"/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 Angajaților Curții de Conturi care au statut de funcționari publici li se stabilește spor lunar pentru eficiență în activitate în mărime de până la 100% din salariile de funcție, prevăzute la anexa nr.2”;</w:t>
      </w:r>
    </w:p>
    <w:p w:rsidR="00286D1A" w:rsidRDefault="00286D1A" w:rsidP="00286D1A">
      <w:pPr>
        <w:pStyle w:val="ListParagraph"/>
        <w:numPr>
          <w:ilvl w:val="0"/>
          <w:numId w:val="20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anexa nr.2:</w:t>
      </w:r>
    </w:p>
    <w:p w:rsidR="00286D1A" w:rsidRDefault="00286D1A" w:rsidP="00286D1A">
      <w:pPr>
        <w:pStyle w:val="ListParagraph"/>
        <w:numPr>
          <w:ilvl w:val="0"/>
          <w:numId w:val="2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compartimentul „Secretariatul Parlamentului, Aparatul Președintelui Republicii Moldova și Cancelaria de Stat”:</w:t>
      </w:r>
    </w:p>
    <w:p w:rsidR="00286D1A" w:rsidRDefault="00286D1A" w:rsidP="00286D1A">
      <w:pPr>
        <w:pStyle w:val="ListParagraph"/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poziția „A01 Secretar general adjunct al Parlamentului”, cifra „20” se substituie cu cifra „21”;</w:t>
      </w:r>
    </w:p>
    <w:p w:rsidR="00286D1A" w:rsidRDefault="00286D1A" w:rsidP="00286D1A">
      <w:pPr>
        <w:pStyle w:val="ListParagraph"/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după poziția „A01 Secretar general adjunct al Parlamentului”, se introduc următoarele poziții: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851"/>
        <w:gridCol w:w="2233"/>
      </w:tblGrid>
      <w:tr w:rsidR="00286D1A" w:rsidTr="001D43B2">
        <w:tc>
          <w:tcPr>
            <w:tcW w:w="1242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A01</w:t>
            </w:r>
          </w:p>
        </w:tc>
        <w:tc>
          <w:tcPr>
            <w:tcW w:w="5245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Secretar general al Guvernului</w:t>
            </w:r>
          </w:p>
        </w:tc>
        <w:tc>
          <w:tcPr>
            <w:tcW w:w="851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33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6D1A" w:rsidTr="001D43B2">
        <w:tc>
          <w:tcPr>
            <w:tcW w:w="1242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A01</w:t>
            </w:r>
          </w:p>
        </w:tc>
        <w:tc>
          <w:tcPr>
            <w:tcW w:w="5245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Secretar general adjunct al Guvernului</w:t>
            </w:r>
          </w:p>
        </w:tc>
        <w:tc>
          <w:tcPr>
            <w:tcW w:w="851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33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-”;</w:t>
            </w:r>
          </w:p>
        </w:tc>
      </w:tr>
    </w:tbl>
    <w:p w:rsidR="00286D1A" w:rsidRDefault="00286D1A" w:rsidP="00286D1A">
      <w:pPr>
        <w:pStyle w:val="ListParagraph"/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poziția „A01 Secretar general adjunct al Aparatului Președintelui”, cifra „20” se substituie cu cifra „21”;</w:t>
      </w:r>
    </w:p>
    <w:p w:rsidR="00286D1A" w:rsidRDefault="00286D1A" w:rsidP="00286D1A">
      <w:pPr>
        <w:pStyle w:val="ListParagraph"/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după poziția „B02 Șef direcție”, se introduc următoarele poziții: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851"/>
        <w:gridCol w:w="2233"/>
      </w:tblGrid>
      <w:tr w:rsidR="00286D1A" w:rsidTr="001D43B2">
        <w:tc>
          <w:tcPr>
            <w:tcW w:w="1242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B02</w:t>
            </w:r>
          </w:p>
        </w:tc>
        <w:tc>
          <w:tcPr>
            <w:tcW w:w="5245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Șef oficiu teritorial al Cancelariei de Stat</w:t>
            </w:r>
          </w:p>
        </w:tc>
        <w:tc>
          <w:tcPr>
            <w:tcW w:w="851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286D1A" w:rsidRPr="00821B52" w:rsidRDefault="00286D1A" w:rsidP="001D43B2">
            <w:pPr>
              <w:pStyle w:val="ListParagraph"/>
              <w:tabs>
                <w:tab w:val="left" w:pos="993"/>
              </w:tabs>
              <w:ind w:left="-109" w:right="-5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B52">
              <w:rPr>
                <w:rFonts w:ascii="Times New Roman" w:hAnsi="Times New Roman" w:cs="Times New Roman"/>
                <w:sz w:val="28"/>
                <w:szCs w:val="28"/>
              </w:rPr>
              <w:t>în municipiu Chișinău – 19, în alte teritorii - 18</w:t>
            </w:r>
          </w:p>
        </w:tc>
      </w:tr>
      <w:tr w:rsidR="00286D1A" w:rsidTr="001D43B2">
        <w:tc>
          <w:tcPr>
            <w:tcW w:w="1242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B02</w:t>
            </w:r>
          </w:p>
        </w:tc>
        <w:tc>
          <w:tcPr>
            <w:tcW w:w="5245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Șef adjunct oficiu teritorial al Cancelariei de Stat</w:t>
            </w:r>
          </w:p>
        </w:tc>
        <w:tc>
          <w:tcPr>
            <w:tcW w:w="851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286D1A" w:rsidRPr="00821B52" w:rsidRDefault="00286D1A" w:rsidP="001D43B2">
            <w:pPr>
              <w:pStyle w:val="ListParagraph"/>
              <w:tabs>
                <w:tab w:val="left" w:pos="993"/>
              </w:tabs>
              <w:ind w:left="-109" w:right="-5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B52">
              <w:rPr>
                <w:rFonts w:ascii="Times New Roman" w:hAnsi="Times New Roman" w:cs="Times New Roman"/>
                <w:sz w:val="28"/>
                <w:szCs w:val="28"/>
              </w:rPr>
              <w:t>în municipiu Chișinău – 18, în alte teritorii - 17”;</w:t>
            </w:r>
          </w:p>
        </w:tc>
      </w:tr>
    </w:tbl>
    <w:p w:rsidR="00286D1A" w:rsidRDefault="00286D1A" w:rsidP="00286D1A">
      <w:pPr>
        <w:pStyle w:val="ListParagraph"/>
        <w:numPr>
          <w:ilvl w:val="0"/>
          <w:numId w:val="2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denumirea compartimentului „Curtea de Conturi, Consiliul Concurenței, Agenția Națională pentru Soluționarea Contestațiilor” se completează în final cu textul „, Centrul Național pentru Protecția Datelor cu Caracter Personal”;</w:t>
      </w:r>
    </w:p>
    <w:p w:rsidR="00286D1A" w:rsidRDefault="00286D1A" w:rsidP="00286D1A">
      <w:pPr>
        <w:pStyle w:val="ListParagraph"/>
        <w:numPr>
          <w:ilvl w:val="0"/>
          <w:numId w:val="2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din denumirea compartimentului </w:t>
      </w:r>
      <w:r w:rsidRPr="004A0281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Serviciul de Informații și Securitatea, Centrul Național pentru protecția Datelor cu Caracter Personal, Comisia Electorală Centrală, Consiliul Coordonator al Audiovizualului, Consiliul pentru prevenirea și eliminarea discriminării și asigurarea egalității</w:t>
      </w:r>
      <w:r w:rsidRPr="004A028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textul „Centrul Național pentru protecția Datelor cu Caracter Personal, ” se exclude;</w:t>
      </w:r>
    </w:p>
    <w:p w:rsidR="00286D1A" w:rsidRPr="002C3960" w:rsidRDefault="00286D1A" w:rsidP="00286D1A">
      <w:pPr>
        <w:pStyle w:val="ListParagraph"/>
        <w:numPr>
          <w:ilvl w:val="0"/>
          <w:numId w:val="2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compartimentul „Procuratura Generală, Consiliul Superior al Procurorilor” se modifică și va avea următorul cuprins: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851"/>
        <w:gridCol w:w="2233"/>
      </w:tblGrid>
      <w:tr w:rsidR="00286D1A" w:rsidRPr="00821B52" w:rsidTr="001D43B2">
        <w:tc>
          <w:tcPr>
            <w:tcW w:w="9571" w:type="dxa"/>
            <w:gridSpan w:val="4"/>
          </w:tcPr>
          <w:p w:rsidR="00286D1A" w:rsidRPr="000656FD" w:rsidRDefault="00286D1A" w:rsidP="001D43B2">
            <w:pPr>
              <w:pStyle w:val="ListParagraph"/>
              <w:tabs>
                <w:tab w:val="left" w:pos="993"/>
              </w:tabs>
              <w:ind w:left="-109" w:right="-5" w:hanging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Consiliul Superior al Procurorilor, Procuratura </w:t>
            </w:r>
          </w:p>
          <w:p w:rsidR="00286D1A" w:rsidRPr="00821B52" w:rsidRDefault="00286D1A" w:rsidP="001D43B2">
            <w:pPr>
              <w:pStyle w:val="ListParagraph"/>
              <w:tabs>
                <w:tab w:val="left" w:pos="993"/>
              </w:tabs>
              <w:ind w:left="-109" w:right="-5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6FD">
              <w:rPr>
                <w:rFonts w:ascii="Times New Roman" w:hAnsi="Times New Roman" w:cs="Times New Roman"/>
                <w:b/>
                <w:sz w:val="28"/>
                <w:szCs w:val="28"/>
              </w:rPr>
              <w:t>Generală și procuraturile specializate</w:t>
            </w:r>
          </w:p>
        </w:tc>
      </w:tr>
      <w:tr w:rsidR="00286D1A" w:rsidRPr="00821B52" w:rsidTr="001D43B2">
        <w:tc>
          <w:tcPr>
            <w:tcW w:w="1242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A04</w:t>
            </w:r>
          </w:p>
        </w:tc>
        <w:tc>
          <w:tcPr>
            <w:tcW w:w="5245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Șef al aparatului Consiliului Superior al Procurorilor</w:t>
            </w:r>
          </w:p>
        </w:tc>
        <w:tc>
          <w:tcPr>
            <w:tcW w:w="851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33" w:type="dxa"/>
          </w:tcPr>
          <w:p w:rsidR="00286D1A" w:rsidRPr="00821B52" w:rsidRDefault="00286D1A" w:rsidP="001D43B2">
            <w:pPr>
              <w:pStyle w:val="ListParagraph"/>
              <w:tabs>
                <w:tab w:val="left" w:pos="993"/>
              </w:tabs>
              <w:ind w:left="-109" w:right="-5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6D1A" w:rsidRPr="00821B52" w:rsidTr="001D43B2">
        <w:tc>
          <w:tcPr>
            <w:tcW w:w="1242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A04</w:t>
            </w:r>
          </w:p>
        </w:tc>
        <w:tc>
          <w:tcPr>
            <w:tcW w:w="5245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Șef adjunct al aparatului Consiliului Superior al Procurorilor</w:t>
            </w:r>
          </w:p>
        </w:tc>
        <w:tc>
          <w:tcPr>
            <w:tcW w:w="851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3" w:type="dxa"/>
          </w:tcPr>
          <w:p w:rsidR="00286D1A" w:rsidRPr="00821B52" w:rsidRDefault="00286D1A" w:rsidP="001D43B2">
            <w:pPr>
              <w:pStyle w:val="ListParagraph"/>
              <w:tabs>
                <w:tab w:val="left" w:pos="993"/>
              </w:tabs>
              <w:ind w:left="-109" w:right="-5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6D1A" w:rsidRPr="00821B52" w:rsidTr="001D43B2">
        <w:tc>
          <w:tcPr>
            <w:tcW w:w="1242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A04</w:t>
            </w:r>
          </w:p>
        </w:tc>
        <w:tc>
          <w:tcPr>
            <w:tcW w:w="5245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Șef al aparatului Procuraturii Generale</w:t>
            </w:r>
          </w:p>
        </w:tc>
        <w:tc>
          <w:tcPr>
            <w:tcW w:w="851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33" w:type="dxa"/>
          </w:tcPr>
          <w:p w:rsidR="00286D1A" w:rsidRPr="00821B52" w:rsidRDefault="00286D1A" w:rsidP="001D43B2">
            <w:pPr>
              <w:pStyle w:val="ListParagraph"/>
              <w:tabs>
                <w:tab w:val="left" w:pos="993"/>
              </w:tabs>
              <w:ind w:left="-109" w:right="-5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6D1A" w:rsidRPr="00821B52" w:rsidTr="001D43B2">
        <w:tc>
          <w:tcPr>
            <w:tcW w:w="1242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A04</w:t>
            </w:r>
          </w:p>
        </w:tc>
        <w:tc>
          <w:tcPr>
            <w:tcW w:w="5245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BF">
              <w:rPr>
                <w:rFonts w:ascii="Times New Roman" w:hAnsi="Times New Roman" w:cs="Times New Roman"/>
                <w:sz w:val="28"/>
                <w:szCs w:val="28"/>
              </w:rPr>
              <w:t xml:space="preserve">Șef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adjunct </w:t>
            </w:r>
            <w:r w:rsidRPr="006166BF">
              <w:rPr>
                <w:rFonts w:ascii="Times New Roman" w:hAnsi="Times New Roman" w:cs="Times New Roman"/>
                <w:sz w:val="28"/>
                <w:szCs w:val="28"/>
              </w:rPr>
              <w:t>al aparatului Procuraturii Generale</w:t>
            </w:r>
          </w:p>
        </w:tc>
        <w:tc>
          <w:tcPr>
            <w:tcW w:w="851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3" w:type="dxa"/>
          </w:tcPr>
          <w:p w:rsidR="00286D1A" w:rsidRPr="00821B52" w:rsidRDefault="00286D1A" w:rsidP="001D43B2">
            <w:pPr>
              <w:pStyle w:val="ListParagraph"/>
              <w:tabs>
                <w:tab w:val="left" w:pos="993"/>
              </w:tabs>
              <w:ind w:left="-109" w:right="-5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6D1A" w:rsidRPr="00821B52" w:rsidTr="001D43B2">
        <w:tc>
          <w:tcPr>
            <w:tcW w:w="1242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B15</w:t>
            </w:r>
          </w:p>
        </w:tc>
        <w:tc>
          <w:tcPr>
            <w:tcW w:w="5245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Șef direcție</w:t>
            </w:r>
          </w:p>
        </w:tc>
        <w:tc>
          <w:tcPr>
            <w:tcW w:w="851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3" w:type="dxa"/>
          </w:tcPr>
          <w:p w:rsidR="00286D1A" w:rsidRPr="00821B52" w:rsidRDefault="00286D1A" w:rsidP="001D43B2">
            <w:pPr>
              <w:pStyle w:val="ListParagraph"/>
              <w:tabs>
                <w:tab w:val="left" w:pos="993"/>
              </w:tabs>
              <w:ind w:left="-109" w:right="-5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6D1A" w:rsidRPr="00821B52" w:rsidTr="001D43B2">
        <w:tc>
          <w:tcPr>
            <w:tcW w:w="1242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B16</w:t>
            </w:r>
          </w:p>
        </w:tc>
        <w:tc>
          <w:tcPr>
            <w:tcW w:w="5245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Șef secție</w:t>
            </w:r>
          </w:p>
        </w:tc>
        <w:tc>
          <w:tcPr>
            <w:tcW w:w="851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3" w:type="dxa"/>
          </w:tcPr>
          <w:p w:rsidR="00286D1A" w:rsidRPr="00821B52" w:rsidRDefault="00286D1A" w:rsidP="001D43B2">
            <w:pPr>
              <w:pStyle w:val="ListParagraph"/>
              <w:tabs>
                <w:tab w:val="left" w:pos="993"/>
              </w:tabs>
              <w:ind w:left="-109" w:right="-5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6D1A" w:rsidRPr="00821B52" w:rsidTr="001D43B2">
        <w:tc>
          <w:tcPr>
            <w:tcW w:w="1242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B17</w:t>
            </w:r>
          </w:p>
        </w:tc>
        <w:tc>
          <w:tcPr>
            <w:tcW w:w="5245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Șef secție în cadrul direcției</w:t>
            </w:r>
          </w:p>
        </w:tc>
        <w:tc>
          <w:tcPr>
            <w:tcW w:w="851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3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-109" w:right="-5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D1A" w:rsidRPr="00821B52" w:rsidTr="001D43B2">
        <w:tc>
          <w:tcPr>
            <w:tcW w:w="1242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B18</w:t>
            </w:r>
          </w:p>
        </w:tc>
        <w:tc>
          <w:tcPr>
            <w:tcW w:w="5245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Șef serviciu</w:t>
            </w:r>
          </w:p>
        </w:tc>
        <w:tc>
          <w:tcPr>
            <w:tcW w:w="851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3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-109" w:right="-5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D1A" w:rsidRPr="00821B52" w:rsidTr="001D43B2">
        <w:tc>
          <w:tcPr>
            <w:tcW w:w="1242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C27</w:t>
            </w:r>
          </w:p>
        </w:tc>
        <w:tc>
          <w:tcPr>
            <w:tcW w:w="5245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Consultant al procurorului</w:t>
            </w:r>
          </w:p>
        </w:tc>
        <w:tc>
          <w:tcPr>
            <w:tcW w:w="851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3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-109" w:right="-5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D1A" w:rsidRPr="00821B52" w:rsidTr="001D43B2">
        <w:tc>
          <w:tcPr>
            <w:tcW w:w="1242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C29</w:t>
            </w:r>
          </w:p>
        </w:tc>
        <w:tc>
          <w:tcPr>
            <w:tcW w:w="5245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Contabil-șef</w:t>
            </w:r>
          </w:p>
        </w:tc>
        <w:tc>
          <w:tcPr>
            <w:tcW w:w="851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33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-109" w:right="-5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D1A" w:rsidRPr="00821B52" w:rsidTr="001D43B2">
        <w:tc>
          <w:tcPr>
            <w:tcW w:w="1242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C30</w:t>
            </w:r>
          </w:p>
        </w:tc>
        <w:tc>
          <w:tcPr>
            <w:tcW w:w="5245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Specialist principal</w:t>
            </w:r>
          </w:p>
        </w:tc>
        <w:tc>
          <w:tcPr>
            <w:tcW w:w="851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-109" w:right="-5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D1A" w:rsidRPr="00821B52" w:rsidTr="001D43B2">
        <w:tc>
          <w:tcPr>
            <w:tcW w:w="1242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C31</w:t>
            </w:r>
          </w:p>
        </w:tc>
        <w:tc>
          <w:tcPr>
            <w:tcW w:w="5245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Specialist superior</w:t>
            </w:r>
          </w:p>
        </w:tc>
        <w:tc>
          <w:tcPr>
            <w:tcW w:w="851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-109" w:right="-5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D1A" w:rsidRPr="00821B52" w:rsidTr="001D43B2">
        <w:tc>
          <w:tcPr>
            <w:tcW w:w="1242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C32</w:t>
            </w:r>
          </w:p>
        </w:tc>
        <w:tc>
          <w:tcPr>
            <w:tcW w:w="5245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Specialist</w:t>
            </w:r>
          </w:p>
        </w:tc>
        <w:tc>
          <w:tcPr>
            <w:tcW w:w="851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-109" w:right="-5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D1A" w:rsidRDefault="00286D1A" w:rsidP="00286D1A">
      <w:pPr>
        <w:pStyle w:val="ListParagraph"/>
        <w:numPr>
          <w:ilvl w:val="0"/>
          <w:numId w:val="2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compartimentul „Judecătoriile, inclusiv cea militară”, după poziția „B14 Șef al secretariatului instanței judecătorești” se introduce următoare poziție: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851"/>
        <w:gridCol w:w="2233"/>
      </w:tblGrid>
      <w:tr w:rsidR="00286D1A" w:rsidTr="001D43B2">
        <w:tc>
          <w:tcPr>
            <w:tcW w:w="1242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B14</w:t>
            </w:r>
          </w:p>
        </w:tc>
        <w:tc>
          <w:tcPr>
            <w:tcW w:w="5245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Șef adjunct al secretariatului Judecătoriei Chișinău</w:t>
            </w:r>
          </w:p>
        </w:tc>
        <w:tc>
          <w:tcPr>
            <w:tcW w:w="851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3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86D1A" w:rsidRDefault="00286D1A" w:rsidP="00286D1A">
      <w:pPr>
        <w:pStyle w:val="ListParagraph"/>
        <w:numPr>
          <w:ilvl w:val="0"/>
          <w:numId w:val="2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din denumirea compartimentului </w:t>
      </w:r>
      <w:r w:rsidRPr="004A0281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Procuraturile teritoriale și cele specializate</w:t>
      </w:r>
      <w:r w:rsidRPr="004A028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textul „și cele specializate” se exclude;</w:t>
      </w:r>
    </w:p>
    <w:p w:rsidR="00286D1A" w:rsidRDefault="00286D1A" w:rsidP="00286D1A">
      <w:pPr>
        <w:pStyle w:val="ListParagraph"/>
        <w:numPr>
          <w:ilvl w:val="0"/>
          <w:numId w:val="2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compartimentul „Aparatele centrale ale ministerelor”:</w:t>
      </w:r>
    </w:p>
    <w:p w:rsidR="00286D1A" w:rsidRDefault="00286D1A" w:rsidP="00286D1A">
      <w:pPr>
        <w:pStyle w:val="ListParagraph"/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poziția A05, coloana a doua va avea următorul cuprins: „Secretar general de stat”;</w:t>
      </w:r>
    </w:p>
    <w:p w:rsidR="00286D1A" w:rsidRPr="004E021A" w:rsidRDefault="00286D1A" w:rsidP="00286D1A">
      <w:pPr>
        <w:pStyle w:val="ListParagraph"/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după poziția A05 se introduce poziția: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851"/>
        <w:gridCol w:w="2233"/>
      </w:tblGrid>
      <w:tr w:rsidR="00286D1A" w:rsidTr="001D43B2">
        <w:tc>
          <w:tcPr>
            <w:tcW w:w="1242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A06</w:t>
            </w:r>
          </w:p>
        </w:tc>
        <w:tc>
          <w:tcPr>
            <w:tcW w:w="5245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Secretar de stat</w:t>
            </w:r>
          </w:p>
        </w:tc>
        <w:tc>
          <w:tcPr>
            <w:tcW w:w="851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33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86D1A" w:rsidRDefault="00286D1A" w:rsidP="00286D1A">
      <w:pPr>
        <w:pStyle w:val="ListParagraph"/>
        <w:tabs>
          <w:tab w:val="left" w:pos="90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pozițiile B19 și B21 vor avea următorul cuprins: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851"/>
        <w:gridCol w:w="2233"/>
      </w:tblGrid>
      <w:tr w:rsidR="00286D1A" w:rsidTr="001D43B2">
        <w:tc>
          <w:tcPr>
            <w:tcW w:w="1242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B19</w:t>
            </w:r>
          </w:p>
        </w:tc>
        <w:tc>
          <w:tcPr>
            <w:tcW w:w="5245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Șef direcție generală</w:t>
            </w:r>
          </w:p>
        </w:tc>
        <w:tc>
          <w:tcPr>
            <w:tcW w:w="851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3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286D1A" w:rsidRPr="00D87030" w:rsidRDefault="00286D1A" w:rsidP="00286D1A">
      <w:pPr>
        <w:tabs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851"/>
        <w:gridCol w:w="2233"/>
      </w:tblGrid>
      <w:tr w:rsidR="00286D1A" w:rsidTr="001D43B2">
        <w:tc>
          <w:tcPr>
            <w:tcW w:w="1242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B21</w:t>
            </w:r>
          </w:p>
        </w:tc>
        <w:tc>
          <w:tcPr>
            <w:tcW w:w="5245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Șef direcție în cadrul direcției generale </w:t>
            </w:r>
          </w:p>
        </w:tc>
        <w:tc>
          <w:tcPr>
            <w:tcW w:w="851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33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286D1A" w:rsidRDefault="00286D1A" w:rsidP="00286D1A">
      <w:pPr>
        <w:pStyle w:val="ListParagraph"/>
        <w:numPr>
          <w:ilvl w:val="0"/>
          <w:numId w:val="2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compartimentul „Funcționarii publici în posturi diplomatice din instituțiile serviciului diplomatic”:</w:t>
      </w:r>
    </w:p>
    <w:p w:rsidR="00286D1A" w:rsidRDefault="00286D1A" w:rsidP="00286D1A">
      <w:pPr>
        <w:pStyle w:val="ListParagraph"/>
        <w:tabs>
          <w:tab w:val="left" w:pos="90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coloana „Titlul funcției”, textul „Secretar general” se substituie cu textul „Secretar general de stat”;</w:t>
      </w:r>
    </w:p>
    <w:p w:rsidR="00286D1A" w:rsidRDefault="00286D1A" w:rsidP="00286D1A">
      <w:pPr>
        <w:pStyle w:val="ListParagraph"/>
        <w:tabs>
          <w:tab w:val="left" w:pos="90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după poziția „Secretar general de stat” se introduce poziția „Secretar de stat” cu următorul cuprins: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851"/>
        <w:gridCol w:w="2233"/>
      </w:tblGrid>
      <w:tr w:rsidR="00286D1A" w:rsidTr="001D43B2">
        <w:tc>
          <w:tcPr>
            <w:tcW w:w="1242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Secretar de stat</w:t>
            </w:r>
          </w:p>
        </w:tc>
        <w:tc>
          <w:tcPr>
            <w:tcW w:w="851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33" w:type="dxa"/>
          </w:tcPr>
          <w:p w:rsidR="00286D1A" w:rsidRDefault="00286D1A" w:rsidP="001D43B2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139AC" w:rsidRPr="00D0089D" w:rsidRDefault="00286D1A" w:rsidP="00D0089D">
      <w:pPr>
        <w:pStyle w:val="ListParagraph"/>
        <w:numPr>
          <w:ilvl w:val="0"/>
          <w:numId w:val="27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compartimentul „Aparatele preturilor municipiului Chișinău” din anexa nr.3, pozițiile „B37 Pretor al sectorului” și „B37 </w:t>
      </w:r>
      <w:proofErr w:type="spellStart"/>
      <w:r>
        <w:rPr>
          <w:rFonts w:ascii="Times New Roman" w:hAnsi="Times New Roman" w:cs="Times New Roman"/>
          <w:sz w:val="28"/>
          <w:szCs w:val="28"/>
        </w:rPr>
        <w:t>Vicepretor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sectorului” se exclud.</w:t>
      </w:r>
    </w:p>
    <w:p w:rsidR="00286D1A" w:rsidRDefault="00286D1A" w:rsidP="004F5D02">
      <w:pPr>
        <w:pStyle w:val="ListParagraph"/>
        <w:numPr>
          <w:ilvl w:val="0"/>
          <w:numId w:val="13"/>
        </w:numPr>
        <w:tabs>
          <w:tab w:val="left" w:pos="900"/>
        </w:tabs>
        <w:spacing w:before="120" w:after="0" w:line="240" w:lineRule="auto"/>
        <w:ind w:left="0" w:firstLine="53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1C0">
        <w:rPr>
          <w:rFonts w:ascii="Times New Roman" w:hAnsi="Times New Roman" w:cs="Times New Roman"/>
          <w:sz w:val="28"/>
          <w:szCs w:val="28"/>
        </w:rPr>
        <w:t>Notele la anexa nr.1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1C0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B74F11">
        <w:rPr>
          <w:rFonts w:ascii="Times New Roman" w:hAnsi="Times New Roman" w:cs="Times New Roman"/>
          <w:b/>
          <w:sz w:val="28"/>
          <w:szCs w:val="28"/>
        </w:rPr>
        <w:t>Hotărîrea</w:t>
      </w:r>
      <w:proofErr w:type="spellEnd"/>
      <w:r w:rsidRPr="00B74F11">
        <w:rPr>
          <w:rFonts w:ascii="Times New Roman" w:hAnsi="Times New Roman" w:cs="Times New Roman"/>
          <w:b/>
          <w:sz w:val="28"/>
          <w:szCs w:val="28"/>
        </w:rPr>
        <w:t xml:space="preserve"> Guvernului nr.</w:t>
      </w:r>
      <w:r>
        <w:rPr>
          <w:rFonts w:ascii="Times New Roman" w:hAnsi="Times New Roman" w:cs="Times New Roman"/>
          <w:b/>
          <w:sz w:val="28"/>
          <w:szCs w:val="28"/>
        </w:rPr>
        <w:t>710</w:t>
      </w:r>
      <w:r w:rsidRPr="00B74F11">
        <w:rPr>
          <w:rFonts w:ascii="Times New Roman" w:hAnsi="Times New Roman" w:cs="Times New Roman"/>
          <w:b/>
          <w:sz w:val="28"/>
          <w:szCs w:val="28"/>
        </w:rPr>
        <w:t xml:space="preserve"> din </w:t>
      </w:r>
      <w:r>
        <w:rPr>
          <w:rFonts w:ascii="Times New Roman" w:hAnsi="Times New Roman" w:cs="Times New Roman"/>
          <w:b/>
          <w:sz w:val="28"/>
          <w:szCs w:val="28"/>
        </w:rPr>
        <w:t xml:space="preserve">26 septembrie 2012 </w:t>
      </w:r>
      <w:r w:rsidRPr="00B74F11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Privind salarizarea personalului care efectuează deservirea tehnică și asigură funcționarea instanțelor judecătorești, a procuraturii și a autorităților administrației publice centrale și locale</w:t>
      </w:r>
      <w:r w:rsidRPr="00B74F11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F11">
        <w:rPr>
          <w:rFonts w:ascii="Times New Roman" w:hAnsi="Times New Roman" w:cs="Times New Roman"/>
          <w:sz w:val="28"/>
          <w:szCs w:val="28"/>
        </w:rPr>
        <w:t>(Monitorul Oficial al Republicii Moldova,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74F11">
        <w:rPr>
          <w:rFonts w:ascii="Times New Roman" w:hAnsi="Times New Roman" w:cs="Times New Roman"/>
          <w:sz w:val="28"/>
          <w:szCs w:val="28"/>
        </w:rPr>
        <w:t>, nr.</w:t>
      </w:r>
      <w:r>
        <w:rPr>
          <w:rFonts w:ascii="Times New Roman" w:hAnsi="Times New Roman" w:cs="Times New Roman"/>
          <w:sz w:val="28"/>
          <w:szCs w:val="28"/>
        </w:rPr>
        <w:t>205-207</w:t>
      </w:r>
      <w:r w:rsidRPr="00B74F11">
        <w:rPr>
          <w:rFonts w:ascii="Times New Roman" w:hAnsi="Times New Roman" w:cs="Times New Roman"/>
          <w:sz w:val="28"/>
          <w:szCs w:val="28"/>
        </w:rPr>
        <w:t>, art.</w:t>
      </w:r>
      <w:r>
        <w:rPr>
          <w:rFonts w:ascii="Times New Roman" w:hAnsi="Times New Roman" w:cs="Times New Roman"/>
          <w:sz w:val="28"/>
          <w:szCs w:val="28"/>
        </w:rPr>
        <w:t>766</w:t>
      </w:r>
      <w:r w:rsidRPr="00B74F11">
        <w:rPr>
          <w:rFonts w:ascii="Times New Roman" w:hAnsi="Times New Roman" w:cs="Times New Roman"/>
          <w:sz w:val="28"/>
          <w:szCs w:val="28"/>
        </w:rPr>
        <w:t>), cu modificările și completările ulterioare</w:t>
      </w:r>
      <w:r>
        <w:rPr>
          <w:rFonts w:ascii="Times New Roman" w:hAnsi="Times New Roman" w:cs="Times New Roman"/>
          <w:sz w:val="28"/>
          <w:szCs w:val="28"/>
        </w:rPr>
        <w:t>, se modifică și se completează după cum urmează:</w:t>
      </w:r>
    </w:p>
    <w:p w:rsidR="00286D1A" w:rsidRDefault="00286D1A" w:rsidP="00286D1A">
      <w:pPr>
        <w:pStyle w:val="ListParagraph"/>
        <w:tabs>
          <w:tab w:val="left" w:pos="900"/>
        </w:tabs>
        <w:spacing w:before="12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punctul 1, textul „Curtea de Conturi” se exclude;</w:t>
      </w:r>
    </w:p>
    <w:p w:rsidR="007E1911" w:rsidRPr="004F5D02" w:rsidRDefault="00286D1A" w:rsidP="004F5D02">
      <w:pPr>
        <w:pStyle w:val="ListParagraph"/>
        <w:tabs>
          <w:tab w:val="left" w:pos="900"/>
        </w:tabs>
        <w:spacing w:before="12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punctul 4, după textul „personalul de deservire tehnică din” se introd</w:t>
      </w:r>
      <w:r w:rsidR="004F5D02">
        <w:rPr>
          <w:rFonts w:ascii="Times New Roman" w:hAnsi="Times New Roman" w:cs="Times New Roman"/>
          <w:sz w:val="28"/>
          <w:szCs w:val="28"/>
        </w:rPr>
        <w:t>uce textul „Curtea de Conturi”.</w:t>
      </w:r>
      <w:r w:rsidR="003B78E8" w:rsidRPr="004F5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911" w:rsidRPr="00152E66" w:rsidRDefault="0087522C" w:rsidP="004F5D02">
      <w:pPr>
        <w:pStyle w:val="ListParagraph"/>
        <w:numPr>
          <w:ilvl w:val="0"/>
          <w:numId w:val="13"/>
        </w:numPr>
        <w:tabs>
          <w:tab w:val="left" w:pos="900"/>
        </w:tabs>
        <w:spacing w:before="120" w:after="0" w:line="240" w:lineRule="auto"/>
        <w:ind w:left="0" w:firstLine="5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522C">
        <w:rPr>
          <w:rFonts w:ascii="Times New Roman" w:hAnsi="Times New Roman" w:cs="Times New Roman"/>
          <w:b/>
          <w:sz w:val="28"/>
          <w:szCs w:val="28"/>
        </w:rPr>
        <w:lastRenderedPageBreak/>
        <w:t>Regulamentul privind modul de calculare și plată a premiului anual personalului din unitățile bugetare</w:t>
      </w:r>
      <w:r>
        <w:rPr>
          <w:rFonts w:ascii="Times New Roman" w:hAnsi="Times New Roman" w:cs="Times New Roman"/>
          <w:sz w:val="28"/>
          <w:szCs w:val="28"/>
        </w:rPr>
        <w:t xml:space="preserve">, aprobat prin </w:t>
      </w:r>
      <w:proofErr w:type="spellStart"/>
      <w:r w:rsidR="0060273B">
        <w:rPr>
          <w:rFonts w:ascii="Times New Roman" w:hAnsi="Times New Roman" w:cs="Times New Roman"/>
          <w:b/>
          <w:sz w:val="28"/>
          <w:szCs w:val="28"/>
        </w:rPr>
        <w:t>Hotărîrea</w:t>
      </w:r>
      <w:proofErr w:type="spellEnd"/>
      <w:r w:rsidR="0060273B">
        <w:rPr>
          <w:rFonts w:ascii="Times New Roman" w:hAnsi="Times New Roman" w:cs="Times New Roman"/>
          <w:b/>
          <w:sz w:val="28"/>
          <w:szCs w:val="28"/>
        </w:rPr>
        <w:t xml:space="preserve"> Guvernului nr.</w:t>
      </w:r>
      <w:r w:rsidR="00152E66">
        <w:rPr>
          <w:rFonts w:ascii="Times New Roman" w:hAnsi="Times New Roman" w:cs="Times New Roman"/>
          <w:b/>
          <w:sz w:val="28"/>
          <w:szCs w:val="28"/>
        </w:rPr>
        <w:t>180</w:t>
      </w:r>
      <w:r>
        <w:rPr>
          <w:rFonts w:ascii="Times New Roman" w:hAnsi="Times New Roman" w:cs="Times New Roman"/>
          <w:b/>
          <w:sz w:val="28"/>
          <w:szCs w:val="28"/>
        </w:rPr>
        <w:t xml:space="preserve"> din 11 martie 2013</w:t>
      </w:r>
      <w:r w:rsidR="00152E66">
        <w:rPr>
          <w:rFonts w:ascii="Times New Roman" w:hAnsi="Times New Roman" w:cs="Times New Roman"/>
          <w:b/>
          <w:sz w:val="28"/>
          <w:szCs w:val="28"/>
        </w:rPr>
        <w:t xml:space="preserve"> „Cu privire la plata premiului anual personalului din unitățile bugetare” </w:t>
      </w:r>
      <w:r w:rsidR="00152E66" w:rsidRPr="00152E66">
        <w:rPr>
          <w:rFonts w:ascii="Times New Roman" w:hAnsi="Times New Roman" w:cs="Times New Roman"/>
          <w:sz w:val="28"/>
          <w:szCs w:val="28"/>
        </w:rPr>
        <w:t>(Monitorul Oficial al Republicii Moldova, 2013 nr.56-59, art.230), cu modificările și completările ulterioare, se modifică și se completează după cum urmează:</w:t>
      </w:r>
    </w:p>
    <w:p w:rsidR="00BB6FF8" w:rsidRDefault="00BB6FF8" w:rsidP="00CE6FA6">
      <w:pPr>
        <w:pStyle w:val="ListParagraph"/>
        <w:numPr>
          <w:ilvl w:val="0"/>
          <w:numId w:val="30"/>
        </w:numPr>
        <w:tabs>
          <w:tab w:val="left" w:pos="993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alineatul 2 din punctul 7 se abrogă;</w:t>
      </w:r>
    </w:p>
    <w:p w:rsidR="00066936" w:rsidRPr="00BB6FF8" w:rsidRDefault="00BB6FF8" w:rsidP="00CE6FA6">
      <w:pPr>
        <w:pStyle w:val="ListParagraph"/>
        <w:numPr>
          <w:ilvl w:val="0"/>
          <w:numId w:val="30"/>
        </w:numPr>
        <w:tabs>
          <w:tab w:val="left" w:pos="993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punctul 8 cifra „6” se substituie cu cifra „4”;</w:t>
      </w:r>
      <w:r w:rsidRPr="00BB6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936" w:rsidRDefault="004342B5" w:rsidP="00CE6FA6">
      <w:pPr>
        <w:pStyle w:val="ListParagraph"/>
        <w:numPr>
          <w:ilvl w:val="0"/>
          <w:numId w:val="30"/>
        </w:numPr>
        <w:tabs>
          <w:tab w:val="left" w:pos="993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4342B5">
        <w:rPr>
          <w:rFonts w:ascii="Times New Roman" w:hAnsi="Times New Roman" w:cs="Times New Roman"/>
          <w:sz w:val="28"/>
          <w:szCs w:val="28"/>
        </w:rPr>
        <w:t xml:space="preserve">a </w:t>
      </w:r>
      <w:r w:rsidR="00BB6FF8">
        <w:rPr>
          <w:rFonts w:ascii="Times New Roman" w:hAnsi="Times New Roman" w:cs="Times New Roman"/>
          <w:sz w:val="28"/>
          <w:szCs w:val="28"/>
        </w:rPr>
        <w:t xml:space="preserve">punctul </w:t>
      </w:r>
      <w:r w:rsidRPr="004342B5">
        <w:rPr>
          <w:rFonts w:ascii="Times New Roman" w:hAnsi="Times New Roman" w:cs="Times New Roman"/>
          <w:sz w:val="28"/>
          <w:szCs w:val="28"/>
        </w:rPr>
        <w:t>12</w:t>
      </w:r>
      <w:r w:rsidR="00066936">
        <w:rPr>
          <w:rFonts w:ascii="Times New Roman" w:hAnsi="Times New Roman" w:cs="Times New Roman"/>
          <w:sz w:val="28"/>
          <w:szCs w:val="28"/>
        </w:rPr>
        <w:t>:</w:t>
      </w:r>
    </w:p>
    <w:p w:rsidR="00152E66" w:rsidRDefault="00066936" w:rsidP="00066936">
      <w:pPr>
        <w:pStyle w:val="ListParagraph"/>
        <w:tabs>
          <w:tab w:val="left" w:pos="900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alineatul 1</w:t>
      </w:r>
      <w:r w:rsidR="004342B5">
        <w:rPr>
          <w:rFonts w:ascii="Times New Roman" w:hAnsi="Times New Roman" w:cs="Times New Roman"/>
          <w:sz w:val="28"/>
          <w:szCs w:val="28"/>
        </w:rPr>
        <w:t>, după textul „art.86 alin.(1) lit. c) și d)” se completează cu textul „art.86 alin.(1) lit. c), d) și y</w:t>
      </w:r>
      <w:r w:rsidR="004342B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342B5">
        <w:rPr>
          <w:rFonts w:ascii="Times New Roman" w:hAnsi="Times New Roman" w:cs="Times New Roman"/>
          <w:sz w:val="28"/>
          <w:szCs w:val="28"/>
        </w:rPr>
        <w:t>)”</w:t>
      </w:r>
      <w:r w:rsidR="00BB6FF8">
        <w:rPr>
          <w:rFonts w:ascii="Times New Roman" w:hAnsi="Times New Roman" w:cs="Times New Roman"/>
          <w:sz w:val="28"/>
          <w:szCs w:val="28"/>
        </w:rPr>
        <w:t>, iar în final textul „, cu condiția că în anul de referință au activat cel puțin 3 luni” se exclude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936" w:rsidRDefault="00066936" w:rsidP="00066936">
      <w:pPr>
        <w:pStyle w:val="ListParagraph"/>
        <w:tabs>
          <w:tab w:val="left" w:pos="900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ultimul alineat, după textul „</w:t>
      </w:r>
      <w:r w:rsidR="00BB6FF8" w:rsidRPr="00BB6FF8">
        <w:rPr>
          <w:rFonts w:ascii="Times New Roman" w:hAnsi="Times New Roman" w:cs="Times New Roman"/>
          <w:sz w:val="28"/>
          <w:szCs w:val="28"/>
        </w:rPr>
        <w:t>condiția că au activat în unitatea respectivă nu mai puțin de 1 an, din care în anul de referință – nu mai puțin de 6 luni</w:t>
      </w:r>
      <w:r>
        <w:rPr>
          <w:rFonts w:ascii="Times New Roman" w:hAnsi="Times New Roman" w:cs="Times New Roman"/>
          <w:sz w:val="28"/>
          <w:szCs w:val="28"/>
        </w:rPr>
        <w:t xml:space="preserve">” se </w:t>
      </w:r>
      <w:r w:rsidR="00BB6FF8">
        <w:rPr>
          <w:rFonts w:ascii="Times New Roman" w:hAnsi="Times New Roman" w:cs="Times New Roman"/>
          <w:sz w:val="28"/>
          <w:szCs w:val="28"/>
        </w:rPr>
        <w:t>substituie cu textul</w:t>
      </w:r>
      <w:r>
        <w:rPr>
          <w:rFonts w:ascii="Times New Roman" w:hAnsi="Times New Roman" w:cs="Times New Roman"/>
          <w:sz w:val="28"/>
          <w:szCs w:val="28"/>
        </w:rPr>
        <w:t xml:space="preserve"> „, depuse în ultima zi de activitate,</w:t>
      </w:r>
      <w:r w:rsidR="00BB6FF8">
        <w:rPr>
          <w:rFonts w:ascii="Times New Roman" w:hAnsi="Times New Roman" w:cs="Times New Roman"/>
          <w:sz w:val="28"/>
          <w:szCs w:val="28"/>
        </w:rPr>
        <w:t xml:space="preserve"> proporțional timpului efectiv lucrat </w:t>
      </w:r>
      <w:r w:rsidR="00CE6FA6">
        <w:rPr>
          <w:rFonts w:ascii="Times New Roman" w:hAnsi="Times New Roman" w:cs="Times New Roman"/>
          <w:sz w:val="28"/>
          <w:szCs w:val="28"/>
        </w:rPr>
        <w:t>până</w:t>
      </w:r>
      <w:r w:rsidR="00BB6FF8">
        <w:rPr>
          <w:rFonts w:ascii="Times New Roman" w:hAnsi="Times New Roman" w:cs="Times New Roman"/>
          <w:sz w:val="28"/>
          <w:szCs w:val="28"/>
        </w:rPr>
        <w:t xml:space="preserve"> la data desfacerii contractu</w:t>
      </w:r>
      <w:r w:rsidR="00CE6FA6">
        <w:rPr>
          <w:rFonts w:ascii="Times New Roman" w:hAnsi="Times New Roman" w:cs="Times New Roman"/>
          <w:sz w:val="28"/>
          <w:szCs w:val="28"/>
        </w:rPr>
        <w:t>lui individual de muncă</w:t>
      </w:r>
      <w:r>
        <w:rPr>
          <w:rFonts w:ascii="Times New Roman" w:hAnsi="Times New Roman" w:cs="Times New Roman"/>
          <w:sz w:val="28"/>
          <w:szCs w:val="28"/>
        </w:rPr>
        <w:t>”;</w:t>
      </w:r>
    </w:p>
    <w:p w:rsidR="00CE6FA6" w:rsidRDefault="00066936" w:rsidP="00CE6FA6">
      <w:pPr>
        <w:pStyle w:val="ListParagraph"/>
        <w:numPr>
          <w:ilvl w:val="0"/>
          <w:numId w:val="30"/>
        </w:numPr>
        <w:tabs>
          <w:tab w:val="left" w:pos="993"/>
          <w:tab w:val="left" w:pos="1276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punctul 15 se expune în următoarea redacție</w:t>
      </w:r>
      <w:r w:rsidR="00CE6FA6">
        <w:rPr>
          <w:rFonts w:ascii="Times New Roman" w:hAnsi="Times New Roman" w:cs="Times New Roman"/>
          <w:sz w:val="28"/>
          <w:szCs w:val="28"/>
        </w:rPr>
        <w:t>:</w:t>
      </w:r>
    </w:p>
    <w:p w:rsidR="00286D1A" w:rsidRDefault="00CE6FA6" w:rsidP="00CE6FA6">
      <w:pPr>
        <w:pStyle w:val="ListParagraph"/>
        <w:tabs>
          <w:tab w:val="left" w:pos="900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„15. Conducătorul unității bugetare sau al autorității publice, după consultarea sindicatelor sau reprezentanților salariaților, dispune de dreptul de a reduce, a anula sau a majora premiul anual </w:t>
      </w:r>
      <w:r w:rsidR="00286D1A">
        <w:rPr>
          <w:rFonts w:ascii="Times New Roman" w:hAnsi="Times New Roman" w:cs="Times New Roman"/>
          <w:sz w:val="28"/>
          <w:szCs w:val="28"/>
        </w:rPr>
        <w:t xml:space="preserve">pentru fiecare </w:t>
      </w:r>
      <w:r>
        <w:rPr>
          <w:rFonts w:ascii="Times New Roman" w:hAnsi="Times New Roman" w:cs="Times New Roman"/>
          <w:sz w:val="28"/>
          <w:szCs w:val="28"/>
        </w:rPr>
        <w:t>salaria</w:t>
      </w:r>
      <w:r w:rsidR="00286D1A">
        <w:rPr>
          <w:rFonts w:ascii="Times New Roman" w:hAnsi="Times New Roman" w:cs="Times New Roman"/>
          <w:sz w:val="28"/>
          <w:szCs w:val="28"/>
        </w:rPr>
        <w:t>t</w:t>
      </w:r>
    </w:p>
    <w:p w:rsidR="00286D1A" w:rsidRDefault="00286D1A" w:rsidP="00CE6FA6">
      <w:pPr>
        <w:pStyle w:val="ListParagraph"/>
        <w:tabs>
          <w:tab w:val="left" w:pos="900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Premiul anual poate fi redus sau anulat salariaților</w:t>
      </w:r>
      <w:r w:rsidR="00CE6FA6">
        <w:rPr>
          <w:rFonts w:ascii="Times New Roman" w:hAnsi="Times New Roman" w:cs="Times New Roman"/>
          <w:sz w:val="28"/>
          <w:szCs w:val="28"/>
        </w:rPr>
        <w:t>, care, pe parcursul anului, au desfășurat activitate profesională ineficientă sau necorespunzătoare, ori au avut încălcări pentru care au fost sancționați disciplinar.</w:t>
      </w:r>
    </w:p>
    <w:p w:rsidR="00066936" w:rsidRPr="004342B5" w:rsidRDefault="00286D1A" w:rsidP="00CE6FA6">
      <w:pPr>
        <w:pStyle w:val="ListParagraph"/>
        <w:tabs>
          <w:tab w:val="left" w:pos="900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Majorarea premiului anual unor salariați se efectuează din contul sumelor economisite la fondul de premiere, inclusiv din contul economiilor formate în cazul aplicării normei expuse în alineatul precedent.”</w:t>
      </w:r>
      <w:r w:rsidR="00BB68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FA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6936" w:rsidRPr="004342B5" w:rsidSect="00DF6C75">
      <w:pgSz w:w="11906" w:h="16838"/>
      <w:pgMar w:top="900" w:right="850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688"/>
    <w:multiLevelType w:val="hybridMultilevel"/>
    <w:tmpl w:val="0868EC26"/>
    <w:lvl w:ilvl="0" w:tplc="E076CF1C">
      <w:start w:val="1"/>
      <w:numFmt w:val="decimal"/>
      <w:lvlText w:val="%1."/>
      <w:lvlJc w:val="left"/>
      <w:pPr>
        <w:ind w:left="113" w:firstLine="59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4C4C1C"/>
    <w:multiLevelType w:val="hybridMultilevel"/>
    <w:tmpl w:val="E1AE95BE"/>
    <w:lvl w:ilvl="0" w:tplc="329281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5934CC4"/>
    <w:multiLevelType w:val="hybridMultilevel"/>
    <w:tmpl w:val="AC7CC35C"/>
    <w:lvl w:ilvl="0" w:tplc="5CF0E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C312D5"/>
    <w:multiLevelType w:val="hybridMultilevel"/>
    <w:tmpl w:val="1D8E17D6"/>
    <w:lvl w:ilvl="0" w:tplc="72489A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1721E9"/>
    <w:multiLevelType w:val="hybridMultilevel"/>
    <w:tmpl w:val="7FA41726"/>
    <w:lvl w:ilvl="0" w:tplc="6784C2EC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1A3B0DE2"/>
    <w:multiLevelType w:val="hybridMultilevel"/>
    <w:tmpl w:val="3E247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E4349"/>
    <w:multiLevelType w:val="hybridMultilevel"/>
    <w:tmpl w:val="3A94D3C4"/>
    <w:lvl w:ilvl="0" w:tplc="E1EA8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AE288F"/>
    <w:multiLevelType w:val="hybridMultilevel"/>
    <w:tmpl w:val="77440600"/>
    <w:lvl w:ilvl="0" w:tplc="FC2E0C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AD05529"/>
    <w:multiLevelType w:val="hybridMultilevel"/>
    <w:tmpl w:val="400218A4"/>
    <w:lvl w:ilvl="0" w:tplc="C1C06AD0">
      <w:start w:val="1"/>
      <w:numFmt w:val="lowerLetter"/>
      <w:lvlText w:val="%1)"/>
      <w:lvlJc w:val="left"/>
      <w:pPr>
        <w:ind w:left="142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C8C58A6"/>
    <w:multiLevelType w:val="hybridMultilevel"/>
    <w:tmpl w:val="22F81116"/>
    <w:lvl w:ilvl="0" w:tplc="0900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3E457F"/>
    <w:multiLevelType w:val="hybridMultilevel"/>
    <w:tmpl w:val="2E2CCE9C"/>
    <w:lvl w:ilvl="0" w:tplc="CB8073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7F3174"/>
    <w:multiLevelType w:val="hybridMultilevel"/>
    <w:tmpl w:val="3A94D3C4"/>
    <w:lvl w:ilvl="0" w:tplc="E1EA8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B13056"/>
    <w:multiLevelType w:val="hybridMultilevel"/>
    <w:tmpl w:val="A5AC20C4"/>
    <w:lvl w:ilvl="0" w:tplc="61BCC2B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0170D0F"/>
    <w:multiLevelType w:val="hybridMultilevel"/>
    <w:tmpl w:val="B9243064"/>
    <w:lvl w:ilvl="0" w:tplc="C03A01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0706C2C"/>
    <w:multiLevelType w:val="hybridMultilevel"/>
    <w:tmpl w:val="B810B528"/>
    <w:lvl w:ilvl="0" w:tplc="F43892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89D14DA"/>
    <w:multiLevelType w:val="hybridMultilevel"/>
    <w:tmpl w:val="7020E1F6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A1C8F"/>
    <w:multiLevelType w:val="hybridMultilevel"/>
    <w:tmpl w:val="660C3618"/>
    <w:lvl w:ilvl="0" w:tplc="198C719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09D0695"/>
    <w:multiLevelType w:val="hybridMultilevel"/>
    <w:tmpl w:val="F678EFAE"/>
    <w:lvl w:ilvl="0" w:tplc="D2BE481E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488B4D98"/>
    <w:multiLevelType w:val="hybridMultilevel"/>
    <w:tmpl w:val="0A140030"/>
    <w:lvl w:ilvl="0" w:tplc="B532BB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9B691F"/>
    <w:multiLevelType w:val="hybridMultilevel"/>
    <w:tmpl w:val="71DA5B5A"/>
    <w:lvl w:ilvl="0" w:tplc="E204460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C621410"/>
    <w:multiLevelType w:val="hybridMultilevel"/>
    <w:tmpl w:val="DB7A9488"/>
    <w:lvl w:ilvl="0" w:tplc="36A0E24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1C4AD9"/>
    <w:multiLevelType w:val="hybridMultilevel"/>
    <w:tmpl w:val="F39A1F5E"/>
    <w:lvl w:ilvl="0" w:tplc="11AEB4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BB7F1A"/>
    <w:multiLevelType w:val="hybridMultilevel"/>
    <w:tmpl w:val="9BEE7112"/>
    <w:lvl w:ilvl="0" w:tplc="474812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14D08"/>
    <w:multiLevelType w:val="hybridMultilevel"/>
    <w:tmpl w:val="1204681A"/>
    <w:lvl w:ilvl="0" w:tplc="1DC42F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E951560"/>
    <w:multiLevelType w:val="hybridMultilevel"/>
    <w:tmpl w:val="D0B682EC"/>
    <w:lvl w:ilvl="0" w:tplc="94167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FD2BF5"/>
    <w:multiLevelType w:val="hybridMultilevel"/>
    <w:tmpl w:val="E6C48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A603C"/>
    <w:multiLevelType w:val="hybridMultilevel"/>
    <w:tmpl w:val="8DF2EB14"/>
    <w:lvl w:ilvl="0" w:tplc="E204460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2E03A95"/>
    <w:multiLevelType w:val="hybridMultilevel"/>
    <w:tmpl w:val="4BCC6116"/>
    <w:lvl w:ilvl="0" w:tplc="06E8727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E824DC"/>
    <w:multiLevelType w:val="hybridMultilevel"/>
    <w:tmpl w:val="22F81116"/>
    <w:lvl w:ilvl="0" w:tplc="0900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624A1A"/>
    <w:multiLevelType w:val="hybridMultilevel"/>
    <w:tmpl w:val="325EBE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8"/>
  </w:num>
  <w:num w:numId="5">
    <w:abstractNumId w:val="18"/>
  </w:num>
  <w:num w:numId="6">
    <w:abstractNumId w:val="17"/>
  </w:num>
  <w:num w:numId="7">
    <w:abstractNumId w:val="8"/>
  </w:num>
  <w:num w:numId="8">
    <w:abstractNumId w:val="9"/>
  </w:num>
  <w:num w:numId="9">
    <w:abstractNumId w:val="16"/>
  </w:num>
  <w:num w:numId="10">
    <w:abstractNumId w:val="15"/>
  </w:num>
  <w:num w:numId="11">
    <w:abstractNumId w:val="29"/>
  </w:num>
  <w:num w:numId="12">
    <w:abstractNumId w:val="4"/>
  </w:num>
  <w:num w:numId="13">
    <w:abstractNumId w:val="2"/>
  </w:num>
  <w:num w:numId="14">
    <w:abstractNumId w:val="11"/>
  </w:num>
  <w:num w:numId="15">
    <w:abstractNumId w:val="25"/>
  </w:num>
  <w:num w:numId="16">
    <w:abstractNumId w:val="24"/>
  </w:num>
  <w:num w:numId="17">
    <w:abstractNumId w:val="6"/>
  </w:num>
  <w:num w:numId="18">
    <w:abstractNumId w:val="5"/>
  </w:num>
  <w:num w:numId="19">
    <w:abstractNumId w:val="21"/>
  </w:num>
  <w:num w:numId="20">
    <w:abstractNumId w:val="14"/>
  </w:num>
  <w:num w:numId="21">
    <w:abstractNumId w:val="27"/>
  </w:num>
  <w:num w:numId="22">
    <w:abstractNumId w:val="12"/>
  </w:num>
  <w:num w:numId="23">
    <w:abstractNumId w:val="1"/>
  </w:num>
  <w:num w:numId="24">
    <w:abstractNumId w:val="10"/>
  </w:num>
  <w:num w:numId="25">
    <w:abstractNumId w:val="19"/>
  </w:num>
  <w:num w:numId="26">
    <w:abstractNumId w:val="26"/>
  </w:num>
  <w:num w:numId="27">
    <w:abstractNumId w:val="20"/>
  </w:num>
  <w:num w:numId="28">
    <w:abstractNumId w:val="13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652"/>
    <w:rsid w:val="00013515"/>
    <w:rsid w:val="000139AC"/>
    <w:rsid w:val="00023DBE"/>
    <w:rsid w:val="000459D0"/>
    <w:rsid w:val="000629E6"/>
    <w:rsid w:val="000656FD"/>
    <w:rsid w:val="00066936"/>
    <w:rsid w:val="0008493B"/>
    <w:rsid w:val="000863C0"/>
    <w:rsid w:val="000948E1"/>
    <w:rsid w:val="000A7C01"/>
    <w:rsid w:val="000C484C"/>
    <w:rsid w:val="000D37AD"/>
    <w:rsid w:val="000E7431"/>
    <w:rsid w:val="000F025F"/>
    <w:rsid w:val="000F2E12"/>
    <w:rsid w:val="00100DA1"/>
    <w:rsid w:val="00112393"/>
    <w:rsid w:val="00114ADA"/>
    <w:rsid w:val="00120BFC"/>
    <w:rsid w:val="00133D40"/>
    <w:rsid w:val="00142551"/>
    <w:rsid w:val="00152E66"/>
    <w:rsid w:val="0016253A"/>
    <w:rsid w:val="00174202"/>
    <w:rsid w:val="0019230D"/>
    <w:rsid w:val="001952DA"/>
    <w:rsid w:val="001A2652"/>
    <w:rsid w:val="001A53C8"/>
    <w:rsid w:val="001B577F"/>
    <w:rsid w:val="001B727B"/>
    <w:rsid w:val="001C16D0"/>
    <w:rsid w:val="001D276C"/>
    <w:rsid w:val="001D42EC"/>
    <w:rsid w:val="001E0E69"/>
    <w:rsid w:val="001E314A"/>
    <w:rsid w:val="001F2446"/>
    <w:rsid w:val="001F7203"/>
    <w:rsid w:val="00200D16"/>
    <w:rsid w:val="00210FC1"/>
    <w:rsid w:val="002206E7"/>
    <w:rsid w:val="00233CFA"/>
    <w:rsid w:val="0025422F"/>
    <w:rsid w:val="0026277A"/>
    <w:rsid w:val="0026643F"/>
    <w:rsid w:val="002808A0"/>
    <w:rsid w:val="00286D1A"/>
    <w:rsid w:val="002B0EEC"/>
    <w:rsid w:val="002C3960"/>
    <w:rsid w:val="002E377E"/>
    <w:rsid w:val="002E4281"/>
    <w:rsid w:val="003069C7"/>
    <w:rsid w:val="00310F55"/>
    <w:rsid w:val="00322146"/>
    <w:rsid w:val="003343EF"/>
    <w:rsid w:val="00360684"/>
    <w:rsid w:val="00373B4D"/>
    <w:rsid w:val="003817AB"/>
    <w:rsid w:val="00384F55"/>
    <w:rsid w:val="00385738"/>
    <w:rsid w:val="00385963"/>
    <w:rsid w:val="00395363"/>
    <w:rsid w:val="003A118E"/>
    <w:rsid w:val="003B3F10"/>
    <w:rsid w:val="003B78E8"/>
    <w:rsid w:val="003C0C11"/>
    <w:rsid w:val="003D0CDD"/>
    <w:rsid w:val="003D6283"/>
    <w:rsid w:val="003E3E1A"/>
    <w:rsid w:val="003F1813"/>
    <w:rsid w:val="00404039"/>
    <w:rsid w:val="004140A4"/>
    <w:rsid w:val="00417959"/>
    <w:rsid w:val="004231C0"/>
    <w:rsid w:val="00425E4A"/>
    <w:rsid w:val="004342B5"/>
    <w:rsid w:val="004450B1"/>
    <w:rsid w:val="0045269D"/>
    <w:rsid w:val="004577BD"/>
    <w:rsid w:val="00463076"/>
    <w:rsid w:val="00464D66"/>
    <w:rsid w:val="004703C3"/>
    <w:rsid w:val="00484ADC"/>
    <w:rsid w:val="004A0281"/>
    <w:rsid w:val="004A0DE0"/>
    <w:rsid w:val="004D5E63"/>
    <w:rsid w:val="004E021A"/>
    <w:rsid w:val="004E596D"/>
    <w:rsid w:val="004F5D02"/>
    <w:rsid w:val="005136CD"/>
    <w:rsid w:val="00516884"/>
    <w:rsid w:val="005417AE"/>
    <w:rsid w:val="00566772"/>
    <w:rsid w:val="00566BFA"/>
    <w:rsid w:val="0057144D"/>
    <w:rsid w:val="00595425"/>
    <w:rsid w:val="005A1DB6"/>
    <w:rsid w:val="005A7B18"/>
    <w:rsid w:val="005B4586"/>
    <w:rsid w:val="005E27AF"/>
    <w:rsid w:val="005F1085"/>
    <w:rsid w:val="005F17D9"/>
    <w:rsid w:val="005F5AA5"/>
    <w:rsid w:val="0060273B"/>
    <w:rsid w:val="00605300"/>
    <w:rsid w:val="006166BF"/>
    <w:rsid w:val="00627431"/>
    <w:rsid w:val="00634937"/>
    <w:rsid w:val="006425C9"/>
    <w:rsid w:val="0064733B"/>
    <w:rsid w:val="00652F7B"/>
    <w:rsid w:val="00657B41"/>
    <w:rsid w:val="0066246C"/>
    <w:rsid w:val="00665ABA"/>
    <w:rsid w:val="006A5029"/>
    <w:rsid w:val="006E2239"/>
    <w:rsid w:val="006E5BD9"/>
    <w:rsid w:val="006F7F6C"/>
    <w:rsid w:val="00727157"/>
    <w:rsid w:val="0072732A"/>
    <w:rsid w:val="00734E1A"/>
    <w:rsid w:val="00736015"/>
    <w:rsid w:val="00751534"/>
    <w:rsid w:val="0075155F"/>
    <w:rsid w:val="007800BF"/>
    <w:rsid w:val="00786497"/>
    <w:rsid w:val="007876DA"/>
    <w:rsid w:val="00787889"/>
    <w:rsid w:val="00790F96"/>
    <w:rsid w:val="007B626F"/>
    <w:rsid w:val="007D076A"/>
    <w:rsid w:val="007E1911"/>
    <w:rsid w:val="007F73ED"/>
    <w:rsid w:val="00811168"/>
    <w:rsid w:val="00821B52"/>
    <w:rsid w:val="00821E50"/>
    <w:rsid w:val="008258B0"/>
    <w:rsid w:val="00840361"/>
    <w:rsid w:val="00842CF6"/>
    <w:rsid w:val="00853BEA"/>
    <w:rsid w:val="0087091F"/>
    <w:rsid w:val="0087522C"/>
    <w:rsid w:val="00880405"/>
    <w:rsid w:val="008B6DD1"/>
    <w:rsid w:val="008D23D8"/>
    <w:rsid w:val="008D2560"/>
    <w:rsid w:val="008E03AC"/>
    <w:rsid w:val="008E08CA"/>
    <w:rsid w:val="008F2F86"/>
    <w:rsid w:val="008F3ACD"/>
    <w:rsid w:val="008F5292"/>
    <w:rsid w:val="009031C2"/>
    <w:rsid w:val="00905544"/>
    <w:rsid w:val="00906855"/>
    <w:rsid w:val="009140A5"/>
    <w:rsid w:val="00931CB0"/>
    <w:rsid w:val="00936295"/>
    <w:rsid w:val="00946975"/>
    <w:rsid w:val="009617A6"/>
    <w:rsid w:val="00971715"/>
    <w:rsid w:val="00995569"/>
    <w:rsid w:val="009C03C9"/>
    <w:rsid w:val="009D32E5"/>
    <w:rsid w:val="009F6F1F"/>
    <w:rsid w:val="009F7237"/>
    <w:rsid w:val="00A11CC7"/>
    <w:rsid w:val="00A210F9"/>
    <w:rsid w:val="00A32098"/>
    <w:rsid w:val="00A426E5"/>
    <w:rsid w:val="00A42D07"/>
    <w:rsid w:val="00A52322"/>
    <w:rsid w:val="00A55E20"/>
    <w:rsid w:val="00A67F5F"/>
    <w:rsid w:val="00A820D0"/>
    <w:rsid w:val="00A86AA7"/>
    <w:rsid w:val="00A870C4"/>
    <w:rsid w:val="00A97263"/>
    <w:rsid w:val="00AA44E6"/>
    <w:rsid w:val="00AB3756"/>
    <w:rsid w:val="00AB39CD"/>
    <w:rsid w:val="00AC6F9A"/>
    <w:rsid w:val="00AD2043"/>
    <w:rsid w:val="00AD4710"/>
    <w:rsid w:val="00AE1607"/>
    <w:rsid w:val="00B32710"/>
    <w:rsid w:val="00B4415A"/>
    <w:rsid w:val="00B63FB3"/>
    <w:rsid w:val="00B74F11"/>
    <w:rsid w:val="00B82F9E"/>
    <w:rsid w:val="00B9761D"/>
    <w:rsid w:val="00BA1CC6"/>
    <w:rsid w:val="00BB1CA9"/>
    <w:rsid w:val="00BB46BF"/>
    <w:rsid w:val="00BB60D5"/>
    <w:rsid w:val="00BB68B2"/>
    <w:rsid w:val="00BB6FF8"/>
    <w:rsid w:val="00BC0BF4"/>
    <w:rsid w:val="00BD6F12"/>
    <w:rsid w:val="00BF238D"/>
    <w:rsid w:val="00BF5D3D"/>
    <w:rsid w:val="00C3348B"/>
    <w:rsid w:val="00C4616D"/>
    <w:rsid w:val="00C55EA7"/>
    <w:rsid w:val="00C61FAE"/>
    <w:rsid w:val="00C92697"/>
    <w:rsid w:val="00CA4603"/>
    <w:rsid w:val="00CB77AF"/>
    <w:rsid w:val="00CC3B0D"/>
    <w:rsid w:val="00CD5643"/>
    <w:rsid w:val="00CD61BA"/>
    <w:rsid w:val="00CE6FA6"/>
    <w:rsid w:val="00CE7B51"/>
    <w:rsid w:val="00CF61EC"/>
    <w:rsid w:val="00D0089D"/>
    <w:rsid w:val="00D11882"/>
    <w:rsid w:val="00D3254C"/>
    <w:rsid w:val="00D36A26"/>
    <w:rsid w:val="00D37250"/>
    <w:rsid w:val="00D50E29"/>
    <w:rsid w:val="00D5139F"/>
    <w:rsid w:val="00D61F6D"/>
    <w:rsid w:val="00D67696"/>
    <w:rsid w:val="00D7416D"/>
    <w:rsid w:val="00D76AB5"/>
    <w:rsid w:val="00D87030"/>
    <w:rsid w:val="00D87C29"/>
    <w:rsid w:val="00D91E51"/>
    <w:rsid w:val="00D970E7"/>
    <w:rsid w:val="00DA57AE"/>
    <w:rsid w:val="00DB3685"/>
    <w:rsid w:val="00DF6C75"/>
    <w:rsid w:val="00E07D86"/>
    <w:rsid w:val="00E11E3D"/>
    <w:rsid w:val="00E22F5A"/>
    <w:rsid w:val="00E32EC8"/>
    <w:rsid w:val="00E36B26"/>
    <w:rsid w:val="00E51558"/>
    <w:rsid w:val="00E554E7"/>
    <w:rsid w:val="00E67488"/>
    <w:rsid w:val="00E77B2C"/>
    <w:rsid w:val="00E974D1"/>
    <w:rsid w:val="00EB35FA"/>
    <w:rsid w:val="00EB77A4"/>
    <w:rsid w:val="00ED5189"/>
    <w:rsid w:val="00EE7483"/>
    <w:rsid w:val="00EF106B"/>
    <w:rsid w:val="00EF17B3"/>
    <w:rsid w:val="00EF64AE"/>
    <w:rsid w:val="00F06C9F"/>
    <w:rsid w:val="00F070C4"/>
    <w:rsid w:val="00F318A1"/>
    <w:rsid w:val="00F4677B"/>
    <w:rsid w:val="00F5372C"/>
    <w:rsid w:val="00F56D9A"/>
    <w:rsid w:val="00F62A56"/>
    <w:rsid w:val="00F62A7F"/>
    <w:rsid w:val="00F6523E"/>
    <w:rsid w:val="00F93313"/>
    <w:rsid w:val="00FB2924"/>
    <w:rsid w:val="00FB2970"/>
    <w:rsid w:val="00FC756F"/>
    <w:rsid w:val="00FE02B9"/>
    <w:rsid w:val="00FF09BB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150C"/>
  <w15:docId w15:val="{1A40D54C-7758-4FEA-9070-737262A8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FA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652"/>
    <w:pPr>
      <w:spacing w:after="0" w:line="240" w:lineRule="auto"/>
    </w:pPr>
    <w:rPr>
      <w:lang w:val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A26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49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8493B"/>
    <w:rPr>
      <w:color w:val="0000FF"/>
      <w:u w:val="single"/>
    </w:rPr>
  </w:style>
  <w:style w:type="paragraph" w:customStyle="1" w:styleId="rg">
    <w:name w:val="rg"/>
    <w:basedOn w:val="Normal"/>
    <w:rsid w:val="00D6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n">
    <w:name w:val="cn"/>
    <w:basedOn w:val="Normal"/>
    <w:rsid w:val="00D6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d">
    <w:name w:val="md"/>
    <w:basedOn w:val="Normal"/>
    <w:rsid w:val="00D6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b">
    <w:name w:val="cb"/>
    <w:basedOn w:val="Normal"/>
    <w:rsid w:val="00D6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F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FA5D-E4EA-4DCC-9FC7-5D585E31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4014</TotalTime>
  <Pages>1</Pages>
  <Words>1753</Words>
  <Characters>9995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dimitriuel</dc:creator>
  <cp:lastModifiedBy>Irina Bors</cp:lastModifiedBy>
  <cp:revision>91</cp:revision>
  <cp:lastPrinted>2018-03-21T15:03:00Z</cp:lastPrinted>
  <dcterms:created xsi:type="dcterms:W3CDTF">2017-03-03T16:12:00Z</dcterms:created>
  <dcterms:modified xsi:type="dcterms:W3CDTF">2018-03-21T17:52:00Z</dcterms:modified>
</cp:coreProperties>
</file>