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B05" w:rsidRPr="00763840" w:rsidRDefault="000D226B" w:rsidP="00E836FE">
      <w:pPr>
        <w:ind w:firstLine="709"/>
        <w:jc w:val="right"/>
        <w:outlineLvl w:val="0"/>
        <w:rPr>
          <w:sz w:val="28"/>
          <w:szCs w:val="28"/>
          <w:lang w:val="ro-RO"/>
        </w:rPr>
      </w:pPr>
      <w:r w:rsidRPr="00763840">
        <w:rPr>
          <w:sz w:val="28"/>
          <w:szCs w:val="28"/>
          <w:lang w:val="ro-RO"/>
        </w:rPr>
        <w:t xml:space="preserve">  </w:t>
      </w:r>
      <w:r w:rsidR="00C63B05" w:rsidRPr="00763840">
        <w:rPr>
          <w:sz w:val="28"/>
          <w:szCs w:val="28"/>
          <w:lang w:val="ro-RO"/>
        </w:rPr>
        <w:t>Proiect</w:t>
      </w:r>
      <w:r w:rsidR="007B5276">
        <w:rPr>
          <w:sz w:val="28"/>
          <w:szCs w:val="28"/>
          <w:lang w:val="ro-RO"/>
        </w:rPr>
        <w:t xml:space="preserve"> UE</w:t>
      </w:r>
    </w:p>
    <w:p w:rsidR="00C63B05" w:rsidRPr="00763840" w:rsidRDefault="00C63B05" w:rsidP="00E836FE">
      <w:pPr>
        <w:ind w:firstLine="709"/>
        <w:jc w:val="center"/>
        <w:rPr>
          <w:sz w:val="28"/>
          <w:szCs w:val="28"/>
          <w:lang w:val="ro-RO"/>
        </w:rPr>
      </w:pPr>
    </w:p>
    <w:p w:rsidR="00C63B05" w:rsidRPr="00763840" w:rsidRDefault="00C63B05" w:rsidP="00E836FE">
      <w:pPr>
        <w:ind w:firstLine="709"/>
        <w:jc w:val="center"/>
        <w:outlineLvl w:val="0"/>
        <w:rPr>
          <w:b/>
          <w:sz w:val="28"/>
          <w:szCs w:val="28"/>
          <w:lang w:val="ro-RO"/>
        </w:rPr>
      </w:pPr>
      <w:r w:rsidRPr="00763840">
        <w:rPr>
          <w:b/>
          <w:sz w:val="28"/>
          <w:szCs w:val="28"/>
          <w:lang w:val="ro-RO"/>
        </w:rPr>
        <w:t>PARLAMENTUL REPUBLICII MOLDOVA</w:t>
      </w:r>
    </w:p>
    <w:p w:rsidR="00C63B05" w:rsidRPr="00763840" w:rsidRDefault="00C63B05" w:rsidP="00E836FE">
      <w:pPr>
        <w:ind w:firstLine="709"/>
        <w:jc w:val="center"/>
        <w:rPr>
          <w:sz w:val="28"/>
          <w:szCs w:val="28"/>
          <w:lang w:val="ro-RO"/>
        </w:rPr>
      </w:pPr>
    </w:p>
    <w:p w:rsidR="00C63B05" w:rsidRPr="00763840" w:rsidRDefault="00C63B05" w:rsidP="00E836FE">
      <w:pPr>
        <w:ind w:firstLine="709"/>
        <w:jc w:val="center"/>
        <w:outlineLvl w:val="0"/>
        <w:rPr>
          <w:b/>
          <w:bCs/>
          <w:sz w:val="28"/>
          <w:szCs w:val="28"/>
          <w:lang w:val="ro-RO"/>
        </w:rPr>
      </w:pPr>
      <w:r w:rsidRPr="00763840">
        <w:rPr>
          <w:b/>
          <w:bCs/>
          <w:sz w:val="28"/>
          <w:szCs w:val="28"/>
          <w:lang w:val="ro-RO"/>
        </w:rPr>
        <w:t>L E G E</w:t>
      </w:r>
    </w:p>
    <w:p w:rsidR="00C63B05" w:rsidRPr="00763840" w:rsidRDefault="00C63B05" w:rsidP="00E836FE">
      <w:pPr>
        <w:ind w:firstLine="709"/>
        <w:jc w:val="center"/>
        <w:outlineLvl w:val="0"/>
        <w:rPr>
          <w:b/>
          <w:bCs/>
          <w:sz w:val="28"/>
          <w:szCs w:val="28"/>
          <w:lang w:val="ro-RO"/>
        </w:rPr>
      </w:pPr>
      <w:r w:rsidRPr="00763840">
        <w:rPr>
          <w:b/>
          <w:bCs/>
          <w:sz w:val="28"/>
          <w:szCs w:val="28"/>
          <w:lang w:val="ro-RO"/>
        </w:rPr>
        <w:t xml:space="preserve">pentru modificarea </w:t>
      </w:r>
      <w:r w:rsidR="00B7783B" w:rsidRPr="00763840">
        <w:rPr>
          <w:b/>
          <w:bCs/>
          <w:sz w:val="28"/>
          <w:szCs w:val="28"/>
          <w:lang w:val="ro-RO"/>
        </w:rPr>
        <w:t>unor acte legislative</w:t>
      </w:r>
    </w:p>
    <w:p w:rsidR="00C63B05" w:rsidRPr="00763840" w:rsidRDefault="00C63B05" w:rsidP="00E836FE">
      <w:pPr>
        <w:ind w:firstLine="709"/>
        <w:rPr>
          <w:sz w:val="28"/>
          <w:szCs w:val="28"/>
          <w:lang w:val="ro-RO"/>
        </w:rPr>
      </w:pPr>
    </w:p>
    <w:p w:rsidR="00C63B05" w:rsidRPr="00763840" w:rsidRDefault="00C63B05" w:rsidP="00E836FE">
      <w:pPr>
        <w:ind w:firstLine="0"/>
        <w:outlineLvl w:val="0"/>
        <w:rPr>
          <w:sz w:val="28"/>
          <w:szCs w:val="28"/>
          <w:lang w:val="ro-RO"/>
        </w:rPr>
      </w:pPr>
      <w:r w:rsidRPr="00763840">
        <w:rPr>
          <w:sz w:val="28"/>
          <w:szCs w:val="28"/>
          <w:lang w:val="ro-RO"/>
        </w:rPr>
        <w:t>Parlamentul adoptă prezenta lege organică.</w:t>
      </w:r>
    </w:p>
    <w:p w:rsidR="0000763B" w:rsidRPr="00763840" w:rsidRDefault="0000763B" w:rsidP="00E836FE">
      <w:pPr>
        <w:ind w:firstLine="0"/>
        <w:rPr>
          <w:sz w:val="28"/>
          <w:szCs w:val="28"/>
          <w:lang w:val="ro-RO"/>
        </w:rPr>
      </w:pPr>
    </w:p>
    <w:p w:rsidR="0002046E" w:rsidRPr="009E588A" w:rsidRDefault="009E588A" w:rsidP="009E588A">
      <w:pPr>
        <w:rPr>
          <w:b/>
          <w:sz w:val="28"/>
          <w:szCs w:val="28"/>
          <w:lang w:val="ro-RO"/>
        </w:rPr>
      </w:pPr>
      <w:r>
        <w:rPr>
          <w:b/>
          <w:sz w:val="28"/>
          <w:szCs w:val="28"/>
          <w:lang w:val="ro-RO"/>
        </w:rPr>
        <w:t>Art.</w:t>
      </w:r>
      <w:r w:rsidR="0002046E" w:rsidRPr="009E588A">
        <w:rPr>
          <w:b/>
          <w:sz w:val="28"/>
          <w:szCs w:val="28"/>
          <w:lang w:val="ro-RO"/>
        </w:rPr>
        <w:t xml:space="preserve"> I. </w:t>
      </w:r>
      <w:r w:rsidR="00B7783B" w:rsidRPr="009E588A">
        <w:rPr>
          <w:b/>
          <w:sz w:val="28"/>
          <w:szCs w:val="28"/>
          <w:lang w:val="ro-RO"/>
        </w:rPr>
        <w:t xml:space="preserve">Articolul 8 litera c) din </w:t>
      </w:r>
      <w:r w:rsidR="0002046E" w:rsidRPr="009E588A">
        <w:rPr>
          <w:b/>
          <w:sz w:val="28"/>
          <w:szCs w:val="28"/>
          <w:lang w:val="ro-RO"/>
        </w:rPr>
        <w:t>Legea</w:t>
      </w:r>
      <w:r w:rsidR="0002046E" w:rsidRPr="009E588A">
        <w:rPr>
          <w:b/>
          <w:sz w:val="28"/>
          <w:szCs w:val="28"/>
        </w:rPr>
        <w:t xml:space="preserve"> nr.192/1998 </w:t>
      </w:r>
      <w:r w:rsidR="0002046E" w:rsidRPr="009E588A">
        <w:rPr>
          <w:b/>
          <w:sz w:val="28"/>
          <w:szCs w:val="28"/>
          <w:lang w:val="ro-RO"/>
        </w:rPr>
        <w:t>privind Comisia Naţională a Pieţei Financiare (republicată în Monitorul Oficial al Republicii Moldova, 2007, nr.117–126BIS), cu modificările ulterioare, se modifică după cum urmează:</w:t>
      </w:r>
    </w:p>
    <w:p w:rsidR="0002046E" w:rsidRPr="00763840" w:rsidRDefault="00B7783B" w:rsidP="009E588A">
      <w:pPr>
        <w:rPr>
          <w:sz w:val="28"/>
          <w:szCs w:val="28"/>
          <w:lang w:val="ro-RO"/>
        </w:rPr>
      </w:pPr>
      <w:r w:rsidRPr="00763840">
        <w:rPr>
          <w:sz w:val="28"/>
          <w:szCs w:val="28"/>
          <w:lang w:val="ro-RO"/>
        </w:rPr>
        <w:t>cuvintele „precum și” se exclud;</w:t>
      </w:r>
    </w:p>
    <w:p w:rsidR="00B7783B" w:rsidRPr="00763840" w:rsidRDefault="00B7783B" w:rsidP="009E588A">
      <w:pPr>
        <w:rPr>
          <w:sz w:val="28"/>
          <w:szCs w:val="28"/>
          <w:lang w:val="ro-RO"/>
        </w:rPr>
      </w:pPr>
      <w:r w:rsidRPr="00763840">
        <w:rPr>
          <w:sz w:val="28"/>
          <w:szCs w:val="28"/>
          <w:lang w:val="ro-RO"/>
        </w:rPr>
        <w:t xml:space="preserve">după cuvintele „acordă autorizaţii de reorganizare a acestora” se completează cu textul „înregistrează </w:t>
      </w:r>
      <w:r w:rsidR="002A362C">
        <w:rPr>
          <w:sz w:val="28"/>
          <w:szCs w:val="28"/>
          <w:lang w:val="ro-RO"/>
        </w:rPr>
        <w:t xml:space="preserve">și supraveghează </w:t>
      </w:r>
      <w:r w:rsidRPr="00763840">
        <w:rPr>
          <w:sz w:val="28"/>
          <w:szCs w:val="28"/>
          <w:lang w:val="ro-RO"/>
        </w:rPr>
        <w:t>agențiil</w:t>
      </w:r>
      <w:r w:rsidR="00DB2A22" w:rsidRPr="00763840">
        <w:rPr>
          <w:sz w:val="28"/>
          <w:szCs w:val="28"/>
          <w:lang w:val="ro-RO"/>
        </w:rPr>
        <w:t>e</w:t>
      </w:r>
      <w:r w:rsidRPr="00763840">
        <w:rPr>
          <w:sz w:val="28"/>
          <w:szCs w:val="28"/>
          <w:lang w:val="ro-RO"/>
        </w:rPr>
        <w:t xml:space="preserve"> de rating de credit a căror ratinguri de credit sunt utilizate în contextul legislației privind piața financiară nebancară,”.</w:t>
      </w:r>
    </w:p>
    <w:p w:rsidR="00E442BF" w:rsidRPr="00763840" w:rsidRDefault="00E442BF" w:rsidP="00E836FE">
      <w:pPr>
        <w:ind w:firstLine="0"/>
        <w:rPr>
          <w:b/>
          <w:sz w:val="28"/>
          <w:szCs w:val="28"/>
          <w:lang w:val="ro-RO"/>
        </w:rPr>
      </w:pPr>
    </w:p>
    <w:p w:rsidR="002242B3" w:rsidRPr="009E588A" w:rsidRDefault="009E588A" w:rsidP="009E588A">
      <w:pPr>
        <w:rPr>
          <w:b/>
          <w:sz w:val="28"/>
          <w:szCs w:val="28"/>
          <w:lang w:val="ro-RO"/>
        </w:rPr>
      </w:pPr>
      <w:r>
        <w:rPr>
          <w:b/>
          <w:sz w:val="28"/>
          <w:szCs w:val="28"/>
          <w:lang w:val="ro-RO"/>
        </w:rPr>
        <w:t>Art.</w:t>
      </w:r>
      <w:r w:rsidR="0021700D" w:rsidRPr="00763840">
        <w:rPr>
          <w:b/>
          <w:sz w:val="28"/>
          <w:szCs w:val="28"/>
          <w:lang w:val="ro-RO"/>
        </w:rPr>
        <w:t xml:space="preserve"> </w:t>
      </w:r>
      <w:r w:rsidR="0002046E" w:rsidRPr="00763840">
        <w:rPr>
          <w:b/>
          <w:sz w:val="28"/>
          <w:szCs w:val="28"/>
          <w:lang w:val="ro-RO"/>
        </w:rPr>
        <w:t>II</w:t>
      </w:r>
      <w:r w:rsidR="0021700D" w:rsidRPr="00763840">
        <w:rPr>
          <w:b/>
          <w:sz w:val="28"/>
          <w:szCs w:val="28"/>
          <w:lang w:val="ro-RO"/>
        </w:rPr>
        <w:t>.</w:t>
      </w:r>
      <w:r w:rsidR="0021700D" w:rsidRPr="00763840">
        <w:rPr>
          <w:sz w:val="28"/>
          <w:szCs w:val="28"/>
          <w:lang w:val="ro-RO"/>
        </w:rPr>
        <w:t xml:space="preserve"> – </w:t>
      </w:r>
      <w:r w:rsidR="0021700D" w:rsidRPr="009E588A">
        <w:rPr>
          <w:b/>
          <w:sz w:val="28"/>
          <w:szCs w:val="28"/>
          <w:lang w:val="ro-RO"/>
        </w:rPr>
        <w:t>Legea nr.171/</w:t>
      </w:r>
      <w:r w:rsidR="00C63B05" w:rsidRPr="009E588A">
        <w:rPr>
          <w:b/>
          <w:sz w:val="28"/>
          <w:szCs w:val="28"/>
          <w:lang w:val="ro-RO"/>
        </w:rPr>
        <w:t>2012 privind piața de capital (Monitorul Oficial al Republicii Moldova, 2012, nr.193</w:t>
      </w:r>
      <w:r w:rsidR="00312741" w:rsidRPr="009E588A">
        <w:rPr>
          <w:b/>
          <w:sz w:val="28"/>
          <w:szCs w:val="28"/>
          <w:lang w:val="ro-RO"/>
        </w:rPr>
        <w:t>-</w:t>
      </w:r>
      <w:r w:rsidR="0002046E" w:rsidRPr="009E588A">
        <w:rPr>
          <w:b/>
          <w:sz w:val="28"/>
          <w:szCs w:val="28"/>
          <w:lang w:val="ro-RO"/>
        </w:rPr>
        <w:t>197, art.665), cu modificările</w:t>
      </w:r>
      <w:r w:rsidR="00312741" w:rsidRPr="009E588A">
        <w:rPr>
          <w:b/>
          <w:sz w:val="28"/>
          <w:szCs w:val="28"/>
          <w:lang w:val="ro-RO"/>
        </w:rPr>
        <w:t xml:space="preserve"> </w:t>
      </w:r>
      <w:r w:rsidR="00C63B05" w:rsidRPr="009E588A">
        <w:rPr>
          <w:b/>
          <w:sz w:val="28"/>
          <w:szCs w:val="28"/>
          <w:lang w:val="ro-RO"/>
        </w:rPr>
        <w:t>ulterioare, se modifică după cum urmează:</w:t>
      </w:r>
    </w:p>
    <w:p w:rsidR="009E588A" w:rsidRPr="00763840" w:rsidRDefault="009E588A" w:rsidP="009E588A">
      <w:pPr>
        <w:rPr>
          <w:sz w:val="28"/>
          <w:szCs w:val="28"/>
          <w:lang w:val="ro-RO"/>
        </w:rPr>
      </w:pPr>
    </w:p>
    <w:p w:rsidR="00E320B8" w:rsidRPr="00763840" w:rsidRDefault="00C1343E" w:rsidP="009E588A">
      <w:pPr>
        <w:pStyle w:val="al"/>
        <w:numPr>
          <w:ilvl w:val="0"/>
          <w:numId w:val="31"/>
        </w:numPr>
        <w:shd w:val="clear" w:color="auto" w:fill="FFFFFF"/>
        <w:tabs>
          <w:tab w:val="left" w:pos="284"/>
          <w:tab w:val="left" w:pos="993"/>
        </w:tabs>
        <w:spacing w:before="0" w:beforeAutospacing="0" w:after="0" w:afterAutospacing="0"/>
        <w:ind w:left="0" w:firstLine="709"/>
        <w:jc w:val="both"/>
        <w:rPr>
          <w:sz w:val="28"/>
          <w:szCs w:val="28"/>
        </w:rPr>
      </w:pPr>
      <w:r w:rsidRPr="00763840">
        <w:rPr>
          <w:sz w:val="28"/>
          <w:szCs w:val="28"/>
          <w:lang w:val="ro-RO"/>
        </w:rPr>
        <w:t>La articolul 6</w:t>
      </w:r>
      <w:r w:rsidR="00153505" w:rsidRPr="00763840">
        <w:rPr>
          <w:sz w:val="28"/>
          <w:szCs w:val="28"/>
          <w:lang w:val="ro-RO"/>
        </w:rPr>
        <w:t>:</w:t>
      </w:r>
    </w:p>
    <w:p w:rsidR="00E320B8" w:rsidRPr="00763840" w:rsidRDefault="00E320B8" w:rsidP="009E588A">
      <w:pPr>
        <w:ind w:firstLine="709"/>
        <w:rPr>
          <w:sz w:val="28"/>
          <w:szCs w:val="28"/>
          <w:lang w:val="ro-RO"/>
        </w:rPr>
      </w:pPr>
      <w:r w:rsidRPr="00763840">
        <w:rPr>
          <w:sz w:val="28"/>
          <w:szCs w:val="28"/>
          <w:lang w:val="ro-RO"/>
        </w:rPr>
        <w:t>după noțiunea „</w:t>
      </w:r>
      <w:r w:rsidRPr="00763840">
        <w:rPr>
          <w:i/>
          <w:sz w:val="28"/>
          <w:szCs w:val="28"/>
          <w:lang w:val="ro-RO"/>
        </w:rPr>
        <w:t>angajament ferm</w:t>
      </w:r>
      <w:r w:rsidRPr="00763840">
        <w:rPr>
          <w:sz w:val="28"/>
          <w:szCs w:val="28"/>
          <w:lang w:val="ro-RO"/>
        </w:rPr>
        <w:t>” se completează cu noțiunile „</w:t>
      </w:r>
      <w:r w:rsidRPr="00763840">
        <w:rPr>
          <w:i/>
          <w:sz w:val="28"/>
          <w:szCs w:val="28"/>
          <w:lang w:val="ro-RO"/>
        </w:rPr>
        <w:t xml:space="preserve">analist de rating” </w:t>
      </w:r>
      <w:r w:rsidRPr="00763840">
        <w:rPr>
          <w:sz w:val="28"/>
          <w:szCs w:val="28"/>
          <w:lang w:val="ro-RO"/>
        </w:rPr>
        <w:t>și „</w:t>
      </w:r>
      <w:r w:rsidRPr="00763840">
        <w:rPr>
          <w:i/>
          <w:sz w:val="28"/>
          <w:szCs w:val="28"/>
          <w:lang w:val="ro-RO"/>
        </w:rPr>
        <w:t>agenție</w:t>
      </w:r>
      <w:r w:rsidRPr="00763840">
        <w:rPr>
          <w:sz w:val="28"/>
          <w:szCs w:val="28"/>
          <w:lang w:val="ro-RO"/>
        </w:rPr>
        <w:t xml:space="preserve"> </w:t>
      </w:r>
      <w:r w:rsidRPr="00763840">
        <w:rPr>
          <w:i/>
          <w:sz w:val="28"/>
          <w:szCs w:val="28"/>
          <w:lang w:val="ro-RO"/>
        </w:rPr>
        <w:t xml:space="preserve">de rating de credit </w:t>
      </w:r>
      <w:r w:rsidRPr="00763840">
        <w:rPr>
          <w:sz w:val="28"/>
          <w:szCs w:val="28"/>
          <w:lang w:val="ro-RO"/>
        </w:rPr>
        <w:t>” cu următorul cuprins:</w:t>
      </w:r>
    </w:p>
    <w:p w:rsidR="00E320B8" w:rsidRPr="00763840" w:rsidRDefault="009E588A" w:rsidP="009E588A">
      <w:pPr>
        <w:pStyle w:val="ListParagraph"/>
        <w:tabs>
          <w:tab w:val="left" w:pos="709"/>
        </w:tabs>
        <w:ind w:left="0" w:firstLine="0"/>
        <w:rPr>
          <w:sz w:val="28"/>
          <w:szCs w:val="28"/>
          <w:lang w:val="ro-RO"/>
        </w:rPr>
      </w:pPr>
      <w:r>
        <w:t>„</w:t>
      </w:r>
      <w:r w:rsidR="00E320B8" w:rsidRPr="00763840">
        <w:rPr>
          <w:i/>
          <w:sz w:val="28"/>
          <w:szCs w:val="28"/>
          <w:lang w:val="ro-RO"/>
        </w:rPr>
        <w:t>analist de rating</w:t>
      </w:r>
      <w:r w:rsidR="00E320B8" w:rsidRPr="00763840">
        <w:rPr>
          <w:sz w:val="28"/>
          <w:szCs w:val="28"/>
          <w:lang w:val="ro-RO"/>
        </w:rPr>
        <w:t xml:space="preserve"> – persoană fizică care execută funcții de analiză necesare pentru acordarea unui rating de credit;</w:t>
      </w:r>
    </w:p>
    <w:p w:rsidR="00E320B8" w:rsidRPr="00763840" w:rsidRDefault="00E320B8" w:rsidP="009E588A">
      <w:pPr>
        <w:pStyle w:val="ListParagraph"/>
        <w:tabs>
          <w:tab w:val="left" w:pos="709"/>
        </w:tabs>
        <w:ind w:left="0" w:firstLine="0"/>
      </w:pPr>
      <w:r w:rsidRPr="00763840">
        <w:rPr>
          <w:i/>
          <w:sz w:val="28"/>
          <w:szCs w:val="28"/>
          <w:lang w:val="ro-RO"/>
        </w:rPr>
        <w:t>agenție</w:t>
      </w:r>
      <w:r w:rsidRPr="00763840">
        <w:rPr>
          <w:sz w:val="28"/>
          <w:szCs w:val="28"/>
          <w:lang w:val="ro-RO"/>
        </w:rPr>
        <w:t xml:space="preserve"> </w:t>
      </w:r>
      <w:r w:rsidRPr="00763840">
        <w:rPr>
          <w:i/>
          <w:sz w:val="28"/>
          <w:szCs w:val="28"/>
          <w:lang w:val="ro-RO"/>
        </w:rPr>
        <w:t xml:space="preserve">de rating de credit </w:t>
      </w:r>
      <w:r w:rsidRPr="00763840">
        <w:rPr>
          <w:sz w:val="28"/>
          <w:szCs w:val="28"/>
          <w:lang w:val="ro-RO"/>
        </w:rPr>
        <w:t>– persoană juridică a cărei activitate include acordarea, cu titlu profesional, de ratinguri de credit, înregistrată în modul stabilit de Comisia Națională;</w:t>
      </w:r>
      <w:r w:rsidRPr="00763840">
        <w:t>”</w:t>
      </w:r>
    </w:p>
    <w:p w:rsidR="00E320B8" w:rsidRPr="00763840" w:rsidRDefault="00E320B8" w:rsidP="009E588A">
      <w:pPr>
        <w:rPr>
          <w:sz w:val="28"/>
          <w:szCs w:val="28"/>
          <w:lang w:val="ro-RO"/>
        </w:rPr>
      </w:pPr>
      <w:r w:rsidRPr="00763840">
        <w:rPr>
          <w:sz w:val="28"/>
          <w:szCs w:val="28"/>
          <w:lang w:val="ro-RO"/>
        </w:rPr>
        <w:t>după noțiunea „</w:t>
      </w:r>
      <w:r w:rsidRPr="00763840">
        <w:rPr>
          <w:i/>
          <w:sz w:val="28"/>
          <w:szCs w:val="28"/>
          <w:lang w:val="ro-RO"/>
        </w:rPr>
        <w:t>investitor calificat</w:t>
      </w:r>
      <w:r w:rsidRPr="00763840">
        <w:rPr>
          <w:sz w:val="28"/>
          <w:szCs w:val="28"/>
          <w:lang w:val="ro-RO"/>
        </w:rPr>
        <w:t>” se completează cu noțiunea „</w:t>
      </w:r>
      <w:r w:rsidRPr="00763840">
        <w:rPr>
          <w:i/>
          <w:sz w:val="28"/>
          <w:szCs w:val="28"/>
          <w:lang w:val="ro-RO"/>
        </w:rPr>
        <w:t>în scopuri de reglementare</w:t>
      </w:r>
      <w:r w:rsidRPr="00763840">
        <w:rPr>
          <w:sz w:val="28"/>
          <w:szCs w:val="28"/>
          <w:lang w:val="ro-RO"/>
        </w:rPr>
        <w:t>” cu următorul cuprins:</w:t>
      </w:r>
    </w:p>
    <w:p w:rsidR="00E320B8" w:rsidRPr="00763840" w:rsidRDefault="00C1343E" w:rsidP="009E588A">
      <w:pPr>
        <w:pStyle w:val="ListParagraph"/>
        <w:ind w:left="0" w:firstLine="0"/>
        <w:rPr>
          <w:sz w:val="28"/>
          <w:szCs w:val="28"/>
          <w:lang w:val="ro-RO"/>
        </w:rPr>
      </w:pPr>
      <w:r w:rsidRPr="00763840">
        <w:rPr>
          <w:i/>
          <w:sz w:val="28"/>
          <w:szCs w:val="28"/>
          <w:lang w:val="ro-RO"/>
        </w:rPr>
        <w:t>„</w:t>
      </w:r>
      <w:r w:rsidR="00E320B8" w:rsidRPr="00763840">
        <w:rPr>
          <w:i/>
          <w:sz w:val="28"/>
          <w:szCs w:val="28"/>
          <w:lang w:val="ro-RO"/>
        </w:rPr>
        <w:t xml:space="preserve">în scopuri de reglementare  </w:t>
      </w:r>
      <w:r w:rsidR="00E320B8" w:rsidRPr="00763840">
        <w:rPr>
          <w:sz w:val="28"/>
          <w:szCs w:val="28"/>
          <w:lang w:val="ro-RO"/>
        </w:rPr>
        <w:t>– utilizarea ratingurilor de credit în scopul specific de respectare a actelor normative;</w:t>
      </w:r>
      <w:r w:rsidRPr="00763840">
        <w:rPr>
          <w:sz w:val="28"/>
          <w:szCs w:val="28"/>
          <w:lang w:val="ro-RO"/>
        </w:rPr>
        <w:t>”</w:t>
      </w:r>
    </w:p>
    <w:p w:rsidR="00E320B8" w:rsidRPr="00763840" w:rsidRDefault="00E320B8" w:rsidP="009E588A">
      <w:pPr>
        <w:rPr>
          <w:sz w:val="28"/>
          <w:szCs w:val="28"/>
          <w:lang w:val="ro-RO"/>
        </w:rPr>
      </w:pPr>
      <w:r w:rsidRPr="00763840">
        <w:rPr>
          <w:sz w:val="28"/>
          <w:szCs w:val="28"/>
          <w:lang w:val="ro-RO"/>
        </w:rPr>
        <w:t>după noțiunea „</w:t>
      </w:r>
      <w:r w:rsidRPr="00763840">
        <w:rPr>
          <w:i/>
          <w:sz w:val="28"/>
          <w:szCs w:val="28"/>
          <w:lang w:val="ro-RO"/>
        </w:rPr>
        <w:t>persoane relevante</w:t>
      </w:r>
      <w:r w:rsidRPr="00763840">
        <w:rPr>
          <w:sz w:val="28"/>
          <w:szCs w:val="28"/>
          <w:lang w:val="ro-RO"/>
        </w:rPr>
        <w:t>” se completează cu noțiunea „</w:t>
      </w:r>
      <w:r w:rsidRPr="00763840">
        <w:rPr>
          <w:i/>
          <w:sz w:val="28"/>
          <w:szCs w:val="28"/>
          <w:lang w:val="ro-RO"/>
        </w:rPr>
        <w:t>perspectivă de rating</w:t>
      </w:r>
      <w:r w:rsidRPr="00763840">
        <w:rPr>
          <w:sz w:val="28"/>
          <w:szCs w:val="28"/>
          <w:lang w:val="ro-RO"/>
        </w:rPr>
        <w:t>” cu următorul cuprins:</w:t>
      </w:r>
    </w:p>
    <w:p w:rsidR="00E320B8" w:rsidRPr="00763840" w:rsidRDefault="00C1343E" w:rsidP="00E320B8">
      <w:pPr>
        <w:pStyle w:val="ListParagraph"/>
        <w:tabs>
          <w:tab w:val="left" w:pos="1134"/>
        </w:tabs>
        <w:ind w:left="0" w:firstLine="0"/>
        <w:rPr>
          <w:sz w:val="28"/>
          <w:szCs w:val="28"/>
          <w:lang w:val="ro-RO"/>
        </w:rPr>
      </w:pPr>
      <w:r w:rsidRPr="00763840">
        <w:rPr>
          <w:i/>
          <w:sz w:val="28"/>
          <w:szCs w:val="28"/>
          <w:lang w:val="ro-RO"/>
        </w:rPr>
        <w:t>„</w:t>
      </w:r>
      <w:r w:rsidR="00E320B8" w:rsidRPr="00763840">
        <w:rPr>
          <w:i/>
          <w:sz w:val="28"/>
          <w:szCs w:val="28"/>
          <w:lang w:val="ro-RO"/>
        </w:rPr>
        <w:t xml:space="preserve">perspectivă de rating  </w:t>
      </w:r>
      <w:r w:rsidR="00E320B8" w:rsidRPr="00763840">
        <w:rPr>
          <w:sz w:val="28"/>
          <w:szCs w:val="28"/>
          <w:lang w:val="ro-RO"/>
        </w:rPr>
        <w:t>– opinie privind direcția probabilă a unui rating de credit pe termen scurt, pe termen mediu sau în ambele cazuri;</w:t>
      </w:r>
      <w:r w:rsidRPr="00763840">
        <w:rPr>
          <w:sz w:val="28"/>
          <w:szCs w:val="28"/>
          <w:lang w:val="ro-RO"/>
        </w:rPr>
        <w:t>”</w:t>
      </w:r>
    </w:p>
    <w:p w:rsidR="00E320B8" w:rsidRPr="00763840" w:rsidRDefault="009E588A" w:rsidP="009E588A">
      <w:pPr>
        <w:pStyle w:val="ListParagraph"/>
        <w:tabs>
          <w:tab w:val="left" w:pos="709"/>
        </w:tabs>
        <w:ind w:left="0" w:firstLine="0"/>
        <w:rPr>
          <w:sz w:val="28"/>
          <w:szCs w:val="28"/>
          <w:lang w:val="ro-RO"/>
        </w:rPr>
      </w:pPr>
      <w:r>
        <w:rPr>
          <w:sz w:val="28"/>
          <w:szCs w:val="28"/>
          <w:lang w:val="ro-RO"/>
        </w:rPr>
        <w:tab/>
      </w:r>
      <w:r w:rsidR="00E320B8" w:rsidRPr="00763840">
        <w:rPr>
          <w:sz w:val="28"/>
          <w:szCs w:val="28"/>
          <w:lang w:val="ro-RO"/>
        </w:rPr>
        <w:t xml:space="preserve">după noțiunea </w:t>
      </w:r>
      <w:r w:rsidR="00E320B8" w:rsidRPr="00763840">
        <w:rPr>
          <w:i/>
          <w:sz w:val="28"/>
          <w:szCs w:val="28"/>
          <w:lang w:val="ro-RO"/>
        </w:rPr>
        <w:t>„proiect de achiziție”</w:t>
      </w:r>
      <w:r w:rsidR="00E320B8" w:rsidRPr="00763840">
        <w:rPr>
          <w:sz w:val="28"/>
          <w:szCs w:val="28"/>
          <w:lang w:val="ro-RO"/>
        </w:rPr>
        <w:t xml:space="preserve"> se completează cu noțiunea „</w:t>
      </w:r>
      <w:r w:rsidR="00E320B8" w:rsidRPr="00763840">
        <w:rPr>
          <w:i/>
          <w:sz w:val="28"/>
          <w:szCs w:val="28"/>
          <w:lang w:val="ro-RO"/>
        </w:rPr>
        <w:t>rating de credit</w:t>
      </w:r>
      <w:r w:rsidR="00E320B8" w:rsidRPr="00763840">
        <w:rPr>
          <w:sz w:val="28"/>
          <w:szCs w:val="28"/>
          <w:lang w:val="ro-RO"/>
        </w:rPr>
        <w:t>” cu următorul cuprins:</w:t>
      </w:r>
    </w:p>
    <w:p w:rsidR="00E320B8" w:rsidRPr="00763840" w:rsidRDefault="00C1343E" w:rsidP="00E320B8">
      <w:pPr>
        <w:pStyle w:val="ListParagraph"/>
        <w:tabs>
          <w:tab w:val="left" w:pos="1134"/>
        </w:tabs>
        <w:ind w:left="0" w:firstLine="0"/>
        <w:rPr>
          <w:sz w:val="28"/>
          <w:szCs w:val="28"/>
          <w:lang w:val="ro-RO"/>
        </w:rPr>
      </w:pPr>
      <w:r w:rsidRPr="00763840">
        <w:rPr>
          <w:i/>
          <w:sz w:val="28"/>
          <w:szCs w:val="28"/>
          <w:lang w:val="ro-RO"/>
        </w:rPr>
        <w:t>„</w:t>
      </w:r>
      <w:r w:rsidR="00E320B8" w:rsidRPr="00763840">
        <w:rPr>
          <w:i/>
          <w:sz w:val="28"/>
          <w:szCs w:val="28"/>
          <w:lang w:val="ro-RO"/>
        </w:rPr>
        <w:t xml:space="preserve">rating de credit </w:t>
      </w:r>
      <w:r w:rsidR="00E320B8" w:rsidRPr="00763840">
        <w:rPr>
          <w:sz w:val="28"/>
          <w:szCs w:val="28"/>
          <w:lang w:val="ro-RO"/>
        </w:rPr>
        <w:t xml:space="preserve">– opinie acordată pe baza unui sistem de clasificare bine stabilit și definit al categoriilor de rating, referitoare la bonitatea unei entități, a unei creanțe sau a unei obligații financiare, a unui titlu de creanță sau a unei acțiuni preferențiale și altor instrumente financiare ori a unui emitent de astfel de creanțe </w:t>
      </w:r>
      <w:r w:rsidR="00E320B8" w:rsidRPr="00763840">
        <w:rPr>
          <w:sz w:val="28"/>
          <w:szCs w:val="28"/>
          <w:lang w:val="ro-RO"/>
        </w:rPr>
        <w:lastRenderedPageBreak/>
        <w:t>sau obligații financiare, titluri de creanță sau acțiuni preferențiale și alte instrumente financiare;</w:t>
      </w:r>
      <w:r w:rsidRPr="00763840">
        <w:rPr>
          <w:sz w:val="28"/>
          <w:szCs w:val="28"/>
          <w:lang w:val="ro-RO"/>
        </w:rPr>
        <w:t>”;</w:t>
      </w:r>
    </w:p>
    <w:p w:rsidR="00361B3F" w:rsidRPr="00763840" w:rsidRDefault="00361B3F" w:rsidP="008B28B3">
      <w:pPr>
        <w:ind w:firstLine="0"/>
        <w:rPr>
          <w:sz w:val="28"/>
          <w:szCs w:val="28"/>
          <w:lang w:val="ro-RO"/>
        </w:rPr>
      </w:pPr>
    </w:p>
    <w:p w:rsidR="007E38DF" w:rsidRPr="00763840" w:rsidRDefault="007E38DF" w:rsidP="009E588A">
      <w:pPr>
        <w:pStyle w:val="ListParagraph"/>
        <w:numPr>
          <w:ilvl w:val="0"/>
          <w:numId w:val="30"/>
        </w:numPr>
        <w:tabs>
          <w:tab w:val="left" w:pos="0"/>
          <w:tab w:val="left" w:pos="567"/>
          <w:tab w:val="left" w:pos="993"/>
        </w:tabs>
        <w:ind w:left="0" w:firstLine="709"/>
        <w:rPr>
          <w:sz w:val="28"/>
          <w:szCs w:val="28"/>
          <w:lang w:val="ro-RO"/>
        </w:rPr>
      </w:pPr>
      <w:r w:rsidRPr="00763840">
        <w:rPr>
          <w:sz w:val="28"/>
          <w:szCs w:val="28"/>
          <w:lang w:val="ro-RO"/>
        </w:rPr>
        <w:t>Capitolul IV se completează cu secțiunea a 7-a cu următorul cuprins:</w:t>
      </w:r>
    </w:p>
    <w:p w:rsidR="00EF7AE8" w:rsidRPr="00763840" w:rsidRDefault="00EF7AE8" w:rsidP="00EF7AE8">
      <w:pPr>
        <w:pStyle w:val="ListParagraph"/>
        <w:tabs>
          <w:tab w:val="left" w:pos="0"/>
          <w:tab w:val="left" w:pos="284"/>
        </w:tabs>
        <w:ind w:left="0" w:firstLine="0"/>
        <w:rPr>
          <w:sz w:val="28"/>
          <w:szCs w:val="28"/>
          <w:lang w:val="ro-RO"/>
        </w:rPr>
      </w:pPr>
    </w:p>
    <w:p w:rsidR="00F16A6F" w:rsidRPr="00763840" w:rsidRDefault="00F16A6F" w:rsidP="00F16A6F">
      <w:pPr>
        <w:rPr>
          <w:rFonts w:eastAsia="Arial Unicode MS"/>
          <w:b/>
          <w:sz w:val="28"/>
          <w:szCs w:val="28"/>
          <w:shd w:val="clear" w:color="auto" w:fill="FFFFFF"/>
          <w:lang w:val="ro-RO"/>
        </w:rPr>
      </w:pPr>
      <w:r w:rsidRPr="00763840">
        <w:rPr>
          <w:sz w:val="28"/>
          <w:szCs w:val="28"/>
          <w:lang w:val="ro-RO"/>
        </w:rPr>
        <w:t xml:space="preserve">                                   „</w:t>
      </w:r>
      <w:r w:rsidRPr="00763840">
        <w:rPr>
          <w:rFonts w:eastAsia="Arial Unicode MS"/>
          <w:b/>
          <w:sz w:val="28"/>
          <w:szCs w:val="28"/>
          <w:shd w:val="clear" w:color="auto" w:fill="FFFFFF"/>
          <w:lang w:val="ro-RO"/>
        </w:rPr>
        <w:t>Secțiunea a 7-a</w:t>
      </w:r>
    </w:p>
    <w:p w:rsidR="00F16A6F" w:rsidRPr="00763840" w:rsidRDefault="00F16A6F" w:rsidP="00F16A6F">
      <w:pPr>
        <w:ind w:firstLine="0"/>
        <w:rPr>
          <w:rFonts w:eastAsia="Arial Unicode MS"/>
          <w:b/>
          <w:sz w:val="28"/>
          <w:szCs w:val="28"/>
          <w:shd w:val="clear" w:color="auto" w:fill="FFFFFF"/>
          <w:lang w:val="ro-RO"/>
        </w:rPr>
      </w:pPr>
      <w:r w:rsidRPr="00763840">
        <w:rPr>
          <w:rFonts w:eastAsia="Arial Unicode MS"/>
          <w:b/>
          <w:sz w:val="28"/>
          <w:szCs w:val="28"/>
          <w:shd w:val="clear" w:color="auto" w:fill="FFFFFF"/>
          <w:lang w:val="ro-RO"/>
        </w:rPr>
        <w:t xml:space="preserve">                                      Agențiile de rating de credit</w:t>
      </w:r>
    </w:p>
    <w:p w:rsidR="00F16A6F" w:rsidRPr="00763840" w:rsidRDefault="00F16A6F" w:rsidP="009E588A">
      <w:pPr>
        <w:rPr>
          <w:rFonts w:eastAsia="Arial Unicode MS"/>
          <w:sz w:val="28"/>
          <w:szCs w:val="28"/>
          <w:shd w:val="clear" w:color="auto" w:fill="FFFFFF"/>
          <w:lang w:val="ro-RO"/>
        </w:rPr>
      </w:pPr>
      <w:r w:rsidRPr="00763840">
        <w:rPr>
          <w:rFonts w:eastAsia="Arial Unicode MS"/>
          <w:b/>
          <w:sz w:val="28"/>
          <w:szCs w:val="28"/>
          <w:shd w:val="clear" w:color="auto" w:fill="FFFFFF"/>
          <w:lang w:val="ro-RO"/>
        </w:rPr>
        <w:t>Articolul 88</w:t>
      </w:r>
      <w:r w:rsidRPr="00763840">
        <w:rPr>
          <w:rFonts w:eastAsia="Arial Unicode MS"/>
          <w:b/>
          <w:sz w:val="28"/>
          <w:szCs w:val="28"/>
          <w:shd w:val="clear" w:color="auto" w:fill="FFFFFF"/>
          <w:vertAlign w:val="superscript"/>
          <w:lang w:val="ro-RO"/>
        </w:rPr>
        <w:t>1</w:t>
      </w:r>
      <w:r w:rsidRPr="00763840">
        <w:rPr>
          <w:rFonts w:eastAsia="Arial Unicode MS"/>
          <w:b/>
          <w:sz w:val="28"/>
          <w:szCs w:val="28"/>
          <w:shd w:val="clear" w:color="auto" w:fill="FFFFFF"/>
          <w:lang w:val="ro-RO"/>
        </w:rPr>
        <w:t xml:space="preserve">. </w:t>
      </w:r>
      <w:r w:rsidRPr="00763840">
        <w:rPr>
          <w:rFonts w:eastAsia="Arial Unicode MS"/>
          <w:sz w:val="28"/>
          <w:szCs w:val="28"/>
          <w:shd w:val="clear" w:color="auto" w:fill="FFFFFF"/>
          <w:lang w:val="ro-RO"/>
        </w:rPr>
        <w:t>Dispoziții generale privind agențiile de rating de credit</w:t>
      </w:r>
    </w:p>
    <w:p w:rsidR="00F16A6F" w:rsidRPr="00763840" w:rsidRDefault="00F16A6F" w:rsidP="009E588A">
      <w:pPr>
        <w:numPr>
          <w:ilvl w:val="0"/>
          <w:numId w:val="44"/>
        </w:numPr>
        <w:tabs>
          <w:tab w:val="left" w:pos="426"/>
          <w:tab w:val="left" w:pos="851"/>
          <w:tab w:val="left" w:pos="1134"/>
        </w:tabs>
        <w:ind w:left="0" w:firstLine="709"/>
        <w:contextualSpacing/>
        <w:rPr>
          <w:rFonts w:eastAsia="Arial Unicode MS"/>
          <w:sz w:val="28"/>
          <w:szCs w:val="28"/>
          <w:shd w:val="clear" w:color="auto" w:fill="FFFFFF"/>
          <w:lang w:val="ro-RO"/>
        </w:rPr>
      </w:pPr>
      <w:r w:rsidRPr="00763840">
        <w:rPr>
          <w:rFonts w:eastAsia="Arial Unicode MS"/>
          <w:sz w:val="28"/>
          <w:szCs w:val="28"/>
          <w:shd w:val="clear" w:color="auto" w:fill="FFFFFF"/>
          <w:lang w:val="ro-RO"/>
        </w:rPr>
        <w:t>Prevederile prezentei secțiuni se aplică ratingurilor de credit acordate de agențiile de rating de credit înregistrate de către Comisia Națională, care sunt fie publicate, fie distribuite în baza unui abonament.</w:t>
      </w:r>
    </w:p>
    <w:p w:rsidR="00F16A6F" w:rsidRPr="00763840" w:rsidRDefault="00F16A6F" w:rsidP="009E588A">
      <w:pPr>
        <w:numPr>
          <w:ilvl w:val="0"/>
          <w:numId w:val="44"/>
        </w:numPr>
        <w:tabs>
          <w:tab w:val="left" w:pos="426"/>
          <w:tab w:val="left" w:pos="1134"/>
        </w:tabs>
        <w:ind w:left="0" w:firstLine="709"/>
        <w:contextualSpacing/>
        <w:rPr>
          <w:rFonts w:eastAsia="Arial Unicode MS"/>
          <w:sz w:val="28"/>
          <w:szCs w:val="28"/>
          <w:shd w:val="clear" w:color="auto" w:fill="FFFFFF"/>
          <w:lang w:val="ro-RO"/>
        </w:rPr>
      </w:pPr>
      <w:r w:rsidRPr="00763840">
        <w:rPr>
          <w:rFonts w:eastAsia="Arial Unicode MS"/>
          <w:sz w:val="28"/>
          <w:szCs w:val="28"/>
          <w:shd w:val="clear" w:color="auto" w:fill="FFFFFF"/>
          <w:lang w:val="ro-RO"/>
        </w:rPr>
        <w:t>Ratingurile de credit care sunt fie publicate, fie distribuite în baza unui abonament, pot fi acordate doar de către agențiile de rating de credit înregistrate de către Comisia Națională sau de către o altă autoritate recunoscută de către Comisia Națională în acest sens.</w:t>
      </w:r>
    </w:p>
    <w:p w:rsidR="00F16A6F" w:rsidRPr="00763840" w:rsidRDefault="00F16A6F" w:rsidP="009E588A">
      <w:pPr>
        <w:numPr>
          <w:ilvl w:val="0"/>
          <w:numId w:val="44"/>
        </w:numPr>
        <w:tabs>
          <w:tab w:val="left" w:pos="426"/>
          <w:tab w:val="left" w:pos="1134"/>
        </w:tabs>
        <w:ind w:left="0" w:firstLine="709"/>
        <w:contextualSpacing/>
        <w:rPr>
          <w:rFonts w:eastAsia="Arial Unicode MS"/>
          <w:sz w:val="28"/>
          <w:szCs w:val="28"/>
          <w:shd w:val="clear" w:color="auto" w:fill="FFFFFF"/>
          <w:lang w:val="ro-RO"/>
        </w:rPr>
      </w:pPr>
      <w:r w:rsidRPr="00763840">
        <w:rPr>
          <w:rFonts w:eastAsia="Arial Unicode MS"/>
          <w:sz w:val="28"/>
          <w:szCs w:val="28"/>
          <w:shd w:val="clear" w:color="auto" w:fill="FFFFFF"/>
          <w:lang w:val="ro-RO"/>
        </w:rPr>
        <w:t>Ratingurile de credit pot fi utilizate în scopuri de reglementare numai dacă acestea sunt acordate de agenții de rating de credit înregistrate de către Comisia Națională sau de către o altă autoritate recunoscută de către Comisia Națională în acest sens.</w:t>
      </w:r>
    </w:p>
    <w:p w:rsidR="00F16A6F" w:rsidRPr="00763840" w:rsidRDefault="00F16A6F" w:rsidP="009E588A">
      <w:pPr>
        <w:numPr>
          <w:ilvl w:val="0"/>
          <w:numId w:val="44"/>
        </w:numPr>
        <w:tabs>
          <w:tab w:val="left" w:pos="426"/>
          <w:tab w:val="left" w:pos="1134"/>
        </w:tabs>
        <w:ind w:left="0" w:firstLine="709"/>
        <w:contextualSpacing/>
        <w:rPr>
          <w:rFonts w:eastAsia="Arial Unicode MS"/>
          <w:sz w:val="28"/>
          <w:szCs w:val="28"/>
          <w:shd w:val="clear" w:color="auto" w:fill="FFFFFF"/>
          <w:lang w:val="ro-RO"/>
        </w:rPr>
      </w:pPr>
      <w:r w:rsidRPr="00763840">
        <w:rPr>
          <w:rFonts w:eastAsia="Arial Unicode MS"/>
          <w:sz w:val="28"/>
          <w:szCs w:val="28"/>
          <w:shd w:val="clear" w:color="auto" w:fill="FFFFFF"/>
          <w:lang w:val="ro-RO"/>
        </w:rPr>
        <w:t>Atunci când un prospect conține o trimitere la unul sau mai multe ratinguri de credit, emitentul, ofertantul sau persoana care solicită admiterea la tranzacționare pe o piață reglementată se asigură că prospectul cuprinde, de asemenea, informații clare și vizibile care precizează dacă ratingurile în cauză sunt emise de o agenție de rating înregistrată de către Comisia Națională sau de către o altă autoritate recunoscută de către Comisia Națională în acest sens.</w:t>
      </w:r>
    </w:p>
    <w:p w:rsidR="00F16A6F" w:rsidRPr="00763840" w:rsidRDefault="00F16A6F" w:rsidP="009E588A">
      <w:pPr>
        <w:tabs>
          <w:tab w:val="left" w:pos="426"/>
          <w:tab w:val="left" w:pos="1134"/>
        </w:tabs>
        <w:ind w:firstLine="709"/>
        <w:contextualSpacing/>
        <w:rPr>
          <w:rFonts w:eastAsia="Arial Unicode MS"/>
          <w:sz w:val="28"/>
          <w:szCs w:val="28"/>
          <w:shd w:val="clear" w:color="auto" w:fill="FFFFFF"/>
          <w:lang w:val="ro-RO"/>
        </w:rPr>
      </w:pPr>
    </w:p>
    <w:p w:rsidR="00F16A6F" w:rsidRPr="00763840" w:rsidRDefault="009E588A" w:rsidP="009E588A">
      <w:pPr>
        <w:tabs>
          <w:tab w:val="left" w:pos="426"/>
          <w:tab w:val="left" w:pos="709"/>
        </w:tabs>
        <w:ind w:firstLine="0"/>
        <w:contextualSpacing/>
        <w:rPr>
          <w:rFonts w:eastAsia="Arial Unicode MS"/>
          <w:sz w:val="28"/>
          <w:szCs w:val="28"/>
          <w:shd w:val="clear" w:color="auto" w:fill="FFFFFF"/>
          <w:lang w:val="ro-RO"/>
        </w:rPr>
      </w:pPr>
      <w:r>
        <w:rPr>
          <w:rFonts w:eastAsia="Arial Unicode MS"/>
          <w:b/>
          <w:sz w:val="28"/>
          <w:szCs w:val="28"/>
          <w:shd w:val="clear" w:color="auto" w:fill="FFFFFF"/>
          <w:lang w:val="ro-RO"/>
        </w:rPr>
        <w:tab/>
      </w:r>
      <w:r>
        <w:rPr>
          <w:rFonts w:eastAsia="Arial Unicode MS"/>
          <w:b/>
          <w:sz w:val="28"/>
          <w:szCs w:val="28"/>
          <w:shd w:val="clear" w:color="auto" w:fill="FFFFFF"/>
          <w:lang w:val="ro-RO"/>
        </w:rPr>
        <w:tab/>
      </w:r>
      <w:r w:rsidR="00F16A6F" w:rsidRPr="00763840">
        <w:rPr>
          <w:rFonts w:eastAsia="Arial Unicode MS"/>
          <w:b/>
          <w:sz w:val="28"/>
          <w:szCs w:val="28"/>
          <w:shd w:val="clear" w:color="auto" w:fill="FFFFFF"/>
          <w:lang w:val="ro-RO"/>
        </w:rPr>
        <w:t>Articolul 88</w:t>
      </w:r>
      <w:r w:rsidR="00F16A6F" w:rsidRPr="00763840">
        <w:rPr>
          <w:rFonts w:eastAsia="Arial Unicode MS"/>
          <w:b/>
          <w:sz w:val="28"/>
          <w:szCs w:val="28"/>
          <w:shd w:val="clear" w:color="auto" w:fill="FFFFFF"/>
          <w:vertAlign w:val="superscript"/>
          <w:lang w:val="ro-RO"/>
        </w:rPr>
        <w:t>2</w:t>
      </w:r>
      <w:r w:rsidR="00F16A6F" w:rsidRPr="00763840">
        <w:rPr>
          <w:rFonts w:eastAsia="Arial Unicode MS"/>
          <w:b/>
          <w:sz w:val="28"/>
          <w:szCs w:val="28"/>
          <w:shd w:val="clear" w:color="auto" w:fill="FFFFFF"/>
          <w:lang w:val="ro-RO"/>
        </w:rPr>
        <w:t xml:space="preserve">. </w:t>
      </w:r>
      <w:r w:rsidR="00F16A6F" w:rsidRPr="00763840">
        <w:rPr>
          <w:rFonts w:eastAsia="Arial Unicode MS"/>
          <w:sz w:val="28"/>
          <w:szCs w:val="28"/>
          <w:shd w:val="clear" w:color="auto" w:fill="FFFFFF"/>
          <w:lang w:val="ro-RO"/>
        </w:rPr>
        <w:t>Înregistrarea și supravegherea agențiilor de rating de credit</w:t>
      </w:r>
    </w:p>
    <w:p w:rsidR="00F16A6F" w:rsidRPr="00763840" w:rsidRDefault="00F16A6F" w:rsidP="009E588A">
      <w:pPr>
        <w:numPr>
          <w:ilvl w:val="0"/>
          <w:numId w:val="45"/>
        </w:numPr>
        <w:tabs>
          <w:tab w:val="left" w:pos="426"/>
          <w:tab w:val="left" w:pos="1134"/>
        </w:tabs>
        <w:ind w:left="0" w:firstLine="709"/>
        <w:contextualSpacing/>
        <w:rPr>
          <w:sz w:val="28"/>
          <w:szCs w:val="28"/>
          <w:lang w:val="ro-RO" w:eastAsia="ru-RU"/>
        </w:rPr>
      </w:pPr>
      <w:r w:rsidRPr="00763840">
        <w:rPr>
          <w:sz w:val="28"/>
          <w:szCs w:val="28"/>
          <w:lang w:val="ro-RO" w:eastAsia="ru-RU"/>
        </w:rPr>
        <w:t xml:space="preserve">Pentru înregistrarea agenției de rating de credit, solicitantul depune în adresa Comisiei </w:t>
      </w:r>
      <w:r w:rsidR="00C23E90" w:rsidRPr="00763840">
        <w:rPr>
          <w:sz w:val="28"/>
          <w:szCs w:val="28"/>
          <w:lang w:val="ro-RO" w:eastAsia="ru-RU"/>
        </w:rPr>
        <w:t>Naţionale o cerere</w:t>
      </w:r>
      <w:r w:rsidRPr="00763840">
        <w:rPr>
          <w:sz w:val="28"/>
          <w:szCs w:val="28"/>
          <w:lang w:val="ro-RO" w:eastAsia="ru-RU"/>
        </w:rPr>
        <w:t>, care va</w:t>
      </w:r>
      <w:r w:rsidR="00C23E90" w:rsidRPr="00763840">
        <w:rPr>
          <w:sz w:val="28"/>
          <w:szCs w:val="28"/>
          <w:lang w:val="ro-RO" w:eastAsia="ru-RU"/>
        </w:rPr>
        <w:t xml:space="preserve"> conține următoarele informații, cu anexarea documentelor corespunzătoare:</w:t>
      </w:r>
    </w:p>
    <w:p w:rsidR="00F16A6F" w:rsidRPr="00763840" w:rsidRDefault="00C23E90" w:rsidP="009E588A">
      <w:pPr>
        <w:numPr>
          <w:ilvl w:val="0"/>
          <w:numId w:val="46"/>
        </w:numPr>
        <w:tabs>
          <w:tab w:val="left" w:pos="426"/>
        </w:tabs>
        <w:ind w:left="0" w:firstLine="426"/>
        <w:contextualSpacing/>
        <w:rPr>
          <w:sz w:val="28"/>
          <w:szCs w:val="28"/>
          <w:lang w:val="ro-RO" w:eastAsia="ru-RU"/>
        </w:rPr>
      </w:pPr>
      <w:r w:rsidRPr="00763840">
        <w:rPr>
          <w:sz w:val="28"/>
          <w:szCs w:val="28"/>
          <w:lang w:val="ro-RO" w:eastAsia="ru-RU"/>
        </w:rPr>
        <w:t>datele de identificare ale agenției de rating (denumirea completă, IDNO, sediul, numele şi prenumele administratorului, telefonul de contact, fax, adresa electronică, pagina web);</w:t>
      </w:r>
    </w:p>
    <w:p w:rsidR="00C23E90" w:rsidRPr="00763840" w:rsidRDefault="00C23E90" w:rsidP="009E588A">
      <w:pPr>
        <w:numPr>
          <w:ilvl w:val="0"/>
          <w:numId w:val="46"/>
        </w:numPr>
        <w:tabs>
          <w:tab w:val="left" w:pos="426"/>
        </w:tabs>
        <w:spacing w:line="276" w:lineRule="auto"/>
        <w:ind w:left="0" w:firstLine="426"/>
        <w:contextualSpacing/>
        <w:rPr>
          <w:sz w:val="28"/>
          <w:szCs w:val="28"/>
          <w:lang w:val="ro-RO" w:eastAsia="ru-RU"/>
        </w:rPr>
      </w:pPr>
      <w:r w:rsidRPr="00763840">
        <w:rPr>
          <w:sz w:val="28"/>
          <w:szCs w:val="28"/>
          <w:lang w:val="ro-RO" w:eastAsia="ru-RU"/>
        </w:rPr>
        <w:t>datele de identificare și de contact</w:t>
      </w:r>
      <w:r w:rsidR="000D338B" w:rsidRPr="00763840">
        <w:rPr>
          <w:sz w:val="28"/>
          <w:szCs w:val="28"/>
          <w:lang w:val="ro-RO" w:eastAsia="ru-RU"/>
        </w:rPr>
        <w:t xml:space="preserve"> (numele, prenumele, domiciliul, IDNP, telefonul de contact)</w:t>
      </w:r>
      <w:r w:rsidRPr="00763840">
        <w:rPr>
          <w:sz w:val="28"/>
          <w:szCs w:val="28"/>
          <w:lang w:val="ro-RO" w:eastAsia="ru-RU"/>
        </w:rPr>
        <w:t xml:space="preserve"> ale responsabilului de verificarea conformității;</w:t>
      </w:r>
    </w:p>
    <w:p w:rsidR="00F16A6F" w:rsidRPr="00763840" w:rsidRDefault="00C23E90" w:rsidP="009E588A">
      <w:pPr>
        <w:numPr>
          <w:ilvl w:val="0"/>
          <w:numId w:val="46"/>
        </w:numPr>
        <w:tabs>
          <w:tab w:val="left" w:pos="426"/>
        </w:tabs>
        <w:ind w:left="0" w:firstLine="426"/>
        <w:contextualSpacing/>
        <w:rPr>
          <w:sz w:val="28"/>
          <w:szCs w:val="28"/>
          <w:lang w:val="ro-RO" w:eastAsia="ru-RU"/>
        </w:rPr>
      </w:pPr>
      <w:r w:rsidRPr="00763840">
        <w:rPr>
          <w:sz w:val="28"/>
          <w:szCs w:val="28"/>
          <w:lang w:val="ro-RO" w:eastAsia="ru-RU"/>
        </w:rPr>
        <w:t>statutul</w:t>
      </w:r>
      <w:r w:rsidR="00F16A6F" w:rsidRPr="00763840">
        <w:rPr>
          <w:sz w:val="28"/>
          <w:szCs w:val="28"/>
          <w:lang w:val="ro-RO" w:eastAsia="ru-RU"/>
        </w:rPr>
        <w:t>;</w:t>
      </w:r>
    </w:p>
    <w:p w:rsidR="00F16A6F" w:rsidRPr="00763840" w:rsidRDefault="00F16A6F" w:rsidP="009E588A">
      <w:pPr>
        <w:numPr>
          <w:ilvl w:val="0"/>
          <w:numId w:val="46"/>
        </w:numPr>
        <w:tabs>
          <w:tab w:val="left" w:pos="426"/>
        </w:tabs>
        <w:ind w:left="0" w:firstLine="426"/>
        <w:contextualSpacing/>
        <w:rPr>
          <w:sz w:val="28"/>
          <w:szCs w:val="28"/>
          <w:lang w:val="ro-RO" w:eastAsia="ru-RU"/>
        </w:rPr>
      </w:pPr>
      <w:r w:rsidRPr="00763840">
        <w:rPr>
          <w:sz w:val="28"/>
          <w:szCs w:val="28"/>
          <w:lang w:val="ro-RO" w:eastAsia="ru-RU"/>
        </w:rPr>
        <w:t>clasa ratingurilor de credit pentru care agenția de rating solicită înregistrarea (ratinguri de entități, de instrumente financiare);</w:t>
      </w:r>
    </w:p>
    <w:p w:rsidR="00C23E90" w:rsidRPr="00763840" w:rsidRDefault="00DB2A22" w:rsidP="009E588A">
      <w:pPr>
        <w:numPr>
          <w:ilvl w:val="0"/>
          <w:numId w:val="46"/>
        </w:numPr>
        <w:tabs>
          <w:tab w:val="left" w:pos="426"/>
        </w:tabs>
        <w:ind w:left="0" w:firstLine="426"/>
        <w:contextualSpacing/>
        <w:rPr>
          <w:sz w:val="28"/>
          <w:szCs w:val="28"/>
          <w:lang w:val="ro-RO" w:eastAsia="ru-RU"/>
        </w:rPr>
      </w:pPr>
      <w:r w:rsidRPr="00763840">
        <w:rPr>
          <w:sz w:val="28"/>
          <w:szCs w:val="28"/>
          <w:lang w:val="ro-RO" w:eastAsia="ru-RU"/>
        </w:rPr>
        <w:t>datele de identificare și de contact (numele, prenumele/denumirea, domiciliul/sediul, IDNP / IDNO)</w:t>
      </w:r>
      <w:r w:rsidR="00C23E90" w:rsidRPr="00763840">
        <w:rPr>
          <w:sz w:val="28"/>
          <w:szCs w:val="28"/>
          <w:lang w:val="ro-RO" w:eastAsia="ru-RU"/>
        </w:rPr>
        <w:t xml:space="preserve"> ale acţionarilor/asociaţilor, precum şi mărimea cotei de participare a acestora la capitalul social al agenției de rating;</w:t>
      </w:r>
    </w:p>
    <w:p w:rsidR="00F16A6F" w:rsidRPr="00763840" w:rsidRDefault="00F16A6F" w:rsidP="009E588A">
      <w:pPr>
        <w:numPr>
          <w:ilvl w:val="0"/>
          <w:numId w:val="46"/>
        </w:numPr>
        <w:tabs>
          <w:tab w:val="left" w:pos="426"/>
        </w:tabs>
        <w:ind w:left="0" w:firstLine="426"/>
        <w:contextualSpacing/>
        <w:rPr>
          <w:sz w:val="28"/>
          <w:szCs w:val="28"/>
          <w:lang w:val="ro-RO" w:eastAsia="ru-RU"/>
        </w:rPr>
      </w:pPr>
      <w:r w:rsidRPr="00763840">
        <w:rPr>
          <w:sz w:val="28"/>
          <w:szCs w:val="28"/>
          <w:lang w:val="ro-RO" w:eastAsia="ru-RU"/>
        </w:rPr>
        <w:t>structura organizatorică și conducerea societății;</w:t>
      </w:r>
    </w:p>
    <w:p w:rsidR="00F16A6F" w:rsidRPr="00763840" w:rsidRDefault="00F16A6F" w:rsidP="009E588A">
      <w:pPr>
        <w:numPr>
          <w:ilvl w:val="0"/>
          <w:numId w:val="46"/>
        </w:numPr>
        <w:tabs>
          <w:tab w:val="left" w:pos="426"/>
        </w:tabs>
        <w:ind w:left="0" w:firstLine="426"/>
        <w:contextualSpacing/>
        <w:rPr>
          <w:sz w:val="28"/>
          <w:szCs w:val="28"/>
          <w:lang w:val="ro-RO" w:eastAsia="ru-RU"/>
        </w:rPr>
      </w:pPr>
      <w:r w:rsidRPr="00763840">
        <w:rPr>
          <w:sz w:val="28"/>
          <w:szCs w:val="28"/>
          <w:lang w:val="ro-RO" w:eastAsia="ru-RU"/>
        </w:rPr>
        <w:t>resursele financiare pentru desfășurarea activităților de rating de credit;</w:t>
      </w:r>
    </w:p>
    <w:p w:rsidR="00F16A6F" w:rsidRPr="00763840" w:rsidRDefault="00F16A6F" w:rsidP="009E588A">
      <w:pPr>
        <w:numPr>
          <w:ilvl w:val="0"/>
          <w:numId w:val="46"/>
        </w:numPr>
        <w:tabs>
          <w:tab w:val="left" w:pos="426"/>
        </w:tabs>
        <w:ind w:left="0" w:firstLine="426"/>
        <w:contextualSpacing/>
        <w:rPr>
          <w:sz w:val="28"/>
          <w:szCs w:val="28"/>
          <w:lang w:val="ro-RO" w:eastAsia="ru-RU"/>
        </w:rPr>
      </w:pPr>
      <w:r w:rsidRPr="00763840">
        <w:rPr>
          <w:sz w:val="28"/>
          <w:szCs w:val="28"/>
          <w:lang w:val="ro-RO" w:eastAsia="ru-RU"/>
        </w:rPr>
        <w:t>personalul agenției de rating și competențele acestuia;</w:t>
      </w:r>
    </w:p>
    <w:p w:rsidR="00F16A6F" w:rsidRPr="00763840" w:rsidRDefault="00F16A6F" w:rsidP="009E588A">
      <w:pPr>
        <w:numPr>
          <w:ilvl w:val="0"/>
          <w:numId w:val="46"/>
        </w:numPr>
        <w:tabs>
          <w:tab w:val="left" w:pos="426"/>
        </w:tabs>
        <w:ind w:left="0" w:firstLine="426"/>
        <w:contextualSpacing/>
        <w:rPr>
          <w:sz w:val="28"/>
          <w:szCs w:val="28"/>
          <w:lang w:val="ro-RO" w:eastAsia="ru-RU"/>
        </w:rPr>
      </w:pPr>
      <w:r w:rsidRPr="00763840">
        <w:rPr>
          <w:sz w:val="28"/>
          <w:szCs w:val="28"/>
          <w:lang w:val="ro-RO" w:eastAsia="ru-RU"/>
        </w:rPr>
        <w:lastRenderedPageBreak/>
        <w:t>informații privi</w:t>
      </w:r>
      <w:r w:rsidR="004A1108" w:rsidRPr="00763840">
        <w:rPr>
          <w:sz w:val="28"/>
          <w:szCs w:val="28"/>
          <w:lang w:val="ro-RO" w:eastAsia="ru-RU"/>
        </w:rPr>
        <w:t xml:space="preserve">nd </w:t>
      </w:r>
      <w:r w:rsidR="00573B24">
        <w:rPr>
          <w:sz w:val="28"/>
          <w:szCs w:val="28"/>
          <w:lang w:val="ro-RO" w:eastAsia="ru-RU"/>
        </w:rPr>
        <w:t>sucursalele</w:t>
      </w:r>
      <w:r w:rsidR="004A1108" w:rsidRPr="00763840">
        <w:rPr>
          <w:sz w:val="28"/>
          <w:szCs w:val="28"/>
          <w:lang w:val="ro-RO" w:eastAsia="ru-RU"/>
        </w:rPr>
        <w:t xml:space="preserve"> agenției de rating, în cazul în care urmează să-și desfășoare activitatea și prin intermediul acestora;</w:t>
      </w:r>
    </w:p>
    <w:p w:rsidR="00F16A6F" w:rsidRPr="00763840" w:rsidRDefault="00F16A6F" w:rsidP="009E588A">
      <w:pPr>
        <w:numPr>
          <w:ilvl w:val="0"/>
          <w:numId w:val="46"/>
        </w:numPr>
        <w:tabs>
          <w:tab w:val="left" w:pos="426"/>
        </w:tabs>
        <w:ind w:left="0" w:firstLine="426"/>
        <w:contextualSpacing/>
        <w:rPr>
          <w:sz w:val="28"/>
          <w:szCs w:val="28"/>
          <w:lang w:val="ro-RO" w:eastAsia="ru-RU"/>
        </w:rPr>
      </w:pPr>
      <w:r w:rsidRPr="00763840">
        <w:rPr>
          <w:sz w:val="28"/>
          <w:szCs w:val="28"/>
          <w:lang w:val="ro-RO" w:eastAsia="ru-RU"/>
        </w:rPr>
        <w:t>descrierea procedurilor și a metodologiilor utilizate în acordarea și revizuirea ratingurilor;</w:t>
      </w:r>
    </w:p>
    <w:p w:rsidR="00F16A6F" w:rsidRPr="00763840" w:rsidRDefault="00F16A6F" w:rsidP="009E588A">
      <w:pPr>
        <w:numPr>
          <w:ilvl w:val="0"/>
          <w:numId w:val="46"/>
        </w:numPr>
        <w:tabs>
          <w:tab w:val="left" w:pos="426"/>
        </w:tabs>
        <w:ind w:left="0" w:firstLine="426"/>
        <w:contextualSpacing/>
        <w:rPr>
          <w:sz w:val="28"/>
          <w:szCs w:val="28"/>
          <w:lang w:val="ro-RO" w:eastAsia="ru-RU"/>
        </w:rPr>
      </w:pPr>
      <w:r w:rsidRPr="00763840">
        <w:rPr>
          <w:sz w:val="28"/>
          <w:szCs w:val="28"/>
          <w:lang w:val="ro-RO" w:eastAsia="ru-RU"/>
        </w:rPr>
        <w:t xml:space="preserve">politicile </w:t>
      </w:r>
      <w:r w:rsidR="004A1108" w:rsidRPr="00763840">
        <w:rPr>
          <w:sz w:val="28"/>
          <w:szCs w:val="28"/>
          <w:lang w:val="ro-RO" w:eastAsia="ru-RU"/>
        </w:rPr>
        <w:t xml:space="preserve">privind </w:t>
      </w:r>
      <w:r w:rsidR="000D338B" w:rsidRPr="00763840">
        <w:rPr>
          <w:sz w:val="28"/>
          <w:szCs w:val="28"/>
          <w:lang w:val="ro-RO" w:eastAsia="ru-RU"/>
        </w:rPr>
        <w:t>conflictele</w:t>
      </w:r>
      <w:r w:rsidRPr="00763840">
        <w:rPr>
          <w:sz w:val="28"/>
          <w:szCs w:val="28"/>
          <w:lang w:val="ro-RO" w:eastAsia="ru-RU"/>
        </w:rPr>
        <w:t xml:space="preserve"> de interese;</w:t>
      </w:r>
    </w:p>
    <w:p w:rsidR="00F16A6F" w:rsidRPr="00763840" w:rsidRDefault="00F16A6F" w:rsidP="009E588A">
      <w:pPr>
        <w:numPr>
          <w:ilvl w:val="0"/>
          <w:numId w:val="46"/>
        </w:numPr>
        <w:tabs>
          <w:tab w:val="left" w:pos="426"/>
        </w:tabs>
        <w:ind w:left="0" w:firstLine="426"/>
        <w:contextualSpacing/>
        <w:rPr>
          <w:sz w:val="28"/>
          <w:szCs w:val="28"/>
          <w:lang w:val="ro-RO" w:eastAsia="ru-RU"/>
        </w:rPr>
      </w:pPr>
      <w:r w:rsidRPr="00763840">
        <w:rPr>
          <w:sz w:val="28"/>
          <w:szCs w:val="28"/>
          <w:lang w:val="ro-RO" w:eastAsia="ru-RU"/>
        </w:rPr>
        <w:t>informații referitoare la analiștii de rating;</w:t>
      </w:r>
    </w:p>
    <w:p w:rsidR="00F16A6F" w:rsidRPr="00763840" w:rsidRDefault="00F16A6F" w:rsidP="009E588A">
      <w:pPr>
        <w:numPr>
          <w:ilvl w:val="0"/>
          <w:numId w:val="46"/>
        </w:numPr>
        <w:tabs>
          <w:tab w:val="left" w:pos="426"/>
          <w:tab w:val="left" w:pos="851"/>
        </w:tabs>
        <w:ind w:left="0" w:firstLine="426"/>
        <w:contextualSpacing/>
        <w:rPr>
          <w:sz w:val="28"/>
          <w:szCs w:val="28"/>
          <w:lang w:val="ro-RO" w:eastAsia="ru-RU"/>
        </w:rPr>
      </w:pPr>
      <w:r w:rsidRPr="00763840">
        <w:rPr>
          <w:sz w:val="28"/>
          <w:szCs w:val="28"/>
          <w:lang w:val="ro-RO" w:eastAsia="ru-RU"/>
        </w:rPr>
        <w:t>condițiile de remunerare și de evaluare a performanței;</w:t>
      </w:r>
    </w:p>
    <w:p w:rsidR="00F16A6F" w:rsidRPr="00763840" w:rsidRDefault="00F16A6F" w:rsidP="009E588A">
      <w:pPr>
        <w:numPr>
          <w:ilvl w:val="0"/>
          <w:numId w:val="46"/>
        </w:numPr>
        <w:tabs>
          <w:tab w:val="left" w:pos="426"/>
        </w:tabs>
        <w:ind w:left="0" w:firstLine="426"/>
        <w:contextualSpacing/>
        <w:rPr>
          <w:sz w:val="28"/>
          <w:szCs w:val="28"/>
          <w:lang w:val="ro-RO" w:eastAsia="ru-RU"/>
        </w:rPr>
      </w:pPr>
      <w:r w:rsidRPr="00763840">
        <w:rPr>
          <w:sz w:val="28"/>
          <w:szCs w:val="28"/>
          <w:lang w:val="ro-RO" w:eastAsia="ru-RU"/>
        </w:rPr>
        <w:t>alte servicii decât activitățile de rating de credit, pe care agenția de rating intenționează să le presteze;</w:t>
      </w:r>
    </w:p>
    <w:p w:rsidR="00F16A6F" w:rsidRPr="00763840" w:rsidRDefault="00F16A6F" w:rsidP="009E588A">
      <w:pPr>
        <w:numPr>
          <w:ilvl w:val="0"/>
          <w:numId w:val="46"/>
        </w:numPr>
        <w:tabs>
          <w:tab w:val="left" w:pos="426"/>
        </w:tabs>
        <w:ind w:left="0" w:firstLine="426"/>
        <w:contextualSpacing/>
        <w:rPr>
          <w:sz w:val="28"/>
          <w:szCs w:val="28"/>
          <w:lang w:val="ro-RO" w:eastAsia="ru-RU"/>
        </w:rPr>
      </w:pPr>
      <w:r w:rsidRPr="00763840">
        <w:rPr>
          <w:sz w:val="28"/>
          <w:szCs w:val="28"/>
          <w:lang w:val="ro-RO" w:eastAsia="ru-RU"/>
        </w:rPr>
        <w:t xml:space="preserve">programul </w:t>
      </w:r>
      <w:r w:rsidR="004A1108" w:rsidRPr="00763840">
        <w:rPr>
          <w:sz w:val="28"/>
          <w:szCs w:val="28"/>
          <w:lang w:val="ro-RO" w:eastAsia="ru-RU"/>
        </w:rPr>
        <w:t>de activitate al solicitantului, aprobat prin decizia organului competent al acestuia;</w:t>
      </w:r>
    </w:p>
    <w:p w:rsidR="00F16A6F" w:rsidRPr="00763840" w:rsidRDefault="00F16A6F" w:rsidP="009E588A">
      <w:pPr>
        <w:numPr>
          <w:ilvl w:val="0"/>
          <w:numId w:val="46"/>
        </w:numPr>
        <w:tabs>
          <w:tab w:val="left" w:pos="426"/>
        </w:tabs>
        <w:ind w:left="0" w:firstLine="426"/>
        <w:contextualSpacing/>
        <w:rPr>
          <w:sz w:val="28"/>
          <w:szCs w:val="28"/>
          <w:lang w:val="ro-RO" w:eastAsia="ru-RU"/>
        </w:rPr>
      </w:pPr>
      <w:r w:rsidRPr="00763840">
        <w:rPr>
          <w:sz w:val="28"/>
          <w:szCs w:val="28"/>
          <w:lang w:val="ro-RO" w:eastAsia="ru-RU"/>
        </w:rPr>
        <w:t>documente și informații detaliate cu privire la acordurile de externalizare preconizate, inclusiv cu privire la entitățile care își asumă funcții externalizate.</w:t>
      </w:r>
    </w:p>
    <w:p w:rsidR="004A1108" w:rsidRPr="00763840" w:rsidRDefault="004A1108" w:rsidP="009E588A">
      <w:pPr>
        <w:numPr>
          <w:ilvl w:val="0"/>
          <w:numId w:val="45"/>
        </w:numPr>
        <w:tabs>
          <w:tab w:val="left" w:pos="426"/>
          <w:tab w:val="left" w:pos="1134"/>
        </w:tabs>
        <w:ind w:left="0" w:firstLine="709"/>
        <w:contextualSpacing/>
        <w:rPr>
          <w:sz w:val="28"/>
          <w:szCs w:val="28"/>
          <w:lang w:val="ro-RO" w:eastAsia="ru-RU"/>
        </w:rPr>
      </w:pPr>
      <w:r w:rsidRPr="00763840">
        <w:rPr>
          <w:sz w:val="28"/>
          <w:szCs w:val="28"/>
          <w:lang w:val="ro-RO" w:eastAsia="ru-RU"/>
        </w:rPr>
        <w:t>În termen de 3</w:t>
      </w:r>
      <w:r w:rsidR="00F16A6F" w:rsidRPr="00763840">
        <w:rPr>
          <w:sz w:val="28"/>
          <w:szCs w:val="28"/>
          <w:lang w:val="ro-RO" w:eastAsia="ru-RU"/>
        </w:rPr>
        <w:t xml:space="preserve"> d</w:t>
      </w:r>
      <w:r w:rsidRPr="00763840">
        <w:rPr>
          <w:sz w:val="28"/>
          <w:szCs w:val="28"/>
          <w:lang w:val="ro-RO" w:eastAsia="ru-RU"/>
        </w:rPr>
        <w:t xml:space="preserve">e zile lucrătoare de la recepționarea cererii specificate la alin.(1), </w:t>
      </w:r>
      <w:r w:rsidR="00F16A6F" w:rsidRPr="00763840">
        <w:rPr>
          <w:sz w:val="28"/>
          <w:szCs w:val="28"/>
          <w:lang w:val="ro-RO" w:eastAsia="ru-RU"/>
        </w:rPr>
        <w:t xml:space="preserve">Comisia Națională </w:t>
      </w:r>
      <w:r w:rsidRPr="00763840">
        <w:rPr>
          <w:sz w:val="28"/>
          <w:szCs w:val="28"/>
          <w:lang w:val="ro-RO" w:eastAsia="ru-RU"/>
        </w:rPr>
        <w:t>notifică agenția de rating de credit despre aceasta.</w:t>
      </w:r>
    </w:p>
    <w:p w:rsidR="004A1108" w:rsidRPr="00763840" w:rsidRDefault="004A1108" w:rsidP="009E588A">
      <w:pPr>
        <w:numPr>
          <w:ilvl w:val="0"/>
          <w:numId w:val="45"/>
        </w:numPr>
        <w:tabs>
          <w:tab w:val="left" w:pos="426"/>
          <w:tab w:val="left" w:pos="1134"/>
        </w:tabs>
        <w:ind w:left="0" w:firstLine="709"/>
        <w:contextualSpacing/>
        <w:rPr>
          <w:sz w:val="28"/>
          <w:szCs w:val="28"/>
          <w:lang w:val="ro-RO" w:eastAsia="ru-RU"/>
        </w:rPr>
      </w:pPr>
      <w:r w:rsidRPr="00763840">
        <w:rPr>
          <w:rFonts w:eastAsia="Arial Unicode MS"/>
          <w:sz w:val="28"/>
          <w:szCs w:val="28"/>
          <w:lang w:val="ro-RO"/>
        </w:rPr>
        <w:t xml:space="preserve">În termen de 60 de zile lucrătoare de la notificarea menționată la alin.(2), </w:t>
      </w:r>
      <w:r w:rsidRPr="00763840">
        <w:rPr>
          <w:sz w:val="28"/>
          <w:szCs w:val="28"/>
          <w:lang w:val="ro-RO" w:eastAsia="ru-RU"/>
        </w:rPr>
        <w:t xml:space="preserve">Comisia Națională </w:t>
      </w:r>
      <w:r w:rsidRPr="00763840">
        <w:rPr>
          <w:rFonts w:eastAsia="Arial Unicode MS"/>
          <w:sz w:val="28"/>
          <w:szCs w:val="28"/>
          <w:lang w:val="ro-RO"/>
        </w:rPr>
        <w:t xml:space="preserve">examinează cererea de înregistrare a agenției de rating de credit conform criteriilor stabilite  de prezenta secțiune și actele normative ale Comisiei Naționale și adoptă o decizie de înregistrare sau de refuz al înregistrării agenției de rating de credit. </w:t>
      </w:r>
    </w:p>
    <w:p w:rsidR="00FB6973" w:rsidRPr="00763840" w:rsidRDefault="00FB6973" w:rsidP="009E588A">
      <w:pPr>
        <w:numPr>
          <w:ilvl w:val="0"/>
          <w:numId w:val="45"/>
        </w:numPr>
        <w:tabs>
          <w:tab w:val="left" w:pos="426"/>
          <w:tab w:val="left" w:pos="1134"/>
        </w:tabs>
        <w:ind w:left="0" w:firstLine="709"/>
        <w:contextualSpacing/>
        <w:rPr>
          <w:sz w:val="28"/>
          <w:szCs w:val="28"/>
          <w:lang w:val="ro-RO" w:eastAsia="ru-RU"/>
        </w:rPr>
      </w:pPr>
      <w:r w:rsidRPr="00763840">
        <w:rPr>
          <w:sz w:val="28"/>
          <w:szCs w:val="28"/>
          <w:lang w:val="ro-RO" w:eastAsia="ru-RU"/>
        </w:rPr>
        <w:t>Dacă Comisia Națională consideră, în mod rezonabil, că cererea depusă este incompletă, incorectă sau sunt necesare informaţii sau documente suplimentare, în perioada termenului de examinare, dar nu mai tîrziu de a 50-a zi lucrătoare din cadrul acestui termen, Comisia Naţională este în drept să solicite documente şi informaţii suplimentare.</w:t>
      </w:r>
    </w:p>
    <w:p w:rsidR="00FB6973" w:rsidRPr="00763840" w:rsidRDefault="00FB6973" w:rsidP="009E588A">
      <w:pPr>
        <w:numPr>
          <w:ilvl w:val="0"/>
          <w:numId w:val="45"/>
        </w:numPr>
        <w:tabs>
          <w:tab w:val="left" w:pos="1134"/>
        </w:tabs>
        <w:ind w:left="0" w:firstLine="709"/>
        <w:contextualSpacing/>
        <w:rPr>
          <w:sz w:val="28"/>
          <w:szCs w:val="28"/>
          <w:lang w:val="ro-RO" w:eastAsia="ru-RU"/>
        </w:rPr>
      </w:pPr>
      <w:r w:rsidRPr="00763840">
        <w:rPr>
          <w:sz w:val="28"/>
          <w:szCs w:val="28"/>
          <w:lang w:val="ro-RO" w:eastAsia="ru-RU"/>
        </w:rPr>
        <w:t>Taxa de înregistrare a agențiilor de rating de</w:t>
      </w:r>
      <w:r w:rsidR="00E76355" w:rsidRPr="00763840">
        <w:rPr>
          <w:sz w:val="28"/>
          <w:szCs w:val="28"/>
          <w:lang w:val="ro-RO" w:eastAsia="ru-RU"/>
        </w:rPr>
        <w:t xml:space="preserve"> credit este de 10000 lei și se </w:t>
      </w:r>
      <w:r w:rsidRPr="00763840">
        <w:rPr>
          <w:sz w:val="28"/>
          <w:szCs w:val="28"/>
          <w:lang w:val="ro-RO" w:eastAsia="ru-RU"/>
        </w:rPr>
        <w:t xml:space="preserve">varsă în bugetul Comisiei Naţionale pînă la data înregistrării </w:t>
      </w:r>
      <w:r w:rsidRPr="00763840">
        <w:rPr>
          <w:rFonts w:eastAsia="Arial Unicode MS"/>
          <w:sz w:val="28"/>
          <w:szCs w:val="28"/>
          <w:lang w:val="ro-RO"/>
        </w:rPr>
        <w:t>agenției de rating de credit</w:t>
      </w:r>
      <w:r w:rsidRPr="00763840">
        <w:rPr>
          <w:sz w:val="28"/>
          <w:szCs w:val="28"/>
          <w:lang w:val="ro-RO" w:eastAsia="ru-RU"/>
        </w:rPr>
        <w:t>.</w:t>
      </w:r>
    </w:p>
    <w:p w:rsidR="00F16A6F" w:rsidRPr="00763840" w:rsidRDefault="00F16A6F" w:rsidP="009E588A">
      <w:pPr>
        <w:numPr>
          <w:ilvl w:val="0"/>
          <w:numId w:val="45"/>
        </w:numPr>
        <w:tabs>
          <w:tab w:val="left" w:pos="426"/>
          <w:tab w:val="left" w:pos="1134"/>
        </w:tabs>
        <w:ind w:left="0" w:firstLine="709"/>
        <w:contextualSpacing/>
        <w:rPr>
          <w:sz w:val="28"/>
          <w:szCs w:val="28"/>
          <w:lang w:val="ro-RO" w:eastAsia="ru-RU"/>
        </w:rPr>
      </w:pPr>
      <w:r w:rsidRPr="00763840">
        <w:rPr>
          <w:rFonts w:eastAsia="Arial Unicode MS"/>
          <w:sz w:val="28"/>
          <w:szCs w:val="28"/>
          <w:shd w:val="clear" w:color="auto" w:fill="FFFFFF"/>
          <w:lang w:val="ro-RO"/>
        </w:rPr>
        <w:t>Comisia Națională aplică agențiilor de rating de credit o taxă de supraveghere anuală care este proporțională cu cifra de afaceri a agenției de rating de credit în cauză și care se stabilește anual de către Comisia Națională.</w:t>
      </w:r>
    </w:p>
    <w:p w:rsidR="00F16A6F" w:rsidRPr="00763840" w:rsidRDefault="00F16A6F" w:rsidP="009E588A">
      <w:pPr>
        <w:numPr>
          <w:ilvl w:val="0"/>
          <w:numId w:val="45"/>
        </w:numPr>
        <w:tabs>
          <w:tab w:val="left" w:pos="426"/>
          <w:tab w:val="left" w:pos="1134"/>
        </w:tabs>
        <w:ind w:left="0" w:firstLine="709"/>
        <w:contextualSpacing/>
        <w:rPr>
          <w:sz w:val="28"/>
          <w:szCs w:val="28"/>
          <w:lang w:val="ro-RO" w:eastAsia="ru-RU"/>
        </w:rPr>
      </w:pPr>
      <w:r w:rsidRPr="00763840">
        <w:rPr>
          <w:rFonts w:eastAsia="Arial Unicode MS"/>
          <w:sz w:val="28"/>
          <w:szCs w:val="28"/>
          <w:lang w:val="ro-RO"/>
        </w:rPr>
        <w:t>Agenția de rating de credit înregistrată trebuie să îndeplinească</w:t>
      </w:r>
      <w:r w:rsidR="00FB6973" w:rsidRPr="00763840">
        <w:rPr>
          <w:rFonts w:eastAsia="Arial Unicode MS"/>
          <w:sz w:val="28"/>
          <w:szCs w:val="28"/>
          <w:lang w:val="ro-RO"/>
        </w:rPr>
        <w:t>, în orice moment,</w:t>
      </w:r>
      <w:r w:rsidRPr="00763840">
        <w:rPr>
          <w:rFonts w:eastAsia="Arial Unicode MS"/>
          <w:sz w:val="28"/>
          <w:szCs w:val="28"/>
          <w:lang w:val="ro-RO"/>
        </w:rPr>
        <w:t xml:space="preserve"> condițiile </w:t>
      </w:r>
      <w:r w:rsidR="00FB6973" w:rsidRPr="00763840">
        <w:rPr>
          <w:rFonts w:eastAsia="Arial Unicode MS"/>
          <w:sz w:val="28"/>
          <w:szCs w:val="28"/>
          <w:lang w:val="ro-RO"/>
        </w:rPr>
        <w:t>prevăzute la alin.(1).</w:t>
      </w:r>
    </w:p>
    <w:p w:rsidR="00F16A6F" w:rsidRPr="00763840" w:rsidRDefault="00FB6973" w:rsidP="009E588A">
      <w:pPr>
        <w:numPr>
          <w:ilvl w:val="0"/>
          <w:numId w:val="45"/>
        </w:numPr>
        <w:tabs>
          <w:tab w:val="left" w:pos="426"/>
          <w:tab w:val="left" w:pos="1134"/>
        </w:tabs>
        <w:ind w:left="0" w:firstLine="709"/>
        <w:contextualSpacing/>
        <w:rPr>
          <w:sz w:val="28"/>
          <w:szCs w:val="28"/>
          <w:lang w:val="ro-RO" w:eastAsia="ru-RU"/>
        </w:rPr>
      </w:pPr>
      <w:r w:rsidRPr="00763840">
        <w:rPr>
          <w:rFonts w:eastAsia="Arial Unicode MS"/>
          <w:sz w:val="28"/>
          <w:szCs w:val="28"/>
          <w:lang w:val="ro-RO"/>
        </w:rPr>
        <w:t xml:space="preserve">Agenția </w:t>
      </w:r>
      <w:r w:rsidR="00F16A6F" w:rsidRPr="00763840">
        <w:rPr>
          <w:rFonts w:eastAsia="Arial Unicode MS"/>
          <w:sz w:val="28"/>
          <w:szCs w:val="28"/>
          <w:lang w:val="ro-RO"/>
        </w:rPr>
        <w:t>de rating de credit notifică fără întârziere Comisiei Național</w:t>
      </w:r>
      <w:r w:rsidR="00E76355" w:rsidRPr="00763840">
        <w:rPr>
          <w:rFonts w:eastAsia="Arial Unicode MS"/>
          <w:sz w:val="28"/>
          <w:szCs w:val="28"/>
          <w:lang w:val="ro-RO"/>
        </w:rPr>
        <w:t>e orice modificare</w:t>
      </w:r>
      <w:r w:rsidR="00F16A6F" w:rsidRPr="00763840">
        <w:rPr>
          <w:rFonts w:eastAsia="Arial Unicode MS"/>
          <w:sz w:val="28"/>
          <w:szCs w:val="28"/>
          <w:lang w:val="ro-RO"/>
        </w:rPr>
        <w:t xml:space="preserve"> a condițiilor pentru înregistrarea inițială, inclusiv deschider</w:t>
      </w:r>
      <w:r w:rsidR="007B5276">
        <w:rPr>
          <w:rFonts w:eastAsia="Arial Unicode MS"/>
          <w:sz w:val="28"/>
          <w:szCs w:val="28"/>
          <w:lang w:val="ro-RO"/>
        </w:rPr>
        <w:t>ea sau închiderea unei sucursale</w:t>
      </w:r>
      <w:r w:rsidR="00F16A6F" w:rsidRPr="00763840">
        <w:rPr>
          <w:rFonts w:eastAsia="Arial Unicode MS"/>
          <w:sz w:val="28"/>
          <w:szCs w:val="28"/>
          <w:lang w:val="ro-RO"/>
        </w:rPr>
        <w:t>, modificările materiale avute în vedere pentru metodologiile de rating, modelele sau ipotezele principale de rating sau noile metodologii de rating.</w:t>
      </w:r>
    </w:p>
    <w:p w:rsidR="00F16A6F" w:rsidRPr="00763840" w:rsidRDefault="00F16A6F" w:rsidP="009E588A">
      <w:pPr>
        <w:numPr>
          <w:ilvl w:val="0"/>
          <w:numId w:val="45"/>
        </w:numPr>
        <w:tabs>
          <w:tab w:val="left" w:pos="426"/>
          <w:tab w:val="left" w:pos="1134"/>
        </w:tabs>
        <w:ind w:left="0" w:firstLine="709"/>
        <w:contextualSpacing/>
        <w:rPr>
          <w:sz w:val="28"/>
          <w:szCs w:val="28"/>
          <w:lang w:val="ro-RO" w:eastAsia="ru-RU"/>
        </w:rPr>
      </w:pPr>
      <w:r w:rsidRPr="00763840">
        <w:rPr>
          <w:rFonts w:eastAsia="Arial Unicode MS"/>
          <w:sz w:val="28"/>
          <w:szCs w:val="28"/>
          <w:shd w:val="clear" w:color="auto" w:fill="FFFFFF"/>
          <w:lang w:val="ro-RO"/>
        </w:rPr>
        <w:t>Agenția de rating de credit poate furniza servicii, altele decât realizarea de ratinguri de credit (servicii auxiliare). Serviciile auxiliare nu constituie activități de rating de credit și includ prognoze de piață, estimări ale tendințelor economice, analize de preț și alte analize generale de date, precum și serviciile de distribuție conexe.</w:t>
      </w:r>
    </w:p>
    <w:p w:rsidR="00F05CE0" w:rsidRPr="00763840" w:rsidRDefault="00F05CE0" w:rsidP="009E588A">
      <w:pPr>
        <w:numPr>
          <w:ilvl w:val="0"/>
          <w:numId w:val="45"/>
        </w:numPr>
        <w:tabs>
          <w:tab w:val="left" w:pos="0"/>
          <w:tab w:val="left" w:pos="567"/>
          <w:tab w:val="left" w:pos="1134"/>
        </w:tabs>
        <w:ind w:left="0" w:firstLine="709"/>
        <w:contextualSpacing/>
        <w:rPr>
          <w:sz w:val="28"/>
          <w:szCs w:val="28"/>
          <w:lang w:val="ro-RO" w:eastAsia="ru-RU"/>
        </w:rPr>
      </w:pPr>
      <w:r w:rsidRPr="00763840">
        <w:rPr>
          <w:rFonts w:eastAsia="Arial Unicode MS"/>
          <w:sz w:val="28"/>
          <w:szCs w:val="28"/>
          <w:shd w:val="clear" w:color="auto" w:fill="FFFFFF"/>
          <w:lang w:val="ro-RO" w:eastAsia="ru-RU"/>
        </w:rPr>
        <w:t xml:space="preserve">Agenția de rating de credit pune la dispoziția Comisiei Naționale, la solicitarea acesteia, informațiile necesare pentru a permite Comisiei Naționale să </w:t>
      </w:r>
      <w:r w:rsidRPr="00763840">
        <w:rPr>
          <w:rFonts w:eastAsia="Arial Unicode MS"/>
          <w:sz w:val="28"/>
          <w:szCs w:val="28"/>
          <w:shd w:val="clear" w:color="auto" w:fill="FFFFFF"/>
          <w:lang w:val="ro-RO" w:eastAsia="ru-RU"/>
        </w:rPr>
        <w:lastRenderedPageBreak/>
        <w:t>supravegheze în mod continuu respectarea cerințelor prezentei legi și actelor normative ale Comisiei Naționale.</w:t>
      </w:r>
    </w:p>
    <w:p w:rsidR="00F05CE0" w:rsidRPr="00763840" w:rsidRDefault="00F05CE0" w:rsidP="009E588A">
      <w:pPr>
        <w:numPr>
          <w:ilvl w:val="0"/>
          <w:numId w:val="45"/>
        </w:numPr>
        <w:tabs>
          <w:tab w:val="left" w:pos="426"/>
          <w:tab w:val="left" w:pos="1134"/>
        </w:tabs>
        <w:ind w:left="0" w:firstLine="709"/>
        <w:contextualSpacing/>
        <w:rPr>
          <w:sz w:val="28"/>
          <w:szCs w:val="28"/>
          <w:lang w:val="ro-RO" w:eastAsia="ru-RU"/>
        </w:rPr>
      </w:pPr>
      <w:r w:rsidRPr="00763840">
        <w:rPr>
          <w:rFonts w:eastAsia="Arial Unicode MS"/>
          <w:sz w:val="28"/>
          <w:szCs w:val="28"/>
          <w:shd w:val="clear" w:color="auto" w:fill="FFFFFF"/>
          <w:lang w:val="ro-RO" w:eastAsia="ru-RU"/>
        </w:rPr>
        <w:t>Comisia Națională poate solicita, printr-o cerere simplă sau printr-o decizie, agențiilor de rating de credit, persoanelor implicate în activități de rating de credit, entităților cărora li se acordă ratinguri și părților terțe legate de acestea, părților terțe cărora agențiile de rating de credit le-au externalizat</w:t>
      </w:r>
      <w:bookmarkStart w:id="0" w:name="_GoBack"/>
      <w:bookmarkEnd w:id="0"/>
      <w:r w:rsidRPr="00763840">
        <w:rPr>
          <w:rFonts w:eastAsia="Arial Unicode MS"/>
          <w:sz w:val="28"/>
          <w:szCs w:val="28"/>
          <w:shd w:val="clear" w:color="auto" w:fill="FFFFFF"/>
          <w:lang w:val="ro-RO" w:eastAsia="ru-RU"/>
        </w:rPr>
        <w:t xml:space="preserve"> funcții operaționale sau activități, precum și altor persoane implicate sau având legături apropiate și substanțiale cu agențiile de rating de credit sau cu activitățile de rating de credit, să furnizeze toate informațiile necesare pentru îndeplinirea sarcinilor sale.</w:t>
      </w:r>
    </w:p>
    <w:p w:rsidR="00F05CE0" w:rsidRPr="00763840" w:rsidRDefault="00F05CE0" w:rsidP="009E588A">
      <w:pPr>
        <w:numPr>
          <w:ilvl w:val="0"/>
          <w:numId w:val="45"/>
        </w:numPr>
        <w:tabs>
          <w:tab w:val="left" w:pos="0"/>
          <w:tab w:val="left" w:pos="567"/>
          <w:tab w:val="left" w:pos="1134"/>
        </w:tabs>
        <w:ind w:left="0" w:firstLine="709"/>
        <w:contextualSpacing/>
        <w:rPr>
          <w:sz w:val="24"/>
          <w:szCs w:val="24"/>
          <w:lang w:val="ro-RO" w:eastAsia="ru-RU"/>
        </w:rPr>
      </w:pPr>
      <w:r w:rsidRPr="00763840">
        <w:rPr>
          <w:rFonts w:eastAsia="Arial Unicode MS"/>
          <w:sz w:val="28"/>
          <w:szCs w:val="28"/>
          <w:shd w:val="clear" w:color="auto" w:fill="FFFFFF"/>
          <w:lang w:val="ro-RO" w:eastAsia="ru-RU"/>
        </w:rPr>
        <w:t xml:space="preserve"> Persoanele menționate la alin.(11) sau reprezentanții acestora și, în cazul persoanelor juridice sau al asociațiilor fără personalitate juridică, persoanele autorizate prin lege sau prin statut să le reprezinte, furnizează informațiile solicitate de către Comisia Națională. Avocații autorizați în mod corespunzător să acționeze pot furniza informațiile în numele clienților lor. Aceștia din urmă rămân pe deplin răspunzători în cazul în care informațiile furnizate sunt incomplete, incorecte sau induc în eroare</w:t>
      </w:r>
      <w:r w:rsidRPr="00763840">
        <w:rPr>
          <w:rFonts w:eastAsia="Arial Unicode MS"/>
          <w:sz w:val="24"/>
          <w:szCs w:val="24"/>
          <w:shd w:val="clear" w:color="auto" w:fill="FFFFFF"/>
          <w:lang w:val="ro-RO" w:eastAsia="ru-RU"/>
        </w:rPr>
        <w:t>.</w:t>
      </w:r>
    </w:p>
    <w:p w:rsidR="00F05CE0" w:rsidRPr="00763840" w:rsidRDefault="00F05CE0" w:rsidP="009E588A">
      <w:pPr>
        <w:numPr>
          <w:ilvl w:val="0"/>
          <w:numId w:val="45"/>
        </w:numPr>
        <w:tabs>
          <w:tab w:val="left" w:pos="0"/>
          <w:tab w:val="left" w:pos="567"/>
          <w:tab w:val="left" w:pos="1134"/>
        </w:tabs>
        <w:ind w:left="0" w:firstLine="709"/>
        <w:contextualSpacing/>
        <w:rPr>
          <w:sz w:val="28"/>
          <w:szCs w:val="28"/>
          <w:lang w:val="ro-RO" w:eastAsia="ru-RU"/>
        </w:rPr>
      </w:pPr>
      <w:r w:rsidRPr="00763840">
        <w:rPr>
          <w:sz w:val="28"/>
          <w:szCs w:val="28"/>
          <w:lang w:val="ro-RO" w:eastAsia="ru-RU"/>
        </w:rPr>
        <w:t>Comisia Națională radiază înregistrarea unei agenții de rating de credit, dacă aceasta:</w:t>
      </w:r>
    </w:p>
    <w:p w:rsidR="00F05CE0" w:rsidRPr="00763840" w:rsidRDefault="00F05CE0" w:rsidP="009E588A">
      <w:pPr>
        <w:tabs>
          <w:tab w:val="left" w:pos="567"/>
          <w:tab w:val="left" w:pos="1134"/>
        </w:tabs>
        <w:ind w:firstLine="709"/>
        <w:contextualSpacing/>
        <w:rPr>
          <w:sz w:val="28"/>
          <w:szCs w:val="28"/>
          <w:lang w:val="ro-RO" w:eastAsia="ru-RU"/>
        </w:rPr>
      </w:pPr>
      <w:r w:rsidRPr="00763840">
        <w:rPr>
          <w:sz w:val="28"/>
          <w:szCs w:val="28"/>
          <w:lang w:val="ro-RO" w:eastAsia="ru-RU"/>
        </w:rPr>
        <w:t>a)</w:t>
      </w:r>
      <w:r w:rsidRPr="00763840">
        <w:rPr>
          <w:sz w:val="28"/>
          <w:szCs w:val="28"/>
          <w:lang w:val="ro-RO" w:eastAsia="ru-RU"/>
        </w:rPr>
        <w:tab/>
        <w:t>renunță în mod expres la înregistrare sau nu a mai acordat ratinguri de credit în ultimele șase luni;</w:t>
      </w:r>
    </w:p>
    <w:p w:rsidR="00F05CE0" w:rsidRPr="00763840" w:rsidRDefault="00F05CE0" w:rsidP="009E588A">
      <w:pPr>
        <w:tabs>
          <w:tab w:val="left" w:pos="567"/>
          <w:tab w:val="left" w:pos="1134"/>
        </w:tabs>
        <w:ind w:firstLine="709"/>
        <w:contextualSpacing/>
        <w:rPr>
          <w:sz w:val="28"/>
          <w:szCs w:val="28"/>
          <w:lang w:val="ro-RO" w:eastAsia="ru-RU"/>
        </w:rPr>
      </w:pPr>
      <w:r w:rsidRPr="00763840">
        <w:rPr>
          <w:sz w:val="28"/>
          <w:szCs w:val="28"/>
          <w:lang w:val="ro-RO" w:eastAsia="ru-RU"/>
        </w:rPr>
        <w:t>b)</w:t>
      </w:r>
      <w:r w:rsidRPr="00763840">
        <w:rPr>
          <w:sz w:val="28"/>
          <w:szCs w:val="28"/>
          <w:lang w:val="ro-RO" w:eastAsia="ru-RU"/>
        </w:rPr>
        <w:tab/>
        <w:t>a obținut înregistrarea prin declarații false sau alte modalități neregulamentare;</w:t>
      </w:r>
    </w:p>
    <w:p w:rsidR="00F05CE0" w:rsidRPr="00763840" w:rsidRDefault="00F05CE0" w:rsidP="009E588A">
      <w:pPr>
        <w:tabs>
          <w:tab w:val="left" w:pos="567"/>
          <w:tab w:val="left" w:pos="1134"/>
        </w:tabs>
        <w:ind w:firstLine="709"/>
        <w:contextualSpacing/>
        <w:rPr>
          <w:sz w:val="28"/>
          <w:szCs w:val="28"/>
          <w:lang w:val="ro-RO" w:eastAsia="ru-RU"/>
        </w:rPr>
      </w:pPr>
      <w:r w:rsidRPr="00763840">
        <w:rPr>
          <w:sz w:val="28"/>
          <w:szCs w:val="28"/>
          <w:lang w:val="ro-RO" w:eastAsia="ru-RU"/>
        </w:rPr>
        <w:t>c)</w:t>
      </w:r>
      <w:r w:rsidRPr="00763840">
        <w:rPr>
          <w:sz w:val="28"/>
          <w:szCs w:val="28"/>
          <w:lang w:val="ro-RO" w:eastAsia="ru-RU"/>
        </w:rPr>
        <w:tab/>
        <w:t>nu mai îndeplinește condițiile în temeiul cărora a fost înregistrată.</w:t>
      </w:r>
    </w:p>
    <w:p w:rsidR="00F16A6F" w:rsidRPr="00763840" w:rsidRDefault="00F16A6F" w:rsidP="00F16A6F">
      <w:pPr>
        <w:tabs>
          <w:tab w:val="left" w:pos="426"/>
        </w:tabs>
        <w:ind w:firstLine="0"/>
        <w:rPr>
          <w:sz w:val="28"/>
          <w:szCs w:val="28"/>
          <w:lang w:val="ro-RO" w:eastAsia="ru-RU"/>
        </w:rPr>
      </w:pPr>
    </w:p>
    <w:p w:rsidR="00F16A6F" w:rsidRPr="00763840" w:rsidRDefault="009E588A" w:rsidP="00F16A6F">
      <w:pPr>
        <w:tabs>
          <w:tab w:val="left" w:pos="426"/>
        </w:tabs>
        <w:ind w:firstLine="0"/>
        <w:contextualSpacing/>
        <w:rPr>
          <w:b/>
          <w:sz w:val="28"/>
          <w:szCs w:val="28"/>
          <w:lang w:val="ro-RO" w:eastAsia="ru-RU"/>
        </w:rPr>
      </w:pPr>
      <w:r>
        <w:rPr>
          <w:rFonts w:eastAsia="Arial Unicode MS"/>
          <w:b/>
          <w:sz w:val="28"/>
          <w:szCs w:val="28"/>
          <w:shd w:val="clear" w:color="auto" w:fill="FFFFFF"/>
          <w:lang w:val="ro-RO"/>
        </w:rPr>
        <w:tab/>
      </w:r>
      <w:r>
        <w:rPr>
          <w:rFonts w:eastAsia="Arial Unicode MS"/>
          <w:b/>
          <w:sz w:val="28"/>
          <w:szCs w:val="28"/>
          <w:shd w:val="clear" w:color="auto" w:fill="FFFFFF"/>
          <w:lang w:val="ro-RO"/>
        </w:rPr>
        <w:tab/>
      </w:r>
      <w:r w:rsidR="00F16A6F" w:rsidRPr="00763840">
        <w:rPr>
          <w:rFonts w:eastAsia="Arial Unicode MS"/>
          <w:b/>
          <w:sz w:val="28"/>
          <w:szCs w:val="28"/>
          <w:shd w:val="clear" w:color="auto" w:fill="FFFFFF"/>
          <w:lang w:val="ro-RO"/>
        </w:rPr>
        <w:t>Articolul 88</w:t>
      </w:r>
      <w:r w:rsidR="00F16A6F" w:rsidRPr="00763840">
        <w:rPr>
          <w:rFonts w:eastAsia="Arial Unicode MS"/>
          <w:b/>
          <w:sz w:val="28"/>
          <w:szCs w:val="28"/>
          <w:shd w:val="clear" w:color="auto" w:fill="FFFFFF"/>
          <w:vertAlign w:val="superscript"/>
          <w:lang w:val="ro-RO"/>
        </w:rPr>
        <w:t>3</w:t>
      </w:r>
      <w:r w:rsidR="00F16A6F" w:rsidRPr="00763840">
        <w:rPr>
          <w:rFonts w:eastAsia="Arial Unicode MS"/>
          <w:b/>
          <w:sz w:val="28"/>
          <w:szCs w:val="28"/>
          <w:shd w:val="clear" w:color="auto" w:fill="FFFFFF"/>
          <w:lang w:val="ro-RO"/>
        </w:rPr>
        <w:t xml:space="preserve">. </w:t>
      </w:r>
      <w:r w:rsidR="00F16A6F" w:rsidRPr="00763840">
        <w:rPr>
          <w:rFonts w:eastAsia="Arial Unicode MS"/>
          <w:sz w:val="28"/>
          <w:szCs w:val="28"/>
          <w:shd w:val="clear" w:color="auto" w:fill="FFFFFF"/>
          <w:lang w:val="ro-RO"/>
        </w:rPr>
        <w:t xml:space="preserve">Cerințe generale privind activitatea </w:t>
      </w:r>
      <w:r w:rsidR="00F16A6F" w:rsidRPr="00763840">
        <w:rPr>
          <w:sz w:val="28"/>
          <w:szCs w:val="28"/>
          <w:lang w:val="ro-RO" w:eastAsia="ru-RU"/>
        </w:rPr>
        <w:t>agențiilor de rating de credit</w:t>
      </w:r>
    </w:p>
    <w:p w:rsidR="00F16A6F" w:rsidRPr="00763840" w:rsidRDefault="00F16A6F" w:rsidP="009E588A">
      <w:pPr>
        <w:numPr>
          <w:ilvl w:val="0"/>
          <w:numId w:val="47"/>
        </w:numPr>
        <w:tabs>
          <w:tab w:val="left" w:pos="426"/>
          <w:tab w:val="left" w:pos="851"/>
          <w:tab w:val="left" w:pos="993"/>
          <w:tab w:val="left" w:pos="1134"/>
        </w:tabs>
        <w:ind w:left="0" w:firstLine="709"/>
        <w:rPr>
          <w:rFonts w:eastAsia="Arial Unicode MS"/>
          <w:sz w:val="28"/>
          <w:szCs w:val="28"/>
          <w:lang w:val="ro-RO" w:eastAsia="ru-RU"/>
        </w:rPr>
      </w:pPr>
      <w:r w:rsidRPr="00763840">
        <w:rPr>
          <w:rFonts w:eastAsia="Arial Unicode MS"/>
          <w:sz w:val="28"/>
          <w:szCs w:val="28"/>
          <w:lang w:val="ro-RO" w:eastAsia="ru-RU"/>
        </w:rPr>
        <w:t>Agențiile de rating de credit iau toate măsurile necesare pentru a se asigura că acordarea unui rating de credit sau a unei perspective de rating nu este afectată de existența sau potențiala existență a unor conflicte de interese.</w:t>
      </w:r>
    </w:p>
    <w:p w:rsidR="00F16A6F" w:rsidRPr="00763840" w:rsidRDefault="00F16A6F" w:rsidP="009E588A">
      <w:pPr>
        <w:numPr>
          <w:ilvl w:val="0"/>
          <w:numId w:val="47"/>
        </w:numPr>
        <w:tabs>
          <w:tab w:val="left" w:pos="426"/>
          <w:tab w:val="left" w:pos="851"/>
          <w:tab w:val="left" w:pos="993"/>
          <w:tab w:val="left" w:pos="1134"/>
        </w:tabs>
        <w:ind w:left="0" w:firstLine="709"/>
        <w:rPr>
          <w:rFonts w:eastAsia="Arial Unicode MS"/>
          <w:sz w:val="28"/>
          <w:szCs w:val="28"/>
          <w:lang w:val="ro-RO" w:eastAsia="ru-RU"/>
        </w:rPr>
      </w:pPr>
      <w:r w:rsidRPr="00763840">
        <w:rPr>
          <w:rFonts w:eastAsia="Arial Unicode MS"/>
          <w:sz w:val="28"/>
          <w:szCs w:val="28"/>
          <w:shd w:val="clear" w:color="auto" w:fill="FFFFFF"/>
          <w:lang w:val="ro-RO" w:eastAsia="ru-RU"/>
        </w:rPr>
        <w:t>Agențiile de rating de credit publică metodologiile, modelele și ipotezele principale pe care le folosesc în activitățile lor de rating de credit, precum ș</w:t>
      </w:r>
      <w:r w:rsidR="00F05CE0" w:rsidRPr="00763840">
        <w:rPr>
          <w:rFonts w:eastAsia="Arial Unicode MS"/>
          <w:sz w:val="28"/>
          <w:szCs w:val="28"/>
          <w:shd w:val="clear" w:color="auto" w:fill="FFFFFF"/>
          <w:lang w:val="ro-RO" w:eastAsia="ru-RU"/>
        </w:rPr>
        <w:t xml:space="preserve">i modificările </w:t>
      </w:r>
      <w:r w:rsidRPr="00763840">
        <w:rPr>
          <w:rFonts w:eastAsia="Arial Unicode MS"/>
          <w:sz w:val="28"/>
          <w:szCs w:val="28"/>
          <w:shd w:val="clear" w:color="auto" w:fill="FFFFFF"/>
          <w:lang w:val="ro-RO" w:eastAsia="ru-RU"/>
        </w:rPr>
        <w:t>acestora.</w:t>
      </w:r>
    </w:p>
    <w:p w:rsidR="00F16A6F" w:rsidRPr="00763840" w:rsidRDefault="00F16A6F" w:rsidP="009E588A">
      <w:pPr>
        <w:numPr>
          <w:ilvl w:val="0"/>
          <w:numId w:val="47"/>
        </w:numPr>
        <w:tabs>
          <w:tab w:val="left" w:pos="426"/>
          <w:tab w:val="left" w:pos="851"/>
          <w:tab w:val="left" w:pos="993"/>
          <w:tab w:val="left" w:pos="1134"/>
        </w:tabs>
        <w:ind w:left="0" w:firstLine="709"/>
        <w:rPr>
          <w:rFonts w:eastAsia="Arial Unicode MS"/>
          <w:sz w:val="28"/>
          <w:szCs w:val="28"/>
          <w:lang w:val="ro-RO" w:eastAsia="ru-RU"/>
        </w:rPr>
      </w:pPr>
      <w:r w:rsidRPr="00763840">
        <w:rPr>
          <w:rFonts w:eastAsia="Arial Unicode MS"/>
          <w:sz w:val="28"/>
          <w:szCs w:val="28"/>
          <w:shd w:val="clear" w:color="auto" w:fill="FFFFFF"/>
          <w:lang w:val="ro-RO" w:eastAsia="ru-RU"/>
        </w:rPr>
        <w:t>Agențiile de rating de credit utilizează metodologii de rating riguroase, sistematice și continue, care sunt supuse validării bazate pe experiența anterioară, inclusiv pe controlul </w:t>
      </w:r>
      <w:r w:rsidRPr="00763840">
        <w:rPr>
          <w:rFonts w:eastAsia="Arial Unicode MS"/>
          <w:i/>
          <w:iCs/>
          <w:sz w:val="28"/>
          <w:szCs w:val="28"/>
          <w:lang w:val="ro-RO" w:eastAsia="ru-RU"/>
        </w:rPr>
        <w:t>a posteriori</w:t>
      </w:r>
      <w:r w:rsidRPr="00763840">
        <w:rPr>
          <w:rFonts w:eastAsia="Arial Unicode MS"/>
          <w:sz w:val="28"/>
          <w:szCs w:val="28"/>
          <w:shd w:val="clear" w:color="auto" w:fill="FFFFFF"/>
          <w:lang w:val="ro-RO" w:eastAsia="ru-RU"/>
        </w:rPr>
        <w:t>.</w:t>
      </w:r>
    </w:p>
    <w:p w:rsidR="00F16A6F" w:rsidRPr="00763840" w:rsidRDefault="00F16A6F" w:rsidP="009E588A">
      <w:pPr>
        <w:numPr>
          <w:ilvl w:val="0"/>
          <w:numId w:val="47"/>
        </w:numPr>
        <w:tabs>
          <w:tab w:val="left" w:pos="426"/>
          <w:tab w:val="left" w:pos="851"/>
          <w:tab w:val="left" w:pos="993"/>
          <w:tab w:val="left" w:pos="1134"/>
        </w:tabs>
        <w:ind w:left="0" w:firstLine="709"/>
        <w:rPr>
          <w:rFonts w:eastAsia="Arial Unicode MS"/>
          <w:sz w:val="28"/>
          <w:szCs w:val="28"/>
          <w:lang w:val="ro-RO" w:eastAsia="ru-RU"/>
        </w:rPr>
      </w:pPr>
      <w:r w:rsidRPr="00763840">
        <w:rPr>
          <w:rFonts w:eastAsia="Arial Unicode MS"/>
          <w:sz w:val="28"/>
          <w:szCs w:val="28"/>
          <w:shd w:val="clear" w:color="auto" w:fill="FFFFFF"/>
          <w:lang w:val="ro-RO" w:eastAsia="ru-RU"/>
        </w:rPr>
        <w:t>Agențiile de rating de credit monitorizează ratingurile de credit și își revizuiesc ratingurile și metodologiile în permanență și cel puțin o dată pe an, în special atunci când intervin schimbări semnificative care ar putea influența un rating de credit.</w:t>
      </w:r>
    </w:p>
    <w:p w:rsidR="00F16A6F" w:rsidRPr="00763840" w:rsidRDefault="00F16A6F" w:rsidP="009E588A">
      <w:pPr>
        <w:numPr>
          <w:ilvl w:val="0"/>
          <w:numId w:val="47"/>
        </w:numPr>
        <w:tabs>
          <w:tab w:val="left" w:pos="426"/>
          <w:tab w:val="left" w:pos="851"/>
          <w:tab w:val="left" w:pos="993"/>
          <w:tab w:val="left" w:pos="1134"/>
        </w:tabs>
        <w:ind w:left="0" w:firstLine="709"/>
        <w:rPr>
          <w:rFonts w:eastAsia="Arial Unicode MS"/>
          <w:sz w:val="28"/>
          <w:szCs w:val="28"/>
          <w:lang w:val="ro-RO" w:eastAsia="ru-RU"/>
        </w:rPr>
      </w:pPr>
      <w:r w:rsidRPr="00763840">
        <w:rPr>
          <w:rFonts w:eastAsia="Arial Unicode MS"/>
          <w:sz w:val="28"/>
          <w:szCs w:val="28"/>
          <w:shd w:val="clear" w:color="auto" w:fill="FFFFFF"/>
          <w:lang w:val="ro-RO" w:eastAsia="ru-RU"/>
        </w:rPr>
        <w:t xml:space="preserve">Agenția de rating </w:t>
      </w:r>
      <w:r w:rsidR="005B5B59" w:rsidRPr="00763840">
        <w:rPr>
          <w:rFonts w:eastAsia="Arial Unicode MS"/>
          <w:sz w:val="28"/>
          <w:szCs w:val="28"/>
          <w:shd w:val="clear" w:color="auto" w:fill="FFFFFF"/>
          <w:lang w:val="ro-RO" w:eastAsia="ru-RU"/>
        </w:rPr>
        <w:t>instituie proceduri interne pentru monitorizarea impactului pe care îl au schimbările conjuncturii macroeconomice sau a condițiilor de pe piața financiară asupra ratingurilor de credit</w:t>
      </w:r>
    </w:p>
    <w:p w:rsidR="00F16A6F" w:rsidRPr="00763840" w:rsidRDefault="005B5B59" w:rsidP="009E588A">
      <w:pPr>
        <w:numPr>
          <w:ilvl w:val="0"/>
          <w:numId w:val="47"/>
        </w:numPr>
        <w:tabs>
          <w:tab w:val="left" w:pos="426"/>
          <w:tab w:val="left" w:pos="851"/>
          <w:tab w:val="left" w:pos="993"/>
          <w:tab w:val="left" w:pos="1134"/>
        </w:tabs>
        <w:ind w:left="0" w:firstLine="709"/>
        <w:rPr>
          <w:rFonts w:eastAsia="Arial Unicode MS"/>
          <w:sz w:val="28"/>
          <w:szCs w:val="28"/>
          <w:lang w:val="ro-RO" w:eastAsia="ru-RU"/>
        </w:rPr>
      </w:pPr>
      <w:r w:rsidRPr="00763840">
        <w:rPr>
          <w:rFonts w:eastAsia="Arial Unicode MS"/>
          <w:sz w:val="28"/>
          <w:szCs w:val="28"/>
          <w:shd w:val="clear" w:color="auto" w:fill="FFFFFF"/>
          <w:lang w:val="ro-RO" w:eastAsia="ru-RU"/>
        </w:rPr>
        <w:lastRenderedPageBreak/>
        <w:t>În îndeplinirea sarcinilor care îi revin în temeiul legislației în domeniul pieței de capital, nici Comisia Națională și nici o altă autoritate publică nu intervine asupra conținutului ratingurilor de credit sau asupra metodologiilor.</w:t>
      </w:r>
    </w:p>
    <w:p w:rsidR="00F16A6F" w:rsidRPr="00763840" w:rsidRDefault="000C1BB0" w:rsidP="009E588A">
      <w:pPr>
        <w:numPr>
          <w:ilvl w:val="0"/>
          <w:numId w:val="47"/>
        </w:numPr>
        <w:tabs>
          <w:tab w:val="left" w:pos="426"/>
          <w:tab w:val="left" w:pos="851"/>
          <w:tab w:val="left" w:pos="993"/>
          <w:tab w:val="left" w:pos="1134"/>
        </w:tabs>
        <w:ind w:left="0" w:firstLine="709"/>
        <w:rPr>
          <w:rFonts w:eastAsia="Arial Unicode MS"/>
          <w:sz w:val="28"/>
          <w:szCs w:val="28"/>
          <w:lang w:val="ro-RO" w:eastAsia="ru-RU"/>
        </w:rPr>
      </w:pPr>
      <w:r w:rsidRPr="00763840">
        <w:rPr>
          <w:rFonts w:eastAsia="Arial Unicode MS"/>
          <w:sz w:val="28"/>
          <w:szCs w:val="28"/>
          <w:shd w:val="clear" w:color="auto" w:fill="FFFFFF"/>
          <w:lang w:val="ro-RO" w:eastAsia="ru-RU"/>
        </w:rPr>
        <w:t>Agențiile</w:t>
      </w:r>
      <w:r w:rsidR="00F16A6F" w:rsidRPr="00763840">
        <w:rPr>
          <w:rFonts w:eastAsia="Arial Unicode MS"/>
          <w:sz w:val="28"/>
          <w:szCs w:val="28"/>
          <w:shd w:val="clear" w:color="auto" w:fill="FFFFFF"/>
          <w:lang w:val="ro-RO" w:eastAsia="ru-RU"/>
        </w:rPr>
        <w:t xml:space="preserve"> </w:t>
      </w:r>
      <w:r w:rsidRPr="00763840">
        <w:rPr>
          <w:rFonts w:eastAsia="Arial Unicode MS"/>
          <w:sz w:val="28"/>
          <w:szCs w:val="28"/>
          <w:shd w:val="clear" w:color="auto" w:fill="FFFFFF"/>
          <w:lang w:val="ro-RO" w:eastAsia="ru-RU"/>
        </w:rPr>
        <w:t>de rating de credit nu pot utiliza numele Comisiei Naționale sau al unei alte autorități competente într-un mod care ar putea indica sau sugera aprobarea de către Comisia Națională sau orice autoritate competentă a ratingurilor de credit sau a oricăror activități de rating ale agenției de rating de credit.</w:t>
      </w:r>
    </w:p>
    <w:p w:rsidR="00F16A6F" w:rsidRPr="00763840" w:rsidRDefault="000C1BB0" w:rsidP="009E588A">
      <w:pPr>
        <w:numPr>
          <w:ilvl w:val="0"/>
          <w:numId w:val="47"/>
        </w:numPr>
        <w:tabs>
          <w:tab w:val="left" w:pos="426"/>
          <w:tab w:val="left" w:pos="851"/>
          <w:tab w:val="left" w:pos="993"/>
          <w:tab w:val="left" w:pos="1134"/>
        </w:tabs>
        <w:ind w:left="0" w:firstLine="709"/>
        <w:rPr>
          <w:rFonts w:eastAsia="Arial Unicode MS"/>
          <w:sz w:val="28"/>
          <w:szCs w:val="28"/>
          <w:lang w:val="ro-RO" w:eastAsia="ru-RU"/>
        </w:rPr>
      </w:pPr>
      <w:r w:rsidRPr="00763840">
        <w:rPr>
          <w:rFonts w:eastAsia="Arial Unicode MS"/>
          <w:sz w:val="28"/>
          <w:szCs w:val="28"/>
          <w:shd w:val="clear" w:color="auto" w:fill="FFFFFF"/>
          <w:lang w:val="ro-RO" w:eastAsia="ru-RU"/>
        </w:rPr>
        <w:t>Comisia</w:t>
      </w:r>
      <w:r w:rsidR="00F16A6F" w:rsidRPr="00763840">
        <w:rPr>
          <w:rFonts w:eastAsia="Arial Unicode MS"/>
          <w:sz w:val="28"/>
          <w:szCs w:val="28"/>
          <w:shd w:val="clear" w:color="auto" w:fill="FFFFFF"/>
          <w:lang w:val="ro-RO" w:eastAsia="ru-RU"/>
        </w:rPr>
        <w:t xml:space="preserve"> </w:t>
      </w:r>
      <w:r w:rsidRPr="00763840">
        <w:rPr>
          <w:rFonts w:eastAsia="Arial Unicode MS"/>
          <w:sz w:val="28"/>
          <w:szCs w:val="28"/>
          <w:shd w:val="clear" w:color="auto" w:fill="FFFFFF"/>
          <w:lang w:val="ro-RO" w:eastAsia="ru-RU"/>
        </w:rPr>
        <w:t>Națională nu poartă nici o responsabilitate și nu oferă asigurări în ceea ce privește corectitudinea și exactitatea ratingurilor de credit acordate de agențiile de rating de credit.</w:t>
      </w:r>
    </w:p>
    <w:p w:rsidR="000C1BB0" w:rsidRPr="00763840" w:rsidRDefault="000C1BB0" w:rsidP="009E588A">
      <w:pPr>
        <w:numPr>
          <w:ilvl w:val="0"/>
          <w:numId w:val="47"/>
        </w:numPr>
        <w:tabs>
          <w:tab w:val="left" w:pos="426"/>
          <w:tab w:val="left" w:pos="851"/>
          <w:tab w:val="left" w:pos="993"/>
          <w:tab w:val="left" w:pos="1134"/>
        </w:tabs>
        <w:ind w:left="0" w:firstLine="709"/>
        <w:rPr>
          <w:rFonts w:eastAsia="Arial Unicode MS"/>
          <w:sz w:val="28"/>
          <w:szCs w:val="28"/>
          <w:lang w:val="ro-RO" w:eastAsia="ru-RU"/>
        </w:rPr>
      </w:pPr>
      <w:r w:rsidRPr="00763840">
        <w:rPr>
          <w:rFonts w:eastAsia="Arial Unicode MS"/>
          <w:sz w:val="28"/>
          <w:szCs w:val="28"/>
          <w:lang w:val="ro-RO" w:eastAsia="ru-RU"/>
        </w:rPr>
        <w:t>Prevederile art.39 alin.(1) lit</w:t>
      </w:r>
      <w:r w:rsidRPr="00763840">
        <w:rPr>
          <w:rFonts w:eastAsia="Arial Unicode MS"/>
          <w:sz w:val="28"/>
          <w:szCs w:val="28"/>
          <w:shd w:val="clear" w:color="auto" w:fill="FFFFFF"/>
          <w:lang w:val="ro-RO" w:eastAsia="ru-RU"/>
        </w:rPr>
        <w:t>.a)-d), lit.f) și alin.(4), art.41 alin.(1) lit</w:t>
      </w:r>
      <w:r w:rsidR="009E588A">
        <w:rPr>
          <w:rFonts w:eastAsia="Arial Unicode MS"/>
          <w:sz w:val="28"/>
          <w:szCs w:val="28"/>
          <w:shd w:val="clear" w:color="auto" w:fill="FFFFFF"/>
          <w:lang w:val="ro-RO" w:eastAsia="ru-RU"/>
        </w:rPr>
        <w:t>.a)-lit.f) și lit.h), alin.(3)-</w:t>
      </w:r>
      <w:r w:rsidRPr="00763840">
        <w:rPr>
          <w:rFonts w:eastAsia="Arial Unicode MS"/>
          <w:sz w:val="28"/>
          <w:szCs w:val="28"/>
          <w:shd w:val="clear" w:color="auto" w:fill="FFFFFF"/>
          <w:lang w:val="ro-RO" w:eastAsia="ru-RU"/>
        </w:rPr>
        <w:t xml:space="preserve">(7), art. 42 </w:t>
      </w:r>
      <w:r w:rsidR="009E588A">
        <w:rPr>
          <w:rFonts w:eastAsia="Arial Unicode MS"/>
          <w:sz w:val="28"/>
          <w:szCs w:val="28"/>
          <w:shd w:val="clear" w:color="auto" w:fill="FFFFFF"/>
          <w:lang w:val="ro-RO" w:eastAsia="ru-RU"/>
        </w:rPr>
        <w:t>alin.(1)-</w:t>
      </w:r>
      <w:r w:rsidRPr="00763840">
        <w:rPr>
          <w:rFonts w:eastAsia="Arial Unicode MS"/>
          <w:sz w:val="28"/>
          <w:szCs w:val="28"/>
          <w:shd w:val="clear" w:color="auto" w:fill="FFFFFF"/>
          <w:lang w:val="ro-RO" w:eastAsia="ru-RU"/>
        </w:rPr>
        <w:t>(3), art.46 alin.(1)-(4) și art.50 alin.(4) se aplică corespunzător în raport cu agențiile de rating de credit.</w:t>
      </w:r>
    </w:p>
    <w:p w:rsidR="00F16A6F" w:rsidRPr="00763840" w:rsidRDefault="00F16A6F" w:rsidP="00F16A6F">
      <w:pPr>
        <w:tabs>
          <w:tab w:val="left" w:pos="426"/>
        </w:tabs>
        <w:ind w:firstLine="0"/>
        <w:rPr>
          <w:sz w:val="28"/>
          <w:szCs w:val="28"/>
          <w:lang w:val="ro-RO" w:eastAsia="ru-RU"/>
        </w:rPr>
      </w:pPr>
    </w:p>
    <w:p w:rsidR="00F16A6F" w:rsidRPr="00763840" w:rsidRDefault="00F16A6F" w:rsidP="009E588A">
      <w:pPr>
        <w:ind w:firstLine="709"/>
        <w:rPr>
          <w:rFonts w:eastAsia="Arial Unicode MS"/>
          <w:sz w:val="28"/>
          <w:szCs w:val="28"/>
          <w:lang w:val="ro-RO" w:eastAsia="ru-RU"/>
        </w:rPr>
      </w:pPr>
      <w:r w:rsidRPr="00763840">
        <w:rPr>
          <w:rFonts w:eastAsia="Arial Unicode MS"/>
          <w:b/>
          <w:sz w:val="28"/>
          <w:szCs w:val="28"/>
          <w:shd w:val="clear" w:color="auto" w:fill="FFFFFF"/>
          <w:lang w:val="ro-RO"/>
        </w:rPr>
        <w:t>Articolul 88</w:t>
      </w:r>
      <w:r w:rsidRPr="00763840">
        <w:rPr>
          <w:rFonts w:eastAsia="Arial Unicode MS"/>
          <w:b/>
          <w:sz w:val="28"/>
          <w:szCs w:val="28"/>
          <w:shd w:val="clear" w:color="auto" w:fill="FFFFFF"/>
          <w:vertAlign w:val="superscript"/>
          <w:lang w:val="ro-RO"/>
        </w:rPr>
        <w:t>4</w:t>
      </w:r>
      <w:r w:rsidRPr="00763840">
        <w:rPr>
          <w:rFonts w:eastAsia="Arial Unicode MS"/>
          <w:b/>
          <w:sz w:val="28"/>
          <w:szCs w:val="28"/>
          <w:shd w:val="clear" w:color="auto" w:fill="FFFFFF"/>
          <w:lang w:val="ro-RO"/>
        </w:rPr>
        <w:t xml:space="preserve">. </w:t>
      </w:r>
      <w:r w:rsidR="000C1BB0" w:rsidRPr="00763840">
        <w:rPr>
          <w:rFonts w:eastAsia="Arial Unicode MS"/>
          <w:sz w:val="28"/>
          <w:szCs w:val="28"/>
          <w:shd w:val="clear" w:color="auto" w:fill="FFFFFF"/>
          <w:lang w:val="ro-RO"/>
        </w:rPr>
        <w:t>Reglementarea activității agențiilor de rating de credit</w:t>
      </w:r>
    </w:p>
    <w:p w:rsidR="000C1BB0" w:rsidRPr="00763840" w:rsidRDefault="000C1BB0" w:rsidP="009E588A">
      <w:pPr>
        <w:tabs>
          <w:tab w:val="left" w:pos="426"/>
        </w:tabs>
        <w:ind w:firstLine="709"/>
        <w:rPr>
          <w:rFonts w:eastAsia="Arial Unicode MS"/>
          <w:sz w:val="28"/>
          <w:szCs w:val="28"/>
          <w:lang w:val="ro-RO" w:eastAsia="ru-RU"/>
        </w:rPr>
      </w:pPr>
      <w:r w:rsidRPr="00763840">
        <w:rPr>
          <w:rFonts w:eastAsia="Arial Unicode MS"/>
          <w:sz w:val="28"/>
          <w:szCs w:val="28"/>
          <w:lang w:val="ro-RO" w:eastAsia="ru-RU"/>
        </w:rPr>
        <w:t>(1) Cerințele privind desfășurarea activității agențiilor de rating de credit, condițiile de acordare și publicare a ratingurilor de credit, precum și regulile referitoare la organizarea și modul în care acționează agențiile de rating de credit, inclusiv acționarii și membrii acestora, sînt reglementate de actele normative ale Comisiei Naţionale.</w:t>
      </w:r>
    </w:p>
    <w:p w:rsidR="00F16A6F" w:rsidRPr="00763840" w:rsidRDefault="000C1BB0" w:rsidP="009E588A">
      <w:pPr>
        <w:tabs>
          <w:tab w:val="left" w:pos="426"/>
        </w:tabs>
        <w:ind w:firstLine="709"/>
        <w:rPr>
          <w:b/>
          <w:sz w:val="28"/>
          <w:szCs w:val="28"/>
          <w:lang w:val="ro-RO" w:eastAsia="ru-RU"/>
        </w:rPr>
      </w:pPr>
      <w:r w:rsidRPr="00763840">
        <w:rPr>
          <w:rFonts w:eastAsia="Arial Unicode MS"/>
          <w:sz w:val="28"/>
          <w:szCs w:val="28"/>
          <w:lang w:val="ro-RO" w:eastAsia="ru-RU"/>
        </w:rPr>
        <w:t>(2) În cazul în care nu se respectă prevederile prezentei secțiuni, Comisia Naţională este în drept să aplice sancţiuni</w:t>
      </w:r>
      <w:r w:rsidR="006E1D4D" w:rsidRPr="00763840">
        <w:rPr>
          <w:rFonts w:eastAsia="Arial Unicode MS"/>
          <w:sz w:val="28"/>
          <w:szCs w:val="28"/>
          <w:lang w:val="ro-RO" w:eastAsia="ru-RU"/>
        </w:rPr>
        <w:t>.”</w:t>
      </w:r>
    </w:p>
    <w:p w:rsidR="00F16A6F" w:rsidRPr="00763840" w:rsidRDefault="00F16A6F" w:rsidP="00F16A6F">
      <w:pPr>
        <w:pStyle w:val="ListParagraph"/>
        <w:tabs>
          <w:tab w:val="left" w:pos="0"/>
          <w:tab w:val="left" w:pos="284"/>
        </w:tabs>
        <w:ind w:left="0" w:firstLine="0"/>
        <w:rPr>
          <w:sz w:val="28"/>
          <w:szCs w:val="28"/>
          <w:lang w:val="ro-RO"/>
        </w:rPr>
      </w:pPr>
    </w:p>
    <w:p w:rsidR="00FC7ACB" w:rsidRPr="00763840" w:rsidRDefault="00CB3AB5" w:rsidP="009E588A">
      <w:pPr>
        <w:pStyle w:val="NormalWeb"/>
        <w:ind w:firstLine="709"/>
        <w:rPr>
          <w:sz w:val="28"/>
          <w:szCs w:val="28"/>
          <w:lang w:val="en-US"/>
        </w:rPr>
      </w:pPr>
      <w:r w:rsidRPr="00763840">
        <w:rPr>
          <w:b/>
          <w:bCs/>
          <w:sz w:val="28"/>
          <w:szCs w:val="28"/>
          <w:lang w:val="en-US"/>
        </w:rPr>
        <w:t>Art.</w:t>
      </w:r>
      <w:r w:rsidR="009E588A">
        <w:rPr>
          <w:b/>
          <w:bCs/>
          <w:sz w:val="28"/>
          <w:szCs w:val="28"/>
          <w:lang w:val="en-US"/>
        </w:rPr>
        <w:t xml:space="preserve"> </w:t>
      </w:r>
      <w:r w:rsidRPr="00763840">
        <w:rPr>
          <w:b/>
          <w:bCs/>
          <w:sz w:val="28"/>
          <w:szCs w:val="28"/>
          <w:lang w:val="en-US"/>
        </w:rPr>
        <w:t>II</w:t>
      </w:r>
      <w:r w:rsidR="00FC7ACB" w:rsidRPr="00763840">
        <w:rPr>
          <w:b/>
          <w:bCs/>
          <w:sz w:val="28"/>
          <w:szCs w:val="28"/>
          <w:lang w:val="en-US"/>
        </w:rPr>
        <w:t xml:space="preserve">I. </w:t>
      </w:r>
      <w:r w:rsidR="00FC7ACB" w:rsidRPr="00763840">
        <w:rPr>
          <w:sz w:val="28"/>
          <w:szCs w:val="28"/>
          <w:lang w:val="en-US"/>
        </w:rPr>
        <w:t>– Prezenta lege intră în vigoare la data publicării în Monitorul Oficial al Republicii Moldova.</w:t>
      </w:r>
    </w:p>
    <w:p w:rsidR="00EB392F" w:rsidRPr="007B5276" w:rsidRDefault="00EB392F" w:rsidP="007B5276">
      <w:pPr>
        <w:pStyle w:val="ListParagraph"/>
        <w:rPr>
          <w:sz w:val="28"/>
          <w:szCs w:val="28"/>
          <w:lang w:val="ro-RO"/>
        </w:rPr>
      </w:pPr>
    </w:p>
    <w:p w:rsidR="00F16A6F" w:rsidRPr="00763840" w:rsidRDefault="00F16A6F" w:rsidP="00E836FE">
      <w:pPr>
        <w:ind w:firstLine="709"/>
        <w:rPr>
          <w:b/>
          <w:sz w:val="28"/>
          <w:szCs w:val="28"/>
          <w:lang w:val="ro-RO"/>
        </w:rPr>
      </w:pPr>
    </w:p>
    <w:p w:rsidR="008A7B1B" w:rsidRPr="00763840" w:rsidRDefault="00C63B05" w:rsidP="00E836FE">
      <w:pPr>
        <w:ind w:firstLine="709"/>
        <w:outlineLvl w:val="0"/>
        <w:rPr>
          <w:b/>
          <w:sz w:val="28"/>
          <w:szCs w:val="28"/>
        </w:rPr>
      </w:pPr>
      <w:r w:rsidRPr="00763840">
        <w:rPr>
          <w:b/>
          <w:sz w:val="28"/>
          <w:szCs w:val="28"/>
          <w:lang w:val="ro-RO"/>
        </w:rPr>
        <w:t>Președintele Parlamentului</w:t>
      </w:r>
    </w:p>
    <w:sectPr w:rsidR="008A7B1B" w:rsidRPr="00763840" w:rsidSect="00AE7568">
      <w:headerReference w:type="default" r:id="rId11"/>
      <w:footerReference w:type="default" r:id="rId12"/>
      <w:pgSz w:w="11907" w:h="16840" w:code="9"/>
      <w:pgMar w:top="1134" w:right="964" w:bottom="1134" w:left="181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EA6" w:rsidRDefault="004A1EA6" w:rsidP="00026B87">
      <w:r>
        <w:separator/>
      </w:r>
    </w:p>
  </w:endnote>
  <w:endnote w:type="continuationSeparator" w:id="0">
    <w:p w:rsidR="004A1EA6" w:rsidRDefault="004A1EA6" w:rsidP="0002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ermianSansTypeface">
    <w:altName w:val="Arial"/>
    <w:panose1 w:val="00000000000000000000"/>
    <w:charset w:val="00"/>
    <w:family w:val="modern"/>
    <w:notTrueType/>
    <w:pitch w:val="variable"/>
    <w:sig w:usb0="A000022F" w:usb1="4000A07A" w:usb2="00000000" w:usb3="00000000" w:csb0="0000000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43"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1F1" w:rsidRPr="00C74719" w:rsidRDefault="00EA01F1" w:rsidP="00C74719">
    <w:pPr>
      <w:pStyle w:val="Footer"/>
      <w:ind w:firstLine="0"/>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EA6" w:rsidRDefault="004A1EA6" w:rsidP="00026B87">
      <w:r>
        <w:separator/>
      </w:r>
    </w:p>
  </w:footnote>
  <w:footnote w:type="continuationSeparator" w:id="0">
    <w:p w:rsidR="004A1EA6" w:rsidRDefault="004A1EA6" w:rsidP="00026B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1F1" w:rsidRDefault="00543F17">
    <w:pPr>
      <w:pStyle w:val="Header"/>
      <w:jc w:val="center"/>
    </w:pPr>
    <w:r>
      <w:fldChar w:fldCharType="begin"/>
    </w:r>
    <w:r w:rsidR="00EA01F1">
      <w:instrText>PAGE   \* MERGEFORMAT</w:instrText>
    </w:r>
    <w:r>
      <w:fldChar w:fldCharType="separate"/>
    </w:r>
    <w:r w:rsidR="007B5276" w:rsidRPr="007B5276">
      <w:rPr>
        <w:noProof/>
        <w:lang w:val="ro-RO"/>
      </w:rPr>
      <w:t>2</w:t>
    </w:r>
    <w:r>
      <w:fldChar w:fldCharType="end"/>
    </w:r>
  </w:p>
  <w:p w:rsidR="00EA01F1" w:rsidRDefault="00EA01F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2E83"/>
    <w:multiLevelType w:val="hybridMultilevel"/>
    <w:tmpl w:val="743A4BF4"/>
    <w:lvl w:ilvl="0" w:tplc="25CA154C">
      <w:start w:val="1"/>
      <w:numFmt w:val="decimal"/>
      <w:lvlText w:val="(%1)"/>
      <w:lvlJc w:val="left"/>
      <w:pPr>
        <w:ind w:left="36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83C77"/>
    <w:multiLevelType w:val="hybridMultilevel"/>
    <w:tmpl w:val="AF90A396"/>
    <w:lvl w:ilvl="0" w:tplc="661A55D8">
      <w:start w:val="1"/>
      <w:numFmt w:val="bullet"/>
      <w:lvlText w:val="-"/>
      <w:lvlJc w:val="left"/>
      <w:pPr>
        <w:ind w:left="1494" w:hanging="360"/>
      </w:pPr>
      <w:rPr>
        <w:rFonts w:ascii="PermianSansTypeface" w:eastAsia="Times New Roman" w:hAnsi="PermianSansTypeface" w:cs="Times New Roman"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2" w15:restartNumberingAfterBreak="0">
    <w:nsid w:val="076010B7"/>
    <w:multiLevelType w:val="hybridMultilevel"/>
    <w:tmpl w:val="8E528D28"/>
    <w:lvl w:ilvl="0" w:tplc="65501792">
      <w:start w:val="1"/>
      <w:numFmt w:val="low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3" w15:restartNumberingAfterBreak="0">
    <w:nsid w:val="076320D0"/>
    <w:multiLevelType w:val="hybridMultilevel"/>
    <w:tmpl w:val="B616D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A754A"/>
    <w:multiLevelType w:val="hybridMultilevel"/>
    <w:tmpl w:val="CAFCA310"/>
    <w:lvl w:ilvl="0" w:tplc="041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9381E"/>
    <w:multiLevelType w:val="hybridMultilevel"/>
    <w:tmpl w:val="FB7A1EFA"/>
    <w:lvl w:ilvl="0" w:tplc="0468613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0CF197A"/>
    <w:multiLevelType w:val="hybridMultilevel"/>
    <w:tmpl w:val="5D04CF60"/>
    <w:lvl w:ilvl="0" w:tplc="E6D03DEE">
      <w:start w:val="1"/>
      <w:numFmt w:val="decimal"/>
      <w:lvlText w:val="%1."/>
      <w:lvlJc w:val="left"/>
      <w:pPr>
        <w:ind w:left="644"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11AD4B3A"/>
    <w:multiLevelType w:val="hybridMultilevel"/>
    <w:tmpl w:val="7660BC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5D43EE"/>
    <w:multiLevelType w:val="hybridMultilevel"/>
    <w:tmpl w:val="38B03312"/>
    <w:lvl w:ilvl="0" w:tplc="9D10F7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40135"/>
    <w:multiLevelType w:val="hybridMultilevel"/>
    <w:tmpl w:val="ADBA369A"/>
    <w:lvl w:ilvl="0" w:tplc="0128BAFC">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1C4532FF"/>
    <w:multiLevelType w:val="hybridMultilevel"/>
    <w:tmpl w:val="951860BE"/>
    <w:lvl w:ilvl="0" w:tplc="C6BA4C9C">
      <w:start w:val="1"/>
      <w:numFmt w:val="decimal"/>
      <w:lvlText w:val="%1)"/>
      <w:lvlJc w:val="left"/>
      <w:pPr>
        <w:ind w:left="1287" w:hanging="360"/>
      </w:pPr>
      <w:rPr>
        <w:rFonts w:ascii="Times New Roman" w:eastAsiaTheme="minorEastAsia"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E887632"/>
    <w:multiLevelType w:val="hybridMultilevel"/>
    <w:tmpl w:val="494C5BD2"/>
    <w:lvl w:ilvl="0" w:tplc="038210D0">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2803438C"/>
    <w:multiLevelType w:val="hybridMultilevel"/>
    <w:tmpl w:val="56F8CF06"/>
    <w:lvl w:ilvl="0" w:tplc="04190017">
      <w:start w:val="1"/>
      <w:numFmt w:val="lowerLetter"/>
      <w:lvlText w:val="%1)"/>
      <w:lvlJc w:val="left"/>
      <w:pPr>
        <w:ind w:left="720" w:hanging="360"/>
      </w:pPr>
      <w:rPr>
        <w:rFonts w:hint="default"/>
      </w:rPr>
    </w:lvl>
    <w:lvl w:ilvl="1" w:tplc="BD70E452">
      <w:start w:val="1"/>
      <w:numFmt w:val="decimal"/>
      <w:lvlText w:val="(%2)"/>
      <w:lvlJc w:val="left"/>
      <w:pPr>
        <w:ind w:left="1455" w:hanging="375"/>
      </w:pPr>
      <w:rPr>
        <w:rFonts w:eastAsia="Times New Roman" w:hint="default"/>
        <w:b w:val="0"/>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342A5C"/>
    <w:multiLevelType w:val="hybridMultilevel"/>
    <w:tmpl w:val="A470CC64"/>
    <w:lvl w:ilvl="0" w:tplc="E0387686">
      <w:start w:val="1"/>
      <w:numFmt w:val="decimal"/>
      <w:lvlText w:val="%1."/>
      <w:lvlJc w:val="left"/>
      <w:pPr>
        <w:ind w:left="927" w:hanging="360"/>
      </w:pPr>
    </w:lvl>
    <w:lvl w:ilvl="1" w:tplc="BEAA2EA6">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4" w15:restartNumberingAfterBreak="0">
    <w:nsid w:val="373E0E47"/>
    <w:multiLevelType w:val="hybridMultilevel"/>
    <w:tmpl w:val="84ECC3B0"/>
    <w:lvl w:ilvl="0" w:tplc="C70CA2D6">
      <w:start w:val="1"/>
      <w:numFmt w:val="decimal"/>
      <w:lvlText w:val="%1)"/>
      <w:lvlJc w:val="left"/>
      <w:pPr>
        <w:ind w:left="810" w:hanging="360"/>
      </w:pPr>
      <w:rPr>
        <w:rFonts w:ascii="Times New Roman" w:eastAsia="Batang"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3DB62795"/>
    <w:multiLevelType w:val="hybridMultilevel"/>
    <w:tmpl w:val="FD66ED16"/>
    <w:lvl w:ilvl="0" w:tplc="9D30A030">
      <w:start w:val="1"/>
      <w:numFmt w:val="decimal"/>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6" w15:restartNumberingAfterBreak="0">
    <w:nsid w:val="3E2B2DBA"/>
    <w:multiLevelType w:val="hybridMultilevel"/>
    <w:tmpl w:val="46383FE8"/>
    <w:lvl w:ilvl="0" w:tplc="82489AC6">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7" w15:restartNumberingAfterBreak="0">
    <w:nsid w:val="403D2F72"/>
    <w:multiLevelType w:val="hybridMultilevel"/>
    <w:tmpl w:val="EEB88BD6"/>
    <w:lvl w:ilvl="0" w:tplc="096CCA9A">
      <w:start w:val="1"/>
      <w:numFmt w:val="decimal"/>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8" w15:restartNumberingAfterBreak="0">
    <w:nsid w:val="43D16147"/>
    <w:multiLevelType w:val="hybridMultilevel"/>
    <w:tmpl w:val="E8CECE42"/>
    <w:lvl w:ilvl="0" w:tplc="04190011">
      <w:start w:val="1"/>
      <w:numFmt w:val="decimal"/>
      <w:lvlText w:val="%1)"/>
      <w:lvlJc w:val="left"/>
      <w:pPr>
        <w:tabs>
          <w:tab w:val="num" w:pos="720"/>
        </w:tabs>
        <w:ind w:left="720" w:hanging="360"/>
      </w:pPr>
      <w:rPr>
        <w:rFonts w:hint="default"/>
        <w:color w:val="auto"/>
      </w:rPr>
    </w:lvl>
    <w:lvl w:ilvl="1" w:tplc="373661B2">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7D03B5D"/>
    <w:multiLevelType w:val="hybridMultilevel"/>
    <w:tmpl w:val="24C88B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1448D8"/>
    <w:multiLevelType w:val="hybridMultilevel"/>
    <w:tmpl w:val="857EAF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AE196D"/>
    <w:multiLevelType w:val="hybridMultilevel"/>
    <w:tmpl w:val="32EE57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8E1786"/>
    <w:multiLevelType w:val="hybridMultilevel"/>
    <w:tmpl w:val="6F1A9072"/>
    <w:lvl w:ilvl="0" w:tplc="EC0881AC">
      <w:start w:val="1"/>
      <w:numFmt w:val="decimal"/>
      <w:lvlText w:val="%1)"/>
      <w:lvlJc w:val="left"/>
      <w:pPr>
        <w:ind w:left="720" w:hanging="360"/>
      </w:pPr>
      <w:rPr>
        <w:rFonts w:ascii="Times New Roman" w:eastAsiaTheme="minorEastAsia"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A62CB6"/>
    <w:multiLevelType w:val="hybridMultilevel"/>
    <w:tmpl w:val="E4EAA35E"/>
    <w:lvl w:ilvl="0" w:tplc="04090017">
      <w:start w:val="1"/>
      <w:numFmt w:val="lowerLetter"/>
      <w:lvlText w:val="%1)"/>
      <w:lvlJc w:val="left"/>
      <w:pPr>
        <w:ind w:left="1287" w:hanging="360"/>
      </w:pPr>
    </w:lvl>
    <w:lvl w:ilvl="1" w:tplc="04090017">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4" w15:restartNumberingAfterBreak="0">
    <w:nsid w:val="5BCC6185"/>
    <w:multiLevelType w:val="hybridMultilevel"/>
    <w:tmpl w:val="9A74E53E"/>
    <w:lvl w:ilvl="0" w:tplc="00A280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216762"/>
    <w:multiLevelType w:val="hybridMultilevel"/>
    <w:tmpl w:val="C0DE928C"/>
    <w:lvl w:ilvl="0" w:tplc="6D363334">
      <w:start w:val="1"/>
      <w:numFmt w:val="decimal"/>
      <w:lvlText w:val="%1)"/>
      <w:lvlJc w:val="left"/>
      <w:pPr>
        <w:ind w:left="435" w:hanging="360"/>
      </w:pPr>
      <w:rPr>
        <w:rFonts w:ascii="Times New Roman" w:eastAsiaTheme="minorEastAsia" w:hAnsi="Times New Roman" w:cs="Times New Roman"/>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DC7CBF"/>
    <w:multiLevelType w:val="hybridMultilevel"/>
    <w:tmpl w:val="488215F2"/>
    <w:lvl w:ilvl="0" w:tplc="61009C96">
      <w:start w:val="1"/>
      <w:numFmt w:val="lowerLetter"/>
      <w:lvlText w:val="%1)"/>
      <w:lvlJc w:val="left"/>
      <w:pPr>
        <w:ind w:left="720" w:hanging="360"/>
      </w:pPr>
      <w:rPr>
        <w:rFonts w:ascii="Times New Roman" w:eastAsia="Batang"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973833"/>
    <w:multiLevelType w:val="hybridMultilevel"/>
    <w:tmpl w:val="8DE883C8"/>
    <w:lvl w:ilvl="0" w:tplc="76EE25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B82EFE"/>
    <w:multiLevelType w:val="hybridMultilevel"/>
    <w:tmpl w:val="249238F2"/>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331EDB"/>
    <w:multiLevelType w:val="hybridMultilevel"/>
    <w:tmpl w:val="46383FE8"/>
    <w:lvl w:ilvl="0" w:tplc="82489AC6">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0" w15:restartNumberingAfterBreak="0">
    <w:nsid w:val="6D423E84"/>
    <w:multiLevelType w:val="hybridMultilevel"/>
    <w:tmpl w:val="7C8A22E0"/>
    <w:lvl w:ilvl="0" w:tplc="3E328B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8A781F"/>
    <w:multiLevelType w:val="hybridMultilevel"/>
    <w:tmpl w:val="069CE6F8"/>
    <w:lvl w:ilvl="0" w:tplc="9D10F71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57336D"/>
    <w:multiLevelType w:val="hybridMultilevel"/>
    <w:tmpl w:val="C13E0504"/>
    <w:lvl w:ilvl="0" w:tplc="D23604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141812"/>
    <w:multiLevelType w:val="hybridMultilevel"/>
    <w:tmpl w:val="494C5BD2"/>
    <w:lvl w:ilvl="0" w:tplc="038210D0">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4" w15:restartNumberingAfterBreak="0">
    <w:nsid w:val="7B8F0091"/>
    <w:multiLevelType w:val="hybridMultilevel"/>
    <w:tmpl w:val="F5763D30"/>
    <w:lvl w:ilvl="0" w:tplc="0128BAFC">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5" w15:restartNumberingAfterBreak="0">
    <w:nsid w:val="7C0A5F84"/>
    <w:multiLevelType w:val="hybridMultilevel"/>
    <w:tmpl w:val="1B92151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30"/>
  </w:num>
  <w:num w:numId="3">
    <w:abstractNumId w:val="3"/>
  </w:num>
  <w:num w:numId="4">
    <w:abstractNumId w:val="20"/>
  </w:num>
  <w:num w:numId="5">
    <w:abstractNumId w:val="18"/>
  </w:num>
  <w:num w:numId="6">
    <w:abstractNumId w:val="21"/>
  </w:num>
  <w:num w:numId="7">
    <w:abstractNumId w:val="7"/>
  </w:num>
  <w:num w:numId="8">
    <w:abstractNumId w:val="19"/>
  </w:num>
  <w:num w:numId="9">
    <w:abstractNumId w:val="32"/>
  </w:num>
  <w:num w:numId="10">
    <w:abstractNumId w:val="35"/>
  </w:num>
  <w:num w:numId="11">
    <w:abstractNumId w:val="14"/>
  </w:num>
  <w:num w:numId="12">
    <w:abstractNumId w:val="26"/>
  </w:num>
  <w:num w:numId="13">
    <w:abstractNumId w:val="5"/>
  </w:num>
  <w:num w:numId="14">
    <w:abstractNumId w:val="4"/>
  </w:num>
  <w:num w:numId="15">
    <w:abstractNumId w:val="10"/>
  </w:num>
  <w:num w:numId="16">
    <w:abstractNumId w:val="25"/>
  </w:num>
  <w:num w:numId="17">
    <w:abstractNumId w:val="22"/>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5"/>
  </w:num>
  <w:num w:numId="32">
    <w:abstractNumId w:val="17"/>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
  </w:num>
  <w:num w:numId="40">
    <w:abstractNumId w:val="33"/>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0"/>
  </w:num>
  <w:num w:numId="46">
    <w:abstractNumId w:val="12"/>
  </w:num>
  <w:num w:numId="47">
    <w:abstractNumId w:val="24"/>
  </w:num>
  <w:num w:numId="48">
    <w:abstractNumId w:val="28"/>
  </w:num>
  <w:num w:numId="49">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CE0"/>
    <w:rsid w:val="00000CF4"/>
    <w:rsid w:val="0000763B"/>
    <w:rsid w:val="000079A7"/>
    <w:rsid w:val="0002046E"/>
    <w:rsid w:val="00026B87"/>
    <w:rsid w:val="00052AD1"/>
    <w:rsid w:val="00075CE0"/>
    <w:rsid w:val="00077246"/>
    <w:rsid w:val="000820BA"/>
    <w:rsid w:val="00083DEE"/>
    <w:rsid w:val="00084A0B"/>
    <w:rsid w:val="0008534C"/>
    <w:rsid w:val="00085DA8"/>
    <w:rsid w:val="00086783"/>
    <w:rsid w:val="000B66A7"/>
    <w:rsid w:val="000B7B5D"/>
    <w:rsid w:val="000C13D0"/>
    <w:rsid w:val="000C1411"/>
    <w:rsid w:val="000C1BB0"/>
    <w:rsid w:val="000D226B"/>
    <w:rsid w:val="000D338B"/>
    <w:rsid w:val="000D3D0C"/>
    <w:rsid w:val="000D639C"/>
    <w:rsid w:val="001100A2"/>
    <w:rsid w:val="00144067"/>
    <w:rsid w:val="001469DB"/>
    <w:rsid w:val="00153505"/>
    <w:rsid w:val="001574DD"/>
    <w:rsid w:val="00191F49"/>
    <w:rsid w:val="00193C08"/>
    <w:rsid w:val="001B2461"/>
    <w:rsid w:val="001B5608"/>
    <w:rsid w:val="001B5967"/>
    <w:rsid w:val="001C056B"/>
    <w:rsid w:val="001C1574"/>
    <w:rsid w:val="001E6EB8"/>
    <w:rsid w:val="0021700D"/>
    <w:rsid w:val="002242B3"/>
    <w:rsid w:val="00227A8E"/>
    <w:rsid w:val="00251AE0"/>
    <w:rsid w:val="00273362"/>
    <w:rsid w:val="002747F3"/>
    <w:rsid w:val="00283736"/>
    <w:rsid w:val="002A362C"/>
    <w:rsid w:val="002A3E02"/>
    <w:rsid w:val="002A4223"/>
    <w:rsid w:val="002C0F70"/>
    <w:rsid w:val="002D53BB"/>
    <w:rsid w:val="002D6DA9"/>
    <w:rsid w:val="003032FB"/>
    <w:rsid w:val="00312741"/>
    <w:rsid w:val="00312D9F"/>
    <w:rsid w:val="003250D5"/>
    <w:rsid w:val="0034194B"/>
    <w:rsid w:val="00345420"/>
    <w:rsid w:val="003508D2"/>
    <w:rsid w:val="00361B3F"/>
    <w:rsid w:val="00375321"/>
    <w:rsid w:val="003852B4"/>
    <w:rsid w:val="00385C0E"/>
    <w:rsid w:val="003B596B"/>
    <w:rsid w:val="003C2BFE"/>
    <w:rsid w:val="003F7547"/>
    <w:rsid w:val="004111F5"/>
    <w:rsid w:val="00427274"/>
    <w:rsid w:val="00442E06"/>
    <w:rsid w:val="0044592D"/>
    <w:rsid w:val="00446685"/>
    <w:rsid w:val="00453A08"/>
    <w:rsid w:val="0045441D"/>
    <w:rsid w:val="00456DEE"/>
    <w:rsid w:val="00480561"/>
    <w:rsid w:val="00480A55"/>
    <w:rsid w:val="00484E82"/>
    <w:rsid w:val="00490702"/>
    <w:rsid w:val="004A1108"/>
    <w:rsid w:val="004A1EA6"/>
    <w:rsid w:val="004A4B59"/>
    <w:rsid w:val="004C590D"/>
    <w:rsid w:val="004D03D7"/>
    <w:rsid w:val="004E1000"/>
    <w:rsid w:val="00500597"/>
    <w:rsid w:val="005052E3"/>
    <w:rsid w:val="0050680A"/>
    <w:rsid w:val="00512A5C"/>
    <w:rsid w:val="00543E84"/>
    <w:rsid w:val="00543F17"/>
    <w:rsid w:val="0054524A"/>
    <w:rsid w:val="005468D1"/>
    <w:rsid w:val="005541A1"/>
    <w:rsid w:val="00556662"/>
    <w:rsid w:val="005607A9"/>
    <w:rsid w:val="00573B24"/>
    <w:rsid w:val="00576186"/>
    <w:rsid w:val="005802DD"/>
    <w:rsid w:val="00582492"/>
    <w:rsid w:val="005850E0"/>
    <w:rsid w:val="0059483A"/>
    <w:rsid w:val="005B5B59"/>
    <w:rsid w:val="005D025F"/>
    <w:rsid w:val="005D3A35"/>
    <w:rsid w:val="005F1999"/>
    <w:rsid w:val="005F2B04"/>
    <w:rsid w:val="00602972"/>
    <w:rsid w:val="0063090F"/>
    <w:rsid w:val="00646A72"/>
    <w:rsid w:val="00667D29"/>
    <w:rsid w:val="00676CF6"/>
    <w:rsid w:val="00694DC3"/>
    <w:rsid w:val="00696E97"/>
    <w:rsid w:val="006B26B6"/>
    <w:rsid w:val="006B7571"/>
    <w:rsid w:val="006D102D"/>
    <w:rsid w:val="006D1036"/>
    <w:rsid w:val="006E04AD"/>
    <w:rsid w:val="006E1D4D"/>
    <w:rsid w:val="006E55BB"/>
    <w:rsid w:val="0072257B"/>
    <w:rsid w:val="00723EB8"/>
    <w:rsid w:val="007252B8"/>
    <w:rsid w:val="007303CC"/>
    <w:rsid w:val="007305B8"/>
    <w:rsid w:val="007362AA"/>
    <w:rsid w:val="007455EB"/>
    <w:rsid w:val="00746067"/>
    <w:rsid w:val="00763840"/>
    <w:rsid w:val="00783BAA"/>
    <w:rsid w:val="007A020B"/>
    <w:rsid w:val="007A4567"/>
    <w:rsid w:val="007A4933"/>
    <w:rsid w:val="007B5276"/>
    <w:rsid w:val="007D3683"/>
    <w:rsid w:val="007E38DF"/>
    <w:rsid w:val="007F5EA7"/>
    <w:rsid w:val="00810986"/>
    <w:rsid w:val="00814406"/>
    <w:rsid w:val="00830C76"/>
    <w:rsid w:val="00832599"/>
    <w:rsid w:val="008378D3"/>
    <w:rsid w:val="00840D5E"/>
    <w:rsid w:val="0084667B"/>
    <w:rsid w:val="00854B97"/>
    <w:rsid w:val="00877213"/>
    <w:rsid w:val="008955E0"/>
    <w:rsid w:val="008A7B1B"/>
    <w:rsid w:val="008B0E96"/>
    <w:rsid w:val="008B28B3"/>
    <w:rsid w:val="008C1EB3"/>
    <w:rsid w:val="00904002"/>
    <w:rsid w:val="0090629D"/>
    <w:rsid w:val="00931668"/>
    <w:rsid w:val="00934250"/>
    <w:rsid w:val="009423B6"/>
    <w:rsid w:val="00942F4B"/>
    <w:rsid w:val="00950CEF"/>
    <w:rsid w:val="0095316D"/>
    <w:rsid w:val="00962A0A"/>
    <w:rsid w:val="00967B94"/>
    <w:rsid w:val="0097606E"/>
    <w:rsid w:val="00986A63"/>
    <w:rsid w:val="009A3326"/>
    <w:rsid w:val="009D2C85"/>
    <w:rsid w:val="009E20E6"/>
    <w:rsid w:val="009E588A"/>
    <w:rsid w:val="00A01CC6"/>
    <w:rsid w:val="00A02020"/>
    <w:rsid w:val="00A04621"/>
    <w:rsid w:val="00A1010C"/>
    <w:rsid w:val="00A1119A"/>
    <w:rsid w:val="00A15F47"/>
    <w:rsid w:val="00A22B5C"/>
    <w:rsid w:val="00A232A6"/>
    <w:rsid w:val="00A35DD9"/>
    <w:rsid w:val="00A476F7"/>
    <w:rsid w:val="00A56041"/>
    <w:rsid w:val="00A6771E"/>
    <w:rsid w:val="00A977C3"/>
    <w:rsid w:val="00AA173D"/>
    <w:rsid w:val="00AA2C7B"/>
    <w:rsid w:val="00AB4A44"/>
    <w:rsid w:val="00AB67F5"/>
    <w:rsid w:val="00AD5EF2"/>
    <w:rsid w:val="00AE1559"/>
    <w:rsid w:val="00AE7568"/>
    <w:rsid w:val="00AF1A04"/>
    <w:rsid w:val="00AF1BB6"/>
    <w:rsid w:val="00B00B46"/>
    <w:rsid w:val="00B013CB"/>
    <w:rsid w:val="00B02F6D"/>
    <w:rsid w:val="00B37CD8"/>
    <w:rsid w:val="00B41BFD"/>
    <w:rsid w:val="00B4370D"/>
    <w:rsid w:val="00B62B96"/>
    <w:rsid w:val="00B66CD7"/>
    <w:rsid w:val="00B7783B"/>
    <w:rsid w:val="00B91DF2"/>
    <w:rsid w:val="00BB2FDF"/>
    <w:rsid w:val="00BC43C4"/>
    <w:rsid w:val="00BC6733"/>
    <w:rsid w:val="00BD019C"/>
    <w:rsid w:val="00BF32A6"/>
    <w:rsid w:val="00C02A08"/>
    <w:rsid w:val="00C02DFA"/>
    <w:rsid w:val="00C1343E"/>
    <w:rsid w:val="00C23E90"/>
    <w:rsid w:val="00C4091F"/>
    <w:rsid w:val="00C47376"/>
    <w:rsid w:val="00C57403"/>
    <w:rsid w:val="00C63B05"/>
    <w:rsid w:val="00C74719"/>
    <w:rsid w:val="00C82BAC"/>
    <w:rsid w:val="00C8594E"/>
    <w:rsid w:val="00C9582D"/>
    <w:rsid w:val="00C97309"/>
    <w:rsid w:val="00CA1203"/>
    <w:rsid w:val="00CB0FCF"/>
    <w:rsid w:val="00CB3A6F"/>
    <w:rsid w:val="00CB3AB5"/>
    <w:rsid w:val="00CB7759"/>
    <w:rsid w:val="00CC35D9"/>
    <w:rsid w:val="00CC7AE5"/>
    <w:rsid w:val="00CC7AFF"/>
    <w:rsid w:val="00CD10CA"/>
    <w:rsid w:val="00CD7494"/>
    <w:rsid w:val="00CE0DA1"/>
    <w:rsid w:val="00CF048A"/>
    <w:rsid w:val="00CF2559"/>
    <w:rsid w:val="00CF6644"/>
    <w:rsid w:val="00D112E2"/>
    <w:rsid w:val="00D27092"/>
    <w:rsid w:val="00D3226F"/>
    <w:rsid w:val="00D339A0"/>
    <w:rsid w:val="00D34521"/>
    <w:rsid w:val="00D41305"/>
    <w:rsid w:val="00D44656"/>
    <w:rsid w:val="00D51C4E"/>
    <w:rsid w:val="00D5601D"/>
    <w:rsid w:val="00D6352E"/>
    <w:rsid w:val="00D6393D"/>
    <w:rsid w:val="00D64123"/>
    <w:rsid w:val="00D642D3"/>
    <w:rsid w:val="00D65FD8"/>
    <w:rsid w:val="00D663E1"/>
    <w:rsid w:val="00D91434"/>
    <w:rsid w:val="00DB1216"/>
    <w:rsid w:val="00DB2A22"/>
    <w:rsid w:val="00DC4C6E"/>
    <w:rsid w:val="00DC5C5C"/>
    <w:rsid w:val="00DC7F10"/>
    <w:rsid w:val="00DE31C0"/>
    <w:rsid w:val="00DE4EF4"/>
    <w:rsid w:val="00DF0E57"/>
    <w:rsid w:val="00E147AA"/>
    <w:rsid w:val="00E16673"/>
    <w:rsid w:val="00E216C5"/>
    <w:rsid w:val="00E320B8"/>
    <w:rsid w:val="00E34F03"/>
    <w:rsid w:val="00E429AA"/>
    <w:rsid w:val="00E442BF"/>
    <w:rsid w:val="00E44C68"/>
    <w:rsid w:val="00E463CA"/>
    <w:rsid w:val="00E76355"/>
    <w:rsid w:val="00E836FE"/>
    <w:rsid w:val="00E93A57"/>
    <w:rsid w:val="00EA01F1"/>
    <w:rsid w:val="00EA0537"/>
    <w:rsid w:val="00EA3268"/>
    <w:rsid w:val="00EB392F"/>
    <w:rsid w:val="00ED29A8"/>
    <w:rsid w:val="00ED2FE3"/>
    <w:rsid w:val="00EF7AE8"/>
    <w:rsid w:val="00F019B4"/>
    <w:rsid w:val="00F05CE0"/>
    <w:rsid w:val="00F16A6F"/>
    <w:rsid w:val="00F4110C"/>
    <w:rsid w:val="00F44FFC"/>
    <w:rsid w:val="00F509D3"/>
    <w:rsid w:val="00F53227"/>
    <w:rsid w:val="00F67B04"/>
    <w:rsid w:val="00F817FC"/>
    <w:rsid w:val="00F864E2"/>
    <w:rsid w:val="00FA05F7"/>
    <w:rsid w:val="00FA7984"/>
    <w:rsid w:val="00FB63A2"/>
    <w:rsid w:val="00FB6973"/>
    <w:rsid w:val="00FC7ACB"/>
    <w:rsid w:val="00FD50C6"/>
    <w:rsid w:val="00FE526E"/>
    <w:rsid w:val="00FF0245"/>
    <w:rsid w:val="00FF0F00"/>
    <w:rsid w:val="00FF6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D079E5"/>
  <w15:docId w15:val="{AC70B40C-A143-48E0-9D7A-6D0E9337E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644"/>
    <w:pPr>
      <w:ind w:firstLine="720"/>
      <w:jc w:val="both"/>
    </w:pPr>
    <w:rPr>
      <w:lang w:val="en-US" w:eastAsia="en-US"/>
    </w:rPr>
  </w:style>
  <w:style w:type="paragraph" w:styleId="Heading1">
    <w:name w:val="heading 1"/>
    <w:basedOn w:val="Normal"/>
    <w:next w:val="Normal"/>
    <w:qFormat/>
    <w:rsid w:val="00CF6644"/>
    <w:pPr>
      <w:keepNext/>
      <w:spacing w:before="240" w:after="60"/>
      <w:outlineLvl w:val="0"/>
    </w:pPr>
    <w:rPr>
      <w:rFonts w:ascii="Arial" w:hAnsi="Arial"/>
      <w:b/>
      <w:kern w:val="28"/>
      <w:sz w:val="28"/>
    </w:rPr>
  </w:style>
  <w:style w:type="paragraph" w:styleId="Heading2">
    <w:name w:val="heading 2"/>
    <w:basedOn w:val="Normal"/>
    <w:next w:val="Normal"/>
    <w:qFormat/>
    <w:rsid w:val="00CF6644"/>
    <w:pPr>
      <w:keepNext/>
      <w:jc w:val="center"/>
      <w:outlineLvl w:val="1"/>
    </w:pPr>
    <w:rPr>
      <w:rFonts w:ascii="$ Benguiat_Bold" w:hAnsi="$ Benguiat_Bold"/>
      <w:b/>
      <w:sz w:val="132"/>
    </w:rPr>
  </w:style>
  <w:style w:type="paragraph" w:styleId="Heading3">
    <w:name w:val="heading 3"/>
    <w:basedOn w:val="Normal"/>
    <w:next w:val="Normal"/>
    <w:qFormat/>
    <w:rsid w:val="00CF6644"/>
    <w:pPr>
      <w:keepNext/>
      <w:jc w:val="center"/>
      <w:outlineLvl w:val="2"/>
    </w:pPr>
    <w:rPr>
      <w:rFonts w:ascii="$Caslon" w:hAnsi="$Caslon"/>
      <w:b/>
    </w:rPr>
  </w:style>
  <w:style w:type="paragraph" w:styleId="Heading4">
    <w:name w:val="heading 4"/>
    <w:basedOn w:val="Normal"/>
    <w:next w:val="Normal"/>
    <w:qFormat/>
    <w:rsid w:val="00CF6644"/>
    <w:pPr>
      <w:keepNext/>
      <w:jc w:val="center"/>
      <w:outlineLvl w:val="3"/>
    </w:pPr>
    <w:rPr>
      <w:rFonts w:ascii="$Caslon" w:hAnsi="$Caslon"/>
      <w:b/>
      <w:sz w:val="26"/>
    </w:rPr>
  </w:style>
  <w:style w:type="paragraph" w:styleId="Heading5">
    <w:name w:val="heading 5"/>
    <w:basedOn w:val="Normal"/>
    <w:next w:val="Normal"/>
    <w:qFormat/>
    <w:rsid w:val="00CF6644"/>
    <w:pPr>
      <w:keepNext/>
      <w:jc w:val="center"/>
      <w:outlineLvl w:val="4"/>
    </w:pPr>
    <w:rPr>
      <w:rFonts w:ascii="$Caslon" w:hAnsi="$Caslon"/>
      <w:sz w:val="24"/>
    </w:rPr>
  </w:style>
  <w:style w:type="paragraph" w:styleId="Heading6">
    <w:name w:val="heading 6"/>
    <w:basedOn w:val="Normal"/>
    <w:next w:val="Normal"/>
    <w:qFormat/>
    <w:rsid w:val="00CF6644"/>
    <w:pPr>
      <w:keepNext/>
      <w:jc w:val="center"/>
      <w:outlineLvl w:val="5"/>
    </w:pPr>
    <w:rPr>
      <w:rFonts w:ascii="$Caslon" w:hAnsi="$Caslon"/>
      <w:b/>
      <w:sz w:val="22"/>
    </w:rPr>
  </w:style>
  <w:style w:type="paragraph" w:styleId="Heading7">
    <w:name w:val="heading 7"/>
    <w:basedOn w:val="Normal"/>
    <w:next w:val="Normal"/>
    <w:qFormat/>
    <w:rsid w:val="00CF6644"/>
    <w:pPr>
      <w:keepNext/>
      <w:jc w:val="center"/>
      <w:outlineLvl w:val="6"/>
    </w:pPr>
    <w:rPr>
      <w:rFonts w:ascii="Garamond" w:hAnsi="Garamond"/>
      <w:b/>
      <w:sz w:val="28"/>
    </w:rPr>
  </w:style>
  <w:style w:type="paragraph" w:styleId="Heading8">
    <w:name w:val="heading 8"/>
    <w:basedOn w:val="Normal"/>
    <w:next w:val="Normal"/>
    <w:qFormat/>
    <w:rsid w:val="00CF6644"/>
    <w:pPr>
      <w:keepNext/>
      <w:jc w:val="center"/>
      <w:outlineLvl w:val="7"/>
    </w:pPr>
    <w:rPr>
      <w:rFonts w:ascii="$Caslon" w:hAnsi="$Caslo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E1000"/>
    <w:rPr>
      <w:rFonts w:ascii="Tahoma" w:hAnsi="Tahoma"/>
      <w:sz w:val="16"/>
      <w:szCs w:val="16"/>
    </w:rPr>
  </w:style>
  <w:style w:type="character" w:customStyle="1" w:styleId="BalloonTextChar">
    <w:name w:val="Balloon Text Char"/>
    <w:link w:val="BalloonText"/>
    <w:rsid w:val="004E1000"/>
    <w:rPr>
      <w:rFonts w:ascii="Tahoma" w:hAnsi="Tahoma" w:cs="Tahoma"/>
      <w:sz w:val="16"/>
      <w:szCs w:val="16"/>
      <w:lang w:val="en-US" w:eastAsia="en-US"/>
    </w:rPr>
  </w:style>
  <w:style w:type="paragraph" w:customStyle="1" w:styleId="CharChar">
    <w:name w:val="Знак Знак Char Char Знак"/>
    <w:basedOn w:val="Normal"/>
    <w:rsid w:val="00DF0E57"/>
    <w:pPr>
      <w:spacing w:after="160" w:line="240" w:lineRule="exact"/>
      <w:ind w:firstLine="0"/>
      <w:jc w:val="left"/>
    </w:pPr>
    <w:rPr>
      <w:rFonts w:ascii="Arial" w:eastAsia="Batang" w:hAnsi="Arial" w:cs="Arial"/>
    </w:rPr>
  </w:style>
  <w:style w:type="paragraph" w:styleId="NormalWeb">
    <w:name w:val="Normal (Web)"/>
    <w:basedOn w:val="Normal"/>
    <w:uiPriority w:val="99"/>
    <w:unhideWhenUsed/>
    <w:rsid w:val="00A56041"/>
    <w:pPr>
      <w:ind w:firstLine="567"/>
    </w:pPr>
    <w:rPr>
      <w:sz w:val="24"/>
      <w:szCs w:val="24"/>
      <w:lang w:val="ru-RU" w:eastAsia="ru-RU"/>
    </w:rPr>
  </w:style>
  <w:style w:type="paragraph" w:customStyle="1" w:styleId="cn">
    <w:name w:val="cn"/>
    <w:basedOn w:val="Normal"/>
    <w:rsid w:val="00A56041"/>
    <w:pPr>
      <w:ind w:firstLine="0"/>
      <w:jc w:val="center"/>
    </w:pPr>
    <w:rPr>
      <w:sz w:val="24"/>
      <w:szCs w:val="24"/>
      <w:lang w:val="ru-RU" w:eastAsia="ru-RU"/>
    </w:rPr>
  </w:style>
  <w:style w:type="paragraph" w:customStyle="1" w:styleId="cb">
    <w:name w:val="cb"/>
    <w:basedOn w:val="Normal"/>
    <w:uiPriority w:val="99"/>
    <w:semiHidden/>
    <w:rsid w:val="00A56041"/>
    <w:pPr>
      <w:ind w:firstLine="0"/>
      <w:jc w:val="center"/>
    </w:pPr>
    <w:rPr>
      <w:b/>
      <w:bCs/>
      <w:sz w:val="24"/>
      <w:szCs w:val="24"/>
      <w:lang w:val="ru-RU" w:eastAsia="ru-RU"/>
    </w:rPr>
  </w:style>
  <w:style w:type="paragraph" w:styleId="Header">
    <w:name w:val="header"/>
    <w:basedOn w:val="Normal"/>
    <w:link w:val="HeaderChar"/>
    <w:rsid w:val="00026B87"/>
    <w:pPr>
      <w:tabs>
        <w:tab w:val="center" w:pos="4677"/>
        <w:tab w:val="right" w:pos="9355"/>
      </w:tabs>
    </w:pPr>
  </w:style>
  <w:style w:type="character" w:customStyle="1" w:styleId="HeaderChar">
    <w:name w:val="Header Char"/>
    <w:link w:val="Header"/>
    <w:uiPriority w:val="99"/>
    <w:rsid w:val="00026B87"/>
    <w:rPr>
      <w:lang w:val="en-US" w:eastAsia="en-US"/>
    </w:rPr>
  </w:style>
  <w:style w:type="paragraph" w:styleId="Footer">
    <w:name w:val="footer"/>
    <w:basedOn w:val="Normal"/>
    <w:link w:val="FooterChar"/>
    <w:uiPriority w:val="99"/>
    <w:rsid w:val="00026B87"/>
    <w:pPr>
      <w:tabs>
        <w:tab w:val="center" w:pos="4677"/>
        <w:tab w:val="right" w:pos="9355"/>
      </w:tabs>
    </w:pPr>
  </w:style>
  <w:style w:type="character" w:customStyle="1" w:styleId="FooterChar">
    <w:name w:val="Footer Char"/>
    <w:link w:val="Footer"/>
    <w:uiPriority w:val="99"/>
    <w:rsid w:val="00026B87"/>
    <w:rPr>
      <w:lang w:val="en-US" w:eastAsia="en-US"/>
    </w:rPr>
  </w:style>
  <w:style w:type="table" w:styleId="TableGrid">
    <w:name w:val="Table Grid"/>
    <w:basedOn w:val="TableNormal"/>
    <w:rsid w:val="003852B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
    <w:name w:val="news"/>
    <w:basedOn w:val="Normal"/>
    <w:rsid w:val="009E20E6"/>
    <w:pPr>
      <w:ind w:firstLine="0"/>
      <w:jc w:val="left"/>
    </w:pPr>
    <w:rPr>
      <w:rFonts w:ascii="Arial" w:hAnsi="Arial" w:cs="Arial"/>
      <w:lang w:val="ru-RU" w:eastAsia="ru-RU"/>
    </w:rPr>
  </w:style>
  <w:style w:type="table" w:customStyle="1" w:styleId="GrilTabel1">
    <w:name w:val="Grilă Tabel1"/>
    <w:basedOn w:val="TableNormal"/>
    <w:next w:val="TableGrid"/>
    <w:uiPriority w:val="59"/>
    <w:rsid w:val="009E20E6"/>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E20E6"/>
    <w:pPr>
      <w:ind w:left="720"/>
      <w:contextualSpacing/>
    </w:pPr>
  </w:style>
  <w:style w:type="numbering" w:customStyle="1" w:styleId="FrListare1">
    <w:name w:val="Fără Listare1"/>
    <w:next w:val="NoList"/>
    <w:semiHidden/>
    <w:rsid w:val="00E216C5"/>
  </w:style>
  <w:style w:type="character" w:styleId="PageNumber">
    <w:name w:val="page number"/>
    <w:basedOn w:val="DefaultParagraphFont"/>
    <w:rsid w:val="00E216C5"/>
  </w:style>
  <w:style w:type="paragraph" w:customStyle="1" w:styleId="tt">
    <w:name w:val="tt"/>
    <w:basedOn w:val="Normal"/>
    <w:rsid w:val="00E216C5"/>
    <w:pPr>
      <w:ind w:firstLine="0"/>
      <w:jc w:val="center"/>
    </w:pPr>
    <w:rPr>
      <w:b/>
      <w:bCs/>
      <w:sz w:val="24"/>
      <w:szCs w:val="24"/>
      <w:lang w:val="ru-RU" w:eastAsia="ru-RU"/>
    </w:rPr>
  </w:style>
  <w:style w:type="paragraph" w:customStyle="1" w:styleId="CharChar0">
    <w:name w:val="Char Char Знак Знак"/>
    <w:basedOn w:val="Normal"/>
    <w:rsid w:val="00E216C5"/>
    <w:pPr>
      <w:spacing w:after="160" w:line="240" w:lineRule="exact"/>
      <w:ind w:firstLine="0"/>
      <w:jc w:val="left"/>
    </w:pPr>
    <w:rPr>
      <w:rFonts w:ascii="Arial" w:eastAsia="Batang" w:hAnsi="Arial" w:cs="Arial"/>
    </w:rPr>
  </w:style>
  <w:style w:type="character" w:customStyle="1" w:styleId="docheader1">
    <w:name w:val="doc_header1"/>
    <w:rsid w:val="00E216C5"/>
    <w:rPr>
      <w:rFonts w:ascii="Times New Roman" w:hAnsi="Times New Roman" w:cs="Times New Roman" w:hint="default"/>
      <w:b/>
      <w:bCs/>
      <w:color w:val="000000"/>
      <w:sz w:val="24"/>
      <w:szCs w:val="24"/>
    </w:rPr>
  </w:style>
  <w:style w:type="character" w:styleId="Strong">
    <w:name w:val="Strong"/>
    <w:uiPriority w:val="22"/>
    <w:qFormat/>
    <w:rsid w:val="00E216C5"/>
    <w:rPr>
      <w:b/>
      <w:bCs/>
    </w:rPr>
  </w:style>
  <w:style w:type="character" w:customStyle="1" w:styleId="docsign11">
    <w:name w:val="doc_sign11"/>
    <w:rsid w:val="00E216C5"/>
    <w:rPr>
      <w:rFonts w:ascii="Times New Roman" w:hAnsi="Times New Roman" w:cs="Times New Roman" w:hint="default"/>
      <w:b/>
      <w:bCs/>
      <w:color w:val="000000"/>
      <w:sz w:val="22"/>
      <w:szCs w:val="22"/>
    </w:rPr>
  </w:style>
  <w:style w:type="character" w:customStyle="1" w:styleId="sttart">
    <w:name w:val="st_tart"/>
    <w:basedOn w:val="DefaultParagraphFont"/>
    <w:rsid w:val="00E216C5"/>
  </w:style>
  <w:style w:type="character" w:customStyle="1" w:styleId="tal1">
    <w:name w:val="tal1"/>
    <w:rsid w:val="00E216C5"/>
  </w:style>
  <w:style w:type="table" w:customStyle="1" w:styleId="GrilTabel2">
    <w:name w:val="Grilă Tabel2"/>
    <w:basedOn w:val="TableNormal"/>
    <w:next w:val="TableGrid"/>
    <w:rsid w:val="00E216C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Normal"/>
    <w:rsid w:val="00E216C5"/>
    <w:pPr>
      <w:spacing w:before="100" w:beforeAutospacing="1" w:after="100" w:afterAutospacing="1"/>
      <w:ind w:firstLine="200"/>
    </w:pPr>
    <w:rPr>
      <w:rFonts w:ascii="Verdana" w:hAnsi="Verdana"/>
      <w:color w:val="033778"/>
      <w:sz w:val="21"/>
      <w:szCs w:val="21"/>
      <w:lang w:eastAsia="zh-CN"/>
    </w:rPr>
  </w:style>
  <w:style w:type="character" w:customStyle="1" w:styleId="def">
    <w:name w:val="def"/>
    <w:rsid w:val="00E216C5"/>
  </w:style>
  <w:style w:type="paragraph" w:customStyle="1" w:styleId="cnam1">
    <w:name w:val="cnam1"/>
    <w:basedOn w:val="Normal"/>
    <w:rsid w:val="00E216C5"/>
    <w:pPr>
      <w:spacing w:before="100" w:beforeAutospacing="1" w:after="100" w:afterAutospacing="1"/>
      <w:ind w:firstLine="0"/>
      <w:jc w:val="left"/>
    </w:pPr>
    <w:rPr>
      <w:color w:val="2D2D2D"/>
      <w:sz w:val="29"/>
      <w:szCs w:val="29"/>
      <w:lang w:eastAsia="zh-CN"/>
    </w:rPr>
  </w:style>
  <w:style w:type="character" w:styleId="CommentReference">
    <w:name w:val="annotation reference"/>
    <w:rsid w:val="00E216C5"/>
    <w:rPr>
      <w:sz w:val="16"/>
      <w:szCs w:val="16"/>
    </w:rPr>
  </w:style>
  <w:style w:type="paragraph" w:styleId="CommentText">
    <w:name w:val="annotation text"/>
    <w:basedOn w:val="Normal"/>
    <w:link w:val="CommentTextChar"/>
    <w:rsid w:val="00E216C5"/>
    <w:pPr>
      <w:ind w:firstLine="0"/>
      <w:jc w:val="left"/>
    </w:pPr>
    <w:rPr>
      <w:lang w:val="ro-RO" w:eastAsia="ru-RU"/>
    </w:rPr>
  </w:style>
  <w:style w:type="character" w:customStyle="1" w:styleId="CommentTextChar">
    <w:name w:val="Comment Text Char"/>
    <w:basedOn w:val="DefaultParagraphFont"/>
    <w:link w:val="CommentText"/>
    <w:rsid w:val="00E216C5"/>
    <w:rPr>
      <w:lang w:val="ro-RO"/>
    </w:rPr>
  </w:style>
  <w:style w:type="paragraph" w:styleId="CommentSubject">
    <w:name w:val="annotation subject"/>
    <w:basedOn w:val="CommentText"/>
    <w:next w:val="CommentText"/>
    <w:link w:val="CommentSubjectChar"/>
    <w:rsid w:val="00E216C5"/>
    <w:rPr>
      <w:b/>
      <w:bCs/>
    </w:rPr>
  </w:style>
  <w:style w:type="character" w:customStyle="1" w:styleId="CommentSubjectChar">
    <w:name w:val="Comment Subject Char"/>
    <w:basedOn w:val="CommentTextChar"/>
    <w:link w:val="CommentSubject"/>
    <w:rsid w:val="00E216C5"/>
    <w:rPr>
      <w:b/>
      <w:bCs/>
      <w:lang w:val="ro-RO"/>
    </w:rPr>
  </w:style>
  <w:style w:type="character" w:customStyle="1" w:styleId="apple-converted-space">
    <w:name w:val="apple-converted-space"/>
    <w:rsid w:val="00E216C5"/>
  </w:style>
  <w:style w:type="character" w:customStyle="1" w:styleId="docheader">
    <w:name w:val="doc_header"/>
    <w:rsid w:val="00E216C5"/>
  </w:style>
  <w:style w:type="paragraph" w:customStyle="1" w:styleId="al">
    <w:name w:val="a_l"/>
    <w:basedOn w:val="Normal"/>
    <w:rsid w:val="00153505"/>
    <w:pPr>
      <w:spacing w:before="100" w:beforeAutospacing="1" w:after="100" w:afterAutospacing="1"/>
      <w:ind w:firstLine="0"/>
      <w:jc w:val="left"/>
    </w:pPr>
    <w:rPr>
      <w:sz w:val="24"/>
      <w:szCs w:val="24"/>
    </w:rPr>
  </w:style>
  <w:style w:type="character" w:styleId="Hyperlink">
    <w:name w:val="Hyperlink"/>
    <w:basedOn w:val="DefaultParagraphFont"/>
    <w:uiPriority w:val="99"/>
    <w:semiHidden/>
    <w:unhideWhenUsed/>
    <w:rsid w:val="00153505"/>
    <w:rPr>
      <w:color w:val="0000FF"/>
      <w:u w:val="single"/>
    </w:rPr>
  </w:style>
  <w:style w:type="paragraph" w:styleId="Revision">
    <w:name w:val="Revision"/>
    <w:hidden/>
    <w:uiPriority w:val="99"/>
    <w:semiHidden/>
    <w:rsid w:val="0008534C"/>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22109">
      <w:bodyDiv w:val="1"/>
      <w:marLeft w:val="0"/>
      <w:marRight w:val="0"/>
      <w:marTop w:val="0"/>
      <w:marBottom w:val="0"/>
      <w:divBdr>
        <w:top w:val="none" w:sz="0" w:space="0" w:color="auto"/>
        <w:left w:val="none" w:sz="0" w:space="0" w:color="auto"/>
        <w:bottom w:val="none" w:sz="0" w:space="0" w:color="auto"/>
        <w:right w:val="none" w:sz="0" w:space="0" w:color="auto"/>
      </w:divBdr>
    </w:div>
    <w:div w:id="568921342">
      <w:bodyDiv w:val="1"/>
      <w:marLeft w:val="0"/>
      <w:marRight w:val="0"/>
      <w:marTop w:val="0"/>
      <w:marBottom w:val="0"/>
      <w:divBdr>
        <w:top w:val="none" w:sz="0" w:space="0" w:color="auto"/>
        <w:left w:val="none" w:sz="0" w:space="0" w:color="auto"/>
        <w:bottom w:val="none" w:sz="0" w:space="0" w:color="auto"/>
        <w:right w:val="none" w:sz="0" w:space="0" w:color="auto"/>
      </w:divBdr>
    </w:div>
    <w:div w:id="573974411">
      <w:bodyDiv w:val="1"/>
      <w:marLeft w:val="0"/>
      <w:marRight w:val="0"/>
      <w:marTop w:val="0"/>
      <w:marBottom w:val="0"/>
      <w:divBdr>
        <w:top w:val="none" w:sz="0" w:space="0" w:color="auto"/>
        <w:left w:val="none" w:sz="0" w:space="0" w:color="auto"/>
        <w:bottom w:val="none" w:sz="0" w:space="0" w:color="auto"/>
        <w:right w:val="none" w:sz="0" w:space="0" w:color="auto"/>
      </w:divBdr>
    </w:div>
    <w:div w:id="630522840">
      <w:bodyDiv w:val="1"/>
      <w:marLeft w:val="0"/>
      <w:marRight w:val="0"/>
      <w:marTop w:val="0"/>
      <w:marBottom w:val="0"/>
      <w:divBdr>
        <w:top w:val="none" w:sz="0" w:space="0" w:color="auto"/>
        <w:left w:val="none" w:sz="0" w:space="0" w:color="auto"/>
        <w:bottom w:val="none" w:sz="0" w:space="0" w:color="auto"/>
        <w:right w:val="none" w:sz="0" w:space="0" w:color="auto"/>
      </w:divBdr>
    </w:div>
    <w:div w:id="735517445">
      <w:bodyDiv w:val="1"/>
      <w:marLeft w:val="0"/>
      <w:marRight w:val="0"/>
      <w:marTop w:val="0"/>
      <w:marBottom w:val="0"/>
      <w:divBdr>
        <w:top w:val="none" w:sz="0" w:space="0" w:color="auto"/>
        <w:left w:val="none" w:sz="0" w:space="0" w:color="auto"/>
        <w:bottom w:val="none" w:sz="0" w:space="0" w:color="auto"/>
        <w:right w:val="none" w:sz="0" w:space="0" w:color="auto"/>
      </w:divBdr>
    </w:div>
    <w:div w:id="1017190852">
      <w:bodyDiv w:val="1"/>
      <w:marLeft w:val="0"/>
      <w:marRight w:val="0"/>
      <w:marTop w:val="0"/>
      <w:marBottom w:val="0"/>
      <w:divBdr>
        <w:top w:val="none" w:sz="0" w:space="0" w:color="auto"/>
        <w:left w:val="none" w:sz="0" w:space="0" w:color="auto"/>
        <w:bottom w:val="none" w:sz="0" w:space="0" w:color="auto"/>
        <w:right w:val="none" w:sz="0" w:space="0" w:color="auto"/>
      </w:divBdr>
    </w:div>
    <w:div w:id="1076853460">
      <w:bodyDiv w:val="1"/>
      <w:marLeft w:val="0"/>
      <w:marRight w:val="0"/>
      <w:marTop w:val="0"/>
      <w:marBottom w:val="0"/>
      <w:divBdr>
        <w:top w:val="none" w:sz="0" w:space="0" w:color="auto"/>
        <w:left w:val="none" w:sz="0" w:space="0" w:color="auto"/>
        <w:bottom w:val="none" w:sz="0" w:space="0" w:color="auto"/>
        <w:right w:val="none" w:sz="0" w:space="0" w:color="auto"/>
      </w:divBdr>
    </w:div>
    <w:div w:id="1273853560">
      <w:bodyDiv w:val="1"/>
      <w:marLeft w:val="0"/>
      <w:marRight w:val="0"/>
      <w:marTop w:val="0"/>
      <w:marBottom w:val="0"/>
      <w:divBdr>
        <w:top w:val="none" w:sz="0" w:space="0" w:color="auto"/>
        <w:left w:val="none" w:sz="0" w:space="0" w:color="auto"/>
        <w:bottom w:val="none" w:sz="0" w:space="0" w:color="auto"/>
        <w:right w:val="none" w:sz="0" w:space="0" w:color="auto"/>
      </w:divBdr>
    </w:div>
    <w:div w:id="1414358477">
      <w:bodyDiv w:val="1"/>
      <w:marLeft w:val="0"/>
      <w:marRight w:val="0"/>
      <w:marTop w:val="0"/>
      <w:marBottom w:val="0"/>
      <w:divBdr>
        <w:top w:val="none" w:sz="0" w:space="0" w:color="auto"/>
        <w:left w:val="none" w:sz="0" w:space="0" w:color="auto"/>
        <w:bottom w:val="none" w:sz="0" w:space="0" w:color="auto"/>
        <w:right w:val="none" w:sz="0" w:space="0" w:color="auto"/>
      </w:divBdr>
    </w:div>
    <w:div w:id="1518471280">
      <w:bodyDiv w:val="1"/>
      <w:marLeft w:val="0"/>
      <w:marRight w:val="0"/>
      <w:marTop w:val="0"/>
      <w:marBottom w:val="0"/>
      <w:divBdr>
        <w:top w:val="none" w:sz="0" w:space="0" w:color="auto"/>
        <w:left w:val="none" w:sz="0" w:space="0" w:color="auto"/>
        <w:bottom w:val="none" w:sz="0" w:space="0" w:color="auto"/>
        <w:right w:val="none" w:sz="0" w:space="0" w:color="auto"/>
      </w:divBdr>
    </w:div>
    <w:div w:id="1897423730">
      <w:bodyDiv w:val="1"/>
      <w:marLeft w:val="0"/>
      <w:marRight w:val="0"/>
      <w:marTop w:val="0"/>
      <w:marBottom w:val="0"/>
      <w:divBdr>
        <w:top w:val="none" w:sz="0" w:space="0" w:color="auto"/>
        <w:left w:val="none" w:sz="0" w:space="0" w:color="auto"/>
        <w:bottom w:val="none" w:sz="0" w:space="0" w:color="auto"/>
        <w:right w:val="none" w:sz="0" w:space="0" w:color="auto"/>
      </w:divBdr>
    </w:div>
    <w:div w:id="208784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3.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65585-A459-415A-A76A-5E43EB01AE0F}">
  <ds:schemaRefs>
    <ds:schemaRef ds:uri="http://schemas.microsoft.com/sharepoint/v3/contenttype/forms"/>
  </ds:schemaRefs>
</ds:datastoreItem>
</file>

<file path=customXml/itemProps2.xml><?xml version="1.0" encoding="utf-8"?>
<ds:datastoreItem xmlns:ds="http://schemas.openxmlformats.org/officeDocument/2006/customXml" ds:itemID="{1407D875-22EB-4F43-A903-2F92A812C416}">
  <ds:schemaRefs>
    <ds:schemaRef ds:uri="http://schemas.microsoft.com/office/2006/metadata/properties"/>
    <ds:schemaRef ds:uri="http://schemas.microsoft.com/office/infopath/2007/PartnerControls"/>
    <ds:schemaRef ds:uri="deb42e83-2260-4c15-9444-eeddc6459f2b"/>
  </ds:schemaRefs>
</ds:datastoreItem>
</file>

<file path=customXml/itemProps3.xml><?xml version="1.0" encoding="utf-8"?>
<ds:datastoreItem xmlns:ds="http://schemas.openxmlformats.org/officeDocument/2006/customXml" ds:itemID="{AC7FC66A-0F33-4645-BBE0-0A750A562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C3E9A2-A32B-41DC-B154-9E4E5DCFC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1833</Words>
  <Characters>10450</Characters>
  <Application>Microsoft Office Word</Application>
  <DocSecurity>0</DocSecurity>
  <Lines>87</Lines>
  <Paragraphs>24</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52.2017.ro-ru</vt:lpstr>
      <vt:lpstr/>
      <vt:lpstr/>
    </vt:vector>
  </TitlesOfParts>
  <Company>Cancelaria Guvernului</Company>
  <LinksUpToDate>false</LinksUpToDate>
  <CharactersWithSpaces>12259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52.2017.ro-ru</dc:title>
  <dc:creator>lll</dc:creator>
  <cp:lastModifiedBy>Ana Litocenco</cp:lastModifiedBy>
  <cp:revision>2</cp:revision>
  <cp:lastPrinted>2019-11-21T08:38:00Z</cp:lastPrinted>
  <dcterms:created xsi:type="dcterms:W3CDTF">2019-11-21T08:39:00Z</dcterms:created>
  <dcterms:modified xsi:type="dcterms:W3CDTF">2019-11-21T08:39:00Z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