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851"/>
        <w:jc w:val="right"/>
        <w:rPr>
          <w:rFonts w:ascii="Times New Roman" w:hAnsi="Times New Roman" w:eastAsia="Calibri" w:cs="Times New Roman"/>
          <w:b/>
          <w:bCs/>
          <w:sz w:val="28"/>
          <w:szCs w:val="28"/>
          <w:lang w:val="ro-RO"/>
        </w:rPr>
      </w:pPr>
      <w:bookmarkStart w:id="3" w:name="_GoBack"/>
      <w:bookmarkEnd w:id="3"/>
      <w:r>
        <w:rPr>
          <w:rFonts w:ascii="Times New Roman" w:hAnsi="Times New Roman" w:eastAsia="Calibri" w:cs="Times New Roman"/>
          <w:b/>
          <w:bCs/>
          <w:sz w:val="28"/>
          <w:szCs w:val="28"/>
          <w:lang w:val="ro-RO"/>
        </w:rPr>
        <w:t xml:space="preserve"> </w:t>
      </w:r>
      <w:bookmarkStart w:id="0" w:name="_Ref433294560"/>
      <w:bookmarkEnd w:id="0"/>
      <w:r>
        <w:rPr>
          <w:rFonts w:ascii="Times New Roman" w:hAnsi="Times New Roman" w:eastAsia="Calibri" w:cs="Times New Roman"/>
          <w:b/>
          <w:bCs/>
          <w:sz w:val="28"/>
          <w:szCs w:val="28"/>
          <w:lang w:val="ro-RO"/>
        </w:rPr>
        <w:t>proiect</w:t>
      </w:r>
    </w:p>
    <w:p>
      <w:pPr>
        <w:spacing w:after="0" w:line="240" w:lineRule="auto"/>
        <w:ind w:firstLine="851"/>
        <w:jc w:val="center"/>
        <w:rPr>
          <w:rFonts w:ascii="Times New Roman" w:hAnsi="Times New Roman" w:eastAsia="Calibri" w:cs="Times New Roman"/>
          <w:b/>
          <w:bCs/>
          <w:sz w:val="28"/>
          <w:szCs w:val="28"/>
          <w:lang w:val="ro-RO"/>
        </w:rPr>
      </w:pPr>
    </w:p>
    <w:tbl>
      <w:tblPr>
        <w:tblStyle w:val="10"/>
        <w:tblW w:w="9072" w:type="dxa"/>
        <w:jc w:val="center"/>
        <w:tblBorders>
          <w:top w:val="single" w:color="000080" w:sz="4" w:space="0"/>
          <w:left w:val="none" w:color="auto" w:sz="0" w:space="0"/>
          <w:bottom w:val="single" w:color="00008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000080" w:sz="4" w:space="0"/>
            <w:left w:val="none" w:color="auto" w:sz="0" w:space="0"/>
            <w:bottom w:val="single" w:color="000080" w:sz="4"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9072" w:type="dxa"/>
            <w:tcBorders>
              <w:top w:val="nil"/>
              <w:left w:val="nil"/>
              <w:bottom w:val="nil"/>
              <w:right w:val="nil"/>
            </w:tcBorders>
          </w:tcPr>
          <w:p>
            <w:pPr>
              <w:keepNext/>
              <w:spacing w:after="0" w:line="240" w:lineRule="auto"/>
              <w:ind w:firstLine="851"/>
              <w:jc w:val="center"/>
              <w:outlineLvl w:val="7"/>
              <w:rPr>
                <w:rFonts w:ascii="Times New Roman" w:hAnsi="Times New Roman" w:eastAsia="Calibri" w:cs="Times New Roman"/>
                <w:b/>
                <w:spacing w:val="20"/>
                <w:sz w:val="28"/>
                <w:szCs w:val="28"/>
                <w:lang w:val="ro-RO"/>
              </w:rPr>
            </w:pPr>
            <w:r>
              <w:rPr>
                <w:rFonts w:ascii="Times New Roman" w:hAnsi="Times New Roman" w:eastAsia="Calibri" w:cs="Times New Roman"/>
                <w:b/>
                <w:spacing w:val="20"/>
                <w:sz w:val="28"/>
                <w:szCs w:val="28"/>
                <w:lang w:val="ro-RO"/>
              </w:rPr>
              <w:t>GUVERNUL REPUBLICII MOLDOVA</w:t>
            </w:r>
          </w:p>
          <w:p>
            <w:pPr>
              <w:keepNext/>
              <w:spacing w:after="0" w:line="240" w:lineRule="auto"/>
              <w:ind w:firstLine="851"/>
              <w:jc w:val="center"/>
              <w:outlineLvl w:val="7"/>
              <w:rPr>
                <w:rFonts w:ascii="Times New Roman" w:hAnsi="Times New Roman" w:eastAsia="Calibri" w:cs="Times New Roman"/>
                <w:b/>
                <w:sz w:val="28"/>
                <w:szCs w:val="28"/>
                <w:lang w:val="ro-RO"/>
              </w:rPr>
            </w:pPr>
          </w:p>
          <w:p>
            <w:pPr>
              <w:keepNext/>
              <w:spacing w:after="0" w:line="240" w:lineRule="auto"/>
              <w:ind w:firstLine="851"/>
              <w:jc w:val="center"/>
              <w:outlineLvl w:val="7"/>
              <w:rPr>
                <w:rFonts w:ascii="Times New Roman" w:hAnsi="Times New Roman" w:eastAsia="Calibri" w:cs="Times New Roman"/>
                <w:b/>
                <w:sz w:val="28"/>
                <w:szCs w:val="28"/>
                <w:lang w:val="ro-RO"/>
              </w:rPr>
            </w:pPr>
            <w:r>
              <w:rPr>
                <w:rFonts w:ascii="Times New Roman" w:hAnsi="Times New Roman" w:eastAsia="Calibri" w:cs="Times New Roman"/>
                <w:b/>
                <w:sz w:val="28"/>
                <w:szCs w:val="28"/>
                <w:lang w:val="ro-RO"/>
              </w:rPr>
              <w:t>H O T Ă R Î R E nr</w:t>
            </w:r>
            <w:r>
              <w:rPr>
                <w:rFonts w:ascii="Times New Roman" w:hAnsi="Times New Roman" w:eastAsia="Calibri" w:cs="Times New Roman"/>
                <w:sz w:val="28"/>
                <w:szCs w:val="28"/>
                <w:lang w:val="ro-RO"/>
              </w:rPr>
              <w:t>.</w:t>
            </w:r>
            <w:r>
              <w:rPr>
                <w:rFonts w:ascii="Times New Roman" w:hAnsi="Times New Roman" w:eastAsia="Calibri" w:cs="Times New Roman"/>
                <w:b/>
                <w:sz w:val="28"/>
                <w:szCs w:val="28"/>
                <w:lang w:val="ro-RO"/>
              </w:rPr>
              <w:t xml:space="preserve">_______  </w:t>
            </w:r>
          </w:p>
          <w:p>
            <w:pPr>
              <w:spacing w:after="0" w:line="240" w:lineRule="auto"/>
              <w:ind w:firstLine="851"/>
              <w:jc w:val="both"/>
              <w:rPr>
                <w:rFonts w:ascii="Times New Roman" w:hAnsi="Times New Roman" w:eastAsia="Calibri" w:cs="Times New Roman"/>
                <w:sz w:val="28"/>
                <w:szCs w:val="28"/>
                <w:lang w:val="ro-RO"/>
              </w:rPr>
            </w:pPr>
          </w:p>
          <w:p>
            <w:pPr>
              <w:spacing w:after="0" w:line="240" w:lineRule="auto"/>
              <w:ind w:firstLine="851"/>
              <w:jc w:val="center"/>
              <w:rPr>
                <w:rFonts w:ascii="Times New Roman" w:hAnsi="Times New Roman" w:eastAsia="Calibri" w:cs="Times New Roman"/>
                <w:sz w:val="28"/>
                <w:szCs w:val="28"/>
                <w:lang w:val="ro-RO"/>
              </w:rPr>
            </w:pPr>
            <w:r>
              <w:rPr>
                <w:rFonts w:ascii="Times New Roman" w:hAnsi="Times New Roman" w:eastAsia="Calibri" w:cs="Times New Roman"/>
                <w:b/>
                <w:sz w:val="28"/>
                <w:szCs w:val="28"/>
                <w:lang w:val="ro-RO"/>
              </w:rPr>
              <w:t>din</w:t>
            </w:r>
            <w:r>
              <w:rPr>
                <w:rFonts w:ascii="Times New Roman" w:hAnsi="Times New Roman" w:eastAsia="Calibri" w:cs="Times New Roman"/>
                <w:sz w:val="28"/>
                <w:szCs w:val="28"/>
                <w:lang w:val="ro-RO"/>
              </w:rPr>
              <w:t xml:space="preserve"> ______________________________</w:t>
            </w:r>
          </w:p>
          <w:p>
            <w:pPr>
              <w:spacing w:after="0" w:line="240" w:lineRule="auto"/>
              <w:ind w:firstLine="851"/>
              <w:jc w:val="center"/>
              <w:rPr>
                <w:rFonts w:ascii="Times New Roman" w:hAnsi="Times New Roman" w:eastAsia="Calibri" w:cs="Times New Roman"/>
                <w:b/>
                <w:sz w:val="28"/>
                <w:szCs w:val="28"/>
                <w:lang w:val="ro-RO"/>
              </w:rPr>
            </w:pPr>
          </w:p>
          <w:p>
            <w:pPr>
              <w:spacing w:after="0" w:line="240" w:lineRule="auto"/>
              <w:ind w:firstLine="851"/>
              <w:jc w:val="center"/>
              <w:rPr>
                <w:rFonts w:ascii="Times New Roman" w:hAnsi="Times New Roman" w:eastAsia="Calibri" w:cs="Times New Roman"/>
                <w:b/>
                <w:sz w:val="28"/>
                <w:szCs w:val="28"/>
                <w:lang w:val="ro-RO"/>
              </w:rPr>
            </w:pPr>
            <w:r>
              <w:rPr>
                <w:rFonts w:ascii="Times New Roman" w:hAnsi="Times New Roman" w:eastAsia="Calibri" w:cs="Times New Roman"/>
                <w:b/>
                <w:sz w:val="28"/>
                <w:szCs w:val="28"/>
                <w:lang w:val="ro-RO"/>
              </w:rPr>
              <w:t>Chișinău</w:t>
            </w:r>
          </w:p>
          <w:p>
            <w:pPr>
              <w:keepNext/>
              <w:spacing w:after="0" w:line="240" w:lineRule="auto"/>
              <w:outlineLvl w:val="7"/>
              <w:rPr>
                <w:rFonts w:ascii="Times New Roman" w:hAnsi="Times New Roman" w:eastAsia="Calibri" w:cs="Times New Roman"/>
                <w:sz w:val="28"/>
                <w:szCs w:val="28"/>
                <w:lang w:val="ro-RO"/>
              </w:rPr>
            </w:pPr>
          </w:p>
        </w:tc>
      </w:tr>
    </w:tbl>
    <w:p>
      <w:pPr>
        <w:spacing w:after="0" w:line="240" w:lineRule="auto"/>
        <w:jc w:val="both"/>
        <w:rPr>
          <w:rFonts w:ascii="Times New Roman" w:hAnsi="Times New Roman" w:eastAsia="Calibri" w:cs="Times New Roman"/>
          <w:b/>
          <w:bCs/>
          <w:sz w:val="28"/>
          <w:szCs w:val="28"/>
          <w:lang w:val="ro-RO" w:eastAsia="ru-RU"/>
        </w:rPr>
      </w:pPr>
    </w:p>
    <w:p>
      <w:pPr>
        <w:spacing w:after="0" w:line="240" w:lineRule="auto"/>
        <w:ind w:firstLine="851"/>
        <w:jc w:val="center"/>
        <w:rPr>
          <w:rFonts w:ascii="Times New Roman" w:hAnsi="Times New Roman" w:eastAsia="Calibri" w:cs="Times New Roman"/>
          <w:b/>
          <w:bCs/>
          <w:sz w:val="28"/>
          <w:szCs w:val="28"/>
          <w:lang w:val="ro-RO" w:eastAsia="ru-RU"/>
        </w:rPr>
      </w:pPr>
      <w:r>
        <w:rPr>
          <w:rFonts w:ascii="Times New Roman" w:hAnsi="Times New Roman" w:eastAsia="Calibri" w:cs="Times New Roman"/>
          <w:b/>
          <w:bCs/>
          <w:sz w:val="28"/>
          <w:szCs w:val="28"/>
          <w:lang w:val="ro-RO" w:eastAsia="ru-RU"/>
        </w:rPr>
        <w:t xml:space="preserve">Pentru </w:t>
      </w:r>
      <w:bookmarkStart w:id="1" w:name="_Hlk522607452"/>
      <w:r>
        <w:rPr>
          <w:rFonts w:ascii="Times New Roman" w:hAnsi="Times New Roman" w:eastAsia="Calibri" w:cs="Times New Roman"/>
          <w:b/>
          <w:bCs/>
          <w:sz w:val="28"/>
          <w:szCs w:val="28"/>
          <w:lang w:val="ro-RO" w:eastAsia="ru-RU"/>
        </w:rPr>
        <w:t xml:space="preserve">aprobarea Regulamentului privind </w:t>
      </w:r>
      <w:bookmarkStart w:id="2" w:name="_Hlk522549872"/>
      <w:r>
        <w:rPr>
          <w:rFonts w:ascii="Times New Roman" w:hAnsi="Times New Roman" w:eastAsia="Calibri" w:cs="Times New Roman"/>
          <w:b/>
          <w:sz w:val="28"/>
          <w:szCs w:val="28"/>
          <w:lang w:val="ro-RO"/>
        </w:rPr>
        <w:t>Lista de interdicţie a operatorilor economici</w:t>
      </w:r>
      <w:r>
        <w:rPr>
          <w:rFonts w:ascii="Times New Roman" w:hAnsi="Times New Roman" w:eastAsia="Calibri" w:cs="Times New Roman"/>
          <w:b/>
          <w:sz w:val="28"/>
          <w:szCs w:val="28"/>
          <w:lang w:val="ro-RO" w:eastAsia="en-GB"/>
        </w:rPr>
        <w:t>.</w:t>
      </w:r>
    </w:p>
    <w:bookmarkEnd w:id="1"/>
    <w:bookmarkEnd w:id="2"/>
    <w:p>
      <w:pPr>
        <w:spacing w:after="0" w:line="240" w:lineRule="auto"/>
        <w:ind w:right="284" w:firstLine="720"/>
        <w:jc w:val="both"/>
        <w:rPr>
          <w:rFonts w:ascii="Times New Roman" w:hAnsi="Times New Roman" w:eastAsia="Calibri" w:cs="Times New Roman"/>
          <w:sz w:val="28"/>
          <w:szCs w:val="28"/>
          <w:lang w:val="ro-RO"/>
        </w:rPr>
      </w:pPr>
    </w:p>
    <w:p>
      <w:pPr>
        <w:spacing w:after="0" w:line="240" w:lineRule="auto"/>
        <w:ind w:right="284" w:firstLine="720"/>
        <w:jc w:val="both"/>
        <w:rPr>
          <w:rFonts w:ascii="Times New Roman" w:hAnsi="Times New Roman" w:eastAsia="Calibri" w:cs="Times New Roman"/>
          <w:sz w:val="28"/>
          <w:szCs w:val="28"/>
          <w:lang w:val="ro-RO"/>
        </w:rPr>
      </w:pPr>
      <w:r>
        <w:rPr>
          <w:rFonts w:ascii="Times New Roman" w:hAnsi="Times New Roman" w:eastAsia="Calibri" w:cs="Times New Roman"/>
          <w:sz w:val="28"/>
          <w:szCs w:val="28"/>
          <w:lang w:val="ro-RO"/>
        </w:rPr>
        <w:t>În temeiul art. 25 al Legii nr. 131/2015 privind achiziţiile publice (Monitorul Oficial al Republicii Moldova, 2015, nr.197-205, art.402), Guvernul</w:t>
      </w:r>
    </w:p>
    <w:p>
      <w:pPr>
        <w:spacing w:after="0" w:line="240" w:lineRule="auto"/>
        <w:ind w:firstLine="851"/>
        <w:jc w:val="both"/>
        <w:rPr>
          <w:rFonts w:ascii="Times New Roman" w:hAnsi="Times New Roman" w:eastAsia="Calibri" w:cs="Times New Roman"/>
          <w:sz w:val="28"/>
          <w:szCs w:val="28"/>
          <w:lang w:val="ro-RO" w:eastAsia="en-GB"/>
        </w:rPr>
      </w:pPr>
    </w:p>
    <w:p>
      <w:pPr>
        <w:spacing w:after="0" w:line="240" w:lineRule="auto"/>
        <w:ind w:firstLine="851"/>
        <w:jc w:val="center"/>
        <w:rPr>
          <w:rFonts w:ascii="Times New Roman" w:hAnsi="Times New Roman" w:eastAsia="Calibri" w:cs="Times New Roman"/>
          <w:b/>
          <w:bCs/>
          <w:sz w:val="28"/>
          <w:szCs w:val="28"/>
          <w:lang w:val="ro-RO" w:eastAsia="en-GB"/>
        </w:rPr>
      </w:pPr>
      <w:r>
        <w:rPr>
          <w:rFonts w:ascii="Times New Roman" w:hAnsi="Times New Roman" w:eastAsia="Calibri" w:cs="Times New Roman"/>
          <w:b/>
          <w:bCs/>
          <w:sz w:val="28"/>
          <w:szCs w:val="28"/>
          <w:lang w:val="ro-RO" w:eastAsia="en-GB"/>
        </w:rPr>
        <w:t>HOTĂRĂŞTE:</w:t>
      </w:r>
    </w:p>
    <w:p>
      <w:pPr>
        <w:spacing w:after="0" w:line="240" w:lineRule="auto"/>
        <w:ind w:firstLine="851"/>
        <w:jc w:val="center"/>
        <w:rPr>
          <w:rFonts w:ascii="Times New Roman" w:hAnsi="Times New Roman" w:eastAsia="Calibri" w:cs="Times New Roman"/>
          <w:b/>
          <w:bCs/>
          <w:sz w:val="28"/>
          <w:szCs w:val="28"/>
          <w:lang w:val="ro-RO" w:eastAsia="en-GB"/>
        </w:rPr>
      </w:pPr>
    </w:p>
    <w:p>
      <w:pPr>
        <w:spacing w:after="0" w:line="240" w:lineRule="auto"/>
        <w:ind w:firstLine="851"/>
        <w:jc w:val="both"/>
        <w:rPr>
          <w:rFonts w:ascii="Times New Roman" w:hAnsi="Times New Roman" w:eastAsia="Calibri" w:cs="Times New Roman"/>
          <w:sz w:val="28"/>
          <w:szCs w:val="28"/>
          <w:lang w:val="ro-RO" w:eastAsia="en-GB"/>
        </w:rPr>
      </w:pPr>
      <w:r>
        <w:rPr>
          <w:rFonts w:ascii="Times New Roman" w:hAnsi="Times New Roman" w:eastAsia="Calibri" w:cs="Times New Roman"/>
          <w:b/>
          <w:bCs/>
          <w:sz w:val="28"/>
          <w:szCs w:val="28"/>
          <w:lang w:val="ro-RO" w:eastAsia="en-GB"/>
        </w:rPr>
        <w:t>1.</w:t>
      </w:r>
      <w:r>
        <w:rPr>
          <w:rFonts w:ascii="Times New Roman" w:hAnsi="Times New Roman" w:eastAsia="Calibri" w:cs="Times New Roman"/>
          <w:sz w:val="28"/>
          <w:szCs w:val="28"/>
          <w:lang w:val="ro-RO" w:eastAsia="en-GB"/>
        </w:rPr>
        <w:t xml:space="preserve"> Se aprobă </w:t>
      </w:r>
      <w:r>
        <w:rPr>
          <w:rFonts w:ascii="Times New Roman" w:hAnsi="Times New Roman" w:eastAsia="Calibri" w:cs="Times New Roman"/>
          <w:sz w:val="28"/>
          <w:szCs w:val="28"/>
          <w:lang w:val="ro-RO"/>
        </w:rPr>
        <w:t>Regulamentul privind</w:t>
      </w:r>
      <w:r>
        <w:rPr>
          <w:lang w:val="ro-RO"/>
        </w:rPr>
        <w:t xml:space="preserve"> </w:t>
      </w:r>
      <w:r>
        <w:rPr>
          <w:rFonts w:ascii="Times New Roman" w:hAnsi="Times New Roman" w:eastAsia="Calibri" w:cs="Times New Roman"/>
          <w:sz w:val="28"/>
          <w:szCs w:val="28"/>
          <w:lang w:val="ro-RO"/>
        </w:rPr>
        <w:t>Lista de interdicţie a operatorilor economici,</w:t>
      </w:r>
      <w:r>
        <w:rPr>
          <w:rFonts w:ascii="Times New Roman" w:hAnsi="Times New Roman" w:eastAsia="Calibri" w:cs="Times New Roman"/>
          <w:sz w:val="28"/>
          <w:szCs w:val="28"/>
          <w:lang w:val="ro-RO" w:eastAsia="en-GB"/>
        </w:rPr>
        <w:t xml:space="preserve"> (se anexează).</w:t>
      </w:r>
    </w:p>
    <w:p>
      <w:pPr>
        <w:spacing w:after="0" w:line="240" w:lineRule="auto"/>
        <w:ind w:firstLine="851"/>
        <w:jc w:val="both"/>
        <w:rPr>
          <w:rFonts w:ascii="Times New Roman" w:hAnsi="Times New Roman" w:eastAsia="Calibri" w:cs="Times New Roman"/>
          <w:sz w:val="28"/>
          <w:szCs w:val="28"/>
          <w:lang w:val="ro-RO" w:eastAsia="en-GB"/>
        </w:rPr>
      </w:pPr>
      <w:r>
        <w:rPr>
          <w:rFonts w:ascii="Times New Roman" w:hAnsi="Times New Roman" w:eastAsia="Calibri" w:cs="Times New Roman"/>
          <w:b/>
          <w:bCs/>
          <w:sz w:val="28"/>
          <w:szCs w:val="28"/>
          <w:lang w:val="ro-RO" w:eastAsia="en-GB"/>
        </w:rPr>
        <w:t>2.</w:t>
      </w:r>
      <w:r>
        <w:rPr>
          <w:rFonts w:ascii="Times New Roman" w:hAnsi="Times New Roman" w:eastAsia="Calibri" w:cs="Times New Roman"/>
          <w:sz w:val="28"/>
          <w:szCs w:val="28"/>
          <w:lang w:val="ro-RO" w:eastAsia="en-GB"/>
        </w:rPr>
        <w:t xml:space="preserve"> Se abrogă Hotărârea Guvernului nr.1418/2016 privind </w:t>
      </w:r>
      <w:r>
        <w:rPr>
          <w:rFonts w:ascii="Times New Roman" w:hAnsi="Times New Roman" w:eastAsia="Calibri" w:cs="Times New Roman"/>
          <w:sz w:val="28"/>
          <w:szCs w:val="28"/>
          <w:lang w:val="ro-RO"/>
        </w:rPr>
        <w:t>modul de întocmire a Listei de interdicţie a operatorilor economici</w:t>
      </w:r>
      <w:r>
        <w:rPr>
          <w:rFonts w:ascii="Times New Roman" w:hAnsi="Times New Roman" w:eastAsia="Calibri" w:cs="Times New Roman"/>
          <w:sz w:val="28"/>
          <w:szCs w:val="28"/>
          <w:lang w:val="ro-RO" w:eastAsia="en-GB"/>
        </w:rPr>
        <w:t xml:space="preserve"> (Monitorul Oficial al Republicii Moldova, 2017, nr. 1, art. 3).</w:t>
      </w:r>
    </w:p>
    <w:p>
      <w:pPr>
        <w:spacing w:after="0" w:line="240" w:lineRule="auto"/>
        <w:ind w:firstLine="851"/>
        <w:jc w:val="both"/>
        <w:rPr>
          <w:rFonts w:ascii="Times New Roman" w:hAnsi="Times New Roman" w:eastAsia="Calibri" w:cs="Times New Roman"/>
          <w:sz w:val="28"/>
          <w:szCs w:val="28"/>
          <w:lang w:val="ro-RO" w:eastAsia="en-GB"/>
        </w:rPr>
      </w:pPr>
      <w:r>
        <w:rPr>
          <w:rFonts w:ascii="Times New Roman" w:hAnsi="Times New Roman" w:eastAsia="Calibri" w:cs="Times New Roman"/>
          <w:b/>
          <w:sz w:val="28"/>
          <w:szCs w:val="28"/>
          <w:lang w:val="ro-RO" w:eastAsia="en-GB"/>
        </w:rPr>
        <w:t>3.</w:t>
      </w:r>
      <w:r>
        <w:rPr>
          <w:rFonts w:ascii="Times New Roman" w:hAnsi="Times New Roman" w:eastAsia="Calibri" w:cs="Times New Roman"/>
          <w:sz w:val="28"/>
          <w:szCs w:val="28"/>
          <w:lang w:val="ro-RO" w:eastAsia="en-GB"/>
        </w:rPr>
        <w:t xml:space="preserve"> Prezenta </w:t>
      </w:r>
      <w:r>
        <w:rPr>
          <w:rFonts w:ascii="Times New Roman" w:hAnsi="Times New Roman" w:eastAsia="Calibri" w:cs="Times New Roman"/>
          <w:sz w:val="28"/>
          <w:szCs w:val="28"/>
          <w:lang w:val="ro-RO" w:eastAsia="ru-RU"/>
        </w:rPr>
        <w:t>hotărîre intră în vigoare la data publicării în Monitorul Oficial al Republicii Moldova.</w:t>
      </w:r>
    </w:p>
    <w:p>
      <w:pPr>
        <w:spacing w:after="0" w:line="240" w:lineRule="auto"/>
        <w:ind w:firstLine="851"/>
        <w:jc w:val="both"/>
        <w:rPr>
          <w:rFonts w:ascii="Times New Roman" w:hAnsi="Times New Roman" w:eastAsia="Calibri" w:cs="Times New Roman"/>
          <w:sz w:val="28"/>
          <w:szCs w:val="28"/>
          <w:lang w:val="ro-RO" w:eastAsia="en-GB"/>
        </w:rPr>
      </w:pPr>
    </w:p>
    <w:p>
      <w:pPr>
        <w:tabs>
          <w:tab w:val="left" w:pos="6663"/>
        </w:tabs>
        <w:spacing w:after="0" w:line="240" w:lineRule="auto"/>
        <w:jc w:val="both"/>
        <w:rPr>
          <w:rFonts w:ascii="Times New Roman" w:hAnsi="Times New Roman" w:eastAsia="Calibri" w:cs="Times New Roman"/>
          <w:b/>
          <w:sz w:val="28"/>
          <w:szCs w:val="28"/>
          <w:lang w:val="ro-RO" w:eastAsia="ru-RU"/>
        </w:rPr>
      </w:pPr>
    </w:p>
    <w:p>
      <w:pPr>
        <w:tabs>
          <w:tab w:val="left" w:pos="6663"/>
        </w:tabs>
        <w:spacing w:after="0" w:line="240" w:lineRule="auto"/>
        <w:rPr>
          <w:rFonts w:ascii="Times New Roman" w:hAnsi="Times New Roman" w:eastAsia="Calibri" w:cs="Times New Roman"/>
          <w:b/>
          <w:sz w:val="28"/>
          <w:szCs w:val="28"/>
          <w:lang w:val="ro-RO" w:eastAsia="ru-RU"/>
        </w:rPr>
      </w:pPr>
      <w:r>
        <w:rPr>
          <w:rFonts w:ascii="Times New Roman" w:hAnsi="Times New Roman" w:eastAsia="Calibri" w:cs="Times New Roman"/>
          <w:b/>
          <w:sz w:val="28"/>
          <w:szCs w:val="28"/>
          <w:lang w:val="ro-RO" w:eastAsia="ru-RU"/>
        </w:rPr>
        <w:t>Prim-ministru                                                                          Ion CHICU</w:t>
      </w:r>
    </w:p>
    <w:p>
      <w:pPr>
        <w:spacing w:after="0" w:line="240" w:lineRule="auto"/>
        <w:ind w:firstLine="851"/>
        <w:jc w:val="both"/>
        <w:rPr>
          <w:rFonts w:ascii="Times New Roman" w:hAnsi="Times New Roman" w:eastAsia="Calibri" w:cs="Times New Roman"/>
          <w:b/>
          <w:sz w:val="28"/>
          <w:szCs w:val="28"/>
          <w:lang w:val="ro-RO" w:eastAsia="ru-RU"/>
        </w:rPr>
      </w:pPr>
    </w:p>
    <w:p>
      <w:pPr>
        <w:spacing w:after="0" w:line="240" w:lineRule="auto"/>
        <w:ind w:firstLine="851"/>
        <w:jc w:val="both"/>
        <w:rPr>
          <w:rFonts w:ascii="Times New Roman" w:hAnsi="Times New Roman" w:eastAsia="Calibri" w:cs="Times New Roman"/>
          <w:b/>
          <w:sz w:val="28"/>
          <w:szCs w:val="28"/>
          <w:lang w:val="ro-RO" w:eastAsia="ru-RU"/>
        </w:rPr>
      </w:pPr>
    </w:p>
    <w:p>
      <w:pPr>
        <w:spacing w:after="0" w:line="240" w:lineRule="auto"/>
        <w:jc w:val="both"/>
        <w:rPr>
          <w:rFonts w:ascii="Times New Roman" w:hAnsi="Times New Roman" w:eastAsia="Calibri" w:cs="Times New Roman"/>
          <w:b/>
          <w:sz w:val="28"/>
          <w:szCs w:val="28"/>
          <w:lang w:val="ro-RO" w:eastAsia="ru-RU"/>
        </w:rPr>
      </w:pPr>
      <w:r>
        <w:rPr>
          <w:rFonts w:ascii="Times New Roman" w:hAnsi="Times New Roman" w:eastAsia="Calibri" w:cs="Times New Roman"/>
          <w:b/>
          <w:sz w:val="28"/>
          <w:szCs w:val="28"/>
          <w:lang w:val="ro-RO" w:eastAsia="ru-RU"/>
        </w:rPr>
        <w:t>Contrasemnează:</w:t>
      </w:r>
    </w:p>
    <w:p>
      <w:pPr>
        <w:spacing w:after="0" w:line="240" w:lineRule="auto"/>
        <w:ind w:firstLine="851"/>
        <w:jc w:val="both"/>
        <w:rPr>
          <w:rFonts w:ascii="Times New Roman" w:hAnsi="Times New Roman" w:eastAsia="Calibri" w:cs="Times New Roman"/>
          <w:sz w:val="28"/>
          <w:szCs w:val="28"/>
          <w:lang w:val="ro-RO" w:eastAsia="ru-RU"/>
        </w:rPr>
      </w:pPr>
    </w:p>
    <w:p>
      <w:pPr>
        <w:spacing w:after="0" w:line="240" w:lineRule="auto"/>
        <w:jc w:val="both"/>
        <w:rPr>
          <w:rFonts w:ascii="Times New Roman" w:hAnsi="Times New Roman" w:eastAsia="Calibri" w:cs="Times New Roman"/>
          <w:b/>
          <w:sz w:val="28"/>
          <w:szCs w:val="28"/>
          <w:lang w:val="ro-RO" w:eastAsia="ru-RU"/>
        </w:rPr>
      </w:pPr>
      <w:r>
        <w:rPr>
          <w:rFonts w:ascii="Times New Roman" w:hAnsi="Times New Roman" w:eastAsia="Calibri" w:cs="Times New Roman"/>
          <w:b/>
          <w:sz w:val="28"/>
          <w:szCs w:val="28"/>
          <w:lang w:val="ro-RO" w:eastAsia="ru-RU"/>
        </w:rPr>
        <w:t>Viceprim-ministru,</w:t>
      </w:r>
    </w:p>
    <w:p>
      <w:pPr>
        <w:spacing w:after="0" w:line="240" w:lineRule="auto"/>
        <w:rPr>
          <w:rFonts w:ascii="Times New Roman" w:hAnsi="Times New Roman" w:eastAsia="Calibri" w:cs="Times New Roman"/>
          <w:b/>
          <w:sz w:val="28"/>
          <w:szCs w:val="28"/>
          <w:lang w:val="ro-RO" w:eastAsia="ru-RU"/>
        </w:rPr>
      </w:pPr>
      <w:r>
        <w:rPr>
          <w:rFonts w:ascii="Times New Roman" w:hAnsi="Times New Roman" w:eastAsia="Calibri" w:cs="Times New Roman"/>
          <w:b/>
          <w:sz w:val="28"/>
          <w:szCs w:val="28"/>
          <w:lang w:val="ro-RO" w:eastAsia="ru-RU"/>
        </w:rPr>
        <w:t xml:space="preserve">Ministrul finanțelor                                                                 Serghei PUȘCUȚA  </w:t>
      </w:r>
    </w:p>
    <w:p>
      <w:pPr>
        <w:rPr>
          <w:lang w:val="ro-RO"/>
        </w:rPr>
      </w:pPr>
    </w:p>
    <w:p>
      <w:pPr>
        <w:rPr>
          <w:lang w:val="ro-RO"/>
        </w:rPr>
      </w:pPr>
    </w:p>
    <w:p>
      <w:pPr>
        <w:rPr>
          <w:lang w:val="ro-RO"/>
        </w:rPr>
      </w:pPr>
    </w:p>
    <w:p>
      <w:pPr>
        <w:rPr>
          <w:lang w:val="ro-RO"/>
        </w:rPr>
      </w:pPr>
    </w:p>
    <w:p>
      <w:pPr>
        <w:rPr>
          <w:lang w:val="ro-RO"/>
        </w:rPr>
      </w:pPr>
    </w:p>
    <w:p>
      <w:pPr>
        <w:spacing w:after="0"/>
        <w:jc w:val="right"/>
        <w:rPr>
          <w:rFonts w:ascii="Times New Roman" w:hAnsi="Times New Roman" w:cs="Times New Roman"/>
          <w:i/>
          <w:sz w:val="28"/>
          <w:szCs w:val="28"/>
          <w:lang w:val="ro-RO"/>
        </w:rPr>
      </w:pPr>
      <w:r>
        <w:rPr>
          <w:rFonts w:ascii="Times New Roman" w:hAnsi="Times New Roman" w:cs="Times New Roman"/>
          <w:b/>
          <w:sz w:val="28"/>
          <w:szCs w:val="28"/>
          <w:lang w:val="ro-RO"/>
        </w:rPr>
        <w:t xml:space="preserve">                                               </w:t>
      </w:r>
      <w:r>
        <w:rPr>
          <w:rFonts w:ascii="Times New Roman" w:hAnsi="Times New Roman" w:cs="Times New Roman"/>
          <w:i/>
          <w:sz w:val="28"/>
          <w:szCs w:val="28"/>
          <w:lang w:val="ro-RO"/>
        </w:rPr>
        <w:t>Proiect</w:t>
      </w:r>
    </w:p>
    <w:p>
      <w:pPr>
        <w:spacing w:after="0"/>
        <w:jc w:val="right"/>
        <w:rPr>
          <w:rFonts w:ascii="Times New Roman" w:hAnsi="Times New Roman" w:cs="Times New Roman"/>
          <w:i/>
          <w:sz w:val="28"/>
          <w:szCs w:val="28"/>
          <w:lang w:val="ro-RO"/>
        </w:rPr>
      </w:pPr>
    </w:p>
    <w:p>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REGULAMENTUL</w:t>
      </w:r>
    </w:p>
    <w:p>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cu privire la </w:t>
      </w:r>
    </w:p>
    <w:p>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Lista de interdicție a operatorilor economici</w:t>
      </w:r>
    </w:p>
    <w:p>
      <w:pPr>
        <w:spacing w:after="0"/>
        <w:jc w:val="center"/>
        <w:rPr>
          <w:rFonts w:ascii="Times New Roman" w:hAnsi="Times New Roman" w:cs="Times New Roman"/>
          <w:b/>
          <w:sz w:val="28"/>
          <w:szCs w:val="28"/>
          <w:lang w:val="ro-RO"/>
        </w:rPr>
      </w:pPr>
    </w:p>
    <w:p>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I. DISPOZIŢII GENERALE</w:t>
      </w:r>
    </w:p>
    <w:p>
      <w:pPr>
        <w:spacing w:after="0" w:line="240" w:lineRule="auto"/>
        <w:jc w:val="center"/>
        <w:rPr>
          <w:rFonts w:ascii="Times New Roman" w:hAnsi="Times New Roman" w:cs="Times New Roman"/>
          <w:b/>
          <w:sz w:val="28"/>
          <w:szCs w:val="28"/>
          <w:lang w:val="ro-RO"/>
        </w:rPr>
      </w:pPr>
    </w:p>
    <w:p>
      <w:pPr>
        <w:pStyle w:val="11"/>
        <w:numPr>
          <w:ilvl w:val="0"/>
          <w:numId w:val="1"/>
        </w:numPr>
        <w:spacing w:line="240" w:lineRule="auto"/>
        <w:ind w:left="0" w:firstLine="360"/>
        <w:jc w:val="both"/>
        <w:rPr>
          <w:sz w:val="28"/>
          <w:szCs w:val="28"/>
          <w:lang w:val="ro-RO"/>
        </w:rPr>
      </w:pPr>
      <w:r>
        <w:rPr>
          <w:rFonts w:ascii="Times New Roman" w:hAnsi="Times New Roman" w:cs="Times New Roman"/>
          <w:sz w:val="28"/>
          <w:szCs w:val="28"/>
          <w:lang w:val="ro-RO"/>
        </w:rPr>
        <w:t>Regulamentul cu privire la Lista de interdicție a operatorilor economici (în continuare – Regulament) stabilește conținutul, modul de întocmire, evidență și publicare a listei nominalizate.</w:t>
      </w:r>
    </w:p>
    <w:p>
      <w:pPr>
        <w:pStyle w:val="11"/>
        <w:numPr>
          <w:ilvl w:val="0"/>
          <w:numId w:val="1"/>
        </w:numPr>
        <w:ind w:left="0" w:firstLine="360"/>
        <w:jc w:val="both"/>
        <w:rPr>
          <w:sz w:val="28"/>
          <w:szCs w:val="28"/>
          <w:lang w:val="ro-RO"/>
        </w:rPr>
      </w:pPr>
      <w:r>
        <w:rPr>
          <w:rFonts w:ascii="Times New Roman" w:hAnsi="Times New Roman" w:cs="Times New Roman"/>
          <w:sz w:val="28"/>
          <w:szCs w:val="28"/>
          <w:lang w:val="ro-RO"/>
        </w:rPr>
        <w:t>În Lista de interdicție a operatorilor economici (în continuare – Listă) pot fi înscriși operatorii economici care au participat la procedurile de atribuire a contractelor de achiziții publice/acordurilor-cadru sau au încheiat contracte de mică valoare, dar nu și-au îndeplinit corespunzător obligațiile asumate în cadrul acestor proceduri sau a căror conduită contravine prevederilor legislației.</w:t>
      </w:r>
    </w:p>
    <w:p>
      <w:pPr>
        <w:pStyle w:val="11"/>
        <w:numPr>
          <w:ilvl w:val="0"/>
          <w:numId w:val="1"/>
        </w:numPr>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Lista reprezintă înscrieri referitor la operatorii economici, persoane fizice sau juridice din Republica Moldova și din alte state, indiferent de tipul de proprietate și forma de organizare juridică, în scopul limitării acestora, pentru o perioadă de 3 ani, de a participa la procedurile de atribuire a contractelor de achiziții publice/acordurilor-cadru (în continuare - procedura de atribuire) prevăzute de cadrul normativ.</w:t>
      </w:r>
    </w:p>
    <w:p>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II. ÎNTOCMIREA ŞI CONŢINUTUL LISTEI</w:t>
      </w:r>
    </w:p>
    <w:p>
      <w:pPr>
        <w:spacing w:after="0" w:line="240" w:lineRule="auto"/>
        <w:jc w:val="center"/>
        <w:rPr>
          <w:rFonts w:ascii="Times New Roman" w:hAnsi="Times New Roman" w:cs="Times New Roman"/>
          <w:b/>
          <w:sz w:val="28"/>
          <w:szCs w:val="28"/>
          <w:lang w:val="ro-RO"/>
        </w:rPr>
      </w:pPr>
    </w:p>
    <w:p>
      <w:pPr>
        <w:pStyle w:val="11"/>
        <w:numPr>
          <w:ilvl w:val="0"/>
          <w:numId w:val="1"/>
        </w:numPr>
        <w:tabs>
          <w:tab w:val="left" w:pos="0"/>
        </w:tabs>
        <w:spacing w:after="0" w:line="240" w:lineRule="auto"/>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Lista se întocmește, se menține și se actualizează de către Agenția Achiziții Publice (în continuare - Agenția).</w:t>
      </w:r>
    </w:p>
    <w:p>
      <w:pPr>
        <w:pStyle w:val="11"/>
        <w:numPr>
          <w:ilvl w:val="0"/>
          <w:numId w:val="1"/>
        </w:numPr>
        <w:tabs>
          <w:tab w:val="left" w:pos="0"/>
        </w:tabs>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Întocmirea, menținerea și actualizarea Listei se efectuează în formă electronică, prin plasarea informației pe site-ul </w:t>
      </w:r>
      <w:r>
        <w:fldChar w:fldCharType="begin"/>
      </w:r>
      <w:r>
        <w:instrText xml:space="preserve"> HYPERLINK "http://www.tender.gov.md" </w:instrText>
      </w:r>
      <w:r>
        <w:fldChar w:fldCharType="separate"/>
      </w:r>
      <w:r>
        <w:rPr>
          <w:rStyle w:val="9"/>
          <w:rFonts w:ascii="Times New Roman" w:hAnsi="Times New Roman" w:cs="Times New Roman"/>
          <w:sz w:val="28"/>
          <w:szCs w:val="28"/>
          <w:lang w:val="ro-RO"/>
        </w:rPr>
        <w:t>www.tender.gov.md</w:t>
      </w:r>
      <w:r>
        <w:rPr>
          <w:rStyle w:val="9"/>
          <w:rFonts w:ascii="Times New Roman" w:hAnsi="Times New Roman" w:cs="Times New Roman"/>
          <w:sz w:val="28"/>
          <w:szCs w:val="28"/>
          <w:lang w:val="ro-RO"/>
        </w:rPr>
        <w:fldChar w:fldCharType="end"/>
      </w:r>
      <w:r>
        <w:rPr>
          <w:rFonts w:ascii="Times New Roman" w:hAnsi="Times New Roman" w:cs="Times New Roman"/>
          <w:sz w:val="28"/>
          <w:szCs w:val="28"/>
          <w:lang w:val="ro-RO"/>
        </w:rPr>
        <w:t>.</w:t>
      </w:r>
    </w:p>
    <w:p>
      <w:pPr>
        <w:pStyle w:val="11"/>
        <w:numPr>
          <w:ilvl w:val="0"/>
          <w:numId w:val="1"/>
        </w:numPr>
        <w:tabs>
          <w:tab w:val="left" w:pos="0"/>
        </w:tabs>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Informația conținută în Lista publicată pe site-ul www.tender.gov.md este oficială.</w:t>
      </w:r>
    </w:p>
    <w:p>
      <w:pPr>
        <w:pStyle w:val="11"/>
        <w:numPr>
          <w:ilvl w:val="0"/>
          <w:numId w:val="1"/>
        </w:numPr>
        <w:tabs>
          <w:tab w:val="left" w:pos="0"/>
        </w:tabs>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Lista trebuie să conțină următoarele înscrieri:</w:t>
      </w:r>
    </w:p>
    <w:p>
      <w:pPr>
        <w:pStyle w:val="11"/>
        <w:numPr>
          <w:ilvl w:val="0"/>
          <w:numId w:val="2"/>
        </w:numPr>
        <w:tabs>
          <w:tab w:val="left" w:pos="0"/>
        </w:tabs>
        <w:spacing w:after="0"/>
        <w:ind w:left="720"/>
        <w:jc w:val="both"/>
        <w:rPr>
          <w:rFonts w:ascii="Times New Roman" w:hAnsi="Times New Roman" w:cs="Times New Roman"/>
          <w:sz w:val="28"/>
          <w:szCs w:val="28"/>
          <w:lang w:val="ro-RO"/>
        </w:rPr>
      </w:pPr>
      <w:r>
        <w:rPr>
          <w:rFonts w:ascii="Times New Roman" w:hAnsi="Times New Roman" w:cs="Times New Roman"/>
          <w:sz w:val="28"/>
          <w:szCs w:val="28"/>
          <w:lang w:val="ro-RO"/>
        </w:rPr>
        <w:t>numărul de ordine;</w:t>
      </w:r>
    </w:p>
    <w:p>
      <w:pPr>
        <w:pStyle w:val="11"/>
        <w:numPr>
          <w:ilvl w:val="0"/>
          <w:numId w:val="2"/>
        </w:numPr>
        <w:tabs>
          <w:tab w:val="left" w:pos="0"/>
        </w:tabs>
        <w:spacing w:after="0"/>
        <w:ind w:left="720"/>
        <w:jc w:val="both"/>
        <w:rPr>
          <w:rFonts w:ascii="Times New Roman" w:hAnsi="Times New Roman" w:cs="Times New Roman"/>
          <w:sz w:val="28"/>
          <w:szCs w:val="28"/>
          <w:lang w:val="ro-RO"/>
        </w:rPr>
      </w:pPr>
      <w:r>
        <w:rPr>
          <w:rFonts w:ascii="Times New Roman" w:hAnsi="Times New Roman" w:cs="Times New Roman"/>
          <w:sz w:val="28"/>
          <w:szCs w:val="28"/>
          <w:lang w:val="ro-RO"/>
        </w:rPr>
        <w:t>numărul și data deciziei de înscriere în Listă a operatorului economic;</w:t>
      </w:r>
    </w:p>
    <w:p>
      <w:pPr>
        <w:pStyle w:val="11"/>
        <w:numPr>
          <w:ilvl w:val="0"/>
          <w:numId w:val="2"/>
        </w:numPr>
        <w:tabs>
          <w:tab w:val="left" w:pos="0"/>
        </w:tabs>
        <w:spacing w:after="0"/>
        <w:ind w:left="720"/>
        <w:jc w:val="both"/>
        <w:rPr>
          <w:rFonts w:ascii="Times New Roman" w:hAnsi="Times New Roman" w:cs="Times New Roman"/>
          <w:sz w:val="28"/>
          <w:szCs w:val="28"/>
          <w:lang w:val="ro-RO"/>
        </w:rPr>
      </w:pPr>
      <w:r>
        <w:rPr>
          <w:rFonts w:ascii="Times New Roman" w:hAnsi="Times New Roman" w:cs="Times New Roman"/>
          <w:sz w:val="28"/>
          <w:szCs w:val="28"/>
          <w:lang w:val="ro-RO"/>
        </w:rPr>
        <w:t>data înscrierii în Listă a operatorului economic;</w:t>
      </w:r>
    </w:p>
    <w:p>
      <w:pPr>
        <w:pStyle w:val="11"/>
        <w:numPr>
          <w:ilvl w:val="0"/>
          <w:numId w:val="2"/>
        </w:numPr>
        <w:tabs>
          <w:tab w:val="left" w:pos="0"/>
        </w:tabs>
        <w:spacing w:after="0"/>
        <w:ind w:left="720"/>
        <w:jc w:val="both"/>
        <w:rPr>
          <w:rFonts w:ascii="Times New Roman" w:hAnsi="Times New Roman" w:cs="Times New Roman"/>
          <w:sz w:val="28"/>
          <w:szCs w:val="28"/>
          <w:lang w:val="ro-RO"/>
        </w:rPr>
      </w:pPr>
      <w:r>
        <w:rPr>
          <w:rFonts w:ascii="Times New Roman" w:hAnsi="Times New Roman" w:cs="Times New Roman"/>
          <w:sz w:val="28"/>
          <w:szCs w:val="28"/>
          <w:lang w:val="ro-RO"/>
        </w:rPr>
        <w:t>data la care expiră termenul de înscriere în Listă;</w:t>
      </w:r>
    </w:p>
    <w:p>
      <w:pPr>
        <w:pStyle w:val="11"/>
        <w:numPr>
          <w:ilvl w:val="0"/>
          <w:numId w:val="2"/>
        </w:numPr>
        <w:tabs>
          <w:tab w:val="left" w:pos="0"/>
        </w:tabs>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denumirea, forma de organizare juridică a operatorului economic, datele de contact și adresa juridică a operatorului economic;</w:t>
      </w:r>
    </w:p>
    <w:p>
      <w:pPr>
        <w:pStyle w:val="11"/>
        <w:numPr>
          <w:ilvl w:val="0"/>
          <w:numId w:val="2"/>
        </w:numPr>
        <w:tabs>
          <w:tab w:val="left" w:pos="0"/>
        </w:tabs>
        <w:spacing w:after="0"/>
        <w:ind w:left="720"/>
        <w:jc w:val="both"/>
        <w:rPr>
          <w:rFonts w:ascii="Times New Roman" w:hAnsi="Times New Roman" w:cs="Times New Roman"/>
          <w:sz w:val="28"/>
          <w:szCs w:val="28"/>
          <w:lang w:val="ro-RO"/>
        </w:rPr>
      </w:pPr>
      <w:r>
        <w:rPr>
          <w:rFonts w:ascii="Times New Roman" w:hAnsi="Times New Roman" w:cs="Times New Roman"/>
          <w:sz w:val="28"/>
          <w:szCs w:val="28"/>
          <w:lang w:val="ro-RO"/>
        </w:rPr>
        <w:t>numele și prenumele administratorului operatorului economic;</w:t>
      </w:r>
    </w:p>
    <w:p>
      <w:pPr>
        <w:pStyle w:val="11"/>
        <w:numPr>
          <w:ilvl w:val="0"/>
          <w:numId w:val="2"/>
        </w:numPr>
        <w:tabs>
          <w:tab w:val="left" w:pos="0"/>
        </w:tabs>
        <w:spacing w:after="0"/>
        <w:ind w:left="720"/>
        <w:jc w:val="both"/>
        <w:rPr>
          <w:rFonts w:ascii="Times New Roman" w:hAnsi="Times New Roman" w:cs="Times New Roman"/>
          <w:sz w:val="28"/>
          <w:szCs w:val="28"/>
          <w:lang w:val="ro-RO"/>
        </w:rPr>
      </w:pPr>
      <w:r>
        <w:rPr>
          <w:rFonts w:ascii="Times New Roman" w:hAnsi="Times New Roman" w:cs="Times New Roman"/>
          <w:sz w:val="28"/>
          <w:szCs w:val="28"/>
          <w:lang w:val="ro-RO"/>
        </w:rPr>
        <w:t>expunerea succintă a temeiului de înscriere în Listă a operatorului economic;</w:t>
      </w:r>
    </w:p>
    <w:p>
      <w:pPr>
        <w:pStyle w:val="11"/>
        <w:numPr>
          <w:ilvl w:val="0"/>
          <w:numId w:val="2"/>
        </w:numPr>
        <w:tabs>
          <w:tab w:val="left" w:pos="0"/>
        </w:tabs>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denumirea autorității contractante sau a organului de control care a solicitat/sesizat înscrierea operatorului economic în Listă;</w:t>
      </w:r>
    </w:p>
    <w:p>
      <w:pPr>
        <w:pStyle w:val="11"/>
        <w:numPr>
          <w:ilvl w:val="0"/>
          <w:numId w:val="2"/>
        </w:numPr>
        <w:tabs>
          <w:tab w:val="left" w:pos="0"/>
        </w:tabs>
        <w:spacing w:after="0"/>
        <w:ind w:left="720"/>
        <w:jc w:val="both"/>
        <w:rPr>
          <w:rFonts w:ascii="Times New Roman" w:hAnsi="Times New Roman" w:cs="Times New Roman"/>
          <w:sz w:val="28"/>
          <w:szCs w:val="28"/>
          <w:lang w:val="ro-RO"/>
        </w:rPr>
      </w:pPr>
      <w:r>
        <w:rPr>
          <w:rFonts w:ascii="Times New Roman" w:hAnsi="Times New Roman" w:cs="Times New Roman"/>
          <w:sz w:val="28"/>
          <w:szCs w:val="28"/>
          <w:lang w:val="ro-RO"/>
        </w:rPr>
        <w:t>alte înscrieri necesare, stabilite de Agenție, conform prevederilor legislației.</w:t>
      </w:r>
    </w:p>
    <w:p>
      <w:pPr>
        <w:pStyle w:val="11"/>
        <w:tabs>
          <w:tab w:val="left" w:pos="0"/>
        </w:tabs>
        <w:spacing w:after="0"/>
        <w:ind w:left="1080"/>
        <w:jc w:val="both"/>
        <w:rPr>
          <w:rFonts w:ascii="Times New Roman" w:hAnsi="Times New Roman" w:cs="Times New Roman"/>
          <w:sz w:val="28"/>
          <w:szCs w:val="28"/>
          <w:lang w:val="ro-RO"/>
        </w:rPr>
      </w:pPr>
    </w:p>
    <w:p>
      <w:pPr>
        <w:pStyle w:val="11"/>
        <w:tabs>
          <w:tab w:val="center" w:pos="5220"/>
        </w:tabs>
        <w:spacing w:before="120" w:after="120"/>
        <w:ind w:left="1080"/>
        <w:jc w:val="center"/>
        <w:rPr>
          <w:rFonts w:ascii="Times New Roman" w:hAnsi="Times New Roman" w:cs="Times New Roman"/>
          <w:b/>
          <w:sz w:val="28"/>
          <w:szCs w:val="28"/>
          <w:lang w:val="ro-RO"/>
        </w:rPr>
      </w:pPr>
      <w:r>
        <w:rPr>
          <w:rFonts w:ascii="Times New Roman" w:hAnsi="Times New Roman" w:cs="Times New Roman"/>
          <w:b/>
          <w:sz w:val="28"/>
          <w:szCs w:val="28"/>
          <w:lang w:val="ro-RO"/>
        </w:rPr>
        <w:t>III. PROCEDURA DE ÎNSCRIERE</w:t>
      </w:r>
    </w:p>
    <w:p>
      <w:pPr>
        <w:pStyle w:val="11"/>
        <w:spacing w:before="60" w:after="60"/>
        <w:ind w:left="1080"/>
        <w:jc w:val="center"/>
        <w:rPr>
          <w:rFonts w:ascii="Times New Roman" w:hAnsi="Times New Roman" w:cs="Times New Roman"/>
          <w:b/>
          <w:sz w:val="28"/>
          <w:szCs w:val="28"/>
          <w:lang w:val="ro-RO"/>
        </w:rPr>
      </w:pPr>
      <w:r>
        <w:rPr>
          <w:rFonts w:ascii="Times New Roman" w:hAnsi="Times New Roman" w:cs="Times New Roman"/>
          <w:b/>
          <w:sz w:val="28"/>
          <w:szCs w:val="28"/>
          <w:lang w:val="ro-RO"/>
        </w:rPr>
        <w:t>A OPERATORILOR ECONOMICI ÎN LISTĂ</w:t>
      </w:r>
    </w:p>
    <w:p>
      <w:pPr>
        <w:spacing w:before="60" w:after="60"/>
        <w:rPr>
          <w:rFonts w:ascii="Times New Roman" w:hAnsi="Times New Roman" w:cs="Times New Roman"/>
          <w:b/>
          <w:sz w:val="28"/>
          <w:szCs w:val="28"/>
          <w:lang w:val="ro-RO"/>
        </w:rPr>
      </w:pP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Înscrierea în Listă a operatorului economic se inițiază obligatoriu dacă sunt întrunite temeiurile prevăzute la pct.16 din prezentul Regulament și dacă autoritatea contractantă a suportat un prejudiciu sau dacă acesteia i-a fost afectată activitatea. Pentru aplicarea sbp.4) și 5)  din pct.16, survenirea prejudiciului sau afectării activității nu reprezintă o condiție obligatorie.</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Procedura de înscriere a operatorilor economici în Listă se desfășoară potrivit prezentului Regulament, cu respectarea principiilor legalității,  contradictorialității și al dreptului la apărare.</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Înscrierea în Listă se efectuează prin decizia Agenției în cazurile de autosesizare, la sesizarea autorității contractante,  unui organ de control conform pct.13, sau la sesizarea Agenției Naționale pentru Soluționarea Contestațiilor în urma examinării contestațiilor.</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Autoritatea contractantă va estima și se va expune asupra prejudiciului cauzat sau asupra afectării activității cu întocmirea documentelor confirmative de rigoare.</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Autoritatea contractantă care a constatat neîndeplinirea sau îndeplinirea necorespunzătoare a obligațiilor asumate în cadrul procedurilor de achiziție publică, ceea ce a cauzat un prejudiciu sau a afectat activitatea acesteia, sau a constatat conduita contrară prevederilor legislației cu incidență în domeniul achizițiilor publice a operatorului economic, va iniția obligatoriu procedura de înscriere în Listă, în termen de 60 de zile din momentul apariției temeiurilor prevăzute la pct.16 din prezentul Regulament.</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În cazurile în care organele de control, la efectuarea activităților de control, remarcă existența temeiurilor de înscriere în Listă, vor înainta o sesizare/prescripție către Agenție cu privire la inițierea procedurii de înscriere a operatorului economic respectiv în Listă, în conformitate cu prevederile prezentului Regulament. </w:t>
      </w:r>
    </w:p>
    <w:p>
      <w:pPr>
        <w:pStyle w:val="11"/>
        <w:numPr>
          <w:ilvl w:val="0"/>
          <w:numId w:val="1"/>
        </w:numPr>
        <w:spacing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Pentru înscrierea în Listă a operatorilor economici este necesară înaintarea unei solicitări în acest sens și a unei decizii a grupului de lucru din cadrul autorității contractante, cu anexarea tuturor documentelor confirmative, care trebuie să conțină, obligatoriu, următoarea informație:</w:t>
      </w:r>
    </w:p>
    <w:p>
      <w:pPr>
        <w:pStyle w:val="11"/>
        <w:numPr>
          <w:ilvl w:val="0"/>
          <w:numId w:val="3"/>
        </w:numPr>
        <w:spacing w:before="144" w:beforeLines="60" w:after="60"/>
        <w:ind w:left="720"/>
        <w:jc w:val="both"/>
        <w:rPr>
          <w:rFonts w:ascii="Times New Roman" w:hAnsi="Times New Roman" w:cs="Times New Roman"/>
          <w:sz w:val="28"/>
          <w:szCs w:val="28"/>
          <w:lang w:val="ro-RO"/>
        </w:rPr>
      </w:pPr>
      <w:r>
        <w:rPr>
          <w:rFonts w:ascii="Times New Roman" w:hAnsi="Times New Roman" w:cs="Times New Roman"/>
          <w:sz w:val="28"/>
          <w:szCs w:val="28"/>
          <w:lang w:val="ro-RO"/>
        </w:rPr>
        <w:t>descrierea succintă a obiectului procedurii de achiziție;</w:t>
      </w:r>
    </w:p>
    <w:p>
      <w:pPr>
        <w:pStyle w:val="11"/>
        <w:numPr>
          <w:ilvl w:val="0"/>
          <w:numId w:val="3"/>
        </w:numPr>
        <w:spacing w:before="144" w:beforeLines="60" w:after="60"/>
        <w:ind w:left="720"/>
        <w:jc w:val="both"/>
        <w:rPr>
          <w:rFonts w:ascii="Times New Roman" w:hAnsi="Times New Roman" w:cs="Times New Roman"/>
          <w:sz w:val="28"/>
          <w:szCs w:val="28"/>
          <w:lang w:val="ro-RO"/>
        </w:rPr>
      </w:pPr>
      <w:r>
        <w:rPr>
          <w:rFonts w:ascii="Times New Roman" w:hAnsi="Times New Roman" w:cs="Times New Roman"/>
          <w:sz w:val="28"/>
          <w:szCs w:val="28"/>
          <w:lang w:val="ro-RO"/>
        </w:rPr>
        <w:t>date de identificare a procedurii de atribuire;</w:t>
      </w:r>
    </w:p>
    <w:p>
      <w:pPr>
        <w:pStyle w:val="11"/>
        <w:numPr>
          <w:ilvl w:val="0"/>
          <w:numId w:val="3"/>
        </w:numPr>
        <w:spacing w:before="144" w:beforeLines="60" w:after="60"/>
        <w:ind w:left="720"/>
        <w:jc w:val="both"/>
        <w:rPr>
          <w:rFonts w:ascii="Times New Roman" w:hAnsi="Times New Roman" w:cs="Times New Roman"/>
          <w:sz w:val="28"/>
          <w:szCs w:val="28"/>
          <w:lang w:val="ro-RO"/>
        </w:rPr>
      </w:pPr>
      <w:r>
        <w:rPr>
          <w:rFonts w:ascii="Times New Roman" w:hAnsi="Times New Roman" w:cs="Times New Roman"/>
          <w:sz w:val="28"/>
          <w:szCs w:val="28"/>
          <w:lang w:val="ro-RO"/>
        </w:rPr>
        <w:t>date de identificare a contractului încheiat în urma procedurii de atribuire;</w:t>
      </w:r>
    </w:p>
    <w:p>
      <w:pPr>
        <w:pStyle w:val="11"/>
        <w:numPr>
          <w:ilvl w:val="0"/>
          <w:numId w:val="3"/>
        </w:numPr>
        <w:spacing w:before="144" w:beforeLines="60" w:after="60"/>
        <w:ind w:left="720"/>
        <w:jc w:val="both"/>
        <w:rPr>
          <w:rFonts w:ascii="Times New Roman" w:hAnsi="Times New Roman" w:cs="Times New Roman"/>
          <w:sz w:val="28"/>
          <w:szCs w:val="28"/>
          <w:lang w:val="ro-RO"/>
        </w:rPr>
      </w:pPr>
      <w:r>
        <w:rPr>
          <w:rFonts w:ascii="Times New Roman" w:hAnsi="Times New Roman" w:cs="Times New Roman"/>
          <w:sz w:val="28"/>
          <w:szCs w:val="28"/>
          <w:lang w:val="ro-RO"/>
        </w:rPr>
        <w:t>denumirea și datele de contact ale operatorului economic;</w:t>
      </w:r>
    </w:p>
    <w:p>
      <w:pPr>
        <w:pStyle w:val="11"/>
        <w:numPr>
          <w:ilvl w:val="0"/>
          <w:numId w:val="3"/>
        </w:numPr>
        <w:spacing w:before="144" w:beforeLines="60" w:after="6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expunerea exhaustivă a clauzelor prevăzute în contract şi în documentele privind desfășurarea procedurii de achiziție, neîndeplinite sau îndeplinite necorespunzător de către operatorul economic;</w:t>
      </w:r>
    </w:p>
    <w:p>
      <w:pPr>
        <w:pStyle w:val="11"/>
        <w:numPr>
          <w:ilvl w:val="0"/>
          <w:numId w:val="3"/>
        </w:numPr>
        <w:spacing w:before="144" w:beforeLines="60" w:after="6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mențiunile despre neîndeplinirea sau îndeplinirea necorespunzătoare a obligațiilor de către autoritatea contractantă;</w:t>
      </w:r>
    </w:p>
    <w:p>
      <w:pPr>
        <w:pStyle w:val="11"/>
        <w:numPr>
          <w:ilvl w:val="0"/>
          <w:numId w:val="3"/>
        </w:numPr>
        <w:spacing w:before="144" w:beforeLines="60" w:after="6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rezumatul demersurilor în care s-au solicitat explicații sau prin care operatorul economic a fost avertizat despre neîndeplinirea sau îndeplinirea necorespunzătoare a clauzelor contractuale;</w:t>
      </w:r>
    </w:p>
    <w:p>
      <w:pPr>
        <w:pStyle w:val="11"/>
        <w:numPr>
          <w:ilvl w:val="0"/>
          <w:numId w:val="3"/>
        </w:numPr>
        <w:spacing w:before="144" w:beforeLines="60" w:after="60"/>
        <w:ind w:left="720"/>
        <w:jc w:val="both"/>
        <w:rPr>
          <w:rFonts w:ascii="Times New Roman" w:hAnsi="Times New Roman" w:cs="Times New Roman"/>
          <w:sz w:val="28"/>
          <w:szCs w:val="28"/>
          <w:lang w:val="ro-RO"/>
        </w:rPr>
      </w:pPr>
      <w:r>
        <w:rPr>
          <w:rFonts w:ascii="Times New Roman" w:hAnsi="Times New Roman" w:cs="Times New Roman"/>
          <w:sz w:val="28"/>
          <w:szCs w:val="28"/>
          <w:lang w:val="ro-RO"/>
        </w:rPr>
        <w:t>mențiunile privind aplicarea sancțiunilor operatorului economic;</w:t>
      </w:r>
    </w:p>
    <w:p>
      <w:pPr>
        <w:pStyle w:val="11"/>
        <w:numPr>
          <w:ilvl w:val="0"/>
          <w:numId w:val="3"/>
        </w:numPr>
        <w:spacing w:before="144" w:beforeLines="60" w:after="6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descrierea prejudiciului sau a activității afectate cauzate de către operatorul economic, prin neîndeplinirea sau îndeplinirea necorespunzătoare a clauzelor contractuale, precum și descrierea consecințelor acestora.</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Sesizarea Agenției Naționale pentru Soluționarea Contestațiilor sau a organelor de control, trebuie să conțină referință la temeiurile prevăzute la pct.16 din prezentul Regulament și la actele normative, cu indicarea circumstanțelor constatate și anexarea tuturor actelor relevante.</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Temeiurile pentru care un operator economic poate fi înscris în Listă sunt următoarele: </w:t>
      </w:r>
    </w:p>
    <w:p>
      <w:pPr>
        <w:pStyle w:val="11"/>
        <w:numPr>
          <w:ilvl w:val="0"/>
          <w:numId w:val="4"/>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a comis o abatere profesională pe parcursul executării contractului de achiziție publică care face inutilă prestația, imposibilă utilizarea bunului conform destinației sau lucrării executate. Autoritatea contractantă sau organul care a înaintat sesizarea urmează să demonstreze prin orice mijloace adecvate acest fapt;</w:t>
      </w:r>
    </w:p>
    <w:p>
      <w:pPr>
        <w:pStyle w:val="11"/>
        <w:numPr>
          <w:ilvl w:val="0"/>
          <w:numId w:val="4"/>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nu își îndeplinește obligațiile contractuale,  calitatea bunurilor, serviciilor și lucrărilor este mai joasă decât cea prevăzută în contract și în documentele privind desfășurarea procedurii de atribuire, cu survenirea unui prejudiciu sau afectării activității  autorității contractante;</w:t>
      </w:r>
    </w:p>
    <w:p>
      <w:pPr>
        <w:pStyle w:val="11"/>
        <w:numPr>
          <w:ilvl w:val="0"/>
          <w:numId w:val="4"/>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nu își îndeplinește obligațiile contractuale, prin nerespectarea termenilor privind livrarea bunurilor, prestarea serviciilor sau executarea lucrărilor, fapt prin care a afectat activitatea autorității contractante sau a cauzat un prejudiciu;</w:t>
      </w:r>
    </w:p>
    <w:p>
      <w:pPr>
        <w:pStyle w:val="11"/>
        <w:numPr>
          <w:ilvl w:val="0"/>
          <w:numId w:val="4"/>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prezentarea în cadrul procedurii de atribuire a contractelor de achiziții publice a documentelor  care conțin date denaturate/eronate sau oricare alte documente/informații false sau neveridice;</w:t>
      </w:r>
    </w:p>
    <w:p>
      <w:pPr>
        <w:pStyle w:val="11"/>
        <w:numPr>
          <w:ilvl w:val="0"/>
          <w:numId w:val="4"/>
        </w:numPr>
        <w:spacing w:after="0"/>
        <w:ind w:left="0" w:firstLine="426"/>
        <w:jc w:val="both"/>
        <w:rPr>
          <w:rFonts w:ascii="Times New Roman" w:hAnsi="Times New Roman" w:cs="Times New Roman"/>
          <w:sz w:val="28"/>
          <w:szCs w:val="28"/>
          <w:lang w:val="ro-RO"/>
        </w:rPr>
      </w:pPr>
      <w:r>
        <w:rPr>
          <w:rFonts w:ascii="Times New Roman" w:hAnsi="Times New Roman" w:cs="Times New Roman"/>
          <w:sz w:val="28"/>
          <w:szCs w:val="28"/>
          <w:lang w:val="ro-RO"/>
        </w:rPr>
        <w:t>există probe prezentate de autoritatea contractantă sau de organul de control care demonstrează faptul că operatorii economici au participat la procedura de atribuire cu oferte trucate, au participat ca membri ai grupului de întreprinderi dependente la aceeași procedură de  atribuire cu mai multe oferte sau au creat o concurență neloială între participanți.</w:t>
      </w:r>
    </w:p>
    <w:p>
      <w:pPr>
        <w:pStyle w:val="11"/>
        <w:numPr>
          <w:ilvl w:val="0"/>
          <w:numId w:val="1"/>
        </w:numPr>
        <w:tabs>
          <w:tab w:val="left" w:pos="851"/>
        </w:tabs>
        <w:spacing w:after="0"/>
        <w:ind w:left="0" w:firstLine="426"/>
        <w:jc w:val="both"/>
        <w:rPr>
          <w:rFonts w:ascii="Times New Roman" w:hAnsi="Times New Roman" w:cs="Times New Roman"/>
          <w:sz w:val="28"/>
          <w:szCs w:val="28"/>
          <w:lang w:val="ro-RO"/>
        </w:rPr>
      </w:pPr>
      <w:r>
        <w:rPr>
          <w:rFonts w:ascii="Times New Roman" w:hAnsi="Times New Roman" w:cs="Times New Roman"/>
          <w:sz w:val="28"/>
          <w:szCs w:val="28"/>
          <w:lang w:val="ro-RO"/>
        </w:rPr>
        <w:t>Termenul pentru care este înscris operatorul economic în Listă este de 3 ani. În termenul dat nu se include perioada în care  decizia Agenției a fost suspendată de către instanța de judecată. În cazul suspendării deciziei Agenției de înscriere în Listă, la rubrica corespunzătoare, termenul de expirare se înlocuiește cu cuvântul „suspendat”. După înlăturarea temeiului de suspendare, Agenția adoptă o decizie prin care modifică data expirării</w:t>
      </w:r>
      <w:r>
        <w:t xml:space="preserve"> </w:t>
      </w:r>
      <w:r>
        <w:rPr>
          <w:rFonts w:ascii="Times New Roman" w:hAnsi="Times New Roman" w:cs="Times New Roman"/>
          <w:sz w:val="28"/>
          <w:szCs w:val="28"/>
          <w:lang w:val="ro-RO"/>
        </w:rPr>
        <w:t>termenului de înscriere a operatorului în Listă.</w:t>
      </w:r>
    </w:p>
    <w:p>
      <w:pPr>
        <w:pStyle w:val="11"/>
        <w:numPr>
          <w:ilvl w:val="0"/>
          <w:numId w:val="1"/>
        </w:numPr>
        <w:tabs>
          <w:tab w:val="left" w:pos="851"/>
        </w:tabs>
        <w:spacing w:after="0"/>
        <w:ind w:left="0" w:firstLine="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Agenția verifică temeinicia solicitării privind înscrierea în Listă a operatorului economic și, în termen de 15 zile lucrătoare, adoptă decizia de înscriere sau de neînscriere a operatorului economic în Listă. Agenția poate să suspende termenul de examinare privind înscrierea operatorului economic în Listă, în cazul în care este necesar un act de clarificare din partea unui organ competent în acest sens.</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se constată lipsa unor documente specificate la pct. 14 din prezentul Regulament, Agenția solicită informația/documentele lipsă sau suplimentare de la autoritatea contractantă și, după caz, informațiile de clarificare de la operatorul economic și, în termen de 15 zile lucrătoare de la prezentarea informației/documentelor respective, adoptă decizia de înscriere sau de neînscriere a operatorului economic în Listă. În cazul suspendării termenului de examinare, conform pct.17, termenul de 15 zile lucrătoare curge din data recepționării actului de clarificare/constatare.</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Autoritatea contractantă/operatorul economic, în cel mult 5 zile lucrătoare de la data recepționării solicitării, va prezenta informațiile conform pct.19.</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În caz de necesitate, în procesul de înscriere a operatorului economic în Listă, în vederea elucidării tuturor circumstanțelor de fapt și drept, Agenția va organiza ședințe în cadrul cărora se va decide asupra înscrierii operatorului economic în Listă.</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Ședințele cu privire la examinarea cererii privind înscrierea operatorului economic în Listă sunt conduse de către Directorul/Directorul-adjunct al Agenției și consemnate într-un proces-verbal cu privire la organizarea și desfășurarea ședinței de înscriere a operatorului economic în Listă.</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La ședința de înscriere a operatorului economic în listă, pot participa reprezentanții operatorului economic și părții care a sesizat Agenția.</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În cadrul ședințelor, părțile pot solicita să-și depună verbal concluziile, care se vor consemna în procesul verbal cu privire la organizarea și desfășurarea ședinței de înscriere a operatorului economic în Listă.</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Deciziile de înscriere a operatorului economic în Lista  sunt adoptate de către Directorul/Directorul-adjunct al Agenției.</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Decizia motivată de înscriere în Listă se remite operatorului economic și autorității contractante în decurs de cel mult 5 zile lucrătoare de la data adoptării.</w:t>
      </w:r>
    </w:p>
    <w:p>
      <w:pPr>
        <w:pStyle w:val="11"/>
        <w:numPr>
          <w:ilvl w:val="0"/>
          <w:numId w:val="1"/>
        </w:numPr>
        <w:spacing w:after="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Operatorul economic, altul decât cel înscris în Listă, care are drept administrator, persoana indicată în Listă conform pct.7 sbp.6) nu are dreptul să participe la procedurile de atribuire pe perioada înscrierii, iar autoritatea contractantă nu le va atribui contracte de achiziții publice. </w:t>
      </w:r>
    </w:p>
    <w:p>
      <w:pPr>
        <w:pStyle w:val="11"/>
        <w:spacing w:after="0"/>
        <w:ind w:left="360"/>
        <w:jc w:val="both"/>
        <w:rPr>
          <w:rFonts w:ascii="Times New Roman" w:hAnsi="Times New Roman" w:cs="Times New Roman"/>
          <w:sz w:val="28"/>
          <w:szCs w:val="28"/>
          <w:lang w:val="ro-RO"/>
        </w:rPr>
      </w:pPr>
    </w:p>
    <w:p>
      <w:pPr>
        <w:spacing w:before="120" w:after="120"/>
        <w:jc w:val="center"/>
        <w:rPr>
          <w:rFonts w:ascii="Times New Roman" w:hAnsi="Times New Roman" w:cs="Times New Roman"/>
          <w:b/>
          <w:sz w:val="28"/>
          <w:szCs w:val="28"/>
          <w:lang w:val="ro-RO"/>
        </w:rPr>
      </w:pPr>
      <w:r>
        <w:rPr>
          <w:rFonts w:ascii="Times New Roman" w:hAnsi="Times New Roman" w:cs="Times New Roman"/>
          <w:b/>
          <w:sz w:val="28"/>
          <w:szCs w:val="28"/>
          <w:lang w:val="ro-RO"/>
        </w:rPr>
        <w:t>IV. EXCLUDEREA DIN LISTĂ</w:t>
      </w:r>
    </w:p>
    <w:p>
      <w:pPr>
        <w:pStyle w:val="11"/>
        <w:numPr>
          <w:ilvl w:val="0"/>
          <w:numId w:val="1"/>
        </w:numPr>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Excluderea din Listă are loc la expirarea termenului de înscriere sau înainte de expirarea termenului, în cazurile prevăzute de prezentul Regulament.  </w:t>
      </w:r>
    </w:p>
    <w:p>
      <w:pPr>
        <w:pStyle w:val="11"/>
        <w:numPr>
          <w:ilvl w:val="0"/>
          <w:numId w:val="1"/>
        </w:numPr>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Operatorul economic se consideră de drept exclus din Listă la data expirării termenului expres prevăzut în aceasta, fără emiterea unui act juridic.</w:t>
      </w:r>
    </w:p>
    <w:p>
      <w:pPr>
        <w:pStyle w:val="11"/>
        <w:numPr>
          <w:ilvl w:val="0"/>
          <w:numId w:val="1"/>
        </w:numPr>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Excluderea din Listă, înainte de expirarea termenului expres prevăzut în aceasta are loc în următoarele cazuri:</w:t>
      </w:r>
    </w:p>
    <w:p>
      <w:pPr>
        <w:pStyle w:val="11"/>
        <w:numPr>
          <w:ilvl w:val="0"/>
          <w:numId w:val="5"/>
        </w:numPr>
        <w:tabs>
          <w:tab w:val="left" w:pos="720"/>
        </w:tabs>
        <w:spacing w:before="120" w:after="120"/>
        <w:ind w:left="720"/>
        <w:jc w:val="both"/>
        <w:rPr>
          <w:rFonts w:ascii="Times New Roman" w:hAnsi="Times New Roman" w:cs="Times New Roman"/>
          <w:sz w:val="28"/>
          <w:szCs w:val="28"/>
          <w:lang w:val="ro-RO"/>
        </w:rPr>
      </w:pPr>
      <w:r>
        <w:rPr>
          <w:rFonts w:ascii="Times New Roman" w:hAnsi="Times New Roman" w:cs="Times New Roman"/>
          <w:sz w:val="28"/>
          <w:szCs w:val="28"/>
          <w:lang w:val="ro-RO"/>
        </w:rPr>
        <w:t>revocarea deciziei Agenției;</w:t>
      </w:r>
    </w:p>
    <w:p>
      <w:pPr>
        <w:pStyle w:val="11"/>
        <w:numPr>
          <w:ilvl w:val="0"/>
          <w:numId w:val="5"/>
        </w:numPr>
        <w:tabs>
          <w:tab w:val="left" w:pos="426"/>
        </w:tabs>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anularea deciziei de înscriere printr-o hotărâre definitivă a instanței de judecată.</w:t>
      </w:r>
    </w:p>
    <w:p>
      <w:pPr>
        <w:pStyle w:val="11"/>
        <w:tabs>
          <w:tab w:val="left" w:pos="720"/>
        </w:tabs>
        <w:spacing w:before="120" w:after="120"/>
        <w:jc w:val="both"/>
        <w:rPr>
          <w:rFonts w:ascii="Times New Roman" w:hAnsi="Times New Roman" w:cs="Times New Roman"/>
          <w:sz w:val="28"/>
          <w:szCs w:val="28"/>
          <w:lang w:val="ro-RO"/>
        </w:rPr>
      </w:pPr>
    </w:p>
    <w:p>
      <w:pPr>
        <w:pStyle w:val="11"/>
        <w:spacing w:before="120" w:after="120"/>
        <w:ind w:left="1080"/>
        <w:jc w:val="center"/>
        <w:rPr>
          <w:rFonts w:ascii="Times New Roman" w:hAnsi="Times New Roman" w:cs="Times New Roman"/>
          <w:b/>
          <w:sz w:val="28"/>
          <w:szCs w:val="28"/>
          <w:lang w:val="ro-RO"/>
        </w:rPr>
      </w:pPr>
      <w:r>
        <w:rPr>
          <w:rFonts w:ascii="Times New Roman" w:hAnsi="Times New Roman" w:cs="Times New Roman"/>
          <w:b/>
          <w:sz w:val="28"/>
          <w:szCs w:val="28"/>
          <w:lang w:val="ro-RO"/>
        </w:rPr>
        <w:t>V. EVIDENŢA ŞI ACTUALIZAREA  LISTEI</w:t>
      </w:r>
    </w:p>
    <w:p>
      <w:pPr>
        <w:spacing w:before="120" w:after="120"/>
        <w:rPr>
          <w:rFonts w:ascii="Times New Roman" w:hAnsi="Times New Roman" w:cs="Times New Roman"/>
          <w:b/>
          <w:sz w:val="28"/>
          <w:szCs w:val="28"/>
          <w:lang w:val="ro-RO"/>
        </w:rPr>
      </w:pPr>
    </w:p>
    <w:p>
      <w:pPr>
        <w:pStyle w:val="11"/>
        <w:numPr>
          <w:ilvl w:val="0"/>
          <w:numId w:val="1"/>
        </w:numPr>
        <w:tabs>
          <w:tab w:val="left" w:pos="0"/>
        </w:tabs>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Evidența și actualizarea Listei se efectuează de către Agenție.</w:t>
      </w:r>
    </w:p>
    <w:p>
      <w:pPr>
        <w:pStyle w:val="11"/>
        <w:numPr>
          <w:ilvl w:val="0"/>
          <w:numId w:val="1"/>
        </w:numPr>
        <w:tabs>
          <w:tab w:val="left" w:pos="0"/>
        </w:tabs>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Informația din Listă se actualizează de către Agenție imediat după operarea oricăror modificări (înscrierea sau excluderea operatorului economic).</w:t>
      </w:r>
    </w:p>
    <w:p>
      <w:pPr>
        <w:pStyle w:val="11"/>
        <w:tabs>
          <w:tab w:val="left" w:pos="0"/>
        </w:tabs>
        <w:spacing w:before="120" w:after="120"/>
        <w:ind w:left="360"/>
        <w:jc w:val="both"/>
        <w:rPr>
          <w:rFonts w:ascii="Times New Roman" w:hAnsi="Times New Roman" w:cs="Times New Roman"/>
          <w:sz w:val="28"/>
          <w:szCs w:val="28"/>
          <w:lang w:val="ro-RO"/>
        </w:rPr>
      </w:pPr>
    </w:p>
    <w:p>
      <w:pPr>
        <w:pStyle w:val="11"/>
        <w:spacing w:after="0"/>
        <w:ind w:left="360"/>
        <w:jc w:val="center"/>
        <w:rPr>
          <w:rFonts w:ascii="Times New Roman" w:hAnsi="Times New Roman" w:cs="Times New Roman"/>
          <w:b/>
          <w:sz w:val="28"/>
          <w:szCs w:val="28"/>
          <w:lang w:val="ro-RO"/>
        </w:rPr>
      </w:pPr>
      <w:r>
        <w:rPr>
          <w:rFonts w:ascii="Times New Roman" w:hAnsi="Times New Roman" w:cs="Times New Roman"/>
          <w:b/>
          <w:sz w:val="28"/>
          <w:szCs w:val="28"/>
          <w:lang w:val="ro-RO"/>
        </w:rPr>
        <w:t>VI. LITIGII</w:t>
      </w:r>
    </w:p>
    <w:p>
      <w:pPr>
        <w:pStyle w:val="11"/>
        <w:tabs>
          <w:tab w:val="left" w:pos="0"/>
        </w:tabs>
        <w:spacing w:before="120" w:after="120"/>
        <w:ind w:left="360"/>
        <w:jc w:val="both"/>
        <w:rPr>
          <w:rFonts w:ascii="Times New Roman" w:hAnsi="Times New Roman" w:cs="Times New Roman"/>
          <w:sz w:val="28"/>
          <w:szCs w:val="28"/>
          <w:lang w:val="ro-RO"/>
        </w:rPr>
      </w:pPr>
    </w:p>
    <w:p>
      <w:pPr>
        <w:pStyle w:val="11"/>
        <w:numPr>
          <w:ilvl w:val="0"/>
          <w:numId w:val="1"/>
        </w:numPr>
        <w:tabs>
          <w:tab w:val="left" w:pos="0"/>
        </w:tabs>
        <w:spacing w:before="120" w:after="120"/>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Orice operator economic care consideră că a fost înscris neîntemeiat în Listă este în drept să conteste actul administrativ de înscriere în instanța judecătorească competentă.</w:t>
      </w:r>
    </w:p>
    <w:p>
      <w:pPr>
        <w:pStyle w:val="11"/>
        <w:spacing w:before="120" w:after="120"/>
        <w:ind w:left="1080"/>
        <w:jc w:val="both"/>
        <w:rPr>
          <w:rFonts w:ascii="Times New Roman" w:hAnsi="Times New Roman" w:cs="Times New Roman"/>
          <w:sz w:val="28"/>
          <w:szCs w:val="28"/>
          <w:lang w:val="ro-RO"/>
        </w:rPr>
      </w:pPr>
    </w:p>
    <w:p>
      <w:pPr>
        <w:rPr>
          <w:lang w:val="ro-RO"/>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A57"/>
    <w:multiLevelType w:val="multilevel"/>
    <w:tmpl w:val="04F42A57"/>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F461B94"/>
    <w:multiLevelType w:val="multilevel"/>
    <w:tmpl w:val="0F461B94"/>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892134"/>
    <w:multiLevelType w:val="multilevel"/>
    <w:tmpl w:val="22892134"/>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6B422E2"/>
    <w:multiLevelType w:val="multilevel"/>
    <w:tmpl w:val="46B422E2"/>
    <w:lvl w:ilvl="0" w:tentative="0">
      <w:start w:val="1"/>
      <w:numFmt w:val="decimal"/>
      <w:lvlText w:val="%1)"/>
      <w:lvlJc w:val="left"/>
      <w:pPr>
        <w:ind w:left="1080" w:hanging="360"/>
      </w:pPr>
      <w:rPr>
        <w:sz w:val="22"/>
        <w:szCs w:val="22"/>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68CA6ABE"/>
    <w:multiLevelType w:val="multilevel"/>
    <w:tmpl w:val="68CA6ABE"/>
    <w:lvl w:ilvl="0" w:tentative="0">
      <w:start w:val="1"/>
      <w:numFmt w:val="decimal"/>
      <w:lvlText w:val="%1."/>
      <w:lvlJc w:val="left"/>
      <w:pPr>
        <w:ind w:left="786" w:hanging="360"/>
      </w:pPr>
      <w:rPr>
        <w:rFonts w:hint="default" w:ascii="Times New Roman" w:hAnsi="Times New Roman" w:cs="Times New Roman"/>
        <w:b/>
        <w:sz w:val="28"/>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48"/>
    <w:rsid w:val="00043B13"/>
    <w:rsid w:val="00045072"/>
    <w:rsid w:val="00062A08"/>
    <w:rsid w:val="000F761D"/>
    <w:rsid w:val="00101DC6"/>
    <w:rsid w:val="00145430"/>
    <w:rsid w:val="001561AB"/>
    <w:rsid w:val="001B1F48"/>
    <w:rsid w:val="001D1175"/>
    <w:rsid w:val="001E2205"/>
    <w:rsid w:val="001E284E"/>
    <w:rsid w:val="00216851"/>
    <w:rsid w:val="002450DE"/>
    <w:rsid w:val="00247D32"/>
    <w:rsid w:val="00247EFC"/>
    <w:rsid w:val="002659CA"/>
    <w:rsid w:val="00286549"/>
    <w:rsid w:val="00293BA3"/>
    <w:rsid w:val="00296572"/>
    <w:rsid w:val="002B3C8F"/>
    <w:rsid w:val="00311405"/>
    <w:rsid w:val="0034221A"/>
    <w:rsid w:val="00354A99"/>
    <w:rsid w:val="00355159"/>
    <w:rsid w:val="00387D72"/>
    <w:rsid w:val="00395991"/>
    <w:rsid w:val="003D5A9F"/>
    <w:rsid w:val="00402C9C"/>
    <w:rsid w:val="0040513E"/>
    <w:rsid w:val="004067F6"/>
    <w:rsid w:val="004106E6"/>
    <w:rsid w:val="00452651"/>
    <w:rsid w:val="004539EE"/>
    <w:rsid w:val="00463819"/>
    <w:rsid w:val="00465CBC"/>
    <w:rsid w:val="0047691B"/>
    <w:rsid w:val="004C5BED"/>
    <w:rsid w:val="00534E4C"/>
    <w:rsid w:val="0058651E"/>
    <w:rsid w:val="00597963"/>
    <w:rsid w:val="005C06FD"/>
    <w:rsid w:val="005C4EF2"/>
    <w:rsid w:val="005E3D0E"/>
    <w:rsid w:val="00607F81"/>
    <w:rsid w:val="00655EBF"/>
    <w:rsid w:val="00671B7C"/>
    <w:rsid w:val="00682403"/>
    <w:rsid w:val="006A4DF2"/>
    <w:rsid w:val="006B3B90"/>
    <w:rsid w:val="006E0511"/>
    <w:rsid w:val="006E1A82"/>
    <w:rsid w:val="006E34B0"/>
    <w:rsid w:val="006E79E7"/>
    <w:rsid w:val="00713E77"/>
    <w:rsid w:val="00722F18"/>
    <w:rsid w:val="00726BEB"/>
    <w:rsid w:val="00761846"/>
    <w:rsid w:val="007821C7"/>
    <w:rsid w:val="00783DEC"/>
    <w:rsid w:val="00784724"/>
    <w:rsid w:val="00795AF0"/>
    <w:rsid w:val="007A6DFF"/>
    <w:rsid w:val="007C3EE0"/>
    <w:rsid w:val="007C5237"/>
    <w:rsid w:val="007C5459"/>
    <w:rsid w:val="007E1038"/>
    <w:rsid w:val="007E380D"/>
    <w:rsid w:val="0081073B"/>
    <w:rsid w:val="0082346E"/>
    <w:rsid w:val="008271E9"/>
    <w:rsid w:val="0084668E"/>
    <w:rsid w:val="00860949"/>
    <w:rsid w:val="00881BD2"/>
    <w:rsid w:val="008A10AE"/>
    <w:rsid w:val="008A6E70"/>
    <w:rsid w:val="008E423A"/>
    <w:rsid w:val="009007FC"/>
    <w:rsid w:val="0095491C"/>
    <w:rsid w:val="00965C2B"/>
    <w:rsid w:val="00987243"/>
    <w:rsid w:val="00990674"/>
    <w:rsid w:val="009957D7"/>
    <w:rsid w:val="0099794C"/>
    <w:rsid w:val="009A3B44"/>
    <w:rsid w:val="009A40B4"/>
    <w:rsid w:val="009D35C4"/>
    <w:rsid w:val="009E483B"/>
    <w:rsid w:val="00A13C22"/>
    <w:rsid w:val="00A2745C"/>
    <w:rsid w:val="00A53301"/>
    <w:rsid w:val="00A77DAA"/>
    <w:rsid w:val="00A8041D"/>
    <w:rsid w:val="00AB6D75"/>
    <w:rsid w:val="00AC3E72"/>
    <w:rsid w:val="00AC4937"/>
    <w:rsid w:val="00B02A9F"/>
    <w:rsid w:val="00B1060B"/>
    <w:rsid w:val="00B24911"/>
    <w:rsid w:val="00B63F76"/>
    <w:rsid w:val="00B70925"/>
    <w:rsid w:val="00B71D8E"/>
    <w:rsid w:val="00B75F66"/>
    <w:rsid w:val="00B8209D"/>
    <w:rsid w:val="00BD3829"/>
    <w:rsid w:val="00BE44EF"/>
    <w:rsid w:val="00BE67BB"/>
    <w:rsid w:val="00C03814"/>
    <w:rsid w:val="00C150F6"/>
    <w:rsid w:val="00C40B86"/>
    <w:rsid w:val="00C536C1"/>
    <w:rsid w:val="00C60A85"/>
    <w:rsid w:val="00C8679D"/>
    <w:rsid w:val="00CB5E07"/>
    <w:rsid w:val="00CD6305"/>
    <w:rsid w:val="00D0062A"/>
    <w:rsid w:val="00D12AC7"/>
    <w:rsid w:val="00D1431B"/>
    <w:rsid w:val="00D158F0"/>
    <w:rsid w:val="00D22C28"/>
    <w:rsid w:val="00D35FED"/>
    <w:rsid w:val="00D77F90"/>
    <w:rsid w:val="00D80DAD"/>
    <w:rsid w:val="00D90FD7"/>
    <w:rsid w:val="00DD154B"/>
    <w:rsid w:val="00DE34A8"/>
    <w:rsid w:val="00E1240E"/>
    <w:rsid w:val="00E3093C"/>
    <w:rsid w:val="00E336AD"/>
    <w:rsid w:val="00E404C5"/>
    <w:rsid w:val="00E44A6A"/>
    <w:rsid w:val="00EA5DCD"/>
    <w:rsid w:val="00EB5C49"/>
    <w:rsid w:val="00ED6A56"/>
    <w:rsid w:val="00EE6449"/>
    <w:rsid w:val="00EF6706"/>
    <w:rsid w:val="00F00B48"/>
    <w:rsid w:val="00F11C5A"/>
    <w:rsid w:val="00F17E2C"/>
    <w:rsid w:val="00F2479B"/>
    <w:rsid w:val="00F365CB"/>
    <w:rsid w:val="00F413F8"/>
    <w:rsid w:val="00F419BF"/>
    <w:rsid w:val="00F544FF"/>
    <w:rsid w:val="00F56DB6"/>
    <w:rsid w:val="00F97380"/>
    <w:rsid w:val="00FA7774"/>
    <w:rsid w:val="00FB6B30"/>
    <w:rsid w:val="00FE23FD"/>
    <w:rsid w:val="06E5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pPr>
      <w:spacing w:after="0" w:line="240" w:lineRule="auto"/>
    </w:pPr>
    <w:rPr>
      <w:rFonts w:ascii="Tahoma" w:hAnsi="Tahoma" w:cs="Tahoma"/>
      <w:sz w:val="16"/>
      <w:szCs w:val="16"/>
    </w:rPr>
  </w:style>
  <w:style w:type="paragraph" w:styleId="3">
    <w:name w:val="annotation text"/>
    <w:basedOn w:val="1"/>
    <w:link w:val="15"/>
    <w:semiHidden/>
    <w:unhideWhenUsed/>
    <w:uiPriority w:val="99"/>
    <w:pPr>
      <w:spacing w:line="240" w:lineRule="auto"/>
    </w:pPr>
    <w:rPr>
      <w:sz w:val="20"/>
      <w:szCs w:val="20"/>
    </w:rPr>
  </w:style>
  <w:style w:type="paragraph" w:styleId="4">
    <w:name w:val="annotation subject"/>
    <w:basedOn w:val="3"/>
    <w:next w:val="3"/>
    <w:link w:val="16"/>
    <w:semiHidden/>
    <w:unhideWhenUsed/>
    <w:uiPriority w:val="99"/>
    <w:rPr>
      <w:b/>
      <w:bCs/>
    </w:rPr>
  </w:style>
  <w:style w:type="paragraph" w:styleId="5">
    <w:name w:val="header"/>
    <w:basedOn w:val="1"/>
    <w:link w:val="12"/>
    <w:unhideWhenUsed/>
    <w:uiPriority w:val="99"/>
    <w:pPr>
      <w:tabs>
        <w:tab w:val="center" w:pos="4680"/>
        <w:tab w:val="right" w:pos="9360"/>
      </w:tabs>
      <w:spacing w:after="0" w:line="240" w:lineRule="auto"/>
    </w:pPr>
  </w:style>
  <w:style w:type="paragraph" w:styleId="6">
    <w:name w:val="footer"/>
    <w:basedOn w:val="1"/>
    <w:link w:val="13"/>
    <w:unhideWhenUsed/>
    <w:uiPriority w:val="99"/>
    <w:pPr>
      <w:tabs>
        <w:tab w:val="center" w:pos="4680"/>
        <w:tab w:val="right" w:pos="9360"/>
      </w:tabs>
      <w:spacing w:after="0" w:line="240" w:lineRule="auto"/>
    </w:pPr>
  </w:style>
  <w:style w:type="character" w:styleId="8">
    <w:name w:val="annotation reference"/>
    <w:basedOn w:val="7"/>
    <w:semiHidden/>
    <w:unhideWhenUsed/>
    <w:qFormat/>
    <w:uiPriority w:val="99"/>
    <w:rPr>
      <w:sz w:val="16"/>
      <w:szCs w:val="16"/>
    </w:rPr>
  </w:style>
  <w:style w:type="character" w:styleId="9">
    <w:name w:val="Hyperlink"/>
    <w:basedOn w:val="7"/>
    <w:unhideWhenUsed/>
    <w:uiPriority w:val="99"/>
    <w:rPr>
      <w:color w:val="0000FF" w:themeColor="hyperlink"/>
      <w:u w:val="single"/>
      <w14:textFill>
        <w14:solidFill>
          <w14:schemeClr w14:val="hlink"/>
        </w14:solidFill>
      </w14:textFill>
    </w:rPr>
  </w:style>
  <w:style w:type="paragraph" w:styleId="11">
    <w:name w:val="List Paragraph"/>
    <w:basedOn w:val="1"/>
    <w:qFormat/>
    <w:uiPriority w:val="34"/>
    <w:pPr>
      <w:ind w:left="720"/>
      <w:contextualSpacing/>
    </w:pPr>
  </w:style>
  <w:style w:type="character" w:customStyle="1" w:styleId="12">
    <w:name w:val="Header Char"/>
    <w:basedOn w:val="7"/>
    <w:link w:val="5"/>
    <w:qFormat/>
    <w:uiPriority w:val="99"/>
  </w:style>
  <w:style w:type="character" w:customStyle="1" w:styleId="13">
    <w:name w:val="Footer Char"/>
    <w:basedOn w:val="7"/>
    <w:link w:val="6"/>
    <w:qFormat/>
    <w:uiPriority w:val="99"/>
  </w:style>
  <w:style w:type="character" w:customStyle="1" w:styleId="14">
    <w:name w:val="Balloon Text Char"/>
    <w:basedOn w:val="7"/>
    <w:link w:val="2"/>
    <w:semiHidden/>
    <w:uiPriority w:val="99"/>
    <w:rPr>
      <w:rFonts w:ascii="Tahoma" w:hAnsi="Tahoma" w:cs="Tahoma"/>
      <w:sz w:val="16"/>
      <w:szCs w:val="16"/>
    </w:rPr>
  </w:style>
  <w:style w:type="character" w:customStyle="1" w:styleId="15">
    <w:name w:val="Comment Text Char"/>
    <w:basedOn w:val="7"/>
    <w:link w:val="3"/>
    <w:semiHidden/>
    <w:uiPriority w:val="99"/>
    <w:rPr>
      <w:sz w:val="20"/>
      <w:szCs w:val="20"/>
    </w:rPr>
  </w:style>
  <w:style w:type="character" w:customStyle="1" w:styleId="16">
    <w:name w:val="Comment Subject Char"/>
    <w:basedOn w:val="15"/>
    <w:link w:val="4"/>
    <w:semiHidden/>
    <w:uiPriority w:val="99"/>
    <w:rPr>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6EE09-0863-44A3-83F4-79E425866AA0}">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7</Pages>
  <Words>1858</Words>
  <Characters>10593</Characters>
  <Lines>88</Lines>
  <Paragraphs>24</Paragraphs>
  <TotalTime>1488</TotalTime>
  <ScaleCrop>false</ScaleCrop>
  <LinksUpToDate>false</LinksUpToDate>
  <CharactersWithSpaces>12427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2020-10-25T18:39:00Z</dcterms:created>
  <dc:creator>User</dc:creator>
  <cp:lastModifiedBy>Victoria890980</cp:lastModifiedBy>
  <cp:lastPrinted>2020-11-18T06:44:00Z</cp:lastPrinted>
  <dcterms:modified xsi:type="dcterms:W3CDTF">2020-12-14T07:37:18Z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