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2252B" w14:textId="77777777" w:rsidR="001E7F4B" w:rsidRDefault="001E7F4B" w:rsidP="001E7F4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178AD54" w14:textId="77777777" w:rsidR="001E7F4B" w:rsidRDefault="001E7F4B" w:rsidP="001E7F4B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06516">
        <w:rPr>
          <w:b/>
          <w:sz w:val="28"/>
          <w:szCs w:val="28"/>
          <w:u w:val="single"/>
        </w:rPr>
        <w:t>NOTĂ INFORMATIVĂ</w:t>
      </w:r>
    </w:p>
    <w:p w14:paraId="5D9E26A9" w14:textId="77777777" w:rsidR="001C2D8C" w:rsidRDefault="001C2D8C" w:rsidP="00B60F3E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73E159C" w14:textId="77777777" w:rsidR="001E7F4B" w:rsidRDefault="001E7F4B" w:rsidP="00B60F3E">
      <w:pPr>
        <w:spacing w:line="276" w:lineRule="auto"/>
        <w:jc w:val="center"/>
        <w:rPr>
          <w:i/>
          <w:sz w:val="28"/>
          <w:szCs w:val="28"/>
        </w:rPr>
      </w:pPr>
      <w:r w:rsidRPr="00F06516">
        <w:rPr>
          <w:i/>
          <w:sz w:val="28"/>
          <w:szCs w:val="28"/>
        </w:rPr>
        <w:t>la proiectul Hotăr</w:t>
      </w:r>
      <w:r>
        <w:rPr>
          <w:i/>
          <w:sz w:val="28"/>
          <w:szCs w:val="28"/>
        </w:rPr>
        <w:t>â</w:t>
      </w:r>
      <w:r w:rsidRPr="00F06516">
        <w:rPr>
          <w:i/>
          <w:sz w:val="28"/>
          <w:szCs w:val="28"/>
        </w:rPr>
        <w:t xml:space="preserve">rii Guvernului  </w:t>
      </w:r>
      <w:r w:rsidR="00EA3818" w:rsidRPr="00EA3818">
        <w:rPr>
          <w:i/>
          <w:sz w:val="28"/>
          <w:szCs w:val="28"/>
        </w:rPr>
        <w:t>pentru modificarea anexei nr.1 la Hotărârea Guvernului nr.10/2012 pentru aprobarea Regulamentului cu privire la delegarea salariaților entități1or din Republica Moldova</w:t>
      </w:r>
      <w:r w:rsidRPr="00F06516">
        <w:rPr>
          <w:i/>
          <w:sz w:val="28"/>
          <w:szCs w:val="28"/>
        </w:rPr>
        <w:t>.</w:t>
      </w:r>
    </w:p>
    <w:p w14:paraId="43CFD0F2" w14:textId="77777777" w:rsidR="001E7F4B" w:rsidRPr="00F06516" w:rsidRDefault="001E7F4B" w:rsidP="001E7F4B">
      <w:pPr>
        <w:spacing w:line="276" w:lineRule="auto"/>
        <w:jc w:val="center"/>
        <w:rPr>
          <w:i/>
          <w:sz w:val="28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1E7F4B" w:rsidRPr="00F06516" w14:paraId="220C4B26" w14:textId="77777777" w:rsidTr="009B0380">
        <w:tc>
          <w:tcPr>
            <w:tcW w:w="5000" w:type="pct"/>
          </w:tcPr>
          <w:p w14:paraId="168FB480" w14:textId="77777777" w:rsidR="001E7F4B" w:rsidRPr="00F06516" w:rsidRDefault="001E7F4B" w:rsidP="008C7175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 xml:space="preserve"> Denumirea autorului şi, după caz, a participanţilor la elaborarea proiectului</w:t>
            </w:r>
          </w:p>
        </w:tc>
      </w:tr>
      <w:tr w:rsidR="001E7F4B" w:rsidRPr="00F06516" w14:paraId="71A19A9E" w14:textId="77777777" w:rsidTr="009B0380">
        <w:tc>
          <w:tcPr>
            <w:tcW w:w="5000" w:type="pct"/>
          </w:tcPr>
          <w:p w14:paraId="4CABB091" w14:textId="16857046" w:rsidR="001E7F4B" w:rsidRPr="00F06516" w:rsidRDefault="001E7F4B" w:rsidP="008C71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6516">
              <w:rPr>
                <w:sz w:val="28"/>
                <w:szCs w:val="28"/>
              </w:rPr>
              <w:t>Proiectul este elaborat de Ministerul Finanțelor</w:t>
            </w:r>
            <w:r w:rsidR="001662C5">
              <w:rPr>
                <w:sz w:val="28"/>
                <w:szCs w:val="28"/>
              </w:rPr>
              <w:t xml:space="preserve">, </w:t>
            </w:r>
            <w:r w:rsidR="008C7175">
              <w:rPr>
                <w:sz w:val="28"/>
                <w:szCs w:val="28"/>
              </w:rPr>
              <w:t>în coordonare</w:t>
            </w:r>
            <w:r w:rsidR="003D7C0B">
              <w:rPr>
                <w:sz w:val="28"/>
                <w:szCs w:val="28"/>
              </w:rPr>
              <w:t xml:space="preserve"> cu</w:t>
            </w:r>
            <w:r w:rsidR="001662C5">
              <w:rPr>
                <w:sz w:val="28"/>
                <w:szCs w:val="28"/>
              </w:rPr>
              <w:t xml:space="preserve"> Ministerul Sănătății</w:t>
            </w:r>
            <w:r w:rsidRPr="00F06516">
              <w:rPr>
                <w:sz w:val="28"/>
                <w:szCs w:val="28"/>
              </w:rPr>
              <w:t>.</w:t>
            </w:r>
          </w:p>
        </w:tc>
      </w:tr>
      <w:tr w:rsidR="001E7F4B" w:rsidRPr="00F06516" w14:paraId="521B1256" w14:textId="77777777" w:rsidTr="009B0380">
        <w:tc>
          <w:tcPr>
            <w:tcW w:w="5000" w:type="pct"/>
          </w:tcPr>
          <w:p w14:paraId="5FB58779" w14:textId="77777777" w:rsidR="001E7F4B" w:rsidRPr="00F06516" w:rsidRDefault="001E7F4B" w:rsidP="005F7F4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2. Condiţiile ce au impus elaborarea proiectului de act normativ şi finalităţile urmărite</w:t>
            </w:r>
          </w:p>
        </w:tc>
      </w:tr>
      <w:tr w:rsidR="001E7F4B" w:rsidRPr="00F06516" w14:paraId="25A13236" w14:textId="77777777" w:rsidTr="009B0380">
        <w:tc>
          <w:tcPr>
            <w:tcW w:w="5000" w:type="pct"/>
          </w:tcPr>
          <w:p w14:paraId="651F662C" w14:textId="4D7BB11D" w:rsidR="00B50902" w:rsidRPr="00B60F3E" w:rsidRDefault="001E7F4B" w:rsidP="00B60F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5578">
              <w:rPr>
                <w:sz w:val="28"/>
                <w:szCs w:val="28"/>
              </w:rPr>
              <w:t xml:space="preserve">Proiectul Hotărârii Guvernului dat este întocmit </w:t>
            </w:r>
            <w:r w:rsidR="0014694F">
              <w:rPr>
                <w:sz w:val="28"/>
                <w:szCs w:val="28"/>
              </w:rPr>
              <w:t>în baza</w:t>
            </w:r>
            <w:r w:rsidR="00BF5A98" w:rsidRPr="00175578">
              <w:rPr>
                <w:sz w:val="28"/>
                <w:szCs w:val="28"/>
              </w:rPr>
              <w:t xml:space="preserve"> articolului 17</w:t>
            </w:r>
            <w:r w:rsidR="004D788C" w:rsidRPr="00175578">
              <w:rPr>
                <w:sz w:val="28"/>
                <w:szCs w:val="28"/>
              </w:rPr>
              <w:t>6</w:t>
            </w:r>
            <w:r w:rsidR="00BF5A98" w:rsidRPr="00175578">
              <w:rPr>
                <w:sz w:val="28"/>
                <w:szCs w:val="28"/>
              </w:rPr>
              <w:t xml:space="preserve"> </w:t>
            </w:r>
            <w:r w:rsidR="004D788C" w:rsidRPr="00175578">
              <w:rPr>
                <w:sz w:val="28"/>
                <w:szCs w:val="28"/>
              </w:rPr>
              <w:t>al</w:t>
            </w:r>
            <w:r w:rsidR="00BF5A98" w:rsidRPr="00175578">
              <w:rPr>
                <w:sz w:val="28"/>
                <w:szCs w:val="28"/>
              </w:rPr>
              <w:t xml:space="preserve"> Codul</w:t>
            </w:r>
            <w:r w:rsidR="004D788C" w:rsidRPr="00175578">
              <w:rPr>
                <w:sz w:val="28"/>
                <w:szCs w:val="28"/>
              </w:rPr>
              <w:t>ui</w:t>
            </w:r>
            <w:r w:rsidR="00BF5A98" w:rsidRPr="00175578">
              <w:rPr>
                <w:sz w:val="28"/>
                <w:szCs w:val="28"/>
              </w:rPr>
              <w:t xml:space="preserve"> Muncii (Legea nr.154/28.03.2003), </w:t>
            </w:r>
            <w:r w:rsidRPr="00175578">
              <w:rPr>
                <w:sz w:val="28"/>
                <w:szCs w:val="28"/>
              </w:rPr>
              <w:t>Ordinului MSMPS nr. 93 din 05 februarie 2021</w:t>
            </w:r>
            <w:r w:rsidR="00175578">
              <w:rPr>
                <w:sz w:val="28"/>
                <w:szCs w:val="28"/>
              </w:rPr>
              <w:t xml:space="preserve"> </w:t>
            </w:r>
            <w:r w:rsidR="00175578">
              <w:rPr>
                <w:rFonts w:ascii="Arial" w:eastAsiaTheme="minorHAnsi" w:hAnsi="Arial" w:cs="Arial"/>
                <w:sz w:val="26"/>
                <w:szCs w:val="26"/>
              </w:rPr>
              <w:t>c</w:t>
            </w:r>
            <w:r w:rsidR="00175578" w:rsidRPr="00B60F3E">
              <w:rPr>
                <w:sz w:val="28"/>
                <w:szCs w:val="28"/>
              </w:rPr>
              <w:t xml:space="preserve">u privire la implementarea Planului </w:t>
            </w:r>
            <w:r w:rsidR="00175578" w:rsidRPr="00175578">
              <w:rPr>
                <w:sz w:val="28"/>
                <w:szCs w:val="28"/>
              </w:rPr>
              <w:t>național</w:t>
            </w:r>
            <w:r w:rsidR="00175578">
              <w:rPr>
                <w:sz w:val="28"/>
                <w:szCs w:val="28"/>
              </w:rPr>
              <w:t xml:space="preserve"> </w:t>
            </w:r>
            <w:r w:rsidR="00175578" w:rsidRPr="00B60F3E">
              <w:rPr>
                <w:sz w:val="28"/>
                <w:szCs w:val="28"/>
              </w:rPr>
              <w:t>de imunizare anti-C</w:t>
            </w:r>
            <w:r w:rsidR="008B7E59">
              <w:rPr>
                <w:sz w:val="28"/>
                <w:szCs w:val="28"/>
              </w:rPr>
              <w:t>ovid</w:t>
            </w:r>
            <w:r w:rsidR="00175578" w:rsidRPr="00B60F3E">
              <w:rPr>
                <w:sz w:val="28"/>
                <w:szCs w:val="28"/>
              </w:rPr>
              <w:t>-19</w:t>
            </w:r>
            <w:r w:rsidR="00734D6F">
              <w:rPr>
                <w:sz w:val="28"/>
                <w:szCs w:val="28"/>
              </w:rPr>
              <w:t xml:space="preserve"> și recomandării</w:t>
            </w:r>
            <w:r w:rsidR="008B7E59">
              <w:rPr>
                <w:sz w:val="28"/>
                <w:szCs w:val="28"/>
              </w:rPr>
              <w:t xml:space="preserve"> Consiliului Europei</w:t>
            </w:r>
            <w:r w:rsidR="00B50902" w:rsidRPr="00B60F3E">
              <w:rPr>
                <w:sz w:val="28"/>
                <w:szCs w:val="28"/>
              </w:rPr>
              <w:t xml:space="preserve"> 2020/1475 din 13 octombrie 2020</w:t>
            </w:r>
            <w:r w:rsidR="00B50902" w:rsidRPr="00175578">
              <w:rPr>
                <w:sz w:val="28"/>
                <w:szCs w:val="28"/>
              </w:rPr>
              <w:t xml:space="preserve"> </w:t>
            </w:r>
            <w:r w:rsidR="00B50902" w:rsidRPr="00B60F3E">
              <w:rPr>
                <w:sz w:val="28"/>
                <w:szCs w:val="28"/>
              </w:rPr>
              <w:t>privind o abordare coordonată a restricționării liberei circulații ca răspuns la pandemia de C</w:t>
            </w:r>
            <w:r w:rsidR="008B7E59">
              <w:rPr>
                <w:sz w:val="28"/>
                <w:szCs w:val="28"/>
              </w:rPr>
              <w:t>ovid</w:t>
            </w:r>
            <w:r w:rsidR="00B50902" w:rsidRPr="00B60F3E">
              <w:rPr>
                <w:sz w:val="28"/>
                <w:szCs w:val="28"/>
              </w:rPr>
              <w:t>-19</w:t>
            </w:r>
            <w:r w:rsidR="00175578">
              <w:rPr>
                <w:sz w:val="28"/>
                <w:szCs w:val="28"/>
              </w:rPr>
              <w:t>.</w:t>
            </w:r>
          </w:p>
          <w:p w14:paraId="739B3DDD" w14:textId="147242EA" w:rsidR="001E7F4B" w:rsidRPr="00293B44" w:rsidRDefault="00BF5A98" w:rsidP="002E1D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3B44">
              <w:rPr>
                <w:sz w:val="28"/>
                <w:szCs w:val="28"/>
              </w:rPr>
              <w:t xml:space="preserve"> </w:t>
            </w:r>
            <w:r w:rsidR="00CD1F8B" w:rsidRPr="00293B44">
              <w:rPr>
                <w:sz w:val="28"/>
                <w:szCs w:val="28"/>
              </w:rPr>
              <w:t>Dat fiind că, deplasare</w:t>
            </w:r>
            <w:r w:rsidR="004558B9" w:rsidRPr="00293B44">
              <w:rPr>
                <w:sz w:val="28"/>
                <w:szCs w:val="28"/>
              </w:rPr>
              <w:t>a</w:t>
            </w:r>
            <w:r w:rsidR="00CD1F8B" w:rsidRPr="00293B44">
              <w:rPr>
                <w:sz w:val="28"/>
                <w:szCs w:val="28"/>
              </w:rPr>
              <w:t xml:space="preserve"> în interes de serviciu </w:t>
            </w:r>
            <w:r w:rsidR="004558B9" w:rsidRPr="00293B44">
              <w:rPr>
                <w:sz w:val="28"/>
                <w:szCs w:val="28"/>
              </w:rPr>
              <w:t>este</w:t>
            </w:r>
            <w:r w:rsidR="00092ACA" w:rsidRPr="00293B44">
              <w:rPr>
                <w:sz w:val="28"/>
                <w:szCs w:val="28"/>
              </w:rPr>
              <w:t xml:space="preserve"> delegarea salariatului</w:t>
            </w:r>
            <w:r w:rsidR="00CD1F8B" w:rsidRPr="00293B44">
              <w:rPr>
                <w:sz w:val="28"/>
                <w:szCs w:val="28"/>
              </w:rPr>
              <w:t xml:space="preserve"> conform ordinului (dispoziţiei, deciziei, hotăr</w:t>
            </w:r>
            <w:r w:rsidR="004D788C" w:rsidRPr="00293B44">
              <w:rPr>
                <w:sz w:val="28"/>
                <w:szCs w:val="28"/>
              </w:rPr>
              <w:t>â</w:t>
            </w:r>
            <w:r w:rsidR="00CD1F8B" w:rsidRPr="00293B44">
              <w:rPr>
                <w:sz w:val="28"/>
                <w:szCs w:val="28"/>
              </w:rPr>
              <w:t xml:space="preserve">rii) angajatorului, pe un anumit termen, pentru executarea obligaţiilor de muncă în afara locului de muncă permanent, dar condițiile pandemice </w:t>
            </w:r>
            <w:r w:rsidR="004D788C" w:rsidRPr="00293B44">
              <w:rPr>
                <w:sz w:val="28"/>
                <w:szCs w:val="28"/>
              </w:rPr>
              <w:t xml:space="preserve">la nivel internațional </w:t>
            </w:r>
            <w:r w:rsidR="00CD1F8B" w:rsidRPr="00293B44">
              <w:rPr>
                <w:sz w:val="28"/>
                <w:szCs w:val="28"/>
              </w:rPr>
              <w:t>stabilesc (pentru un șir de state) obligativitatea de prezen</w:t>
            </w:r>
            <w:r w:rsidR="004D788C" w:rsidRPr="00293B44">
              <w:rPr>
                <w:sz w:val="28"/>
                <w:szCs w:val="28"/>
              </w:rPr>
              <w:t>tare</w:t>
            </w:r>
            <w:r w:rsidR="00CD1F8B" w:rsidRPr="00293B44">
              <w:rPr>
                <w:sz w:val="28"/>
                <w:szCs w:val="28"/>
              </w:rPr>
              <w:t xml:space="preserve"> a testului </w:t>
            </w:r>
            <w:r w:rsidR="00FA0DD8" w:rsidRPr="00293B44">
              <w:rPr>
                <w:sz w:val="28"/>
                <w:szCs w:val="28"/>
              </w:rPr>
              <w:t>(rapid sau RT-</w:t>
            </w:r>
            <w:r w:rsidR="00CD1F8B" w:rsidRPr="00293B44">
              <w:rPr>
                <w:sz w:val="28"/>
                <w:szCs w:val="28"/>
              </w:rPr>
              <w:t>PCR</w:t>
            </w:r>
            <w:r w:rsidR="00FA0DD8" w:rsidRPr="00293B44">
              <w:rPr>
                <w:sz w:val="28"/>
                <w:szCs w:val="28"/>
              </w:rPr>
              <w:t>)</w:t>
            </w:r>
            <w:r w:rsidR="00CD1F8B" w:rsidRPr="00293B44">
              <w:rPr>
                <w:sz w:val="28"/>
                <w:szCs w:val="28"/>
              </w:rPr>
              <w:t xml:space="preserve"> care atestă că salariatul delegat nu este </w:t>
            </w:r>
            <w:r w:rsidR="002E1D99">
              <w:rPr>
                <w:sz w:val="28"/>
                <w:szCs w:val="28"/>
              </w:rPr>
              <w:t>infectat</w:t>
            </w:r>
            <w:r w:rsidR="00FA0DD8" w:rsidRPr="00293B44">
              <w:rPr>
                <w:sz w:val="28"/>
                <w:szCs w:val="28"/>
              </w:rPr>
              <w:t xml:space="preserve"> cu </w:t>
            </w:r>
            <w:r w:rsidR="00CD1F8B" w:rsidRPr="00293B44">
              <w:rPr>
                <w:sz w:val="28"/>
                <w:szCs w:val="28"/>
              </w:rPr>
              <w:t xml:space="preserve">virusul </w:t>
            </w:r>
            <w:r w:rsidR="00FA0DD8" w:rsidRPr="00293B44">
              <w:rPr>
                <w:sz w:val="28"/>
                <w:szCs w:val="28"/>
              </w:rPr>
              <w:t>SARS-CoV-2</w:t>
            </w:r>
            <w:r w:rsidR="004D788C" w:rsidRPr="00293B44">
              <w:rPr>
                <w:sz w:val="28"/>
                <w:szCs w:val="28"/>
              </w:rPr>
              <w:t>,</w:t>
            </w:r>
            <w:r w:rsidR="00CD1F8B" w:rsidRPr="00293B44">
              <w:rPr>
                <w:sz w:val="28"/>
                <w:szCs w:val="28"/>
              </w:rPr>
              <w:t xml:space="preserve"> intervine necesitatea de completare </w:t>
            </w:r>
            <w:r w:rsidR="004D788C" w:rsidRPr="00293B44">
              <w:rPr>
                <w:sz w:val="28"/>
                <w:szCs w:val="28"/>
              </w:rPr>
              <w:t xml:space="preserve">a </w:t>
            </w:r>
            <w:r w:rsidR="00CD1F8B" w:rsidRPr="00293B44">
              <w:rPr>
                <w:sz w:val="28"/>
                <w:szCs w:val="28"/>
              </w:rPr>
              <w:t>prevederilor actului normativ în c</w:t>
            </w:r>
            <w:bookmarkStart w:id="0" w:name="_GoBack"/>
            <w:bookmarkEnd w:id="0"/>
            <w:r w:rsidR="00CD1F8B" w:rsidRPr="00293B44">
              <w:rPr>
                <w:sz w:val="28"/>
                <w:szCs w:val="28"/>
              </w:rPr>
              <w:t>auză cu o normă ce asigur</w:t>
            </w:r>
            <w:r w:rsidR="001662C5" w:rsidRPr="00293B44">
              <w:rPr>
                <w:sz w:val="28"/>
                <w:szCs w:val="28"/>
              </w:rPr>
              <w:t>ă</w:t>
            </w:r>
            <w:r w:rsidR="00CD1F8B" w:rsidRPr="00293B44">
              <w:rPr>
                <w:sz w:val="28"/>
                <w:szCs w:val="28"/>
              </w:rPr>
              <w:t xml:space="preserve"> </w:t>
            </w:r>
            <w:r w:rsidR="00FA0DD8" w:rsidRPr="00293B44">
              <w:rPr>
                <w:sz w:val="28"/>
                <w:szCs w:val="28"/>
              </w:rPr>
              <w:t xml:space="preserve">expres fundamentarea legală la </w:t>
            </w:r>
            <w:r w:rsidR="00941CDE" w:rsidRPr="00293B44">
              <w:rPr>
                <w:sz w:val="28"/>
                <w:szCs w:val="28"/>
              </w:rPr>
              <w:t xml:space="preserve">compensarea </w:t>
            </w:r>
            <w:r w:rsidR="004D788C" w:rsidRPr="00293B44">
              <w:rPr>
                <w:sz w:val="28"/>
                <w:szCs w:val="28"/>
              </w:rPr>
              <w:t xml:space="preserve">cheltuielilor pentru perfectarea </w:t>
            </w:r>
            <w:r w:rsidR="00941CDE" w:rsidRPr="00293B44">
              <w:rPr>
                <w:sz w:val="28"/>
                <w:szCs w:val="28"/>
              </w:rPr>
              <w:t>testelor vizate</w:t>
            </w:r>
            <w:r w:rsidR="00FA0DD8" w:rsidRPr="00293B44">
              <w:rPr>
                <w:sz w:val="28"/>
                <w:szCs w:val="28"/>
              </w:rPr>
              <w:t xml:space="preserve"> de către angajator</w:t>
            </w:r>
            <w:r w:rsidR="00941CDE" w:rsidRPr="00293B44">
              <w:rPr>
                <w:sz w:val="28"/>
                <w:szCs w:val="28"/>
              </w:rPr>
              <w:t>.</w:t>
            </w:r>
          </w:p>
        </w:tc>
      </w:tr>
      <w:tr w:rsidR="001E7F4B" w:rsidRPr="00F06516" w14:paraId="64655DF0" w14:textId="77777777" w:rsidTr="009B0380">
        <w:tc>
          <w:tcPr>
            <w:tcW w:w="5000" w:type="pct"/>
          </w:tcPr>
          <w:p w14:paraId="340FFCE3" w14:textId="77777777" w:rsidR="001E7F4B" w:rsidRPr="00F06516" w:rsidRDefault="001E7F4B" w:rsidP="005F7F4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1E7F4B" w:rsidRPr="00F06516" w14:paraId="4BC05A28" w14:textId="77777777" w:rsidTr="009B0380">
        <w:tc>
          <w:tcPr>
            <w:tcW w:w="5000" w:type="pct"/>
          </w:tcPr>
          <w:p w14:paraId="1FD1B959" w14:textId="77777777" w:rsidR="001E7F4B" w:rsidRPr="00F06516" w:rsidRDefault="001E7F4B" w:rsidP="008C7175">
            <w:pPr>
              <w:tabs>
                <w:tab w:val="left" w:pos="-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06516">
              <w:rPr>
                <w:sz w:val="28"/>
                <w:szCs w:val="28"/>
              </w:rPr>
              <w:t>Prezentul proiect de act normativ nu contravine legislației Uniunii Europene.</w:t>
            </w:r>
          </w:p>
        </w:tc>
      </w:tr>
      <w:tr w:rsidR="001E7F4B" w:rsidRPr="00F06516" w14:paraId="5FFAAA7E" w14:textId="77777777" w:rsidTr="009B0380">
        <w:tc>
          <w:tcPr>
            <w:tcW w:w="5000" w:type="pct"/>
          </w:tcPr>
          <w:p w14:paraId="2D4F8DAB" w14:textId="77777777" w:rsidR="001E7F4B" w:rsidRPr="00F06516" w:rsidRDefault="001E7F4B" w:rsidP="008C7175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4. Principalele prevederi ale proiectului şi evidenţierea elementelor noi</w:t>
            </w:r>
          </w:p>
        </w:tc>
      </w:tr>
      <w:tr w:rsidR="001E7F4B" w:rsidRPr="00F06516" w14:paraId="6E3FF060" w14:textId="77777777" w:rsidTr="009B0380">
        <w:tc>
          <w:tcPr>
            <w:tcW w:w="5000" w:type="pct"/>
          </w:tcPr>
          <w:p w14:paraId="2E6B87A7" w14:textId="2D3BA88C" w:rsidR="001E7F4B" w:rsidRPr="007B1FFA" w:rsidRDefault="001E7F4B" w:rsidP="005F7F45">
            <w:pPr>
              <w:pStyle w:val="tt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F06516">
              <w:rPr>
                <w:b w:val="0"/>
                <w:bCs w:val="0"/>
                <w:sz w:val="28"/>
                <w:szCs w:val="28"/>
                <w:lang w:eastAsia="en-US"/>
              </w:rPr>
              <w:t>Proiectul Hotăr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â</w:t>
            </w:r>
            <w:r w:rsidRPr="00F06516">
              <w:rPr>
                <w:b w:val="0"/>
                <w:bCs w:val="0"/>
                <w:sz w:val="28"/>
                <w:szCs w:val="28"/>
                <w:lang w:eastAsia="en-US"/>
              </w:rPr>
              <w:t xml:space="preserve">rii date </w:t>
            </w:r>
            <w:r w:rsidR="00941CDE">
              <w:rPr>
                <w:b w:val="0"/>
                <w:bCs w:val="0"/>
                <w:sz w:val="28"/>
                <w:szCs w:val="28"/>
                <w:lang w:eastAsia="en-US"/>
              </w:rPr>
              <w:t xml:space="preserve">include o prevedere nouă </w:t>
            </w:r>
            <w:r w:rsidR="00FA0DD8">
              <w:rPr>
                <w:b w:val="0"/>
                <w:bCs w:val="0"/>
                <w:sz w:val="28"/>
                <w:szCs w:val="28"/>
                <w:lang w:eastAsia="en-US"/>
              </w:rPr>
              <w:t xml:space="preserve">la lit. g) din </w:t>
            </w:r>
            <w:r w:rsidR="00EA3818">
              <w:rPr>
                <w:b w:val="0"/>
                <w:bCs w:val="0"/>
                <w:sz w:val="28"/>
                <w:szCs w:val="28"/>
                <w:lang w:eastAsia="en-US"/>
              </w:rPr>
              <w:t xml:space="preserve"> pct. 29</w:t>
            </w:r>
            <w:r w:rsidR="001662C5">
              <w:rPr>
                <w:b w:val="0"/>
                <w:bCs w:val="0"/>
                <w:sz w:val="28"/>
                <w:szCs w:val="28"/>
                <w:lang w:eastAsia="en-US"/>
              </w:rPr>
              <w:t xml:space="preserve"> privind</w:t>
            </w:r>
            <w:r w:rsidR="00941CDE">
              <w:rPr>
                <w:b w:val="0"/>
                <w:bCs w:val="0"/>
                <w:sz w:val="28"/>
                <w:szCs w:val="28"/>
                <w:lang w:eastAsia="en-US"/>
              </w:rPr>
              <w:t xml:space="preserve"> compensarea </w:t>
            </w:r>
            <w:r w:rsidR="001662C5">
              <w:rPr>
                <w:b w:val="0"/>
                <w:bCs w:val="0"/>
                <w:sz w:val="28"/>
                <w:szCs w:val="28"/>
                <w:lang w:eastAsia="en-US"/>
              </w:rPr>
              <w:t xml:space="preserve">salariatului delegat, vaccinat împotriva Covid-19, a </w:t>
            </w:r>
            <w:r w:rsidR="00941CDE">
              <w:rPr>
                <w:b w:val="0"/>
                <w:bCs w:val="0"/>
                <w:sz w:val="28"/>
                <w:szCs w:val="28"/>
                <w:lang w:eastAsia="en-US"/>
              </w:rPr>
              <w:t xml:space="preserve">cheltuielilor </w:t>
            </w:r>
            <w:r w:rsidR="001662C5">
              <w:rPr>
                <w:b w:val="0"/>
                <w:bCs w:val="0"/>
                <w:sz w:val="28"/>
                <w:szCs w:val="28"/>
                <w:lang w:eastAsia="en-US"/>
              </w:rPr>
              <w:t>pentru</w:t>
            </w:r>
            <w:r w:rsidR="00092ACA">
              <w:rPr>
                <w:b w:val="0"/>
                <w:bCs w:val="0"/>
                <w:sz w:val="28"/>
                <w:szCs w:val="28"/>
                <w:lang w:eastAsia="en-US"/>
              </w:rPr>
              <w:t xml:space="preserve"> perfectarea testului</w:t>
            </w:r>
            <w:r w:rsidR="001662C5">
              <w:rPr>
                <w:b w:val="0"/>
                <w:bCs w:val="0"/>
                <w:sz w:val="28"/>
                <w:szCs w:val="28"/>
                <w:lang w:eastAsia="en-US"/>
              </w:rPr>
              <w:t xml:space="preserve"> de diagnostic pentru infecția cu virusul SARS-Cov-2</w:t>
            </w:r>
            <w:r w:rsidR="00945728">
              <w:rPr>
                <w:b w:val="0"/>
                <w:bCs w:val="0"/>
                <w:sz w:val="28"/>
                <w:szCs w:val="28"/>
                <w:lang w:eastAsia="en-US"/>
              </w:rPr>
              <w:t>, în cazul</w:t>
            </w:r>
            <w:r w:rsidR="00092ACA">
              <w:rPr>
                <w:b w:val="0"/>
                <w:bCs w:val="0"/>
                <w:sz w:val="28"/>
                <w:szCs w:val="28"/>
                <w:lang w:eastAsia="en-US"/>
              </w:rPr>
              <w:t xml:space="preserve"> solicitării</w:t>
            </w:r>
            <w:r w:rsidR="00945728"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092ACA">
              <w:rPr>
                <w:b w:val="0"/>
                <w:bCs w:val="0"/>
                <w:sz w:val="28"/>
                <w:szCs w:val="28"/>
                <w:lang w:eastAsia="en-US"/>
              </w:rPr>
              <w:t xml:space="preserve">acestuia de către autoritățile statului în care este delegat. </w:t>
            </w:r>
            <w:r w:rsidR="00B547FC">
              <w:rPr>
                <w:b w:val="0"/>
                <w:bCs w:val="0"/>
                <w:sz w:val="28"/>
                <w:szCs w:val="28"/>
                <w:lang w:eastAsia="en-US"/>
              </w:rPr>
              <w:t>Totodată</w:t>
            </w:r>
            <w:r w:rsidR="00877659">
              <w:rPr>
                <w:b w:val="0"/>
                <w:bCs w:val="0"/>
                <w:sz w:val="28"/>
                <w:szCs w:val="28"/>
                <w:lang w:eastAsia="en-US"/>
              </w:rPr>
              <w:t xml:space="preserve"> se informează </w:t>
            </w:r>
            <w:r w:rsidR="00EA3818">
              <w:rPr>
                <w:b w:val="0"/>
                <w:bCs w:val="0"/>
                <w:sz w:val="28"/>
                <w:szCs w:val="28"/>
                <w:lang w:eastAsia="en-US"/>
              </w:rPr>
              <w:t>că</w:t>
            </w:r>
            <w:r w:rsidR="00B547FC">
              <w:rPr>
                <w:b w:val="0"/>
                <w:bCs w:val="0"/>
                <w:sz w:val="28"/>
                <w:szCs w:val="28"/>
                <w:lang w:eastAsia="en-US"/>
              </w:rPr>
              <w:t>,</w:t>
            </w:r>
            <w:r w:rsidR="00EA3818">
              <w:rPr>
                <w:b w:val="0"/>
                <w:bCs w:val="0"/>
                <w:sz w:val="28"/>
                <w:szCs w:val="28"/>
                <w:lang w:eastAsia="en-US"/>
              </w:rPr>
              <w:t xml:space="preserve"> modificarea în cauză este </w:t>
            </w:r>
            <w:r w:rsidR="00945728">
              <w:rPr>
                <w:b w:val="0"/>
                <w:bCs w:val="0"/>
                <w:sz w:val="28"/>
                <w:szCs w:val="28"/>
                <w:lang w:eastAsia="en-US"/>
              </w:rPr>
              <w:t xml:space="preserve">elaborată </w:t>
            </w:r>
            <w:r w:rsidR="00EA3818">
              <w:rPr>
                <w:b w:val="0"/>
                <w:bCs w:val="0"/>
                <w:sz w:val="28"/>
                <w:szCs w:val="28"/>
                <w:lang w:eastAsia="en-US"/>
              </w:rPr>
              <w:t xml:space="preserve">datorită multitudinii solicitărilor </w:t>
            </w:r>
            <w:r w:rsidR="00B547FC">
              <w:rPr>
                <w:b w:val="0"/>
                <w:bCs w:val="0"/>
                <w:sz w:val="28"/>
                <w:szCs w:val="28"/>
                <w:lang w:eastAsia="en-US"/>
              </w:rPr>
              <w:t xml:space="preserve">prezentate </w:t>
            </w:r>
            <w:r w:rsidR="00EA3818">
              <w:rPr>
                <w:b w:val="0"/>
                <w:bCs w:val="0"/>
                <w:sz w:val="28"/>
                <w:szCs w:val="28"/>
                <w:lang w:eastAsia="en-US"/>
              </w:rPr>
              <w:t>din parte mai multor autorități publice fiind identificată ca o prevede</w:t>
            </w:r>
            <w:r w:rsidR="001C2D8C">
              <w:rPr>
                <w:b w:val="0"/>
                <w:bCs w:val="0"/>
                <w:sz w:val="28"/>
                <w:szCs w:val="28"/>
                <w:lang w:eastAsia="en-US"/>
              </w:rPr>
              <w:t>re li</w:t>
            </w:r>
            <w:r w:rsidR="00945728">
              <w:rPr>
                <w:b w:val="0"/>
                <w:bCs w:val="0"/>
                <w:sz w:val="28"/>
                <w:szCs w:val="28"/>
                <w:lang w:eastAsia="en-US"/>
              </w:rPr>
              <w:t>p</w:t>
            </w:r>
            <w:r w:rsidR="001C2D8C">
              <w:rPr>
                <w:b w:val="0"/>
                <w:bCs w:val="0"/>
                <w:sz w:val="28"/>
                <w:szCs w:val="28"/>
                <w:lang w:eastAsia="en-US"/>
              </w:rPr>
              <w:t xml:space="preserve">să </w:t>
            </w:r>
            <w:r w:rsidR="00B547FC">
              <w:rPr>
                <w:b w:val="0"/>
                <w:bCs w:val="0"/>
                <w:sz w:val="28"/>
                <w:szCs w:val="28"/>
                <w:lang w:eastAsia="en-US"/>
              </w:rPr>
              <w:t>în cadrul</w:t>
            </w:r>
            <w:r w:rsidR="001C2D8C">
              <w:rPr>
                <w:b w:val="0"/>
                <w:bCs w:val="0"/>
                <w:sz w:val="28"/>
                <w:szCs w:val="28"/>
                <w:lang w:eastAsia="en-US"/>
              </w:rPr>
              <w:t xml:space="preserve"> normativ în vigoare.</w:t>
            </w:r>
          </w:p>
        </w:tc>
      </w:tr>
      <w:tr w:rsidR="001E7F4B" w:rsidRPr="00F06516" w14:paraId="56C252E9" w14:textId="77777777" w:rsidTr="009B0380">
        <w:tc>
          <w:tcPr>
            <w:tcW w:w="5000" w:type="pct"/>
          </w:tcPr>
          <w:p w14:paraId="25F5837F" w14:textId="77777777" w:rsidR="001E7F4B" w:rsidRPr="00F06516" w:rsidRDefault="001E7F4B" w:rsidP="008C7175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lastRenderedPageBreak/>
              <w:t>5. Fundamentarea economico-financiară</w:t>
            </w:r>
          </w:p>
        </w:tc>
      </w:tr>
      <w:tr w:rsidR="001E7F4B" w:rsidRPr="00F06516" w14:paraId="58A1FAB4" w14:textId="77777777" w:rsidTr="009B0380">
        <w:tc>
          <w:tcPr>
            <w:tcW w:w="5000" w:type="pct"/>
          </w:tcPr>
          <w:p w14:paraId="77F3A230" w14:textId="3651FA2F" w:rsidR="001E7F4B" w:rsidRPr="00F06516" w:rsidRDefault="00945728" w:rsidP="005F7F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EA3818">
              <w:rPr>
                <w:sz w:val="28"/>
                <w:szCs w:val="28"/>
              </w:rPr>
              <w:t xml:space="preserve">ompensarea cheltuielilor </w:t>
            </w:r>
            <w:r>
              <w:rPr>
                <w:sz w:val="28"/>
                <w:szCs w:val="28"/>
              </w:rPr>
              <w:t xml:space="preserve">pentru perfectarea testelor de diagnostic pentru infecția cu virusul SARC-Cov-2 </w:t>
            </w:r>
            <w:r w:rsidR="00EA3818">
              <w:rPr>
                <w:sz w:val="28"/>
                <w:szCs w:val="28"/>
              </w:rPr>
              <w:t>va fi asigurat</w:t>
            </w:r>
            <w:r w:rsidR="00C872D7">
              <w:rPr>
                <w:sz w:val="28"/>
                <w:szCs w:val="28"/>
              </w:rPr>
              <w:t>ă în limita alocațiilor</w:t>
            </w:r>
            <w:r w:rsidR="00EA3818">
              <w:rPr>
                <w:sz w:val="28"/>
                <w:szCs w:val="28"/>
              </w:rPr>
              <w:t xml:space="preserve"> aprobate </w:t>
            </w:r>
            <w:r>
              <w:rPr>
                <w:sz w:val="28"/>
                <w:szCs w:val="28"/>
              </w:rPr>
              <w:t>în bugetul instituțiilor</w:t>
            </w:r>
            <w:r w:rsidR="00C872D7">
              <w:rPr>
                <w:sz w:val="28"/>
                <w:szCs w:val="28"/>
              </w:rPr>
              <w:t xml:space="preserve"> publice</w:t>
            </w:r>
            <w:r w:rsidR="00EA3818">
              <w:rPr>
                <w:sz w:val="28"/>
                <w:szCs w:val="28"/>
              </w:rPr>
              <w:t>.</w:t>
            </w:r>
          </w:p>
        </w:tc>
      </w:tr>
      <w:tr w:rsidR="001E7F4B" w:rsidRPr="00F06516" w14:paraId="18DD2939" w14:textId="77777777" w:rsidTr="009B0380">
        <w:tc>
          <w:tcPr>
            <w:tcW w:w="5000" w:type="pct"/>
          </w:tcPr>
          <w:p w14:paraId="591BC18D" w14:textId="77777777" w:rsidR="001E7F4B" w:rsidRPr="00F06516" w:rsidRDefault="001E7F4B" w:rsidP="008C7175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6. Modul de încorporare a actului în cadrul normativ în vigoare</w:t>
            </w:r>
          </w:p>
        </w:tc>
      </w:tr>
      <w:tr w:rsidR="001E7F4B" w:rsidRPr="00F06516" w14:paraId="7F1CFA65" w14:textId="77777777" w:rsidTr="009B0380">
        <w:tc>
          <w:tcPr>
            <w:tcW w:w="5000" w:type="pct"/>
          </w:tcPr>
          <w:p w14:paraId="778331DE" w14:textId="77777777" w:rsidR="001E7F4B" w:rsidRPr="00F06516" w:rsidRDefault="001E7F4B" w:rsidP="005F7F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6516">
              <w:rPr>
                <w:sz w:val="28"/>
                <w:szCs w:val="28"/>
              </w:rPr>
              <w:t>Urmare aprobării prezentului proiect de hotărâre de Guvern nu va fi necesară modificarea altor acte normative.</w:t>
            </w:r>
          </w:p>
        </w:tc>
      </w:tr>
      <w:tr w:rsidR="001E7F4B" w:rsidRPr="00F06516" w14:paraId="5969CB13" w14:textId="77777777" w:rsidTr="009B0380">
        <w:tc>
          <w:tcPr>
            <w:tcW w:w="5000" w:type="pct"/>
          </w:tcPr>
          <w:p w14:paraId="15BEF280" w14:textId="77777777" w:rsidR="001E7F4B" w:rsidRPr="00F06516" w:rsidRDefault="001E7F4B" w:rsidP="008C7175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06516">
              <w:rPr>
                <w:b/>
                <w:sz w:val="28"/>
                <w:szCs w:val="28"/>
              </w:rPr>
              <w:t>7. Avizarea şi consultarea publică a proiectului</w:t>
            </w:r>
          </w:p>
        </w:tc>
      </w:tr>
      <w:tr w:rsidR="001E7F4B" w:rsidRPr="00F06516" w14:paraId="0BB64F7A" w14:textId="77777777" w:rsidTr="009B0380">
        <w:tc>
          <w:tcPr>
            <w:tcW w:w="5000" w:type="pct"/>
          </w:tcPr>
          <w:p w14:paraId="4AA0890B" w14:textId="01F7B5A5" w:rsidR="001E7F4B" w:rsidRPr="00701E5B" w:rsidRDefault="001E7F4B" w:rsidP="005F7F45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8C7175">
              <w:rPr>
                <w:sz w:val="28"/>
                <w:szCs w:val="28"/>
              </w:rPr>
              <w:t xml:space="preserve">Proiectul hotărârii Guvernului Republicii Moldova este plasat pe pagina web a Ministerului Finanțelor </w:t>
            </w:r>
            <w:hyperlink r:id="rId5" w:history="1">
              <w:r w:rsidRPr="008C7175">
                <w:rPr>
                  <w:rStyle w:val="Hyperlink"/>
                  <w:sz w:val="28"/>
                  <w:szCs w:val="28"/>
                </w:rPr>
                <w:t>(www.mf.gov.md</w:t>
              </w:r>
            </w:hyperlink>
            <w:r w:rsidRPr="008C7175">
              <w:rPr>
                <w:rStyle w:val="Hyperlink"/>
                <w:sz w:val="28"/>
                <w:szCs w:val="28"/>
              </w:rPr>
              <w:t>)</w:t>
            </w:r>
            <w:r w:rsidRPr="008C7175">
              <w:rPr>
                <w:sz w:val="28"/>
                <w:szCs w:val="28"/>
              </w:rPr>
              <w:t>, conform Legii nr. 239/2008 privind transparenţa în procesul decizional.</w:t>
            </w:r>
          </w:p>
        </w:tc>
      </w:tr>
    </w:tbl>
    <w:p w14:paraId="6C13C50C" w14:textId="77777777" w:rsidR="001E7F4B" w:rsidRPr="00254535" w:rsidRDefault="001E7F4B" w:rsidP="001E7F4B">
      <w:pPr>
        <w:spacing w:line="276" w:lineRule="auto"/>
        <w:rPr>
          <w:sz w:val="28"/>
          <w:szCs w:val="28"/>
        </w:rPr>
      </w:pPr>
    </w:p>
    <w:p w14:paraId="4D7B535F" w14:textId="77777777" w:rsidR="001E7F4B" w:rsidRDefault="001E7F4B" w:rsidP="001E7F4B">
      <w:pPr>
        <w:pStyle w:val="Footer"/>
        <w:spacing w:line="360" w:lineRule="auto"/>
        <w:jc w:val="center"/>
        <w:rPr>
          <w:sz w:val="28"/>
          <w:szCs w:val="28"/>
          <w:lang w:val="ro-RO"/>
        </w:rPr>
      </w:pPr>
    </w:p>
    <w:p w14:paraId="6E8D4E36" w14:textId="77777777" w:rsidR="008C7175" w:rsidRPr="008C7175" w:rsidRDefault="008C7175" w:rsidP="001E7F4B">
      <w:pPr>
        <w:pStyle w:val="Footer"/>
        <w:spacing w:line="360" w:lineRule="auto"/>
        <w:jc w:val="center"/>
        <w:rPr>
          <w:sz w:val="28"/>
          <w:szCs w:val="28"/>
          <w:lang w:val="ro-RO"/>
        </w:rPr>
      </w:pPr>
    </w:p>
    <w:p w14:paraId="0F3A40A7" w14:textId="77777777" w:rsidR="001E7F4B" w:rsidRPr="00254535" w:rsidRDefault="001E7F4B" w:rsidP="001E7F4B">
      <w:pPr>
        <w:pStyle w:val="Footer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      MINISTRU</w:t>
      </w:r>
      <w:r w:rsidRPr="00695667">
        <w:rPr>
          <w:b/>
          <w:sz w:val="28"/>
          <w:szCs w:val="28"/>
          <w:lang w:val="ro-RO"/>
        </w:rPr>
        <w:t xml:space="preserve">                                           </w:t>
      </w:r>
      <w:r>
        <w:rPr>
          <w:b/>
          <w:sz w:val="28"/>
          <w:szCs w:val="28"/>
          <w:lang w:val="ro-RO"/>
        </w:rPr>
        <w:t>Dumitru BUDIANSCHI</w:t>
      </w:r>
    </w:p>
    <w:p w14:paraId="48CEF1AD" w14:textId="77777777" w:rsidR="001E7F4B" w:rsidRPr="00B81D8C" w:rsidRDefault="001E7F4B" w:rsidP="001E7F4B"/>
    <w:p w14:paraId="461A5DBA" w14:textId="77777777" w:rsidR="008E1410" w:rsidRDefault="002E1D99"/>
    <w:sectPr w:rsidR="008E1410" w:rsidSect="00D31E09">
      <w:pgSz w:w="12240" w:h="15840"/>
      <w:pgMar w:top="71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1D"/>
    <w:rsid w:val="00092ACA"/>
    <w:rsid w:val="0014694F"/>
    <w:rsid w:val="001662C5"/>
    <w:rsid w:val="00175578"/>
    <w:rsid w:val="001C2D8C"/>
    <w:rsid w:val="001E7F4B"/>
    <w:rsid w:val="00222196"/>
    <w:rsid w:val="00293B44"/>
    <w:rsid w:val="002E1D99"/>
    <w:rsid w:val="003D7C0B"/>
    <w:rsid w:val="004558B9"/>
    <w:rsid w:val="004D788C"/>
    <w:rsid w:val="005F7F45"/>
    <w:rsid w:val="00632010"/>
    <w:rsid w:val="00701E5B"/>
    <w:rsid w:val="00734D6F"/>
    <w:rsid w:val="007C089D"/>
    <w:rsid w:val="00877659"/>
    <w:rsid w:val="00893E67"/>
    <w:rsid w:val="008B7E59"/>
    <w:rsid w:val="008C7175"/>
    <w:rsid w:val="00941CDE"/>
    <w:rsid w:val="00945728"/>
    <w:rsid w:val="00A12A81"/>
    <w:rsid w:val="00B02B45"/>
    <w:rsid w:val="00B50902"/>
    <w:rsid w:val="00B547FC"/>
    <w:rsid w:val="00B60F3E"/>
    <w:rsid w:val="00BF5A98"/>
    <w:rsid w:val="00C23EE6"/>
    <w:rsid w:val="00C872D7"/>
    <w:rsid w:val="00CD1F8B"/>
    <w:rsid w:val="00E85C1D"/>
    <w:rsid w:val="00EA3818"/>
    <w:rsid w:val="00F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E1AC"/>
  <w15:docId w15:val="{5830D0E0-E67C-4EED-9C3D-237EE20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7F4B"/>
    <w:rPr>
      <w:color w:val="0563C1"/>
      <w:u w:val="single"/>
    </w:rPr>
  </w:style>
  <w:style w:type="paragraph" w:customStyle="1" w:styleId="tt">
    <w:name w:val="tt"/>
    <w:basedOn w:val="Normal"/>
    <w:rsid w:val="001E7F4B"/>
    <w:pPr>
      <w:jc w:val="center"/>
    </w:pPr>
    <w:rPr>
      <w:b/>
      <w:bCs/>
      <w:lang w:eastAsia="ro-RO"/>
    </w:rPr>
  </w:style>
  <w:style w:type="paragraph" w:styleId="Footer">
    <w:name w:val="footer"/>
    <w:basedOn w:val="Normal"/>
    <w:link w:val="FooterChar"/>
    <w:uiPriority w:val="99"/>
    <w:rsid w:val="001E7F4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1E7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E7F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8C"/>
    <w:rPr>
      <w:rFonts w:ascii="Segoe UI" w:eastAsia="Times New Roman" w:hAnsi="Segoe UI" w:cs="Segoe UI"/>
      <w:sz w:val="18"/>
      <w:szCs w:val="1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01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E5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E5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customStyle="1" w:styleId="oj-doc-ti">
    <w:name w:val="oj-doc-ti"/>
    <w:basedOn w:val="Normal"/>
    <w:rsid w:val="00B5090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(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Balanel, Alexandru</dc:creator>
  <cp:keywords/>
  <dc:description/>
  <cp:lastModifiedBy>Gorea, Ina</cp:lastModifiedBy>
  <cp:revision>6</cp:revision>
  <dcterms:created xsi:type="dcterms:W3CDTF">2021-11-08T09:49:00Z</dcterms:created>
  <dcterms:modified xsi:type="dcterms:W3CDTF">2021-11-08T15:38:00Z</dcterms:modified>
</cp:coreProperties>
</file>