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A2B3A" w14:textId="77777777" w:rsidR="007565B5" w:rsidRPr="00FB0BE5" w:rsidRDefault="005861CE" w:rsidP="001479EC">
      <w:pPr>
        <w:jc w:val="center"/>
        <w:rPr>
          <w:rFonts w:asciiTheme="minorHAnsi" w:hAnsiTheme="minorHAnsi" w:cstheme="minorHAnsi"/>
          <w:b/>
        </w:rPr>
      </w:pPr>
      <w:bookmarkStart w:id="0" w:name="_GoBack"/>
      <w:bookmarkEnd w:id="0"/>
      <w:r w:rsidRPr="00FB0BE5">
        <w:rPr>
          <w:rFonts w:asciiTheme="minorHAnsi" w:hAnsiTheme="minorHAnsi" w:cstheme="minorHAnsi"/>
          <w:b/>
        </w:rPr>
        <w:t>Ministerul Finanțelor</w:t>
      </w:r>
    </w:p>
    <w:p w14:paraId="47293FDD" w14:textId="77777777" w:rsidR="007565B5" w:rsidRPr="00FB0BE5" w:rsidRDefault="007565B5" w:rsidP="001479EC">
      <w:pPr>
        <w:jc w:val="center"/>
        <w:rPr>
          <w:rFonts w:asciiTheme="minorHAnsi" w:hAnsiTheme="minorHAnsi" w:cstheme="minorHAnsi"/>
          <w:b/>
        </w:rPr>
      </w:pPr>
    </w:p>
    <w:p w14:paraId="1483DB6D" w14:textId="77777777" w:rsidR="007565B5" w:rsidRPr="00FB0BE5" w:rsidRDefault="007565B5" w:rsidP="001479EC">
      <w:pPr>
        <w:jc w:val="center"/>
        <w:rPr>
          <w:b/>
        </w:rPr>
      </w:pPr>
    </w:p>
    <w:p w14:paraId="2185ABC8" w14:textId="77777777" w:rsidR="007565B5" w:rsidRPr="00FB0BE5" w:rsidRDefault="007565B5" w:rsidP="001479EC">
      <w:pPr>
        <w:jc w:val="center"/>
        <w:rPr>
          <w:b/>
        </w:rPr>
      </w:pPr>
    </w:p>
    <w:p w14:paraId="201BE090" w14:textId="77777777" w:rsidR="007565B5" w:rsidRPr="00FB0BE5" w:rsidRDefault="007565B5" w:rsidP="001479EC">
      <w:pPr>
        <w:jc w:val="center"/>
        <w:rPr>
          <w:b/>
        </w:rPr>
      </w:pPr>
    </w:p>
    <w:p w14:paraId="6882C409" w14:textId="77777777" w:rsidR="007565B5" w:rsidRPr="00FB0BE5" w:rsidRDefault="007565B5" w:rsidP="001479EC">
      <w:pPr>
        <w:jc w:val="center"/>
        <w:rPr>
          <w:b/>
        </w:rPr>
      </w:pPr>
    </w:p>
    <w:p w14:paraId="7BA7714C" w14:textId="77777777" w:rsidR="007565B5" w:rsidRPr="00FB0BE5" w:rsidRDefault="007565B5" w:rsidP="001479EC">
      <w:pPr>
        <w:jc w:val="center"/>
        <w:rPr>
          <w:b/>
        </w:rPr>
      </w:pPr>
    </w:p>
    <w:p w14:paraId="61B25D41" w14:textId="77777777" w:rsidR="007565B5" w:rsidRPr="00FB0BE5" w:rsidRDefault="007565B5" w:rsidP="001479EC">
      <w:pPr>
        <w:jc w:val="center"/>
        <w:rPr>
          <w:b/>
        </w:rPr>
      </w:pPr>
    </w:p>
    <w:p w14:paraId="12B06F24" w14:textId="77777777" w:rsidR="007565B5" w:rsidRPr="00FB0BE5" w:rsidRDefault="007565B5" w:rsidP="001479EC">
      <w:pPr>
        <w:jc w:val="center"/>
        <w:rPr>
          <w:b/>
        </w:rPr>
      </w:pPr>
    </w:p>
    <w:p w14:paraId="15A47A78" w14:textId="77777777" w:rsidR="007565B5" w:rsidRPr="00FB0BE5" w:rsidRDefault="007565B5" w:rsidP="001479EC">
      <w:pPr>
        <w:jc w:val="center"/>
        <w:rPr>
          <w:b/>
        </w:rPr>
      </w:pPr>
    </w:p>
    <w:p w14:paraId="61FAFE85" w14:textId="77777777" w:rsidR="007565B5" w:rsidRPr="00FB0BE5" w:rsidRDefault="007565B5" w:rsidP="001479EC">
      <w:pPr>
        <w:jc w:val="center"/>
        <w:rPr>
          <w:b/>
        </w:rPr>
      </w:pPr>
    </w:p>
    <w:p w14:paraId="7503259B" w14:textId="77777777" w:rsidR="007565B5" w:rsidRPr="00FB0BE5" w:rsidRDefault="007565B5" w:rsidP="001479EC">
      <w:pPr>
        <w:jc w:val="center"/>
        <w:rPr>
          <w:b/>
        </w:rPr>
      </w:pPr>
    </w:p>
    <w:p w14:paraId="14C69DBA" w14:textId="77777777" w:rsidR="007565B5" w:rsidRPr="00FB0BE5" w:rsidRDefault="007565B5" w:rsidP="001479EC">
      <w:pPr>
        <w:jc w:val="center"/>
        <w:rPr>
          <w:b/>
        </w:rPr>
      </w:pPr>
    </w:p>
    <w:p w14:paraId="229DAA22" w14:textId="77777777" w:rsidR="007565B5" w:rsidRPr="00FB0BE5" w:rsidRDefault="007565B5" w:rsidP="001479EC">
      <w:pPr>
        <w:jc w:val="center"/>
        <w:rPr>
          <w:rFonts w:asciiTheme="minorHAnsi" w:hAnsiTheme="minorHAnsi" w:cstheme="minorHAnsi"/>
          <w:b/>
          <w:sz w:val="32"/>
          <w:szCs w:val="32"/>
        </w:rPr>
      </w:pPr>
    </w:p>
    <w:p w14:paraId="1594B1B9" w14:textId="77777777" w:rsidR="00863E65" w:rsidRPr="00FB0BE5" w:rsidRDefault="005861CE" w:rsidP="001479EC">
      <w:pPr>
        <w:jc w:val="center"/>
        <w:rPr>
          <w:rFonts w:asciiTheme="minorHAnsi" w:hAnsiTheme="minorHAnsi" w:cstheme="minorHAnsi"/>
          <w:b/>
          <w:color w:val="548DD4" w:themeColor="text2" w:themeTint="99"/>
          <w:sz w:val="36"/>
          <w:szCs w:val="36"/>
        </w:rPr>
      </w:pPr>
      <w:r w:rsidRPr="00FB0BE5">
        <w:rPr>
          <w:rFonts w:asciiTheme="minorHAnsi" w:hAnsiTheme="minorHAnsi" w:cstheme="minorHAnsi"/>
          <w:b/>
          <w:color w:val="548DD4" w:themeColor="text2" w:themeTint="99"/>
          <w:sz w:val="36"/>
          <w:szCs w:val="36"/>
        </w:rPr>
        <w:t xml:space="preserve">Nota </w:t>
      </w:r>
    </w:p>
    <w:p w14:paraId="0472B1BF" w14:textId="77777777" w:rsidR="00863E65" w:rsidRPr="00FB0BE5" w:rsidRDefault="00863E65" w:rsidP="001479EC">
      <w:pPr>
        <w:jc w:val="center"/>
        <w:rPr>
          <w:rFonts w:asciiTheme="minorHAnsi" w:hAnsiTheme="minorHAnsi" w:cstheme="minorHAnsi"/>
          <w:b/>
          <w:color w:val="548DD4" w:themeColor="text2" w:themeTint="99"/>
          <w:sz w:val="36"/>
          <w:szCs w:val="36"/>
        </w:rPr>
      </w:pPr>
    </w:p>
    <w:p w14:paraId="3F198DF4" w14:textId="77777777" w:rsidR="002F0AC4" w:rsidRPr="00FB0BE5" w:rsidRDefault="005861CE" w:rsidP="001479EC">
      <w:pPr>
        <w:jc w:val="center"/>
        <w:rPr>
          <w:rFonts w:asciiTheme="minorHAnsi" w:hAnsiTheme="minorHAnsi" w:cstheme="minorHAnsi"/>
          <w:b/>
          <w:color w:val="548DD4" w:themeColor="text2" w:themeTint="99"/>
          <w:sz w:val="36"/>
          <w:szCs w:val="36"/>
        </w:rPr>
      </w:pPr>
      <w:r w:rsidRPr="00FB0BE5">
        <w:rPr>
          <w:rFonts w:asciiTheme="minorHAnsi" w:hAnsiTheme="minorHAnsi" w:cstheme="minorHAnsi"/>
          <w:b/>
          <w:color w:val="548DD4" w:themeColor="text2" w:themeTint="99"/>
          <w:sz w:val="36"/>
          <w:szCs w:val="36"/>
        </w:rPr>
        <w:t>privind riscurile bugetar-fiscale</w:t>
      </w:r>
    </w:p>
    <w:p w14:paraId="5267B1DD" w14:textId="77777777" w:rsidR="00817CA1" w:rsidRPr="00FB0BE5" w:rsidRDefault="00817CA1">
      <w:pPr>
        <w:rPr>
          <w:color w:val="548DD4" w:themeColor="text2" w:themeTint="99"/>
          <w:sz w:val="36"/>
          <w:szCs w:val="36"/>
        </w:rPr>
      </w:pPr>
    </w:p>
    <w:p w14:paraId="6F1F5E86" w14:textId="77777777" w:rsidR="007565B5" w:rsidRPr="00FB0BE5" w:rsidRDefault="007565B5">
      <w:pPr>
        <w:spacing w:after="200" w:line="276" w:lineRule="auto"/>
        <w:rPr>
          <w:rFonts w:asciiTheme="minorHAnsi" w:hAnsiTheme="minorHAnsi" w:cstheme="minorHAnsi"/>
          <w:color w:val="548DD4" w:themeColor="text2" w:themeTint="99"/>
          <w:sz w:val="32"/>
          <w:szCs w:val="32"/>
        </w:rPr>
      </w:pPr>
    </w:p>
    <w:p w14:paraId="217A2275" w14:textId="77777777" w:rsidR="007565B5" w:rsidRPr="00FB0BE5" w:rsidRDefault="007565B5">
      <w:pPr>
        <w:spacing w:after="200" w:line="276" w:lineRule="auto"/>
        <w:rPr>
          <w:rFonts w:asciiTheme="minorHAnsi" w:hAnsiTheme="minorHAnsi" w:cstheme="minorHAnsi"/>
        </w:rPr>
      </w:pPr>
    </w:p>
    <w:p w14:paraId="6588AC02" w14:textId="77777777" w:rsidR="007565B5" w:rsidRPr="00FB0BE5" w:rsidRDefault="007565B5">
      <w:pPr>
        <w:spacing w:after="200" w:line="276" w:lineRule="auto"/>
        <w:rPr>
          <w:rFonts w:asciiTheme="minorHAnsi" w:hAnsiTheme="minorHAnsi" w:cstheme="minorHAnsi"/>
        </w:rPr>
      </w:pPr>
    </w:p>
    <w:p w14:paraId="473BA9D5" w14:textId="77777777" w:rsidR="007565B5" w:rsidRPr="00FB0BE5" w:rsidRDefault="007565B5">
      <w:pPr>
        <w:spacing w:after="200" w:line="276" w:lineRule="auto"/>
        <w:rPr>
          <w:rFonts w:asciiTheme="minorHAnsi" w:hAnsiTheme="minorHAnsi" w:cstheme="minorHAnsi"/>
        </w:rPr>
      </w:pPr>
    </w:p>
    <w:p w14:paraId="56EF39CD" w14:textId="77777777" w:rsidR="007565B5" w:rsidRPr="00FB0BE5" w:rsidRDefault="007565B5">
      <w:pPr>
        <w:spacing w:after="200" w:line="276" w:lineRule="auto"/>
        <w:rPr>
          <w:rFonts w:asciiTheme="minorHAnsi" w:hAnsiTheme="minorHAnsi" w:cstheme="minorHAnsi"/>
        </w:rPr>
      </w:pPr>
    </w:p>
    <w:p w14:paraId="32895D1E" w14:textId="77777777" w:rsidR="007565B5" w:rsidRPr="00FB0BE5" w:rsidRDefault="007565B5">
      <w:pPr>
        <w:spacing w:after="200" w:line="276" w:lineRule="auto"/>
        <w:rPr>
          <w:rFonts w:asciiTheme="minorHAnsi" w:hAnsiTheme="minorHAnsi" w:cstheme="minorHAnsi"/>
        </w:rPr>
      </w:pPr>
    </w:p>
    <w:p w14:paraId="5AC61419" w14:textId="77777777" w:rsidR="007565B5" w:rsidRPr="00FB0BE5" w:rsidRDefault="007565B5">
      <w:pPr>
        <w:spacing w:after="200" w:line="276" w:lineRule="auto"/>
        <w:rPr>
          <w:rFonts w:asciiTheme="minorHAnsi" w:hAnsiTheme="minorHAnsi" w:cstheme="minorHAnsi"/>
        </w:rPr>
      </w:pPr>
    </w:p>
    <w:p w14:paraId="7BFDF8DE" w14:textId="77777777" w:rsidR="007565B5" w:rsidRPr="00FB0BE5" w:rsidRDefault="007565B5">
      <w:pPr>
        <w:spacing w:after="200" w:line="276" w:lineRule="auto"/>
        <w:rPr>
          <w:rFonts w:asciiTheme="minorHAnsi" w:hAnsiTheme="minorHAnsi" w:cstheme="minorHAnsi"/>
        </w:rPr>
      </w:pPr>
    </w:p>
    <w:p w14:paraId="59414B2B" w14:textId="77777777" w:rsidR="007565B5" w:rsidRPr="00FB0BE5" w:rsidRDefault="007565B5">
      <w:pPr>
        <w:spacing w:after="200" w:line="276" w:lineRule="auto"/>
        <w:rPr>
          <w:rFonts w:asciiTheme="minorHAnsi" w:hAnsiTheme="minorHAnsi" w:cstheme="minorHAnsi"/>
        </w:rPr>
      </w:pPr>
    </w:p>
    <w:p w14:paraId="38ED8777" w14:textId="77777777" w:rsidR="007565B5" w:rsidRPr="00FB0BE5" w:rsidRDefault="007565B5">
      <w:pPr>
        <w:spacing w:after="200" w:line="276" w:lineRule="auto"/>
        <w:rPr>
          <w:rFonts w:asciiTheme="minorHAnsi" w:hAnsiTheme="minorHAnsi" w:cstheme="minorHAnsi"/>
        </w:rPr>
      </w:pPr>
    </w:p>
    <w:p w14:paraId="0B72A7B7" w14:textId="77777777" w:rsidR="00267570" w:rsidRPr="00FB0BE5" w:rsidRDefault="00267570">
      <w:pPr>
        <w:spacing w:after="200" w:line="276" w:lineRule="auto"/>
        <w:rPr>
          <w:rFonts w:asciiTheme="minorHAnsi" w:hAnsiTheme="minorHAnsi" w:cstheme="minorHAnsi"/>
        </w:rPr>
      </w:pPr>
    </w:p>
    <w:p w14:paraId="4898D5E5" w14:textId="77777777" w:rsidR="00267570" w:rsidRPr="00FB0BE5" w:rsidRDefault="00267570">
      <w:pPr>
        <w:spacing w:after="200" w:line="276" w:lineRule="auto"/>
        <w:rPr>
          <w:rFonts w:asciiTheme="minorHAnsi" w:hAnsiTheme="minorHAnsi" w:cstheme="minorHAnsi"/>
        </w:rPr>
      </w:pPr>
    </w:p>
    <w:p w14:paraId="2A5297CC" w14:textId="77777777" w:rsidR="00EB464E" w:rsidRPr="00FB0BE5" w:rsidRDefault="00EB464E">
      <w:pPr>
        <w:spacing w:after="200" w:line="276" w:lineRule="auto"/>
        <w:rPr>
          <w:rFonts w:asciiTheme="minorHAnsi" w:hAnsiTheme="minorHAnsi" w:cstheme="minorHAnsi"/>
        </w:rPr>
      </w:pPr>
    </w:p>
    <w:p w14:paraId="3D962C46" w14:textId="77777777" w:rsidR="00EB464E" w:rsidRPr="00FB0BE5" w:rsidRDefault="00EB464E">
      <w:pPr>
        <w:spacing w:after="200" w:line="276" w:lineRule="auto"/>
        <w:rPr>
          <w:rFonts w:asciiTheme="minorHAnsi" w:hAnsiTheme="minorHAnsi" w:cstheme="minorHAnsi"/>
        </w:rPr>
      </w:pPr>
    </w:p>
    <w:p w14:paraId="452D57FD" w14:textId="77777777" w:rsidR="00EB464E" w:rsidRPr="00FB0BE5" w:rsidRDefault="00EB464E">
      <w:pPr>
        <w:spacing w:after="200" w:line="276" w:lineRule="auto"/>
        <w:rPr>
          <w:rFonts w:asciiTheme="minorHAnsi" w:hAnsiTheme="minorHAnsi" w:cstheme="minorHAnsi"/>
        </w:rPr>
      </w:pPr>
    </w:p>
    <w:p w14:paraId="77956796" w14:textId="77777777" w:rsidR="007565B5" w:rsidRPr="00FB0BE5" w:rsidRDefault="00EB464E" w:rsidP="00EB464E">
      <w:pPr>
        <w:tabs>
          <w:tab w:val="center" w:pos="4535"/>
          <w:tab w:val="right" w:pos="9070"/>
        </w:tabs>
        <w:spacing w:after="200" w:line="276" w:lineRule="auto"/>
        <w:rPr>
          <w:rFonts w:asciiTheme="minorHAnsi" w:hAnsiTheme="minorHAnsi" w:cstheme="minorHAnsi"/>
        </w:rPr>
      </w:pPr>
      <w:r w:rsidRPr="00FB0BE5">
        <w:rPr>
          <w:rFonts w:asciiTheme="minorHAnsi" w:hAnsiTheme="minorHAnsi" w:cstheme="minorHAnsi"/>
        </w:rPr>
        <w:tab/>
      </w:r>
      <w:r w:rsidR="005861CE" w:rsidRPr="00FB0BE5">
        <w:rPr>
          <w:rFonts w:asciiTheme="minorHAnsi" w:hAnsiTheme="minorHAnsi" w:cstheme="minorHAnsi"/>
        </w:rPr>
        <w:t>Chișinău, 201</w:t>
      </w:r>
      <w:r w:rsidR="00F40E80">
        <w:rPr>
          <w:rFonts w:asciiTheme="minorHAnsi" w:hAnsiTheme="minorHAnsi" w:cstheme="minorHAnsi"/>
        </w:rPr>
        <w:t>8</w:t>
      </w:r>
      <w:r w:rsidRPr="00FB0BE5">
        <w:rPr>
          <w:rFonts w:asciiTheme="minorHAnsi" w:hAnsiTheme="minorHAnsi" w:cstheme="minorHAnsi"/>
        </w:rPr>
        <w:tab/>
      </w:r>
    </w:p>
    <w:p w14:paraId="39B3EE29" w14:textId="77777777" w:rsidR="00EB464E" w:rsidRPr="00FB0BE5" w:rsidRDefault="005861CE" w:rsidP="00EB464E">
      <w:pPr>
        <w:pStyle w:val="Heading2"/>
        <w:rPr>
          <w:rFonts w:asciiTheme="minorHAnsi" w:hAnsiTheme="minorHAnsi" w:cstheme="minorHAnsi"/>
          <w:sz w:val="28"/>
        </w:rPr>
      </w:pPr>
      <w:r w:rsidRPr="00FB0BE5">
        <w:br w:type="page"/>
      </w:r>
      <w:r w:rsidR="00EB464E" w:rsidRPr="00FB0BE5">
        <w:rPr>
          <w:rFonts w:asciiTheme="minorHAnsi" w:hAnsiTheme="minorHAnsi" w:cstheme="minorHAnsi"/>
          <w:sz w:val="28"/>
        </w:rPr>
        <w:lastRenderedPageBreak/>
        <w:t>Cuprins</w:t>
      </w:r>
    </w:p>
    <w:p w14:paraId="46C480B9" w14:textId="40CD0399" w:rsidR="00CA268B" w:rsidRPr="00166A39" w:rsidRDefault="000E1111">
      <w:pPr>
        <w:pStyle w:val="TOC1"/>
        <w:tabs>
          <w:tab w:val="right" w:leader="dot" w:pos="9061"/>
        </w:tabs>
        <w:rPr>
          <w:rFonts w:eastAsiaTheme="minorEastAsia" w:cstheme="minorHAnsi"/>
          <w:b w:val="0"/>
          <w:bCs w:val="0"/>
          <w:noProof/>
          <w:color w:val="auto"/>
          <w:sz w:val="22"/>
          <w:szCs w:val="22"/>
        </w:rPr>
      </w:pPr>
      <w:r w:rsidRPr="00FB0BE5">
        <w:fldChar w:fldCharType="begin"/>
      </w:r>
      <w:r w:rsidR="00CA268B" w:rsidRPr="00FB0BE5">
        <w:instrText xml:space="preserve"> TOC \o "1-2" \h \z \u </w:instrText>
      </w:r>
      <w:r w:rsidRPr="00FB0BE5">
        <w:fldChar w:fldCharType="separate"/>
      </w:r>
      <w:hyperlink w:anchor="_Toc498612421" w:history="1">
        <w:r w:rsidR="00CA268B" w:rsidRPr="00166A39">
          <w:rPr>
            <w:rStyle w:val="Hyperlink"/>
            <w:rFonts w:cstheme="minorHAnsi"/>
            <w:iCs/>
            <w:noProof/>
          </w:rPr>
          <w:t>Introducere</w:t>
        </w:r>
        <w:r w:rsidR="00CA268B" w:rsidRPr="00166A39">
          <w:rPr>
            <w:rFonts w:cstheme="minorHAnsi"/>
            <w:noProof/>
            <w:webHidden/>
          </w:rPr>
          <w:tab/>
        </w:r>
        <w:r w:rsidRPr="00166A39">
          <w:rPr>
            <w:rFonts w:cstheme="minorHAnsi"/>
            <w:noProof/>
            <w:webHidden/>
          </w:rPr>
          <w:fldChar w:fldCharType="begin"/>
        </w:r>
        <w:r w:rsidR="00CA268B" w:rsidRPr="00166A39">
          <w:rPr>
            <w:rFonts w:cstheme="minorHAnsi"/>
            <w:noProof/>
            <w:webHidden/>
          </w:rPr>
          <w:instrText xml:space="preserve"> PAGEREF _Toc498612421 \h </w:instrText>
        </w:r>
        <w:r w:rsidRPr="00166A39">
          <w:rPr>
            <w:rFonts w:cstheme="minorHAnsi"/>
            <w:noProof/>
            <w:webHidden/>
          </w:rPr>
        </w:r>
        <w:r w:rsidRPr="00166A39">
          <w:rPr>
            <w:rFonts w:cstheme="minorHAnsi"/>
            <w:noProof/>
            <w:webHidden/>
          </w:rPr>
          <w:fldChar w:fldCharType="separate"/>
        </w:r>
        <w:r w:rsidR="004A58E1">
          <w:rPr>
            <w:rFonts w:cstheme="minorHAnsi"/>
            <w:noProof/>
            <w:webHidden/>
          </w:rPr>
          <w:t>3</w:t>
        </w:r>
        <w:r w:rsidRPr="00166A39">
          <w:rPr>
            <w:rFonts w:cstheme="minorHAnsi"/>
            <w:noProof/>
            <w:webHidden/>
          </w:rPr>
          <w:fldChar w:fldCharType="end"/>
        </w:r>
      </w:hyperlink>
    </w:p>
    <w:p w14:paraId="7B8B0D46" w14:textId="41899340" w:rsidR="00CA268B" w:rsidRPr="00166A39" w:rsidRDefault="00362A46">
      <w:pPr>
        <w:pStyle w:val="TOC1"/>
        <w:tabs>
          <w:tab w:val="left" w:pos="480"/>
          <w:tab w:val="right" w:leader="dot" w:pos="9061"/>
        </w:tabs>
        <w:rPr>
          <w:rFonts w:eastAsiaTheme="minorEastAsia" w:cstheme="minorHAnsi"/>
          <w:b w:val="0"/>
          <w:bCs w:val="0"/>
          <w:noProof/>
          <w:color w:val="auto"/>
          <w:sz w:val="22"/>
          <w:szCs w:val="22"/>
        </w:rPr>
      </w:pPr>
      <w:hyperlink w:anchor="_Toc498612422" w:history="1">
        <w:r w:rsidR="00CA268B" w:rsidRPr="00166A39">
          <w:rPr>
            <w:rStyle w:val="Hyperlink"/>
            <w:rFonts w:cstheme="minorHAnsi"/>
            <w:noProof/>
          </w:rPr>
          <w:t>1.</w:t>
        </w:r>
        <w:r w:rsidR="00CA268B" w:rsidRPr="00166A39">
          <w:rPr>
            <w:rFonts w:eastAsiaTheme="minorEastAsia" w:cstheme="minorHAnsi"/>
            <w:b w:val="0"/>
            <w:bCs w:val="0"/>
            <w:noProof/>
            <w:color w:val="auto"/>
            <w:sz w:val="22"/>
            <w:szCs w:val="22"/>
          </w:rPr>
          <w:tab/>
        </w:r>
        <w:r w:rsidR="00CA268B" w:rsidRPr="00166A39">
          <w:rPr>
            <w:rStyle w:val="Hyperlink"/>
            <w:rFonts w:cstheme="minorHAnsi"/>
            <w:noProof/>
          </w:rPr>
          <w:t>Riscuri bugetar-fiscale explicite</w:t>
        </w:r>
        <w:r w:rsidR="00CA268B" w:rsidRPr="00166A39">
          <w:rPr>
            <w:rFonts w:cstheme="minorHAnsi"/>
            <w:noProof/>
            <w:webHidden/>
          </w:rPr>
          <w:tab/>
        </w:r>
        <w:r w:rsidR="000E1111" w:rsidRPr="00166A39">
          <w:rPr>
            <w:rFonts w:cstheme="minorHAnsi"/>
            <w:noProof/>
            <w:webHidden/>
          </w:rPr>
          <w:fldChar w:fldCharType="begin"/>
        </w:r>
        <w:r w:rsidR="00CA268B" w:rsidRPr="00166A39">
          <w:rPr>
            <w:rFonts w:cstheme="minorHAnsi"/>
            <w:noProof/>
            <w:webHidden/>
          </w:rPr>
          <w:instrText xml:space="preserve"> PAGEREF _Toc498612422 \h </w:instrText>
        </w:r>
        <w:r w:rsidR="000E1111" w:rsidRPr="00166A39">
          <w:rPr>
            <w:rFonts w:cstheme="minorHAnsi"/>
            <w:noProof/>
            <w:webHidden/>
          </w:rPr>
        </w:r>
        <w:r w:rsidR="000E1111" w:rsidRPr="00166A39">
          <w:rPr>
            <w:rFonts w:cstheme="minorHAnsi"/>
            <w:noProof/>
            <w:webHidden/>
          </w:rPr>
          <w:fldChar w:fldCharType="separate"/>
        </w:r>
        <w:r w:rsidR="004A58E1">
          <w:rPr>
            <w:rFonts w:cstheme="minorHAnsi"/>
            <w:noProof/>
            <w:webHidden/>
          </w:rPr>
          <w:t>5</w:t>
        </w:r>
        <w:r w:rsidR="000E1111" w:rsidRPr="00166A39">
          <w:rPr>
            <w:rFonts w:cstheme="minorHAnsi"/>
            <w:noProof/>
            <w:webHidden/>
          </w:rPr>
          <w:fldChar w:fldCharType="end"/>
        </w:r>
      </w:hyperlink>
    </w:p>
    <w:p w14:paraId="20892EFE" w14:textId="78949287" w:rsidR="00CA268B" w:rsidRPr="00166A39" w:rsidRDefault="00362A46" w:rsidP="000A15E9">
      <w:pPr>
        <w:pStyle w:val="TOC2"/>
        <w:rPr>
          <w:rFonts w:asciiTheme="minorHAnsi" w:eastAsiaTheme="minorEastAsia" w:hAnsiTheme="minorHAnsi" w:cstheme="minorHAnsi"/>
          <w:noProof/>
          <w:sz w:val="22"/>
          <w:szCs w:val="22"/>
        </w:rPr>
      </w:pPr>
      <w:hyperlink w:anchor="_Toc498612423" w:history="1">
        <w:r w:rsidR="00CA268B" w:rsidRPr="00166A39">
          <w:rPr>
            <w:rStyle w:val="Hyperlink"/>
            <w:rFonts w:asciiTheme="minorHAnsi" w:hAnsiTheme="minorHAnsi" w:cstheme="minorHAnsi"/>
            <w:noProof/>
          </w:rPr>
          <w:t>1.1 Riscuri, asociate prognozelor macroeconomice</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_Toc498612423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5</w:t>
        </w:r>
        <w:r w:rsidR="000E1111" w:rsidRPr="00166A39">
          <w:rPr>
            <w:rFonts w:asciiTheme="minorHAnsi" w:hAnsiTheme="minorHAnsi" w:cstheme="minorHAnsi"/>
            <w:noProof/>
            <w:webHidden/>
          </w:rPr>
          <w:fldChar w:fldCharType="end"/>
        </w:r>
      </w:hyperlink>
    </w:p>
    <w:p w14:paraId="49DC83CA" w14:textId="2D83E8D8" w:rsidR="00CA268B" w:rsidRPr="00166A39" w:rsidRDefault="00362A46" w:rsidP="000A15E9">
      <w:pPr>
        <w:pStyle w:val="TOC2"/>
        <w:rPr>
          <w:rFonts w:asciiTheme="minorHAnsi" w:eastAsiaTheme="minorEastAsia" w:hAnsiTheme="minorHAnsi" w:cstheme="minorHAnsi"/>
          <w:noProof/>
          <w:sz w:val="22"/>
          <w:szCs w:val="22"/>
        </w:rPr>
      </w:pPr>
      <w:hyperlink w:anchor="_Toc498612424" w:history="1">
        <w:r w:rsidR="00CA268B" w:rsidRPr="00166A39">
          <w:rPr>
            <w:rStyle w:val="Hyperlink"/>
            <w:rFonts w:asciiTheme="minorHAnsi" w:hAnsiTheme="minorHAnsi" w:cstheme="minorHAnsi"/>
            <w:noProof/>
          </w:rPr>
          <w:t>1.2 Riscuri, asociate estimărilor veniturilor bugetare</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_Toc498612424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7</w:t>
        </w:r>
        <w:r w:rsidR="000E1111" w:rsidRPr="00166A39">
          <w:rPr>
            <w:rFonts w:asciiTheme="minorHAnsi" w:hAnsiTheme="minorHAnsi" w:cstheme="minorHAnsi"/>
            <w:noProof/>
            <w:webHidden/>
          </w:rPr>
          <w:fldChar w:fldCharType="end"/>
        </w:r>
      </w:hyperlink>
    </w:p>
    <w:p w14:paraId="2BB8BB18" w14:textId="6678B656" w:rsidR="00CA268B" w:rsidRPr="00166A39" w:rsidRDefault="00362A46" w:rsidP="000A15E9">
      <w:pPr>
        <w:pStyle w:val="TOC2"/>
        <w:rPr>
          <w:rFonts w:asciiTheme="minorHAnsi" w:eastAsiaTheme="minorEastAsia" w:hAnsiTheme="minorHAnsi" w:cstheme="minorHAnsi"/>
          <w:noProof/>
          <w:sz w:val="22"/>
          <w:szCs w:val="22"/>
        </w:rPr>
      </w:pPr>
      <w:hyperlink w:anchor="_Toc498612425" w:history="1">
        <w:r w:rsidR="00CA268B" w:rsidRPr="00166A39">
          <w:rPr>
            <w:rStyle w:val="Hyperlink"/>
            <w:rFonts w:asciiTheme="minorHAnsi" w:hAnsiTheme="minorHAnsi" w:cstheme="minorHAnsi"/>
            <w:noProof/>
          </w:rPr>
          <w:t>1.3</w:t>
        </w:r>
        <w:r w:rsidR="00CA268B" w:rsidRPr="00166A39">
          <w:rPr>
            <w:rFonts w:asciiTheme="minorHAnsi" w:eastAsiaTheme="minorEastAsia" w:hAnsiTheme="minorHAnsi" w:cstheme="minorHAnsi"/>
            <w:noProof/>
            <w:sz w:val="22"/>
            <w:szCs w:val="22"/>
          </w:rPr>
          <w:tab/>
        </w:r>
        <w:r w:rsidR="00CA268B" w:rsidRPr="00166A39">
          <w:rPr>
            <w:rStyle w:val="Hyperlink"/>
            <w:rFonts w:asciiTheme="minorHAnsi" w:hAnsiTheme="minorHAnsi" w:cstheme="minorHAnsi"/>
            <w:noProof/>
          </w:rPr>
          <w:t>Riscuri, asociate estimărilor cheltuielilor bugetare</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_Toc498612425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9</w:t>
        </w:r>
        <w:r w:rsidR="000E1111" w:rsidRPr="00166A39">
          <w:rPr>
            <w:rFonts w:asciiTheme="minorHAnsi" w:hAnsiTheme="minorHAnsi" w:cstheme="minorHAnsi"/>
            <w:noProof/>
            <w:webHidden/>
          </w:rPr>
          <w:fldChar w:fldCharType="end"/>
        </w:r>
      </w:hyperlink>
    </w:p>
    <w:p w14:paraId="68EE51F8" w14:textId="26009F3F" w:rsidR="00CA268B" w:rsidRPr="00166A39" w:rsidRDefault="00362A46" w:rsidP="000A15E9">
      <w:pPr>
        <w:pStyle w:val="TOC2"/>
        <w:rPr>
          <w:rFonts w:asciiTheme="minorHAnsi" w:eastAsiaTheme="minorEastAsia" w:hAnsiTheme="minorHAnsi" w:cstheme="minorHAnsi"/>
          <w:noProof/>
          <w:sz w:val="22"/>
          <w:szCs w:val="22"/>
        </w:rPr>
      </w:pPr>
      <w:hyperlink w:anchor="_Toc498612426" w:history="1">
        <w:r w:rsidR="00CA268B" w:rsidRPr="00166A39">
          <w:rPr>
            <w:rStyle w:val="Hyperlink"/>
            <w:rFonts w:asciiTheme="minorHAnsi" w:hAnsiTheme="minorHAnsi" w:cstheme="minorHAnsi"/>
            <w:noProof/>
          </w:rPr>
          <w:t>1.4</w:t>
        </w:r>
        <w:r w:rsidR="00CA268B" w:rsidRPr="00166A39">
          <w:rPr>
            <w:rFonts w:asciiTheme="minorHAnsi" w:eastAsiaTheme="minorEastAsia" w:hAnsiTheme="minorHAnsi" w:cstheme="minorHAnsi"/>
            <w:noProof/>
            <w:sz w:val="22"/>
            <w:szCs w:val="22"/>
          </w:rPr>
          <w:tab/>
        </w:r>
        <w:r w:rsidR="00CA268B" w:rsidRPr="00166A39">
          <w:rPr>
            <w:rStyle w:val="Hyperlink"/>
            <w:rFonts w:asciiTheme="minorHAnsi" w:hAnsiTheme="minorHAnsi" w:cstheme="minorHAnsi"/>
            <w:noProof/>
          </w:rPr>
          <w:t>Riscuri, asociate managementului datoriei de stat</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_Toc498612426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11</w:t>
        </w:r>
        <w:r w:rsidR="000E1111" w:rsidRPr="00166A39">
          <w:rPr>
            <w:rFonts w:asciiTheme="minorHAnsi" w:hAnsiTheme="minorHAnsi" w:cstheme="minorHAnsi"/>
            <w:noProof/>
            <w:webHidden/>
          </w:rPr>
          <w:fldChar w:fldCharType="end"/>
        </w:r>
      </w:hyperlink>
    </w:p>
    <w:p w14:paraId="19CB9786" w14:textId="2B82883F" w:rsidR="00CA268B" w:rsidRPr="00166A39" w:rsidRDefault="00362A46">
      <w:pPr>
        <w:pStyle w:val="TOC1"/>
        <w:tabs>
          <w:tab w:val="left" w:pos="480"/>
          <w:tab w:val="right" w:leader="dot" w:pos="9061"/>
        </w:tabs>
        <w:rPr>
          <w:rFonts w:eastAsiaTheme="minorEastAsia" w:cstheme="minorHAnsi"/>
          <w:b w:val="0"/>
          <w:bCs w:val="0"/>
          <w:noProof/>
          <w:color w:val="auto"/>
          <w:sz w:val="22"/>
          <w:szCs w:val="22"/>
        </w:rPr>
      </w:pPr>
      <w:hyperlink w:anchor="_Toc498612427" w:history="1">
        <w:r w:rsidR="00CA268B" w:rsidRPr="00166A39">
          <w:rPr>
            <w:rStyle w:val="Hyperlink"/>
            <w:rFonts w:cstheme="minorHAnsi"/>
            <w:noProof/>
          </w:rPr>
          <w:t>2.</w:t>
        </w:r>
        <w:r w:rsidR="00CA268B" w:rsidRPr="00166A39">
          <w:rPr>
            <w:rFonts w:eastAsiaTheme="minorEastAsia" w:cstheme="minorHAnsi"/>
            <w:b w:val="0"/>
            <w:bCs w:val="0"/>
            <w:noProof/>
            <w:color w:val="auto"/>
            <w:sz w:val="22"/>
            <w:szCs w:val="22"/>
          </w:rPr>
          <w:tab/>
        </w:r>
        <w:r w:rsidR="00CA268B" w:rsidRPr="00166A39">
          <w:rPr>
            <w:rStyle w:val="Hyperlink"/>
            <w:rFonts w:cstheme="minorHAnsi"/>
            <w:noProof/>
          </w:rPr>
          <w:t>Riscuri bugetar-fiscale implicite</w:t>
        </w:r>
        <w:r w:rsidR="00CA268B" w:rsidRPr="00166A39">
          <w:rPr>
            <w:rFonts w:cstheme="minorHAnsi"/>
            <w:noProof/>
            <w:webHidden/>
          </w:rPr>
          <w:tab/>
        </w:r>
        <w:r w:rsidR="000E1111" w:rsidRPr="00166A39">
          <w:rPr>
            <w:rFonts w:cstheme="minorHAnsi"/>
            <w:noProof/>
            <w:webHidden/>
          </w:rPr>
          <w:fldChar w:fldCharType="begin"/>
        </w:r>
        <w:r w:rsidR="00CA268B" w:rsidRPr="00166A39">
          <w:rPr>
            <w:rFonts w:cstheme="minorHAnsi"/>
            <w:noProof/>
            <w:webHidden/>
          </w:rPr>
          <w:instrText xml:space="preserve"> PAGEREF _Toc498612427 \h </w:instrText>
        </w:r>
        <w:r w:rsidR="000E1111" w:rsidRPr="00166A39">
          <w:rPr>
            <w:rFonts w:cstheme="minorHAnsi"/>
            <w:noProof/>
            <w:webHidden/>
          </w:rPr>
        </w:r>
        <w:r w:rsidR="000E1111" w:rsidRPr="00166A39">
          <w:rPr>
            <w:rFonts w:cstheme="minorHAnsi"/>
            <w:noProof/>
            <w:webHidden/>
          </w:rPr>
          <w:fldChar w:fldCharType="separate"/>
        </w:r>
        <w:r w:rsidR="004A58E1">
          <w:rPr>
            <w:rFonts w:cstheme="minorHAnsi"/>
            <w:noProof/>
            <w:webHidden/>
          </w:rPr>
          <w:t>13</w:t>
        </w:r>
        <w:r w:rsidR="000E1111" w:rsidRPr="00166A39">
          <w:rPr>
            <w:rFonts w:cstheme="minorHAnsi"/>
            <w:noProof/>
            <w:webHidden/>
          </w:rPr>
          <w:fldChar w:fldCharType="end"/>
        </w:r>
      </w:hyperlink>
    </w:p>
    <w:p w14:paraId="3280AFE5" w14:textId="409E2CB1" w:rsidR="00CA268B" w:rsidRPr="00166A39" w:rsidRDefault="00362A46" w:rsidP="000A15E9">
      <w:pPr>
        <w:pStyle w:val="TOC2"/>
        <w:rPr>
          <w:rFonts w:asciiTheme="minorHAnsi" w:eastAsiaTheme="minorEastAsia" w:hAnsiTheme="minorHAnsi" w:cstheme="minorHAnsi"/>
          <w:noProof/>
          <w:sz w:val="22"/>
          <w:szCs w:val="22"/>
        </w:rPr>
      </w:pPr>
      <w:hyperlink w:anchor="_Toc498612428" w:history="1">
        <w:r w:rsidR="00CA268B" w:rsidRPr="00166A39">
          <w:rPr>
            <w:rStyle w:val="Hyperlink"/>
            <w:rFonts w:asciiTheme="minorHAnsi" w:hAnsiTheme="minorHAnsi" w:cstheme="minorHAnsi"/>
            <w:noProof/>
          </w:rPr>
          <w:t>2.1</w:t>
        </w:r>
        <w:r w:rsidR="00CA268B" w:rsidRPr="00166A39">
          <w:rPr>
            <w:rFonts w:asciiTheme="minorHAnsi" w:eastAsiaTheme="minorEastAsia" w:hAnsiTheme="minorHAnsi" w:cstheme="minorHAnsi"/>
            <w:noProof/>
            <w:sz w:val="22"/>
            <w:szCs w:val="22"/>
          </w:rPr>
          <w:tab/>
        </w:r>
        <w:r w:rsidR="00CA268B" w:rsidRPr="00166A39">
          <w:rPr>
            <w:rStyle w:val="Hyperlink"/>
            <w:rFonts w:asciiTheme="minorHAnsi" w:hAnsiTheme="minorHAnsi" w:cstheme="minorHAnsi"/>
            <w:noProof/>
          </w:rPr>
          <w:t>Riscuri, asociate bugetelor locale</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_Toc498612428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13</w:t>
        </w:r>
        <w:r w:rsidR="000E1111" w:rsidRPr="00166A39">
          <w:rPr>
            <w:rFonts w:asciiTheme="minorHAnsi" w:hAnsiTheme="minorHAnsi" w:cstheme="minorHAnsi"/>
            <w:noProof/>
            <w:webHidden/>
          </w:rPr>
          <w:fldChar w:fldCharType="end"/>
        </w:r>
      </w:hyperlink>
    </w:p>
    <w:p w14:paraId="0DE8B139" w14:textId="2915AE30" w:rsidR="00CA268B" w:rsidRPr="00166A39" w:rsidRDefault="00362A46" w:rsidP="000A15E9">
      <w:pPr>
        <w:pStyle w:val="TOC2"/>
        <w:rPr>
          <w:rFonts w:asciiTheme="minorHAnsi" w:eastAsiaTheme="minorEastAsia" w:hAnsiTheme="minorHAnsi" w:cstheme="minorHAnsi"/>
          <w:noProof/>
          <w:sz w:val="22"/>
          <w:szCs w:val="22"/>
        </w:rPr>
      </w:pPr>
      <w:hyperlink w:anchor="_Toc498612429" w:history="1">
        <w:r w:rsidR="00CA268B" w:rsidRPr="00166A39">
          <w:rPr>
            <w:rStyle w:val="Hyperlink"/>
            <w:rFonts w:asciiTheme="minorHAnsi" w:hAnsiTheme="minorHAnsi" w:cstheme="minorHAnsi"/>
            <w:noProof/>
          </w:rPr>
          <w:t>2.2 Riscuri, asociate întreprinderilor de stat și societăților comerciale cu capital integral sau majoritar de stat</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_Toc498612429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17</w:t>
        </w:r>
        <w:r w:rsidR="000E1111" w:rsidRPr="00166A39">
          <w:rPr>
            <w:rFonts w:asciiTheme="minorHAnsi" w:hAnsiTheme="minorHAnsi" w:cstheme="minorHAnsi"/>
            <w:noProof/>
            <w:webHidden/>
          </w:rPr>
          <w:fldChar w:fldCharType="end"/>
        </w:r>
      </w:hyperlink>
    </w:p>
    <w:p w14:paraId="32E380B2" w14:textId="7FF5F88A" w:rsidR="00CA268B" w:rsidRPr="00166A39" w:rsidRDefault="00362A46" w:rsidP="000A15E9">
      <w:pPr>
        <w:pStyle w:val="TOC2"/>
        <w:rPr>
          <w:rFonts w:asciiTheme="minorHAnsi" w:eastAsiaTheme="minorEastAsia" w:hAnsiTheme="minorHAnsi" w:cstheme="minorHAnsi"/>
          <w:noProof/>
          <w:sz w:val="22"/>
          <w:szCs w:val="22"/>
        </w:rPr>
      </w:pPr>
      <w:hyperlink w:anchor="_Toc498612430" w:history="1">
        <w:r w:rsidR="00CA268B" w:rsidRPr="00166A39">
          <w:rPr>
            <w:rStyle w:val="Hyperlink"/>
            <w:rFonts w:asciiTheme="minorHAnsi" w:hAnsiTheme="minorHAnsi" w:cstheme="minorHAnsi"/>
            <w:noProof/>
          </w:rPr>
          <w:t>2.3 Riscuri,asociate sectorului financiar</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_Toc498612430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25</w:t>
        </w:r>
        <w:r w:rsidR="000E1111" w:rsidRPr="00166A39">
          <w:rPr>
            <w:rFonts w:asciiTheme="minorHAnsi" w:hAnsiTheme="minorHAnsi" w:cstheme="minorHAnsi"/>
            <w:noProof/>
            <w:webHidden/>
          </w:rPr>
          <w:fldChar w:fldCharType="end"/>
        </w:r>
      </w:hyperlink>
    </w:p>
    <w:p w14:paraId="5CCCEDDA" w14:textId="0E98409C" w:rsidR="00CA268B" w:rsidRPr="00FB0BE5" w:rsidRDefault="00362A46" w:rsidP="000A15E9">
      <w:pPr>
        <w:pStyle w:val="TOC2"/>
        <w:rPr>
          <w:rFonts w:asciiTheme="minorHAnsi" w:eastAsiaTheme="minorEastAsia" w:hAnsiTheme="minorHAnsi" w:cstheme="minorBidi"/>
          <w:noProof/>
          <w:sz w:val="22"/>
          <w:szCs w:val="22"/>
        </w:rPr>
      </w:pPr>
      <w:hyperlink w:anchor="_Toc498612431" w:history="1">
        <w:r w:rsidR="00CA268B" w:rsidRPr="00166A39">
          <w:rPr>
            <w:rStyle w:val="Hyperlink"/>
            <w:rFonts w:asciiTheme="minorHAnsi" w:hAnsiTheme="minorHAnsi" w:cstheme="minorHAnsi"/>
            <w:noProof/>
          </w:rPr>
          <w:t>2.4</w:t>
        </w:r>
        <w:r w:rsidR="00CA268B" w:rsidRPr="00166A39">
          <w:rPr>
            <w:rFonts w:asciiTheme="minorHAnsi" w:eastAsiaTheme="minorEastAsia" w:hAnsiTheme="minorHAnsi" w:cstheme="minorHAnsi"/>
            <w:noProof/>
            <w:sz w:val="22"/>
            <w:szCs w:val="22"/>
          </w:rPr>
          <w:tab/>
        </w:r>
        <w:r w:rsidR="00CA268B" w:rsidRPr="00166A39">
          <w:rPr>
            <w:rStyle w:val="Hyperlink"/>
            <w:rFonts w:asciiTheme="minorHAnsi" w:hAnsiTheme="minorHAnsi" w:cstheme="minorHAnsi"/>
            <w:noProof/>
          </w:rPr>
          <w:t>Alte riscuri</w:t>
        </w:r>
        <w:r w:rsidR="00CA268B" w:rsidRPr="00166A39">
          <w:rPr>
            <w:rFonts w:asciiTheme="minorHAnsi" w:hAnsiTheme="minorHAnsi" w:cstheme="minorHAnsi"/>
            <w:noProof/>
            <w:webHidden/>
          </w:rPr>
          <w:tab/>
        </w:r>
        <w:r w:rsidR="000E1111" w:rsidRPr="00166A39">
          <w:rPr>
            <w:rFonts w:asciiTheme="minorHAnsi" w:hAnsiTheme="minorHAnsi" w:cstheme="minorHAnsi"/>
            <w:noProof/>
            <w:webHidden/>
          </w:rPr>
          <w:fldChar w:fldCharType="begin"/>
        </w:r>
        <w:r w:rsidR="00CA268B" w:rsidRPr="00166A39">
          <w:rPr>
            <w:rFonts w:asciiTheme="minorHAnsi" w:hAnsiTheme="minorHAnsi" w:cstheme="minorHAnsi"/>
            <w:noProof/>
            <w:webHidden/>
          </w:rPr>
          <w:instrText xml:space="preserve"> PAGEREF _Toc498612431 \h </w:instrText>
        </w:r>
        <w:r w:rsidR="000E1111" w:rsidRPr="00166A39">
          <w:rPr>
            <w:rFonts w:asciiTheme="minorHAnsi" w:hAnsiTheme="minorHAnsi" w:cstheme="minorHAnsi"/>
            <w:noProof/>
            <w:webHidden/>
          </w:rPr>
        </w:r>
        <w:r w:rsidR="000E1111" w:rsidRPr="00166A39">
          <w:rPr>
            <w:rFonts w:asciiTheme="minorHAnsi" w:hAnsiTheme="minorHAnsi" w:cstheme="minorHAnsi"/>
            <w:noProof/>
            <w:webHidden/>
          </w:rPr>
          <w:fldChar w:fldCharType="separate"/>
        </w:r>
        <w:r w:rsidR="004A58E1">
          <w:rPr>
            <w:rFonts w:asciiTheme="minorHAnsi" w:hAnsiTheme="minorHAnsi" w:cstheme="minorHAnsi"/>
            <w:noProof/>
            <w:webHidden/>
          </w:rPr>
          <w:t>29</w:t>
        </w:r>
        <w:r w:rsidR="000E1111" w:rsidRPr="00166A39">
          <w:rPr>
            <w:rFonts w:asciiTheme="minorHAnsi" w:hAnsiTheme="minorHAnsi" w:cstheme="minorHAnsi"/>
            <w:noProof/>
            <w:webHidden/>
          </w:rPr>
          <w:fldChar w:fldCharType="end"/>
        </w:r>
      </w:hyperlink>
    </w:p>
    <w:p w14:paraId="3CCD9F15" w14:textId="77777777" w:rsidR="004018D2" w:rsidRPr="00FB0BE5" w:rsidRDefault="000E1111" w:rsidP="00A164EC">
      <w:pPr>
        <w:pStyle w:val="TOC1"/>
        <w:tabs>
          <w:tab w:val="right" w:leader="dot" w:pos="9061"/>
        </w:tabs>
      </w:pPr>
      <w:r w:rsidRPr="00FB0BE5">
        <w:fldChar w:fldCharType="end"/>
      </w:r>
    </w:p>
    <w:p w14:paraId="375CCF22" w14:textId="77777777" w:rsidR="004018D2" w:rsidRPr="00FB0BE5" w:rsidRDefault="004018D2">
      <w:pPr>
        <w:spacing w:after="200" w:line="276" w:lineRule="auto"/>
      </w:pPr>
      <w:r w:rsidRPr="00FB0BE5">
        <w:br w:type="page"/>
      </w:r>
    </w:p>
    <w:p w14:paraId="7E831168" w14:textId="77777777" w:rsidR="000552FE" w:rsidRPr="00FB0BE5" w:rsidRDefault="005861CE" w:rsidP="000552FE">
      <w:pPr>
        <w:pStyle w:val="Heading1"/>
        <w:rPr>
          <w:b w:val="0"/>
          <w:bCs w:val="0"/>
        </w:rPr>
      </w:pPr>
      <w:bookmarkStart w:id="1" w:name="_Toc498455204"/>
      <w:bookmarkStart w:id="2" w:name="_Toc498612421"/>
      <w:r w:rsidRPr="00FB0BE5">
        <w:rPr>
          <w:rStyle w:val="IntenseEmphasis"/>
          <w:rFonts w:asciiTheme="minorHAnsi" w:hAnsiTheme="minorHAnsi" w:cstheme="minorHAnsi"/>
          <w:i w:val="0"/>
        </w:rPr>
        <w:lastRenderedPageBreak/>
        <w:t>Introducere</w:t>
      </w:r>
      <w:bookmarkEnd w:id="1"/>
      <w:bookmarkEnd w:id="2"/>
    </w:p>
    <w:p w14:paraId="053FBC9E" w14:textId="77777777" w:rsidR="000A15E9" w:rsidRPr="00FB0BE5" w:rsidRDefault="000A15E9" w:rsidP="00861423">
      <w:pPr>
        <w:pStyle w:val="ParagraphNumbering"/>
        <w:numPr>
          <w:ilvl w:val="0"/>
          <w:numId w:val="0"/>
        </w:numPr>
        <w:spacing w:after="0" w:line="240" w:lineRule="auto"/>
        <w:ind w:firstLine="567"/>
        <w:jc w:val="both"/>
        <w:rPr>
          <w:rFonts w:asciiTheme="minorHAnsi" w:hAnsiTheme="minorHAnsi" w:cstheme="minorHAnsi"/>
          <w:b/>
          <w:i/>
          <w:sz w:val="24"/>
          <w:lang w:val="ro-RO"/>
        </w:rPr>
      </w:pPr>
    </w:p>
    <w:p w14:paraId="7933BA5C" w14:textId="77777777" w:rsidR="00082D4A" w:rsidRPr="00FB0BE5" w:rsidRDefault="005861CE" w:rsidP="00861423">
      <w:pPr>
        <w:pStyle w:val="ParagraphNumbering"/>
        <w:numPr>
          <w:ilvl w:val="0"/>
          <w:numId w:val="0"/>
        </w:numPr>
        <w:spacing w:after="0" w:line="240" w:lineRule="auto"/>
        <w:ind w:firstLine="567"/>
        <w:jc w:val="both"/>
        <w:rPr>
          <w:rFonts w:asciiTheme="minorHAnsi" w:hAnsiTheme="minorHAnsi" w:cstheme="minorHAnsi"/>
          <w:sz w:val="24"/>
          <w:lang w:val="ro-RO"/>
        </w:rPr>
      </w:pPr>
      <w:r w:rsidRPr="00FB0BE5">
        <w:rPr>
          <w:rFonts w:asciiTheme="minorHAnsi" w:hAnsiTheme="minorHAnsi" w:cstheme="minorHAnsi"/>
          <w:b/>
          <w:i/>
          <w:sz w:val="24"/>
          <w:lang w:val="ro-RO"/>
        </w:rPr>
        <w:t xml:space="preserve">Riscurile bugetar–fiscale </w:t>
      </w:r>
      <w:r w:rsidRPr="00FB0BE5">
        <w:rPr>
          <w:rFonts w:asciiTheme="minorHAnsi" w:hAnsiTheme="minorHAnsi" w:cstheme="minorHAnsi"/>
          <w:sz w:val="24"/>
          <w:lang w:val="ro-RO"/>
        </w:rPr>
        <w:t>reprezintă factorii care pot determina devierea rezultatelor bugetar-fiscale de la așteptări sau previziuni inițiale și care necesită o gestionare proactivă. Riscurile pentru buget pot apărea în rezultatul șocurilor macroeconomice, unor decizii ad-hoc referitoare la politica bugetar-fiscal</w:t>
      </w:r>
      <w:r w:rsidR="00A858C2" w:rsidRPr="00FB0BE5">
        <w:rPr>
          <w:rFonts w:asciiTheme="minorHAnsi" w:hAnsiTheme="minorHAnsi" w:cstheme="minorHAnsi"/>
          <w:sz w:val="24"/>
          <w:lang w:val="ro-RO"/>
        </w:rPr>
        <w:t>ă</w:t>
      </w:r>
      <w:r w:rsidRPr="00FB0BE5">
        <w:rPr>
          <w:rFonts w:asciiTheme="minorHAnsi" w:hAnsiTheme="minorHAnsi" w:cstheme="minorHAnsi"/>
          <w:sz w:val="24"/>
          <w:lang w:val="ro-RO"/>
        </w:rPr>
        <w:t xml:space="preserve"> și/sau din materializarea obligațiilor contingente. Datoriile contingente pot fi </w:t>
      </w:r>
      <w:r w:rsidRPr="00FB0BE5">
        <w:rPr>
          <w:rFonts w:asciiTheme="minorHAnsi" w:hAnsiTheme="minorHAnsi" w:cstheme="minorHAnsi"/>
          <w:sz w:val="24"/>
          <w:u w:val="single"/>
          <w:lang w:val="ro-RO"/>
        </w:rPr>
        <w:t>explicite</w:t>
      </w:r>
      <w:r w:rsidRPr="00FB0BE5">
        <w:rPr>
          <w:rFonts w:asciiTheme="minorHAnsi" w:hAnsiTheme="minorHAnsi" w:cstheme="minorHAnsi"/>
          <w:sz w:val="24"/>
          <w:lang w:val="ro-RO"/>
        </w:rPr>
        <w:t xml:space="preserve">, avînd o bază legală clară, cum ar fi garanțiile de stat pentru împrumuturi; sau </w:t>
      </w:r>
      <w:r w:rsidRPr="00FB0BE5">
        <w:rPr>
          <w:rFonts w:asciiTheme="minorHAnsi" w:hAnsiTheme="minorHAnsi" w:cstheme="minorHAnsi"/>
          <w:sz w:val="24"/>
          <w:u w:val="single"/>
          <w:lang w:val="ro-RO"/>
        </w:rPr>
        <w:t>implicite</w:t>
      </w:r>
      <w:r w:rsidRPr="00FB0BE5">
        <w:rPr>
          <w:rFonts w:asciiTheme="minorHAnsi" w:hAnsiTheme="minorHAnsi" w:cstheme="minorHAnsi"/>
          <w:sz w:val="24"/>
          <w:lang w:val="ro-RO"/>
        </w:rPr>
        <w:t>, care nu sunt bazate pe reglementări clare, dar pot surveni drept consecință a unor evenimente neprevăzute, care să necesite intervenția statului.</w:t>
      </w:r>
    </w:p>
    <w:p w14:paraId="508147C4" w14:textId="55D62851" w:rsidR="00DF4D2C" w:rsidRPr="00FB0BE5" w:rsidRDefault="00BC6227" w:rsidP="00EB464E">
      <w:pPr>
        <w:pStyle w:val="ParagraphNumbering"/>
        <w:numPr>
          <w:ilvl w:val="0"/>
          <w:numId w:val="0"/>
        </w:numPr>
        <w:spacing w:after="0" w:line="240" w:lineRule="auto"/>
        <w:ind w:firstLine="567"/>
        <w:jc w:val="both"/>
        <w:rPr>
          <w:rFonts w:asciiTheme="minorHAnsi" w:hAnsiTheme="minorHAnsi" w:cstheme="minorHAnsi"/>
          <w:sz w:val="24"/>
          <w:lang w:val="ro-RO"/>
        </w:rPr>
      </w:pPr>
      <w:r>
        <w:rPr>
          <w:rFonts w:asciiTheme="minorHAnsi" w:hAnsiTheme="minorHAnsi" w:cstheme="minorHAnsi"/>
          <w:noProof/>
          <w:sz w:val="24"/>
          <w:lang w:val="ru-RU" w:eastAsia="ru-RU"/>
        </w:rPr>
        <mc:AlternateContent>
          <mc:Choice Requires="wps">
            <w:drawing>
              <wp:anchor distT="0" distB="0" distL="114300" distR="114300" simplePos="0" relativeHeight="251652608" behindDoc="0" locked="0" layoutInCell="1" allowOverlap="1" wp14:anchorId="72D65D1B" wp14:editId="2BAAE313">
                <wp:simplePos x="0" y="0"/>
                <wp:positionH relativeFrom="column">
                  <wp:posOffset>10160</wp:posOffset>
                </wp:positionH>
                <wp:positionV relativeFrom="paragraph">
                  <wp:posOffset>1153795</wp:posOffset>
                </wp:positionV>
                <wp:extent cx="5867400" cy="2623185"/>
                <wp:effectExtent l="0" t="0" r="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623185"/>
                        </a:xfrm>
                        <a:prstGeom prst="rect">
                          <a:avLst/>
                        </a:prstGeom>
                        <a:solidFill>
                          <a:srgbClr val="FFFFFF"/>
                        </a:solidFill>
                        <a:ln w="9525">
                          <a:solidFill>
                            <a:srgbClr val="000000"/>
                          </a:solidFill>
                          <a:miter lim="800000"/>
                          <a:headEnd/>
                          <a:tailEnd/>
                        </a:ln>
                      </wps:spPr>
                      <wps:txbx>
                        <w:txbxContent>
                          <w:p w14:paraId="6988476B" w14:textId="77777777" w:rsidR="00017651" w:rsidRPr="00861423" w:rsidRDefault="00017651" w:rsidP="00861423">
                            <w:pPr>
                              <w:pStyle w:val="ParagraphNumbering"/>
                              <w:numPr>
                                <w:ilvl w:val="0"/>
                                <w:numId w:val="0"/>
                              </w:numPr>
                              <w:spacing w:after="0" w:line="240" w:lineRule="auto"/>
                              <w:ind w:left="142" w:hanging="142"/>
                              <w:jc w:val="center"/>
                              <w:rPr>
                                <w:rFonts w:asciiTheme="minorHAnsi" w:hAnsiTheme="minorHAnsi" w:cstheme="minorHAnsi"/>
                                <w:b/>
                                <w:color w:val="548DD4" w:themeColor="text2" w:themeTint="99"/>
                                <w:sz w:val="20"/>
                                <w:szCs w:val="18"/>
                                <w:lang w:val="ro-RO"/>
                              </w:rPr>
                            </w:pPr>
                            <w:r w:rsidRPr="00166A39">
                              <w:rPr>
                                <w:rFonts w:asciiTheme="minorHAnsi" w:hAnsiTheme="minorHAnsi" w:cstheme="minorHAnsi"/>
                                <w:b/>
                                <w:color w:val="548DD4" w:themeColor="text2" w:themeTint="99"/>
                                <w:sz w:val="20"/>
                                <w:szCs w:val="18"/>
                                <w:lang w:val="fr-FR"/>
                              </w:rPr>
                              <w:t>Boxa 1.</w:t>
                            </w:r>
                            <w:r w:rsidRPr="00861423">
                              <w:rPr>
                                <w:rFonts w:asciiTheme="minorHAnsi" w:hAnsiTheme="minorHAnsi" w:cstheme="minorHAnsi"/>
                                <w:b/>
                                <w:color w:val="548DD4" w:themeColor="text2" w:themeTint="99"/>
                                <w:sz w:val="20"/>
                                <w:szCs w:val="18"/>
                                <w:lang w:val="ro-RO"/>
                              </w:rPr>
                              <w:t xml:space="preserve"> Evaluarea impactului și probabilității riscului</w:t>
                            </w:r>
                          </w:p>
                          <w:p w14:paraId="2C28D25A" w14:textId="77777777" w:rsidR="00017651" w:rsidRPr="00861423" w:rsidRDefault="00017651" w:rsidP="00861423">
                            <w:pPr>
                              <w:pStyle w:val="ParagraphNumbering"/>
                              <w:numPr>
                                <w:ilvl w:val="0"/>
                                <w:numId w:val="0"/>
                              </w:numPr>
                              <w:spacing w:after="0" w:line="240" w:lineRule="auto"/>
                              <w:ind w:left="142" w:hanging="142"/>
                              <w:jc w:val="center"/>
                              <w:rPr>
                                <w:rFonts w:asciiTheme="minorHAnsi" w:hAnsiTheme="minorHAnsi" w:cstheme="minorHAnsi"/>
                                <w:b/>
                                <w:sz w:val="20"/>
                                <w:szCs w:val="18"/>
                                <w:lang w:val="ro-RO"/>
                              </w:rPr>
                            </w:pPr>
                          </w:p>
                          <w:p w14:paraId="351A918D" w14:textId="77777777" w:rsidR="00017651" w:rsidRPr="00861423" w:rsidRDefault="00017651" w:rsidP="00861423">
                            <w:pPr>
                              <w:pStyle w:val="ParagraphNumbering"/>
                              <w:numPr>
                                <w:ilvl w:val="0"/>
                                <w:numId w:val="0"/>
                              </w:numPr>
                              <w:spacing w:after="0" w:line="240" w:lineRule="auto"/>
                              <w:ind w:left="142" w:hanging="142"/>
                              <w:jc w:val="both"/>
                              <w:rPr>
                                <w:rFonts w:asciiTheme="minorHAnsi" w:hAnsiTheme="minorHAnsi" w:cstheme="minorHAnsi"/>
                                <w:sz w:val="20"/>
                                <w:szCs w:val="18"/>
                                <w:lang w:val="ro-RO"/>
                              </w:rPr>
                            </w:pPr>
                            <w:r w:rsidRPr="00861423">
                              <w:rPr>
                                <w:rFonts w:asciiTheme="minorHAnsi" w:hAnsiTheme="minorHAnsi" w:cstheme="minorHAnsi"/>
                                <w:sz w:val="20"/>
                                <w:szCs w:val="18"/>
                                <w:lang w:val="ro-RO"/>
                              </w:rPr>
                              <w:t xml:space="preserve">Evaluarea impactului și probabilității riscului se bazează pe analiza estimărilor din </w:t>
                            </w:r>
                            <w:r>
                              <w:rPr>
                                <w:rFonts w:asciiTheme="minorHAnsi" w:hAnsiTheme="minorHAnsi" w:cstheme="minorHAnsi"/>
                                <w:sz w:val="20"/>
                                <w:szCs w:val="18"/>
                                <w:lang w:val="ro-RO"/>
                              </w:rPr>
                              <w:t>Cadrul Bugetar pe Termen Mediu (</w:t>
                            </w:r>
                            <w:r w:rsidRPr="00861423">
                              <w:rPr>
                                <w:rFonts w:asciiTheme="minorHAnsi" w:hAnsiTheme="minorHAnsi" w:cstheme="minorHAnsi"/>
                                <w:sz w:val="20"/>
                                <w:szCs w:val="18"/>
                                <w:lang w:val="ro-RO"/>
                              </w:rPr>
                              <w:t>CBTM</w:t>
                            </w:r>
                            <w:r>
                              <w:rPr>
                                <w:rFonts w:asciiTheme="minorHAnsi" w:hAnsiTheme="minorHAnsi" w:cstheme="minorHAnsi"/>
                                <w:sz w:val="20"/>
                                <w:szCs w:val="18"/>
                                <w:lang w:val="ro-RO"/>
                              </w:rPr>
                              <w:t>)</w:t>
                            </w:r>
                            <w:r w:rsidRPr="00861423">
                              <w:rPr>
                                <w:rFonts w:asciiTheme="minorHAnsi" w:hAnsiTheme="minorHAnsi" w:cstheme="minorHAnsi"/>
                                <w:sz w:val="20"/>
                                <w:szCs w:val="18"/>
                                <w:lang w:val="ro-RO"/>
                              </w:rPr>
                              <w:t xml:space="preserve"> din ultimii 6 ani. Dimensiunea devierilor între estimarea indicatorilor și realizarea acestora, precum și frecvența acestor devieri reprezintă niște indicatori </w:t>
                            </w:r>
                            <w:r>
                              <w:rPr>
                                <w:rFonts w:asciiTheme="minorHAnsi" w:hAnsiTheme="minorHAnsi" w:cstheme="minorHAnsi"/>
                                <w:sz w:val="20"/>
                                <w:szCs w:val="18"/>
                                <w:lang w:val="ro-RO"/>
                              </w:rPr>
                              <w:t xml:space="preserve">utilizați </w:t>
                            </w:r>
                            <w:r w:rsidRPr="00861423">
                              <w:rPr>
                                <w:rFonts w:asciiTheme="minorHAnsi" w:hAnsiTheme="minorHAnsi" w:cstheme="minorHAnsi"/>
                                <w:sz w:val="20"/>
                                <w:szCs w:val="18"/>
                                <w:lang w:val="ro-RO"/>
                              </w:rPr>
                              <w:t>pentru estima</w:t>
                            </w:r>
                            <w:r>
                              <w:rPr>
                                <w:rFonts w:asciiTheme="minorHAnsi" w:hAnsiTheme="minorHAnsi" w:cstheme="minorHAnsi"/>
                                <w:sz w:val="20"/>
                                <w:szCs w:val="18"/>
                                <w:lang w:val="ro-RO"/>
                              </w:rPr>
                              <w:t>rea</w:t>
                            </w:r>
                            <w:r w:rsidRPr="00861423">
                              <w:rPr>
                                <w:rFonts w:asciiTheme="minorHAnsi" w:hAnsiTheme="minorHAnsi" w:cstheme="minorHAnsi"/>
                                <w:sz w:val="20"/>
                                <w:szCs w:val="18"/>
                                <w:lang w:val="ro-RO"/>
                              </w:rPr>
                              <w:t xml:space="preserve"> impactul</w:t>
                            </w:r>
                            <w:r>
                              <w:rPr>
                                <w:rFonts w:asciiTheme="minorHAnsi" w:hAnsiTheme="minorHAnsi" w:cstheme="minorHAnsi"/>
                                <w:sz w:val="20"/>
                                <w:szCs w:val="18"/>
                                <w:lang w:val="ro-RO"/>
                              </w:rPr>
                              <w:t>ui</w:t>
                            </w:r>
                            <w:r w:rsidRPr="00861423">
                              <w:rPr>
                                <w:rFonts w:asciiTheme="minorHAnsi" w:hAnsiTheme="minorHAnsi" w:cstheme="minorHAnsi"/>
                                <w:sz w:val="20"/>
                                <w:szCs w:val="18"/>
                                <w:lang w:val="ro-RO"/>
                              </w:rPr>
                              <w:t xml:space="preserve"> potențial și probabilitatea diferitor riscuri. Evaluările, deși </w:t>
                            </w:r>
                            <w:r w:rsidRPr="000552FE">
                              <w:rPr>
                                <w:rFonts w:asciiTheme="minorHAnsi" w:hAnsiTheme="minorHAnsi" w:cstheme="minorHAnsi"/>
                                <w:sz w:val="20"/>
                                <w:szCs w:val="18"/>
                                <w:lang w:val="ro-RO"/>
                              </w:rPr>
                              <w:t>nu sunt statistic reprezentative</w:t>
                            </w:r>
                            <w:r w:rsidRPr="003742B2">
                              <w:rPr>
                                <w:rFonts w:asciiTheme="minorHAnsi" w:hAnsiTheme="minorHAnsi" w:cstheme="minorHAnsi"/>
                                <w:sz w:val="20"/>
                                <w:szCs w:val="18"/>
                                <w:lang w:val="ro-RO"/>
                              </w:rPr>
                              <w:t>, reprezintă</w:t>
                            </w:r>
                            <w:r w:rsidRPr="00861423">
                              <w:rPr>
                                <w:rFonts w:asciiTheme="minorHAnsi" w:hAnsiTheme="minorHAnsi" w:cstheme="minorHAnsi"/>
                                <w:sz w:val="20"/>
                                <w:szCs w:val="18"/>
                                <w:lang w:val="ro-RO"/>
                              </w:rPr>
                              <w:t xml:space="preserve"> niște aproximări, reieșind din informația disponibilă (câte 4 estimări a unui indicator pentru fiecare an din cei 6 analizați vs realizarea acestui indicator).</w:t>
                            </w:r>
                          </w:p>
                          <w:p w14:paraId="574E934E" w14:textId="77777777" w:rsidR="00017651" w:rsidRPr="00861423" w:rsidRDefault="00017651" w:rsidP="00EB464E">
                            <w:pPr>
                              <w:pStyle w:val="ParagraphNumbering"/>
                              <w:numPr>
                                <w:ilvl w:val="0"/>
                                <w:numId w:val="0"/>
                              </w:numPr>
                              <w:spacing w:after="0" w:line="240" w:lineRule="auto"/>
                              <w:ind w:left="142" w:firstLine="284"/>
                              <w:jc w:val="both"/>
                              <w:rPr>
                                <w:rFonts w:asciiTheme="minorHAnsi" w:hAnsiTheme="minorHAnsi" w:cstheme="minorHAnsi"/>
                                <w:sz w:val="20"/>
                                <w:szCs w:val="18"/>
                                <w:lang w:val="ro-RO"/>
                              </w:rPr>
                            </w:pPr>
                            <w:r w:rsidRPr="00861423">
                              <w:rPr>
                                <w:rFonts w:asciiTheme="minorHAnsi" w:hAnsiTheme="minorHAnsi" w:cstheme="minorHAnsi"/>
                                <w:i/>
                                <w:sz w:val="20"/>
                                <w:szCs w:val="18"/>
                                <w:u w:val="single"/>
                                <w:lang w:val="ro-RO"/>
                              </w:rPr>
                              <w:t xml:space="preserve">Impactul riscului </w:t>
                            </w:r>
                            <w:r w:rsidRPr="00861423">
                              <w:rPr>
                                <w:rFonts w:asciiTheme="minorHAnsi" w:hAnsiTheme="minorHAnsi" w:cstheme="minorHAnsi"/>
                                <w:sz w:val="20"/>
                                <w:szCs w:val="18"/>
                                <w:lang w:val="ro-RO"/>
                              </w:rPr>
                              <w:t xml:space="preserve">este: </w:t>
                            </w:r>
                          </w:p>
                          <w:p w14:paraId="7C76034E"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Jos</w:t>
                            </w:r>
                            <w:r w:rsidRPr="00861423">
                              <w:rPr>
                                <w:rFonts w:asciiTheme="minorHAnsi" w:hAnsiTheme="minorHAnsi" w:cstheme="minorHAnsi"/>
                                <w:sz w:val="20"/>
                                <w:szCs w:val="18"/>
                                <w:lang w:val="ro-RO"/>
                              </w:rPr>
                              <w:t xml:space="preserve"> – daca abaterea între estimări și date executate este mai mică de 1% din PIB</w:t>
                            </w:r>
                          </w:p>
                          <w:p w14:paraId="5669BDB9"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Mediu</w:t>
                            </w:r>
                            <w:r w:rsidRPr="00861423">
                              <w:rPr>
                                <w:rFonts w:asciiTheme="minorHAnsi" w:hAnsiTheme="minorHAnsi" w:cstheme="minorHAnsi"/>
                                <w:sz w:val="20"/>
                                <w:szCs w:val="18"/>
                                <w:lang w:val="ro-RO"/>
                              </w:rPr>
                              <w:t xml:space="preserve"> - dacă abaterea între estimări și date executate este între 1% - 3% din PIB</w:t>
                            </w:r>
                          </w:p>
                          <w:p w14:paraId="31A03BBF"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Ridicat</w:t>
                            </w:r>
                            <w:r w:rsidRPr="00861423">
                              <w:rPr>
                                <w:rFonts w:asciiTheme="minorHAnsi" w:hAnsiTheme="minorHAnsi" w:cstheme="minorHAnsi"/>
                                <w:sz w:val="20"/>
                                <w:szCs w:val="18"/>
                                <w:lang w:val="ro-RO"/>
                              </w:rPr>
                              <w:t xml:space="preserve"> - dacă abaterea intre estimări și date executate este mai mare de 3% din PIB</w:t>
                            </w:r>
                          </w:p>
                          <w:p w14:paraId="6B20EA8C" w14:textId="77777777" w:rsidR="00017651" w:rsidRPr="00861423" w:rsidRDefault="00017651" w:rsidP="00861423">
                            <w:pPr>
                              <w:pStyle w:val="ParagraphNumbering"/>
                              <w:numPr>
                                <w:ilvl w:val="0"/>
                                <w:numId w:val="0"/>
                              </w:numPr>
                              <w:spacing w:after="0" w:line="240" w:lineRule="auto"/>
                              <w:ind w:firstLine="425"/>
                              <w:jc w:val="both"/>
                              <w:rPr>
                                <w:rFonts w:asciiTheme="minorHAnsi" w:hAnsiTheme="minorHAnsi" w:cstheme="minorHAnsi"/>
                                <w:sz w:val="20"/>
                                <w:szCs w:val="18"/>
                                <w:lang w:val="ro-RO"/>
                              </w:rPr>
                            </w:pPr>
                            <w:r w:rsidRPr="00861423">
                              <w:rPr>
                                <w:rFonts w:asciiTheme="minorHAnsi" w:hAnsiTheme="minorHAnsi" w:cstheme="minorHAnsi"/>
                                <w:i/>
                                <w:sz w:val="20"/>
                                <w:szCs w:val="18"/>
                                <w:u w:val="single"/>
                                <w:lang w:val="ro-RO"/>
                              </w:rPr>
                              <w:t xml:space="preserve">Probabilitatea riscului </w:t>
                            </w:r>
                            <w:r w:rsidRPr="00861423">
                              <w:rPr>
                                <w:rFonts w:asciiTheme="minorHAnsi" w:hAnsiTheme="minorHAnsi" w:cstheme="minorHAnsi"/>
                                <w:sz w:val="20"/>
                                <w:szCs w:val="18"/>
                                <w:lang w:val="ro-RO"/>
                              </w:rPr>
                              <w:t>este:</w:t>
                            </w:r>
                          </w:p>
                          <w:p w14:paraId="68D2E6BB"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 xml:space="preserve">Joasă </w:t>
                            </w:r>
                            <w:r w:rsidRPr="00861423">
                              <w:rPr>
                                <w:rFonts w:asciiTheme="minorHAnsi" w:hAnsiTheme="minorHAnsi" w:cstheme="minorHAnsi"/>
                                <w:sz w:val="20"/>
                                <w:szCs w:val="18"/>
                                <w:lang w:val="ro-RO"/>
                              </w:rPr>
                              <w:t xml:space="preserve">– dacă riscul </w:t>
                            </w:r>
                            <w:r>
                              <w:rPr>
                                <w:rFonts w:asciiTheme="minorHAnsi" w:hAnsiTheme="minorHAnsi" w:cstheme="minorHAnsi"/>
                                <w:sz w:val="20"/>
                                <w:szCs w:val="18"/>
                                <w:lang w:val="ro-RO"/>
                              </w:rPr>
                              <w:t>s</w:t>
                            </w:r>
                            <w:r w:rsidRPr="00861423">
                              <w:rPr>
                                <w:rFonts w:asciiTheme="minorHAnsi" w:hAnsiTheme="minorHAnsi" w:cstheme="minorHAnsi"/>
                                <w:sz w:val="20"/>
                                <w:szCs w:val="18"/>
                                <w:lang w:val="ro-RO"/>
                              </w:rPr>
                              <w:t>e produce în mai puțin de 10% de cazuri</w:t>
                            </w:r>
                          </w:p>
                          <w:p w14:paraId="7DEA8718"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b/>
                                <w:i/>
                                <w:sz w:val="20"/>
                                <w:szCs w:val="18"/>
                                <w:lang w:val="ro-RO"/>
                              </w:rPr>
                            </w:pPr>
                            <w:r w:rsidRPr="00861423">
                              <w:rPr>
                                <w:rFonts w:asciiTheme="minorHAnsi" w:hAnsiTheme="minorHAnsi" w:cstheme="minorHAnsi"/>
                                <w:b/>
                                <w:i/>
                                <w:sz w:val="20"/>
                                <w:szCs w:val="18"/>
                                <w:lang w:val="ro-RO"/>
                              </w:rPr>
                              <w:t>Medie -</w:t>
                            </w:r>
                            <w:r w:rsidRPr="00861423">
                              <w:rPr>
                                <w:rFonts w:asciiTheme="minorHAnsi" w:hAnsiTheme="minorHAnsi" w:cstheme="minorHAnsi"/>
                                <w:sz w:val="20"/>
                                <w:szCs w:val="18"/>
                                <w:lang w:val="ro-RO"/>
                              </w:rPr>
                              <w:t xml:space="preserve"> dacă riscul </w:t>
                            </w:r>
                            <w:r>
                              <w:rPr>
                                <w:rFonts w:asciiTheme="minorHAnsi" w:hAnsiTheme="minorHAnsi" w:cstheme="minorHAnsi"/>
                                <w:sz w:val="20"/>
                                <w:szCs w:val="18"/>
                                <w:lang w:val="ro-RO"/>
                              </w:rPr>
                              <w:t>s</w:t>
                            </w:r>
                            <w:r w:rsidRPr="00861423">
                              <w:rPr>
                                <w:rFonts w:asciiTheme="minorHAnsi" w:hAnsiTheme="minorHAnsi" w:cstheme="minorHAnsi"/>
                                <w:sz w:val="20"/>
                                <w:szCs w:val="18"/>
                                <w:lang w:val="ro-RO"/>
                              </w:rPr>
                              <w:t>e produce între 10% și 30% de cazuri</w:t>
                            </w:r>
                          </w:p>
                          <w:p w14:paraId="294DAAE4"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b/>
                                <w:i/>
                                <w:sz w:val="20"/>
                                <w:szCs w:val="18"/>
                                <w:lang w:val="ro-RO"/>
                              </w:rPr>
                            </w:pPr>
                            <w:r w:rsidRPr="00861423">
                              <w:rPr>
                                <w:rFonts w:asciiTheme="minorHAnsi" w:hAnsiTheme="minorHAnsi" w:cstheme="minorHAnsi"/>
                                <w:b/>
                                <w:i/>
                                <w:sz w:val="20"/>
                                <w:szCs w:val="18"/>
                                <w:lang w:val="ro-RO"/>
                              </w:rPr>
                              <w:t>Ridicată</w:t>
                            </w:r>
                            <w:r w:rsidRPr="00861423">
                              <w:rPr>
                                <w:rFonts w:asciiTheme="minorHAnsi" w:hAnsiTheme="minorHAnsi" w:cstheme="minorHAnsi"/>
                                <w:sz w:val="20"/>
                                <w:szCs w:val="18"/>
                                <w:lang w:val="ro-RO"/>
                              </w:rPr>
                              <w:t xml:space="preserve"> - dacă riscul</w:t>
                            </w:r>
                            <w:r>
                              <w:rPr>
                                <w:rFonts w:asciiTheme="minorHAnsi" w:hAnsiTheme="minorHAnsi" w:cstheme="minorHAnsi"/>
                                <w:sz w:val="20"/>
                                <w:szCs w:val="18"/>
                                <w:lang w:val="ro-RO"/>
                              </w:rPr>
                              <w:t xml:space="preserve"> s</w:t>
                            </w:r>
                            <w:r w:rsidRPr="00861423">
                              <w:rPr>
                                <w:rFonts w:asciiTheme="minorHAnsi" w:hAnsiTheme="minorHAnsi" w:cstheme="minorHAnsi"/>
                                <w:sz w:val="20"/>
                                <w:szCs w:val="18"/>
                                <w:lang w:val="ro-RO"/>
                              </w:rPr>
                              <w:t>e produce în mai mult de 30% de cazuri</w:t>
                            </w:r>
                          </w:p>
                          <w:p w14:paraId="23A1BA62" w14:textId="77777777" w:rsidR="00017651" w:rsidRPr="000A15E9" w:rsidRDefault="0001765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5D1B" id="_x0000_t202" coordsize="21600,21600" o:spt="202" path="m,l,21600r21600,l21600,xe">
                <v:stroke joinstyle="miter"/>
                <v:path gradientshapeok="t" o:connecttype="rect"/>
              </v:shapetype>
              <v:shape id="Text Box 2" o:spid="_x0000_s1026" type="#_x0000_t202" style="position:absolute;left:0;text-align:left;margin-left:.8pt;margin-top:90.85pt;width:462pt;height:20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46KwIAAFIEAAAOAAAAZHJzL2Uyb0RvYy54bWysVNtu2zAMfR+wfxD0vthxkzQ14hRdugwD&#10;ugvQ7gNkWbaFyaImKbGzrx8lu1l2exnmB4EUqUPykPTmdugUOQrrJOiCzmcpJUJzqKRuCvr5af9q&#10;TYnzTFdMgRYFPQlHb7cvX2x6k4sMWlCVsARBtMt7U9DWe5MnieOt6JibgREajTXYjnlUbZNUlvWI&#10;3qkkS9NV0oOtjAUunMPb+9FItxG/rgX3H+vaCU9UQTE3H08bzzKcyXbD8sYy00o+pcH+IYuOSY1B&#10;z1D3zDNysPI3qE5yCw5qP+PQJVDXkotYA1YzT3+p5rFlRsRakBxnzjS5/wfLPxw/WSIr7N0VJZp1&#10;2KMnMXjyGgaSBXp643L0ejTo5we8RtdYqjMPwL84omHXMt2IO2uhbwWrML15eJlcPB1xXAAp+/dQ&#10;YRh28BCBhtp2gTtkgyA6tul0bk1IhePlcr26XqRo4mjLVtnVfL2MMVj+/NxY598K6EgQCmqx9xGe&#10;HR+cD+mw/NklRHOgZLWXSkXFNuVOWXJkOCf7+E3oP7kpTfqC3iyz5cjAXyHS+P0JopMeB17JrqDr&#10;sxPLA29vdBXH0TOpRhlTVnoiMnA3suiHcpgaU0J1QkotjIONi4hCC/YbJT0OdUHd1wOzghL1TmNb&#10;buaLRdiCqCyW1xkq9tJSXlqY5ghVUE/JKO78uDkHY2XTYqRxEDTcYStrGUkOPR+zmvLGwY3cT0sW&#10;NuNSj14/fgXb7wAAAP//AwBQSwMEFAAGAAgAAAAhAEgvberfAAAACQEAAA8AAABkcnMvZG93bnJl&#10;di54bWxMj0FPwzAMhe9I/IfISFwQSze2ri1NJ4QEYjcYCK5Z47UVjVOSrCv/HnOCk/X8np4/l5vJ&#10;9mJEHzpHCuazBARS7UxHjYK314frDESImozuHaGCbwywqc7PSl0Yd6IXHHexEVxCodAK2hiHQspQ&#10;t2h1mLkBib2D81ZHlr6RxusTl9teLpIklVZ3xBdaPeB9i/Xn7mgVZMun8SNsb57f6/TQ5/FqPT5+&#10;eaUuL6a7WxARp/gXhl98RoeKmfbuSCaInnXKQR7ZfA2C/Xyx4s1ewSpfZiCrUv7/oPoBAAD//wMA&#10;UEsBAi0AFAAGAAgAAAAhALaDOJL+AAAA4QEAABMAAAAAAAAAAAAAAAAAAAAAAFtDb250ZW50X1R5&#10;cGVzXS54bWxQSwECLQAUAAYACAAAACEAOP0h/9YAAACUAQAACwAAAAAAAAAAAAAAAAAvAQAAX3Jl&#10;bHMvLnJlbHNQSwECLQAUAAYACAAAACEApSMeOisCAABSBAAADgAAAAAAAAAAAAAAAAAuAgAAZHJz&#10;L2Uyb0RvYy54bWxQSwECLQAUAAYACAAAACEASC9t6t8AAAAJAQAADwAAAAAAAAAAAAAAAACFBAAA&#10;ZHJzL2Rvd25yZXYueG1sUEsFBgAAAAAEAAQA8wAAAJEFAAAAAA==&#10;">
                <v:textbox>
                  <w:txbxContent>
                    <w:p w14:paraId="6988476B" w14:textId="77777777" w:rsidR="00017651" w:rsidRPr="00861423" w:rsidRDefault="00017651" w:rsidP="00861423">
                      <w:pPr>
                        <w:pStyle w:val="ParagraphNumbering"/>
                        <w:numPr>
                          <w:ilvl w:val="0"/>
                          <w:numId w:val="0"/>
                        </w:numPr>
                        <w:spacing w:after="0" w:line="240" w:lineRule="auto"/>
                        <w:ind w:left="142" w:hanging="142"/>
                        <w:jc w:val="center"/>
                        <w:rPr>
                          <w:rFonts w:asciiTheme="minorHAnsi" w:hAnsiTheme="minorHAnsi" w:cstheme="minorHAnsi"/>
                          <w:b/>
                          <w:color w:val="548DD4" w:themeColor="text2" w:themeTint="99"/>
                          <w:sz w:val="20"/>
                          <w:szCs w:val="18"/>
                          <w:lang w:val="ro-RO"/>
                        </w:rPr>
                      </w:pPr>
                      <w:r w:rsidRPr="00166A39">
                        <w:rPr>
                          <w:rFonts w:asciiTheme="minorHAnsi" w:hAnsiTheme="minorHAnsi" w:cstheme="minorHAnsi"/>
                          <w:b/>
                          <w:color w:val="548DD4" w:themeColor="text2" w:themeTint="99"/>
                          <w:sz w:val="20"/>
                          <w:szCs w:val="18"/>
                          <w:lang w:val="fr-FR"/>
                        </w:rPr>
                        <w:t>Boxa 1.</w:t>
                      </w:r>
                      <w:r w:rsidRPr="00861423">
                        <w:rPr>
                          <w:rFonts w:asciiTheme="minorHAnsi" w:hAnsiTheme="minorHAnsi" w:cstheme="minorHAnsi"/>
                          <w:b/>
                          <w:color w:val="548DD4" w:themeColor="text2" w:themeTint="99"/>
                          <w:sz w:val="20"/>
                          <w:szCs w:val="18"/>
                          <w:lang w:val="ro-RO"/>
                        </w:rPr>
                        <w:t xml:space="preserve"> Evaluarea impactului și probabilității riscului</w:t>
                      </w:r>
                    </w:p>
                    <w:p w14:paraId="2C28D25A" w14:textId="77777777" w:rsidR="00017651" w:rsidRPr="00861423" w:rsidRDefault="00017651" w:rsidP="00861423">
                      <w:pPr>
                        <w:pStyle w:val="ParagraphNumbering"/>
                        <w:numPr>
                          <w:ilvl w:val="0"/>
                          <w:numId w:val="0"/>
                        </w:numPr>
                        <w:spacing w:after="0" w:line="240" w:lineRule="auto"/>
                        <w:ind w:left="142" w:hanging="142"/>
                        <w:jc w:val="center"/>
                        <w:rPr>
                          <w:rFonts w:asciiTheme="minorHAnsi" w:hAnsiTheme="minorHAnsi" w:cstheme="minorHAnsi"/>
                          <w:b/>
                          <w:sz w:val="20"/>
                          <w:szCs w:val="18"/>
                          <w:lang w:val="ro-RO"/>
                        </w:rPr>
                      </w:pPr>
                    </w:p>
                    <w:p w14:paraId="351A918D" w14:textId="77777777" w:rsidR="00017651" w:rsidRPr="00861423" w:rsidRDefault="00017651" w:rsidP="00861423">
                      <w:pPr>
                        <w:pStyle w:val="ParagraphNumbering"/>
                        <w:numPr>
                          <w:ilvl w:val="0"/>
                          <w:numId w:val="0"/>
                        </w:numPr>
                        <w:spacing w:after="0" w:line="240" w:lineRule="auto"/>
                        <w:ind w:left="142" w:hanging="142"/>
                        <w:jc w:val="both"/>
                        <w:rPr>
                          <w:rFonts w:asciiTheme="minorHAnsi" w:hAnsiTheme="minorHAnsi" w:cstheme="minorHAnsi"/>
                          <w:sz w:val="20"/>
                          <w:szCs w:val="18"/>
                          <w:lang w:val="ro-RO"/>
                        </w:rPr>
                      </w:pPr>
                      <w:r w:rsidRPr="00861423">
                        <w:rPr>
                          <w:rFonts w:asciiTheme="minorHAnsi" w:hAnsiTheme="minorHAnsi" w:cstheme="minorHAnsi"/>
                          <w:sz w:val="20"/>
                          <w:szCs w:val="18"/>
                          <w:lang w:val="ro-RO"/>
                        </w:rPr>
                        <w:t xml:space="preserve">Evaluarea impactului și probabilității riscului se bazează pe analiza estimărilor din </w:t>
                      </w:r>
                      <w:r>
                        <w:rPr>
                          <w:rFonts w:asciiTheme="minorHAnsi" w:hAnsiTheme="minorHAnsi" w:cstheme="minorHAnsi"/>
                          <w:sz w:val="20"/>
                          <w:szCs w:val="18"/>
                          <w:lang w:val="ro-RO"/>
                        </w:rPr>
                        <w:t>Cadrul Bugetar pe Termen Mediu (</w:t>
                      </w:r>
                      <w:r w:rsidRPr="00861423">
                        <w:rPr>
                          <w:rFonts w:asciiTheme="minorHAnsi" w:hAnsiTheme="minorHAnsi" w:cstheme="minorHAnsi"/>
                          <w:sz w:val="20"/>
                          <w:szCs w:val="18"/>
                          <w:lang w:val="ro-RO"/>
                        </w:rPr>
                        <w:t>CBTM</w:t>
                      </w:r>
                      <w:r>
                        <w:rPr>
                          <w:rFonts w:asciiTheme="minorHAnsi" w:hAnsiTheme="minorHAnsi" w:cstheme="minorHAnsi"/>
                          <w:sz w:val="20"/>
                          <w:szCs w:val="18"/>
                          <w:lang w:val="ro-RO"/>
                        </w:rPr>
                        <w:t>)</w:t>
                      </w:r>
                      <w:r w:rsidRPr="00861423">
                        <w:rPr>
                          <w:rFonts w:asciiTheme="minorHAnsi" w:hAnsiTheme="minorHAnsi" w:cstheme="minorHAnsi"/>
                          <w:sz w:val="20"/>
                          <w:szCs w:val="18"/>
                          <w:lang w:val="ro-RO"/>
                        </w:rPr>
                        <w:t xml:space="preserve"> din ultimii 6 ani. Dimensiunea devierilor între estimarea indicatorilor și realizarea acestora, precum și frecvența acestor devieri reprezintă niște indicatori </w:t>
                      </w:r>
                      <w:r>
                        <w:rPr>
                          <w:rFonts w:asciiTheme="minorHAnsi" w:hAnsiTheme="minorHAnsi" w:cstheme="minorHAnsi"/>
                          <w:sz w:val="20"/>
                          <w:szCs w:val="18"/>
                          <w:lang w:val="ro-RO"/>
                        </w:rPr>
                        <w:t xml:space="preserve">utilizați </w:t>
                      </w:r>
                      <w:r w:rsidRPr="00861423">
                        <w:rPr>
                          <w:rFonts w:asciiTheme="minorHAnsi" w:hAnsiTheme="minorHAnsi" w:cstheme="minorHAnsi"/>
                          <w:sz w:val="20"/>
                          <w:szCs w:val="18"/>
                          <w:lang w:val="ro-RO"/>
                        </w:rPr>
                        <w:t>pentru estima</w:t>
                      </w:r>
                      <w:r>
                        <w:rPr>
                          <w:rFonts w:asciiTheme="minorHAnsi" w:hAnsiTheme="minorHAnsi" w:cstheme="minorHAnsi"/>
                          <w:sz w:val="20"/>
                          <w:szCs w:val="18"/>
                          <w:lang w:val="ro-RO"/>
                        </w:rPr>
                        <w:t>rea</w:t>
                      </w:r>
                      <w:r w:rsidRPr="00861423">
                        <w:rPr>
                          <w:rFonts w:asciiTheme="minorHAnsi" w:hAnsiTheme="minorHAnsi" w:cstheme="minorHAnsi"/>
                          <w:sz w:val="20"/>
                          <w:szCs w:val="18"/>
                          <w:lang w:val="ro-RO"/>
                        </w:rPr>
                        <w:t xml:space="preserve"> impactul</w:t>
                      </w:r>
                      <w:r>
                        <w:rPr>
                          <w:rFonts w:asciiTheme="minorHAnsi" w:hAnsiTheme="minorHAnsi" w:cstheme="minorHAnsi"/>
                          <w:sz w:val="20"/>
                          <w:szCs w:val="18"/>
                          <w:lang w:val="ro-RO"/>
                        </w:rPr>
                        <w:t>ui</w:t>
                      </w:r>
                      <w:r w:rsidRPr="00861423">
                        <w:rPr>
                          <w:rFonts w:asciiTheme="minorHAnsi" w:hAnsiTheme="minorHAnsi" w:cstheme="minorHAnsi"/>
                          <w:sz w:val="20"/>
                          <w:szCs w:val="18"/>
                          <w:lang w:val="ro-RO"/>
                        </w:rPr>
                        <w:t xml:space="preserve"> potențial și probabilitatea diferitor riscuri. Evaluările, deși </w:t>
                      </w:r>
                      <w:r w:rsidRPr="000552FE">
                        <w:rPr>
                          <w:rFonts w:asciiTheme="minorHAnsi" w:hAnsiTheme="minorHAnsi" w:cstheme="minorHAnsi"/>
                          <w:sz w:val="20"/>
                          <w:szCs w:val="18"/>
                          <w:lang w:val="ro-RO"/>
                        </w:rPr>
                        <w:t>nu sunt statistic reprezentative</w:t>
                      </w:r>
                      <w:r w:rsidRPr="003742B2">
                        <w:rPr>
                          <w:rFonts w:asciiTheme="minorHAnsi" w:hAnsiTheme="minorHAnsi" w:cstheme="minorHAnsi"/>
                          <w:sz w:val="20"/>
                          <w:szCs w:val="18"/>
                          <w:lang w:val="ro-RO"/>
                        </w:rPr>
                        <w:t>, reprezintă</w:t>
                      </w:r>
                      <w:r w:rsidRPr="00861423">
                        <w:rPr>
                          <w:rFonts w:asciiTheme="minorHAnsi" w:hAnsiTheme="minorHAnsi" w:cstheme="minorHAnsi"/>
                          <w:sz w:val="20"/>
                          <w:szCs w:val="18"/>
                          <w:lang w:val="ro-RO"/>
                        </w:rPr>
                        <w:t xml:space="preserve"> niște aproximări, reieșind din informația disponibilă (câte 4 estimări a unui indicator pentru fiecare an din cei 6 analizați vs realizarea acestui indicator).</w:t>
                      </w:r>
                    </w:p>
                    <w:p w14:paraId="574E934E" w14:textId="77777777" w:rsidR="00017651" w:rsidRPr="00861423" w:rsidRDefault="00017651" w:rsidP="00EB464E">
                      <w:pPr>
                        <w:pStyle w:val="ParagraphNumbering"/>
                        <w:numPr>
                          <w:ilvl w:val="0"/>
                          <w:numId w:val="0"/>
                        </w:numPr>
                        <w:spacing w:after="0" w:line="240" w:lineRule="auto"/>
                        <w:ind w:left="142" w:firstLine="284"/>
                        <w:jc w:val="both"/>
                        <w:rPr>
                          <w:rFonts w:asciiTheme="minorHAnsi" w:hAnsiTheme="minorHAnsi" w:cstheme="minorHAnsi"/>
                          <w:sz w:val="20"/>
                          <w:szCs w:val="18"/>
                          <w:lang w:val="ro-RO"/>
                        </w:rPr>
                      </w:pPr>
                      <w:r w:rsidRPr="00861423">
                        <w:rPr>
                          <w:rFonts w:asciiTheme="minorHAnsi" w:hAnsiTheme="minorHAnsi" w:cstheme="minorHAnsi"/>
                          <w:i/>
                          <w:sz w:val="20"/>
                          <w:szCs w:val="18"/>
                          <w:u w:val="single"/>
                          <w:lang w:val="ro-RO"/>
                        </w:rPr>
                        <w:t xml:space="preserve">Impactul riscului </w:t>
                      </w:r>
                      <w:r w:rsidRPr="00861423">
                        <w:rPr>
                          <w:rFonts w:asciiTheme="minorHAnsi" w:hAnsiTheme="minorHAnsi" w:cstheme="minorHAnsi"/>
                          <w:sz w:val="20"/>
                          <w:szCs w:val="18"/>
                          <w:lang w:val="ro-RO"/>
                        </w:rPr>
                        <w:t xml:space="preserve">este: </w:t>
                      </w:r>
                    </w:p>
                    <w:p w14:paraId="7C76034E"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Jos</w:t>
                      </w:r>
                      <w:r w:rsidRPr="00861423">
                        <w:rPr>
                          <w:rFonts w:asciiTheme="minorHAnsi" w:hAnsiTheme="minorHAnsi" w:cstheme="minorHAnsi"/>
                          <w:sz w:val="20"/>
                          <w:szCs w:val="18"/>
                          <w:lang w:val="ro-RO"/>
                        </w:rPr>
                        <w:t xml:space="preserve"> – daca abaterea între estimări și date executate este mai mică de 1% din PIB</w:t>
                      </w:r>
                    </w:p>
                    <w:p w14:paraId="5669BDB9"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Mediu</w:t>
                      </w:r>
                      <w:r w:rsidRPr="00861423">
                        <w:rPr>
                          <w:rFonts w:asciiTheme="minorHAnsi" w:hAnsiTheme="minorHAnsi" w:cstheme="minorHAnsi"/>
                          <w:sz w:val="20"/>
                          <w:szCs w:val="18"/>
                          <w:lang w:val="ro-RO"/>
                        </w:rPr>
                        <w:t xml:space="preserve"> - dacă abaterea între estimări și date executate este între 1% - 3% din PIB</w:t>
                      </w:r>
                    </w:p>
                    <w:p w14:paraId="31A03BBF"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Ridicat</w:t>
                      </w:r>
                      <w:r w:rsidRPr="00861423">
                        <w:rPr>
                          <w:rFonts w:asciiTheme="minorHAnsi" w:hAnsiTheme="minorHAnsi" w:cstheme="minorHAnsi"/>
                          <w:sz w:val="20"/>
                          <w:szCs w:val="18"/>
                          <w:lang w:val="ro-RO"/>
                        </w:rPr>
                        <w:t xml:space="preserve"> - dacă abaterea intre estimări și date executate este mai mare de 3% din PIB</w:t>
                      </w:r>
                    </w:p>
                    <w:p w14:paraId="6B20EA8C" w14:textId="77777777" w:rsidR="00017651" w:rsidRPr="00861423" w:rsidRDefault="00017651" w:rsidP="00861423">
                      <w:pPr>
                        <w:pStyle w:val="ParagraphNumbering"/>
                        <w:numPr>
                          <w:ilvl w:val="0"/>
                          <w:numId w:val="0"/>
                        </w:numPr>
                        <w:spacing w:after="0" w:line="240" w:lineRule="auto"/>
                        <w:ind w:firstLine="425"/>
                        <w:jc w:val="both"/>
                        <w:rPr>
                          <w:rFonts w:asciiTheme="minorHAnsi" w:hAnsiTheme="minorHAnsi" w:cstheme="minorHAnsi"/>
                          <w:sz w:val="20"/>
                          <w:szCs w:val="18"/>
                          <w:lang w:val="ro-RO"/>
                        </w:rPr>
                      </w:pPr>
                      <w:r w:rsidRPr="00861423">
                        <w:rPr>
                          <w:rFonts w:asciiTheme="minorHAnsi" w:hAnsiTheme="minorHAnsi" w:cstheme="minorHAnsi"/>
                          <w:i/>
                          <w:sz w:val="20"/>
                          <w:szCs w:val="18"/>
                          <w:u w:val="single"/>
                          <w:lang w:val="ro-RO"/>
                        </w:rPr>
                        <w:t xml:space="preserve">Probabilitatea riscului </w:t>
                      </w:r>
                      <w:r w:rsidRPr="00861423">
                        <w:rPr>
                          <w:rFonts w:asciiTheme="minorHAnsi" w:hAnsiTheme="minorHAnsi" w:cstheme="minorHAnsi"/>
                          <w:sz w:val="20"/>
                          <w:szCs w:val="18"/>
                          <w:lang w:val="ro-RO"/>
                        </w:rPr>
                        <w:t>este:</w:t>
                      </w:r>
                    </w:p>
                    <w:p w14:paraId="68D2E6BB"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sz w:val="20"/>
                          <w:szCs w:val="18"/>
                          <w:lang w:val="ro-RO"/>
                        </w:rPr>
                      </w:pPr>
                      <w:r w:rsidRPr="00861423">
                        <w:rPr>
                          <w:rFonts w:asciiTheme="minorHAnsi" w:hAnsiTheme="minorHAnsi" w:cstheme="minorHAnsi"/>
                          <w:b/>
                          <w:i/>
                          <w:sz w:val="20"/>
                          <w:szCs w:val="18"/>
                          <w:lang w:val="ro-RO"/>
                        </w:rPr>
                        <w:t xml:space="preserve">Joasă </w:t>
                      </w:r>
                      <w:r w:rsidRPr="00861423">
                        <w:rPr>
                          <w:rFonts w:asciiTheme="minorHAnsi" w:hAnsiTheme="minorHAnsi" w:cstheme="minorHAnsi"/>
                          <w:sz w:val="20"/>
                          <w:szCs w:val="18"/>
                          <w:lang w:val="ro-RO"/>
                        </w:rPr>
                        <w:t xml:space="preserve">– dacă riscul </w:t>
                      </w:r>
                      <w:r>
                        <w:rPr>
                          <w:rFonts w:asciiTheme="minorHAnsi" w:hAnsiTheme="minorHAnsi" w:cstheme="minorHAnsi"/>
                          <w:sz w:val="20"/>
                          <w:szCs w:val="18"/>
                          <w:lang w:val="ro-RO"/>
                        </w:rPr>
                        <w:t>s</w:t>
                      </w:r>
                      <w:r w:rsidRPr="00861423">
                        <w:rPr>
                          <w:rFonts w:asciiTheme="minorHAnsi" w:hAnsiTheme="minorHAnsi" w:cstheme="minorHAnsi"/>
                          <w:sz w:val="20"/>
                          <w:szCs w:val="18"/>
                          <w:lang w:val="ro-RO"/>
                        </w:rPr>
                        <w:t>e produce în mai puțin de 10% de cazuri</w:t>
                      </w:r>
                    </w:p>
                    <w:p w14:paraId="7DEA8718"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b/>
                          <w:i/>
                          <w:sz w:val="20"/>
                          <w:szCs w:val="18"/>
                          <w:lang w:val="ro-RO"/>
                        </w:rPr>
                      </w:pPr>
                      <w:r w:rsidRPr="00861423">
                        <w:rPr>
                          <w:rFonts w:asciiTheme="minorHAnsi" w:hAnsiTheme="minorHAnsi" w:cstheme="minorHAnsi"/>
                          <w:b/>
                          <w:i/>
                          <w:sz w:val="20"/>
                          <w:szCs w:val="18"/>
                          <w:lang w:val="ro-RO"/>
                        </w:rPr>
                        <w:t>Medie -</w:t>
                      </w:r>
                      <w:r w:rsidRPr="00861423">
                        <w:rPr>
                          <w:rFonts w:asciiTheme="minorHAnsi" w:hAnsiTheme="minorHAnsi" w:cstheme="minorHAnsi"/>
                          <w:sz w:val="20"/>
                          <w:szCs w:val="18"/>
                          <w:lang w:val="ro-RO"/>
                        </w:rPr>
                        <w:t xml:space="preserve"> dacă riscul </w:t>
                      </w:r>
                      <w:r>
                        <w:rPr>
                          <w:rFonts w:asciiTheme="minorHAnsi" w:hAnsiTheme="minorHAnsi" w:cstheme="minorHAnsi"/>
                          <w:sz w:val="20"/>
                          <w:szCs w:val="18"/>
                          <w:lang w:val="ro-RO"/>
                        </w:rPr>
                        <w:t>s</w:t>
                      </w:r>
                      <w:r w:rsidRPr="00861423">
                        <w:rPr>
                          <w:rFonts w:asciiTheme="minorHAnsi" w:hAnsiTheme="minorHAnsi" w:cstheme="minorHAnsi"/>
                          <w:sz w:val="20"/>
                          <w:szCs w:val="18"/>
                          <w:lang w:val="ro-RO"/>
                        </w:rPr>
                        <w:t>e produce între 10% și 30% de cazuri</w:t>
                      </w:r>
                    </w:p>
                    <w:p w14:paraId="294DAAE4" w14:textId="77777777" w:rsidR="00017651" w:rsidRPr="00861423" w:rsidRDefault="00017651" w:rsidP="00861423">
                      <w:pPr>
                        <w:pStyle w:val="ParagraphNumbering"/>
                        <w:numPr>
                          <w:ilvl w:val="0"/>
                          <w:numId w:val="0"/>
                        </w:numPr>
                        <w:spacing w:after="0" w:line="240" w:lineRule="auto"/>
                        <w:ind w:left="1134"/>
                        <w:jc w:val="both"/>
                        <w:rPr>
                          <w:rFonts w:asciiTheme="minorHAnsi" w:hAnsiTheme="minorHAnsi" w:cstheme="minorHAnsi"/>
                          <w:b/>
                          <w:i/>
                          <w:sz w:val="20"/>
                          <w:szCs w:val="18"/>
                          <w:lang w:val="ro-RO"/>
                        </w:rPr>
                      </w:pPr>
                      <w:r w:rsidRPr="00861423">
                        <w:rPr>
                          <w:rFonts w:asciiTheme="minorHAnsi" w:hAnsiTheme="minorHAnsi" w:cstheme="minorHAnsi"/>
                          <w:b/>
                          <w:i/>
                          <w:sz w:val="20"/>
                          <w:szCs w:val="18"/>
                          <w:lang w:val="ro-RO"/>
                        </w:rPr>
                        <w:t>Ridicată</w:t>
                      </w:r>
                      <w:r w:rsidRPr="00861423">
                        <w:rPr>
                          <w:rFonts w:asciiTheme="minorHAnsi" w:hAnsiTheme="minorHAnsi" w:cstheme="minorHAnsi"/>
                          <w:sz w:val="20"/>
                          <w:szCs w:val="18"/>
                          <w:lang w:val="ro-RO"/>
                        </w:rPr>
                        <w:t xml:space="preserve"> - dacă riscul</w:t>
                      </w:r>
                      <w:r>
                        <w:rPr>
                          <w:rFonts w:asciiTheme="minorHAnsi" w:hAnsiTheme="minorHAnsi" w:cstheme="minorHAnsi"/>
                          <w:sz w:val="20"/>
                          <w:szCs w:val="18"/>
                          <w:lang w:val="ro-RO"/>
                        </w:rPr>
                        <w:t xml:space="preserve"> s</w:t>
                      </w:r>
                      <w:r w:rsidRPr="00861423">
                        <w:rPr>
                          <w:rFonts w:asciiTheme="minorHAnsi" w:hAnsiTheme="minorHAnsi" w:cstheme="minorHAnsi"/>
                          <w:sz w:val="20"/>
                          <w:szCs w:val="18"/>
                          <w:lang w:val="ro-RO"/>
                        </w:rPr>
                        <w:t>e produce în mai mult de 30% de cazuri</w:t>
                      </w:r>
                    </w:p>
                    <w:p w14:paraId="23A1BA62" w14:textId="77777777" w:rsidR="00017651" w:rsidRPr="000A15E9" w:rsidRDefault="00017651">
                      <w:pPr>
                        <w:rPr>
                          <w:lang w:val="es-ES"/>
                        </w:rPr>
                      </w:pPr>
                    </w:p>
                  </w:txbxContent>
                </v:textbox>
                <w10:wrap type="square"/>
              </v:shape>
            </w:pict>
          </mc:Fallback>
        </mc:AlternateContent>
      </w:r>
      <w:r w:rsidR="005861CE" w:rsidRPr="00FB0BE5">
        <w:rPr>
          <w:rFonts w:asciiTheme="minorHAnsi" w:hAnsiTheme="minorHAnsi" w:cstheme="minorHAnsi"/>
          <w:sz w:val="24"/>
          <w:u w:val="single"/>
          <w:lang w:val="ro-RO"/>
        </w:rPr>
        <w:t>Scopul</w:t>
      </w:r>
      <w:r w:rsidR="005861CE" w:rsidRPr="00FB0BE5">
        <w:rPr>
          <w:rFonts w:asciiTheme="minorHAnsi" w:hAnsiTheme="minorHAnsi" w:cstheme="minorHAnsi"/>
          <w:sz w:val="24"/>
          <w:lang w:val="ro-RO"/>
        </w:rPr>
        <w:t xml:space="preserve"> acestei Note este de a identifica ris</w:t>
      </w:r>
      <w:r w:rsidR="000A15E9" w:rsidRPr="00FB0BE5">
        <w:rPr>
          <w:rFonts w:asciiTheme="minorHAnsi" w:hAnsiTheme="minorHAnsi" w:cstheme="minorHAnsi"/>
          <w:sz w:val="24"/>
          <w:lang w:val="ro-RO"/>
        </w:rPr>
        <w:t xml:space="preserve">curile potențiale pentru buget și </w:t>
      </w:r>
      <w:r w:rsidR="005861CE" w:rsidRPr="00FB0BE5">
        <w:rPr>
          <w:rFonts w:asciiTheme="minorHAnsi" w:hAnsiTheme="minorHAnsi" w:cstheme="minorHAnsi"/>
          <w:sz w:val="24"/>
          <w:lang w:val="ro-RO"/>
        </w:rPr>
        <w:t>de a estima probabilitatea riscului și a impactul</w:t>
      </w:r>
      <w:r w:rsidR="00A858C2" w:rsidRPr="00FB0BE5">
        <w:rPr>
          <w:rFonts w:asciiTheme="minorHAnsi" w:hAnsiTheme="minorHAnsi" w:cstheme="minorHAnsi"/>
          <w:sz w:val="24"/>
          <w:lang w:val="ro-RO"/>
        </w:rPr>
        <w:t>ui</w:t>
      </w:r>
      <w:r w:rsidR="005861CE" w:rsidRPr="00FB0BE5">
        <w:rPr>
          <w:rFonts w:asciiTheme="minorHAnsi" w:hAnsiTheme="minorHAnsi" w:cstheme="minorHAnsi"/>
          <w:sz w:val="24"/>
          <w:lang w:val="ro-RO"/>
        </w:rPr>
        <w:t xml:space="preserve"> acestuia în caz că se produce riscul. În afară de aceasta</w:t>
      </w:r>
      <w:r w:rsidR="00ED74E9" w:rsidRPr="00FB0BE5">
        <w:rPr>
          <w:rFonts w:asciiTheme="minorHAnsi" w:hAnsiTheme="minorHAnsi" w:cstheme="minorHAnsi"/>
          <w:sz w:val="24"/>
          <w:lang w:val="ro-RO"/>
        </w:rPr>
        <w:t>,</w:t>
      </w:r>
      <w:r w:rsidR="00B85746">
        <w:rPr>
          <w:rFonts w:asciiTheme="minorHAnsi" w:hAnsiTheme="minorHAnsi" w:cstheme="minorHAnsi"/>
          <w:sz w:val="24"/>
          <w:lang w:val="ro-RO"/>
        </w:rPr>
        <w:t xml:space="preserve"> </w:t>
      </w:r>
      <w:r w:rsidR="00945700" w:rsidRPr="00FB0BE5">
        <w:rPr>
          <w:rFonts w:asciiTheme="minorHAnsi" w:hAnsiTheme="minorHAnsi" w:cstheme="minorHAnsi"/>
          <w:sz w:val="24"/>
          <w:lang w:val="ro-RO"/>
        </w:rPr>
        <w:t>sânt</w:t>
      </w:r>
      <w:r w:rsidR="005861CE" w:rsidRPr="00FB0BE5">
        <w:rPr>
          <w:rFonts w:asciiTheme="minorHAnsi" w:hAnsiTheme="minorHAnsi" w:cstheme="minorHAnsi"/>
          <w:sz w:val="24"/>
          <w:lang w:val="ro-RO"/>
        </w:rPr>
        <w:t xml:space="preserve"> descrise și măsurile de atenuare a riscurilor, dacă acestea au avut loc, sau mecanismele care sunt prevăzute de cadrul </w:t>
      </w:r>
      <w:r w:rsidR="000A15E9" w:rsidRPr="00FB0BE5">
        <w:rPr>
          <w:rFonts w:asciiTheme="minorHAnsi" w:hAnsiTheme="minorHAnsi" w:cstheme="minorHAnsi"/>
          <w:sz w:val="24"/>
          <w:lang w:val="ro-RO"/>
        </w:rPr>
        <w:t>normativ sau</w:t>
      </w:r>
      <w:r w:rsidR="001240EC" w:rsidRPr="00FB0BE5">
        <w:rPr>
          <w:rFonts w:asciiTheme="minorHAnsi" w:hAnsiTheme="minorHAnsi" w:cstheme="minorHAnsi"/>
          <w:sz w:val="24"/>
          <w:lang w:val="ro-RO"/>
        </w:rPr>
        <w:t xml:space="preserve"> urmează a fi elaborate </w:t>
      </w:r>
      <w:r w:rsidR="00945700" w:rsidRPr="00FB0BE5">
        <w:rPr>
          <w:rFonts w:asciiTheme="minorHAnsi" w:hAnsiTheme="minorHAnsi" w:cstheme="minorHAnsi"/>
          <w:sz w:val="24"/>
          <w:lang w:val="ro-RO"/>
        </w:rPr>
        <w:t>pentru a reduce riscurile</w:t>
      </w:r>
      <w:r w:rsidR="001240EC" w:rsidRPr="00FB0BE5">
        <w:rPr>
          <w:rFonts w:asciiTheme="minorHAnsi" w:hAnsiTheme="minorHAnsi" w:cstheme="minorHAnsi"/>
          <w:sz w:val="24"/>
          <w:lang w:val="ro-RO"/>
        </w:rPr>
        <w:t xml:space="preserve"> bugetar-fiscale</w:t>
      </w:r>
      <w:r w:rsidR="005861CE" w:rsidRPr="00FB0BE5">
        <w:rPr>
          <w:rFonts w:asciiTheme="minorHAnsi" w:hAnsiTheme="minorHAnsi" w:cstheme="minorHAnsi"/>
          <w:sz w:val="24"/>
          <w:lang w:val="ro-RO"/>
        </w:rPr>
        <w:t>.</w:t>
      </w:r>
    </w:p>
    <w:p w14:paraId="0AAB1D39" w14:textId="77777777" w:rsidR="009538EA" w:rsidRPr="00FB0BE5" w:rsidRDefault="009538EA" w:rsidP="009538EA">
      <w:pPr>
        <w:pStyle w:val="ParagraphNumbering"/>
        <w:numPr>
          <w:ilvl w:val="0"/>
          <w:numId w:val="0"/>
        </w:numPr>
        <w:spacing w:after="0" w:line="240" w:lineRule="auto"/>
        <w:ind w:firstLine="567"/>
        <w:jc w:val="both"/>
        <w:rPr>
          <w:rFonts w:asciiTheme="minorHAnsi" w:hAnsiTheme="minorHAnsi" w:cstheme="minorHAnsi"/>
          <w:sz w:val="24"/>
          <w:lang w:val="ro-RO"/>
        </w:rPr>
      </w:pPr>
    </w:p>
    <w:p w14:paraId="618CC036" w14:textId="77777777" w:rsidR="009538EA" w:rsidRPr="00FB0BE5" w:rsidRDefault="009538EA" w:rsidP="009538EA">
      <w:pPr>
        <w:pStyle w:val="ParagraphNumbering"/>
        <w:numPr>
          <w:ilvl w:val="0"/>
          <w:numId w:val="0"/>
        </w:numPr>
        <w:spacing w:after="0" w:line="240" w:lineRule="auto"/>
        <w:ind w:firstLine="567"/>
        <w:jc w:val="both"/>
        <w:rPr>
          <w:rFonts w:asciiTheme="minorHAnsi" w:hAnsiTheme="minorHAnsi" w:cstheme="minorHAnsi"/>
          <w:sz w:val="24"/>
          <w:lang w:val="ro-RO"/>
        </w:rPr>
      </w:pPr>
    </w:p>
    <w:p w14:paraId="6FB6D3C5" w14:textId="77777777" w:rsidR="00EC70A4" w:rsidRPr="00FB0BE5" w:rsidRDefault="005861CE" w:rsidP="009538EA">
      <w:pPr>
        <w:pStyle w:val="ParagraphNumbering"/>
        <w:numPr>
          <w:ilvl w:val="0"/>
          <w:numId w:val="0"/>
        </w:numPr>
        <w:spacing w:line="240" w:lineRule="auto"/>
        <w:ind w:firstLine="567"/>
        <w:jc w:val="both"/>
        <w:rPr>
          <w:rFonts w:asciiTheme="minorHAnsi" w:hAnsiTheme="minorHAnsi" w:cstheme="minorHAnsi"/>
          <w:sz w:val="24"/>
          <w:lang w:val="ro-RO"/>
        </w:rPr>
      </w:pPr>
      <w:r w:rsidRPr="00FB0BE5">
        <w:rPr>
          <w:rFonts w:asciiTheme="minorHAnsi" w:hAnsiTheme="minorHAnsi" w:cstheme="minorHAnsi"/>
          <w:sz w:val="24"/>
          <w:lang w:val="ro-RO"/>
        </w:rPr>
        <w:t xml:space="preserve">Tabelele de mai jos prezintă tabloul riscurilor bugetar-fiscale aferente, cu o scurtă </w:t>
      </w:r>
      <w:r w:rsidR="00A858C2" w:rsidRPr="00FB0BE5">
        <w:rPr>
          <w:rFonts w:asciiTheme="minorHAnsi" w:hAnsiTheme="minorHAnsi" w:cstheme="minorHAnsi"/>
          <w:sz w:val="24"/>
          <w:lang w:val="ro-RO"/>
        </w:rPr>
        <w:t>explicație a tipurilor acestora</w:t>
      </w:r>
      <w:r w:rsidRPr="00FB0BE5">
        <w:rPr>
          <w:rFonts w:asciiTheme="minorHAnsi" w:hAnsiTheme="minorHAnsi" w:cstheme="minorHAnsi"/>
          <w:sz w:val="24"/>
          <w:lang w:val="ro-RO"/>
        </w:rPr>
        <w:t xml:space="preserve"> și o evaluare preliminară a importanței lor potențiale pentru Moldova (după caz).</w:t>
      </w:r>
    </w:p>
    <w:p w14:paraId="53E72BF2" w14:textId="77777777" w:rsidR="000552FE" w:rsidRPr="00FB0BE5" w:rsidRDefault="005861CE" w:rsidP="009538EA">
      <w:pPr>
        <w:pStyle w:val="Heading3"/>
        <w:spacing w:after="120"/>
      </w:pPr>
      <w:bookmarkStart w:id="3" w:name="_Toc498455205"/>
      <w:r w:rsidRPr="00FB0BE5">
        <w:t>Tabelul 1</w:t>
      </w:r>
      <w:r w:rsidR="00FF1B32" w:rsidRPr="00FB0BE5">
        <w:t>.</w:t>
      </w:r>
      <w:r w:rsidRPr="00FB0BE5">
        <w:t xml:space="preserve"> Riscuri bugetar-fiscale explicite</w:t>
      </w:r>
      <w:bookmarkEnd w:id="3"/>
    </w:p>
    <w:tbl>
      <w:tblPr>
        <w:tblW w:w="5000" w:type="pct"/>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4A0" w:firstRow="1" w:lastRow="0" w:firstColumn="1" w:lastColumn="0" w:noHBand="0" w:noVBand="1"/>
      </w:tblPr>
      <w:tblGrid>
        <w:gridCol w:w="1786"/>
        <w:gridCol w:w="5013"/>
        <w:gridCol w:w="1127"/>
        <w:gridCol w:w="1134"/>
      </w:tblGrid>
      <w:tr w:rsidR="00817CA1" w:rsidRPr="00FB0BE5" w14:paraId="25C2336A" w14:textId="77777777" w:rsidTr="00EB464E">
        <w:tc>
          <w:tcPr>
            <w:tcW w:w="974" w:type="pct"/>
            <w:tcBorders>
              <w:bottom w:val="single" w:sz="12" w:space="0" w:color="F4B083"/>
            </w:tcBorders>
            <w:shd w:val="clear" w:color="auto" w:fill="auto"/>
          </w:tcPr>
          <w:p w14:paraId="668DB4A9" w14:textId="77777777" w:rsidR="00817CA1" w:rsidRPr="00FB0BE5" w:rsidRDefault="005861CE" w:rsidP="00082D4A">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Risc</w:t>
            </w:r>
          </w:p>
        </w:tc>
        <w:tc>
          <w:tcPr>
            <w:tcW w:w="2776" w:type="pct"/>
            <w:tcBorders>
              <w:bottom w:val="single" w:sz="12" w:space="0" w:color="F4B083"/>
            </w:tcBorders>
            <w:shd w:val="clear" w:color="auto" w:fill="auto"/>
          </w:tcPr>
          <w:p w14:paraId="655897C0" w14:textId="77777777" w:rsidR="00817CA1" w:rsidRPr="00FB0BE5" w:rsidRDefault="005861CE" w:rsidP="00082D4A">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Natura riscului</w:t>
            </w:r>
          </w:p>
        </w:tc>
        <w:tc>
          <w:tcPr>
            <w:tcW w:w="615" w:type="pct"/>
            <w:tcBorders>
              <w:bottom w:val="single" w:sz="12" w:space="0" w:color="F4B083"/>
            </w:tcBorders>
            <w:shd w:val="clear" w:color="auto" w:fill="auto"/>
          </w:tcPr>
          <w:p w14:paraId="12C29138" w14:textId="77777777" w:rsidR="00817CA1" w:rsidRPr="00FB0BE5" w:rsidRDefault="005861CE" w:rsidP="00082D4A">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Impactul potențial</w:t>
            </w:r>
          </w:p>
        </w:tc>
        <w:tc>
          <w:tcPr>
            <w:tcW w:w="635" w:type="pct"/>
            <w:tcBorders>
              <w:bottom w:val="single" w:sz="12" w:space="0" w:color="F4B083"/>
            </w:tcBorders>
            <w:shd w:val="clear" w:color="auto" w:fill="auto"/>
          </w:tcPr>
          <w:p w14:paraId="4D49DD78" w14:textId="77777777" w:rsidR="00817CA1" w:rsidRPr="00FB0BE5" w:rsidRDefault="005861CE" w:rsidP="00DF4D2C">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Probabi-litatea</w:t>
            </w:r>
          </w:p>
        </w:tc>
      </w:tr>
      <w:tr w:rsidR="00817CA1" w:rsidRPr="00FB0BE5" w14:paraId="6EB6D391" w14:textId="77777777" w:rsidTr="00EB464E">
        <w:tc>
          <w:tcPr>
            <w:tcW w:w="974" w:type="pct"/>
            <w:shd w:val="clear" w:color="auto" w:fill="auto"/>
          </w:tcPr>
          <w:p w14:paraId="263B35C9" w14:textId="77777777" w:rsidR="00817CA1" w:rsidRPr="00FB0BE5" w:rsidRDefault="005861CE" w:rsidP="00863E65">
            <w:pPr>
              <w:rPr>
                <w:rFonts w:asciiTheme="minorHAnsi" w:eastAsia="SimSun" w:hAnsiTheme="minorHAnsi" w:cstheme="minorHAnsi"/>
                <w:b/>
                <w:bCs/>
              </w:rPr>
            </w:pPr>
            <w:r w:rsidRPr="00FB0BE5">
              <w:rPr>
                <w:rFonts w:asciiTheme="minorHAnsi" w:hAnsiTheme="minorHAnsi" w:cstheme="minorHAnsi"/>
                <w:b/>
                <w:sz w:val="22"/>
                <w:szCs w:val="22"/>
              </w:rPr>
              <w:t xml:space="preserve">Șocuri macroeconomice </w:t>
            </w:r>
          </w:p>
        </w:tc>
        <w:tc>
          <w:tcPr>
            <w:tcW w:w="2776" w:type="pct"/>
            <w:shd w:val="clear" w:color="auto" w:fill="auto"/>
          </w:tcPr>
          <w:p w14:paraId="488B3669" w14:textId="77777777" w:rsidR="00817CA1" w:rsidRPr="00FB0BE5" w:rsidRDefault="005861CE" w:rsidP="00783363">
            <w:pPr>
              <w:rPr>
                <w:rFonts w:asciiTheme="minorHAnsi" w:eastAsia="SimSun" w:hAnsiTheme="minorHAnsi" w:cstheme="minorHAnsi"/>
              </w:rPr>
            </w:pPr>
            <w:r w:rsidRPr="00FB0BE5">
              <w:rPr>
                <w:rFonts w:asciiTheme="minorHAnsi" w:hAnsiTheme="minorHAnsi" w:cstheme="minorHAnsi"/>
                <w:sz w:val="22"/>
                <w:szCs w:val="22"/>
              </w:rPr>
              <w:t xml:space="preserve">Evoluții macroeconomice neprevăzute, care modifică perspectivele de creștere economică și alterează poziția financiară </w:t>
            </w:r>
          </w:p>
        </w:tc>
        <w:tc>
          <w:tcPr>
            <w:tcW w:w="615" w:type="pct"/>
            <w:shd w:val="clear" w:color="auto" w:fill="auto"/>
          </w:tcPr>
          <w:p w14:paraId="1FB3448C" w14:textId="77777777" w:rsidR="00817CA1" w:rsidRPr="00FB0BE5" w:rsidRDefault="005861CE" w:rsidP="00863E65">
            <w:pPr>
              <w:rPr>
                <w:rFonts w:asciiTheme="minorHAnsi" w:eastAsia="SimSun" w:hAnsiTheme="minorHAnsi" w:cstheme="minorHAnsi"/>
              </w:rPr>
            </w:pPr>
            <w:r w:rsidRPr="00FB0BE5">
              <w:rPr>
                <w:rFonts w:asciiTheme="minorHAnsi" w:hAnsiTheme="minorHAnsi" w:cstheme="minorHAnsi"/>
                <w:sz w:val="22"/>
                <w:szCs w:val="22"/>
              </w:rPr>
              <w:t>Ridicat</w:t>
            </w:r>
          </w:p>
        </w:tc>
        <w:tc>
          <w:tcPr>
            <w:tcW w:w="635" w:type="pct"/>
            <w:shd w:val="clear" w:color="auto" w:fill="auto"/>
          </w:tcPr>
          <w:p w14:paraId="3B595FA3" w14:textId="77777777" w:rsidR="00817CA1" w:rsidRPr="00FB0BE5" w:rsidRDefault="005861CE" w:rsidP="00863E65">
            <w:pPr>
              <w:rPr>
                <w:rFonts w:asciiTheme="minorHAnsi" w:eastAsia="SimSun" w:hAnsiTheme="minorHAnsi" w:cstheme="minorHAnsi"/>
              </w:rPr>
            </w:pPr>
            <w:r w:rsidRPr="00FB0BE5">
              <w:rPr>
                <w:rFonts w:asciiTheme="minorHAnsi" w:hAnsiTheme="minorHAnsi" w:cstheme="minorHAnsi"/>
                <w:sz w:val="22"/>
                <w:szCs w:val="22"/>
              </w:rPr>
              <w:t>Ridicată</w:t>
            </w:r>
          </w:p>
        </w:tc>
      </w:tr>
      <w:tr w:rsidR="00817CA1" w:rsidRPr="00FB0BE5" w14:paraId="58CC170C" w14:textId="77777777" w:rsidTr="00EB464E">
        <w:tc>
          <w:tcPr>
            <w:tcW w:w="974" w:type="pct"/>
            <w:shd w:val="clear" w:color="auto" w:fill="auto"/>
          </w:tcPr>
          <w:p w14:paraId="76DF5C55" w14:textId="77777777" w:rsidR="00817CA1" w:rsidRPr="00FB0BE5" w:rsidRDefault="005861CE" w:rsidP="00863E65">
            <w:pPr>
              <w:rPr>
                <w:rFonts w:asciiTheme="minorHAnsi" w:eastAsia="SimSun" w:hAnsiTheme="minorHAnsi" w:cstheme="minorHAnsi"/>
                <w:b/>
                <w:bCs/>
              </w:rPr>
            </w:pPr>
            <w:r w:rsidRPr="00FB0BE5">
              <w:rPr>
                <w:rFonts w:asciiTheme="minorHAnsi" w:hAnsiTheme="minorHAnsi" w:cstheme="minorHAnsi"/>
                <w:b/>
                <w:sz w:val="22"/>
                <w:szCs w:val="22"/>
              </w:rPr>
              <w:t>Estimarea veniturilor</w:t>
            </w:r>
          </w:p>
        </w:tc>
        <w:tc>
          <w:tcPr>
            <w:tcW w:w="2776" w:type="pct"/>
            <w:shd w:val="clear" w:color="auto" w:fill="auto"/>
          </w:tcPr>
          <w:p w14:paraId="71E6100D" w14:textId="77777777" w:rsidR="004D158B" w:rsidRPr="00FB0BE5" w:rsidRDefault="005861CE" w:rsidP="007565B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 xml:space="preserve">Nerealizarea veniturilor </w:t>
            </w:r>
            <w:r w:rsidR="004D12C2" w:rsidRPr="00FB0BE5">
              <w:rPr>
                <w:rFonts w:asciiTheme="minorHAnsi" w:hAnsiTheme="minorHAnsi" w:cstheme="minorHAnsi"/>
                <w:sz w:val="22"/>
                <w:szCs w:val="22"/>
              </w:rPr>
              <w:t>planificate deteriorează</w:t>
            </w:r>
            <w:r w:rsidRPr="00FB0BE5">
              <w:rPr>
                <w:rFonts w:asciiTheme="minorHAnsi" w:hAnsiTheme="minorHAnsi" w:cstheme="minorHAnsi"/>
                <w:sz w:val="22"/>
                <w:szCs w:val="22"/>
              </w:rPr>
              <w:t xml:space="preserve"> soldul bugetar</w:t>
            </w:r>
          </w:p>
        </w:tc>
        <w:tc>
          <w:tcPr>
            <w:tcW w:w="615" w:type="pct"/>
            <w:shd w:val="clear" w:color="auto" w:fill="auto"/>
          </w:tcPr>
          <w:p w14:paraId="2202C793" w14:textId="77777777"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Mediu</w:t>
            </w:r>
          </w:p>
        </w:tc>
        <w:tc>
          <w:tcPr>
            <w:tcW w:w="635" w:type="pct"/>
            <w:shd w:val="clear" w:color="auto" w:fill="auto"/>
          </w:tcPr>
          <w:p w14:paraId="5FAF07D3" w14:textId="77777777"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Ridicată</w:t>
            </w:r>
          </w:p>
        </w:tc>
      </w:tr>
      <w:tr w:rsidR="00817CA1" w:rsidRPr="00FB0BE5" w14:paraId="12B1EF3D" w14:textId="77777777" w:rsidTr="00EB464E">
        <w:tc>
          <w:tcPr>
            <w:tcW w:w="974" w:type="pct"/>
            <w:shd w:val="clear" w:color="auto" w:fill="auto"/>
          </w:tcPr>
          <w:p w14:paraId="289D08B1" w14:textId="77777777" w:rsidR="00817CA1" w:rsidRPr="00FB0BE5" w:rsidRDefault="005861CE" w:rsidP="00863E65">
            <w:pPr>
              <w:tabs>
                <w:tab w:val="center" w:pos="4536"/>
                <w:tab w:val="right" w:pos="9072"/>
              </w:tabs>
              <w:rPr>
                <w:rFonts w:asciiTheme="minorHAnsi" w:eastAsia="SimSun" w:hAnsiTheme="minorHAnsi" w:cstheme="minorHAnsi"/>
                <w:b/>
                <w:bCs/>
              </w:rPr>
            </w:pPr>
            <w:r w:rsidRPr="00FB0BE5">
              <w:rPr>
                <w:rFonts w:asciiTheme="minorHAnsi" w:hAnsiTheme="minorHAnsi" w:cstheme="minorHAnsi"/>
                <w:b/>
                <w:sz w:val="22"/>
                <w:szCs w:val="22"/>
              </w:rPr>
              <w:t>Cheltuieli neprevăzute</w:t>
            </w:r>
          </w:p>
        </w:tc>
        <w:tc>
          <w:tcPr>
            <w:tcW w:w="2776" w:type="pct"/>
            <w:shd w:val="clear" w:color="auto" w:fill="auto"/>
          </w:tcPr>
          <w:p w14:paraId="2B634645" w14:textId="77777777" w:rsidR="004D158B" w:rsidRPr="00FB0BE5" w:rsidRDefault="005861CE" w:rsidP="00332979">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Obligațiile legale sau presiunile politice duc la ajustarea cheltuielilor și deteriorarea soldului bugetar</w:t>
            </w:r>
          </w:p>
        </w:tc>
        <w:tc>
          <w:tcPr>
            <w:tcW w:w="615" w:type="pct"/>
            <w:shd w:val="clear" w:color="auto" w:fill="auto"/>
          </w:tcPr>
          <w:p w14:paraId="1A8B81FC" w14:textId="77777777"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Mediu</w:t>
            </w:r>
          </w:p>
        </w:tc>
        <w:tc>
          <w:tcPr>
            <w:tcW w:w="635" w:type="pct"/>
            <w:shd w:val="clear" w:color="auto" w:fill="auto"/>
          </w:tcPr>
          <w:p w14:paraId="75066DDF" w14:textId="77777777" w:rsidR="00817CA1"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Ridicată</w:t>
            </w:r>
          </w:p>
        </w:tc>
      </w:tr>
      <w:tr w:rsidR="00783363" w:rsidRPr="00FB0BE5" w14:paraId="126BE97E" w14:textId="77777777" w:rsidTr="00EB464E">
        <w:tc>
          <w:tcPr>
            <w:tcW w:w="974" w:type="pct"/>
            <w:shd w:val="clear" w:color="auto" w:fill="auto"/>
          </w:tcPr>
          <w:p w14:paraId="4F33A7F0" w14:textId="77777777" w:rsidR="004D158B" w:rsidRPr="00FB0BE5" w:rsidRDefault="005861CE" w:rsidP="00CC63F0">
            <w:pPr>
              <w:tabs>
                <w:tab w:val="center" w:pos="4536"/>
                <w:tab w:val="right" w:pos="9072"/>
              </w:tabs>
              <w:rPr>
                <w:rFonts w:asciiTheme="minorHAnsi" w:eastAsia="SimSun" w:hAnsiTheme="minorHAnsi" w:cstheme="minorHAnsi"/>
                <w:b/>
                <w:bCs/>
              </w:rPr>
            </w:pPr>
            <w:r w:rsidRPr="00FB0BE5">
              <w:rPr>
                <w:rFonts w:asciiTheme="minorHAnsi" w:hAnsiTheme="minorHAnsi" w:cstheme="minorHAnsi"/>
                <w:b/>
                <w:sz w:val="22"/>
                <w:szCs w:val="22"/>
              </w:rPr>
              <w:t>Expunerea la datorie a sectorului public</w:t>
            </w:r>
          </w:p>
        </w:tc>
        <w:tc>
          <w:tcPr>
            <w:tcW w:w="2776" w:type="pct"/>
            <w:shd w:val="clear" w:color="auto" w:fill="auto"/>
          </w:tcPr>
          <w:p w14:paraId="0BBE858C" w14:textId="77777777" w:rsidR="004D158B" w:rsidRPr="00FB0BE5" w:rsidRDefault="005861CE" w:rsidP="00332979">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Evoluțiile neprevăzute ale pieței, modificările ratelor dobânzii sau ale cursului de schimb duc la creșterea datoriei și a costurilor asociate deservirii acesteia</w:t>
            </w:r>
          </w:p>
        </w:tc>
        <w:tc>
          <w:tcPr>
            <w:tcW w:w="615" w:type="pct"/>
            <w:shd w:val="clear" w:color="auto" w:fill="auto"/>
          </w:tcPr>
          <w:p w14:paraId="2715F9CB" w14:textId="77777777" w:rsidR="00783363"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Mediu</w:t>
            </w:r>
          </w:p>
        </w:tc>
        <w:tc>
          <w:tcPr>
            <w:tcW w:w="635" w:type="pct"/>
            <w:shd w:val="clear" w:color="auto" w:fill="auto"/>
          </w:tcPr>
          <w:p w14:paraId="111CA17D" w14:textId="77777777" w:rsidR="00783363" w:rsidRPr="00FB0BE5" w:rsidRDefault="005861CE" w:rsidP="00863E65">
            <w:pPr>
              <w:tabs>
                <w:tab w:val="center" w:pos="4536"/>
                <w:tab w:val="right" w:pos="9072"/>
              </w:tabs>
              <w:rPr>
                <w:rFonts w:asciiTheme="minorHAnsi" w:eastAsia="SimSun" w:hAnsiTheme="minorHAnsi" w:cstheme="minorHAnsi"/>
              </w:rPr>
            </w:pPr>
            <w:r w:rsidRPr="00FB0BE5">
              <w:rPr>
                <w:rFonts w:asciiTheme="minorHAnsi" w:hAnsiTheme="minorHAnsi" w:cstheme="minorHAnsi"/>
                <w:sz w:val="22"/>
                <w:szCs w:val="22"/>
              </w:rPr>
              <w:t>Ridicată</w:t>
            </w:r>
          </w:p>
        </w:tc>
      </w:tr>
    </w:tbl>
    <w:p w14:paraId="50E93946" w14:textId="77777777" w:rsidR="00647379" w:rsidRPr="00FB0BE5" w:rsidRDefault="005861CE" w:rsidP="009D305C">
      <w:pPr>
        <w:spacing w:after="240"/>
        <w:ind w:firstLine="567"/>
        <w:jc w:val="both"/>
        <w:rPr>
          <w:rFonts w:asciiTheme="minorHAnsi" w:hAnsiTheme="minorHAnsi" w:cstheme="minorHAnsi"/>
        </w:rPr>
      </w:pPr>
      <w:r w:rsidRPr="00FB0BE5">
        <w:rPr>
          <w:rFonts w:asciiTheme="minorHAnsi" w:hAnsiTheme="minorHAnsi" w:cstheme="minorHAnsi"/>
        </w:rPr>
        <w:lastRenderedPageBreak/>
        <w:t xml:space="preserve">În afară de riscurile explicite, </w:t>
      </w:r>
      <w:r w:rsidR="00013E25" w:rsidRPr="00FB0BE5">
        <w:rPr>
          <w:rFonts w:asciiTheme="minorHAnsi" w:hAnsiTheme="minorHAnsi" w:cstheme="minorHAnsi"/>
        </w:rPr>
        <w:t>bugetul poate fi</w:t>
      </w:r>
      <w:r w:rsidRPr="00FB0BE5">
        <w:rPr>
          <w:rFonts w:asciiTheme="minorHAnsi" w:hAnsiTheme="minorHAnsi" w:cstheme="minorHAnsi"/>
        </w:rPr>
        <w:t xml:space="preserve"> expus</w:t>
      </w:r>
      <w:r w:rsidR="00013E25" w:rsidRPr="00FB0BE5">
        <w:rPr>
          <w:rFonts w:asciiTheme="minorHAnsi" w:hAnsiTheme="minorHAnsi" w:cstheme="minorHAnsi"/>
        </w:rPr>
        <w:t xml:space="preserve"> și</w:t>
      </w:r>
      <w:r w:rsidRPr="00FB0BE5">
        <w:rPr>
          <w:rFonts w:asciiTheme="minorHAnsi" w:hAnsiTheme="minorHAnsi" w:cstheme="minorHAnsi"/>
        </w:rPr>
        <w:t xml:space="preserve"> unor riscuri implicite care se prezintă mai jos.</w:t>
      </w:r>
    </w:p>
    <w:p w14:paraId="1E471C9B" w14:textId="77777777" w:rsidR="00DF4D2C" w:rsidRPr="00166A39" w:rsidRDefault="005861CE" w:rsidP="009538EA">
      <w:pPr>
        <w:pStyle w:val="Heading3"/>
        <w:spacing w:after="120"/>
        <w:rPr>
          <w:rFonts w:asciiTheme="minorHAnsi" w:hAnsiTheme="minorHAnsi" w:cstheme="minorHAnsi"/>
        </w:rPr>
      </w:pPr>
      <w:bookmarkStart w:id="4" w:name="_Toc498455206"/>
      <w:r w:rsidRPr="00166A39">
        <w:rPr>
          <w:rFonts w:asciiTheme="minorHAnsi" w:hAnsiTheme="minorHAnsi" w:cstheme="minorHAnsi"/>
        </w:rPr>
        <w:t>Tabelul 2</w:t>
      </w:r>
      <w:r w:rsidR="00FF1B32" w:rsidRPr="00166A39">
        <w:rPr>
          <w:rFonts w:asciiTheme="minorHAnsi" w:hAnsiTheme="minorHAnsi" w:cstheme="minorHAnsi"/>
        </w:rPr>
        <w:t>.</w:t>
      </w:r>
      <w:r w:rsidRPr="00166A39">
        <w:rPr>
          <w:rFonts w:asciiTheme="minorHAnsi" w:hAnsiTheme="minorHAnsi" w:cstheme="minorHAnsi"/>
        </w:rPr>
        <w:t xml:space="preserve"> Riscuri </w:t>
      </w:r>
      <w:r w:rsidR="00A858C2" w:rsidRPr="00166A39">
        <w:rPr>
          <w:rFonts w:asciiTheme="minorHAnsi" w:hAnsiTheme="minorHAnsi" w:cstheme="minorHAnsi"/>
        </w:rPr>
        <w:t>bugetar-fiscale</w:t>
      </w:r>
      <w:r w:rsidRPr="00166A39">
        <w:rPr>
          <w:rFonts w:asciiTheme="minorHAnsi" w:hAnsiTheme="minorHAnsi" w:cstheme="minorHAnsi"/>
        </w:rPr>
        <w:t xml:space="preserve"> implicite (</w:t>
      </w:r>
      <w:r w:rsidR="0059598B" w:rsidRPr="00166A39">
        <w:rPr>
          <w:rFonts w:asciiTheme="minorHAnsi" w:hAnsiTheme="minorHAnsi" w:cstheme="minorHAnsi"/>
        </w:rPr>
        <w:t xml:space="preserve">inclusiv </w:t>
      </w:r>
      <w:r w:rsidRPr="00166A39">
        <w:rPr>
          <w:rFonts w:asciiTheme="minorHAnsi" w:hAnsiTheme="minorHAnsi" w:cstheme="minorHAnsi"/>
        </w:rPr>
        <w:t>obligații contingente)*</w:t>
      </w:r>
      <w:bookmarkEnd w:id="4"/>
    </w:p>
    <w:tbl>
      <w:tblPr>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3273"/>
        <w:gridCol w:w="4577"/>
        <w:gridCol w:w="1210"/>
      </w:tblGrid>
      <w:tr w:rsidR="00C571A1" w:rsidRPr="00FB0BE5" w14:paraId="365C7C9F" w14:textId="77777777" w:rsidTr="00A858C2">
        <w:tc>
          <w:tcPr>
            <w:tcW w:w="1806" w:type="pct"/>
          </w:tcPr>
          <w:p w14:paraId="2921288C" w14:textId="77777777" w:rsidR="00C571A1" w:rsidRPr="00FB0BE5" w:rsidRDefault="005861CE" w:rsidP="00863E65">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Risc</w:t>
            </w:r>
          </w:p>
        </w:tc>
        <w:tc>
          <w:tcPr>
            <w:tcW w:w="2526" w:type="pct"/>
          </w:tcPr>
          <w:p w14:paraId="781D4C36" w14:textId="77777777" w:rsidR="00C571A1" w:rsidRPr="00FB0BE5" w:rsidRDefault="005861CE" w:rsidP="00863E65">
            <w:pPr>
              <w:jc w:val="center"/>
              <w:rPr>
                <w:rFonts w:asciiTheme="minorHAnsi" w:eastAsia="SimSun" w:hAnsiTheme="minorHAnsi" w:cstheme="minorHAnsi"/>
                <w:b/>
                <w:bCs/>
                <w:color w:val="548DD4" w:themeColor="text2" w:themeTint="99"/>
              </w:rPr>
            </w:pPr>
            <w:r w:rsidRPr="00FB0BE5">
              <w:rPr>
                <w:rFonts w:asciiTheme="minorHAnsi" w:hAnsiTheme="minorHAnsi" w:cstheme="minorHAnsi"/>
                <w:b/>
                <w:color w:val="548DD4" w:themeColor="text2" w:themeTint="99"/>
              </w:rPr>
              <w:t>Natura riscului</w:t>
            </w:r>
          </w:p>
        </w:tc>
        <w:tc>
          <w:tcPr>
            <w:tcW w:w="668" w:type="pct"/>
          </w:tcPr>
          <w:p w14:paraId="1701AD27" w14:textId="77777777" w:rsidR="00C571A1" w:rsidRPr="00FB0BE5" w:rsidRDefault="005861CE" w:rsidP="00C571A1">
            <w:pPr>
              <w:jc w:val="center"/>
              <w:rPr>
                <w:rFonts w:asciiTheme="minorHAnsi" w:hAnsiTheme="minorHAnsi" w:cstheme="minorHAnsi"/>
                <w:b/>
                <w:color w:val="548DD4" w:themeColor="text2" w:themeTint="99"/>
              </w:rPr>
            </w:pPr>
            <w:r w:rsidRPr="00FB0BE5">
              <w:rPr>
                <w:rFonts w:asciiTheme="minorHAnsi" w:hAnsiTheme="minorHAnsi" w:cstheme="minorHAnsi"/>
                <w:b/>
                <w:color w:val="548DD4" w:themeColor="text2" w:themeTint="99"/>
              </w:rPr>
              <w:t>Impactul potențial</w:t>
            </w:r>
          </w:p>
        </w:tc>
      </w:tr>
      <w:tr w:rsidR="00104FB1" w:rsidRPr="00FB0BE5" w14:paraId="566E127B" w14:textId="77777777" w:rsidTr="00A858C2">
        <w:tc>
          <w:tcPr>
            <w:tcW w:w="1806" w:type="pct"/>
          </w:tcPr>
          <w:p w14:paraId="1525B63B" w14:textId="77777777"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Insolvența întreprinderilor de stat</w:t>
            </w:r>
            <w:r w:rsidR="00610029" w:rsidRPr="00FB0BE5">
              <w:rPr>
                <w:rFonts w:asciiTheme="minorHAnsi" w:hAnsiTheme="minorHAnsi" w:cstheme="minorHAnsi"/>
                <w:b/>
              </w:rPr>
              <w:t xml:space="preserve"> și societăților comerciale cu capital integral sau majoritar de stat</w:t>
            </w:r>
          </w:p>
        </w:tc>
        <w:tc>
          <w:tcPr>
            <w:tcW w:w="2526" w:type="pct"/>
          </w:tcPr>
          <w:p w14:paraId="62CCC06F" w14:textId="77777777" w:rsidR="00104FB1" w:rsidRPr="00FB0BE5" w:rsidRDefault="005861CE" w:rsidP="009D305C">
            <w:pPr>
              <w:rPr>
                <w:rFonts w:asciiTheme="minorHAnsi" w:eastAsia="SimSun" w:hAnsiTheme="minorHAnsi" w:cstheme="minorHAnsi"/>
              </w:rPr>
            </w:pPr>
            <w:r w:rsidRPr="00FB0BE5">
              <w:rPr>
                <w:rFonts w:asciiTheme="minorHAnsi" w:hAnsiTheme="minorHAnsi" w:cstheme="minorHAnsi"/>
              </w:rPr>
              <w:t xml:space="preserve">Guvernul este obligat să salveze întreprinderile de stat </w:t>
            </w:r>
            <w:r w:rsidR="008F4350" w:rsidRPr="00FB0BE5">
              <w:rPr>
                <w:rFonts w:asciiTheme="minorHAnsi" w:hAnsiTheme="minorHAnsi" w:cstheme="minorHAnsi"/>
              </w:rPr>
              <w:t>ș</w:t>
            </w:r>
            <w:r w:rsidRPr="00FB0BE5">
              <w:rPr>
                <w:rFonts w:asciiTheme="minorHAnsi" w:hAnsiTheme="minorHAnsi" w:cstheme="minorHAnsi"/>
              </w:rPr>
              <w:t xml:space="preserve">i </w:t>
            </w:r>
            <w:r w:rsidR="00B85746" w:rsidRPr="00FB0BE5">
              <w:rPr>
                <w:rFonts w:asciiTheme="minorHAnsi" w:hAnsiTheme="minorHAnsi" w:cstheme="minorHAnsi"/>
              </w:rPr>
              <w:t>societățile</w:t>
            </w:r>
            <w:r w:rsidRPr="00FB0BE5">
              <w:rPr>
                <w:rFonts w:asciiTheme="minorHAnsi" w:hAnsiTheme="minorHAnsi" w:cstheme="minorHAnsi"/>
              </w:rPr>
              <w:t xml:space="preserve"> pe </w:t>
            </w:r>
            <w:r w:rsidR="00B85746" w:rsidRPr="00FB0BE5">
              <w:rPr>
                <w:rFonts w:asciiTheme="minorHAnsi" w:hAnsiTheme="minorHAnsi" w:cstheme="minorHAnsi"/>
              </w:rPr>
              <w:t>acțiuni</w:t>
            </w:r>
            <w:r w:rsidRPr="00FB0BE5">
              <w:rPr>
                <w:rFonts w:asciiTheme="minorHAnsi" w:hAnsiTheme="minorHAnsi" w:cstheme="minorHAnsi"/>
              </w:rPr>
              <w:t xml:space="preserve"> cu cota </w:t>
            </w:r>
            <w:r w:rsidR="00DB739C" w:rsidRPr="00FB0BE5">
              <w:rPr>
                <w:rFonts w:asciiTheme="minorHAnsi" w:hAnsiTheme="minorHAnsi" w:cstheme="minorHAnsi"/>
              </w:rPr>
              <w:t>statului aflate</w:t>
            </w:r>
            <w:r w:rsidRPr="00FB0BE5">
              <w:rPr>
                <w:rFonts w:asciiTheme="minorHAnsi" w:hAnsiTheme="minorHAnsi" w:cstheme="minorHAnsi"/>
              </w:rPr>
              <w:t xml:space="preserve"> în insolvență</w:t>
            </w:r>
          </w:p>
        </w:tc>
        <w:tc>
          <w:tcPr>
            <w:tcW w:w="668" w:type="pct"/>
          </w:tcPr>
          <w:p w14:paraId="63FF5BB5" w14:textId="77777777"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Ridicat</w:t>
            </w:r>
          </w:p>
        </w:tc>
      </w:tr>
      <w:tr w:rsidR="00104FB1" w:rsidRPr="00FB0BE5" w14:paraId="7F8D877F" w14:textId="77777777" w:rsidTr="00A858C2">
        <w:tc>
          <w:tcPr>
            <w:tcW w:w="1806" w:type="pct"/>
          </w:tcPr>
          <w:p w14:paraId="57C7EFD2" w14:textId="77777777"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Insolvența sectorul financiar</w:t>
            </w:r>
          </w:p>
        </w:tc>
        <w:tc>
          <w:tcPr>
            <w:tcW w:w="2526" w:type="pct"/>
          </w:tcPr>
          <w:p w14:paraId="2C481DC9" w14:textId="77777777"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Guvernul este obligat să salveze băncile ce prezintă importanță sistemică, aflate în insolvență</w:t>
            </w:r>
          </w:p>
        </w:tc>
        <w:tc>
          <w:tcPr>
            <w:tcW w:w="668" w:type="pct"/>
          </w:tcPr>
          <w:p w14:paraId="65AB8155" w14:textId="77777777"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Ridicat</w:t>
            </w:r>
          </w:p>
        </w:tc>
      </w:tr>
      <w:tr w:rsidR="00104FB1" w:rsidRPr="00FB0BE5" w14:paraId="71CC9CFB" w14:textId="77777777" w:rsidTr="00A858C2">
        <w:tc>
          <w:tcPr>
            <w:tcW w:w="1806" w:type="pct"/>
          </w:tcPr>
          <w:p w14:paraId="7394095F" w14:textId="77777777"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Transferuri majorate către autoritățile locale</w:t>
            </w:r>
          </w:p>
        </w:tc>
        <w:tc>
          <w:tcPr>
            <w:tcW w:w="2526" w:type="pct"/>
          </w:tcPr>
          <w:p w14:paraId="113873A1" w14:textId="77777777"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Transferurile către autoritățile locale trebuie majorate pentru a se asigura prestarea serviciilor</w:t>
            </w:r>
          </w:p>
        </w:tc>
        <w:tc>
          <w:tcPr>
            <w:tcW w:w="668" w:type="pct"/>
          </w:tcPr>
          <w:p w14:paraId="3DB8B38A" w14:textId="77777777" w:rsidR="00E95051" w:rsidRPr="00FB0BE5" w:rsidRDefault="00A858C2">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r w:rsidR="00104FB1" w:rsidRPr="00FB0BE5" w14:paraId="4F3EF2E0" w14:textId="77777777" w:rsidTr="00A858C2">
        <w:tc>
          <w:tcPr>
            <w:tcW w:w="1806" w:type="pct"/>
          </w:tcPr>
          <w:p w14:paraId="51AF3FF2" w14:textId="77777777"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Plăți în cadrul parteneriatului public-privat</w:t>
            </w:r>
            <w:r w:rsidR="008F4350" w:rsidRPr="00FB0BE5">
              <w:rPr>
                <w:rFonts w:asciiTheme="minorHAnsi" w:hAnsiTheme="minorHAnsi" w:cstheme="minorHAnsi"/>
                <w:b/>
              </w:rPr>
              <w:t xml:space="preserve"> (PPP)</w:t>
            </w:r>
          </w:p>
        </w:tc>
        <w:tc>
          <w:tcPr>
            <w:tcW w:w="2526" w:type="pct"/>
          </w:tcPr>
          <w:p w14:paraId="4B34FD02" w14:textId="77777777"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Plățile aferente PPP-urilor sunt mai mari decât se anticipase și decât sumele prevăzute</w:t>
            </w:r>
          </w:p>
        </w:tc>
        <w:tc>
          <w:tcPr>
            <w:tcW w:w="668" w:type="pct"/>
          </w:tcPr>
          <w:p w14:paraId="4ADB0440" w14:textId="77777777" w:rsidR="00104FB1" w:rsidRPr="00FB0BE5" w:rsidRDefault="00A858C2" w:rsidP="00863E65">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r w:rsidR="00104FB1" w:rsidRPr="00FB0BE5" w14:paraId="3AD4635F" w14:textId="77777777" w:rsidTr="00A858C2">
        <w:tc>
          <w:tcPr>
            <w:tcW w:w="1806" w:type="pct"/>
          </w:tcPr>
          <w:p w14:paraId="3CF85D3B" w14:textId="77777777"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Executarea garanțiilor acordate de stat</w:t>
            </w:r>
            <w:r w:rsidR="00816238" w:rsidRPr="00FB0BE5">
              <w:rPr>
                <w:rFonts w:asciiTheme="minorHAnsi" w:hAnsiTheme="minorHAnsi" w:cstheme="minorHAnsi"/>
                <w:i/>
              </w:rPr>
              <w:t xml:space="preserve">(cu </w:t>
            </w:r>
            <w:r w:rsidR="00863A90" w:rsidRPr="00FB0BE5">
              <w:rPr>
                <w:rFonts w:asciiTheme="minorHAnsi" w:hAnsiTheme="minorHAnsi" w:cstheme="minorHAnsi"/>
                <w:i/>
              </w:rPr>
              <w:t>excepția</w:t>
            </w:r>
            <w:r w:rsidR="00816238" w:rsidRPr="00FB0BE5">
              <w:rPr>
                <w:rFonts w:asciiTheme="minorHAnsi" w:hAnsiTheme="minorHAnsi" w:cstheme="minorHAnsi"/>
                <w:i/>
              </w:rPr>
              <w:t xml:space="preserve"> sectorului financiar)</w:t>
            </w:r>
          </w:p>
        </w:tc>
        <w:tc>
          <w:tcPr>
            <w:tcW w:w="2526" w:type="pct"/>
          </w:tcPr>
          <w:p w14:paraId="1F1D82D1" w14:textId="77777777"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Guvernul este obligat să efectueze plăți în cadrul garanțiilor de stat acordate</w:t>
            </w:r>
          </w:p>
        </w:tc>
        <w:tc>
          <w:tcPr>
            <w:tcW w:w="668" w:type="pct"/>
          </w:tcPr>
          <w:p w14:paraId="4A30525C" w14:textId="77777777" w:rsidR="00104FB1" w:rsidRPr="00FB0BE5" w:rsidRDefault="00A858C2" w:rsidP="00863E65">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r w:rsidR="00104FB1" w:rsidRPr="00FB0BE5" w14:paraId="46A87627" w14:textId="77777777" w:rsidTr="00A858C2">
        <w:tc>
          <w:tcPr>
            <w:tcW w:w="1806" w:type="pct"/>
          </w:tcPr>
          <w:p w14:paraId="00F50616" w14:textId="77777777" w:rsidR="00104FB1" w:rsidRPr="00FB0BE5" w:rsidRDefault="005861CE" w:rsidP="00863E65">
            <w:pPr>
              <w:rPr>
                <w:rFonts w:asciiTheme="minorHAnsi" w:eastAsia="SimSun" w:hAnsiTheme="minorHAnsi" w:cstheme="minorHAnsi"/>
                <w:b/>
                <w:bCs/>
              </w:rPr>
            </w:pPr>
            <w:r w:rsidRPr="00FB0BE5">
              <w:rPr>
                <w:rFonts w:asciiTheme="minorHAnsi" w:hAnsiTheme="minorHAnsi" w:cstheme="minorHAnsi"/>
                <w:b/>
              </w:rPr>
              <w:t>Sume insuficiente prevăzute pentru situații neprevăzute</w:t>
            </w:r>
          </w:p>
        </w:tc>
        <w:tc>
          <w:tcPr>
            <w:tcW w:w="2526" w:type="pct"/>
          </w:tcPr>
          <w:p w14:paraId="52F733E9" w14:textId="77777777" w:rsidR="00104FB1" w:rsidRPr="00FB0BE5" w:rsidRDefault="005861CE" w:rsidP="00863E65">
            <w:pPr>
              <w:rPr>
                <w:rFonts w:asciiTheme="minorHAnsi" w:eastAsia="SimSun" w:hAnsiTheme="minorHAnsi" w:cstheme="minorHAnsi"/>
              </w:rPr>
            </w:pPr>
            <w:r w:rsidRPr="00FB0BE5">
              <w:rPr>
                <w:rFonts w:asciiTheme="minorHAnsi" w:hAnsiTheme="minorHAnsi" w:cstheme="minorHAnsi"/>
              </w:rPr>
              <w:t>Hotărâri judecătorești, înțelegeri de soluționare a unor dispute, dezastre naturale, etc. generează costuri bugetare ce depășesc nivelul planificat</w:t>
            </w:r>
          </w:p>
        </w:tc>
        <w:tc>
          <w:tcPr>
            <w:tcW w:w="668" w:type="pct"/>
          </w:tcPr>
          <w:p w14:paraId="708F5B24" w14:textId="77777777" w:rsidR="00104FB1" w:rsidRPr="00FB0BE5" w:rsidRDefault="00A858C2" w:rsidP="00863E65">
            <w:pPr>
              <w:rPr>
                <w:rFonts w:asciiTheme="minorHAnsi" w:hAnsiTheme="minorHAnsi" w:cstheme="minorHAnsi"/>
              </w:rPr>
            </w:pPr>
            <w:r w:rsidRPr="00FB0BE5">
              <w:rPr>
                <w:rFonts w:asciiTheme="minorHAnsi" w:hAnsiTheme="minorHAnsi" w:cstheme="minorHAnsi"/>
              </w:rPr>
              <w:t>R</w:t>
            </w:r>
            <w:r w:rsidR="00945700" w:rsidRPr="00FB0BE5">
              <w:rPr>
                <w:rFonts w:asciiTheme="minorHAnsi" w:hAnsiTheme="minorHAnsi" w:cstheme="minorHAnsi"/>
              </w:rPr>
              <w:t>edus</w:t>
            </w:r>
          </w:p>
        </w:tc>
      </w:tr>
    </w:tbl>
    <w:p w14:paraId="47C99C98" w14:textId="77777777" w:rsidR="00CF75C6" w:rsidRPr="00FB0BE5" w:rsidRDefault="005861CE" w:rsidP="00A858C2">
      <w:pPr>
        <w:ind w:firstLine="567"/>
        <w:jc w:val="both"/>
        <w:rPr>
          <w:rFonts w:asciiTheme="minorHAnsi" w:hAnsiTheme="minorHAnsi" w:cstheme="minorHAnsi"/>
          <w:i/>
          <w:sz w:val="20"/>
        </w:rPr>
      </w:pPr>
      <w:r w:rsidRPr="00FB0BE5">
        <w:rPr>
          <w:rFonts w:asciiTheme="minorHAnsi" w:hAnsiTheme="minorHAnsi" w:cstheme="minorHAnsi"/>
          <w:i/>
          <w:sz w:val="20"/>
        </w:rPr>
        <w:t>*</w:t>
      </w:r>
      <w:r w:rsidRPr="00FB0BE5">
        <w:rPr>
          <w:rFonts w:asciiTheme="minorHAnsi" w:hAnsiTheme="minorHAnsi" w:cstheme="minorHAnsi"/>
          <w:i/>
          <w:sz w:val="20"/>
          <w:u w:val="single"/>
        </w:rPr>
        <w:t>Notă</w:t>
      </w:r>
      <w:r w:rsidRPr="00FB0BE5">
        <w:rPr>
          <w:rFonts w:asciiTheme="minorHAnsi" w:hAnsiTheme="minorHAnsi" w:cstheme="minorHAnsi"/>
          <w:i/>
          <w:sz w:val="20"/>
        </w:rPr>
        <w:t xml:space="preserve">. În cazul riscurilor implicite este dificil de a estima probabilitatea producerii riscului, deoarece datele disponibile în unele cazuri </w:t>
      </w:r>
      <w:r w:rsidR="00A858C2" w:rsidRPr="00FB0BE5">
        <w:rPr>
          <w:rFonts w:asciiTheme="minorHAnsi" w:hAnsiTheme="minorHAnsi" w:cstheme="minorHAnsi"/>
          <w:i/>
          <w:sz w:val="20"/>
        </w:rPr>
        <w:t>sunt</w:t>
      </w:r>
      <w:r w:rsidRPr="00FB0BE5">
        <w:rPr>
          <w:rFonts w:asciiTheme="minorHAnsi" w:hAnsiTheme="minorHAnsi" w:cstheme="minorHAnsi"/>
          <w:i/>
          <w:sz w:val="20"/>
        </w:rPr>
        <w:t xml:space="preserve"> foarte limitate și/sau nu permit acest lucru</w:t>
      </w:r>
      <w:r w:rsidR="003742B2" w:rsidRPr="00FB0BE5">
        <w:rPr>
          <w:rFonts w:asciiTheme="minorHAnsi" w:hAnsiTheme="minorHAnsi" w:cstheme="minorHAnsi"/>
          <w:i/>
          <w:sz w:val="20"/>
        </w:rPr>
        <w:t>.</w:t>
      </w:r>
      <w:r w:rsidR="00B85746">
        <w:rPr>
          <w:rFonts w:asciiTheme="minorHAnsi" w:hAnsiTheme="minorHAnsi" w:cstheme="minorHAnsi"/>
          <w:i/>
          <w:sz w:val="20"/>
        </w:rPr>
        <w:t xml:space="preserve"> </w:t>
      </w:r>
      <w:r w:rsidR="008F4350" w:rsidRPr="00FB0BE5">
        <w:rPr>
          <w:rFonts w:asciiTheme="minorHAnsi" w:hAnsiTheme="minorHAnsi" w:cstheme="minorHAnsi"/>
          <w:i/>
          <w:sz w:val="20"/>
        </w:rPr>
        <w:t xml:space="preserve">Spre </w:t>
      </w:r>
      <w:r w:rsidR="003742B2" w:rsidRPr="00FB0BE5">
        <w:rPr>
          <w:rFonts w:asciiTheme="minorHAnsi" w:hAnsiTheme="minorHAnsi" w:cstheme="minorHAnsi"/>
          <w:i/>
          <w:sz w:val="20"/>
        </w:rPr>
        <w:t>deosebire de riscuri</w:t>
      </w:r>
      <w:r w:rsidR="004149DD" w:rsidRPr="00FB0BE5">
        <w:rPr>
          <w:rFonts w:asciiTheme="minorHAnsi" w:hAnsiTheme="minorHAnsi" w:cstheme="minorHAnsi"/>
          <w:i/>
          <w:sz w:val="20"/>
        </w:rPr>
        <w:t>le</w:t>
      </w:r>
      <w:r w:rsidR="003742B2" w:rsidRPr="00FB0BE5">
        <w:rPr>
          <w:rFonts w:asciiTheme="minorHAnsi" w:hAnsiTheme="minorHAnsi" w:cstheme="minorHAnsi"/>
          <w:i/>
          <w:sz w:val="20"/>
        </w:rPr>
        <w:t xml:space="preserve"> explicite, evoluțiile din trecut nu </w:t>
      </w:r>
      <w:r w:rsidR="009B0B1A" w:rsidRPr="00FB0BE5">
        <w:rPr>
          <w:rFonts w:asciiTheme="minorHAnsi" w:hAnsiTheme="minorHAnsi" w:cstheme="minorHAnsi"/>
          <w:i/>
          <w:sz w:val="20"/>
        </w:rPr>
        <w:t xml:space="preserve">oferă îndrumări relevante privind evoluțiile viitoare. </w:t>
      </w:r>
      <w:r w:rsidR="00945700" w:rsidRPr="00FB0BE5">
        <w:rPr>
          <w:rFonts w:asciiTheme="minorHAnsi" w:hAnsiTheme="minorHAnsi" w:cstheme="minorHAnsi"/>
          <w:i/>
          <w:sz w:val="20"/>
        </w:rPr>
        <w:t xml:space="preserve">De asemenea este greu de </w:t>
      </w:r>
      <w:r w:rsidR="008F4350" w:rsidRPr="00FB0BE5">
        <w:rPr>
          <w:rFonts w:asciiTheme="minorHAnsi" w:hAnsiTheme="minorHAnsi" w:cstheme="minorHAnsi"/>
          <w:i/>
          <w:sz w:val="20"/>
        </w:rPr>
        <w:t xml:space="preserve">cuantificat </w:t>
      </w:r>
      <w:r w:rsidR="001240EC" w:rsidRPr="00FB0BE5">
        <w:rPr>
          <w:rFonts w:asciiTheme="minorHAnsi" w:hAnsiTheme="minorHAnsi" w:cstheme="minorHAnsi"/>
          <w:i/>
          <w:sz w:val="20"/>
        </w:rPr>
        <w:t>numeric</w:t>
      </w:r>
      <w:r w:rsidR="00945700" w:rsidRPr="00FB0BE5">
        <w:rPr>
          <w:rFonts w:asciiTheme="minorHAnsi" w:hAnsiTheme="minorHAnsi" w:cstheme="minorHAnsi"/>
          <w:i/>
          <w:sz w:val="20"/>
        </w:rPr>
        <w:t xml:space="preserve"> impactul potențial, acesta fiind doar</w:t>
      </w:r>
      <w:r w:rsidR="008F4350" w:rsidRPr="00FB0BE5">
        <w:rPr>
          <w:rFonts w:asciiTheme="minorHAnsi" w:hAnsiTheme="minorHAnsi" w:cstheme="minorHAnsi"/>
          <w:i/>
          <w:sz w:val="20"/>
        </w:rPr>
        <w:t xml:space="preserve"> estimat</w:t>
      </w:r>
      <w:r w:rsidR="00B85746">
        <w:rPr>
          <w:rFonts w:asciiTheme="minorHAnsi" w:hAnsiTheme="minorHAnsi" w:cstheme="minorHAnsi"/>
          <w:i/>
          <w:sz w:val="20"/>
        </w:rPr>
        <w:t xml:space="preserve"> </w:t>
      </w:r>
      <w:r w:rsidR="00945700" w:rsidRPr="00FB0BE5">
        <w:rPr>
          <w:rFonts w:asciiTheme="minorHAnsi" w:hAnsiTheme="minorHAnsi" w:cstheme="minorHAnsi"/>
          <w:i/>
          <w:sz w:val="20"/>
        </w:rPr>
        <w:t>ca fiind unul ridicat, mediu sau redus.</w:t>
      </w:r>
      <w:r w:rsidR="009B0B1A" w:rsidRPr="00FB0BE5">
        <w:rPr>
          <w:rFonts w:asciiTheme="minorHAnsi" w:hAnsiTheme="minorHAnsi" w:cstheme="minorHAnsi"/>
          <w:i/>
          <w:sz w:val="20"/>
        </w:rPr>
        <w:t xml:space="preserve"> Estimarea impactului pentru riscuri</w:t>
      </w:r>
      <w:r w:rsidR="008F4350" w:rsidRPr="00FB0BE5">
        <w:rPr>
          <w:rFonts w:asciiTheme="minorHAnsi" w:hAnsiTheme="minorHAnsi" w:cstheme="minorHAnsi"/>
          <w:i/>
          <w:sz w:val="20"/>
        </w:rPr>
        <w:t>le</w:t>
      </w:r>
      <w:r w:rsidR="009B0B1A" w:rsidRPr="00FB0BE5">
        <w:rPr>
          <w:rFonts w:asciiTheme="minorHAnsi" w:hAnsiTheme="minorHAnsi" w:cstheme="minorHAnsi"/>
          <w:i/>
          <w:sz w:val="20"/>
        </w:rPr>
        <w:t xml:space="preserve"> implicite este bazată pe </w:t>
      </w:r>
      <w:r w:rsidR="004149DD" w:rsidRPr="00FB0BE5">
        <w:rPr>
          <w:rFonts w:asciiTheme="minorHAnsi" w:hAnsiTheme="minorHAnsi" w:cstheme="minorHAnsi"/>
          <w:i/>
          <w:sz w:val="20"/>
        </w:rPr>
        <w:t>aceleași</w:t>
      </w:r>
      <w:r w:rsidR="009B0B1A" w:rsidRPr="00FB0BE5">
        <w:rPr>
          <w:rFonts w:asciiTheme="minorHAnsi" w:hAnsiTheme="minorHAnsi" w:cstheme="minorHAnsi"/>
          <w:i/>
          <w:sz w:val="20"/>
        </w:rPr>
        <w:t xml:space="preserve"> criterii ca și cele explicite: jos- mai mic de 1% în PIB, mediu – 1-3% din PIB și ridicat</w:t>
      </w:r>
      <w:r w:rsidR="008F4350" w:rsidRPr="00FB0BE5">
        <w:rPr>
          <w:rFonts w:asciiTheme="minorHAnsi" w:hAnsiTheme="minorHAnsi" w:cstheme="minorHAnsi"/>
          <w:i/>
          <w:sz w:val="20"/>
        </w:rPr>
        <w:t xml:space="preserve"> -</w:t>
      </w:r>
      <w:r w:rsidR="004149DD" w:rsidRPr="00FB0BE5">
        <w:rPr>
          <w:rFonts w:asciiTheme="minorHAnsi" w:hAnsiTheme="minorHAnsi" w:cstheme="minorHAnsi"/>
          <w:i/>
          <w:sz w:val="20"/>
        </w:rPr>
        <w:t xml:space="preserve"> mai înalt de 3% din PIB.</w:t>
      </w:r>
    </w:p>
    <w:p w14:paraId="1C8958AD" w14:textId="77777777" w:rsidR="004469D9" w:rsidRPr="00FB0BE5" w:rsidRDefault="004469D9" w:rsidP="00CF75C6">
      <w:pPr>
        <w:ind w:firstLine="567"/>
        <w:rPr>
          <w:rFonts w:asciiTheme="minorHAnsi" w:hAnsiTheme="minorHAnsi" w:cstheme="minorHAnsi"/>
          <w:i/>
        </w:rPr>
      </w:pPr>
    </w:p>
    <w:p w14:paraId="5C1B9613" w14:textId="77777777" w:rsidR="004469D9" w:rsidRPr="00FB0BE5" w:rsidRDefault="004469D9" w:rsidP="00CF75C6">
      <w:pPr>
        <w:ind w:firstLine="567"/>
        <w:rPr>
          <w:rFonts w:asciiTheme="minorHAnsi" w:hAnsiTheme="minorHAnsi" w:cstheme="minorHAnsi"/>
          <w:i/>
        </w:rPr>
      </w:pPr>
    </w:p>
    <w:p w14:paraId="29593DB5" w14:textId="77777777" w:rsidR="004469D9" w:rsidRPr="00FB0BE5" w:rsidRDefault="005861CE">
      <w:pPr>
        <w:spacing w:after="200" w:line="276" w:lineRule="auto"/>
        <w:rPr>
          <w:rFonts w:asciiTheme="minorHAnsi" w:hAnsiTheme="minorHAnsi" w:cstheme="minorHAnsi"/>
          <w:i/>
        </w:rPr>
      </w:pPr>
      <w:r w:rsidRPr="00FB0BE5">
        <w:rPr>
          <w:rFonts w:asciiTheme="minorHAnsi" w:hAnsiTheme="minorHAnsi" w:cstheme="minorHAnsi"/>
          <w:i/>
        </w:rPr>
        <w:br w:type="page"/>
      </w:r>
    </w:p>
    <w:p w14:paraId="5FA10452" w14:textId="77777777" w:rsidR="004469D9" w:rsidRPr="00FB0BE5" w:rsidRDefault="005861CE" w:rsidP="00A858C2">
      <w:pPr>
        <w:pStyle w:val="Heading1"/>
        <w:numPr>
          <w:ilvl w:val="0"/>
          <w:numId w:val="10"/>
        </w:numPr>
        <w:ind w:left="426" w:hanging="426"/>
        <w:rPr>
          <w:rStyle w:val="IntenseEmphasis"/>
          <w:rFonts w:asciiTheme="minorHAnsi" w:hAnsiTheme="minorHAnsi" w:cstheme="minorHAnsi"/>
          <w:i w:val="0"/>
          <w:iCs w:val="0"/>
          <w:color w:val="365F91" w:themeColor="accent1" w:themeShade="BF"/>
          <w:szCs w:val="24"/>
        </w:rPr>
      </w:pPr>
      <w:bookmarkStart w:id="5" w:name="_Toc498455207"/>
      <w:bookmarkStart w:id="6" w:name="_Toc498612422"/>
      <w:r w:rsidRPr="00FB0BE5">
        <w:rPr>
          <w:rFonts w:asciiTheme="minorHAnsi" w:hAnsiTheme="minorHAnsi" w:cstheme="minorHAnsi"/>
          <w:szCs w:val="24"/>
        </w:rPr>
        <w:lastRenderedPageBreak/>
        <w:t xml:space="preserve">Riscuri </w:t>
      </w:r>
      <w:r w:rsidRPr="00FB0BE5">
        <w:rPr>
          <w:rStyle w:val="IntenseEmphasis"/>
          <w:rFonts w:asciiTheme="minorHAnsi" w:hAnsiTheme="minorHAnsi" w:cstheme="minorHAnsi"/>
          <w:b/>
          <w:i w:val="0"/>
          <w:iCs w:val="0"/>
          <w:color w:val="365F91" w:themeColor="accent1" w:themeShade="BF"/>
          <w:szCs w:val="24"/>
        </w:rPr>
        <w:t>bugetar-fiscale</w:t>
      </w:r>
      <w:r w:rsidRPr="00FB0BE5">
        <w:rPr>
          <w:rFonts w:asciiTheme="minorHAnsi" w:hAnsiTheme="minorHAnsi" w:cstheme="minorHAnsi"/>
          <w:szCs w:val="24"/>
        </w:rPr>
        <w:t xml:space="preserve"> explicite</w:t>
      </w:r>
      <w:bookmarkEnd w:id="5"/>
      <w:bookmarkEnd w:id="6"/>
    </w:p>
    <w:p w14:paraId="3F2FA723" w14:textId="77777777" w:rsidR="00863E65" w:rsidRPr="00FB0BE5" w:rsidRDefault="005861CE" w:rsidP="00A858C2">
      <w:pPr>
        <w:pStyle w:val="Heading2"/>
        <w:ind w:left="567"/>
        <w:rPr>
          <w:rFonts w:asciiTheme="minorHAnsi" w:hAnsiTheme="minorHAnsi" w:cstheme="minorHAnsi"/>
          <w:color w:val="548DD4" w:themeColor="text2" w:themeTint="99"/>
          <w:sz w:val="24"/>
          <w:szCs w:val="24"/>
        </w:rPr>
      </w:pPr>
      <w:bookmarkStart w:id="7" w:name="_Toc498455208"/>
      <w:bookmarkStart w:id="8" w:name="_Toc498612423"/>
      <w:r w:rsidRPr="00FB0BE5">
        <w:rPr>
          <w:rFonts w:asciiTheme="minorHAnsi" w:hAnsiTheme="minorHAnsi" w:cstheme="minorHAnsi"/>
          <w:color w:val="548DD4" w:themeColor="text2" w:themeTint="99"/>
          <w:sz w:val="24"/>
          <w:szCs w:val="24"/>
        </w:rPr>
        <w:t>1.1 Riscuri, asociate prognozelor macroeconomice</w:t>
      </w:r>
      <w:bookmarkEnd w:id="7"/>
      <w:bookmarkEnd w:id="8"/>
    </w:p>
    <w:p w14:paraId="222BD264" w14:textId="77777777" w:rsidR="00863E65" w:rsidRPr="00FB0BE5" w:rsidRDefault="00863E65" w:rsidP="00863E65">
      <w:pPr>
        <w:ind w:firstLine="851"/>
        <w:rPr>
          <w:rFonts w:asciiTheme="minorHAnsi" w:hAnsiTheme="minorHAnsi" w:cstheme="minorHAnsi"/>
          <w:b/>
        </w:rPr>
      </w:pPr>
    </w:p>
    <w:p w14:paraId="063316A8" w14:textId="77777777" w:rsidR="00863E65" w:rsidRPr="00FB0BE5" w:rsidRDefault="005861CE" w:rsidP="00A858C2">
      <w:pPr>
        <w:ind w:firstLine="567"/>
        <w:rPr>
          <w:rFonts w:asciiTheme="minorHAnsi" w:hAnsiTheme="minorHAnsi" w:cstheme="minorHAnsi"/>
          <w:b/>
        </w:rPr>
      </w:pPr>
      <w:r w:rsidRPr="00FB0BE5">
        <w:rPr>
          <w:rFonts w:asciiTheme="minorHAnsi" w:hAnsiTheme="minorHAnsi" w:cstheme="minorHAnsi"/>
          <w:b/>
        </w:rPr>
        <w:t>Tendințe și evoluții recente</w:t>
      </w:r>
    </w:p>
    <w:p w14:paraId="70F8D3B7" w14:textId="77777777" w:rsidR="00863E65" w:rsidRPr="00FB0BE5" w:rsidRDefault="00863E65" w:rsidP="00863E65">
      <w:pPr>
        <w:ind w:firstLine="851"/>
        <w:rPr>
          <w:rFonts w:asciiTheme="minorHAnsi" w:hAnsiTheme="minorHAnsi" w:cstheme="minorHAnsi"/>
        </w:rPr>
      </w:pPr>
    </w:p>
    <w:p w14:paraId="14DF0586" w14:textId="77777777" w:rsidR="00863E65"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 xml:space="preserve">Principalul risc macroeconomic pentru estimările bugetare este asociat unei creșteri mai mici a PIB comparativ cu cea prognozată. Astfel, prognoza </w:t>
      </w:r>
      <w:r w:rsidRPr="00FB0BE5">
        <w:rPr>
          <w:rFonts w:asciiTheme="minorHAnsi" w:hAnsiTheme="minorHAnsi" w:cstheme="minorHAnsi"/>
          <w:i/>
        </w:rPr>
        <w:t>inexactă sau fluctuantă</w:t>
      </w:r>
      <w:r w:rsidR="00F40E80">
        <w:rPr>
          <w:rFonts w:asciiTheme="minorHAnsi" w:hAnsiTheme="minorHAnsi" w:cstheme="minorHAnsi"/>
          <w:i/>
        </w:rPr>
        <w:t xml:space="preserve"> </w:t>
      </w:r>
      <w:r w:rsidRPr="00FB0BE5">
        <w:rPr>
          <w:rFonts w:asciiTheme="minorHAnsi" w:hAnsiTheme="minorHAnsi" w:cstheme="minorHAnsi"/>
        </w:rPr>
        <w:t xml:space="preserve">influențează mult poziția </w:t>
      </w:r>
      <w:r w:rsidR="008F4350" w:rsidRPr="00FB0BE5">
        <w:rPr>
          <w:rFonts w:asciiTheme="minorHAnsi" w:hAnsiTheme="minorHAnsi" w:cstheme="minorHAnsi"/>
        </w:rPr>
        <w:t>bugetar-</w:t>
      </w:r>
      <w:r w:rsidRPr="00FB0BE5">
        <w:rPr>
          <w:rFonts w:asciiTheme="minorHAnsi" w:hAnsiTheme="minorHAnsi" w:cstheme="minorHAnsi"/>
        </w:rPr>
        <w:t>fiscală estimată.</w:t>
      </w:r>
    </w:p>
    <w:p w14:paraId="4AE3AAD7" w14:textId="7E7A8607" w:rsidR="00863E65" w:rsidRPr="00FB0BE5" w:rsidRDefault="000E1111" w:rsidP="00A858C2">
      <w:pPr>
        <w:ind w:firstLine="567"/>
        <w:jc w:val="both"/>
        <w:rPr>
          <w:rFonts w:asciiTheme="minorHAnsi" w:hAnsiTheme="minorHAnsi" w:cstheme="minorHAnsi"/>
        </w:rPr>
      </w:pPr>
      <w:r w:rsidRPr="00166A39">
        <w:rPr>
          <w:rFonts w:asciiTheme="minorHAnsi" w:hAnsiTheme="minorHAnsi" w:cstheme="minorHAnsi"/>
        </w:rPr>
        <w:t>Din 28 de observații prezentate mai jos, abateri mai mari de 3% din PIB au avut loc în 18 cazuri,</w:t>
      </w:r>
      <w:r w:rsidR="005861CE" w:rsidRPr="003E6B40">
        <w:rPr>
          <w:rFonts w:asciiTheme="minorHAnsi" w:hAnsiTheme="minorHAnsi" w:cstheme="minorHAnsi"/>
        </w:rPr>
        <w:t xml:space="preserve"> fapt ce indică </w:t>
      </w:r>
      <w:r w:rsidR="000552FE" w:rsidRPr="003E6B40">
        <w:rPr>
          <w:rFonts w:asciiTheme="minorHAnsi" w:hAnsiTheme="minorHAnsi" w:cstheme="minorHAnsi"/>
          <w:b/>
          <w:i/>
        </w:rPr>
        <w:t>un grad înalt al riscului asociat estimărilor PIB</w:t>
      </w:r>
      <w:r w:rsidR="005861CE" w:rsidRPr="003E6B40">
        <w:rPr>
          <w:rFonts w:asciiTheme="minorHAnsi" w:hAnsiTheme="minorHAnsi" w:cstheme="minorHAnsi"/>
        </w:rPr>
        <w:t xml:space="preserve"> (ca impact și ca probabilitate</w:t>
      </w:r>
      <w:r w:rsidR="005861CE" w:rsidRPr="00FB0BE5">
        <w:rPr>
          <w:rFonts w:asciiTheme="minorHAnsi" w:hAnsiTheme="minorHAnsi" w:cstheme="minorHAnsi"/>
        </w:rPr>
        <w:t xml:space="preserve">). </w:t>
      </w:r>
    </w:p>
    <w:p w14:paraId="1B1DC6AF" w14:textId="3D74C490" w:rsidR="00863E65"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 xml:space="preserve">Prognozele PIB, efectuate pe parcursul ultimilor </w:t>
      </w:r>
      <w:r w:rsidR="006568FE">
        <w:rPr>
          <w:rFonts w:asciiTheme="minorHAnsi" w:hAnsiTheme="minorHAnsi" w:cstheme="minorHAnsi"/>
        </w:rPr>
        <w:t>7</w:t>
      </w:r>
      <w:r w:rsidR="006568FE" w:rsidRPr="00FB0BE5">
        <w:rPr>
          <w:rFonts w:asciiTheme="minorHAnsi" w:hAnsiTheme="minorHAnsi" w:cstheme="minorHAnsi"/>
        </w:rPr>
        <w:t xml:space="preserve"> </w:t>
      </w:r>
      <w:r w:rsidRPr="00FB0BE5">
        <w:rPr>
          <w:rFonts w:asciiTheme="minorHAnsi" w:hAnsiTheme="minorHAnsi" w:cstheme="minorHAnsi"/>
        </w:rPr>
        <w:t xml:space="preserve">ani, demonstrează o </w:t>
      </w:r>
      <w:r w:rsidR="004149DD" w:rsidRPr="00FB0BE5">
        <w:rPr>
          <w:rFonts w:asciiTheme="minorHAnsi" w:hAnsiTheme="minorHAnsi" w:cstheme="minorHAnsi"/>
        </w:rPr>
        <w:t>tendință</w:t>
      </w:r>
      <w:r w:rsidR="00F40E80">
        <w:rPr>
          <w:rFonts w:asciiTheme="minorHAnsi" w:hAnsiTheme="minorHAnsi" w:cstheme="minorHAnsi"/>
        </w:rPr>
        <w:t xml:space="preserve"> </w:t>
      </w:r>
      <w:r w:rsidR="004149DD" w:rsidRPr="00FB0BE5">
        <w:rPr>
          <w:rFonts w:asciiTheme="minorHAnsi" w:hAnsiTheme="minorHAnsi" w:cstheme="minorHAnsi"/>
        </w:rPr>
        <w:t>constantă de</w:t>
      </w:r>
      <w:r w:rsidR="00F40E80">
        <w:rPr>
          <w:rFonts w:asciiTheme="minorHAnsi" w:hAnsiTheme="minorHAnsi" w:cstheme="minorHAnsi"/>
        </w:rPr>
        <w:t xml:space="preserve"> </w:t>
      </w:r>
      <w:r w:rsidRPr="00FB0BE5">
        <w:rPr>
          <w:rFonts w:asciiTheme="minorHAnsi" w:hAnsiTheme="minorHAnsi" w:cstheme="minorHAnsi"/>
        </w:rPr>
        <w:t>subestimare a PIB nominal. În ce privește rata reală de creștere a PIB, prognoza a fost supraestimată numai în anii 2012 și 2015</w:t>
      </w:r>
      <w:r w:rsidR="008F4350" w:rsidRPr="00FB0BE5">
        <w:rPr>
          <w:rFonts w:asciiTheme="minorHAnsi" w:hAnsiTheme="minorHAnsi" w:cstheme="minorHAnsi"/>
        </w:rPr>
        <w:t>.În acești ani</w:t>
      </w:r>
      <w:r w:rsidRPr="00FB0BE5">
        <w:rPr>
          <w:rFonts w:asciiTheme="minorHAnsi" w:hAnsiTheme="minorHAnsi" w:cstheme="minorHAnsi"/>
        </w:rPr>
        <w:t xml:space="preserve"> economia a fost perturbată de secetă, ceea ce a afectat esențial producția agricolă, iar în anul 2015 în afară de secetă un impact major </w:t>
      </w:r>
      <w:r w:rsidR="008F4350" w:rsidRPr="00FB0BE5">
        <w:rPr>
          <w:rFonts w:asciiTheme="minorHAnsi" w:hAnsiTheme="minorHAnsi" w:cstheme="minorHAnsi"/>
        </w:rPr>
        <w:t>l-</w:t>
      </w:r>
      <w:r w:rsidRPr="00FB0BE5">
        <w:rPr>
          <w:rFonts w:asciiTheme="minorHAnsi" w:hAnsiTheme="minorHAnsi" w:cstheme="minorHAnsi"/>
        </w:rPr>
        <w:t>a avut criza din sectorul bancar, care a determinat deprecierea monedei naționale.</w:t>
      </w:r>
    </w:p>
    <w:p w14:paraId="605BF37A" w14:textId="77777777" w:rsidR="00A519BF" w:rsidRPr="00FB0BE5" w:rsidRDefault="005861CE" w:rsidP="00A858C2">
      <w:pPr>
        <w:ind w:firstLine="567"/>
        <w:jc w:val="both"/>
        <w:rPr>
          <w:rFonts w:asciiTheme="minorHAnsi" w:hAnsiTheme="minorHAnsi" w:cstheme="minorHAnsi"/>
        </w:rPr>
      </w:pPr>
      <w:r w:rsidRPr="00FB0BE5">
        <w:rPr>
          <w:rFonts w:asciiTheme="minorHAnsi" w:hAnsiTheme="minorHAnsi" w:cstheme="minorHAnsi"/>
        </w:rPr>
        <w:t xml:space="preserve">Pe de altă parte, analiza prognozelor deflatorului PIB în această perioadă la fel indică o subestimare a acestuia, care poate fi explicată prin trecerea la regimul de țintire a inflației (5%+/-1,5% din anul 2012), astfel în prognoze </w:t>
      </w:r>
      <w:r w:rsidR="00A858C2" w:rsidRPr="00FB0BE5">
        <w:rPr>
          <w:rFonts w:asciiTheme="minorHAnsi" w:hAnsiTheme="minorHAnsi" w:cstheme="minorHAnsi"/>
        </w:rPr>
        <w:t>utilizându-se</w:t>
      </w:r>
      <w:r w:rsidRPr="00FB0BE5">
        <w:rPr>
          <w:rFonts w:asciiTheme="minorHAnsi" w:hAnsiTheme="minorHAnsi" w:cstheme="minorHAnsi"/>
        </w:rPr>
        <w:t xml:space="preserve"> ca reper nu </w:t>
      </w:r>
      <w:r w:rsidR="00A858C2" w:rsidRPr="00FB0BE5">
        <w:rPr>
          <w:rFonts w:asciiTheme="minorHAnsi" w:hAnsiTheme="minorHAnsi" w:cstheme="minorHAnsi"/>
        </w:rPr>
        <w:t>atât</w:t>
      </w:r>
      <w:r w:rsidRPr="00FB0BE5">
        <w:rPr>
          <w:rFonts w:asciiTheme="minorHAnsi" w:hAnsiTheme="minorHAnsi" w:cstheme="minorHAnsi"/>
        </w:rPr>
        <w:t xml:space="preserve"> prognoza, cit ținta </w:t>
      </w:r>
      <w:r w:rsidR="00C64252" w:rsidRPr="00FB0BE5">
        <w:rPr>
          <w:rFonts w:asciiTheme="minorHAnsi" w:hAnsiTheme="minorHAnsi" w:cstheme="minorHAnsi"/>
        </w:rPr>
        <w:t>acestui indicator.</w:t>
      </w:r>
      <w:r w:rsidR="003011D8" w:rsidRPr="00FB0BE5">
        <w:rPr>
          <w:rFonts w:asciiTheme="minorHAnsi" w:hAnsiTheme="minorHAnsi" w:cstheme="minorHAnsi"/>
        </w:rPr>
        <w:t>Ca rezultat, în caz că inflația realizată depășește ținta stabilită, cum a fost în anul 2015, ace</w:t>
      </w:r>
      <w:r w:rsidR="00BC6336" w:rsidRPr="00FB0BE5">
        <w:rPr>
          <w:rFonts w:asciiTheme="minorHAnsi" w:hAnsiTheme="minorHAnsi" w:cstheme="minorHAnsi"/>
        </w:rPr>
        <w:t>a</w:t>
      </w:r>
      <w:r w:rsidR="003011D8" w:rsidRPr="00FB0BE5">
        <w:rPr>
          <w:rFonts w:asciiTheme="minorHAnsi" w:hAnsiTheme="minorHAnsi" w:cstheme="minorHAnsi"/>
        </w:rPr>
        <w:t>sta explică subestimarea PIB nominal.</w:t>
      </w:r>
    </w:p>
    <w:p w14:paraId="4298693C" w14:textId="41E91F42" w:rsidR="00863E65" w:rsidRPr="00FB0BE5" w:rsidRDefault="00BC6227" w:rsidP="00A858C2">
      <w:pPr>
        <w:ind w:firstLine="567"/>
        <w:jc w:val="both"/>
        <w:rPr>
          <w:rFonts w:asciiTheme="minorHAnsi" w:hAnsiTheme="minorHAnsi" w:cstheme="minorHAnsi"/>
        </w:rPr>
      </w:pPr>
      <w:r>
        <w:rPr>
          <w:rFonts w:asciiTheme="minorHAnsi" w:hAnsiTheme="minorHAnsi" w:cstheme="minorHAnsi"/>
          <w:noProof/>
          <w:highlight w:val="yellow"/>
          <w:lang w:val="ru-RU" w:eastAsia="ru-RU"/>
        </w:rPr>
        <mc:AlternateContent>
          <mc:Choice Requires="wps">
            <w:drawing>
              <wp:anchor distT="0" distB="0" distL="114300" distR="114300" simplePos="0" relativeHeight="251653632" behindDoc="0" locked="0" layoutInCell="1" allowOverlap="1" wp14:anchorId="24BEC128" wp14:editId="3D1EA97A">
                <wp:simplePos x="0" y="0"/>
                <wp:positionH relativeFrom="column">
                  <wp:posOffset>-157480</wp:posOffset>
                </wp:positionH>
                <wp:positionV relativeFrom="paragraph">
                  <wp:posOffset>648970</wp:posOffset>
                </wp:positionV>
                <wp:extent cx="6380480" cy="2809875"/>
                <wp:effectExtent l="0" t="0" r="1270" b="9525"/>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280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EF212" w14:textId="77777777" w:rsidR="00017651" w:rsidRDefault="00017651" w:rsidP="00863E65">
                            <w:pPr>
                              <w:pStyle w:val="ListParagraph"/>
                              <w:ind w:left="0"/>
                              <w:rPr>
                                <w:rFonts w:asciiTheme="minorHAnsi" w:hAnsiTheme="minorHAnsi" w:cstheme="minorHAnsi"/>
                                <w:b/>
                                <w:i/>
                                <w:color w:val="17365D" w:themeColor="text2" w:themeShade="BF"/>
                              </w:rPr>
                            </w:pPr>
                            <w:r w:rsidRPr="00166A39">
                              <w:rPr>
                                <w:rFonts w:asciiTheme="minorHAnsi" w:hAnsiTheme="minorHAnsi" w:cstheme="minorHAnsi"/>
                                <w:b/>
                                <w:i/>
                                <w:color w:val="17365D" w:themeColor="text2" w:themeShade="BF"/>
                              </w:rPr>
                              <w:t>Graficul 1. Devierea prognozelor PIB comparativ cu realizarea acestuia*</w:t>
                            </w:r>
                          </w:p>
                          <w:p w14:paraId="119953B0" w14:textId="77777777" w:rsidR="00017651" w:rsidRDefault="00017651" w:rsidP="00863E65">
                            <w:pPr>
                              <w:pStyle w:val="ListParagraph"/>
                              <w:ind w:left="0"/>
                              <w:rPr>
                                <w:rFonts w:asciiTheme="minorHAnsi" w:hAnsiTheme="minorHAnsi" w:cstheme="minorHAnsi"/>
                                <w:b/>
                                <w:i/>
                                <w:color w:val="17365D" w:themeColor="text2" w:themeShade="BF"/>
                              </w:rPr>
                            </w:pPr>
                          </w:p>
                          <w:p w14:paraId="422C54CA" w14:textId="77777777" w:rsidR="00017651" w:rsidRDefault="00017651" w:rsidP="00863E65">
                            <w:pPr>
                              <w:pStyle w:val="ListParagraph"/>
                              <w:ind w:left="0"/>
                              <w:rPr>
                                <w:rFonts w:asciiTheme="minorHAnsi" w:hAnsiTheme="minorHAnsi" w:cstheme="minorHAnsi"/>
                                <w:b/>
                                <w:i/>
                                <w:color w:val="17365D" w:themeColor="text2" w:themeShade="BF"/>
                              </w:rPr>
                            </w:pPr>
                            <w:r w:rsidRPr="00166A39">
                              <w:rPr>
                                <w:noProof/>
                                <w:lang w:val="ru-RU" w:eastAsia="ru-RU"/>
                              </w:rPr>
                              <w:drawing>
                                <wp:inline distT="0" distB="0" distL="0" distR="0" wp14:anchorId="6B2E441A" wp14:editId="68F7862A">
                                  <wp:extent cx="3105150" cy="2295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295525"/>
                                          </a:xfrm>
                                          <a:prstGeom prst="rect">
                                            <a:avLst/>
                                          </a:prstGeom>
                                          <a:noFill/>
                                          <a:ln>
                                            <a:noFill/>
                                          </a:ln>
                                        </pic:spPr>
                                      </pic:pic>
                                    </a:graphicData>
                                  </a:graphic>
                                </wp:inline>
                              </w:drawing>
                            </w:r>
                            <w:r w:rsidRPr="00166A39">
                              <w:rPr>
                                <w:noProof/>
                                <w:lang w:val="ru-RU" w:eastAsia="ru-RU"/>
                              </w:rPr>
                              <w:drawing>
                                <wp:inline distT="0" distB="0" distL="0" distR="0" wp14:anchorId="7AE2E8AC" wp14:editId="6E051281">
                                  <wp:extent cx="3067050" cy="2305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2305050"/>
                                          </a:xfrm>
                                          <a:prstGeom prst="rect">
                                            <a:avLst/>
                                          </a:prstGeom>
                                          <a:noFill/>
                                          <a:ln>
                                            <a:noFill/>
                                          </a:ln>
                                        </pic:spPr>
                                      </pic:pic>
                                    </a:graphicData>
                                  </a:graphic>
                                </wp:inline>
                              </w:drawing>
                            </w:r>
                          </w:p>
                          <w:p w14:paraId="39BD98A8" w14:textId="77777777" w:rsidR="00017651" w:rsidRDefault="00017651" w:rsidP="00863E65">
                            <w:pPr>
                              <w:pStyle w:val="ListParagraph"/>
                              <w:ind w:left="0"/>
                              <w:rPr>
                                <w:rFonts w:asciiTheme="minorHAnsi" w:hAnsiTheme="minorHAnsi" w:cstheme="minorHAnsi"/>
                                <w:b/>
                                <w:i/>
                                <w:color w:val="17365D" w:themeColor="text2" w:themeShade="BF"/>
                              </w:rPr>
                            </w:pPr>
                          </w:p>
                          <w:p w14:paraId="3996459D" w14:textId="6C552EC7" w:rsidR="00017651" w:rsidRDefault="00017651" w:rsidP="00863E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C128" id="Text Box 3" o:spid="_x0000_s1027" type="#_x0000_t202" style="position:absolute;left:0;text-align:left;margin-left:-12.4pt;margin-top:51.1pt;width:502.4pt;height:22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yhhgIAABgFAAAOAAAAZHJzL2Uyb0RvYy54bWysVFtv2yAUfp+0/4B4T32pk9hWnKppl2lS&#10;d5Ha/QBicIyGgQGJ3VX77zvgJE13kaZpfrCBc/jO5fuOF1dDJ9CeGcuVrHByEWPEZK0ol9sKf35Y&#10;T3KMrCOSEqEkq/Ajs/hq+frVotclS1WrBGUGAYi0Za8r3Dqnyyiydcs6Yi+UZhKMjTIdcbA124ga&#10;0gN6J6I0jmdRrwzVRtXMWji9HY14GfCbhtXuY9NY5pCoMOTmwtuE98a/o+WClFtDdMvrQxrkH7Lo&#10;CJcQ9AR1SxxBO8N/gep4bZRVjbuoVReppuE1CzVANUn8UzX3LdEs1ALNsfrUJvv/YOsP+08GcQrc&#10;pRhJ0gFHD2xwaKUGdOnb02tbgte9Bj83wDG4hlKtvlP1F4ukummJ3LJrY1TfMkIhvcTfjM6ujjjW&#10;g2z694pCGLJzKgANjel876AbCNCBpscTNT6VGg5nl3mc5WCqwZbmcZHPpyEGKY/XtbHuLVMd8osK&#10;G+A+wJP9nXU+HVIeXXw0qwSnay5E2Jjt5kYYtCegk3V4Dugv3IT0zlL5ayPieAJZQgxv8/kG3p+K&#10;JM3iVVpM1rN8PsnW2XRSzON8EifFqpjFWZHdrr/7BJOsbDmlTN5xyY4aTLK/4/gwDaN6ggpRX+Fi&#10;mk5Hjv5YZBye3xXZcQcjKXhX4fzkRErP7BtJoWxSOsLFuI5eph+6DD04fkNXgg489aMI3LAZRsX5&#10;6F4jG0UfQRhGAW1AMfxOYNEq8w2jHkazwvbrjhiGkXgnQVxFkmV+lsMmm85T2Jhzy+bcQmQNUBV2&#10;GI3LGzfO/04bvm0h0ihnqa5BkA0PUnnO6iBjGL9Q0+FX4ef7fB+8nn9oyx8AAAD//wMAUEsDBBQA&#10;BgAIAAAAIQArlA773wAAAAsBAAAPAAAAZHJzL2Rvd25yZXYueG1sTI/NTsMwEITvSLyDtUhcUGsT&#10;pU0b4lSABOLanwdw4m0SEa+j2G3St2c5wXE0o5lvit3senHFMXSeNDwvFQik2tuOGg2n48diAyJE&#10;Q9b0nlDDDQPsyvu7wuTWT7TH6yE2gkso5EZDG+OQSxnqFp0JSz8gsXf2ozOR5dhIO5qJy10vE6XW&#10;0pmOeKE1A763WH8fLk7D+Wt6Wm2n6jOesn26fjNdVvmb1o8P8+sLiIhz/AvDLz6jQ8lMlb+QDaLX&#10;sEhSRo9sqCQBwYntRvG7SsMqTTOQZSH/fyh/AAAA//8DAFBLAQItABQABgAIAAAAIQC2gziS/gAA&#10;AOEBAAATAAAAAAAAAAAAAAAAAAAAAABbQ29udGVudF9UeXBlc10ueG1sUEsBAi0AFAAGAAgAAAAh&#10;ADj9If/WAAAAlAEAAAsAAAAAAAAAAAAAAAAALwEAAF9yZWxzLy5yZWxzUEsBAi0AFAAGAAgAAAAh&#10;AKcu/KGGAgAAGAUAAA4AAAAAAAAAAAAAAAAALgIAAGRycy9lMm9Eb2MueG1sUEsBAi0AFAAGAAgA&#10;AAAhACuUDvvfAAAACwEAAA8AAAAAAAAAAAAAAAAA4AQAAGRycy9kb3ducmV2LnhtbFBLBQYAAAAA&#10;BAAEAPMAAADsBQAAAAA=&#10;" stroked="f">
                <v:textbox>
                  <w:txbxContent>
                    <w:p w14:paraId="2AFEF212" w14:textId="77777777" w:rsidR="00017651" w:rsidRDefault="00017651" w:rsidP="00863E65">
                      <w:pPr>
                        <w:pStyle w:val="ListParagraph"/>
                        <w:ind w:left="0"/>
                        <w:rPr>
                          <w:rFonts w:asciiTheme="minorHAnsi" w:hAnsiTheme="minorHAnsi" w:cstheme="minorHAnsi"/>
                          <w:b/>
                          <w:i/>
                          <w:color w:val="17365D" w:themeColor="text2" w:themeShade="BF"/>
                        </w:rPr>
                      </w:pPr>
                      <w:r w:rsidRPr="00166A39">
                        <w:rPr>
                          <w:rFonts w:asciiTheme="minorHAnsi" w:hAnsiTheme="minorHAnsi" w:cstheme="minorHAnsi"/>
                          <w:b/>
                          <w:i/>
                          <w:color w:val="17365D" w:themeColor="text2" w:themeShade="BF"/>
                        </w:rPr>
                        <w:t>Graficul 1. Devierea prognozelor PIB comparativ cu realizarea acestuia*</w:t>
                      </w:r>
                    </w:p>
                    <w:p w14:paraId="119953B0" w14:textId="77777777" w:rsidR="00017651" w:rsidRDefault="00017651" w:rsidP="00863E65">
                      <w:pPr>
                        <w:pStyle w:val="ListParagraph"/>
                        <w:ind w:left="0"/>
                        <w:rPr>
                          <w:rFonts w:asciiTheme="minorHAnsi" w:hAnsiTheme="minorHAnsi" w:cstheme="minorHAnsi"/>
                          <w:b/>
                          <w:i/>
                          <w:color w:val="17365D" w:themeColor="text2" w:themeShade="BF"/>
                        </w:rPr>
                      </w:pPr>
                    </w:p>
                    <w:p w14:paraId="422C54CA" w14:textId="77777777" w:rsidR="00017651" w:rsidRDefault="00017651" w:rsidP="00863E65">
                      <w:pPr>
                        <w:pStyle w:val="ListParagraph"/>
                        <w:ind w:left="0"/>
                        <w:rPr>
                          <w:rFonts w:asciiTheme="minorHAnsi" w:hAnsiTheme="minorHAnsi" w:cstheme="minorHAnsi"/>
                          <w:b/>
                          <w:i/>
                          <w:color w:val="17365D" w:themeColor="text2" w:themeShade="BF"/>
                        </w:rPr>
                      </w:pPr>
                      <w:r w:rsidRPr="00166A39">
                        <w:rPr>
                          <w:noProof/>
                          <w:lang w:val="ru-RU" w:eastAsia="ru-RU"/>
                        </w:rPr>
                        <w:drawing>
                          <wp:inline distT="0" distB="0" distL="0" distR="0" wp14:anchorId="6B2E441A" wp14:editId="68F7862A">
                            <wp:extent cx="3105150" cy="2295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2295525"/>
                                    </a:xfrm>
                                    <a:prstGeom prst="rect">
                                      <a:avLst/>
                                    </a:prstGeom>
                                    <a:noFill/>
                                    <a:ln>
                                      <a:noFill/>
                                    </a:ln>
                                  </pic:spPr>
                                </pic:pic>
                              </a:graphicData>
                            </a:graphic>
                          </wp:inline>
                        </w:drawing>
                      </w:r>
                      <w:r w:rsidRPr="00166A39">
                        <w:rPr>
                          <w:noProof/>
                          <w:lang w:val="ru-RU" w:eastAsia="ru-RU"/>
                        </w:rPr>
                        <w:drawing>
                          <wp:inline distT="0" distB="0" distL="0" distR="0" wp14:anchorId="7AE2E8AC" wp14:editId="6E051281">
                            <wp:extent cx="3067050" cy="2305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305050"/>
                                    </a:xfrm>
                                    <a:prstGeom prst="rect">
                                      <a:avLst/>
                                    </a:prstGeom>
                                    <a:noFill/>
                                    <a:ln>
                                      <a:noFill/>
                                    </a:ln>
                                  </pic:spPr>
                                </pic:pic>
                              </a:graphicData>
                            </a:graphic>
                          </wp:inline>
                        </w:drawing>
                      </w:r>
                    </w:p>
                    <w:p w14:paraId="39BD98A8" w14:textId="77777777" w:rsidR="00017651" w:rsidRDefault="00017651" w:rsidP="00863E65">
                      <w:pPr>
                        <w:pStyle w:val="ListParagraph"/>
                        <w:ind w:left="0"/>
                        <w:rPr>
                          <w:rFonts w:asciiTheme="minorHAnsi" w:hAnsiTheme="minorHAnsi" w:cstheme="minorHAnsi"/>
                          <w:b/>
                          <w:i/>
                          <w:color w:val="17365D" w:themeColor="text2" w:themeShade="BF"/>
                        </w:rPr>
                      </w:pPr>
                    </w:p>
                    <w:p w14:paraId="3996459D" w14:textId="6C552EC7" w:rsidR="00017651" w:rsidRDefault="00017651" w:rsidP="00863E65"/>
                  </w:txbxContent>
                </v:textbox>
                <w10:wrap type="square"/>
              </v:shape>
            </w:pict>
          </mc:Fallback>
        </mc:AlternateContent>
      </w:r>
      <w:r w:rsidR="005861CE" w:rsidRPr="00FB0BE5">
        <w:rPr>
          <w:rFonts w:asciiTheme="minorHAnsi" w:hAnsiTheme="minorHAnsi" w:cstheme="minorHAnsi"/>
        </w:rPr>
        <w:t xml:space="preserve">Este de menționat faptul că estimările din ultimii </w:t>
      </w:r>
      <w:r w:rsidR="006568FE">
        <w:rPr>
          <w:rFonts w:asciiTheme="minorHAnsi" w:hAnsiTheme="minorHAnsi" w:cstheme="minorHAnsi"/>
        </w:rPr>
        <w:t xml:space="preserve">patru </w:t>
      </w:r>
      <w:r w:rsidR="005861CE" w:rsidRPr="00FB0BE5">
        <w:rPr>
          <w:rFonts w:asciiTheme="minorHAnsi" w:hAnsiTheme="minorHAnsi" w:cstheme="minorHAnsi"/>
        </w:rPr>
        <w:t>ani demonstrează o îmbunătățire în prognozarea PIB</w:t>
      </w:r>
      <w:r w:rsidR="004149DD" w:rsidRPr="00FB0BE5">
        <w:rPr>
          <w:rFonts w:asciiTheme="minorHAnsi" w:hAnsiTheme="minorHAnsi" w:cstheme="minorHAnsi"/>
        </w:rPr>
        <w:t xml:space="preserve"> nominal</w:t>
      </w:r>
      <w:r w:rsidR="005861CE" w:rsidRPr="00FB0BE5">
        <w:rPr>
          <w:rFonts w:asciiTheme="minorHAnsi" w:hAnsiTheme="minorHAnsi" w:cstheme="minorHAnsi"/>
        </w:rPr>
        <w:t xml:space="preserve">, abaterile situându-se sub </w:t>
      </w:r>
      <w:r w:rsidR="006568FE">
        <w:rPr>
          <w:rFonts w:asciiTheme="minorHAnsi" w:hAnsiTheme="minorHAnsi" w:cstheme="minorHAnsi"/>
        </w:rPr>
        <w:t>2,3</w:t>
      </w:r>
      <w:r w:rsidR="005861CE" w:rsidRPr="00FB0BE5">
        <w:rPr>
          <w:rFonts w:asciiTheme="minorHAnsi" w:hAnsiTheme="minorHAnsi" w:cstheme="minorHAnsi"/>
        </w:rPr>
        <w:t>% din PIB</w:t>
      </w:r>
      <w:r w:rsidR="006568FE">
        <w:rPr>
          <w:rFonts w:asciiTheme="minorHAnsi" w:hAnsiTheme="minorHAnsi" w:cstheme="minorHAnsi"/>
        </w:rPr>
        <w:t xml:space="preserve"> (daca excludem abaterile mai mari pentru anul 2015)</w:t>
      </w:r>
      <w:r w:rsidR="005861CE" w:rsidRPr="00FB0BE5">
        <w:rPr>
          <w:rFonts w:asciiTheme="minorHAnsi" w:hAnsiTheme="minorHAnsi" w:cstheme="minorHAnsi"/>
        </w:rPr>
        <w:t>.</w:t>
      </w:r>
    </w:p>
    <w:p w14:paraId="6C09FB6F" w14:textId="77777777" w:rsidR="009538EA" w:rsidRPr="00FB0BE5" w:rsidRDefault="009538EA" w:rsidP="004C2190">
      <w:pPr>
        <w:ind w:firstLine="567"/>
        <w:jc w:val="both"/>
        <w:rPr>
          <w:rFonts w:asciiTheme="minorHAnsi" w:hAnsiTheme="minorHAnsi" w:cstheme="minorHAnsi"/>
          <w:i/>
          <w:sz w:val="18"/>
          <w:szCs w:val="18"/>
        </w:rPr>
      </w:pPr>
    </w:p>
    <w:p w14:paraId="55FFCCF4" w14:textId="77777777" w:rsidR="00863E65" w:rsidRPr="00FB0BE5" w:rsidRDefault="005861CE" w:rsidP="004C2190">
      <w:pPr>
        <w:ind w:firstLine="567"/>
        <w:jc w:val="both"/>
        <w:rPr>
          <w:rFonts w:asciiTheme="minorHAnsi" w:hAnsiTheme="minorHAnsi" w:cstheme="minorHAnsi"/>
          <w:i/>
          <w:sz w:val="18"/>
          <w:szCs w:val="18"/>
        </w:rPr>
      </w:pPr>
      <w:r w:rsidRPr="00FB0BE5">
        <w:rPr>
          <w:rFonts w:asciiTheme="minorHAnsi" w:hAnsiTheme="minorHAnsi" w:cstheme="minorHAnsi"/>
          <w:i/>
          <w:sz w:val="18"/>
          <w:szCs w:val="18"/>
        </w:rPr>
        <w:t>*Pentru fiecare an se prezintă devierea</w:t>
      </w:r>
      <w:r w:rsidR="00DD7BEE">
        <w:rPr>
          <w:rFonts w:asciiTheme="minorHAnsi" w:hAnsiTheme="minorHAnsi" w:cstheme="minorHAnsi"/>
          <w:i/>
          <w:sz w:val="18"/>
          <w:szCs w:val="18"/>
        </w:rPr>
        <w:t xml:space="preserve"> </w:t>
      </w:r>
      <w:r w:rsidRPr="00FB0BE5">
        <w:rPr>
          <w:rFonts w:asciiTheme="minorHAnsi" w:hAnsiTheme="minorHAnsi" w:cstheme="minorHAnsi"/>
          <w:i/>
          <w:sz w:val="18"/>
          <w:szCs w:val="18"/>
        </w:rPr>
        <w:t>dintre prognozele efectuate în anii CBTM (3 ani: t-2, t-</w:t>
      </w:r>
      <w:r w:rsidR="00DF3FDB" w:rsidRPr="00FB0BE5">
        <w:rPr>
          <w:rFonts w:asciiTheme="minorHAnsi" w:hAnsiTheme="minorHAnsi" w:cstheme="minorHAnsi"/>
          <w:i/>
          <w:sz w:val="18"/>
          <w:szCs w:val="18"/>
        </w:rPr>
        <w:t>1</w:t>
      </w:r>
      <w:r w:rsidRPr="00FB0BE5">
        <w:rPr>
          <w:rFonts w:asciiTheme="minorHAnsi" w:hAnsiTheme="minorHAnsi" w:cstheme="minorHAnsi"/>
          <w:i/>
          <w:sz w:val="18"/>
          <w:szCs w:val="18"/>
        </w:rPr>
        <w:t>, t),</w:t>
      </w:r>
      <w:r w:rsidR="004C2190" w:rsidRPr="00FB0BE5">
        <w:rPr>
          <w:rFonts w:asciiTheme="minorHAnsi" w:hAnsiTheme="minorHAnsi" w:cstheme="minorHAnsi"/>
          <w:i/>
          <w:sz w:val="18"/>
          <w:szCs w:val="18"/>
        </w:rPr>
        <w:t>prognoza utilizată</w:t>
      </w:r>
      <w:r w:rsidRPr="00FB0BE5">
        <w:rPr>
          <w:rFonts w:asciiTheme="minorHAnsi" w:hAnsiTheme="minorHAnsi" w:cstheme="minorHAnsi"/>
          <w:i/>
          <w:sz w:val="18"/>
          <w:szCs w:val="18"/>
        </w:rPr>
        <w:t xml:space="preserve"> la aprobarea bugetului (t- buget)și valorile realizate de facto. </w:t>
      </w:r>
      <w:r w:rsidR="000552FE" w:rsidRPr="00FB0BE5">
        <w:rPr>
          <w:rFonts w:asciiTheme="minorHAnsi" w:hAnsiTheme="minorHAnsi" w:cstheme="minorHAnsi"/>
          <w:i/>
          <w:sz w:val="18"/>
          <w:szCs w:val="18"/>
        </w:rPr>
        <w:t>Valorile pozitive înseamnă o supraestimare, iar cele negative – subestimare.</w:t>
      </w:r>
    </w:p>
    <w:p w14:paraId="5166A1C1" w14:textId="77777777" w:rsidR="004C2190" w:rsidRPr="00FB0BE5" w:rsidRDefault="004C2190" w:rsidP="004C2190">
      <w:pPr>
        <w:ind w:firstLine="567"/>
        <w:jc w:val="both"/>
        <w:rPr>
          <w:rFonts w:asciiTheme="minorHAnsi" w:hAnsiTheme="minorHAnsi" w:cstheme="minorHAnsi"/>
        </w:rPr>
      </w:pPr>
    </w:p>
    <w:p w14:paraId="69583F47" w14:textId="77777777" w:rsidR="00863E65" w:rsidRPr="00FB0BE5" w:rsidRDefault="005861CE" w:rsidP="004C2190">
      <w:pPr>
        <w:ind w:firstLine="567"/>
        <w:jc w:val="both"/>
        <w:rPr>
          <w:rFonts w:asciiTheme="minorHAnsi" w:hAnsiTheme="minorHAnsi" w:cstheme="minorHAnsi"/>
        </w:rPr>
      </w:pPr>
      <w:r w:rsidRPr="00FB0BE5">
        <w:rPr>
          <w:rFonts w:asciiTheme="minorHAnsi" w:hAnsiTheme="minorHAnsi" w:cstheme="minorHAnsi"/>
        </w:rPr>
        <w:t>Privit din perspectiva bugetului, subestimarea PIB are</w:t>
      </w:r>
      <w:r w:rsidR="003E6B40">
        <w:rPr>
          <w:rFonts w:asciiTheme="minorHAnsi" w:hAnsiTheme="minorHAnsi" w:cstheme="minorHAnsi"/>
        </w:rPr>
        <w:t xml:space="preserve"> </w:t>
      </w:r>
      <w:r w:rsidRPr="00FB0BE5">
        <w:rPr>
          <w:rFonts w:asciiTheme="minorHAnsi" w:hAnsiTheme="minorHAnsi" w:cstheme="minorHAnsi"/>
        </w:rPr>
        <w:t xml:space="preserve">efecte directe asupra estimării veniturilor (în sensul subestimării acestora), a </w:t>
      </w:r>
      <w:r w:rsidR="00DF3FDB" w:rsidRPr="00FB0BE5">
        <w:rPr>
          <w:rFonts w:asciiTheme="minorHAnsi" w:hAnsiTheme="minorHAnsi" w:cstheme="minorHAnsi"/>
        </w:rPr>
        <w:t xml:space="preserve">limitei </w:t>
      </w:r>
      <w:r w:rsidRPr="00FB0BE5">
        <w:rPr>
          <w:rFonts w:asciiTheme="minorHAnsi" w:hAnsiTheme="minorHAnsi" w:cstheme="minorHAnsi"/>
        </w:rPr>
        <w:t>soldului bugetar</w:t>
      </w:r>
      <w:r w:rsidR="00DF3FDB" w:rsidRPr="00FB0BE5">
        <w:rPr>
          <w:rFonts w:asciiTheme="minorHAnsi" w:hAnsiTheme="minorHAnsi" w:cstheme="minorHAnsi"/>
        </w:rPr>
        <w:t>,</w:t>
      </w:r>
      <w:r w:rsidR="003E6B40">
        <w:rPr>
          <w:rFonts w:asciiTheme="minorHAnsi" w:hAnsiTheme="minorHAnsi" w:cstheme="minorHAnsi"/>
        </w:rPr>
        <w:t xml:space="preserve"> </w:t>
      </w:r>
      <w:r w:rsidR="00DF3FDB" w:rsidRPr="00FB0BE5">
        <w:rPr>
          <w:rFonts w:asciiTheme="minorHAnsi" w:hAnsiTheme="minorHAnsi" w:cstheme="minorHAnsi"/>
        </w:rPr>
        <w:t>permis de lege</w:t>
      </w:r>
      <w:r w:rsidRPr="00FB0BE5">
        <w:rPr>
          <w:rFonts w:asciiTheme="minorHAnsi" w:hAnsiTheme="minorHAnsi" w:cstheme="minorHAnsi"/>
        </w:rPr>
        <w:t xml:space="preserve">, </w:t>
      </w:r>
      <w:r w:rsidR="00A519BF" w:rsidRPr="00FB0BE5">
        <w:rPr>
          <w:rFonts w:asciiTheme="minorHAnsi" w:hAnsiTheme="minorHAnsi" w:cstheme="minorHAnsi"/>
        </w:rPr>
        <w:t>fiind</w:t>
      </w:r>
      <w:r w:rsidRPr="00FB0BE5">
        <w:rPr>
          <w:rFonts w:asciiTheme="minorHAnsi" w:hAnsiTheme="minorHAnsi" w:cstheme="minorHAnsi"/>
        </w:rPr>
        <w:t xml:space="preserve"> stabilit ca pondere în PIB, precum și asupra nivelului de îndatorare a țării (ca pondere în PIB).</w:t>
      </w:r>
    </w:p>
    <w:p w14:paraId="5220FDCF" w14:textId="77777777" w:rsidR="001605EC" w:rsidRPr="00FB0BE5" w:rsidRDefault="005861CE" w:rsidP="004C2190">
      <w:pPr>
        <w:ind w:firstLine="567"/>
        <w:rPr>
          <w:rFonts w:asciiTheme="minorHAnsi" w:hAnsiTheme="minorHAnsi" w:cstheme="minorHAnsi"/>
          <w:b/>
        </w:rPr>
      </w:pPr>
      <w:bookmarkStart w:id="9" w:name="_Hlk486683655"/>
      <w:r w:rsidRPr="00FB0BE5">
        <w:rPr>
          <w:rFonts w:asciiTheme="minorHAnsi" w:hAnsiTheme="minorHAnsi" w:cstheme="minorHAnsi"/>
          <w:b/>
        </w:rPr>
        <w:lastRenderedPageBreak/>
        <w:t>Prognozele PIB pe termen mediu</w:t>
      </w:r>
    </w:p>
    <w:p w14:paraId="56B5D06E" w14:textId="77777777" w:rsidR="00863E65" w:rsidRPr="00FB0BE5" w:rsidRDefault="00863E65" w:rsidP="00863E65">
      <w:pPr>
        <w:ind w:firstLine="851"/>
        <w:rPr>
          <w:rFonts w:asciiTheme="minorHAnsi" w:hAnsiTheme="minorHAnsi" w:cstheme="minorHAnsi"/>
          <w:b/>
        </w:rPr>
      </w:pPr>
    </w:p>
    <w:p w14:paraId="1809EAD3" w14:textId="77777777" w:rsidR="00115544" w:rsidRDefault="00115544" w:rsidP="009538EA">
      <w:pPr>
        <w:ind w:firstLine="567"/>
        <w:jc w:val="both"/>
        <w:rPr>
          <w:rFonts w:asciiTheme="minorHAnsi" w:hAnsiTheme="minorHAnsi" w:cstheme="minorHAnsi"/>
        </w:rPr>
      </w:pPr>
      <w:r>
        <w:rPr>
          <w:rFonts w:asciiTheme="minorHAnsi" w:hAnsiTheme="minorHAnsi" w:cstheme="minorHAnsi"/>
        </w:rPr>
        <w:t xml:space="preserve">Începând cu anul curent Biroul National de Statistica a </w:t>
      </w:r>
      <w:r w:rsidR="003D67B1">
        <w:rPr>
          <w:rFonts w:asciiTheme="minorHAnsi" w:hAnsiTheme="minorHAnsi" w:cstheme="minorHAnsi"/>
        </w:rPr>
        <w:t>început i</w:t>
      </w:r>
      <w:r w:rsidR="000E1111" w:rsidRPr="00166A39">
        <w:rPr>
          <w:rFonts w:asciiTheme="minorHAnsi" w:hAnsiTheme="minorHAnsi" w:cstheme="minorHAnsi"/>
        </w:rPr>
        <w:t>mplementarea metodologiei de calcul a Sistemului Conturilor Naționale a Organizației Națiunilor Unite, versiunea 2008/Sistemul European de Conturi, versiunea 2010 (SCN, ONU-2008/SEC-2010)</w:t>
      </w:r>
      <w:r w:rsidR="003D67B1">
        <w:rPr>
          <w:rFonts w:asciiTheme="minorHAnsi" w:hAnsiTheme="minorHAnsi" w:cstheme="minorHAnsi"/>
        </w:rPr>
        <w:t xml:space="preserve">, în special întru </w:t>
      </w:r>
      <w:r w:rsidR="000E1111" w:rsidRPr="00166A39">
        <w:rPr>
          <w:rFonts w:asciiTheme="minorHAnsi" w:hAnsiTheme="minorHAnsi" w:cstheme="minorHAnsi"/>
        </w:rPr>
        <w:t>elabor</w:t>
      </w:r>
      <w:r w:rsidR="003D67B1">
        <w:rPr>
          <w:rFonts w:asciiTheme="minorHAnsi" w:hAnsiTheme="minorHAnsi" w:cstheme="minorHAnsi"/>
        </w:rPr>
        <w:t>area</w:t>
      </w:r>
      <w:r w:rsidR="000E1111" w:rsidRPr="00166A39">
        <w:rPr>
          <w:rFonts w:asciiTheme="minorHAnsi" w:hAnsiTheme="minorHAnsi" w:cstheme="minorHAnsi"/>
        </w:rPr>
        <w:t xml:space="preserve"> celui mai important indicator macroeconomic Produsul Intern Brut</w:t>
      </w:r>
      <w:r w:rsidR="003D67B1">
        <w:rPr>
          <w:rFonts w:asciiTheme="minorHAnsi" w:hAnsiTheme="minorHAnsi" w:cstheme="minorHAnsi"/>
        </w:rPr>
        <w:t xml:space="preserve">. În rezultatul implementării acestei metodologii a fost revizuită în creștere valoarea nominală a  PIB </w:t>
      </w:r>
      <w:r w:rsidR="000E1111" w:rsidRPr="00166A39">
        <w:rPr>
          <w:rFonts w:asciiTheme="minorHAnsi" w:hAnsiTheme="minorHAnsi" w:cstheme="minorHAnsi"/>
        </w:rPr>
        <w:t> </w:t>
      </w:r>
      <w:r w:rsidR="003D67B1">
        <w:rPr>
          <w:rFonts w:asciiTheme="minorHAnsi" w:hAnsiTheme="minorHAnsi" w:cstheme="minorHAnsi"/>
        </w:rPr>
        <w:t xml:space="preserve">pentru anul 2017, fiind revizuite datele preliminare. Prognoza Ministerului Economiei și Infrastructurii a fost revizuită pentru a acomoda aceste modificări în metodologie și a avea pe viitor un șir de date comparabile. </w:t>
      </w:r>
      <w:r w:rsidR="00A801E0">
        <w:rPr>
          <w:rFonts w:asciiTheme="minorHAnsi" w:hAnsiTheme="minorHAnsi" w:cstheme="minorHAnsi"/>
        </w:rPr>
        <w:t>BNS urmează să prezinte valorile reestimate ale PIB în baza noii metodologii pentru datele istorice</w:t>
      </w:r>
      <w:r w:rsidR="003D67B1">
        <w:rPr>
          <w:rFonts w:asciiTheme="minorHAnsi" w:hAnsiTheme="minorHAnsi" w:cstheme="minorHAnsi"/>
        </w:rPr>
        <w:t xml:space="preserve">. </w:t>
      </w:r>
    </w:p>
    <w:p w14:paraId="4F82527B" w14:textId="01F90751" w:rsidR="00863E65" w:rsidRPr="00FB0BE5" w:rsidRDefault="00BC6227" w:rsidP="009538EA">
      <w:pPr>
        <w:ind w:firstLine="567"/>
        <w:jc w:val="both"/>
        <w:rPr>
          <w:rFonts w:asciiTheme="minorHAnsi" w:hAnsiTheme="minorHAnsi" w:cstheme="minorHAnsi"/>
        </w:rPr>
      </w:pPr>
      <w:r>
        <w:rPr>
          <w:rFonts w:asciiTheme="minorHAnsi" w:hAnsiTheme="minorHAnsi" w:cstheme="minorHAnsi"/>
          <w:noProof/>
          <w:lang w:val="ru-RU" w:eastAsia="ru-RU"/>
        </w:rPr>
        <mc:AlternateContent>
          <mc:Choice Requires="wps">
            <w:drawing>
              <wp:anchor distT="0" distB="0" distL="114300" distR="114300" simplePos="0" relativeHeight="251656704" behindDoc="0" locked="0" layoutInCell="1" allowOverlap="1" wp14:anchorId="4504E82F" wp14:editId="3D07214C">
                <wp:simplePos x="0" y="0"/>
                <wp:positionH relativeFrom="column">
                  <wp:posOffset>-147955</wp:posOffset>
                </wp:positionH>
                <wp:positionV relativeFrom="paragraph">
                  <wp:posOffset>682625</wp:posOffset>
                </wp:positionV>
                <wp:extent cx="3847465" cy="2790825"/>
                <wp:effectExtent l="0" t="0" r="0"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279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8C721" w14:textId="1AF0710C" w:rsidR="00017651" w:rsidRDefault="00017651">
                            <w:pPr>
                              <w:rPr>
                                <w:rFonts w:asciiTheme="minorHAnsi" w:hAnsiTheme="minorHAnsi" w:cstheme="minorHAnsi"/>
                                <w:b/>
                                <w:i/>
                                <w:color w:val="17365D" w:themeColor="text2" w:themeShade="BF"/>
                                <w:sz w:val="22"/>
                                <w:szCs w:val="22"/>
                              </w:rPr>
                            </w:pPr>
                            <w:r w:rsidRPr="00166A39">
                              <w:rPr>
                                <w:rFonts w:asciiTheme="minorHAnsi" w:hAnsiTheme="minorHAnsi" w:cstheme="minorHAnsi"/>
                                <w:b/>
                                <w:i/>
                                <w:color w:val="17365D" w:themeColor="text2" w:themeShade="BF"/>
                                <w:sz w:val="22"/>
                                <w:szCs w:val="22"/>
                              </w:rPr>
                              <w:t>Graficul 2.Evoluția PIB, 2011-2021</w:t>
                            </w:r>
                          </w:p>
                          <w:p w14:paraId="45DBE034" w14:textId="77777777" w:rsidR="00017651" w:rsidRPr="00B658A2" w:rsidRDefault="00017651">
                            <w:pPr>
                              <w:rPr>
                                <w:rFonts w:asciiTheme="minorHAnsi" w:hAnsiTheme="minorHAnsi" w:cstheme="minorHAnsi"/>
                                <w:b/>
                                <w:i/>
                                <w:color w:val="17365D" w:themeColor="text2" w:themeShade="BF"/>
                                <w:sz w:val="22"/>
                                <w:szCs w:val="22"/>
                              </w:rPr>
                            </w:pPr>
                          </w:p>
                          <w:p w14:paraId="1F3512F8" w14:textId="77777777" w:rsidR="00017651" w:rsidRDefault="00017651">
                            <w:pPr>
                              <w:rPr>
                                <w:rFonts w:asciiTheme="minorHAnsi" w:hAnsiTheme="minorHAnsi" w:cstheme="minorHAnsi"/>
                                <w:b/>
                                <w:i/>
                                <w:color w:val="17365D" w:themeColor="text2" w:themeShade="BF"/>
                              </w:rPr>
                            </w:pPr>
                            <w:r>
                              <w:rPr>
                                <w:noProof/>
                                <w:lang w:val="ru-RU" w:eastAsia="ru-RU"/>
                              </w:rPr>
                              <w:drawing>
                                <wp:inline distT="0" distB="0" distL="0" distR="0" wp14:anchorId="1761211D" wp14:editId="04401C7F">
                                  <wp:extent cx="3664291" cy="190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5608" cy="1905685"/>
                                          </a:xfrm>
                                          <a:prstGeom prst="rect">
                                            <a:avLst/>
                                          </a:prstGeom>
                                          <a:noFill/>
                                          <a:ln>
                                            <a:noFill/>
                                          </a:ln>
                                        </pic:spPr>
                                      </pic:pic>
                                    </a:graphicData>
                                  </a:graphic>
                                </wp:inline>
                              </w:drawing>
                            </w:r>
                          </w:p>
                          <w:p w14:paraId="52257E7F" w14:textId="77777777" w:rsidR="00017651" w:rsidRPr="00166A39" w:rsidRDefault="00017651">
                            <w:pPr>
                              <w:rPr>
                                <w:rFonts w:asciiTheme="minorHAnsi" w:hAnsiTheme="minorHAnsi" w:cstheme="minorHAnsi"/>
                                <w:i/>
                                <w:sz w:val="16"/>
                                <w:szCs w:val="16"/>
                              </w:rPr>
                            </w:pPr>
                            <w:r w:rsidRPr="00166A39">
                              <w:rPr>
                                <w:rFonts w:asciiTheme="minorHAnsi" w:hAnsiTheme="minorHAnsi" w:cstheme="minorHAnsi"/>
                                <w:i/>
                                <w:sz w:val="16"/>
                                <w:szCs w:val="16"/>
                              </w:rPr>
                              <w:t>Datele privind PIB pentru perioada 2011-2016 se prezinta în baza metodologiei</w:t>
                            </w:r>
                            <w:r w:rsidRPr="00166A39">
                              <w:rPr>
                                <w:rFonts w:asciiTheme="minorHAnsi" w:hAnsiTheme="minorHAnsi" w:cstheme="minorHAnsi"/>
                                <w:color w:val="444444"/>
                                <w:sz w:val="16"/>
                                <w:szCs w:val="16"/>
                                <w:shd w:val="clear" w:color="auto" w:fill="FFFFFF"/>
                              </w:rPr>
                              <w:t> SCN, ONU-1993/SEC-1995</w:t>
                            </w:r>
                            <w:r w:rsidRPr="00166A39">
                              <w:rPr>
                                <w:rFonts w:asciiTheme="minorHAnsi" w:hAnsiTheme="minorHAnsi" w:cstheme="minorHAnsi"/>
                                <w:i/>
                                <w:sz w:val="16"/>
                                <w:szCs w:val="16"/>
                              </w:rPr>
                              <w:t xml:space="preserve">, iar </w:t>
                            </w:r>
                            <w:r w:rsidRPr="003D67B1">
                              <w:rPr>
                                <w:rFonts w:asciiTheme="minorHAnsi" w:hAnsiTheme="minorHAnsi" w:cstheme="minorHAnsi"/>
                                <w:i/>
                                <w:sz w:val="16"/>
                                <w:szCs w:val="16"/>
                              </w:rPr>
                              <w:t>începând</w:t>
                            </w:r>
                            <w:r w:rsidRPr="00166A39">
                              <w:rPr>
                                <w:rFonts w:asciiTheme="minorHAnsi" w:hAnsiTheme="minorHAnsi" w:cstheme="minorHAnsi"/>
                                <w:i/>
                                <w:sz w:val="16"/>
                                <w:szCs w:val="16"/>
                              </w:rPr>
                              <w:t xml:space="preserve"> cu anul 2017 - în baza metodologii SCN </w:t>
                            </w:r>
                            <w:r w:rsidRPr="00166A39">
                              <w:rPr>
                                <w:rFonts w:asciiTheme="minorHAnsi" w:hAnsiTheme="minorHAnsi" w:cstheme="minorHAnsi"/>
                                <w:i/>
                                <w:iCs/>
                                <w:color w:val="444444"/>
                                <w:sz w:val="16"/>
                                <w:szCs w:val="16"/>
                                <w:shd w:val="clear" w:color="auto" w:fill="FFFFFF"/>
                              </w:rPr>
                              <w:t>ONU-2008/SEC-2010</w:t>
                            </w:r>
                            <w:r w:rsidRPr="00166A39">
                              <w:rPr>
                                <w:rFonts w:asciiTheme="minorHAnsi" w:hAnsiTheme="minorHAnsi" w:cstheme="minorHAnsi"/>
                                <w:i/>
                                <w:sz w:val="16"/>
                                <w:szCs w:val="16"/>
                              </w:rPr>
                              <w:t xml:space="preserve"> .</w:t>
                            </w:r>
                          </w:p>
                          <w:p w14:paraId="0372B624" w14:textId="6F5357B0" w:rsidR="00017651" w:rsidRDefault="00017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E82F" id="Text Box 7" o:spid="_x0000_s1028" type="#_x0000_t202" style="position:absolute;left:0;text-align:left;margin-left:-11.65pt;margin-top:53.75pt;width:302.95pt;height:21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BqhQ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NA/V6Y2rwOjegJkfYBtYjpk6c6fpZ4eUvmmJ2vIra3XfcsIguizcTM6ujjgugGz6&#10;d5qBG7LzOgINje1C6aAYCNCBpccTMyEUCpuvFsW8mE0xonCWz8t0kU+jD1Idrxvr/BuuOxQmNbZA&#10;fYQn+zvnQzikOpoEb05LwdZCyriw282NtGhPQCbr+B3Qn5lJFYyVDtdGxHEHogQf4SzEG2n/VmZ5&#10;kV7n5WQ9W8wnxbqYTsp5upikWXldztKiLG7X30OAWVG1gjGu7oTiRwlmxd9RfGiGUTxRhKgHKqdQ&#10;nZjXH5NM4/e7JDvhoSOl6Gq8OBmRKjD7WjFIm1SeCDnOk+fhxypDDY7/WJWog0D9KAI/bIYouDx4&#10;DxrZaPYIwrAaaAP24TWBSavtV4x66Mwauy87YjlG8q0CcZVZUYRWjotiOs9hYc9PNucnRFGAqrHH&#10;aJze+LH9d8aKbQueRjkrfQWCbESUylNUBxlD98WcDi9FaO/zdbR6es9WPwAAAP//AwBQSwMEFAAG&#10;AAgAAAAhAMMoan7fAAAACwEAAA8AAABkcnMvZG93bnJldi54bWxMj8FOg0AQhu8mvsNmTLyYdpEW&#10;qJSlURON19Y+wMBOgZTdJey20Ld3POltJv+Xf74pdrPpxZVG3zmr4HkZgSBbO93ZRsHx+2OxAeED&#10;Wo29s6TgRh525f1dgbl2k93T9RAawSXW56igDWHIpfR1Swb90g1kOTu50WDgdWykHnHictPLOIpS&#10;abCzfKHFgd5bqs+Hi1Fw+pqekpep+gzHbL9O37DLKndT6vFhft2CCDSHPxh+9VkdSnaq3MVqL3oF&#10;i3i1YpSDKEtAMJFs4hRExcM6i0CWhfz/Q/kDAAD//wMAUEsBAi0AFAAGAAgAAAAhALaDOJL+AAAA&#10;4QEAABMAAAAAAAAAAAAAAAAAAAAAAFtDb250ZW50X1R5cGVzXS54bWxQSwECLQAUAAYACAAAACEA&#10;OP0h/9YAAACUAQAACwAAAAAAAAAAAAAAAAAvAQAAX3JlbHMvLnJlbHNQSwECLQAUAAYACAAAACEA&#10;7eSwaoUCAAAXBQAADgAAAAAAAAAAAAAAAAAuAgAAZHJzL2Uyb0RvYy54bWxQSwECLQAUAAYACAAA&#10;ACEAwyhqft8AAAALAQAADwAAAAAAAAAAAAAAAADfBAAAZHJzL2Rvd25yZXYueG1sUEsFBgAAAAAE&#10;AAQA8wAAAOsFAAAAAA==&#10;" stroked="f">
                <v:textbox>
                  <w:txbxContent>
                    <w:p w14:paraId="0158C721" w14:textId="1AF0710C" w:rsidR="00017651" w:rsidRDefault="00017651">
                      <w:pPr>
                        <w:rPr>
                          <w:rFonts w:asciiTheme="minorHAnsi" w:hAnsiTheme="minorHAnsi" w:cstheme="minorHAnsi"/>
                          <w:b/>
                          <w:i/>
                          <w:color w:val="17365D" w:themeColor="text2" w:themeShade="BF"/>
                          <w:sz w:val="22"/>
                          <w:szCs w:val="22"/>
                        </w:rPr>
                      </w:pPr>
                      <w:r w:rsidRPr="00166A39">
                        <w:rPr>
                          <w:rFonts w:asciiTheme="minorHAnsi" w:hAnsiTheme="minorHAnsi" w:cstheme="minorHAnsi"/>
                          <w:b/>
                          <w:i/>
                          <w:color w:val="17365D" w:themeColor="text2" w:themeShade="BF"/>
                          <w:sz w:val="22"/>
                          <w:szCs w:val="22"/>
                        </w:rPr>
                        <w:t>Graficul 2.Evoluția PIB, 2011-2021</w:t>
                      </w:r>
                    </w:p>
                    <w:p w14:paraId="45DBE034" w14:textId="77777777" w:rsidR="00017651" w:rsidRPr="00B658A2" w:rsidRDefault="00017651">
                      <w:pPr>
                        <w:rPr>
                          <w:rFonts w:asciiTheme="minorHAnsi" w:hAnsiTheme="minorHAnsi" w:cstheme="minorHAnsi"/>
                          <w:b/>
                          <w:i/>
                          <w:color w:val="17365D" w:themeColor="text2" w:themeShade="BF"/>
                          <w:sz w:val="22"/>
                          <w:szCs w:val="22"/>
                        </w:rPr>
                      </w:pPr>
                    </w:p>
                    <w:p w14:paraId="1F3512F8" w14:textId="77777777" w:rsidR="00017651" w:rsidRDefault="00017651">
                      <w:pPr>
                        <w:rPr>
                          <w:rFonts w:asciiTheme="minorHAnsi" w:hAnsiTheme="minorHAnsi" w:cstheme="minorHAnsi"/>
                          <w:b/>
                          <w:i/>
                          <w:color w:val="17365D" w:themeColor="text2" w:themeShade="BF"/>
                        </w:rPr>
                      </w:pPr>
                      <w:r>
                        <w:rPr>
                          <w:noProof/>
                          <w:lang w:val="ru-RU" w:eastAsia="ru-RU"/>
                        </w:rPr>
                        <w:drawing>
                          <wp:inline distT="0" distB="0" distL="0" distR="0" wp14:anchorId="1761211D" wp14:editId="04401C7F">
                            <wp:extent cx="3664291" cy="190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5608" cy="1905685"/>
                                    </a:xfrm>
                                    <a:prstGeom prst="rect">
                                      <a:avLst/>
                                    </a:prstGeom>
                                    <a:noFill/>
                                    <a:ln>
                                      <a:noFill/>
                                    </a:ln>
                                  </pic:spPr>
                                </pic:pic>
                              </a:graphicData>
                            </a:graphic>
                          </wp:inline>
                        </w:drawing>
                      </w:r>
                    </w:p>
                    <w:p w14:paraId="52257E7F" w14:textId="77777777" w:rsidR="00017651" w:rsidRPr="00166A39" w:rsidRDefault="00017651">
                      <w:pPr>
                        <w:rPr>
                          <w:rFonts w:asciiTheme="minorHAnsi" w:hAnsiTheme="minorHAnsi" w:cstheme="minorHAnsi"/>
                          <w:i/>
                          <w:sz w:val="16"/>
                          <w:szCs w:val="16"/>
                        </w:rPr>
                      </w:pPr>
                      <w:r w:rsidRPr="00166A39">
                        <w:rPr>
                          <w:rFonts w:asciiTheme="minorHAnsi" w:hAnsiTheme="minorHAnsi" w:cstheme="minorHAnsi"/>
                          <w:i/>
                          <w:sz w:val="16"/>
                          <w:szCs w:val="16"/>
                        </w:rPr>
                        <w:t>Datele privind PIB pentru perioada 2011-2016 se prezinta în baza metodologiei</w:t>
                      </w:r>
                      <w:r w:rsidRPr="00166A39">
                        <w:rPr>
                          <w:rFonts w:asciiTheme="minorHAnsi" w:hAnsiTheme="minorHAnsi" w:cstheme="minorHAnsi"/>
                          <w:color w:val="444444"/>
                          <w:sz w:val="16"/>
                          <w:szCs w:val="16"/>
                          <w:shd w:val="clear" w:color="auto" w:fill="FFFFFF"/>
                        </w:rPr>
                        <w:t> SCN, ONU-1993/SEC-1995</w:t>
                      </w:r>
                      <w:r w:rsidRPr="00166A39">
                        <w:rPr>
                          <w:rFonts w:asciiTheme="minorHAnsi" w:hAnsiTheme="minorHAnsi" w:cstheme="minorHAnsi"/>
                          <w:i/>
                          <w:sz w:val="16"/>
                          <w:szCs w:val="16"/>
                        </w:rPr>
                        <w:t xml:space="preserve">, iar </w:t>
                      </w:r>
                      <w:r w:rsidRPr="003D67B1">
                        <w:rPr>
                          <w:rFonts w:asciiTheme="minorHAnsi" w:hAnsiTheme="minorHAnsi" w:cstheme="minorHAnsi"/>
                          <w:i/>
                          <w:sz w:val="16"/>
                          <w:szCs w:val="16"/>
                        </w:rPr>
                        <w:t>începând</w:t>
                      </w:r>
                      <w:r w:rsidRPr="00166A39">
                        <w:rPr>
                          <w:rFonts w:asciiTheme="minorHAnsi" w:hAnsiTheme="minorHAnsi" w:cstheme="minorHAnsi"/>
                          <w:i/>
                          <w:sz w:val="16"/>
                          <w:szCs w:val="16"/>
                        </w:rPr>
                        <w:t xml:space="preserve"> cu anul 2017 - în baza metodologii SCN </w:t>
                      </w:r>
                      <w:r w:rsidRPr="00166A39">
                        <w:rPr>
                          <w:rFonts w:asciiTheme="minorHAnsi" w:hAnsiTheme="minorHAnsi" w:cstheme="minorHAnsi"/>
                          <w:i/>
                          <w:iCs/>
                          <w:color w:val="444444"/>
                          <w:sz w:val="16"/>
                          <w:szCs w:val="16"/>
                          <w:shd w:val="clear" w:color="auto" w:fill="FFFFFF"/>
                        </w:rPr>
                        <w:t>ONU-2008/SEC-2010</w:t>
                      </w:r>
                      <w:r w:rsidRPr="00166A39">
                        <w:rPr>
                          <w:rFonts w:asciiTheme="minorHAnsi" w:hAnsiTheme="minorHAnsi" w:cstheme="minorHAnsi"/>
                          <w:i/>
                          <w:sz w:val="16"/>
                          <w:szCs w:val="16"/>
                        </w:rPr>
                        <w:t xml:space="preserve"> .</w:t>
                      </w:r>
                    </w:p>
                    <w:p w14:paraId="0372B624" w14:textId="6F5357B0" w:rsidR="00017651" w:rsidRDefault="00017651"/>
                  </w:txbxContent>
                </v:textbox>
                <w10:wrap type="square"/>
              </v:shape>
            </w:pict>
          </mc:Fallback>
        </mc:AlternateContent>
      </w:r>
      <w:r w:rsidR="005861CE" w:rsidRPr="00FB0BE5">
        <w:rPr>
          <w:rFonts w:asciiTheme="minorHAnsi" w:hAnsiTheme="minorHAnsi" w:cstheme="minorHAnsi"/>
        </w:rPr>
        <w:t xml:space="preserve">Prognoza PIB pe termen mediu, </w:t>
      </w:r>
      <w:r w:rsidR="00115544">
        <w:rPr>
          <w:rFonts w:asciiTheme="minorHAnsi" w:hAnsiTheme="minorHAnsi" w:cstheme="minorHAnsi"/>
        </w:rPr>
        <w:t>actualizată in luna septembrie curent</w:t>
      </w:r>
      <w:r w:rsidR="005861CE" w:rsidRPr="00FB0BE5">
        <w:rPr>
          <w:rFonts w:asciiTheme="minorHAnsi" w:hAnsiTheme="minorHAnsi" w:cstheme="minorHAnsi"/>
        </w:rPr>
        <w:t>,</w:t>
      </w:r>
      <w:r w:rsidR="00115544">
        <w:rPr>
          <w:rFonts w:asciiTheme="minorHAnsi" w:hAnsiTheme="minorHAnsi" w:cstheme="minorHAnsi"/>
        </w:rPr>
        <w:t xml:space="preserve"> este efectuată în baza noii metodologii de calcul a PIB</w:t>
      </w:r>
      <w:r w:rsidR="00A801E0">
        <w:rPr>
          <w:rFonts w:asciiTheme="minorHAnsi" w:hAnsiTheme="minorHAnsi" w:cstheme="minorHAnsi"/>
        </w:rPr>
        <w:t>, menționată mai sus</w:t>
      </w:r>
      <w:r w:rsidR="00115544">
        <w:rPr>
          <w:rFonts w:asciiTheme="minorHAnsi" w:hAnsiTheme="minorHAnsi" w:cstheme="minorHAnsi"/>
        </w:rPr>
        <w:t xml:space="preserve">, și </w:t>
      </w:r>
      <w:r w:rsidR="005861CE" w:rsidRPr="00FB0BE5">
        <w:rPr>
          <w:rFonts w:asciiTheme="minorHAnsi" w:hAnsiTheme="minorHAnsi" w:cstheme="minorHAnsi"/>
        </w:rPr>
        <w:t>prevede o creștere a</w:t>
      </w:r>
      <w:r w:rsidR="004149DD" w:rsidRPr="00FB0BE5">
        <w:rPr>
          <w:rFonts w:asciiTheme="minorHAnsi" w:hAnsiTheme="minorHAnsi" w:cstheme="minorHAnsi"/>
        </w:rPr>
        <w:t>nuală a</w:t>
      </w:r>
      <w:r w:rsidR="005861CE" w:rsidRPr="00FB0BE5">
        <w:rPr>
          <w:rFonts w:asciiTheme="minorHAnsi" w:hAnsiTheme="minorHAnsi" w:cstheme="minorHAnsi"/>
        </w:rPr>
        <w:t xml:space="preserve"> PIB nominal (în mediu) cu circa 9 la sută. Totodată, rata reală de creștere a PIB se prognozează la 3,</w:t>
      </w:r>
      <w:r w:rsidR="00115544">
        <w:rPr>
          <w:rFonts w:asciiTheme="minorHAnsi" w:hAnsiTheme="minorHAnsi" w:cstheme="minorHAnsi"/>
        </w:rPr>
        <w:t>8</w:t>
      </w:r>
      <w:r w:rsidR="005861CE" w:rsidRPr="00FB0BE5">
        <w:rPr>
          <w:rFonts w:asciiTheme="minorHAnsi" w:hAnsiTheme="minorHAnsi" w:cstheme="minorHAnsi"/>
        </w:rPr>
        <w:t>-4</w:t>
      </w:r>
      <w:r w:rsidR="00115544">
        <w:rPr>
          <w:rFonts w:asciiTheme="minorHAnsi" w:hAnsiTheme="minorHAnsi" w:cstheme="minorHAnsi"/>
        </w:rPr>
        <w:t>,5</w:t>
      </w:r>
      <w:r w:rsidR="005861CE" w:rsidRPr="00FB0BE5">
        <w:rPr>
          <w:rFonts w:asciiTheme="minorHAnsi" w:hAnsiTheme="minorHAnsi" w:cstheme="minorHAnsi"/>
        </w:rPr>
        <w:t xml:space="preserve"> la sută, iar deflatorul PIB </w:t>
      </w:r>
      <w:r w:rsidR="004C2190" w:rsidRPr="00FB0BE5">
        <w:rPr>
          <w:rFonts w:asciiTheme="minorHAnsi" w:hAnsiTheme="minorHAnsi" w:cstheme="minorHAnsi"/>
        </w:rPr>
        <w:t>situându-se</w:t>
      </w:r>
      <w:r w:rsidR="005861CE" w:rsidRPr="00FB0BE5">
        <w:rPr>
          <w:rFonts w:asciiTheme="minorHAnsi" w:hAnsiTheme="minorHAnsi" w:cstheme="minorHAnsi"/>
        </w:rPr>
        <w:t xml:space="preserve"> în jur de circa 5%.Ținând cont de concluziile </w:t>
      </w:r>
      <w:r w:rsidR="004C2190" w:rsidRPr="00FB0BE5">
        <w:rPr>
          <w:rFonts w:asciiTheme="minorHAnsi" w:hAnsiTheme="minorHAnsi" w:cstheme="minorHAnsi"/>
        </w:rPr>
        <w:t>deduse</w:t>
      </w:r>
      <w:r w:rsidR="005861CE" w:rsidRPr="00FB0BE5">
        <w:rPr>
          <w:rFonts w:asciiTheme="minorHAnsi" w:hAnsiTheme="minorHAnsi" w:cstheme="minorHAnsi"/>
        </w:rPr>
        <w:t xml:space="preserve"> mai sus, privind tendința</w:t>
      </w:r>
      <w:r w:rsidR="004149DD" w:rsidRPr="00FB0BE5">
        <w:rPr>
          <w:rFonts w:asciiTheme="minorHAnsi" w:hAnsiTheme="minorHAnsi" w:cstheme="minorHAnsi"/>
        </w:rPr>
        <w:t xml:space="preserve"> din trecut</w:t>
      </w:r>
      <w:r w:rsidR="005861CE" w:rsidRPr="00FB0BE5">
        <w:rPr>
          <w:rFonts w:asciiTheme="minorHAnsi" w:hAnsiTheme="minorHAnsi" w:cstheme="minorHAnsi"/>
        </w:rPr>
        <w:t xml:space="preserve"> de subestimare a PIB, </w:t>
      </w:r>
      <w:r w:rsidR="004149DD" w:rsidRPr="00FB0BE5">
        <w:rPr>
          <w:rFonts w:asciiTheme="minorHAnsi" w:hAnsiTheme="minorHAnsi" w:cstheme="minorHAnsi"/>
        </w:rPr>
        <w:t xml:space="preserve">există probabilitatea </w:t>
      </w:r>
      <w:r w:rsidR="00115544">
        <w:rPr>
          <w:rFonts w:asciiTheme="minorHAnsi" w:hAnsiTheme="minorHAnsi" w:cstheme="minorHAnsi"/>
        </w:rPr>
        <w:t xml:space="preserve">înaltă </w:t>
      </w:r>
      <w:r w:rsidR="004149DD" w:rsidRPr="00FB0BE5">
        <w:rPr>
          <w:rFonts w:asciiTheme="minorHAnsi" w:hAnsiTheme="minorHAnsi" w:cstheme="minorHAnsi"/>
        </w:rPr>
        <w:t>că creșterea PIB nominal</w:t>
      </w:r>
      <w:r w:rsidR="00115544">
        <w:rPr>
          <w:rFonts w:asciiTheme="minorHAnsi" w:hAnsiTheme="minorHAnsi" w:cstheme="minorHAnsi"/>
        </w:rPr>
        <w:t xml:space="preserve"> </w:t>
      </w:r>
      <w:r w:rsidR="005861CE" w:rsidRPr="00FB0BE5">
        <w:rPr>
          <w:rFonts w:asciiTheme="minorHAnsi" w:hAnsiTheme="minorHAnsi" w:cstheme="minorHAnsi"/>
        </w:rPr>
        <w:t xml:space="preserve">pe termen mediu </w:t>
      </w:r>
      <w:r w:rsidR="004149DD" w:rsidRPr="00FB0BE5">
        <w:rPr>
          <w:rFonts w:asciiTheme="minorHAnsi" w:hAnsiTheme="minorHAnsi" w:cstheme="minorHAnsi"/>
        </w:rPr>
        <w:t xml:space="preserve">va fi mai mare </w:t>
      </w:r>
      <w:r w:rsidR="00A519BF" w:rsidRPr="00FB0BE5">
        <w:rPr>
          <w:rFonts w:asciiTheme="minorHAnsi" w:hAnsiTheme="minorHAnsi" w:cstheme="minorHAnsi"/>
        </w:rPr>
        <w:t>decât</w:t>
      </w:r>
      <w:r w:rsidR="004149DD" w:rsidRPr="00FB0BE5">
        <w:rPr>
          <w:rFonts w:asciiTheme="minorHAnsi" w:hAnsiTheme="minorHAnsi" w:cstheme="minorHAnsi"/>
        </w:rPr>
        <w:t xml:space="preserve"> a fost prognozat</w:t>
      </w:r>
      <w:r w:rsidR="005861CE" w:rsidRPr="00FB0BE5">
        <w:rPr>
          <w:rFonts w:asciiTheme="minorHAnsi" w:hAnsiTheme="minorHAnsi" w:cstheme="minorHAnsi"/>
        </w:rPr>
        <w:t xml:space="preserve">. </w:t>
      </w:r>
      <w:r w:rsidR="004149DD" w:rsidRPr="00FB0BE5">
        <w:rPr>
          <w:rFonts w:asciiTheme="minorHAnsi" w:hAnsiTheme="minorHAnsi" w:cstheme="minorHAnsi"/>
        </w:rPr>
        <w:t>A</w:t>
      </w:r>
      <w:r w:rsidR="005861CE" w:rsidRPr="00FB0BE5">
        <w:rPr>
          <w:rFonts w:asciiTheme="minorHAnsi" w:hAnsiTheme="minorHAnsi" w:cstheme="minorHAnsi"/>
        </w:rPr>
        <w:t>ceast</w:t>
      </w:r>
      <w:r w:rsidR="004C2190" w:rsidRPr="00FB0BE5">
        <w:rPr>
          <w:rFonts w:asciiTheme="minorHAnsi" w:hAnsiTheme="minorHAnsi" w:cstheme="minorHAnsi"/>
        </w:rPr>
        <w:t>ă</w:t>
      </w:r>
      <w:r w:rsidR="005861CE" w:rsidRPr="00FB0BE5">
        <w:rPr>
          <w:rFonts w:asciiTheme="minorHAnsi" w:hAnsiTheme="minorHAnsi" w:cstheme="minorHAnsi"/>
        </w:rPr>
        <w:t xml:space="preserve"> concluzie este valabilă în condițiile absenț</w:t>
      </w:r>
      <w:r w:rsidR="004C2190" w:rsidRPr="00FB0BE5">
        <w:rPr>
          <w:rFonts w:asciiTheme="minorHAnsi" w:hAnsiTheme="minorHAnsi" w:cstheme="minorHAnsi"/>
        </w:rPr>
        <w:t>e</w:t>
      </w:r>
      <w:r w:rsidR="005861CE" w:rsidRPr="00FB0BE5">
        <w:rPr>
          <w:rFonts w:asciiTheme="minorHAnsi" w:hAnsiTheme="minorHAnsi" w:cstheme="minorHAnsi"/>
        </w:rPr>
        <w:t>i unor șocuri externe majore asupra economiei moldovenești.</w:t>
      </w:r>
    </w:p>
    <w:p w14:paraId="55A30A81" w14:textId="77777777" w:rsidR="00863E65" w:rsidRPr="00FB0BE5" w:rsidRDefault="005861CE" w:rsidP="008548D6">
      <w:pPr>
        <w:ind w:firstLine="567"/>
        <w:jc w:val="both"/>
        <w:rPr>
          <w:rFonts w:asciiTheme="minorHAnsi" w:hAnsiTheme="minorHAnsi" w:cstheme="minorHAnsi"/>
        </w:rPr>
      </w:pPr>
      <w:r w:rsidRPr="00FB0BE5">
        <w:rPr>
          <w:rFonts w:asciiTheme="minorHAnsi" w:hAnsiTheme="minorHAnsi" w:cstheme="minorHAnsi"/>
        </w:rPr>
        <w:t>Pe de o parte o prognoză mai prudent</w:t>
      </w:r>
      <w:r w:rsidR="004C2190" w:rsidRPr="00FB0BE5">
        <w:rPr>
          <w:rFonts w:asciiTheme="minorHAnsi" w:hAnsiTheme="minorHAnsi" w:cstheme="minorHAnsi"/>
        </w:rPr>
        <w:t>ă</w:t>
      </w:r>
      <w:r w:rsidR="00115544">
        <w:rPr>
          <w:rFonts w:asciiTheme="minorHAnsi" w:hAnsiTheme="minorHAnsi" w:cstheme="minorHAnsi"/>
        </w:rPr>
        <w:t xml:space="preserve"> </w:t>
      </w:r>
      <w:r w:rsidRPr="00FB0BE5">
        <w:rPr>
          <w:rFonts w:asciiTheme="minorHAnsi" w:hAnsiTheme="minorHAnsi" w:cstheme="minorHAnsi"/>
        </w:rPr>
        <w:t>conduce la o estimare mai prudentă a veniturilor pe termen mediu, fără impact major asupra bugetului în cazul producerii unor șocuri externe. Pe de altă parte</w:t>
      </w:r>
      <w:r w:rsidR="004149DD" w:rsidRPr="00FB0BE5">
        <w:rPr>
          <w:rFonts w:asciiTheme="minorHAnsi" w:hAnsiTheme="minorHAnsi" w:cstheme="minorHAnsi"/>
        </w:rPr>
        <w:t>,</w:t>
      </w:r>
      <w:r w:rsidRPr="00FB0BE5">
        <w:rPr>
          <w:rFonts w:asciiTheme="minorHAnsi" w:hAnsiTheme="minorHAnsi" w:cstheme="minorHAnsi"/>
        </w:rPr>
        <w:t xml:space="preserve"> o subestimare a indicatorilor bugetari </w:t>
      </w:r>
      <w:r w:rsidR="006C5D27" w:rsidRPr="00FB0BE5">
        <w:rPr>
          <w:rFonts w:asciiTheme="minorHAnsi" w:hAnsiTheme="minorHAnsi" w:cstheme="minorHAnsi"/>
        </w:rPr>
        <w:t xml:space="preserve">subminează </w:t>
      </w:r>
      <w:r w:rsidRPr="00FB0BE5">
        <w:rPr>
          <w:rFonts w:asciiTheme="minorHAnsi" w:hAnsiTheme="minorHAnsi" w:cstheme="minorHAnsi"/>
        </w:rPr>
        <w:t xml:space="preserve">o alocare </w:t>
      </w:r>
      <w:r w:rsidR="00B32CF7" w:rsidRPr="00FB0BE5">
        <w:rPr>
          <w:rFonts w:asciiTheme="minorHAnsi" w:hAnsiTheme="minorHAnsi" w:cstheme="minorHAnsi"/>
        </w:rPr>
        <w:t>eficientă</w:t>
      </w:r>
      <w:r w:rsidR="00115544">
        <w:rPr>
          <w:rFonts w:asciiTheme="minorHAnsi" w:hAnsiTheme="minorHAnsi" w:cstheme="minorHAnsi"/>
        </w:rPr>
        <w:t xml:space="preserve"> </w:t>
      </w:r>
      <w:r w:rsidRPr="00FB0BE5">
        <w:rPr>
          <w:rFonts w:asciiTheme="minorHAnsi" w:hAnsiTheme="minorHAnsi" w:cstheme="minorHAnsi"/>
        </w:rPr>
        <w:t>a resurselor în scopul dezvoltării economice și sociale.</w:t>
      </w:r>
    </w:p>
    <w:p w14:paraId="6AD6DE30" w14:textId="77777777" w:rsidR="006C3068" w:rsidRDefault="006C3068" w:rsidP="008548D6">
      <w:pPr>
        <w:ind w:firstLine="851"/>
        <w:rPr>
          <w:rFonts w:asciiTheme="minorHAnsi" w:hAnsiTheme="minorHAnsi" w:cstheme="minorHAnsi"/>
          <w:b/>
        </w:rPr>
      </w:pPr>
    </w:p>
    <w:p w14:paraId="0576135C" w14:textId="77777777" w:rsidR="00941A35" w:rsidRDefault="00941A35" w:rsidP="008548D6">
      <w:pPr>
        <w:ind w:firstLine="851"/>
        <w:rPr>
          <w:rFonts w:asciiTheme="minorHAnsi" w:hAnsiTheme="minorHAnsi" w:cstheme="minorHAnsi"/>
          <w:b/>
        </w:rPr>
      </w:pPr>
    </w:p>
    <w:p w14:paraId="1DD15FDB" w14:textId="77777777" w:rsidR="00941A35" w:rsidRPr="00FB0BE5" w:rsidRDefault="00941A35" w:rsidP="008548D6">
      <w:pPr>
        <w:ind w:firstLine="851"/>
        <w:rPr>
          <w:rFonts w:asciiTheme="minorHAnsi" w:hAnsiTheme="minorHAnsi" w:cstheme="minorHAnsi"/>
          <w:b/>
        </w:rPr>
      </w:pPr>
    </w:p>
    <w:p w14:paraId="04570737" w14:textId="77777777" w:rsidR="00863E65" w:rsidRPr="00FB0BE5" w:rsidRDefault="005861CE" w:rsidP="008548D6">
      <w:pPr>
        <w:ind w:firstLine="567"/>
        <w:rPr>
          <w:rFonts w:asciiTheme="minorHAnsi" w:hAnsiTheme="minorHAnsi" w:cstheme="minorHAnsi"/>
          <w:b/>
        </w:rPr>
      </w:pPr>
      <w:r w:rsidRPr="00FB0BE5">
        <w:rPr>
          <w:rFonts w:asciiTheme="minorHAnsi" w:hAnsiTheme="minorHAnsi" w:cstheme="minorHAnsi"/>
          <w:b/>
        </w:rPr>
        <w:t>Atenuarea riscurilor</w:t>
      </w:r>
    </w:p>
    <w:p w14:paraId="19BC745E" w14:textId="77777777" w:rsidR="004C2190" w:rsidRPr="00FB0BE5" w:rsidRDefault="004C2190" w:rsidP="008548D6">
      <w:pPr>
        <w:rPr>
          <w:rFonts w:asciiTheme="minorHAnsi" w:hAnsiTheme="minorHAnsi" w:cstheme="minorHAnsi"/>
          <w:b/>
        </w:rPr>
      </w:pPr>
    </w:p>
    <w:bookmarkEnd w:id="9"/>
    <w:p w14:paraId="6DC8F424" w14:textId="77777777" w:rsidR="00863E65" w:rsidRPr="00FB0BE5" w:rsidRDefault="005861CE" w:rsidP="008548D6">
      <w:pPr>
        <w:ind w:firstLine="567"/>
        <w:jc w:val="both"/>
        <w:rPr>
          <w:rFonts w:asciiTheme="minorHAnsi" w:hAnsiTheme="minorHAnsi" w:cstheme="minorHAnsi"/>
        </w:rPr>
      </w:pPr>
      <w:r w:rsidRPr="00FB0BE5">
        <w:rPr>
          <w:rFonts w:asciiTheme="minorHAnsi" w:hAnsiTheme="minorHAnsi" w:cstheme="minorHAnsi"/>
        </w:rPr>
        <w:t>Practic</w:t>
      </w:r>
      <w:r w:rsidR="004C2190" w:rsidRPr="00FB0BE5">
        <w:rPr>
          <w:rFonts w:asciiTheme="minorHAnsi" w:hAnsiTheme="minorHAnsi" w:cstheme="minorHAnsi"/>
        </w:rPr>
        <w:t>a existentă pentru diminuarea</w:t>
      </w:r>
      <w:r w:rsidRPr="00FB0BE5">
        <w:rPr>
          <w:rFonts w:asciiTheme="minorHAnsi" w:hAnsiTheme="minorHAnsi" w:cstheme="minorHAnsi"/>
        </w:rPr>
        <w:t xml:space="preserve"> riscurilor asociate estimărilor PIB în scopurile bugetare se realizează prin reestimarea periodică a prognozelor indicatorilor macroeconomici, conform calendarului bugetar</w:t>
      </w:r>
      <w:r w:rsidR="004C2190" w:rsidRPr="00FB0BE5">
        <w:rPr>
          <w:rFonts w:asciiTheme="minorHAnsi" w:hAnsiTheme="minorHAnsi" w:cstheme="minorHAnsi"/>
        </w:rPr>
        <w:t xml:space="preserve"> de</w:t>
      </w:r>
      <w:r w:rsidRPr="00FB0BE5">
        <w:rPr>
          <w:rFonts w:asciiTheme="minorHAnsi" w:hAnsiTheme="minorHAnsi" w:cstheme="minorHAnsi"/>
        </w:rPr>
        <w:t xml:space="preserve"> cel puțin 2 ori pe an, iar la necesitate </w:t>
      </w:r>
      <w:r w:rsidR="004C2190" w:rsidRPr="00FB0BE5">
        <w:rPr>
          <w:rFonts w:asciiTheme="minorHAnsi" w:hAnsiTheme="minorHAnsi" w:cstheme="minorHAnsi"/>
        </w:rPr>
        <w:t>ș</w:t>
      </w:r>
      <w:r w:rsidRPr="00FB0BE5">
        <w:rPr>
          <w:rFonts w:asciiTheme="minorHAnsi" w:hAnsiTheme="minorHAnsi" w:cstheme="minorHAnsi"/>
        </w:rPr>
        <w:t>i mai des.</w:t>
      </w:r>
    </w:p>
    <w:p w14:paraId="514AF98B" w14:textId="77777777" w:rsidR="00863E65" w:rsidRPr="00FB0BE5" w:rsidRDefault="004C2190" w:rsidP="008548D6">
      <w:pPr>
        <w:ind w:firstLine="567"/>
        <w:jc w:val="both"/>
        <w:rPr>
          <w:rFonts w:asciiTheme="minorHAnsi" w:hAnsiTheme="minorHAnsi" w:cstheme="minorHAnsi"/>
        </w:rPr>
      </w:pPr>
      <w:r w:rsidRPr="00FB0BE5">
        <w:rPr>
          <w:rFonts w:asciiTheme="minorHAnsi" w:hAnsiTheme="minorHAnsi" w:cstheme="minorHAnsi"/>
        </w:rPr>
        <w:t>Pe termen mediu ș</w:t>
      </w:r>
      <w:r w:rsidR="005861CE" w:rsidRPr="00FB0BE5">
        <w:rPr>
          <w:rFonts w:asciiTheme="minorHAnsi" w:hAnsiTheme="minorHAnsi" w:cstheme="minorHAnsi"/>
        </w:rPr>
        <w:t>i lung diminuarea riscurilor se va realiza prin îmbunătățirea și diversi</w:t>
      </w:r>
      <w:r w:rsidRPr="00FB0BE5">
        <w:rPr>
          <w:rFonts w:asciiTheme="minorHAnsi" w:hAnsiTheme="minorHAnsi" w:cstheme="minorHAnsi"/>
        </w:rPr>
        <w:t>ficarea metodelor de prognozare</w:t>
      </w:r>
      <w:r w:rsidR="005861CE" w:rsidRPr="00FB0BE5">
        <w:rPr>
          <w:rFonts w:asciiTheme="minorHAnsi" w:hAnsiTheme="minorHAnsi" w:cstheme="minorHAnsi"/>
        </w:rPr>
        <w:t xml:space="preserve"> a indicatorilor macroeconomici, precum și</w:t>
      </w:r>
      <w:r w:rsidR="00941A35">
        <w:rPr>
          <w:rFonts w:asciiTheme="minorHAnsi" w:hAnsiTheme="minorHAnsi" w:cstheme="minorHAnsi"/>
        </w:rPr>
        <w:t xml:space="preserve"> </w:t>
      </w:r>
      <w:r w:rsidR="006C5D27" w:rsidRPr="00FB0BE5">
        <w:rPr>
          <w:rFonts w:asciiTheme="minorHAnsi" w:hAnsiTheme="minorHAnsi" w:cstheme="minorHAnsi"/>
        </w:rPr>
        <w:t>compararea</w:t>
      </w:r>
      <w:r w:rsidR="00941A35">
        <w:rPr>
          <w:rFonts w:asciiTheme="minorHAnsi" w:hAnsiTheme="minorHAnsi" w:cstheme="minorHAnsi"/>
        </w:rPr>
        <w:t xml:space="preserve"> </w:t>
      </w:r>
      <w:r w:rsidR="005861CE" w:rsidRPr="00FB0BE5">
        <w:rPr>
          <w:rFonts w:asciiTheme="minorHAnsi" w:hAnsiTheme="minorHAnsi" w:cstheme="minorHAnsi"/>
        </w:rPr>
        <w:t xml:space="preserve">prognozelor cu </w:t>
      </w:r>
      <w:r w:rsidR="006C5D27" w:rsidRPr="00FB0BE5">
        <w:rPr>
          <w:rFonts w:asciiTheme="minorHAnsi" w:hAnsiTheme="minorHAnsi" w:cstheme="minorHAnsi"/>
        </w:rPr>
        <w:t>cele produse de</w:t>
      </w:r>
      <w:r w:rsidR="005861CE" w:rsidRPr="00FB0BE5">
        <w:rPr>
          <w:rFonts w:asciiTheme="minorHAnsi" w:hAnsiTheme="minorHAnsi" w:cstheme="minorHAnsi"/>
        </w:rPr>
        <w:t xml:space="preserve"> instituții</w:t>
      </w:r>
      <w:r w:rsidR="006C5D27" w:rsidRPr="00FB0BE5">
        <w:rPr>
          <w:rFonts w:asciiTheme="minorHAnsi" w:hAnsiTheme="minorHAnsi" w:cstheme="minorHAnsi"/>
        </w:rPr>
        <w:t>le</w:t>
      </w:r>
      <w:r w:rsidR="005861CE" w:rsidRPr="00FB0BE5">
        <w:rPr>
          <w:rFonts w:asciiTheme="minorHAnsi" w:hAnsiTheme="minorHAnsi" w:cstheme="minorHAnsi"/>
        </w:rPr>
        <w:t xml:space="preserve"> specializate în elaborarea prognozelor economice.</w:t>
      </w:r>
    </w:p>
    <w:p w14:paraId="44543C10" w14:textId="77777777" w:rsidR="00863E65" w:rsidRPr="00FB0BE5" w:rsidRDefault="00863E65" w:rsidP="009538EA">
      <w:pPr>
        <w:pStyle w:val="ParagraphNumbering"/>
        <w:numPr>
          <w:ilvl w:val="0"/>
          <w:numId w:val="0"/>
        </w:numPr>
        <w:spacing w:line="240" w:lineRule="auto"/>
        <w:rPr>
          <w:rStyle w:val="IntenseEmphasis"/>
          <w:sz w:val="24"/>
          <w:lang w:val="ro-RO"/>
        </w:rPr>
      </w:pPr>
    </w:p>
    <w:p w14:paraId="6E91013C" w14:textId="77777777" w:rsidR="00863E65" w:rsidRPr="00FB0BE5" w:rsidRDefault="004C2190" w:rsidP="009538EA">
      <w:pPr>
        <w:pStyle w:val="Heading2"/>
        <w:ind w:firstLine="567"/>
        <w:rPr>
          <w:sz w:val="24"/>
          <w:szCs w:val="24"/>
        </w:rPr>
      </w:pPr>
      <w:bookmarkStart w:id="10" w:name="_Toc498455209"/>
      <w:bookmarkStart w:id="11" w:name="_Toc498612424"/>
      <w:r w:rsidRPr="00FB0BE5">
        <w:rPr>
          <w:sz w:val="24"/>
          <w:szCs w:val="24"/>
        </w:rPr>
        <w:lastRenderedPageBreak/>
        <w:t>1.2 Riscuri</w:t>
      </w:r>
      <w:r w:rsidR="00B658A2" w:rsidRPr="00FB0BE5">
        <w:rPr>
          <w:sz w:val="24"/>
          <w:szCs w:val="24"/>
        </w:rPr>
        <w:t>,</w:t>
      </w:r>
      <w:r w:rsidR="005861CE" w:rsidRPr="00FB0BE5">
        <w:rPr>
          <w:sz w:val="24"/>
          <w:szCs w:val="24"/>
        </w:rPr>
        <w:t xml:space="preserve"> asociate estimărilor veniturilor bugetare</w:t>
      </w:r>
      <w:bookmarkEnd w:id="10"/>
      <w:bookmarkEnd w:id="11"/>
    </w:p>
    <w:p w14:paraId="4BE94951" w14:textId="77777777" w:rsidR="00863E65" w:rsidRPr="00FB0BE5" w:rsidRDefault="00863E65" w:rsidP="008548D6">
      <w:pPr>
        <w:jc w:val="center"/>
        <w:rPr>
          <w:rFonts w:asciiTheme="minorHAnsi" w:hAnsiTheme="minorHAnsi" w:cstheme="minorHAnsi"/>
          <w:b/>
        </w:rPr>
      </w:pPr>
    </w:p>
    <w:p w14:paraId="4FAE7F44" w14:textId="77777777" w:rsidR="00863E65" w:rsidRPr="00FB0BE5" w:rsidRDefault="005861CE" w:rsidP="008548D6">
      <w:pPr>
        <w:ind w:firstLine="567"/>
        <w:rPr>
          <w:rFonts w:asciiTheme="minorHAnsi" w:hAnsiTheme="minorHAnsi" w:cstheme="minorHAnsi"/>
          <w:b/>
        </w:rPr>
      </w:pPr>
      <w:r w:rsidRPr="00FB0BE5">
        <w:rPr>
          <w:rFonts w:asciiTheme="minorHAnsi" w:hAnsiTheme="minorHAnsi" w:cstheme="minorHAnsi"/>
          <w:b/>
        </w:rPr>
        <w:t>Tendințe și evoluții recente</w:t>
      </w:r>
    </w:p>
    <w:p w14:paraId="7455418C" w14:textId="77777777" w:rsidR="004C2190" w:rsidRPr="00FB0BE5" w:rsidRDefault="004C2190" w:rsidP="008548D6">
      <w:pPr>
        <w:ind w:firstLine="567"/>
        <w:rPr>
          <w:rFonts w:asciiTheme="minorHAnsi" w:hAnsiTheme="minorHAnsi" w:cstheme="minorHAnsi"/>
          <w:b/>
        </w:rPr>
      </w:pPr>
    </w:p>
    <w:p w14:paraId="05C07CA4" w14:textId="77777777" w:rsidR="00863E65" w:rsidRPr="00FB0BE5" w:rsidRDefault="005861CE" w:rsidP="008548D6">
      <w:pPr>
        <w:pStyle w:val="ListParagraph"/>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Prognoza veniturilor reprezintă un alt factor important în d</w:t>
      </w:r>
      <w:r w:rsidR="004C2190" w:rsidRPr="00FB0BE5">
        <w:rPr>
          <w:rFonts w:asciiTheme="minorHAnsi" w:hAnsiTheme="minorHAnsi" w:cstheme="minorHAnsi"/>
          <w:sz w:val="24"/>
          <w:szCs w:val="24"/>
        </w:rPr>
        <w:t>eterminarea poziției fiscale</w:t>
      </w:r>
      <w:r w:rsidR="00941A35">
        <w:rPr>
          <w:rFonts w:asciiTheme="minorHAnsi" w:hAnsiTheme="minorHAnsi" w:cstheme="minorHAnsi"/>
          <w:sz w:val="24"/>
          <w:szCs w:val="24"/>
        </w:rPr>
        <w:t xml:space="preserve"> </w:t>
      </w:r>
      <w:r w:rsidR="0095081B" w:rsidRPr="00FB0BE5">
        <w:rPr>
          <w:rFonts w:asciiTheme="minorHAnsi" w:hAnsiTheme="minorHAnsi" w:cstheme="minorHAnsi"/>
          <w:sz w:val="24"/>
          <w:szCs w:val="24"/>
        </w:rPr>
        <w:t>a</w:t>
      </w:r>
      <w:r w:rsidR="00941A35">
        <w:rPr>
          <w:rFonts w:asciiTheme="minorHAnsi" w:hAnsiTheme="minorHAnsi" w:cstheme="minorHAnsi"/>
          <w:sz w:val="24"/>
          <w:szCs w:val="24"/>
        </w:rPr>
        <w:t xml:space="preserve"> </w:t>
      </w:r>
      <w:r w:rsidRPr="00FB0BE5">
        <w:rPr>
          <w:rFonts w:asciiTheme="minorHAnsi" w:hAnsiTheme="minorHAnsi" w:cstheme="minorHAnsi"/>
          <w:sz w:val="24"/>
          <w:szCs w:val="24"/>
        </w:rPr>
        <w:t xml:space="preserve">unei țări. O supraestimare a veniturilor ar conduce la un deficit mai mare </w:t>
      </w:r>
      <w:r w:rsidR="004C2190" w:rsidRPr="00FB0BE5">
        <w:rPr>
          <w:rFonts w:asciiTheme="minorHAnsi" w:hAnsiTheme="minorHAnsi" w:cstheme="minorHAnsi"/>
          <w:sz w:val="24"/>
          <w:szCs w:val="24"/>
        </w:rPr>
        <w:t>decât</w:t>
      </w:r>
      <w:r w:rsidRPr="00FB0BE5">
        <w:rPr>
          <w:rFonts w:asciiTheme="minorHAnsi" w:hAnsiTheme="minorHAnsi" w:cstheme="minorHAnsi"/>
          <w:sz w:val="24"/>
          <w:szCs w:val="24"/>
        </w:rPr>
        <w:t xml:space="preserve"> cel planificat. O subestimare a acestora ar limita deciziile de </w:t>
      </w:r>
      <w:r w:rsidR="004C2190" w:rsidRPr="00FB0BE5">
        <w:rPr>
          <w:rFonts w:asciiTheme="minorHAnsi" w:hAnsiTheme="minorHAnsi" w:cstheme="minorHAnsi"/>
          <w:sz w:val="24"/>
          <w:szCs w:val="24"/>
        </w:rPr>
        <w:t>alocare a resurselor financiare</w:t>
      </w:r>
      <w:r w:rsidRPr="00FB0BE5">
        <w:rPr>
          <w:rFonts w:asciiTheme="minorHAnsi" w:hAnsiTheme="minorHAnsi" w:cstheme="minorHAnsi"/>
          <w:sz w:val="24"/>
          <w:szCs w:val="24"/>
        </w:rPr>
        <w:t xml:space="preserve"> și </w:t>
      </w:r>
      <w:r w:rsidR="004C2190" w:rsidRPr="00FB0BE5">
        <w:rPr>
          <w:rFonts w:asciiTheme="minorHAnsi" w:hAnsiTheme="minorHAnsi" w:cstheme="minorHAnsi"/>
          <w:sz w:val="24"/>
          <w:szCs w:val="24"/>
        </w:rPr>
        <w:t>drept</w:t>
      </w:r>
      <w:r w:rsidRPr="00FB0BE5">
        <w:rPr>
          <w:rFonts w:asciiTheme="minorHAnsi" w:hAnsiTheme="minorHAnsi" w:cstheme="minorHAnsi"/>
          <w:sz w:val="24"/>
          <w:szCs w:val="24"/>
        </w:rPr>
        <w:t xml:space="preserve"> consecință ar influența indirect posibilitățile de dezvoltare economică și socială.</w:t>
      </w:r>
    </w:p>
    <w:p w14:paraId="447A5EE5" w14:textId="77777777" w:rsidR="00863E65" w:rsidRPr="00FB0BE5" w:rsidRDefault="005861CE" w:rsidP="008548D6">
      <w:pPr>
        <w:pStyle w:val="ListParagraph"/>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Prognoza veniturilor este influențată de prognozele indicatorilor macroeconomici, precum și de deciziile de politică în domeniul impozitelor și taxelor. Schimbările frecvente și semnificative în acest sens, contribuie la o volatilitate în estimarea veniturilor bugetare. Prognoza veniturilor fiscale depinde</w:t>
      </w:r>
      <w:r w:rsidR="00306E29" w:rsidRPr="00FB0BE5">
        <w:rPr>
          <w:rFonts w:asciiTheme="minorHAnsi" w:hAnsiTheme="minorHAnsi" w:cstheme="minorHAnsi"/>
          <w:sz w:val="24"/>
          <w:szCs w:val="24"/>
        </w:rPr>
        <w:t xml:space="preserve"> și</w:t>
      </w:r>
      <w:r w:rsidRPr="00FB0BE5">
        <w:rPr>
          <w:rFonts w:asciiTheme="minorHAnsi" w:hAnsiTheme="minorHAnsi" w:cstheme="minorHAnsi"/>
          <w:sz w:val="24"/>
          <w:szCs w:val="24"/>
        </w:rPr>
        <w:t xml:space="preserve"> de relația dintre fiecare tip de impozit (tax</w:t>
      </w:r>
      <w:r w:rsidR="004C2190" w:rsidRPr="00FB0BE5">
        <w:rPr>
          <w:rFonts w:asciiTheme="minorHAnsi" w:hAnsiTheme="minorHAnsi" w:cstheme="minorHAnsi"/>
          <w:sz w:val="24"/>
          <w:szCs w:val="24"/>
        </w:rPr>
        <w:t>ă</w:t>
      </w:r>
      <w:r w:rsidRPr="00FB0BE5">
        <w:rPr>
          <w:rFonts w:asciiTheme="minorHAnsi" w:hAnsiTheme="minorHAnsi" w:cstheme="minorHAnsi"/>
          <w:sz w:val="24"/>
          <w:szCs w:val="24"/>
        </w:rPr>
        <w:t>) ș</w:t>
      </w:r>
      <w:r w:rsidR="004C2190" w:rsidRPr="00FB0BE5">
        <w:rPr>
          <w:rFonts w:asciiTheme="minorHAnsi" w:hAnsiTheme="minorHAnsi" w:cstheme="minorHAnsi"/>
          <w:sz w:val="24"/>
          <w:szCs w:val="24"/>
        </w:rPr>
        <w:t>i baza acestuia. Pe parcursul ultimilor 16 ani raportul î</w:t>
      </w:r>
      <w:r w:rsidRPr="00FB0BE5">
        <w:rPr>
          <w:rFonts w:asciiTheme="minorHAnsi" w:hAnsiTheme="minorHAnsi" w:cstheme="minorHAnsi"/>
          <w:sz w:val="24"/>
          <w:szCs w:val="24"/>
        </w:rPr>
        <w:t>ntre creșterea veniturilor fiscale și a creșterii PIB nominal a fost de 1,2, fapt ce demonstrează că veniturile fiscale cresc mai repede decât PIB nominal.</w:t>
      </w:r>
    </w:p>
    <w:p w14:paraId="25973D54" w14:textId="1B4612B9" w:rsidR="00863E65" w:rsidRPr="00FB0BE5" w:rsidRDefault="00BC6227" w:rsidP="004C2190">
      <w:pPr>
        <w:ind w:firstLine="567"/>
        <w:jc w:val="both"/>
        <w:rPr>
          <w:rFonts w:asciiTheme="minorHAnsi" w:hAnsiTheme="minorHAnsi" w:cstheme="minorHAnsi"/>
          <w:strike/>
        </w:rPr>
      </w:pPr>
      <w:r>
        <w:rPr>
          <w:rFonts w:asciiTheme="minorHAnsi" w:hAnsiTheme="minorHAnsi" w:cstheme="minorHAnsi"/>
          <w:noProof/>
          <w:lang w:val="ru-RU" w:eastAsia="ru-RU"/>
        </w:rPr>
        <mc:AlternateContent>
          <mc:Choice Requires="wps">
            <w:drawing>
              <wp:anchor distT="0" distB="0" distL="114300" distR="114300" simplePos="0" relativeHeight="251655680" behindDoc="0" locked="0" layoutInCell="1" allowOverlap="1" wp14:anchorId="684C25F1" wp14:editId="762608EB">
                <wp:simplePos x="0" y="0"/>
                <wp:positionH relativeFrom="margin">
                  <wp:align>left</wp:align>
                </wp:positionH>
                <wp:positionV relativeFrom="paragraph">
                  <wp:posOffset>1427480</wp:posOffset>
                </wp:positionV>
                <wp:extent cx="5829300" cy="289560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2F7F" w14:textId="77777777" w:rsidR="00017651" w:rsidRDefault="00017651" w:rsidP="004C2190">
                            <w:pPr>
                              <w:pStyle w:val="ListParagraph"/>
                              <w:ind w:left="0"/>
                              <w:jc w:val="both"/>
                              <w:rPr>
                                <w:rFonts w:asciiTheme="minorHAnsi" w:hAnsiTheme="minorHAnsi" w:cstheme="minorHAnsi"/>
                                <w:b/>
                                <w:i/>
                                <w:color w:val="17365D" w:themeColor="text2" w:themeShade="BF"/>
                              </w:rPr>
                            </w:pPr>
                            <w:r w:rsidRPr="00166A39">
                              <w:rPr>
                                <w:rFonts w:asciiTheme="minorHAnsi" w:hAnsiTheme="minorHAnsi" w:cstheme="minorHAnsi"/>
                                <w:b/>
                                <w:i/>
                                <w:color w:val="17365D" w:themeColor="text2" w:themeShade="BF"/>
                              </w:rPr>
                              <w:t>Graficul3. Devierea prognozelor veniturilor bugetare comparativ cu executarea acestora*</w:t>
                            </w:r>
                          </w:p>
                          <w:p w14:paraId="150B09CF" w14:textId="77777777" w:rsidR="00017651" w:rsidRDefault="00017651" w:rsidP="004C2190">
                            <w:pPr>
                              <w:pStyle w:val="ListParagraph"/>
                              <w:ind w:left="0"/>
                              <w:jc w:val="both"/>
                              <w:rPr>
                                <w:rFonts w:asciiTheme="minorHAnsi" w:hAnsiTheme="minorHAnsi" w:cstheme="minorHAnsi"/>
                                <w:b/>
                                <w:i/>
                                <w:color w:val="17365D" w:themeColor="text2" w:themeShade="BF"/>
                              </w:rPr>
                            </w:pPr>
                          </w:p>
                          <w:p w14:paraId="6384088A" w14:textId="77777777" w:rsidR="00017651" w:rsidRPr="00EA7B1C" w:rsidRDefault="00017651" w:rsidP="004C2190">
                            <w:pPr>
                              <w:pStyle w:val="ListParagraph"/>
                              <w:ind w:left="0"/>
                              <w:jc w:val="both"/>
                              <w:rPr>
                                <w:rFonts w:asciiTheme="minorHAnsi" w:hAnsiTheme="minorHAnsi" w:cstheme="minorHAnsi"/>
                                <w:b/>
                                <w:i/>
                                <w:color w:val="17365D" w:themeColor="text2" w:themeShade="BF"/>
                              </w:rPr>
                            </w:pPr>
                            <w:r w:rsidRPr="00166A39">
                              <w:rPr>
                                <w:noProof/>
                                <w:lang w:val="ru-RU" w:eastAsia="ru-RU"/>
                              </w:rPr>
                              <w:drawing>
                                <wp:inline distT="0" distB="0" distL="0" distR="0" wp14:anchorId="5D723560" wp14:editId="01769B17">
                                  <wp:extent cx="285750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r w:rsidRPr="0001493B">
                              <w:rPr>
                                <w:rFonts w:asciiTheme="minorHAnsi" w:hAnsiTheme="minorHAnsi" w:cstheme="minorHAnsi"/>
                                <w:b/>
                                <w:i/>
                                <w:color w:val="17365D" w:themeColor="text2" w:themeShade="BF"/>
                              </w:rPr>
                              <w:t xml:space="preserve"> </w:t>
                            </w:r>
                            <w:r w:rsidRPr="00166A39">
                              <w:rPr>
                                <w:noProof/>
                                <w:lang w:val="ru-RU" w:eastAsia="ru-RU"/>
                              </w:rPr>
                              <w:drawing>
                                <wp:inline distT="0" distB="0" distL="0" distR="0" wp14:anchorId="3E287475" wp14:editId="310881B3">
                                  <wp:extent cx="2695575" cy="22479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2247900"/>
                                          </a:xfrm>
                                          <a:prstGeom prst="rect">
                                            <a:avLst/>
                                          </a:prstGeom>
                                          <a:noFill/>
                                          <a:ln>
                                            <a:noFill/>
                                          </a:ln>
                                        </pic:spPr>
                                      </pic:pic>
                                    </a:graphicData>
                                  </a:graphic>
                                </wp:inline>
                              </w:drawing>
                            </w:r>
                          </w:p>
                          <w:p w14:paraId="5B4874C4" w14:textId="48505EBE" w:rsidR="00017651" w:rsidRDefault="00017651" w:rsidP="00863E65">
                            <w:pPr>
                              <w:pStyle w:val="ListParagraph"/>
                              <w:ind w:left="0"/>
                              <w:rPr>
                                <w:rFonts w:asciiTheme="minorHAnsi" w:hAnsiTheme="minorHAnsi" w:cstheme="minorHAnsi"/>
                                <w:b/>
                                <w:i/>
                                <w:color w:val="17365D" w:themeColor="text2"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C25F1" id="Text Box 5" o:spid="_x0000_s1029" type="#_x0000_t202" style="position:absolute;left:0;text-align:left;margin-left:0;margin-top:112.4pt;width:459pt;height:22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pChAIAABg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BtxV&#10;GCnSA0cPfPToWo+oDO0ZjKvB696Anx/hGFxjqc7cafrZIaVvOqI2/MpaPXScMEgvCzeTk6sTjgsg&#10;6+GdZhCGbL2OQGNr+9A76AYCdKDp8UhNSIXCYbnIq1cpmCjY8kVVzmETYpD6cN1Y599w3aOwaLAF&#10;7iM82d05P7keXEI0p6VgKyFl3NjN+kZatCOgk1V89ujP3KQKzkqHaxPidAJZQoxgC/lG3r9VWV6k&#10;13k1W80X57NiVZSz6jxdzNKsuq7maVEVt6vvIcGsqDvBGFd3QvGDBrPi7zjeT8OknqhCNDS4KvNy&#10;4uiPRabx+V2RvfAwklL0DV4cnUgdmH2tGJRNak+EnNbJ8/QjIdCDwzd2JeogUD+JwI/rMSruVYge&#10;NLLW7BGEYTXQBhTD7wQWnbZfMRpgNBvsvmyJ5RjJtwrEVWVFEWY5boryPIeNPbWsTy1EUYBqsMdo&#10;Wt74af63xopNB5EmOSt9BYJsRZTKU1Z7GcP4xZr2v4ow36f76PX0Q1v+AAAA//8DAFBLAwQUAAYA&#10;CAAAACEABfdEw9wAAAAIAQAADwAAAGRycy9kb3ducmV2LnhtbEyPwU6DQBCG7ya+w2ZMvBi7lFRK&#10;KUOjJhqvrX2AAbZAys4Sdlvo2zue9DjzT/75vnw3215dzeg7xwjLRQTKcOXqjhuE4/fHcwrKB+Ka&#10;escG4WY87Ir7u5yy2k28N9dDaJSUsM8IoQ1hyLT2VWss+YUbDEt2cqOlIOPY6HqkScptr+MoSrSl&#10;juVDS4N5b011PlwswulrenrZTOVnOK73q+SNunXpboiPD/PrFlQwc/g7hl98QYdCmEp34dqrHkFE&#10;AkIcr0RA4s0ylU2JkKRRCrrI9X+B4gcAAP//AwBQSwECLQAUAAYACAAAACEAtoM4kv4AAADhAQAA&#10;EwAAAAAAAAAAAAAAAAAAAAAAW0NvbnRlbnRfVHlwZXNdLnhtbFBLAQItABQABgAIAAAAIQA4/SH/&#10;1gAAAJQBAAALAAAAAAAAAAAAAAAAAC8BAABfcmVscy8ucmVsc1BLAQItABQABgAIAAAAIQBDwJpC&#10;hAIAABgFAAAOAAAAAAAAAAAAAAAAAC4CAABkcnMvZTJvRG9jLnhtbFBLAQItABQABgAIAAAAIQAF&#10;90TD3AAAAAgBAAAPAAAAAAAAAAAAAAAAAN4EAABkcnMvZG93bnJldi54bWxQSwUGAAAAAAQABADz&#10;AAAA5wUAAAAA&#10;" stroked="f">
                <v:textbox>
                  <w:txbxContent>
                    <w:p w14:paraId="50602F7F" w14:textId="77777777" w:rsidR="00017651" w:rsidRDefault="00017651" w:rsidP="004C2190">
                      <w:pPr>
                        <w:pStyle w:val="ListParagraph"/>
                        <w:ind w:left="0"/>
                        <w:jc w:val="both"/>
                        <w:rPr>
                          <w:rFonts w:asciiTheme="minorHAnsi" w:hAnsiTheme="minorHAnsi" w:cstheme="minorHAnsi"/>
                          <w:b/>
                          <w:i/>
                          <w:color w:val="17365D" w:themeColor="text2" w:themeShade="BF"/>
                        </w:rPr>
                      </w:pPr>
                      <w:r w:rsidRPr="00166A39">
                        <w:rPr>
                          <w:rFonts w:asciiTheme="minorHAnsi" w:hAnsiTheme="minorHAnsi" w:cstheme="minorHAnsi"/>
                          <w:b/>
                          <w:i/>
                          <w:color w:val="17365D" w:themeColor="text2" w:themeShade="BF"/>
                        </w:rPr>
                        <w:t>Graficul3. Devierea prognozelor veniturilor bugetare comparativ cu executarea acestora*</w:t>
                      </w:r>
                    </w:p>
                    <w:p w14:paraId="150B09CF" w14:textId="77777777" w:rsidR="00017651" w:rsidRDefault="00017651" w:rsidP="004C2190">
                      <w:pPr>
                        <w:pStyle w:val="ListParagraph"/>
                        <w:ind w:left="0"/>
                        <w:jc w:val="both"/>
                        <w:rPr>
                          <w:rFonts w:asciiTheme="minorHAnsi" w:hAnsiTheme="minorHAnsi" w:cstheme="minorHAnsi"/>
                          <w:b/>
                          <w:i/>
                          <w:color w:val="17365D" w:themeColor="text2" w:themeShade="BF"/>
                        </w:rPr>
                      </w:pPr>
                    </w:p>
                    <w:p w14:paraId="6384088A" w14:textId="77777777" w:rsidR="00017651" w:rsidRPr="00EA7B1C" w:rsidRDefault="00017651" w:rsidP="004C2190">
                      <w:pPr>
                        <w:pStyle w:val="ListParagraph"/>
                        <w:ind w:left="0"/>
                        <w:jc w:val="both"/>
                        <w:rPr>
                          <w:rFonts w:asciiTheme="minorHAnsi" w:hAnsiTheme="minorHAnsi" w:cstheme="minorHAnsi"/>
                          <w:b/>
                          <w:i/>
                          <w:color w:val="17365D" w:themeColor="text2" w:themeShade="BF"/>
                        </w:rPr>
                      </w:pPr>
                      <w:r w:rsidRPr="00166A39">
                        <w:rPr>
                          <w:noProof/>
                          <w:lang w:val="ru-RU" w:eastAsia="ru-RU"/>
                        </w:rPr>
                        <w:drawing>
                          <wp:inline distT="0" distB="0" distL="0" distR="0" wp14:anchorId="5D723560" wp14:editId="01769B17">
                            <wp:extent cx="285750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r w:rsidRPr="0001493B">
                        <w:rPr>
                          <w:rFonts w:asciiTheme="minorHAnsi" w:hAnsiTheme="minorHAnsi" w:cstheme="minorHAnsi"/>
                          <w:b/>
                          <w:i/>
                          <w:color w:val="17365D" w:themeColor="text2" w:themeShade="BF"/>
                        </w:rPr>
                        <w:t xml:space="preserve"> </w:t>
                      </w:r>
                      <w:r w:rsidRPr="00166A39">
                        <w:rPr>
                          <w:noProof/>
                          <w:lang w:val="ru-RU" w:eastAsia="ru-RU"/>
                        </w:rPr>
                        <w:drawing>
                          <wp:inline distT="0" distB="0" distL="0" distR="0" wp14:anchorId="3E287475" wp14:editId="310881B3">
                            <wp:extent cx="2695575" cy="22479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575" cy="2247900"/>
                                    </a:xfrm>
                                    <a:prstGeom prst="rect">
                                      <a:avLst/>
                                    </a:prstGeom>
                                    <a:noFill/>
                                    <a:ln>
                                      <a:noFill/>
                                    </a:ln>
                                  </pic:spPr>
                                </pic:pic>
                              </a:graphicData>
                            </a:graphic>
                          </wp:inline>
                        </w:drawing>
                      </w:r>
                    </w:p>
                    <w:p w14:paraId="5B4874C4" w14:textId="48505EBE" w:rsidR="00017651" w:rsidRDefault="00017651" w:rsidP="00863E65">
                      <w:pPr>
                        <w:pStyle w:val="ListParagraph"/>
                        <w:ind w:left="0"/>
                        <w:rPr>
                          <w:rFonts w:asciiTheme="minorHAnsi" w:hAnsiTheme="minorHAnsi" w:cstheme="minorHAnsi"/>
                          <w:b/>
                          <w:i/>
                          <w:color w:val="17365D" w:themeColor="text2" w:themeShade="BF"/>
                        </w:rPr>
                      </w:pPr>
                    </w:p>
                  </w:txbxContent>
                </v:textbox>
                <w10:wrap type="square" anchorx="margin"/>
              </v:shape>
            </w:pict>
          </mc:Fallback>
        </mc:AlternateContent>
      </w:r>
      <w:r w:rsidR="000E1111" w:rsidRPr="00166A39">
        <w:rPr>
          <w:rFonts w:asciiTheme="minorHAnsi" w:hAnsiTheme="minorHAnsi" w:cstheme="minorHAnsi"/>
        </w:rPr>
        <w:t>Analiza prognozelor veniturilor agregate (ca % în PIB), efectuate pe parcursul ultimilor 7 ani, scoate în evidență o tendință spre supra estimare a acestora, cu toate că abaterea în mediu pe această perioadă constituie 1,4%. Din 26 de observații prezentate mai jos, abateri mai mici decât 1% din PIB au avut loc în 13 cazuri, iar între 1 și 3 % din PIB în 8 cazuri</w:t>
      </w:r>
      <w:r w:rsidR="005861CE" w:rsidRPr="00B83A91">
        <w:rPr>
          <w:rFonts w:asciiTheme="minorHAnsi" w:hAnsiTheme="minorHAnsi" w:cstheme="minorHAnsi"/>
        </w:rPr>
        <w:t>, fapt ce</w:t>
      </w:r>
      <w:r w:rsidR="005861CE" w:rsidRPr="00FB0BE5">
        <w:rPr>
          <w:rFonts w:asciiTheme="minorHAnsi" w:hAnsiTheme="minorHAnsi" w:cstheme="minorHAnsi"/>
        </w:rPr>
        <w:t xml:space="preserve"> indică </w:t>
      </w:r>
      <w:r w:rsidR="000552FE" w:rsidRPr="00FB0BE5">
        <w:rPr>
          <w:rFonts w:asciiTheme="minorHAnsi" w:hAnsiTheme="minorHAnsi" w:cstheme="minorHAnsi"/>
          <w:b/>
          <w:i/>
        </w:rPr>
        <w:t>un grad scăzut al riscului asociat estimărilor veniturilor bugetare</w:t>
      </w:r>
      <w:r w:rsidR="005861CE" w:rsidRPr="00FB0BE5">
        <w:rPr>
          <w:rFonts w:asciiTheme="minorHAnsi" w:hAnsiTheme="minorHAnsi" w:cstheme="minorHAnsi"/>
        </w:rPr>
        <w:t>. Abat</w:t>
      </w:r>
      <w:r w:rsidR="004C2190" w:rsidRPr="00FB0BE5">
        <w:rPr>
          <w:rFonts w:asciiTheme="minorHAnsi" w:hAnsiTheme="minorHAnsi" w:cstheme="minorHAnsi"/>
        </w:rPr>
        <w:t>erile prognozelor veniturilor (î</w:t>
      </w:r>
      <w:r w:rsidR="005861CE" w:rsidRPr="00FB0BE5">
        <w:rPr>
          <w:rFonts w:asciiTheme="minorHAnsi" w:hAnsiTheme="minorHAnsi" w:cstheme="minorHAnsi"/>
        </w:rPr>
        <w:t>n sume nominale) de la executarea acestora,</w:t>
      </w:r>
      <w:r w:rsidR="001140B7">
        <w:rPr>
          <w:rFonts w:asciiTheme="minorHAnsi" w:hAnsiTheme="minorHAnsi" w:cstheme="minorHAnsi"/>
        </w:rPr>
        <w:t xml:space="preserve"> </w:t>
      </w:r>
      <w:r w:rsidR="005861CE" w:rsidRPr="00FB0BE5">
        <w:rPr>
          <w:rFonts w:asciiTheme="minorHAnsi" w:hAnsiTheme="minorHAnsi" w:cstheme="minorHAnsi"/>
        </w:rPr>
        <w:t>se încadrează, în ultimii 3 ani în limita de +/-6%.</w:t>
      </w:r>
    </w:p>
    <w:p w14:paraId="36187397" w14:textId="6A49012C" w:rsidR="009D305C" w:rsidRPr="00FB0BE5" w:rsidRDefault="005861CE" w:rsidP="009538EA">
      <w:pPr>
        <w:pStyle w:val="ListParagraph"/>
        <w:spacing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Cu toate că analiza efectuată demonstrează o subestimare a PIB, </w:t>
      </w:r>
      <w:r w:rsidR="00306E29" w:rsidRPr="00FB0BE5">
        <w:rPr>
          <w:rFonts w:asciiTheme="minorHAnsi" w:hAnsiTheme="minorHAnsi" w:cstheme="minorHAnsi"/>
          <w:sz w:val="24"/>
          <w:szCs w:val="24"/>
        </w:rPr>
        <w:t xml:space="preserve">fapt </w:t>
      </w:r>
      <w:r w:rsidRPr="00FB0BE5">
        <w:rPr>
          <w:rFonts w:asciiTheme="minorHAnsi" w:hAnsiTheme="minorHAnsi" w:cstheme="minorHAnsi"/>
          <w:sz w:val="24"/>
          <w:szCs w:val="24"/>
        </w:rPr>
        <w:t xml:space="preserve">ce ar trebui să se manifeste în subestimarea veniturilor bugetare, acestea au demonstrat </w:t>
      </w:r>
      <w:r w:rsidR="004C2190" w:rsidRPr="00FB0BE5">
        <w:rPr>
          <w:rFonts w:asciiTheme="minorHAnsi" w:hAnsiTheme="minorHAnsi" w:cstheme="minorHAnsi"/>
          <w:sz w:val="24"/>
          <w:szCs w:val="24"/>
        </w:rPr>
        <w:t>un</w:t>
      </w:r>
      <w:r w:rsidRPr="00FB0BE5">
        <w:rPr>
          <w:rFonts w:asciiTheme="minorHAnsi" w:hAnsiTheme="minorHAnsi" w:cstheme="minorHAnsi"/>
          <w:sz w:val="24"/>
          <w:szCs w:val="24"/>
        </w:rPr>
        <w:t xml:space="preserve"> trend invers, c</w:t>
      </w:r>
      <w:r w:rsidR="00306E29" w:rsidRPr="00FB0BE5">
        <w:rPr>
          <w:rFonts w:asciiTheme="minorHAnsi" w:hAnsiTheme="minorHAnsi" w:cstheme="minorHAnsi"/>
          <w:sz w:val="24"/>
          <w:szCs w:val="24"/>
        </w:rPr>
        <w:t>are</w:t>
      </w:r>
      <w:r w:rsidRPr="00FB0BE5">
        <w:rPr>
          <w:rFonts w:asciiTheme="minorHAnsi" w:hAnsiTheme="minorHAnsi" w:cstheme="minorHAnsi"/>
          <w:sz w:val="24"/>
          <w:szCs w:val="24"/>
        </w:rPr>
        <w:t xml:space="preserve"> se explică prin o abordare mai </w:t>
      </w:r>
      <w:r w:rsidR="00A53BAB">
        <w:rPr>
          <w:rFonts w:asciiTheme="minorHAnsi" w:hAnsiTheme="minorHAnsi" w:cstheme="minorHAnsi"/>
          <w:sz w:val="24"/>
          <w:szCs w:val="24"/>
        </w:rPr>
        <w:t xml:space="preserve">diversificată </w:t>
      </w:r>
      <w:r w:rsidRPr="00FB0BE5">
        <w:rPr>
          <w:rFonts w:asciiTheme="minorHAnsi" w:hAnsiTheme="minorHAnsi" w:cstheme="minorHAnsi"/>
          <w:sz w:val="24"/>
          <w:szCs w:val="24"/>
        </w:rPr>
        <w:t>în estimarea veniturilor (bazat</w:t>
      </w:r>
      <w:r w:rsidR="009D305C" w:rsidRPr="00FB0BE5">
        <w:rPr>
          <w:rFonts w:asciiTheme="minorHAnsi" w:hAnsiTheme="minorHAnsi" w:cstheme="minorHAnsi"/>
          <w:sz w:val="24"/>
          <w:szCs w:val="24"/>
        </w:rPr>
        <w:t>ă</w:t>
      </w:r>
      <w:r w:rsidRPr="00FB0BE5">
        <w:rPr>
          <w:rFonts w:asciiTheme="minorHAnsi" w:hAnsiTheme="minorHAnsi" w:cstheme="minorHAnsi"/>
          <w:sz w:val="24"/>
          <w:szCs w:val="24"/>
        </w:rPr>
        <w:t xml:space="preserve"> pe mai mulți indicatori</w:t>
      </w:r>
      <w:r w:rsidR="00A53BAB">
        <w:rPr>
          <w:rFonts w:asciiTheme="minorHAnsi" w:hAnsiTheme="minorHAnsi" w:cstheme="minorHAnsi"/>
          <w:sz w:val="24"/>
          <w:szCs w:val="24"/>
        </w:rPr>
        <w:t xml:space="preserve"> </w:t>
      </w:r>
      <w:r w:rsidRPr="00FB0BE5">
        <w:rPr>
          <w:rFonts w:asciiTheme="minorHAnsi" w:hAnsiTheme="minorHAnsi" w:cstheme="minorHAnsi"/>
          <w:sz w:val="24"/>
          <w:szCs w:val="24"/>
        </w:rPr>
        <w:t xml:space="preserve">macroeconomici), precum și în impactul politicii de impozitare asupra estimării veniturilor, și nu în ultimul </w:t>
      </w:r>
      <w:r w:rsidR="004C2190" w:rsidRPr="00FB0BE5">
        <w:rPr>
          <w:rFonts w:asciiTheme="minorHAnsi" w:hAnsiTheme="minorHAnsi" w:cstheme="minorHAnsi"/>
          <w:sz w:val="24"/>
          <w:szCs w:val="24"/>
        </w:rPr>
        <w:t>rând</w:t>
      </w:r>
      <w:r w:rsidRPr="00FB0BE5">
        <w:rPr>
          <w:rFonts w:asciiTheme="minorHAnsi" w:hAnsiTheme="minorHAnsi" w:cstheme="minorHAnsi"/>
          <w:sz w:val="24"/>
          <w:szCs w:val="24"/>
        </w:rPr>
        <w:t xml:space="preserve"> în supraestimarea intrărilor de granturi externe. </w:t>
      </w:r>
    </w:p>
    <w:p w14:paraId="63174AE9" w14:textId="6D5057F7" w:rsidR="00863E65" w:rsidRPr="00FB0BE5" w:rsidRDefault="005861CE" w:rsidP="009538EA">
      <w:pPr>
        <w:pStyle w:val="ListParagraph"/>
        <w:spacing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Este de menționat, că supra-estimarea veniturilor, mai ales în ultimii ani, a fost </w:t>
      </w:r>
      <w:r w:rsidR="00106B28" w:rsidRPr="00FB0BE5">
        <w:rPr>
          <w:rFonts w:asciiTheme="minorHAnsi" w:hAnsiTheme="minorHAnsi" w:cstheme="minorHAnsi"/>
          <w:sz w:val="24"/>
          <w:szCs w:val="24"/>
        </w:rPr>
        <w:t xml:space="preserve">substanțial </w:t>
      </w:r>
      <w:r w:rsidRPr="00FB0BE5">
        <w:rPr>
          <w:rFonts w:asciiTheme="minorHAnsi" w:hAnsiTheme="minorHAnsi" w:cstheme="minorHAnsi"/>
          <w:sz w:val="24"/>
          <w:szCs w:val="24"/>
        </w:rPr>
        <w:t xml:space="preserve">influențată de supraestimarea intrărilor de granturi externe. Șocul asociat suspendării finanțării externe a redus </w:t>
      </w:r>
      <w:r w:rsidR="009D305C" w:rsidRPr="00FB0BE5">
        <w:rPr>
          <w:rFonts w:asciiTheme="minorHAnsi" w:hAnsiTheme="minorHAnsi" w:cstheme="minorHAnsi"/>
          <w:sz w:val="24"/>
          <w:szCs w:val="24"/>
        </w:rPr>
        <w:t>semnificativ</w:t>
      </w:r>
      <w:r w:rsidRPr="00FB0BE5">
        <w:rPr>
          <w:rFonts w:asciiTheme="minorHAnsi" w:hAnsiTheme="minorHAnsi" w:cstheme="minorHAnsi"/>
          <w:sz w:val="24"/>
          <w:szCs w:val="24"/>
        </w:rPr>
        <w:t xml:space="preserve"> din resursele planificate a fi obținute, și a rezultat în reduceri drastice de cheltuieli bugetare. Analiza prognozelor veniturilor </w:t>
      </w:r>
      <w:r w:rsidRPr="00FB0BE5">
        <w:rPr>
          <w:rFonts w:asciiTheme="minorHAnsi" w:hAnsiTheme="minorHAnsi" w:cstheme="minorHAnsi"/>
          <w:b/>
          <w:i/>
          <w:sz w:val="24"/>
          <w:szCs w:val="24"/>
        </w:rPr>
        <w:t>cu excluderea granturilor</w:t>
      </w:r>
      <w:r w:rsidR="00A53BAB">
        <w:rPr>
          <w:rFonts w:asciiTheme="minorHAnsi" w:hAnsiTheme="minorHAnsi" w:cstheme="minorHAnsi"/>
          <w:b/>
          <w:i/>
          <w:sz w:val="24"/>
          <w:szCs w:val="24"/>
        </w:rPr>
        <w:t xml:space="preserve"> </w:t>
      </w:r>
      <w:r w:rsidR="00106B28" w:rsidRPr="00FB0BE5">
        <w:rPr>
          <w:rFonts w:asciiTheme="minorHAnsi" w:hAnsiTheme="minorHAnsi" w:cstheme="minorHAnsi"/>
          <w:sz w:val="24"/>
          <w:szCs w:val="24"/>
        </w:rPr>
        <w:t>pentru an</w:t>
      </w:r>
      <w:r w:rsidR="000B6B24">
        <w:rPr>
          <w:rFonts w:asciiTheme="minorHAnsi" w:hAnsiTheme="minorHAnsi" w:cstheme="minorHAnsi"/>
          <w:sz w:val="24"/>
          <w:szCs w:val="24"/>
        </w:rPr>
        <w:t>i</w:t>
      </w:r>
      <w:r w:rsidR="00106B28" w:rsidRPr="00FB0BE5">
        <w:rPr>
          <w:rFonts w:asciiTheme="minorHAnsi" w:hAnsiTheme="minorHAnsi" w:cstheme="minorHAnsi"/>
          <w:sz w:val="24"/>
          <w:szCs w:val="24"/>
        </w:rPr>
        <w:t>i</w:t>
      </w:r>
      <w:r w:rsidR="000B6B24">
        <w:rPr>
          <w:rFonts w:asciiTheme="minorHAnsi" w:hAnsiTheme="minorHAnsi" w:cstheme="minorHAnsi"/>
          <w:sz w:val="24"/>
          <w:szCs w:val="24"/>
        </w:rPr>
        <w:t xml:space="preserve"> 2015-2016</w:t>
      </w:r>
      <w:r w:rsidR="00106B28" w:rsidRPr="00FB0BE5">
        <w:rPr>
          <w:rFonts w:asciiTheme="minorHAnsi" w:hAnsiTheme="minorHAnsi" w:cstheme="minorHAnsi"/>
          <w:sz w:val="24"/>
          <w:szCs w:val="24"/>
        </w:rPr>
        <w:t xml:space="preserve">, </w:t>
      </w:r>
      <w:r w:rsidRPr="00FB0BE5">
        <w:rPr>
          <w:rFonts w:asciiTheme="minorHAnsi" w:hAnsiTheme="minorHAnsi" w:cstheme="minorHAnsi"/>
          <w:sz w:val="24"/>
          <w:szCs w:val="24"/>
        </w:rPr>
        <w:t>denotă o abatere</w:t>
      </w:r>
      <w:r w:rsidR="00106B28" w:rsidRPr="00FB0BE5">
        <w:rPr>
          <w:rFonts w:asciiTheme="minorHAnsi" w:hAnsiTheme="minorHAnsi" w:cstheme="minorHAnsi"/>
          <w:sz w:val="24"/>
          <w:szCs w:val="24"/>
        </w:rPr>
        <w:t xml:space="preserve"> maximă</w:t>
      </w:r>
      <w:r w:rsidRPr="00FB0BE5">
        <w:rPr>
          <w:rFonts w:asciiTheme="minorHAnsi" w:hAnsiTheme="minorHAnsi" w:cstheme="minorHAnsi"/>
          <w:sz w:val="24"/>
          <w:szCs w:val="24"/>
        </w:rPr>
        <w:t xml:space="preserve"> a acestora față de cele executate sub 2,6%.</w:t>
      </w:r>
      <w:r w:rsidR="000B6B24">
        <w:rPr>
          <w:rFonts w:asciiTheme="minorHAnsi" w:hAnsiTheme="minorHAnsi" w:cstheme="minorHAnsi"/>
          <w:sz w:val="24"/>
          <w:szCs w:val="24"/>
        </w:rPr>
        <w:t xml:space="preserve"> </w:t>
      </w:r>
    </w:p>
    <w:p w14:paraId="0FA1AB6F" w14:textId="77777777" w:rsidR="004846F3" w:rsidRPr="00FB0BE5" w:rsidRDefault="004846F3" w:rsidP="009538EA">
      <w:pPr>
        <w:ind w:firstLine="567"/>
        <w:jc w:val="both"/>
        <w:rPr>
          <w:rFonts w:asciiTheme="minorHAnsi" w:eastAsia="Calibri" w:hAnsiTheme="minorHAnsi" w:cstheme="minorHAnsi"/>
        </w:rPr>
      </w:pPr>
      <w:r w:rsidRPr="00FB0BE5">
        <w:rPr>
          <w:rFonts w:asciiTheme="minorHAnsi" w:eastAsia="Calibri" w:hAnsiTheme="minorHAnsi" w:cstheme="minorHAnsi"/>
        </w:rPr>
        <w:lastRenderedPageBreak/>
        <w:t>Este firesc faptul că prognozele deviază de la realizările veniturilor bugetare. Importa</w:t>
      </w:r>
      <w:r w:rsidR="004C2190" w:rsidRPr="00FB0BE5">
        <w:rPr>
          <w:rFonts w:asciiTheme="minorHAnsi" w:eastAsia="Calibri" w:hAnsiTheme="minorHAnsi" w:cstheme="minorHAnsi"/>
        </w:rPr>
        <w:t>nt este ca aceste</w:t>
      </w:r>
      <w:r w:rsidRPr="00FB0BE5">
        <w:rPr>
          <w:rFonts w:asciiTheme="minorHAnsi" w:eastAsia="Calibri" w:hAnsiTheme="minorHAnsi" w:cstheme="minorHAnsi"/>
        </w:rPr>
        <w:t xml:space="preserve"> devieri să fie </w:t>
      </w:r>
      <w:r w:rsidR="004C2190" w:rsidRPr="00FB0BE5">
        <w:rPr>
          <w:rFonts w:asciiTheme="minorHAnsi" w:eastAsia="Calibri" w:hAnsiTheme="minorHAnsi" w:cstheme="minorHAnsi"/>
        </w:rPr>
        <w:t>cât</w:t>
      </w:r>
      <w:r w:rsidRPr="00FB0BE5">
        <w:rPr>
          <w:rFonts w:asciiTheme="minorHAnsi" w:eastAsia="Calibri" w:hAnsiTheme="minorHAnsi" w:cstheme="minorHAnsi"/>
        </w:rPr>
        <w:t xml:space="preserve"> mai mici posibile, iar bunele practici internațional</w:t>
      </w:r>
      <w:r w:rsidR="004C2190" w:rsidRPr="00FB0BE5">
        <w:rPr>
          <w:rFonts w:asciiTheme="minorHAnsi" w:eastAsia="Calibri" w:hAnsiTheme="minorHAnsi" w:cstheme="minorHAnsi"/>
        </w:rPr>
        <w:t>e</w:t>
      </w:r>
      <w:r w:rsidRPr="00FB0BE5">
        <w:rPr>
          <w:rFonts w:asciiTheme="minorHAnsi" w:eastAsia="Calibri" w:hAnsiTheme="minorHAnsi" w:cstheme="minorHAnsi"/>
        </w:rPr>
        <w:t xml:space="preserve"> stabilesc și unele criterii pentru abaterile menționate. La acest capitol conform ultimelor 2 sondaje PEFA</w:t>
      </w:r>
      <w:r w:rsidRPr="00FB0BE5">
        <w:rPr>
          <w:rStyle w:val="FootnoteReference"/>
          <w:rFonts w:asciiTheme="minorHAnsi" w:eastAsia="Calibri" w:hAnsiTheme="minorHAnsi" w:cstheme="minorHAnsi"/>
        </w:rPr>
        <w:footnoteReference w:id="1"/>
      </w:r>
      <w:r w:rsidRPr="00FB0BE5">
        <w:rPr>
          <w:rFonts w:asciiTheme="minorHAnsi" w:eastAsia="Calibri" w:hAnsiTheme="minorHAnsi" w:cstheme="minorHAnsi"/>
        </w:rPr>
        <w:t>, Moldova s-a clasificat la cel mai înalt scor.</w:t>
      </w:r>
    </w:p>
    <w:p w14:paraId="483A6C2F" w14:textId="77777777" w:rsidR="009538EA" w:rsidRPr="00FB0BE5" w:rsidRDefault="009538EA" w:rsidP="009538EA">
      <w:pPr>
        <w:ind w:firstLine="567"/>
        <w:jc w:val="both"/>
        <w:rPr>
          <w:rFonts w:asciiTheme="minorHAnsi" w:eastAsia="Calibri" w:hAnsiTheme="minorHAnsi" w:cstheme="minorHAnsi"/>
        </w:rPr>
      </w:pPr>
    </w:p>
    <w:p w14:paraId="04551D05" w14:textId="77777777" w:rsidR="00E30195" w:rsidRPr="00FB0BE5" w:rsidRDefault="00E30195" w:rsidP="00863E65">
      <w:pPr>
        <w:rPr>
          <w:rFonts w:asciiTheme="minorHAnsi" w:hAnsiTheme="minorHAnsi" w:cstheme="minorHAnsi"/>
          <w:b/>
        </w:rPr>
      </w:pPr>
    </w:p>
    <w:p w14:paraId="50470967" w14:textId="77777777" w:rsidR="00863E65" w:rsidRPr="00FB0BE5" w:rsidRDefault="005861CE" w:rsidP="004C2190">
      <w:pPr>
        <w:ind w:firstLine="567"/>
        <w:rPr>
          <w:rFonts w:asciiTheme="minorHAnsi" w:hAnsiTheme="minorHAnsi" w:cstheme="minorHAnsi"/>
          <w:b/>
        </w:rPr>
      </w:pPr>
      <w:r w:rsidRPr="00FB0BE5">
        <w:rPr>
          <w:rFonts w:asciiTheme="minorHAnsi" w:hAnsiTheme="minorHAnsi" w:cstheme="minorHAnsi"/>
          <w:b/>
        </w:rPr>
        <w:t xml:space="preserve">Prognoza veniturilor </w:t>
      </w:r>
      <w:r w:rsidR="00B658A2" w:rsidRPr="00FB0BE5">
        <w:rPr>
          <w:rFonts w:asciiTheme="minorHAnsi" w:hAnsiTheme="minorHAnsi" w:cstheme="minorHAnsi"/>
          <w:b/>
        </w:rPr>
        <w:t xml:space="preserve">bugetare </w:t>
      </w:r>
      <w:r w:rsidRPr="00FB0BE5">
        <w:rPr>
          <w:rFonts w:asciiTheme="minorHAnsi" w:hAnsiTheme="minorHAnsi" w:cstheme="minorHAnsi"/>
          <w:b/>
        </w:rPr>
        <w:t>pe termen mediu</w:t>
      </w:r>
    </w:p>
    <w:p w14:paraId="5040A449" w14:textId="77777777" w:rsidR="00863E65" w:rsidRPr="00FB0BE5" w:rsidRDefault="00863E65" w:rsidP="00863E65">
      <w:pPr>
        <w:rPr>
          <w:rFonts w:asciiTheme="minorHAnsi" w:hAnsiTheme="minorHAnsi" w:cstheme="minorHAnsi"/>
          <w:b/>
        </w:rPr>
      </w:pPr>
    </w:p>
    <w:p w14:paraId="5AEB65A0" w14:textId="4A845ACD" w:rsidR="00863E65" w:rsidRPr="00FB0BE5" w:rsidRDefault="00BC6227" w:rsidP="00863E65">
      <w:pPr>
        <w:tabs>
          <w:tab w:val="left" w:pos="567"/>
        </w:tabs>
        <w:ind w:firstLine="567"/>
        <w:jc w:val="both"/>
        <w:rPr>
          <w:rFonts w:asciiTheme="minorHAnsi" w:hAnsiTheme="minorHAnsi" w:cstheme="minorHAnsi"/>
        </w:rPr>
      </w:pPr>
      <w:r>
        <w:rPr>
          <w:rFonts w:asciiTheme="minorHAnsi" w:hAnsiTheme="minorHAnsi" w:cstheme="minorHAnsi"/>
          <w:noProof/>
          <w:lang w:val="ru-RU" w:eastAsia="ru-RU"/>
        </w:rPr>
        <mc:AlternateContent>
          <mc:Choice Requires="wps">
            <w:drawing>
              <wp:anchor distT="0" distB="0" distL="114300" distR="114300" simplePos="0" relativeHeight="251654656" behindDoc="0" locked="0" layoutInCell="1" allowOverlap="1" wp14:anchorId="4C588AB5" wp14:editId="68FE7674">
                <wp:simplePos x="0" y="0"/>
                <wp:positionH relativeFrom="margin">
                  <wp:posOffset>2385695</wp:posOffset>
                </wp:positionH>
                <wp:positionV relativeFrom="paragraph">
                  <wp:posOffset>10795</wp:posOffset>
                </wp:positionV>
                <wp:extent cx="3676650" cy="2943225"/>
                <wp:effectExtent l="0" t="0" r="0" b="9525"/>
                <wp:wrapSquare wrapText="bothSides"/>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0C561" w14:textId="77777777" w:rsidR="00017651" w:rsidRDefault="00017651" w:rsidP="00863E65">
                            <w:pPr>
                              <w:rPr>
                                <w:rFonts w:asciiTheme="minorHAnsi" w:hAnsiTheme="minorHAnsi" w:cstheme="minorHAnsi"/>
                                <w:b/>
                                <w:i/>
                                <w:color w:val="17365D" w:themeColor="text2" w:themeShade="BF"/>
                                <w:sz w:val="22"/>
                                <w:szCs w:val="22"/>
                              </w:rPr>
                            </w:pPr>
                            <w:r w:rsidRPr="001B3F93">
                              <w:rPr>
                                <w:rFonts w:asciiTheme="minorHAnsi" w:hAnsiTheme="minorHAnsi" w:cstheme="minorHAnsi"/>
                                <w:b/>
                                <w:i/>
                                <w:color w:val="17365D" w:themeColor="text2" w:themeShade="BF"/>
                                <w:sz w:val="22"/>
                                <w:szCs w:val="22"/>
                              </w:rPr>
                              <w:t>Graficul 4. Evoluția veniturilor bugetare, % în PIB</w:t>
                            </w:r>
                          </w:p>
                          <w:p w14:paraId="7F610070" w14:textId="5E228466" w:rsidR="00017651" w:rsidRDefault="00017651" w:rsidP="00863E65">
                            <w:pPr>
                              <w:rPr>
                                <w:rFonts w:asciiTheme="minorHAnsi" w:hAnsiTheme="minorHAnsi" w:cstheme="minorHAnsi"/>
                                <w:b/>
                                <w:i/>
                                <w:color w:val="17365D" w:themeColor="text2" w:themeShade="BF"/>
                                <w:sz w:val="22"/>
                                <w:szCs w:val="22"/>
                              </w:rPr>
                            </w:pPr>
                          </w:p>
                          <w:p w14:paraId="475ABF99" w14:textId="57FF0523" w:rsidR="00017651" w:rsidRPr="00281D70" w:rsidRDefault="00017651" w:rsidP="00863E65">
                            <w:pPr>
                              <w:rPr>
                                <w:rFonts w:asciiTheme="minorHAnsi" w:hAnsiTheme="minorHAnsi" w:cstheme="minorHAnsi"/>
                                <w:sz w:val="22"/>
                                <w:szCs w:val="22"/>
                              </w:rPr>
                            </w:pPr>
                            <w:r w:rsidRPr="00F67814">
                              <w:rPr>
                                <w:noProof/>
                                <w:lang w:val="ru-RU" w:eastAsia="ru-RU"/>
                              </w:rPr>
                              <w:drawing>
                                <wp:inline distT="0" distB="0" distL="0" distR="0" wp14:anchorId="5AC199AD" wp14:editId="652F0F2E">
                                  <wp:extent cx="3219450" cy="2392045"/>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4929" cy="2396116"/>
                                          </a:xfrm>
                                          <a:prstGeom prst="rect">
                                            <a:avLst/>
                                          </a:prstGeom>
                                          <a:noFill/>
                                          <a:ln>
                                            <a:noFill/>
                                          </a:ln>
                                        </pic:spPr>
                                      </pic:pic>
                                    </a:graphicData>
                                  </a:graphic>
                                </wp:inline>
                              </w:drawing>
                            </w:r>
                          </w:p>
                          <w:p w14:paraId="7F75349C" w14:textId="33412E6C" w:rsidR="00017651" w:rsidRDefault="00017651" w:rsidP="00863E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88AB5" id="Text Box 4" o:spid="_x0000_s1030" type="#_x0000_t202" style="position:absolute;left:0;text-align:left;margin-left:187.85pt;margin-top:.85pt;width:289.5pt;height:231.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8tuAIAAMI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HlRK0gxo9sNGgWzkiYtMz9DoFq/se7MwIx2DqqOr+TpZfNRJy1VCxZTdKyaFhtILwQvvSP3s6&#10;4WgLshk+yArc0J2RDmisVWdzB9lAgA5lejyVxoZSwuFlPI/jGVyVcBcl5DKKZs4HTY/Pe6XNOyY7&#10;ZBcZVlB7B0/3d9rYcGh6NLHehCx427r6t+LZARhOJ+Acnto7G4Yr548kSNaL9YJ4JIrXHgny3Lsp&#10;VsSLi3A+yy/z1SoPf1q/IUkbXlVMWDdHaYXkz0p3EPkkipO4tGx5ZeFsSFptN6tWoT0FaRfuOyTk&#10;zMx/HoZLAnB5QSmMSHAbJV4RL+YeKcjMS+bBwgvC5DaJA5KQvHhO6Y4L9u+U0JDhZAZ1dHR+yy1w&#10;32tuNO24geHR8i7Di5MRTa0G16JypTWUt9P6LBU2/KdUQLmPhXaKtSKd5GrGzeh649QIG1k9goSV&#10;BIGBGGHwwaKR6jtGAwyRDOtvO6oYRu17AW2QhITYqeM2ZDaPYKPObzbnN1SUAJVhg9G0XJlpUu16&#10;xbcNeJoaT8gbaJ2aO1HbHpuiOjQcDArH7TDU7CQ63zurp9G7/AUAAP//AwBQSwMEFAAGAAgAAAAh&#10;ABQihTveAAAACQEAAA8AAABkcnMvZG93bnJldi54bWxMj81OwzAQhO9IvIO1SNyoTUn6k8apEIgr&#10;qAUq9ebG2yQiXkex24S37/YEp93VjGa/ydeja8UZ+9B40vA4USCQSm8bqjR8fb49LECEaMia1hNq&#10;+MUA6+L2JjeZ9QNt8LyNleAQCpnRUMfYZVKGskZnwsR3SKwdfe9M5LOvpO3NwOGulVOlZtKZhvhD&#10;bTp8qbH82Z6chu/3436XqI/q1aXd4EclyS2l1vd34/MKRMQx/pnhis/oUDDTwZ/IBtFqeJqnc7ay&#10;wIP1ZZrwctCQzNIpyCKX/xsUFwAAAP//AwBQSwECLQAUAAYACAAAACEAtoM4kv4AAADhAQAAEwAA&#10;AAAAAAAAAAAAAAAAAAAAW0NvbnRlbnRfVHlwZXNdLnhtbFBLAQItABQABgAIAAAAIQA4/SH/1gAA&#10;AJQBAAALAAAAAAAAAAAAAAAAAC8BAABfcmVscy8ucmVsc1BLAQItABQABgAIAAAAIQC13l8tuAIA&#10;AMIFAAAOAAAAAAAAAAAAAAAAAC4CAABkcnMvZTJvRG9jLnhtbFBLAQItABQABgAIAAAAIQAUIoU7&#10;3gAAAAkBAAAPAAAAAAAAAAAAAAAAABIFAABkcnMvZG93bnJldi54bWxQSwUGAAAAAAQABADzAAAA&#10;HQYAAAAA&#10;" filled="f" stroked="f">
                <v:textbox>
                  <w:txbxContent>
                    <w:p w14:paraId="75C0C561" w14:textId="77777777" w:rsidR="00017651" w:rsidRDefault="00017651" w:rsidP="00863E65">
                      <w:pPr>
                        <w:rPr>
                          <w:rFonts w:asciiTheme="minorHAnsi" w:hAnsiTheme="minorHAnsi" w:cstheme="minorHAnsi"/>
                          <w:b/>
                          <w:i/>
                          <w:color w:val="17365D" w:themeColor="text2" w:themeShade="BF"/>
                          <w:sz w:val="22"/>
                          <w:szCs w:val="22"/>
                        </w:rPr>
                      </w:pPr>
                      <w:r w:rsidRPr="001B3F93">
                        <w:rPr>
                          <w:rFonts w:asciiTheme="minorHAnsi" w:hAnsiTheme="minorHAnsi" w:cstheme="minorHAnsi"/>
                          <w:b/>
                          <w:i/>
                          <w:color w:val="17365D" w:themeColor="text2" w:themeShade="BF"/>
                          <w:sz w:val="22"/>
                          <w:szCs w:val="22"/>
                        </w:rPr>
                        <w:t>Graficul 4. Evoluția veniturilor bugetare, % în PIB</w:t>
                      </w:r>
                    </w:p>
                    <w:p w14:paraId="7F610070" w14:textId="5E228466" w:rsidR="00017651" w:rsidRDefault="00017651" w:rsidP="00863E65">
                      <w:pPr>
                        <w:rPr>
                          <w:rFonts w:asciiTheme="minorHAnsi" w:hAnsiTheme="minorHAnsi" w:cstheme="minorHAnsi"/>
                          <w:b/>
                          <w:i/>
                          <w:color w:val="17365D" w:themeColor="text2" w:themeShade="BF"/>
                          <w:sz w:val="22"/>
                          <w:szCs w:val="22"/>
                        </w:rPr>
                      </w:pPr>
                    </w:p>
                    <w:p w14:paraId="475ABF99" w14:textId="57FF0523" w:rsidR="00017651" w:rsidRPr="00281D70" w:rsidRDefault="00017651" w:rsidP="00863E65">
                      <w:pPr>
                        <w:rPr>
                          <w:rFonts w:asciiTheme="minorHAnsi" w:hAnsiTheme="minorHAnsi" w:cstheme="minorHAnsi"/>
                          <w:sz w:val="22"/>
                          <w:szCs w:val="22"/>
                        </w:rPr>
                      </w:pPr>
                      <w:r w:rsidRPr="00F67814">
                        <w:rPr>
                          <w:noProof/>
                          <w:lang w:val="ru-RU" w:eastAsia="ru-RU"/>
                        </w:rPr>
                        <w:drawing>
                          <wp:inline distT="0" distB="0" distL="0" distR="0" wp14:anchorId="5AC199AD" wp14:editId="652F0F2E">
                            <wp:extent cx="3219450" cy="2392045"/>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4929" cy="2396116"/>
                                    </a:xfrm>
                                    <a:prstGeom prst="rect">
                                      <a:avLst/>
                                    </a:prstGeom>
                                    <a:noFill/>
                                    <a:ln>
                                      <a:noFill/>
                                    </a:ln>
                                  </pic:spPr>
                                </pic:pic>
                              </a:graphicData>
                            </a:graphic>
                          </wp:inline>
                        </w:drawing>
                      </w:r>
                    </w:p>
                    <w:p w14:paraId="7F75349C" w14:textId="33412E6C" w:rsidR="00017651" w:rsidRDefault="00017651" w:rsidP="00863E65"/>
                  </w:txbxContent>
                </v:textbox>
                <w10:wrap type="square" anchorx="margin"/>
              </v:shape>
            </w:pict>
          </mc:Fallback>
        </mc:AlternateContent>
      </w:r>
      <w:r w:rsidR="000E1111" w:rsidRPr="00166A39">
        <w:rPr>
          <w:rFonts w:asciiTheme="minorHAnsi" w:hAnsiTheme="minorHAnsi" w:cstheme="minorHAnsi"/>
        </w:rPr>
        <w:t>Prognozele pe termen mediu a veniturilor bugetare (ca pondere în PIB) denotă o încadrare a acestora în intervalul de 29-30% din PIB</w:t>
      </w:r>
      <w:r w:rsidR="000E1111" w:rsidRPr="00166A39">
        <w:footnoteReference w:id="2"/>
      </w:r>
      <w:r w:rsidR="000E1111" w:rsidRPr="00166A39">
        <w:rPr>
          <w:rFonts w:asciiTheme="minorHAnsi" w:hAnsiTheme="minorHAnsi" w:cstheme="minorHAnsi"/>
        </w:rPr>
        <w:t>. Reducerea prognozelor intrărilor</w:t>
      </w:r>
      <w:r w:rsidR="004C2190" w:rsidRPr="00FB0BE5">
        <w:rPr>
          <w:rFonts w:asciiTheme="minorHAnsi" w:hAnsiTheme="minorHAnsi" w:cstheme="minorHAnsi"/>
        </w:rPr>
        <w:t xml:space="preserve"> de granturilor externe </w:t>
      </w:r>
      <w:r w:rsidR="00091E2B">
        <w:rPr>
          <w:rFonts w:asciiTheme="minorHAnsi" w:hAnsiTheme="minorHAnsi" w:cstheme="minorHAnsi"/>
        </w:rPr>
        <w:t>î</w:t>
      </w:r>
      <w:r w:rsidR="00091E2B" w:rsidRPr="000E1111">
        <w:rPr>
          <w:rFonts w:asciiTheme="minorHAnsi" w:hAnsiTheme="minorHAnsi" w:cstheme="minorHAnsi"/>
        </w:rPr>
        <w:t>ncepând</w:t>
      </w:r>
      <w:r w:rsidR="000E1111" w:rsidRPr="00166A39">
        <w:rPr>
          <w:rFonts w:asciiTheme="minorHAnsi" w:hAnsiTheme="minorHAnsi" w:cstheme="minorHAnsi"/>
        </w:rPr>
        <w:t xml:space="preserve"> cu anul 2019 are la bază diminuarea suportului bugetar din partea UE. </w:t>
      </w:r>
      <w:r w:rsidR="005861CE" w:rsidRPr="00FB0BE5">
        <w:rPr>
          <w:rFonts w:asciiTheme="minorHAnsi" w:hAnsiTheme="minorHAnsi" w:cstheme="minorHAnsi"/>
        </w:rPr>
        <w:t xml:space="preserve">Ca </w:t>
      </w:r>
      <w:r w:rsidR="005D101F" w:rsidRPr="00FB0BE5">
        <w:rPr>
          <w:rFonts w:asciiTheme="minorHAnsi" w:hAnsiTheme="minorHAnsi" w:cstheme="minorHAnsi"/>
        </w:rPr>
        <w:t>urmare, estimările</w:t>
      </w:r>
      <w:r w:rsidR="005861CE" w:rsidRPr="00FB0BE5">
        <w:rPr>
          <w:rFonts w:asciiTheme="minorHAnsi" w:hAnsiTheme="minorHAnsi" w:cstheme="minorHAnsi"/>
        </w:rPr>
        <w:t xml:space="preserve"> acestora reflectă o reducere</w:t>
      </w:r>
      <w:r w:rsidR="009D305C" w:rsidRPr="00FB0BE5">
        <w:rPr>
          <w:rFonts w:asciiTheme="minorHAnsi" w:hAnsiTheme="minorHAnsi" w:cstheme="minorHAnsi"/>
        </w:rPr>
        <w:t xml:space="preserve"> de</w:t>
      </w:r>
      <w:r w:rsidR="005861CE" w:rsidRPr="00FB0BE5">
        <w:rPr>
          <w:rFonts w:asciiTheme="minorHAnsi" w:hAnsiTheme="minorHAnsi" w:cstheme="minorHAnsi"/>
        </w:rPr>
        <w:t xml:space="preserve"> la 1% din PIB în </w:t>
      </w:r>
      <w:r w:rsidR="001C3818" w:rsidRPr="00FB0BE5">
        <w:rPr>
          <w:rFonts w:asciiTheme="minorHAnsi" w:hAnsiTheme="minorHAnsi" w:cstheme="minorHAnsi"/>
        </w:rPr>
        <w:t>201</w:t>
      </w:r>
      <w:r w:rsidR="001C3818">
        <w:rPr>
          <w:rFonts w:asciiTheme="minorHAnsi" w:hAnsiTheme="minorHAnsi" w:cstheme="minorHAnsi"/>
        </w:rPr>
        <w:t>9</w:t>
      </w:r>
      <w:r w:rsidR="001C3818" w:rsidRPr="00FB0BE5">
        <w:rPr>
          <w:rFonts w:asciiTheme="minorHAnsi" w:hAnsiTheme="minorHAnsi" w:cstheme="minorHAnsi"/>
        </w:rPr>
        <w:t xml:space="preserve"> </w:t>
      </w:r>
      <w:r w:rsidR="005861CE" w:rsidRPr="00FB0BE5">
        <w:rPr>
          <w:rFonts w:asciiTheme="minorHAnsi" w:hAnsiTheme="minorHAnsi" w:cstheme="minorHAnsi"/>
        </w:rPr>
        <w:t>la 0,</w:t>
      </w:r>
      <w:r w:rsidR="00C1445E">
        <w:rPr>
          <w:rFonts w:asciiTheme="minorHAnsi" w:hAnsiTheme="minorHAnsi" w:cstheme="minorHAnsi"/>
        </w:rPr>
        <w:t>3</w:t>
      </w:r>
      <w:r w:rsidR="005861CE" w:rsidRPr="00FB0BE5">
        <w:rPr>
          <w:rFonts w:asciiTheme="minorHAnsi" w:hAnsiTheme="minorHAnsi" w:cstheme="minorHAnsi"/>
        </w:rPr>
        <w:t xml:space="preserve">% din PIB către anul </w:t>
      </w:r>
      <w:r w:rsidR="001C3818" w:rsidRPr="00FB0BE5">
        <w:rPr>
          <w:rFonts w:asciiTheme="minorHAnsi" w:hAnsiTheme="minorHAnsi" w:cstheme="minorHAnsi"/>
        </w:rPr>
        <w:t>202</w:t>
      </w:r>
      <w:r w:rsidR="001C3818">
        <w:rPr>
          <w:rFonts w:asciiTheme="minorHAnsi" w:hAnsiTheme="minorHAnsi" w:cstheme="minorHAnsi"/>
        </w:rPr>
        <w:t>1</w:t>
      </w:r>
      <w:r w:rsidR="005861CE" w:rsidRPr="00FB0BE5">
        <w:rPr>
          <w:rFonts w:asciiTheme="minorHAnsi" w:hAnsiTheme="minorHAnsi" w:cstheme="minorHAnsi"/>
        </w:rPr>
        <w:t>. Prognozele pe termen mediu sunt</w:t>
      </w:r>
      <w:r w:rsidR="0051388B">
        <w:rPr>
          <w:rFonts w:asciiTheme="minorHAnsi" w:hAnsiTheme="minorHAnsi" w:cstheme="minorHAnsi"/>
        </w:rPr>
        <w:t xml:space="preserve"> prudente si </w:t>
      </w:r>
      <w:r w:rsidR="00091E2B">
        <w:rPr>
          <w:rFonts w:asciiTheme="minorHAnsi" w:hAnsiTheme="minorHAnsi" w:cstheme="minorHAnsi"/>
        </w:rPr>
        <w:t>sânt</w:t>
      </w:r>
      <w:r w:rsidR="0051388B">
        <w:rPr>
          <w:rFonts w:asciiTheme="minorHAnsi" w:hAnsiTheme="minorHAnsi" w:cstheme="minorHAnsi"/>
        </w:rPr>
        <w:t xml:space="preserve"> </w:t>
      </w:r>
      <w:r w:rsidR="001C3818">
        <w:rPr>
          <w:rFonts w:asciiTheme="minorHAnsi" w:hAnsiTheme="minorHAnsi" w:cstheme="minorHAnsi"/>
        </w:rPr>
        <w:t xml:space="preserve">ajustate </w:t>
      </w:r>
      <w:r w:rsidR="0051388B">
        <w:rPr>
          <w:rFonts w:asciiTheme="minorHAnsi" w:hAnsiTheme="minorHAnsi" w:cstheme="minorHAnsi"/>
        </w:rPr>
        <w:t xml:space="preserve">la măsurile de politică de impozitare, care au fost adoptate în luna iulie curent, din care motiv </w:t>
      </w:r>
      <w:r w:rsidR="001C3818">
        <w:rPr>
          <w:rFonts w:asciiTheme="minorHAnsi" w:hAnsiTheme="minorHAnsi" w:cstheme="minorHAnsi"/>
        </w:rPr>
        <w:t xml:space="preserve">si diferă de cele </w:t>
      </w:r>
      <w:r w:rsidR="0051388B">
        <w:rPr>
          <w:rFonts w:asciiTheme="minorHAnsi" w:hAnsiTheme="minorHAnsi" w:cstheme="minorHAnsi"/>
        </w:rPr>
        <w:t>estimate</w:t>
      </w:r>
      <w:r w:rsidR="001C3818">
        <w:rPr>
          <w:rFonts w:asciiTheme="minorHAnsi" w:hAnsiTheme="minorHAnsi" w:cstheme="minorHAnsi"/>
        </w:rPr>
        <w:t xml:space="preserve"> în CBTM 2019-2021</w:t>
      </w:r>
      <w:r w:rsidR="0051388B">
        <w:rPr>
          <w:rFonts w:asciiTheme="minorHAnsi" w:hAnsiTheme="minorHAnsi" w:cstheme="minorHAnsi"/>
        </w:rPr>
        <w:t xml:space="preserve">. Aceste prognoze </w:t>
      </w:r>
      <w:r w:rsidR="005861CE" w:rsidRPr="00FB0BE5">
        <w:rPr>
          <w:rFonts w:asciiTheme="minorHAnsi" w:hAnsiTheme="minorHAnsi" w:cstheme="minorHAnsi"/>
        </w:rPr>
        <w:t xml:space="preserve">pot fi revizuite, </w:t>
      </w:r>
      <w:r w:rsidR="00091E2B">
        <w:rPr>
          <w:rFonts w:asciiTheme="minorHAnsi" w:hAnsiTheme="minorHAnsi" w:cstheme="minorHAnsi"/>
        </w:rPr>
        <w:t>bazându</w:t>
      </w:r>
      <w:r w:rsidR="0051388B">
        <w:rPr>
          <w:rFonts w:asciiTheme="minorHAnsi" w:hAnsiTheme="minorHAnsi" w:cstheme="minorHAnsi"/>
        </w:rPr>
        <w:t xml:space="preserve">-se pe rezultatele </w:t>
      </w:r>
      <w:r w:rsidR="00C1445E">
        <w:rPr>
          <w:rFonts w:asciiTheme="minorHAnsi" w:hAnsiTheme="minorHAnsi" w:cstheme="minorHAnsi"/>
        </w:rPr>
        <w:t>aplicării</w:t>
      </w:r>
      <w:r w:rsidR="0051388B">
        <w:rPr>
          <w:rFonts w:asciiTheme="minorHAnsi" w:hAnsiTheme="minorHAnsi" w:cstheme="minorHAnsi"/>
        </w:rPr>
        <w:t xml:space="preserve"> </w:t>
      </w:r>
      <w:r w:rsidR="005861CE" w:rsidRPr="00FB0BE5">
        <w:rPr>
          <w:rFonts w:asciiTheme="minorHAnsi" w:hAnsiTheme="minorHAnsi" w:cstheme="minorHAnsi"/>
        </w:rPr>
        <w:t xml:space="preserve"> politici</w:t>
      </w:r>
      <w:r w:rsidR="0051388B">
        <w:rPr>
          <w:rFonts w:asciiTheme="minorHAnsi" w:hAnsiTheme="minorHAnsi" w:cstheme="minorHAnsi"/>
        </w:rPr>
        <w:t>lor</w:t>
      </w:r>
      <w:r w:rsidR="005861CE" w:rsidRPr="00FB0BE5">
        <w:rPr>
          <w:rFonts w:asciiTheme="minorHAnsi" w:hAnsiTheme="minorHAnsi" w:cstheme="minorHAnsi"/>
        </w:rPr>
        <w:t xml:space="preserve"> noi de impozitare, și /sau a un</w:t>
      </w:r>
      <w:r w:rsidR="00C1445E">
        <w:rPr>
          <w:rFonts w:asciiTheme="minorHAnsi" w:hAnsiTheme="minorHAnsi" w:cstheme="minorHAnsi"/>
        </w:rPr>
        <w:t>or</w:t>
      </w:r>
      <w:r w:rsidR="005861CE" w:rsidRPr="00FB0BE5">
        <w:rPr>
          <w:rFonts w:asciiTheme="minorHAnsi" w:hAnsiTheme="minorHAnsi" w:cstheme="minorHAnsi"/>
        </w:rPr>
        <w:t xml:space="preserve"> </w:t>
      </w:r>
      <w:r w:rsidR="00091E2B">
        <w:rPr>
          <w:rFonts w:asciiTheme="minorHAnsi" w:hAnsiTheme="minorHAnsi" w:cstheme="minorHAnsi"/>
        </w:rPr>
        <w:t>ajustări</w:t>
      </w:r>
      <w:r w:rsidR="00C1445E">
        <w:rPr>
          <w:rFonts w:asciiTheme="minorHAnsi" w:hAnsiTheme="minorHAnsi" w:cstheme="minorHAnsi"/>
        </w:rPr>
        <w:t xml:space="preserve"> ale</w:t>
      </w:r>
      <w:r w:rsidR="005861CE" w:rsidRPr="00FB0BE5">
        <w:rPr>
          <w:rFonts w:asciiTheme="minorHAnsi" w:hAnsiTheme="minorHAnsi" w:cstheme="minorHAnsi"/>
        </w:rPr>
        <w:t xml:space="preserve"> intrărilor de granturi.</w:t>
      </w:r>
    </w:p>
    <w:p w14:paraId="13A6948D" w14:textId="77777777" w:rsidR="00863E65" w:rsidRPr="00FB0BE5" w:rsidRDefault="00863E65" w:rsidP="00863E65">
      <w:pPr>
        <w:rPr>
          <w:rFonts w:asciiTheme="minorHAnsi" w:hAnsiTheme="minorHAnsi" w:cstheme="minorHAnsi"/>
        </w:rPr>
      </w:pPr>
    </w:p>
    <w:p w14:paraId="789DAE80" w14:textId="77777777" w:rsidR="00863E65" w:rsidRPr="00FB0BE5" w:rsidRDefault="005861CE" w:rsidP="004C2190">
      <w:pPr>
        <w:ind w:firstLine="567"/>
        <w:rPr>
          <w:rFonts w:asciiTheme="minorHAnsi" w:hAnsiTheme="minorHAnsi" w:cstheme="minorHAnsi"/>
          <w:b/>
        </w:rPr>
      </w:pPr>
      <w:r w:rsidRPr="00FB0BE5">
        <w:rPr>
          <w:rFonts w:asciiTheme="minorHAnsi" w:hAnsiTheme="minorHAnsi" w:cstheme="minorHAnsi"/>
          <w:b/>
        </w:rPr>
        <w:t>Atenuarea riscurilor</w:t>
      </w:r>
    </w:p>
    <w:p w14:paraId="543C5711" w14:textId="77777777" w:rsidR="004C2190" w:rsidRPr="00FB0BE5" w:rsidRDefault="004C2190" w:rsidP="004C2190">
      <w:pPr>
        <w:ind w:firstLine="567"/>
        <w:rPr>
          <w:rFonts w:asciiTheme="minorHAnsi" w:hAnsiTheme="minorHAnsi" w:cstheme="minorHAnsi"/>
          <w:b/>
        </w:rPr>
      </w:pPr>
    </w:p>
    <w:p w14:paraId="29E4F6AD" w14:textId="77777777" w:rsidR="009D305C" w:rsidRPr="00FB0BE5" w:rsidRDefault="004C2190" w:rsidP="00863E65">
      <w:pPr>
        <w:ind w:firstLine="567"/>
        <w:jc w:val="both"/>
        <w:rPr>
          <w:rFonts w:asciiTheme="minorHAnsi" w:eastAsia="Calibri" w:hAnsiTheme="minorHAnsi" w:cstheme="minorHAnsi"/>
        </w:rPr>
      </w:pPr>
      <w:r w:rsidRPr="00FB0BE5">
        <w:rPr>
          <w:rFonts w:asciiTheme="minorHAnsi" w:eastAsia="Calibri" w:hAnsiTheme="minorHAnsi" w:cstheme="minorHAnsi"/>
        </w:rPr>
        <w:t>Î</w:t>
      </w:r>
      <w:r w:rsidR="005861CE" w:rsidRPr="00FB0BE5">
        <w:rPr>
          <w:rFonts w:asciiTheme="minorHAnsi" w:eastAsia="Calibri" w:hAnsiTheme="minorHAnsi" w:cstheme="minorHAnsi"/>
        </w:rPr>
        <w:t xml:space="preserve">n caz că veniturile sunt supraestimate, practica obișnuită impune măsuri </w:t>
      </w:r>
      <w:r w:rsidRPr="00FB0BE5">
        <w:rPr>
          <w:rFonts w:asciiTheme="minorHAnsi" w:eastAsia="Calibri" w:hAnsiTheme="minorHAnsi" w:cstheme="minorHAnsi"/>
        </w:rPr>
        <w:t xml:space="preserve">de </w:t>
      </w:r>
      <w:r w:rsidR="005861CE" w:rsidRPr="00FB0BE5">
        <w:rPr>
          <w:rFonts w:asciiTheme="minorHAnsi" w:eastAsia="Calibri" w:hAnsiTheme="minorHAnsi" w:cstheme="minorHAnsi"/>
        </w:rPr>
        <w:t>administ</w:t>
      </w:r>
      <w:r w:rsidRPr="00FB0BE5">
        <w:rPr>
          <w:rFonts w:asciiTheme="minorHAnsi" w:eastAsia="Calibri" w:hAnsiTheme="minorHAnsi" w:cstheme="minorHAnsi"/>
        </w:rPr>
        <w:t xml:space="preserve">rare fiscală mai stricte </w:t>
      </w:r>
      <w:r w:rsidR="009D305C" w:rsidRPr="00FB0BE5">
        <w:rPr>
          <w:rFonts w:asciiTheme="minorHAnsi" w:eastAsia="Calibri" w:hAnsiTheme="minorHAnsi" w:cstheme="minorHAnsi"/>
        </w:rPr>
        <w:t xml:space="preserve">pe </w:t>
      </w:r>
      <w:r w:rsidRPr="00FB0BE5">
        <w:rPr>
          <w:rFonts w:asciiTheme="minorHAnsi" w:eastAsia="Calibri" w:hAnsiTheme="minorHAnsi" w:cstheme="minorHAnsi"/>
        </w:rPr>
        <w:t>câ</w:t>
      </w:r>
      <w:r w:rsidR="005861CE" w:rsidRPr="00FB0BE5">
        <w:rPr>
          <w:rFonts w:asciiTheme="minorHAnsi" w:eastAsia="Calibri" w:hAnsiTheme="minorHAnsi" w:cstheme="minorHAnsi"/>
        </w:rPr>
        <w:t>t este posibil și/sau recurgerea la reduceri de cheltuieli (blocare de cheltuieli) mecanism prevăzut de Legea nr. 181</w:t>
      </w:r>
      <w:r w:rsidR="00B32DD3" w:rsidRPr="00FB0BE5">
        <w:rPr>
          <w:rFonts w:asciiTheme="minorHAnsi" w:eastAsia="Calibri" w:hAnsiTheme="minorHAnsi" w:cstheme="minorHAnsi"/>
        </w:rPr>
        <w:t>/2014 privind finanțele publice si responsabilități bugetar-fiscale</w:t>
      </w:r>
      <w:r w:rsidR="005861CE" w:rsidRPr="00FB0BE5">
        <w:rPr>
          <w:rFonts w:asciiTheme="minorHAnsi" w:eastAsia="Calibri" w:hAnsiTheme="minorHAnsi" w:cstheme="minorHAnsi"/>
        </w:rPr>
        <w:t xml:space="preserve">. </w:t>
      </w:r>
    </w:p>
    <w:p w14:paraId="4FD819F9" w14:textId="77777777" w:rsidR="00863E65" w:rsidRPr="00FB0BE5" w:rsidRDefault="005861CE" w:rsidP="00863E65">
      <w:pPr>
        <w:ind w:firstLine="567"/>
        <w:jc w:val="both"/>
        <w:rPr>
          <w:rFonts w:asciiTheme="minorHAnsi" w:hAnsiTheme="minorHAnsi" w:cstheme="minorHAnsi"/>
          <w:b/>
        </w:rPr>
      </w:pPr>
      <w:r w:rsidRPr="00FB0BE5">
        <w:rPr>
          <w:rFonts w:asciiTheme="minorHAnsi" w:eastAsia="Calibri" w:hAnsiTheme="minorHAnsi" w:cstheme="minorHAnsi"/>
        </w:rPr>
        <w:t xml:space="preserve">În caz că veniturile sunt subestimate, se </w:t>
      </w:r>
      <w:r w:rsidR="00106B28" w:rsidRPr="00FB0BE5">
        <w:rPr>
          <w:rFonts w:asciiTheme="minorHAnsi" w:eastAsia="Calibri" w:hAnsiTheme="minorHAnsi" w:cstheme="minorHAnsi"/>
        </w:rPr>
        <w:t xml:space="preserve">poate </w:t>
      </w:r>
      <w:r w:rsidRPr="00FB0BE5">
        <w:rPr>
          <w:rFonts w:asciiTheme="minorHAnsi" w:eastAsia="Calibri" w:hAnsiTheme="minorHAnsi" w:cstheme="minorHAnsi"/>
        </w:rPr>
        <w:t xml:space="preserve">recurge la majorare de cheltuieli bugetare (cu păstrarea sau reducerea deficitului), sau o altă abordare ar </w:t>
      </w:r>
      <w:r w:rsidR="004C2190" w:rsidRPr="00FB0BE5">
        <w:rPr>
          <w:rFonts w:asciiTheme="minorHAnsi" w:eastAsia="Calibri" w:hAnsiTheme="minorHAnsi" w:cstheme="minorHAnsi"/>
        </w:rPr>
        <w:t xml:space="preserve">fi </w:t>
      </w:r>
      <w:r w:rsidRPr="00FB0BE5">
        <w:rPr>
          <w:rFonts w:asciiTheme="minorHAnsi" w:eastAsia="Calibri" w:hAnsiTheme="minorHAnsi" w:cstheme="minorHAnsi"/>
        </w:rPr>
        <w:t>promovarea unei politici contra-ciclice, ce ar însemna economisirea supra încasărilor pentru ca acestea să fie utilizate în bugetele ulterioare, fără a recurge la împrumuturi.</w:t>
      </w:r>
    </w:p>
    <w:p w14:paraId="3069381B" w14:textId="77777777" w:rsidR="00366DB3" w:rsidRDefault="00366DB3">
      <w:pPr>
        <w:spacing w:after="200" w:line="276" w:lineRule="auto"/>
        <w:rPr>
          <w:rFonts w:asciiTheme="minorHAnsi" w:hAnsiTheme="minorHAnsi" w:cstheme="minorHAnsi"/>
          <w:b/>
        </w:rPr>
      </w:pPr>
      <w:r>
        <w:rPr>
          <w:rFonts w:asciiTheme="minorHAnsi" w:hAnsiTheme="minorHAnsi" w:cstheme="minorHAnsi"/>
          <w:b/>
        </w:rPr>
        <w:br w:type="page"/>
      </w:r>
    </w:p>
    <w:p w14:paraId="677EA60A" w14:textId="77777777" w:rsidR="001605EC" w:rsidRPr="00FB0BE5" w:rsidRDefault="005861CE" w:rsidP="004C2190">
      <w:pPr>
        <w:pStyle w:val="Heading2"/>
        <w:numPr>
          <w:ilvl w:val="1"/>
          <w:numId w:val="10"/>
        </w:numPr>
        <w:tabs>
          <w:tab w:val="left" w:pos="993"/>
        </w:tabs>
        <w:ind w:left="0" w:firstLine="567"/>
        <w:rPr>
          <w:sz w:val="24"/>
          <w:szCs w:val="24"/>
        </w:rPr>
      </w:pPr>
      <w:bookmarkStart w:id="12" w:name="_Toc498455210"/>
      <w:bookmarkStart w:id="13" w:name="_Toc498612425"/>
      <w:r w:rsidRPr="00FB0BE5">
        <w:rPr>
          <w:sz w:val="24"/>
          <w:szCs w:val="24"/>
        </w:rPr>
        <w:lastRenderedPageBreak/>
        <w:t>Riscuri, asociate estimărilor cheltuielilor bugetare</w:t>
      </w:r>
      <w:bookmarkEnd w:id="12"/>
      <w:bookmarkEnd w:id="13"/>
    </w:p>
    <w:p w14:paraId="00B4C4A0" w14:textId="77777777" w:rsidR="0007189F" w:rsidRPr="00FB0BE5" w:rsidRDefault="0007189F" w:rsidP="0007189F"/>
    <w:p w14:paraId="31E7CC53" w14:textId="77777777" w:rsidR="0007189F" w:rsidRPr="00FB0BE5" w:rsidRDefault="0007189F" w:rsidP="00610029">
      <w:pPr>
        <w:ind w:firstLine="567"/>
        <w:rPr>
          <w:rFonts w:asciiTheme="minorHAnsi" w:hAnsiTheme="minorHAnsi" w:cstheme="minorHAnsi"/>
          <w:b/>
        </w:rPr>
      </w:pPr>
      <w:r w:rsidRPr="00FB0BE5">
        <w:rPr>
          <w:rFonts w:asciiTheme="minorHAnsi" w:hAnsiTheme="minorHAnsi" w:cstheme="minorHAnsi"/>
          <w:b/>
        </w:rPr>
        <w:t>Tendințe și evoluții recente</w:t>
      </w:r>
    </w:p>
    <w:p w14:paraId="24964759" w14:textId="77777777" w:rsidR="00610029" w:rsidRPr="00FB0BE5" w:rsidRDefault="00610029" w:rsidP="00610029"/>
    <w:p w14:paraId="343BF358" w14:textId="77777777"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Prognoza cheltuielilor bugetare se bazează pe estimarea cheltuielilor pentru</w:t>
      </w:r>
      <w:r w:rsidR="00935936">
        <w:rPr>
          <w:rFonts w:asciiTheme="minorHAnsi" w:hAnsiTheme="minorHAnsi" w:cstheme="minorHAnsi"/>
        </w:rPr>
        <w:t xml:space="preserve"> </w:t>
      </w:r>
      <w:r w:rsidRPr="00FB0BE5">
        <w:rPr>
          <w:rFonts w:asciiTheme="minorHAnsi" w:hAnsiTheme="minorHAnsi" w:cstheme="minorHAnsi"/>
        </w:rPr>
        <w:t>menținerea obligați</w:t>
      </w:r>
      <w:r w:rsidR="00A712BA" w:rsidRPr="00FB0BE5">
        <w:rPr>
          <w:rFonts w:asciiTheme="minorHAnsi" w:hAnsiTheme="minorHAnsi" w:cstheme="minorHAnsi"/>
        </w:rPr>
        <w:t>i</w:t>
      </w:r>
      <w:r w:rsidRPr="00FB0BE5">
        <w:rPr>
          <w:rFonts w:asciiTheme="minorHAnsi" w:hAnsiTheme="minorHAnsi" w:cstheme="minorHAnsi"/>
        </w:rPr>
        <w:t>lor deja asumate, politicilor</w:t>
      </w:r>
      <w:r w:rsidR="00935936">
        <w:rPr>
          <w:rFonts w:asciiTheme="minorHAnsi" w:hAnsiTheme="minorHAnsi" w:cstheme="minorHAnsi"/>
        </w:rPr>
        <w:t xml:space="preserve"> </w:t>
      </w:r>
      <w:r w:rsidRPr="00FB0BE5">
        <w:rPr>
          <w:rFonts w:asciiTheme="minorHAnsi" w:hAnsiTheme="minorHAnsi" w:cstheme="minorHAnsi"/>
        </w:rPr>
        <w:t xml:space="preserve">sociale, salariale, investiționale </w:t>
      </w:r>
      <w:r w:rsidR="00A712BA" w:rsidRPr="00FB0BE5">
        <w:rPr>
          <w:rFonts w:asciiTheme="minorHAnsi" w:hAnsiTheme="minorHAnsi" w:cstheme="minorHAnsi"/>
        </w:rPr>
        <w:t>î</w:t>
      </w:r>
      <w:r w:rsidRPr="00FB0BE5">
        <w:rPr>
          <w:rFonts w:asciiTheme="minorHAnsi" w:hAnsiTheme="minorHAnsi" w:cstheme="minorHAnsi"/>
        </w:rPr>
        <w:t xml:space="preserve">n curs de realizare, precum </w:t>
      </w:r>
      <w:r w:rsidR="00A712BA" w:rsidRPr="00FB0BE5">
        <w:rPr>
          <w:rFonts w:asciiTheme="minorHAnsi" w:hAnsiTheme="minorHAnsi" w:cstheme="minorHAnsi"/>
        </w:rPr>
        <w:t>ș</w:t>
      </w:r>
      <w:r w:rsidRPr="00FB0BE5">
        <w:rPr>
          <w:rFonts w:asciiTheme="minorHAnsi" w:hAnsiTheme="minorHAnsi" w:cstheme="minorHAnsi"/>
        </w:rPr>
        <w:t xml:space="preserve">i propuneri de politici noi, care </w:t>
      </w:r>
      <w:r w:rsidR="006C15F6" w:rsidRPr="00FB0BE5">
        <w:rPr>
          <w:rFonts w:asciiTheme="minorHAnsi" w:hAnsiTheme="minorHAnsi" w:cstheme="minorHAnsi"/>
        </w:rPr>
        <w:t>sânt</w:t>
      </w:r>
      <w:r w:rsidRPr="00FB0BE5">
        <w:rPr>
          <w:rFonts w:asciiTheme="minorHAnsi" w:hAnsiTheme="minorHAnsi" w:cstheme="minorHAnsi"/>
        </w:rPr>
        <w:t xml:space="preserve"> sau urmează</w:t>
      </w:r>
      <w:r w:rsidR="006C15F6" w:rsidRPr="00FB0BE5">
        <w:rPr>
          <w:rFonts w:asciiTheme="minorHAnsi" w:hAnsiTheme="minorHAnsi" w:cstheme="minorHAnsi"/>
        </w:rPr>
        <w:t xml:space="preserve"> a</w:t>
      </w:r>
      <w:r w:rsidRPr="00FB0BE5">
        <w:rPr>
          <w:rFonts w:asciiTheme="minorHAnsi" w:hAnsiTheme="minorHAnsi" w:cstheme="minorHAnsi"/>
        </w:rPr>
        <w:t xml:space="preserve"> fi implementate.</w:t>
      </w:r>
    </w:p>
    <w:p w14:paraId="7AF3362B" w14:textId="77777777"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Prognoza cheltuielilor</w:t>
      </w:r>
      <w:r w:rsidR="00935936">
        <w:rPr>
          <w:rFonts w:asciiTheme="minorHAnsi" w:hAnsiTheme="minorHAnsi" w:cstheme="minorHAnsi"/>
        </w:rPr>
        <w:t xml:space="preserve"> </w:t>
      </w:r>
      <w:r w:rsidRPr="00FB0BE5">
        <w:rPr>
          <w:rFonts w:asciiTheme="minorHAnsi" w:hAnsiTheme="minorHAnsi" w:cstheme="minorHAnsi"/>
        </w:rPr>
        <w:t>este influențată de prognozele indicatorilor macroeconomici, prognoza veniturilor, nivelul de deficit,</w:t>
      </w:r>
      <w:r w:rsidR="00935936">
        <w:rPr>
          <w:rFonts w:asciiTheme="minorHAnsi" w:hAnsiTheme="minorHAnsi" w:cstheme="minorHAnsi"/>
        </w:rPr>
        <w:t xml:space="preserve"> </w:t>
      </w:r>
      <w:r w:rsidRPr="00FB0BE5">
        <w:rPr>
          <w:rFonts w:asciiTheme="minorHAnsi" w:hAnsiTheme="minorHAnsi" w:cstheme="minorHAnsi"/>
        </w:rPr>
        <w:t xml:space="preserve">precum și de deciziile de politică în domeniul cheltuielilor (politici salariale, sociale, etc.). Schimbările frecvente și semnificative în acest sens, contribuie la o volatilitate în estimarea cheltuielilor bugetare. </w:t>
      </w:r>
    </w:p>
    <w:p w14:paraId="5F7204D8" w14:textId="5BD0E5F2"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 xml:space="preserve">Analiza </w:t>
      </w:r>
      <w:r w:rsidRPr="005F6B5D">
        <w:rPr>
          <w:rFonts w:asciiTheme="minorHAnsi" w:hAnsiTheme="minorHAnsi" w:cstheme="minorHAnsi"/>
        </w:rPr>
        <w:t xml:space="preserve">prognozelor </w:t>
      </w:r>
      <w:r w:rsidR="000E1111" w:rsidRPr="00166A39">
        <w:rPr>
          <w:rFonts w:asciiTheme="minorHAnsi" w:hAnsiTheme="minorHAnsi" w:cstheme="minorHAnsi"/>
        </w:rPr>
        <w:t xml:space="preserve">cheltuielilor agregate (ca % în PIB), efectuate pe parcursul ultimilor 7 ani, nu scoate în evidență o supraestimare sau subestimare constantă a acestora. Din 26 de observații prezentate mai jos, abateri mai mici </w:t>
      </w:r>
      <w:r w:rsidR="007D4CBC" w:rsidRPr="00166A39">
        <w:rPr>
          <w:rFonts w:asciiTheme="minorHAnsi" w:hAnsiTheme="minorHAnsi" w:cstheme="minorHAnsi"/>
        </w:rPr>
        <w:t>decât</w:t>
      </w:r>
      <w:r w:rsidR="000E1111" w:rsidRPr="00166A39">
        <w:rPr>
          <w:rFonts w:asciiTheme="minorHAnsi" w:hAnsiTheme="minorHAnsi" w:cstheme="minorHAnsi"/>
        </w:rPr>
        <w:t xml:space="preserve"> 1% din PIB au avut loc în</w:t>
      </w:r>
      <w:r w:rsidR="00091E2B">
        <w:rPr>
          <w:rFonts w:asciiTheme="minorHAnsi" w:hAnsiTheme="minorHAnsi" w:cstheme="minorHAnsi"/>
        </w:rPr>
        <w:t xml:space="preserve"> </w:t>
      </w:r>
      <w:r w:rsidR="000E1111" w:rsidRPr="00166A39">
        <w:rPr>
          <w:rFonts w:asciiTheme="minorHAnsi" w:hAnsiTheme="minorHAnsi" w:cstheme="minorHAnsi"/>
        </w:rPr>
        <w:t>9 cazuri, iar între 1 și 3 % din PIB în 12 cazuri, fapt</w:t>
      </w:r>
      <w:r w:rsidRPr="00FB0BE5">
        <w:rPr>
          <w:rFonts w:asciiTheme="minorHAnsi" w:hAnsiTheme="minorHAnsi" w:cstheme="minorHAnsi"/>
        </w:rPr>
        <w:t xml:space="preserve"> ce indică </w:t>
      </w:r>
      <w:r w:rsidRPr="00FB0BE5">
        <w:rPr>
          <w:rFonts w:asciiTheme="minorHAnsi" w:hAnsiTheme="minorHAnsi" w:cstheme="minorHAnsi"/>
          <w:b/>
          <w:i/>
        </w:rPr>
        <w:t xml:space="preserve">un impact </w:t>
      </w:r>
      <w:r w:rsidR="00A712BA" w:rsidRPr="00FB0BE5">
        <w:rPr>
          <w:rFonts w:asciiTheme="minorHAnsi" w:hAnsiTheme="minorHAnsi" w:cstheme="minorHAnsi"/>
          <w:b/>
          <w:i/>
        </w:rPr>
        <w:t xml:space="preserve">de </w:t>
      </w:r>
      <w:r w:rsidRPr="00FB0BE5">
        <w:rPr>
          <w:rFonts w:asciiTheme="minorHAnsi" w:hAnsiTheme="minorHAnsi" w:cstheme="minorHAnsi"/>
          <w:b/>
          <w:i/>
        </w:rPr>
        <w:t>grad mediu al riscului asociat estimărilor cheltuielilor bugetare</w:t>
      </w:r>
      <w:r w:rsidRPr="00FB0BE5">
        <w:rPr>
          <w:rFonts w:asciiTheme="minorHAnsi" w:hAnsiTheme="minorHAnsi" w:cstheme="minorHAnsi"/>
        </w:rPr>
        <w:t xml:space="preserve">. În general, estimarea cheltuielilor este un rezultat ce derivă din estimarea resurselor bugetare (veniturilor și a </w:t>
      </w:r>
      <w:r w:rsidR="006C15F6" w:rsidRPr="00FB0BE5">
        <w:rPr>
          <w:rFonts w:asciiTheme="minorHAnsi" w:hAnsiTheme="minorHAnsi" w:cstheme="minorHAnsi"/>
        </w:rPr>
        <w:t xml:space="preserve">surselor de finanțare a </w:t>
      </w:r>
      <w:r w:rsidRPr="00FB0BE5">
        <w:rPr>
          <w:rFonts w:asciiTheme="minorHAnsi" w:hAnsiTheme="minorHAnsi" w:cstheme="minorHAnsi"/>
        </w:rPr>
        <w:t xml:space="preserve">deficitului bugetar). </w:t>
      </w:r>
    </w:p>
    <w:p w14:paraId="3430C662" w14:textId="4B226ABE" w:rsidR="0007189F" w:rsidRPr="00FB0BE5" w:rsidRDefault="00BC6227" w:rsidP="0007189F">
      <w:pPr>
        <w:ind w:firstLine="567"/>
        <w:jc w:val="both"/>
        <w:rPr>
          <w:rFonts w:asciiTheme="minorHAnsi" w:hAnsiTheme="minorHAnsi" w:cstheme="minorHAnsi"/>
        </w:rPr>
      </w:pPr>
      <w:r>
        <w:rPr>
          <w:rFonts w:asciiTheme="minorHAnsi" w:hAnsiTheme="minorHAnsi" w:cstheme="minorHAnsi"/>
          <w:noProof/>
          <w:lang w:val="ru-RU" w:eastAsia="ru-RU"/>
        </w:rPr>
        <mc:AlternateContent>
          <mc:Choice Requires="wps">
            <w:drawing>
              <wp:anchor distT="0" distB="0" distL="114300" distR="114300" simplePos="0" relativeHeight="251663872" behindDoc="0" locked="0" layoutInCell="1" allowOverlap="1" wp14:anchorId="7BCE1AC4" wp14:editId="1845DC55">
                <wp:simplePos x="0" y="0"/>
                <wp:positionH relativeFrom="column">
                  <wp:posOffset>-43180</wp:posOffset>
                </wp:positionH>
                <wp:positionV relativeFrom="paragraph">
                  <wp:posOffset>208280</wp:posOffset>
                </wp:positionV>
                <wp:extent cx="5972175" cy="2676525"/>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67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0D8F3" w14:textId="77777777" w:rsidR="00017651" w:rsidRDefault="00017651" w:rsidP="0007189F">
                            <w:pPr>
                              <w:pStyle w:val="ListParagraph"/>
                              <w:ind w:left="0"/>
                              <w:rPr>
                                <w:rFonts w:cs="Calibri"/>
                                <w:b/>
                                <w:i/>
                                <w:color w:val="17365D"/>
                              </w:rPr>
                            </w:pPr>
                            <w:r w:rsidRPr="00476A60">
                              <w:rPr>
                                <w:rFonts w:cs="Calibri"/>
                                <w:b/>
                                <w:i/>
                                <w:color w:val="17365D"/>
                              </w:rPr>
                              <w:t>Graficul</w:t>
                            </w:r>
                            <w:r>
                              <w:rPr>
                                <w:rFonts w:cs="Calibri"/>
                                <w:b/>
                                <w:i/>
                                <w:color w:val="17365D"/>
                              </w:rPr>
                              <w:t xml:space="preserve"> 5.</w:t>
                            </w:r>
                            <w:r w:rsidRPr="00476A60">
                              <w:rPr>
                                <w:rFonts w:cs="Calibri"/>
                                <w:b/>
                                <w:i/>
                                <w:color w:val="17365D"/>
                              </w:rPr>
                              <w:t>Devierea prognozelor cheltuielilor bugetare comparativ cu executarea acestora*</w:t>
                            </w:r>
                          </w:p>
                          <w:p w14:paraId="242FCB07" w14:textId="77777777" w:rsidR="00017651" w:rsidRDefault="00017651" w:rsidP="0007189F">
                            <w:pPr>
                              <w:pStyle w:val="ListParagraph"/>
                              <w:ind w:left="0"/>
                              <w:rPr>
                                <w:rFonts w:cs="Calibri"/>
                                <w:b/>
                                <w:i/>
                                <w:color w:val="17365D"/>
                              </w:rPr>
                            </w:pPr>
                          </w:p>
                          <w:p w14:paraId="588CA2D5" w14:textId="77777777" w:rsidR="00017651" w:rsidRDefault="00017651" w:rsidP="0007189F">
                            <w:pPr>
                              <w:pStyle w:val="ListParagraph"/>
                              <w:ind w:left="0"/>
                              <w:rPr>
                                <w:rFonts w:cs="Calibri"/>
                                <w:b/>
                                <w:i/>
                                <w:color w:val="17365D"/>
                              </w:rPr>
                            </w:pPr>
                            <w:r w:rsidRPr="00166A39">
                              <w:rPr>
                                <w:noProof/>
                                <w:lang w:val="ru-RU" w:eastAsia="ru-RU"/>
                              </w:rPr>
                              <w:drawing>
                                <wp:inline distT="0" distB="0" distL="0" distR="0" wp14:anchorId="2F1DFF3D" wp14:editId="2CD5934A">
                                  <wp:extent cx="2600325" cy="2095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0325" cy="2095500"/>
                                          </a:xfrm>
                                          <a:prstGeom prst="rect">
                                            <a:avLst/>
                                          </a:prstGeom>
                                          <a:noFill/>
                                          <a:ln>
                                            <a:noFill/>
                                          </a:ln>
                                        </pic:spPr>
                                      </pic:pic>
                                    </a:graphicData>
                                  </a:graphic>
                                </wp:inline>
                              </w:drawing>
                            </w:r>
                            <w:r w:rsidRPr="005F6B5D">
                              <w:rPr>
                                <w:rFonts w:cs="Calibri"/>
                                <w:b/>
                                <w:i/>
                                <w:color w:val="17365D"/>
                              </w:rPr>
                              <w:t xml:space="preserve"> </w:t>
                            </w:r>
                            <w:r w:rsidRPr="00166A39">
                              <w:rPr>
                                <w:noProof/>
                                <w:lang w:val="ru-RU" w:eastAsia="ru-RU"/>
                              </w:rPr>
                              <w:drawing>
                                <wp:inline distT="0" distB="0" distL="0" distR="0" wp14:anchorId="18804657" wp14:editId="0C1743E3">
                                  <wp:extent cx="2962275" cy="2047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2275" cy="2047875"/>
                                          </a:xfrm>
                                          <a:prstGeom prst="rect">
                                            <a:avLst/>
                                          </a:prstGeom>
                                          <a:noFill/>
                                          <a:ln>
                                            <a:noFill/>
                                          </a:ln>
                                        </pic:spPr>
                                      </pic:pic>
                                    </a:graphicData>
                                  </a:graphic>
                                </wp:inline>
                              </w:drawing>
                            </w:r>
                          </w:p>
                          <w:p w14:paraId="264FB6AC" w14:textId="77777777" w:rsidR="00017651" w:rsidRPr="00476A60" w:rsidRDefault="00017651" w:rsidP="0007189F">
                            <w:pPr>
                              <w:pStyle w:val="ListParagraph"/>
                              <w:ind w:left="0"/>
                              <w:rPr>
                                <w:rFonts w:cs="Calibri"/>
                                <w:b/>
                                <w:i/>
                                <w:color w:val="17365D"/>
                              </w:rPr>
                            </w:pPr>
                          </w:p>
                          <w:p w14:paraId="5B1FB089" w14:textId="1A588D71" w:rsidR="00017651" w:rsidRPr="00476A60" w:rsidRDefault="00017651" w:rsidP="0007189F">
                            <w:pPr>
                              <w:pStyle w:val="ListParagraph"/>
                              <w:ind w:left="0"/>
                              <w:rPr>
                                <w:rFonts w:cs="Calibri"/>
                                <w:b/>
                                <w:i/>
                                <w:color w:val="17365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E1AC4" id="_x0000_s1031" type="#_x0000_t202" style="position:absolute;left:0;text-align:left;margin-left:-3.4pt;margin-top:16.4pt;width:470.25pt;height:21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WFhQIAABcFAAAOAAAAZHJzL2Uyb0RvYy54bWysVNuO2yAQfa/Uf0C8Z32Rk6ytOKtNtqkq&#10;bS/Sbj+AAI5RMVAgsbdV/70DTtJ020pVVT9gYIbDzJwzLG6GTqIDt05oVePsKsWIK6qZULsaf3zc&#10;TK4xcp4oRqRWvMZP3OGb5csXi95UPNetloxbBCDKVb2pceu9qZLE0ZZ3xF1pwxUYG2074mFpdwmz&#10;pAf0TiZ5ms6SXltmrKbcOdi9G414GfGbhlP/vmkc90jWGGLzcbRx3IYxWS5ItbPEtIIewyD/EEVH&#10;hIJLz1B3xBO0t+IXqE5Qq51u/BXVXaKbRlAec4BssvRZNg8tMTzmAsVx5lwm9/9g6bvDB4sEqzEQ&#10;pUgHFD3ywaOVHtA0VKc3rgKnBwNufoBtYDlm6sy9pp8cUnrdErXjt9bqvuWEQXRZOJlcHB1xXADZ&#10;9m81g2vI3usINDS2C6WDYiBAB5aezsyEUChsTst5ns2nGFGw5bP5bJrH6BJSnY4b6/xrrjsUJjW2&#10;QH2EJ4d750M4pDq5hNucloJthJRxYXfbtbToQEAmm/jFDJ65SRWclQ7HRsRxB6KEO4ItxBtp/1pm&#10;eZGu8nKymV3PJ8WmmE7KeXo9SbNyVc7SoizuNt9CgFlRtYIxru6F4icJZsXfUXxshlE8UYSor3EZ&#10;qhPz+mOSafx+l2QnPHSkFB1I4uxEqsDsK8UgbVJ5IuQ4T34OP1YZanD6x6pEHQTqRxH4YTtEwZ3l&#10;tdXsCYRhNdAG7MNrApNW2y8Y9dCZNXaf98RyjOQbBeIqs6IIrRwXxXSew8JeWraXFqIoQNXYYzRO&#10;135s/72xYtfCTaOclb4FQTYiSiUod4zqKGPovpjT8aUI7X25jl4/3rPldwAAAP//AwBQSwMEFAAG&#10;AAgAAAAhALVKlGffAAAACQEAAA8AAABkcnMvZG93bnJldi54bWxMj8FOwzAQRO9I/IO1SFxQ69Ck&#10;CU2zqQAJxLWlH7CJ3SRqbEex26R/z3KC02o0o5m3xW42vbjq0XfOIjwvIxDa1k51tkE4fn8sXkD4&#10;QFZR76xGuGkPu/L+rqBcucnu9fUQGsEl1ueE0IYw5FL6utWG/NIN2rJ3cqOhwHJspBpp4nLTy1UU&#10;pdJQZ3mhpUG/t7o+Hy4G4fQ1Pa03U/UZjtk+Sd+oyyp3Q3x8mF+3IIKew18YfvEZHUpmqtzFKi96&#10;hEXK5AEhXvFlfxPHGYgKIVknMciykP8/KH8AAAD//wMAUEsBAi0AFAAGAAgAAAAhALaDOJL+AAAA&#10;4QEAABMAAAAAAAAAAAAAAAAAAAAAAFtDb250ZW50X1R5cGVzXS54bWxQSwECLQAUAAYACAAAACEA&#10;OP0h/9YAAACUAQAACwAAAAAAAAAAAAAAAAAvAQAAX3JlbHMvLnJlbHNQSwECLQAUAAYACAAAACEA&#10;mXz1hYUCAAAXBQAADgAAAAAAAAAAAAAAAAAuAgAAZHJzL2Uyb0RvYy54bWxQSwECLQAUAAYACAAA&#10;ACEAtUqUZ98AAAAJAQAADwAAAAAAAAAAAAAAAADfBAAAZHJzL2Rvd25yZXYueG1sUEsFBgAAAAAE&#10;AAQA8wAAAOsFAAAAAA==&#10;" stroked="f">
                <v:textbox>
                  <w:txbxContent>
                    <w:p w14:paraId="4120D8F3" w14:textId="77777777" w:rsidR="00017651" w:rsidRDefault="00017651" w:rsidP="0007189F">
                      <w:pPr>
                        <w:pStyle w:val="ListParagraph"/>
                        <w:ind w:left="0"/>
                        <w:rPr>
                          <w:rFonts w:cs="Calibri"/>
                          <w:b/>
                          <w:i/>
                          <w:color w:val="17365D"/>
                        </w:rPr>
                      </w:pPr>
                      <w:r w:rsidRPr="00476A60">
                        <w:rPr>
                          <w:rFonts w:cs="Calibri"/>
                          <w:b/>
                          <w:i/>
                          <w:color w:val="17365D"/>
                        </w:rPr>
                        <w:t>Graficul</w:t>
                      </w:r>
                      <w:r>
                        <w:rPr>
                          <w:rFonts w:cs="Calibri"/>
                          <w:b/>
                          <w:i/>
                          <w:color w:val="17365D"/>
                        </w:rPr>
                        <w:t xml:space="preserve"> 5.</w:t>
                      </w:r>
                      <w:r w:rsidRPr="00476A60">
                        <w:rPr>
                          <w:rFonts w:cs="Calibri"/>
                          <w:b/>
                          <w:i/>
                          <w:color w:val="17365D"/>
                        </w:rPr>
                        <w:t>Devierea prognozelor cheltuielilor bugetare comparativ cu executarea acestora*</w:t>
                      </w:r>
                    </w:p>
                    <w:p w14:paraId="242FCB07" w14:textId="77777777" w:rsidR="00017651" w:rsidRDefault="00017651" w:rsidP="0007189F">
                      <w:pPr>
                        <w:pStyle w:val="ListParagraph"/>
                        <w:ind w:left="0"/>
                        <w:rPr>
                          <w:rFonts w:cs="Calibri"/>
                          <w:b/>
                          <w:i/>
                          <w:color w:val="17365D"/>
                        </w:rPr>
                      </w:pPr>
                    </w:p>
                    <w:p w14:paraId="588CA2D5" w14:textId="77777777" w:rsidR="00017651" w:rsidRDefault="00017651" w:rsidP="0007189F">
                      <w:pPr>
                        <w:pStyle w:val="ListParagraph"/>
                        <w:ind w:left="0"/>
                        <w:rPr>
                          <w:rFonts w:cs="Calibri"/>
                          <w:b/>
                          <w:i/>
                          <w:color w:val="17365D"/>
                        </w:rPr>
                      </w:pPr>
                      <w:r w:rsidRPr="00166A39">
                        <w:rPr>
                          <w:noProof/>
                          <w:lang w:val="ru-RU" w:eastAsia="ru-RU"/>
                        </w:rPr>
                        <w:drawing>
                          <wp:inline distT="0" distB="0" distL="0" distR="0" wp14:anchorId="2F1DFF3D" wp14:editId="2CD5934A">
                            <wp:extent cx="2600325" cy="2095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325" cy="2095500"/>
                                    </a:xfrm>
                                    <a:prstGeom prst="rect">
                                      <a:avLst/>
                                    </a:prstGeom>
                                    <a:noFill/>
                                    <a:ln>
                                      <a:noFill/>
                                    </a:ln>
                                  </pic:spPr>
                                </pic:pic>
                              </a:graphicData>
                            </a:graphic>
                          </wp:inline>
                        </w:drawing>
                      </w:r>
                      <w:r w:rsidRPr="005F6B5D">
                        <w:rPr>
                          <w:rFonts w:cs="Calibri"/>
                          <w:b/>
                          <w:i/>
                          <w:color w:val="17365D"/>
                        </w:rPr>
                        <w:t xml:space="preserve"> </w:t>
                      </w:r>
                      <w:r w:rsidRPr="00166A39">
                        <w:rPr>
                          <w:noProof/>
                          <w:lang w:val="ru-RU" w:eastAsia="ru-RU"/>
                        </w:rPr>
                        <w:drawing>
                          <wp:inline distT="0" distB="0" distL="0" distR="0" wp14:anchorId="18804657" wp14:editId="0C1743E3">
                            <wp:extent cx="2962275" cy="2047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2275" cy="2047875"/>
                                    </a:xfrm>
                                    <a:prstGeom prst="rect">
                                      <a:avLst/>
                                    </a:prstGeom>
                                    <a:noFill/>
                                    <a:ln>
                                      <a:noFill/>
                                    </a:ln>
                                  </pic:spPr>
                                </pic:pic>
                              </a:graphicData>
                            </a:graphic>
                          </wp:inline>
                        </w:drawing>
                      </w:r>
                    </w:p>
                    <w:p w14:paraId="264FB6AC" w14:textId="77777777" w:rsidR="00017651" w:rsidRPr="00476A60" w:rsidRDefault="00017651" w:rsidP="0007189F">
                      <w:pPr>
                        <w:pStyle w:val="ListParagraph"/>
                        <w:ind w:left="0"/>
                        <w:rPr>
                          <w:rFonts w:cs="Calibri"/>
                          <w:b/>
                          <w:i/>
                          <w:color w:val="17365D"/>
                        </w:rPr>
                      </w:pPr>
                    </w:p>
                    <w:p w14:paraId="5B1FB089" w14:textId="1A588D71" w:rsidR="00017651" w:rsidRPr="00476A60" w:rsidRDefault="00017651" w:rsidP="0007189F">
                      <w:pPr>
                        <w:pStyle w:val="ListParagraph"/>
                        <w:ind w:left="0"/>
                        <w:rPr>
                          <w:rFonts w:cs="Calibri"/>
                          <w:b/>
                          <w:i/>
                          <w:color w:val="17365D"/>
                        </w:rPr>
                      </w:pPr>
                    </w:p>
                  </w:txbxContent>
                </v:textbox>
                <w10:wrap type="square"/>
              </v:shape>
            </w:pict>
          </mc:Fallback>
        </mc:AlternateContent>
      </w:r>
    </w:p>
    <w:p w14:paraId="4E37775D" w14:textId="4DA6F5A0" w:rsidR="0007189F" w:rsidRPr="00FB0BE5" w:rsidRDefault="00610029" w:rsidP="0007189F">
      <w:pPr>
        <w:ind w:firstLine="567"/>
        <w:jc w:val="both"/>
        <w:rPr>
          <w:rFonts w:asciiTheme="minorHAnsi" w:hAnsiTheme="minorHAnsi" w:cstheme="minorHAnsi"/>
        </w:rPr>
      </w:pPr>
      <w:r w:rsidRPr="00FB0BE5">
        <w:rPr>
          <w:rFonts w:asciiTheme="minorHAnsi" w:hAnsiTheme="minorHAnsi" w:cstheme="minorHAnsi"/>
        </w:rPr>
        <w:t>Reforme majore cu impact semnificativ asupra cheltuielilor în perioada de referință nu au avut loc, iar raționalizarea cheltuielilor a fost dictată de evoluția cadrului de resurse.</w:t>
      </w:r>
      <w:r w:rsidR="00935936">
        <w:rPr>
          <w:rFonts w:asciiTheme="minorHAnsi" w:hAnsiTheme="minorHAnsi" w:cstheme="minorHAnsi"/>
        </w:rPr>
        <w:t xml:space="preserve"> </w:t>
      </w:r>
      <w:r w:rsidR="0007189F" w:rsidRPr="00FB0BE5">
        <w:rPr>
          <w:rFonts w:asciiTheme="minorHAnsi" w:hAnsiTheme="minorHAnsi" w:cstheme="minorHAnsi"/>
        </w:rPr>
        <w:t>Cele mai mari supra</w:t>
      </w:r>
      <w:r w:rsidR="00935936">
        <w:rPr>
          <w:rFonts w:asciiTheme="minorHAnsi" w:hAnsiTheme="minorHAnsi" w:cstheme="minorHAnsi"/>
        </w:rPr>
        <w:t xml:space="preserve"> </w:t>
      </w:r>
      <w:r w:rsidR="00935936" w:rsidRPr="00FB0BE5">
        <w:rPr>
          <w:rFonts w:asciiTheme="minorHAnsi" w:hAnsiTheme="minorHAnsi" w:cstheme="minorHAnsi"/>
        </w:rPr>
        <w:t>estimări</w:t>
      </w:r>
      <w:r w:rsidR="0007189F" w:rsidRPr="00FB0BE5">
        <w:rPr>
          <w:rFonts w:asciiTheme="minorHAnsi" w:hAnsiTheme="minorHAnsi" w:cstheme="minorHAnsi"/>
        </w:rPr>
        <w:t xml:space="preserve"> ale cheltuielilor bugetare au avut loc in anii 2015-2016</w:t>
      </w:r>
      <w:r w:rsidR="00935936">
        <w:rPr>
          <w:rFonts w:asciiTheme="minorHAnsi" w:hAnsiTheme="minorHAnsi" w:cstheme="minorHAnsi"/>
        </w:rPr>
        <w:t xml:space="preserve">, fiind bazate pe estimările </w:t>
      </w:r>
      <w:r w:rsidR="00F5391B">
        <w:rPr>
          <w:rFonts w:asciiTheme="minorHAnsi" w:hAnsiTheme="minorHAnsi" w:cstheme="minorHAnsi"/>
        </w:rPr>
        <w:t>cadrului de resurse</w:t>
      </w:r>
      <w:r w:rsidR="0007189F" w:rsidRPr="00FB0BE5">
        <w:rPr>
          <w:rFonts w:asciiTheme="minorHAnsi" w:hAnsiTheme="minorHAnsi" w:cstheme="minorHAnsi"/>
        </w:rPr>
        <w:t xml:space="preserve">, </w:t>
      </w:r>
      <w:r w:rsidR="00F5391B">
        <w:rPr>
          <w:rFonts w:asciiTheme="minorHAnsi" w:hAnsiTheme="minorHAnsi" w:cstheme="minorHAnsi"/>
        </w:rPr>
        <w:t xml:space="preserve">care nu s-a adeverit a fi realizat, </w:t>
      </w:r>
      <w:r w:rsidR="0007189F" w:rsidRPr="00FB0BE5">
        <w:rPr>
          <w:rFonts w:asciiTheme="minorHAnsi" w:hAnsiTheme="minorHAnsi" w:cstheme="minorHAnsi"/>
        </w:rPr>
        <w:t>in rezultatul crizei bancare,</w:t>
      </w:r>
      <w:r w:rsidR="00043782">
        <w:rPr>
          <w:rFonts w:asciiTheme="minorHAnsi" w:hAnsiTheme="minorHAnsi" w:cstheme="minorHAnsi"/>
        </w:rPr>
        <w:t xml:space="preserve"> când</w:t>
      </w:r>
      <w:r w:rsidR="00F5391B">
        <w:rPr>
          <w:rFonts w:asciiTheme="minorHAnsi" w:hAnsiTheme="minorHAnsi" w:cstheme="minorHAnsi"/>
        </w:rPr>
        <w:t xml:space="preserve"> </w:t>
      </w:r>
      <w:r w:rsidR="0007189F" w:rsidRPr="00FB0BE5">
        <w:rPr>
          <w:rFonts w:asciiTheme="minorHAnsi" w:hAnsiTheme="minorHAnsi" w:cstheme="minorHAnsi"/>
        </w:rPr>
        <w:t xml:space="preserve"> s</w:t>
      </w:r>
      <w:r w:rsidR="00A712BA" w:rsidRPr="00FB0BE5">
        <w:rPr>
          <w:rFonts w:asciiTheme="minorHAnsi" w:hAnsiTheme="minorHAnsi" w:cstheme="minorHAnsi"/>
        </w:rPr>
        <w:t>-</w:t>
      </w:r>
      <w:r w:rsidR="0007189F" w:rsidRPr="00FB0BE5">
        <w:rPr>
          <w:rFonts w:asciiTheme="minorHAnsi" w:hAnsiTheme="minorHAnsi" w:cstheme="minorHAnsi"/>
        </w:rPr>
        <w:t xml:space="preserve">au redus drastic veniturile proprii ale bugetului, precum </w:t>
      </w:r>
      <w:r w:rsidR="00A712BA" w:rsidRPr="00FB0BE5">
        <w:rPr>
          <w:rFonts w:asciiTheme="minorHAnsi" w:hAnsiTheme="minorHAnsi" w:cstheme="minorHAnsi"/>
        </w:rPr>
        <w:t>ș</w:t>
      </w:r>
      <w:r w:rsidR="0007189F" w:rsidRPr="00FB0BE5">
        <w:rPr>
          <w:rFonts w:asciiTheme="minorHAnsi" w:hAnsiTheme="minorHAnsi" w:cstheme="minorHAnsi"/>
        </w:rPr>
        <w:t xml:space="preserve">i sursele externe de finanțare a deficitului </w:t>
      </w:r>
      <w:r w:rsidR="00A712BA" w:rsidRPr="00FB0BE5">
        <w:rPr>
          <w:rFonts w:asciiTheme="minorHAnsi" w:hAnsiTheme="minorHAnsi" w:cstheme="minorHAnsi"/>
        </w:rPr>
        <w:t>î</w:t>
      </w:r>
      <w:r w:rsidR="0007189F" w:rsidRPr="00FB0BE5">
        <w:rPr>
          <w:rFonts w:asciiTheme="minorHAnsi" w:hAnsiTheme="minorHAnsi" w:cstheme="minorHAnsi"/>
        </w:rPr>
        <w:t xml:space="preserve">n rezultatul suspendării finanțării din partea partenerilor de dezvoltare. </w:t>
      </w:r>
      <w:r w:rsidR="00A712BA" w:rsidRPr="00FB0BE5">
        <w:rPr>
          <w:rFonts w:asciiTheme="minorHAnsi" w:hAnsiTheme="minorHAnsi" w:cstheme="minorHAnsi"/>
        </w:rPr>
        <w:t>Î</w:t>
      </w:r>
      <w:r w:rsidR="0007189F" w:rsidRPr="00FB0BE5">
        <w:rPr>
          <w:rFonts w:asciiTheme="minorHAnsi" w:hAnsiTheme="minorHAnsi" w:cstheme="minorHAnsi"/>
        </w:rPr>
        <w:t xml:space="preserve">n rezultat au fost reduse cheltuielile bugetare, fiind finanțate doar cele prioritare. </w:t>
      </w:r>
    </w:p>
    <w:p w14:paraId="40EB1BDA" w14:textId="77777777" w:rsidR="00610029" w:rsidRPr="00FB0BE5" w:rsidRDefault="00610029" w:rsidP="00610029">
      <w:pPr>
        <w:ind w:firstLine="567"/>
        <w:jc w:val="both"/>
        <w:rPr>
          <w:rFonts w:asciiTheme="minorHAnsi" w:hAnsiTheme="minorHAnsi" w:cstheme="minorHAnsi"/>
        </w:rPr>
      </w:pPr>
      <w:r w:rsidRPr="00FB0BE5">
        <w:rPr>
          <w:rFonts w:asciiTheme="minorHAnsi" w:hAnsiTheme="minorHAnsi" w:cstheme="minorHAnsi"/>
        </w:rPr>
        <w:t>Concomitent cu reducerile de cheltuieli care au avut loc, în anul 2015 au crescut semnificativ arierate</w:t>
      </w:r>
      <w:r w:rsidR="00A712BA" w:rsidRPr="00FB0BE5">
        <w:rPr>
          <w:rFonts w:asciiTheme="minorHAnsi" w:hAnsiTheme="minorHAnsi" w:cstheme="minorHAnsi"/>
        </w:rPr>
        <w:t>le</w:t>
      </w:r>
      <w:r w:rsidR="009A6DD5" w:rsidRPr="00FB0BE5">
        <w:rPr>
          <w:rStyle w:val="FootnoteReference"/>
          <w:rFonts w:asciiTheme="minorHAnsi" w:hAnsiTheme="minorHAnsi" w:cstheme="minorHAnsi"/>
        </w:rPr>
        <w:footnoteReference w:id="3"/>
      </w:r>
      <w:r w:rsidRPr="00FB0BE5">
        <w:rPr>
          <w:rFonts w:asciiTheme="minorHAnsi" w:hAnsiTheme="minorHAnsi" w:cstheme="minorHAnsi"/>
        </w:rPr>
        <w:t xml:space="preserve"> la cheltuieli ale bugetului, </w:t>
      </w:r>
      <w:r w:rsidR="00A712BA" w:rsidRPr="00FB0BE5">
        <w:rPr>
          <w:rFonts w:asciiTheme="minorHAnsi" w:hAnsiTheme="minorHAnsi" w:cstheme="minorHAnsi"/>
        </w:rPr>
        <w:t>î</w:t>
      </w:r>
      <w:r w:rsidRPr="00FB0BE5">
        <w:rPr>
          <w:rFonts w:asciiTheme="minorHAnsi" w:hAnsiTheme="minorHAnsi" w:cstheme="minorHAnsi"/>
        </w:rPr>
        <w:t xml:space="preserve">n special a celui de stat – </w:t>
      </w:r>
      <w:r w:rsidR="00A712BA" w:rsidRPr="00FB0BE5">
        <w:rPr>
          <w:rFonts w:asciiTheme="minorHAnsi" w:hAnsiTheme="minorHAnsi" w:cstheme="minorHAnsi"/>
        </w:rPr>
        <w:t>până</w:t>
      </w:r>
      <w:r w:rsidRPr="00FB0BE5">
        <w:rPr>
          <w:rFonts w:asciiTheme="minorHAnsi" w:hAnsiTheme="minorHAnsi" w:cstheme="minorHAnsi"/>
        </w:rPr>
        <w:t xml:space="preserve"> la 0,6% </w:t>
      </w:r>
      <w:r w:rsidR="00A712BA" w:rsidRPr="00FB0BE5">
        <w:rPr>
          <w:rFonts w:asciiTheme="minorHAnsi" w:hAnsiTheme="minorHAnsi" w:cstheme="minorHAnsi"/>
        </w:rPr>
        <w:t>î</w:t>
      </w:r>
      <w:r w:rsidRPr="00FB0BE5">
        <w:rPr>
          <w:rFonts w:asciiTheme="minorHAnsi" w:hAnsiTheme="minorHAnsi" w:cstheme="minorHAnsi"/>
        </w:rPr>
        <w:t>n PIB (1,8% din suma total</w:t>
      </w:r>
      <w:r w:rsidR="00A712BA" w:rsidRPr="00FB0BE5">
        <w:rPr>
          <w:rFonts w:asciiTheme="minorHAnsi" w:hAnsiTheme="minorHAnsi" w:cstheme="minorHAnsi"/>
        </w:rPr>
        <w:t>ă</w:t>
      </w:r>
      <w:r w:rsidRPr="00FB0BE5">
        <w:rPr>
          <w:rFonts w:asciiTheme="minorHAnsi" w:hAnsiTheme="minorHAnsi" w:cstheme="minorHAnsi"/>
        </w:rPr>
        <w:t xml:space="preserve"> de cheltui</w:t>
      </w:r>
      <w:r w:rsidR="00895D32" w:rsidRPr="00FB0BE5">
        <w:rPr>
          <w:rFonts w:asciiTheme="minorHAnsi" w:hAnsiTheme="minorHAnsi" w:cstheme="minorHAnsi"/>
        </w:rPr>
        <w:t>e</w:t>
      </w:r>
      <w:r w:rsidRPr="00FB0BE5">
        <w:rPr>
          <w:rFonts w:asciiTheme="minorHAnsi" w:hAnsiTheme="minorHAnsi" w:cstheme="minorHAnsi"/>
        </w:rPr>
        <w:t>li).</w:t>
      </w:r>
    </w:p>
    <w:p w14:paraId="54345C80" w14:textId="1BC38323" w:rsidR="005C74EB" w:rsidRPr="00FB0BE5" w:rsidRDefault="00610029" w:rsidP="009538EA">
      <w:pPr>
        <w:ind w:firstLine="567"/>
        <w:jc w:val="both"/>
        <w:rPr>
          <w:rFonts w:asciiTheme="minorHAnsi" w:hAnsiTheme="minorHAnsi" w:cstheme="minorHAnsi"/>
        </w:rPr>
      </w:pPr>
      <w:r w:rsidRPr="00FB0BE5">
        <w:rPr>
          <w:rFonts w:asciiTheme="minorHAnsi" w:hAnsiTheme="minorHAnsi" w:cstheme="minorHAnsi"/>
        </w:rPr>
        <w:t>În anul 2015 în rezultatul suspendării finanțări</w:t>
      </w:r>
      <w:r w:rsidR="00A712BA" w:rsidRPr="00FB0BE5">
        <w:rPr>
          <w:rFonts w:asciiTheme="minorHAnsi" w:hAnsiTheme="minorHAnsi" w:cstheme="minorHAnsi"/>
        </w:rPr>
        <w:t>i</w:t>
      </w:r>
      <w:r w:rsidRPr="00FB0BE5">
        <w:rPr>
          <w:rFonts w:asciiTheme="minorHAnsi" w:hAnsiTheme="minorHAnsi" w:cstheme="minorHAnsi"/>
        </w:rPr>
        <w:t xml:space="preserve"> externe din partea donatorilor externi, care a durat din anul 2015 până în august 2016, au crescut semnificativ datoriile bugetului față de furnizorii de mărfuri și servicii (arieratele bugetare). Dacă în anii 2011-2014 arieratele au </w:t>
      </w:r>
      <w:r w:rsidRPr="00FB0BE5">
        <w:rPr>
          <w:rFonts w:asciiTheme="minorHAnsi" w:hAnsiTheme="minorHAnsi" w:cstheme="minorHAnsi"/>
        </w:rPr>
        <w:lastRenderedPageBreak/>
        <w:t>fost nesemnificative (0,2-0,6% din suma cheltuielilor), la sfârșitul anului 2015 acestea au ajuns la 743,5 mil.lei (1,8% din suma cheltuielilor, 0,6% din PIB). Din acest</w:t>
      </w:r>
      <w:r w:rsidR="00A712BA" w:rsidRPr="00FB0BE5">
        <w:rPr>
          <w:rFonts w:asciiTheme="minorHAnsi" w:hAnsiTheme="minorHAnsi" w:cstheme="minorHAnsi"/>
        </w:rPr>
        <w:t>e</w:t>
      </w:r>
      <w:r w:rsidRPr="00FB0BE5">
        <w:rPr>
          <w:rFonts w:asciiTheme="minorHAnsi" w:hAnsiTheme="minorHAnsi" w:cstheme="minorHAnsi"/>
        </w:rPr>
        <w:t>a, arieratele bugetului de stat au constituit - 657,7 mil.lei (0,5% din PIB), iar arieratele bugetelor locale – 85,8 mil.lei (0,1% din PIB).</w:t>
      </w:r>
      <w:r w:rsidR="002917E1">
        <w:rPr>
          <w:rFonts w:asciiTheme="minorHAnsi" w:hAnsiTheme="minorHAnsi" w:cstheme="minorHAnsi"/>
        </w:rPr>
        <w:t xml:space="preserve"> L</w:t>
      </w:r>
      <w:r w:rsidR="002917E1" w:rsidRPr="001C5FC7">
        <w:rPr>
          <w:rFonts w:asciiTheme="minorHAnsi" w:hAnsiTheme="minorHAnsi" w:cstheme="minorHAnsi"/>
        </w:rPr>
        <w:t>a sfârșitul anului 2016 arieratele s-au redus până la 98,7 mil.lei, , iar la sfârșitul anului 2017 acestea au constituit 36,6 mil.lei (</w:t>
      </w:r>
      <w:r w:rsidR="002917E1" w:rsidRPr="00FB0BE5">
        <w:rPr>
          <w:rFonts w:asciiTheme="minorHAnsi" w:hAnsiTheme="minorHAnsi" w:cstheme="minorHAnsi"/>
        </w:rPr>
        <w:t>(</w:t>
      </w:r>
      <w:r w:rsidR="002917E1">
        <w:rPr>
          <w:rFonts w:asciiTheme="minorHAnsi" w:hAnsiTheme="minorHAnsi" w:cstheme="minorHAnsi"/>
        </w:rPr>
        <w:t>0</w:t>
      </w:r>
      <w:r w:rsidR="002917E1" w:rsidRPr="00FB0BE5">
        <w:rPr>
          <w:rFonts w:asciiTheme="minorHAnsi" w:hAnsiTheme="minorHAnsi" w:cstheme="minorHAnsi"/>
        </w:rPr>
        <w:t>,</w:t>
      </w:r>
      <w:r w:rsidR="002917E1">
        <w:rPr>
          <w:rFonts w:asciiTheme="minorHAnsi" w:hAnsiTheme="minorHAnsi" w:cstheme="minorHAnsi"/>
        </w:rPr>
        <w:t>07</w:t>
      </w:r>
      <w:r w:rsidR="002917E1" w:rsidRPr="00FB0BE5">
        <w:rPr>
          <w:rFonts w:asciiTheme="minorHAnsi" w:hAnsiTheme="minorHAnsi" w:cstheme="minorHAnsi"/>
        </w:rPr>
        <w:t>% din suma cheltuielilor, 0,</w:t>
      </w:r>
      <w:r w:rsidR="002917E1">
        <w:rPr>
          <w:rFonts w:asciiTheme="minorHAnsi" w:hAnsiTheme="minorHAnsi" w:cstheme="minorHAnsi"/>
        </w:rPr>
        <w:t>02</w:t>
      </w:r>
      <w:r w:rsidR="002917E1" w:rsidRPr="00FB0BE5">
        <w:rPr>
          <w:rFonts w:asciiTheme="minorHAnsi" w:hAnsiTheme="minorHAnsi" w:cstheme="minorHAnsi"/>
        </w:rPr>
        <w:t>% din PIB)</w:t>
      </w:r>
      <w:r w:rsidR="002917E1">
        <w:rPr>
          <w:rFonts w:asciiTheme="minorHAnsi" w:hAnsiTheme="minorHAnsi" w:cstheme="minorHAnsi"/>
        </w:rPr>
        <w:t>.</w:t>
      </w:r>
    </w:p>
    <w:p w14:paraId="6D69889A" w14:textId="77777777" w:rsidR="0007189F" w:rsidRPr="00FB0BE5" w:rsidRDefault="00610029" w:rsidP="008548D6">
      <w:pPr>
        <w:ind w:firstLine="567"/>
        <w:jc w:val="both"/>
        <w:rPr>
          <w:rFonts w:asciiTheme="minorHAnsi" w:hAnsiTheme="minorHAnsi" w:cstheme="minorHAnsi"/>
        </w:rPr>
      </w:pPr>
      <w:r w:rsidRPr="00FB0BE5">
        <w:rPr>
          <w:rFonts w:asciiTheme="minorHAnsi" w:hAnsiTheme="minorHAnsi" w:cstheme="minorHAnsi"/>
        </w:rPr>
        <w:t xml:space="preserve">Este de remarcat faptul, că </w:t>
      </w:r>
      <w:r w:rsidR="0007189F" w:rsidRPr="00FB0BE5">
        <w:rPr>
          <w:rFonts w:asciiTheme="minorHAnsi" w:hAnsiTheme="minorHAnsi" w:cstheme="minorHAnsi"/>
        </w:rPr>
        <w:t>spațiu</w:t>
      </w:r>
      <w:r w:rsidRPr="00FB0BE5">
        <w:rPr>
          <w:rFonts w:asciiTheme="minorHAnsi" w:hAnsiTheme="minorHAnsi" w:cstheme="minorHAnsi"/>
        </w:rPr>
        <w:t>l</w:t>
      </w:r>
      <w:r w:rsidR="0007189F" w:rsidRPr="00FB0BE5">
        <w:rPr>
          <w:rFonts w:asciiTheme="minorHAnsi" w:hAnsiTheme="minorHAnsi" w:cstheme="minorHAnsi"/>
        </w:rPr>
        <w:t xml:space="preserve"> fiscal</w:t>
      </w:r>
      <w:r w:rsidRPr="00FB0BE5">
        <w:rPr>
          <w:rFonts w:asciiTheme="minorHAnsi" w:hAnsiTheme="minorHAnsi" w:cstheme="minorHAnsi"/>
        </w:rPr>
        <w:t xml:space="preserve"> (cheltuielile pentru politici noi asupra cărora Guvernul poate lua decizii)</w:t>
      </w:r>
      <w:r w:rsidR="0007189F" w:rsidRPr="00FB0BE5">
        <w:rPr>
          <w:rFonts w:asciiTheme="minorHAnsi" w:hAnsiTheme="minorHAnsi" w:cstheme="minorHAnsi"/>
        </w:rPr>
        <w:t xml:space="preserve"> este foarte limitat, deoarece cheltuielile deja angajate constituie mai mult de 90% din cheltuielile totale, </w:t>
      </w:r>
      <w:r w:rsidRPr="00FB0BE5">
        <w:rPr>
          <w:rFonts w:asciiTheme="minorHAnsi" w:hAnsiTheme="minorHAnsi" w:cstheme="minorHAnsi"/>
        </w:rPr>
        <w:t>fapt ce lasă</w:t>
      </w:r>
      <w:r w:rsidR="0007189F" w:rsidRPr="00FB0BE5">
        <w:rPr>
          <w:rFonts w:asciiTheme="minorHAnsi" w:hAnsiTheme="minorHAnsi" w:cstheme="minorHAnsi"/>
        </w:rPr>
        <w:t xml:space="preserve"> foarte </w:t>
      </w:r>
      <w:r w:rsidRPr="00FB0BE5">
        <w:rPr>
          <w:rFonts w:asciiTheme="minorHAnsi" w:hAnsiTheme="minorHAnsi" w:cstheme="minorHAnsi"/>
        </w:rPr>
        <w:t>puțin</w:t>
      </w:r>
      <w:r w:rsidR="0007189F" w:rsidRPr="00FB0BE5">
        <w:rPr>
          <w:rFonts w:asciiTheme="minorHAnsi" w:hAnsiTheme="minorHAnsi" w:cstheme="minorHAnsi"/>
        </w:rPr>
        <w:t xml:space="preserve"> spațiu pentru implementarea politicilor noi.</w:t>
      </w:r>
    </w:p>
    <w:p w14:paraId="4A436027" w14:textId="77777777" w:rsidR="002917E1" w:rsidRPr="00FB0BE5" w:rsidRDefault="002917E1" w:rsidP="0007189F">
      <w:pPr>
        <w:ind w:firstLine="567"/>
        <w:jc w:val="both"/>
        <w:rPr>
          <w:rFonts w:asciiTheme="minorHAnsi" w:hAnsiTheme="minorHAnsi" w:cstheme="minorHAnsi"/>
          <w:b/>
        </w:rPr>
      </w:pPr>
    </w:p>
    <w:p w14:paraId="172280FD" w14:textId="77777777" w:rsidR="0007189F" w:rsidRPr="006B297C" w:rsidRDefault="000E1111" w:rsidP="0007189F">
      <w:pPr>
        <w:ind w:firstLine="567"/>
        <w:jc w:val="both"/>
        <w:rPr>
          <w:rFonts w:asciiTheme="minorHAnsi" w:hAnsiTheme="minorHAnsi" w:cstheme="minorHAnsi"/>
          <w:b/>
        </w:rPr>
      </w:pPr>
      <w:r w:rsidRPr="00166A39">
        <w:rPr>
          <w:rFonts w:asciiTheme="minorHAnsi" w:hAnsiTheme="minorHAnsi" w:cstheme="minorHAnsi"/>
          <w:b/>
        </w:rPr>
        <w:t>Prognoza cheltuielilor pe termen mediu</w:t>
      </w:r>
    </w:p>
    <w:p w14:paraId="21BB21E2" w14:textId="0BBF5B8F" w:rsidR="00610029" w:rsidRPr="006B297C" w:rsidRDefault="00BC6227" w:rsidP="0007189F">
      <w:pPr>
        <w:ind w:firstLine="567"/>
        <w:jc w:val="both"/>
        <w:rPr>
          <w:rFonts w:asciiTheme="minorHAnsi" w:hAnsiTheme="minorHAnsi" w:cstheme="minorHAnsi"/>
          <w:b/>
        </w:rPr>
      </w:pPr>
      <w:r>
        <w:rPr>
          <w:rFonts w:asciiTheme="minorHAnsi" w:hAnsiTheme="minorHAnsi" w:cstheme="minorHAnsi"/>
          <w:noProof/>
          <w:lang w:val="ru-RU" w:eastAsia="ru-RU"/>
        </w:rPr>
        <mc:AlternateContent>
          <mc:Choice Requires="wps">
            <w:drawing>
              <wp:anchor distT="0" distB="0" distL="114300" distR="114300" simplePos="0" relativeHeight="251662848" behindDoc="0" locked="0" layoutInCell="1" allowOverlap="1" wp14:anchorId="2CE5C951" wp14:editId="5DA48641">
                <wp:simplePos x="0" y="0"/>
                <wp:positionH relativeFrom="column">
                  <wp:posOffset>2471420</wp:posOffset>
                </wp:positionH>
                <wp:positionV relativeFrom="paragraph">
                  <wp:posOffset>102870</wp:posOffset>
                </wp:positionV>
                <wp:extent cx="3434715" cy="25527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52729" w14:textId="77777777" w:rsidR="00017651" w:rsidRDefault="00017651" w:rsidP="0007189F">
                            <w:pPr>
                              <w:rPr>
                                <w:rFonts w:ascii="Calibri" w:hAnsi="Calibri" w:cs="Calibri"/>
                                <w:b/>
                                <w:i/>
                                <w:color w:val="17365D"/>
                                <w:sz w:val="22"/>
                                <w:szCs w:val="22"/>
                              </w:rPr>
                            </w:pPr>
                            <w:r w:rsidRPr="00895D32">
                              <w:rPr>
                                <w:rFonts w:ascii="Calibri" w:hAnsi="Calibri" w:cs="Calibri"/>
                                <w:b/>
                                <w:i/>
                                <w:color w:val="17365D"/>
                                <w:sz w:val="22"/>
                                <w:szCs w:val="22"/>
                              </w:rPr>
                              <w:t>Graficul 6</w:t>
                            </w:r>
                            <w:r>
                              <w:rPr>
                                <w:rFonts w:ascii="Calibri" w:hAnsi="Calibri" w:cs="Calibri"/>
                                <w:b/>
                                <w:i/>
                                <w:color w:val="17365D"/>
                                <w:sz w:val="22"/>
                                <w:szCs w:val="22"/>
                              </w:rPr>
                              <w:t xml:space="preserve">. </w:t>
                            </w:r>
                            <w:r w:rsidRPr="00895D32">
                              <w:rPr>
                                <w:rFonts w:ascii="Calibri" w:hAnsi="Calibri" w:cs="Calibri"/>
                                <w:b/>
                                <w:i/>
                                <w:color w:val="17365D"/>
                                <w:sz w:val="22"/>
                                <w:szCs w:val="22"/>
                              </w:rPr>
                              <w:t>Evoluția cheltuielilor bugetare, % în PIB</w:t>
                            </w:r>
                          </w:p>
                          <w:p w14:paraId="4E0C25E9" w14:textId="77777777" w:rsidR="00017651" w:rsidRDefault="00017651" w:rsidP="0007189F">
                            <w:pPr>
                              <w:rPr>
                                <w:rFonts w:ascii="Calibri" w:hAnsi="Calibri" w:cs="Calibri"/>
                                <w:b/>
                                <w:i/>
                                <w:color w:val="17365D"/>
                                <w:sz w:val="22"/>
                                <w:szCs w:val="22"/>
                              </w:rPr>
                            </w:pPr>
                          </w:p>
                          <w:p w14:paraId="43174991" w14:textId="77777777" w:rsidR="00017651" w:rsidRPr="00476A60" w:rsidRDefault="00017651" w:rsidP="0007189F">
                            <w:pPr>
                              <w:rPr>
                                <w:rFonts w:ascii="Calibri" w:hAnsi="Calibri" w:cs="Calibri"/>
                                <w:b/>
                                <w:i/>
                                <w:color w:val="17365D"/>
                                <w:sz w:val="22"/>
                                <w:szCs w:val="22"/>
                              </w:rPr>
                            </w:pPr>
                            <w:r>
                              <w:rPr>
                                <w:noProof/>
                                <w:lang w:val="ru-RU" w:eastAsia="ru-RU"/>
                              </w:rPr>
                              <w:drawing>
                                <wp:inline distT="0" distB="0" distL="0" distR="0" wp14:anchorId="4BF0C5A1" wp14:editId="6EDA8029">
                                  <wp:extent cx="3003550" cy="2085975"/>
                                  <wp:effectExtent l="0" t="0" r="635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4412" cy="2086574"/>
                                          </a:xfrm>
                                          <a:prstGeom prst="rect">
                                            <a:avLst/>
                                          </a:prstGeom>
                                          <a:noFill/>
                                          <a:ln>
                                            <a:noFill/>
                                          </a:ln>
                                        </pic:spPr>
                                      </pic:pic>
                                    </a:graphicData>
                                  </a:graphic>
                                </wp:inline>
                              </w:drawing>
                            </w:r>
                          </w:p>
                          <w:p w14:paraId="6F6E050F" w14:textId="77777777" w:rsidR="00017651" w:rsidRPr="00476A60" w:rsidRDefault="00017651" w:rsidP="0007189F">
                            <w:pPr>
                              <w:rPr>
                                <w:rFonts w:ascii="Calibri" w:hAnsi="Calibri" w:cs="Calibri"/>
                                <w:sz w:val="22"/>
                                <w:szCs w:val="22"/>
                              </w:rPr>
                            </w:pPr>
                          </w:p>
                          <w:p w14:paraId="6AC4F1EE" w14:textId="79CFA9DB" w:rsidR="00017651" w:rsidRDefault="00017651" w:rsidP="000718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5C951" id="_x0000_s1032" type="#_x0000_t202" style="position:absolute;left:0;text-align:left;margin-left:194.6pt;margin-top:8.1pt;width:270.45pt;height:2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yruwIAAME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McYCdpBiR7ZaNCdHBGx2Rl6ncKlhx6umRGOocouUt3fy/KbRkKuGiq27FYpOTSMVsAutC/9i6cT&#10;jrYgm+GjrMAN3RnpgMZadTZ1kAwE6FClp1NlLJUSDq/JNZmHQLEEWxTH0TxwtfNpenzeK23eM9kh&#10;u8iwgtI7eLq/18bSoenxivUmZMHb1pW/Fc8O4OJ0As7hqbVZGq6aP5MgWS/WC+KRaLb2SJDn3m2x&#10;It6sCOdxfp2vVnn4y/oNSdrwqmLCujkqKyR/VrmDxidNnLSlZcsrC2cpabXdrFqF9hSUXbjPJR0s&#10;52v+cxouCRDLi5DCiAR3UeIVs8XcIwWJvWQeLLwgTO6SWUASkhfPQ7rngv17SGjIcBJH8aSmM+kX&#10;sQXuex0bTTtuYHa0vMvw4nSJplaDa1G50hrK22l9kQpL/5wKKPex0E6xVqSTXM24GV1rzI6NsJHV&#10;E0hYSRAY6BTmHiwaqX5gNMAMybD+vqOKYdR+ENAGSUiIHTpuQ+J5BBt1adlcWqgoASrDBqNpuTLT&#10;oNr1im8b8DQ1npC30Do1d6K2PTaxOjQczAkX22Gm2UF0uXe3zpN3+RsAAP//AwBQSwMEFAAGAAgA&#10;AAAhAOdA8gPfAAAACgEAAA8AAABkcnMvZG93bnJldi54bWxMj01PwzAMhu9I/IfISNxY0m5Mbdd0&#10;QiCuIMaHtFvWeG1F41RNtpZ/jzmxk2W9j14/Lrez68UZx9B50pAsFAik2tuOGg0f7893GYgQDVnT&#10;e0INPxhgW11flaawfqI3PO9iI7iEQmE0tDEOhZShbtGZsPADEmdHPzoTeR0baUczcbnrZarUWjrT&#10;EV9ozYCPLdbfu5PT8Ply3H+t1Gvz5O6Hyc9Kksul1rc388MGRMQ5/sPwp8/qULHTwZ/IBtFrWGZ5&#10;yigHa54M5EuVgDhoWCVZCrIq5eUL1S8AAAD//wMAUEsBAi0AFAAGAAgAAAAhALaDOJL+AAAA4QEA&#10;ABMAAAAAAAAAAAAAAAAAAAAAAFtDb250ZW50X1R5cGVzXS54bWxQSwECLQAUAAYACAAAACEAOP0h&#10;/9YAAACUAQAACwAAAAAAAAAAAAAAAAAvAQAAX3JlbHMvLnJlbHNQSwECLQAUAAYACAAAACEAYfZM&#10;q7sCAADBBQAADgAAAAAAAAAAAAAAAAAuAgAAZHJzL2Uyb0RvYy54bWxQSwECLQAUAAYACAAAACEA&#10;50DyA98AAAAKAQAADwAAAAAAAAAAAAAAAAAVBQAAZHJzL2Rvd25yZXYueG1sUEsFBgAAAAAEAAQA&#10;8wAAACEGAAAAAA==&#10;" filled="f" stroked="f">
                <v:textbox>
                  <w:txbxContent>
                    <w:p w14:paraId="2D952729" w14:textId="77777777" w:rsidR="00017651" w:rsidRDefault="00017651" w:rsidP="0007189F">
                      <w:pPr>
                        <w:rPr>
                          <w:rFonts w:ascii="Calibri" w:hAnsi="Calibri" w:cs="Calibri"/>
                          <w:b/>
                          <w:i/>
                          <w:color w:val="17365D"/>
                          <w:sz w:val="22"/>
                          <w:szCs w:val="22"/>
                        </w:rPr>
                      </w:pPr>
                      <w:r w:rsidRPr="00895D32">
                        <w:rPr>
                          <w:rFonts w:ascii="Calibri" w:hAnsi="Calibri" w:cs="Calibri"/>
                          <w:b/>
                          <w:i/>
                          <w:color w:val="17365D"/>
                          <w:sz w:val="22"/>
                          <w:szCs w:val="22"/>
                        </w:rPr>
                        <w:t>Graficul 6</w:t>
                      </w:r>
                      <w:r>
                        <w:rPr>
                          <w:rFonts w:ascii="Calibri" w:hAnsi="Calibri" w:cs="Calibri"/>
                          <w:b/>
                          <w:i/>
                          <w:color w:val="17365D"/>
                          <w:sz w:val="22"/>
                          <w:szCs w:val="22"/>
                        </w:rPr>
                        <w:t xml:space="preserve">. </w:t>
                      </w:r>
                      <w:r w:rsidRPr="00895D32">
                        <w:rPr>
                          <w:rFonts w:ascii="Calibri" w:hAnsi="Calibri" w:cs="Calibri"/>
                          <w:b/>
                          <w:i/>
                          <w:color w:val="17365D"/>
                          <w:sz w:val="22"/>
                          <w:szCs w:val="22"/>
                        </w:rPr>
                        <w:t>Evoluția cheltuielilor bugetare, % în PIB</w:t>
                      </w:r>
                    </w:p>
                    <w:p w14:paraId="4E0C25E9" w14:textId="77777777" w:rsidR="00017651" w:rsidRDefault="00017651" w:rsidP="0007189F">
                      <w:pPr>
                        <w:rPr>
                          <w:rFonts w:ascii="Calibri" w:hAnsi="Calibri" w:cs="Calibri"/>
                          <w:b/>
                          <w:i/>
                          <w:color w:val="17365D"/>
                          <w:sz w:val="22"/>
                          <w:szCs w:val="22"/>
                        </w:rPr>
                      </w:pPr>
                    </w:p>
                    <w:p w14:paraId="43174991" w14:textId="77777777" w:rsidR="00017651" w:rsidRPr="00476A60" w:rsidRDefault="00017651" w:rsidP="0007189F">
                      <w:pPr>
                        <w:rPr>
                          <w:rFonts w:ascii="Calibri" w:hAnsi="Calibri" w:cs="Calibri"/>
                          <w:b/>
                          <w:i/>
                          <w:color w:val="17365D"/>
                          <w:sz w:val="22"/>
                          <w:szCs w:val="22"/>
                        </w:rPr>
                      </w:pPr>
                      <w:r>
                        <w:rPr>
                          <w:noProof/>
                          <w:lang w:val="ru-RU" w:eastAsia="ru-RU"/>
                        </w:rPr>
                        <w:drawing>
                          <wp:inline distT="0" distB="0" distL="0" distR="0" wp14:anchorId="4BF0C5A1" wp14:editId="6EDA8029">
                            <wp:extent cx="3003550" cy="2085975"/>
                            <wp:effectExtent l="0" t="0" r="635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4412" cy="2086574"/>
                                    </a:xfrm>
                                    <a:prstGeom prst="rect">
                                      <a:avLst/>
                                    </a:prstGeom>
                                    <a:noFill/>
                                    <a:ln>
                                      <a:noFill/>
                                    </a:ln>
                                  </pic:spPr>
                                </pic:pic>
                              </a:graphicData>
                            </a:graphic>
                          </wp:inline>
                        </w:drawing>
                      </w:r>
                    </w:p>
                    <w:p w14:paraId="6F6E050F" w14:textId="77777777" w:rsidR="00017651" w:rsidRPr="00476A60" w:rsidRDefault="00017651" w:rsidP="0007189F">
                      <w:pPr>
                        <w:rPr>
                          <w:rFonts w:ascii="Calibri" w:hAnsi="Calibri" w:cs="Calibri"/>
                          <w:sz w:val="22"/>
                          <w:szCs w:val="22"/>
                        </w:rPr>
                      </w:pPr>
                    </w:p>
                    <w:p w14:paraId="6AC4F1EE" w14:textId="79CFA9DB" w:rsidR="00017651" w:rsidRDefault="00017651" w:rsidP="0007189F"/>
                  </w:txbxContent>
                </v:textbox>
                <w10:wrap type="square"/>
              </v:shape>
            </w:pict>
          </mc:Fallback>
        </mc:AlternateContent>
      </w:r>
    </w:p>
    <w:p w14:paraId="230FA8E1" w14:textId="5F1F2FE8" w:rsidR="0007189F" w:rsidRPr="00FB0BE5" w:rsidRDefault="0007189F" w:rsidP="0007189F">
      <w:pPr>
        <w:ind w:firstLine="567"/>
        <w:jc w:val="both"/>
        <w:rPr>
          <w:rFonts w:asciiTheme="minorHAnsi" w:hAnsiTheme="minorHAnsi" w:cstheme="minorHAnsi"/>
        </w:rPr>
      </w:pPr>
      <w:r w:rsidRPr="0052655F">
        <w:rPr>
          <w:rFonts w:asciiTheme="minorHAnsi" w:hAnsiTheme="minorHAnsi" w:cstheme="minorHAnsi"/>
        </w:rPr>
        <w:t>Prognozele pe termen mediu a ch</w:t>
      </w:r>
      <w:r w:rsidRPr="001E461A">
        <w:rPr>
          <w:rFonts w:asciiTheme="minorHAnsi" w:hAnsiTheme="minorHAnsi" w:cstheme="minorHAnsi"/>
        </w:rPr>
        <w:t xml:space="preserve">eltuielilor bugetare (ca pondere </w:t>
      </w:r>
      <w:r w:rsidR="00A712BA" w:rsidRPr="001E461A">
        <w:rPr>
          <w:rFonts w:asciiTheme="minorHAnsi" w:hAnsiTheme="minorHAnsi" w:cstheme="minorHAnsi"/>
        </w:rPr>
        <w:t>î</w:t>
      </w:r>
      <w:r w:rsidRPr="001E461A">
        <w:rPr>
          <w:rFonts w:asciiTheme="minorHAnsi" w:hAnsiTheme="minorHAnsi" w:cstheme="minorHAnsi"/>
        </w:rPr>
        <w:t xml:space="preserve">n PIB) denotă o încadrare a acestora în intervalul de </w:t>
      </w:r>
      <w:r w:rsidR="000E1111" w:rsidRPr="00166A39">
        <w:rPr>
          <w:rFonts w:asciiTheme="minorHAnsi" w:hAnsiTheme="minorHAnsi" w:cstheme="minorHAnsi"/>
        </w:rPr>
        <w:t>30,5%-33,0</w:t>
      </w:r>
      <w:r w:rsidRPr="006B297C">
        <w:rPr>
          <w:rFonts w:asciiTheme="minorHAnsi" w:hAnsiTheme="minorHAnsi" w:cstheme="minorHAnsi"/>
        </w:rPr>
        <w:t>% din PIB</w:t>
      </w:r>
      <w:r w:rsidR="00191828" w:rsidRPr="00191828">
        <w:rPr>
          <w:rStyle w:val="FootnoteReference"/>
          <w:rFonts w:asciiTheme="minorHAnsi" w:hAnsiTheme="minorHAnsi" w:cstheme="minorHAnsi"/>
        </w:rPr>
        <w:footnoteReference w:id="4"/>
      </w:r>
      <w:r w:rsidRPr="006B297C">
        <w:rPr>
          <w:rFonts w:asciiTheme="minorHAnsi" w:hAnsiTheme="minorHAnsi" w:cstheme="minorHAnsi"/>
        </w:rPr>
        <w:t xml:space="preserve"> și au o tendinț</w:t>
      </w:r>
      <w:r w:rsidR="00A712BA" w:rsidRPr="006B297C">
        <w:rPr>
          <w:rFonts w:asciiTheme="minorHAnsi" w:hAnsiTheme="minorHAnsi" w:cstheme="minorHAnsi"/>
        </w:rPr>
        <w:t>ă</w:t>
      </w:r>
      <w:r w:rsidRPr="00CC65F9">
        <w:rPr>
          <w:rFonts w:asciiTheme="minorHAnsi" w:hAnsiTheme="minorHAnsi" w:cstheme="minorHAnsi"/>
        </w:rPr>
        <w:t xml:space="preserve"> ușor descrescătoare, ca urmare a reducerii deficitului bugetar de la </w:t>
      </w:r>
      <w:r w:rsidR="000E1111" w:rsidRPr="00166A39">
        <w:rPr>
          <w:rFonts w:asciiTheme="minorHAnsi" w:hAnsiTheme="minorHAnsi" w:cstheme="minorHAnsi"/>
        </w:rPr>
        <w:t>2,7</w:t>
      </w:r>
      <w:r w:rsidRPr="006B297C">
        <w:rPr>
          <w:rFonts w:asciiTheme="minorHAnsi" w:hAnsiTheme="minorHAnsi" w:cstheme="minorHAnsi"/>
        </w:rPr>
        <w:t xml:space="preserve">% </w:t>
      </w:r>
      <w:r w:rsidR="00A712BA" w:rsidRPr="006B297C">
        <w:rPr>
          <w:rFonts w:asciiTheme="minorHAnsi" w:hAnsiTheme="minorHAnsi" w:cstheme="minorHAnsi"/>
        </w:rPr>
        <w:t>î</w:t>
      </w:r>
      <w:r w:rsidRPr="00CC65F9">
        <w:rPr>
          <w:rFonts w:asciiTheme="minorHAnsi" w:hAnsiTheme="minorHAnsi" w:cstheme="minorHAnsi"/>
        </w:rPr>
        <w:t>n PIB p</w:t>
      </w:r>
      <w:r w:rsidR="00A712BA" w:rsidRPr="00CC65F9">
        <w:rPr>
          <w:rFonts w:asciiTheme="minorHAnsi" w:hAnsiTheme="minorHAnsi" w:cstheme="minorHAnsi"/>
        </w:rPr>
        <w:t>â</w:t>
      </w:r>
      <w:r w:rsidRPr="00CC65F9">
        <w:rPr>
          <w:rFonts w:asciiTheme="minorHAnsi" w:hAnsiTheme="minorHAnsi" w:cstheme="minorHAnsi"/>
        </w:rPr>
        <w:t>n</w:t>
      </w:r>
      <w:r w:rsidR="00A712BA" w:rsidRPr="00CC65F9">
        <w:rPr>
          <w:rFonts w:asciiTheme="minorHAnsi" w:hAnsiTheme="minorHAnsi" w:cstheme="minorHAnsi"/>
        </w:rPr>
        <w:t>ă</w:t>
      </w:r>
      <w:r w:rsidRPr="0052655F">
        <w:rPr>
          <w:rFonts w:asciiTheme="minorHAnsi" w:hAnsiTheme="minorHAnsi" w:cstheme="minorHAnsi"/>
        </w:rPr>
        <w:t xml:space="preserve"> la 2,</w:t>
      </w:r>
      <w:r w:rsidR="000E1111" w:rsidRPr="00166A39">
        <w:rPr>
          <w:rFonts w:asciiTheme="minorHAnsi" w:hAnsiTheme="minorHAnsi" w:cstheme="minorHAnsi"/>
        </w:rPr>
        <w:t>2</w:t>
      </w:r>
      <w:r w:rsidRPr="006B297C">
        <w:rPr>
          <w:rFonts w:asciiTheme="minorHAnsi" w:hAnsiTheme="minorHAnsi" w:cstheme="minorHAnsi"/>
        </w:rPr>
        <w:t xml:space="preserve">% </w:t>
      </w:r>
      <w:r w:rsidR="00A712BA" w:rsidRPr="00CC65F9">
        <w:rPr>
          <w:rFonts w:asciiTheme="minorHAnsi" w:hAnsiTheme="minorHAnsi" w:cstheme="minorHAnsi"/>
        </w:rPr>
        <w:t>î</w:t>
      </w:r>
      <w:r w:rsidRPr="00CC65F9">
        <w:rPr>
          <w:rFonts w:asciiTheme="minorHAnsi" w:hAnsiTheme="minorHAnsi" w:cstheme="minorHAnsi"/>
        </w:rPr>
        <w:t xml:space="preserve">n PIB. Având </w:t>
      </w:r>
      <w:r w:rsidR="00A712BA" w:rsidRPr="0052655F">
        <w:rPr>
          <w:rFonts w:asciiTheme="minorHAnsi" w:hAnsiTheme="minorHAnsi" w:cstheme="minorHAnsi"/>
        </w:rPr>
        <w:t>î</w:t>
      </w:r>
      <w:r w:rsidRPr="0052655F">
        <w:rPr>
          <w:rFonts w:asciiTheme="minorHAnsi" w:hAnsiTheme="minorHAnsi" w:cstheme="minorHAnsi"/>
        </w:rPr>
        <w:t>n vedere constată</w:t>
      </w:r>
      <w:r w:rsidRPr="001E461A">
        <w:rPr>
          <w:rFonts w:asciiTheme="minorHAnsi" w:hAnsiTheme="minorHAnsi" w:cstheme="minorHAnsi"/>
        </w:rPr>
        <w:t xml:space="preserve">rile privind o subestimare a veniturilor pe termen mediu, volumul cheltuielilor poate fi revizuit </w:t>
      </w:r>
      <w:r w:rsidR="00A712BA" w:rsidRPr="001E461A">
        <w:rPr>
          <w:rFonts w:asciiTheme="minorHAnsi" w:hAnsiTheme="minorHAnsi" w:cstheme="minorHAnsi"/>
        </w:rPr>
        <w:t>î</w:t>
      </w:r>
      <w:r w:rsidRPr="001E461A">
        <w:rPr>
          <w:rFonts w:asciiTheme="minorHAnsi" w:hAnsiTheme="minorHAnsi" w:cstheme="minorHAnsi"/>
        </w:rPr>
        <w:t xml:space="preserve">n creștere, odată cu revizuirea corespunzătoare a </w:t>
      </w:r>
      <w:r w:rsidR="000E1111" w:rsidRPr="00166A39">
        <w:rPr>
          <w:rFonts w:asciiTheme="minorHAnsi" w:hAnsiTheme="minorHAnsi" w:cstheme="minorHAnsi"/>
        </w:rPr>
        <w:t>cadrului de resurse</w:t>
      </w:r>
      <w:r w:rsidRPr="006B297C">
        <w:rPr>
          <w:rFonts w:asciiTheme="minorHAnsi" w:hAnsiTheme="minorHAnsi" w:cstheme="minorHAnsi"/>
        </w:rPr>
        <w:t>.</w:t>
      </w:r>
    </w:p>
    <w:p w14:paraId="2ACE880C" w14:textId="77777777" w:rsidR="0007189F" w:rsidRPr="00FB0BE5" w:rsidRDefault="0007189F" w:rsidP="0007189F">
      <w:pPr>
        <w:ind w:firstLine="567"/>
        <w:jc w:val="both"/>
        <w:rPr>
          <w:rFonts w:asciiTheme="minorHAnsi" w:hAnsiTheme="minorHAnsi" w:cstheme="minorHAnsi"/>
        </w:rPr>
      </w:pPr>
    </w:p>
    <w:p w14:paraId="5045F2B3" w14:textId="77777777" w:rsidR="00FE4C72" w:rsidRPr="00FB0BE5" w:rsidRDefault="00FE4C72" w:rsidP="0007189F">
      <w:pPr>
        <w:ind w:firstLine="567"/>
        <w:jc w:val="both"/>
        <w:rPr>
          <w:rFonts w:asciiTheme="minorHAnsi" w:hAnsiTheme="minorHAnsi" w:cstheme="minorHAnsi"/>
          <w:b/>
        </w:rPr>
      </w:pPr>
    </w:p>
    <w:p w14:paraId="267C9BAA" w14:textId="77777777" w:rsidR="00DC25F1" w:rsidRDefault="00DC25F1" w:rsidP="0007189F">
      <w:pPr>
        <w:ind w:firstLine="567"/>
        <w:jc w:val="both"/>
        <w:rPr>
          <w:rFonts w:asciiTheme="minorHAnsi" w:hAnsiTheme="minorHAnsi" w:cstheme="minorHAnsi"/>
          <w:b/>
        </w:rPr>
      </w:pPr>
    </w:p>
    <w:p w14:paraId="156C8C0C" w14:textId="77777777" w:rsidR="0007189F" w:rsidRPr="00FB0BE5" w:rsidRDefault="0007189F" w:rsidP="0007189F">
      <w:pPr>
        <w:ind w:firstLine="567"/>
        <w:jc w:val="both"/>
        <w:rPr>
          <w:rFonts w:asciiTheme="minorHAnsi" w:hAnsiTheme="minorHAnsi" w:cstheme="minorHAnsi"/>
          <w:b/>
        </w:rPr>
      </w:pPr>
      <w:r w:rsidRPr="00FB0BE5">
        <w:rPr>
          <w:rFonts w:asciiTheme="minorHAnsi" w:hAnsiTheme="minorHAnsi" w:cstheme="minorHAnsi"/>
          <w:b/>
        </w:rPr>
        <w:t>Atenuarea riscurilor</w:t>
      </w:r>
    </w:p>
    <w:p w14:paraId="0045602F" w14:textId="7022F826"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 xml:space="preserve">Legea privind finanțele publice </w:t>
      </w:r>
      <w:r w:rsidR="00A712BA" w:rsidRPr="00FB0BE5">
        <w:rPr>
          <w:rFonts w:asciiTheme="minorHAnsi" w:hAnsiTheme="minorHAnsi" w:cstheme="minorHAnsi"/>
        </w:rPr>
        <w:t>ș</w:t>
      </w:r>
      <w:r w:rsidRPr="00FB0BE5">
        <w:rPr>
          <w:rFonts w:asciiTheme="minorHAnsi" w:hAnsiTheme="minorHAnsi" w:cstheme="minorHAnsi"/>
        </w:rPr>
        <w:t>i responsabilitatea bugetar-fiscal</w:t>
      </w:r>
      <w:r w:rsidR="00A712BA" w:rsidRPr="00FB0BE5">
        <w:rPr>
          <w:rFonts w:asciiTheme="minorHAnsi" w:hAnsiTheme="minorHAnsi" w:cstheme="minorHAnsi"/>
        </w:rPr>
        <w:t>ă</w:t>
      </w:r>
      <w:r w:rsidRPr="00FB0BE5">
        <w:rPr>
          <w:rFonts w:asciiTheme="minorHAnsi" w:hAnsiTheme="minorHAnsi" w:cstheme="minorHAnsi"/>
        </w:rPr>
        <w:t xml:space="preserve"> 181/2014, prevede un mecanism de corectare a cheltuielilor bugetare </w:t>
      </w:r>
      <w:r w:rsidR="00A712BA" w:rsidRPr="00FB0BE5">
        <w:rPr>
          <w:rFonts w:asciiTheme="minorHAnsi" w:hAnsiTheme="minorHAnsi" w:cstheme="minorHAnsi"/>
        </w:rPr>
        <w:t>î</w:t>
      </w:r>
      <w:r w:rsidRPr="00FB0BE5">
        <w:rPr>
          <w:rFonts w:asciiTheme="minorHAnsi" w:hAnsiTheme="minorHAnsi" w:cstheme="minorHAnsi"/>
        </w:rPr>
        <w:t>n caz c</w:t>
      </w:r>
      <w:r w:rsidR="00A712BA" w:rsidRPr="00FB0BE5">
        <w:rPr>
          <w:rFonts w:asciiTheme="minorHAnsi" w:hAnsiTheme="minorHAnsi" w:cstheme="minorHAnsi"/>
        </w:rPr>
        <w:t>ă</w:t>
      </w:r>
      <w:r w:rsidRPr="00FB0BE5">
        <w:rPr>
          <w:rFonts w:asciiTheme="minorHAnsi" w:hAnsiTheme="minorHAnsi" w:cstheme="minorHAnsi"/>
        </w:rPr>
        <w:t xml:space="preserve"> acestea sunt supraestimate (prevenirea deficitului mai mare d</w:t>
      </w:r>
      <w:r w:rsidR="00A712BA" w:rsidRPr="00FB0BE5">
        <w:rPr>
          <w:rFonts w:asciiTheme="minorHAnsi" w:hAnsiTheme="minorHAnsi" w:cstheme="minorHAnsi"/>
        </w:rPr>
        <w:t>e</w:t>
      </w:r>
      <w:r w:rsidRPr="00FB0BE5">
        <w:rPr>
          <w:rFonts w:asciiTheme="minorHAnsi" w:hAnsiTheme="minorHAnsi" w:cstheme="minorHAnsi"/>
        </w:rPr>
        <w:t>c</w:t>
      </w:r>
      <w:r w:rsidR="00A712BA" w:rsidRPr="00FB0BE5">
        <w:rPr>
          <w:rFonts w:asciiTheme="minorHAnsi" w:hAnsiTheme="minorHAnsi" w:cstheme="minorHAnsi"/>
        </w:rPr>
        <w:t>â</w:t>
      </w:r>
      <w:r w:rsidRPr="00FB0BE5">
        <w:rPr>
          <w:rFonts w:asciiTheme="minorHAnsi" w:hAnsiTheme="minorHAnsi" w:cstheme="minorHAnsi"/>
        </w:rPr>
        <w:t xml:space="preserve">t cel planificat, </w:t>
      </w:r>
      <w:r w:rsidR="00A712BA" w:rsidRPr="00FB0BE5">
        <w:rPr>
          <w:rFonts w:asciiTheme="minorHAnsi" w:hAnsiTheme="minorHAnsi" w:cstheme="minorHAnsi"/>
        </w:rPr>
        <w:t>î</w:t>
      </w:r>
      <w:r w:rsidRPr="00FB0BE5">
        <w:rPr>
          <w:rFonts w:asciiTheme="minorHAnsi" w:hAnsiTheme="minorHAnsi" w:cstheme="minorHAnsi"/>
        </w:rPr>
        <w:t>n rezultat</w:t>
      </w:r>
      <w:r w:rsidR="00A712BA" w:rsidRPr="00FB0BE5">
        <w:rPr>
          <w:rFonts w:asciiTheme="minorHAnsi" w:hAnsiTheme="minorHAnsi" w:cstheme="minorHAnsi"/>
        </w:rPr>
        <w:t>ul</w:t>
      </w:r>
      <w:r w:rsidRPr="00FB0BE5">
        <w:rPr>
          <w:rFonts w:asciiTheme="minorHAnsi" w:hAnsiTheme="minorHAnsi" w:cstheme="minorHAnsi"/>
        </w:rPr>
        <w:t xml:space="preserve"> reducerii veniturilor). Acesta const</w:t>
      </w:r>
      <w:r w:rsidR="00A712BA" w:rsidRPr="00FB0BE5">
        <w:rPr>
          <w:rFonts w:asciiTheme="minorHAnsi" w:hAnsiTheme="minorHAnsi" w:cstheme="minorHAnsi"/>
        </w:rPr>
        <w:t>ă</w:t>
      </w:r>
      <w:r w:rsidR="00043782">
        <w:rPr>
          <w:rFonts w:asciiTheme="minorHAnsi" w:hAnsiTheme="minorHAnsi" w:cstheme="minorHAnsi"/>
        </w:rPr>
        <w:t xml:space="preserve"> </w:t>
      </w:r>
      <w:r w:rsidR="00A712BA" w:rsidRPr="00FB0BE5">
        <w:rPr>
          <w:rFonts w:asciiTheme="minorHAnsi" w:hAnsiTheme="minorHAnsi" w:cstheme="minorHAnsi"/>
        </w:rPr>
        <w:t>î</w:t>
      </w:r>
      <w:r w:rsidRPr="00FB0BE5">
        <w:rPr>
          <w:rFonts w:asciiTheme="minorHAnsi" w:hAnsiTheme="minorHAnsi" w:cstheme="minorHAnsi"/>
        </w:rPr>
        <w:t>n blocarea prealabil</w:t>
      </w:r>
      <w:r w:rsidR="00A712BA" w:rsidRPr="00FB0BE5">
        <w:rPr>
          <w:rFonts w:asciiTheme="minorHAnsi" w:hAnsiTheme="minorHAnsi" w:cstheme="minorHAnsi"/>
        </w:rPr>
        <w:t>ă</w:t>
      </w:r>
      <w:r w:rsidRPr="00FB0BE5">
        <w:rPr>
          <w:rFonts w:asciiTheme="minorHAnsi" w:hAnsiTheme="minorHAnsi" w:cstheme="minorHAnsi"/>
        </w:rPr>
        <w:t xml:space="preserve"> a cheltuielilor, pentru cel mult 2 luni, </w:t>
      </w:r>
      <w:r w:rsidR="00A712BA" w:rsidRPr="00FB0BE5">
        <w:rPr>
          <w:rFonts w:asciiTheme="minorHAnsi" w:hAnsiTheme="minorHAnsi" w:cstheme="minorHAnsi"/>
        </w:rPr>
        <w:t>î</w:t>
      </w:r>
      <w:r w:rsidRPr="00FB0BE5">
        <w:rPr>
          <w:rFonts w:asciiTheme="minorHAnsi" w:hAnsiTheme="minorHAnsi" w:cstheme="minorHAnsi"/>
        </w:rPr>
        <w:t xml:space="preserve">n perioada </w:t>
      </w:r>
      <w:r w:rsidR="00A712BA" w:rsidRPr="00FB0BE5">
        <w:rPr>
          <w:rFonts w:asciiTheme="minorHAnsi" w:hAnsiTheme="minorHAnsi" w:cstheme="minorHAnsi"/>
        </w:rPr>
        <w:t>î</w:t>
      </w:r>
      <w:r w:rsidRPr="00FB0BE5">
        <w:rPr>
          <w:rFonts w:asciiTheme="minorHAnsi" w:hAnsiTheme="minorHAnsi" w:cstheme="minorHAnsi"/>
        </w:rPr>
        <w:t xml:space="preserve">n care se recurge la reducerea cheltuielilor. </w:t>
      </w:r>
      <w:r w:rsidR="00A712BA" w:rsidRPr="00FB0BE5">
        <w:rPr>
          <w:rFonts w:asciiTheme="minorHAnsi" w:hAnsiTheme="minorHAnsi" w:cstheme="minorHAnsi"/>
        </w:rPr>
        <w:t>Î</w:t>
      </w:r>
      <w:r w:rsidRPr="00FB0BE5">
        <w:rPr>
          <w:rFonts w:asciiTheme="minorHAnsi" w:hAnsiTheme="minorHAnsi" w:cstheme="minorHAnsi"/>
        </w:rPr>
        <w:t>n aceast</w:t>
      </w:r>
      <w:r w:rsidR="00A712BA" w:rsidRPr="00FB0BE5">
        <w:rPr>
          <w:rFonts w:asciiTheme="minorHAnsi" w:hAnsiTheme="minorHAnsi" w:cstheme="minorHAnsi"/>
        </w:rPr>
        <w:t>ă</w:t>
      </w:r>
      <w:r w:rsidRPr="00FB0BE5">
        <w:rPr>
          <w:rFonts w:asciiTheme="minorHAnsi" w:hAnsiTheme="minorHAnsi" w:cstheme="minorHAnsi"/>
        </w:rPr>
        <w:t xml:space="preserve"> perioad</w:t>
      </w:r>
      <w:r w:rsidR="00A712BA" w:rsidRPr="00FB0BE5">
        <w:rPr>
          <w:rFonts w:asciiTheme="minorHAnsi" w:hAnsiTheme="minorHAnsi" w:cstheme="minorHAnsi"/>
        </w:rPr>
        <w:t>ă</w:t>
      </w:r>
      <w:r w:rsidRPr="00FB0BE5">
        <w:rPr>
          <w:rFonts w:asciiTheme="minorHAnsi" w:hAnsiTheme="minorHAnsi" w:cstheme="minorHAnsi"/>
        </w:rPr>
        <w:t xml:space="preserve"> sunt finanțate doar cheltuielile prioritare, care la fel sânt specificate </w:t>
      </w:r>
      <w:r w:rsidR="00A712BA" w:rsidRPr="00FB0BE5">
        <w:rPr>
          <w:rFonts w:asciiTheme="minorHAnsi" w:hAnsiTheme="minorHAnsi" w:cstheme="minorHAnsi"/>
        </w:rPr>
        <w:t>î</w:t>
      </w:r>
      <w:r w:rsidRPr="00FB0BE5">
        <w:rPr>
          <w:rFonts w:asciiTheme="minorHAnsi" w:hAnsiTheme="minorHAnsi" w:cstheme="minorHAnsi"/>
        </w:rPr>
        <w:t>n lege (deservirea datoriei de stat, salarii, pensii, indemnizații sociale, ș.a.).</w:t>
      </w:r>
      <w:r w:rsidR="00A712BA" w:rsidRPr="00FB0BE5">
        <w:rPr>
          <w:rFonts w:asciiTheme="minorHAnsi" w:hAnsiTheme="minorHAnsi" w:cstheme="minorHAnsi"/>
        </w:rPr>
        <w:t xml:space="preserve"> Î</w:t>
      </w:r>
      <w:r w:rsidRPr="00FB0BE5">
        <w:rPr>
          <w:rFonts w:asciiTheme="minorHAnsi" w:hAnsiTheme="minorHAnsi" w:cstheme="minorHAnsi"/>
        </w:rPr>
        <w:t>n cazul subestimării cheltuielilor acestea pot fi r</w:t>
      </w:r>
      <w:r w:rsidR="00610029" w:rsidRPr="00FB0BE5">
        <w:rPr>
          <w:rFonts w:asciiTheme="minorHAnsi" w:hAnsiTheme="minorHAnsi" w:cstheme="minorHAnsi"/>
        </w:rPr>
        <w:t xml:space="preserve">evizuite </w:t>
      </w:r>
      <w:r w:rsidR="00A712BA" w:rsidRPr="00FB0BE5">
        <w:rPr>
          <w:rFonts w:asciiTheme="minorHAnsi" w:hAnsiTheme="minorHAnsi" w:cstheme="minorHAnsi"/>
        </w:rPr>
        <w:t>î</w:t>
      </w:r>
      <w:r w:rsidR="00610029" w:rsidRPr="00FB0BE5">
        <w:rPr>
          <w:rFonts w:asciiTheme="minorHAnsi" w:hAnsiTheme="minorHAnsi" w:cstheme="minorHAnsi"/>
        </w:rPr>
        <w:t>n sensul majorării, fă</w:t>
      </w:r>
      <w:r w:rsidRPr="00FB0BE5">
        <w:rPr>
          <w:rFonts w:asciiTheme="minorHAnsi" w:hAnsiTheme="minorHAnsi" w:cstheme="minorHAnsi"/>
        </w:rPr>
        <w:t>r</w:t>
      </w:r>
      <w:r w:rsidR="00610029" w:rsidRPr="00FB0BE5">
        <w:rPr>
          <w:rFonts w:asciiTheme="minorHAnsi" w:hAnsiTheme="minorHAnsi" w:cstheme="minorHAnsi"/>
        </w:rPr>
        <w:t>ă</w:t>
      </w:r>
      <w:r w:rsidRPr="00FB0BE5">
        <w:rPr>
          <w:rFonts w:asciiTheme="minorHAnsi" w:hAnsiTheme="minorHAnsi" w:cstheme="minorHAnsi"/>
        </w:rPr>
        <w:t xml:space="preserve"> a admite depășirea deficitului. </w:t>
      </w:r>
    </w:p>
    <w:p w14:paraId="0087AAEB" w14:textId="77777777" w:rsidR="0007189F" w:rsidRPr="00FB0BE5" w:rsidRDefault="0007189F" w:rsidP="0007189F">
      <w:pPr>
        <w:ind w:firstLine="567"/>
        <w:jc w:val="both"/>
        <w:rPr>
          <w:rFonts w:asciiTheme="minorHAnsi" w:hAnsiTheme="minorHAnsi" w:cstheme="minorHAnsi"/>
        </w:rPr>
      </w:pPr>
      <w:r w:rsidRPr="00FB0BE5">
        <w:rPr>
          <w:rFonts w:asciiTheme="minorHAnsi" w:hAnsiTheme="minorHAnsi" w:cstheme="minorHAnsi"/>
        </w:rPr>
        <w:t>Revizuirea politicilor existente</w:t>
      </w:r>
      <w:r w:rsidR="00BE70BE">
        <w:rPr>
          <w:rFonts w:asciiTheme="minorHAnsi" w:hAnsiTheme="minorHAnsi" w:cstheme="minorHAnsi"/>
        </w:rPr>
        <w:t xml:space="preserve"> </w:t>
      </w:r>
      <w:r w:rsidRPr="00FB0BE5">
        <w:rPr>
          <w:rFonts w:asciiTheme="minorHAnsi" w:hAnsiTheme="minorHAnsi" w:cstheme="minorHAnsi"/>
        </w:rPr>
        <w:t xml:space="preserve">ar rezulta </w:t>
      </w:r>
      <w:r w:rsidR="00A712BA" w:rsidRPr="00FB0BE5">
        <w:rPr>
          <w:rFonts w:asciiTheme="minorHAnsi" w:hAnsiTheme="minorHAnsi" w:cstheme="minorHAnsi"/>
        </w:rPr>
        <w:t>într-</w:t>
      </w:r>
      <w:r w:rsidRPr="00FB0BE5">
        <w:rPr>
          <w:rFonts w:asciiTheme="minorHAnsi" w:hAnsiTheme="minorHAnsi" w:cstheme="minorHAnsi"/>
        </w:rPr>
        <w:t>o utilizare mai eficient</w:t>
      </w:r>
      <w:r w:rsidR="00A712BA" w:rsidRPr="00FB0BE5">
        <w:rPr>
          <w:rFonts w:asciiTheme="minorHAnsi" w:hAnsiTheme="minorHAnsi" w:cstheme="minorHAnsi"/>
        </w:rPr>
        <w:t>ă</w:t>
      </w:r>
      <w:r w:rsidRPr="00FB0BE5">
        <w:rPr>
          <w:rFonts w:asciiTheme="minorHAnsi" w:hAnsiTheme="minorHAnsi" w:cstheme="minorHAnsi"/>
        </w:rPr>
        <w:t xml:space="preserve"> a cheltuielilor, </w:t>
      </w:r>
      <w:r w:rsidR="00A712BA" w:rsidRPr="00FB0BE5">
        <w:rPr>
          <w:rFonts w:asciiTheme="minorHAnsi" w:hAnsiTheme="minorHAnsi" w:cstheme="minorHAnsi"/>
        </w:rPr>
        <w:t>ș</w:t>
      </w:r>
      <w:r w:rsidRPr="00FB0BE5">
        <w:rPr>
          <w:rFonts w:asciiTheme="minorHAnsi" w:hAnsiTheme="minorHAnsi" w:cstheme="minorHAnsi"/>
        </w:rPr>
        <w:t>i ar permite utilizarea resurselor limitate pentru implementarea politicilor de cheltuieli noi.</w:t>
      </w:r>
    </w:p>
    <w:p w14:paraId="6FB4A38E" w14:textId="77777777" w:rsidR="006B297C" w:rsidRDefault="006B297C">
      <w:pPr>
        <w:spacing w:after="200" w:line="276" w:lineRule="auto"/>
        <w:rPr>
          <w:rFonts w:eastAsia="Calibri" w:cs="Calibri"/>
        </w:rPr>
      </w:pPr>
      <w:r>
        <w:rPr>
          <w:rFonts w:eastAsia="Calibri" w:cs="Calibri"/>
        </w:rPr>
        <w:br w:type="page"/>
      </w:r>
    </w:p>
    <w:p w14:paraId="393F96A7" w14:textId="77777777" w:rsidR="001605EC" w:rsidRPr="00FB0BE5" w:rsidRDefault="004C2190" w:rsidP="004C2190">
      <w:pPr>
        <w:pStyle w:val="Heading2"/>
        <w:numPr>
          <w:ilvl w:val="1"/>
          <w:numId w:val="10"/>
        </w:numPr>
        <w:ind w:hanging="513"/>
        <w:rPr>
          <w:sz w:val="24"/>
          <w:szCs w:val="24"/>
        </w:rPr>
      </w:pPr>
      <w:bookmarkStart w:id="14" w:name="_Toc498455211"/>
      <w:bookmarkStart w:id="15" w:name="_Toc498612426"/>
      <w:r w:rsidRPr="00FB0BE5">
        <w:rPr>
          <w:sz w:val="24"/>
          <w:szCs w:val="24"/>
        </w:rPr>
        <w:lastRenderedPageBreak/>
        <w:t>Riscuri</w:t>
      </w:r>
      <w:r w:rsidR="00B658A2" w:rsidRPr="00FB0BE5">
        <w:rPr>
          <w:sz w:val="24"/>
          <w:szCs w:val="24"/>
        </w:rPr>
        <w:t>,</w:t>
      </w:r>
      <w:r w:rsidR="005861CE" w:rsidRPr="00FB0BE5">
        <w:rPr>
          <w:sz w:val="24"/>
          <w:szCs w:val="24"/>
        </w:rPr>
        <w:t xml:space="preserve"> asociate </w:t>
      </w:r>
      <w:r w:rsidRPr="00FB0BE5">
        <w:rPr>
          <w:sz w:val="24"/>
          <w:szCs w:val="24"/>
        </w:rPr>
        <w:t>managementului</w:t>
      </w:r>
      <w:r w:rsidR="005861CE" w:rsidRPr="00FB0BE5">
        <w:rPr>
          <w:sz w:val="24"/>
          <w:szCs w:val="24"/>
        </w:rPr>
        <w:t xml:space="preserve"> datoriei de stat</w:t>
      </w:r>
      <w:bookmarkEnd w:id="14"/>
      <w:bookmarkEnd w:id="15"/>
    </w:p>
    <w:p w14:paraId="57834FD2" w14:textId="77777777" w:rsidR="00107AD8" w:rsidRPr="00FB0BE5" w:rsidRDefault="00107AD8" w:rsidP="00107AD8">
      <w:pPr>
        <w:rPr>
          <w:b/>
          <w:bCs/>
          <w:color w:val="365F91" w:themeColor="accent1" w:themeShade="BF"/>
          <w:sz w:val="28"/>
          <w:szCs w:val="28"/>
        </w:rPr>
      </w:pPr>
    </w:p>
    <w:p w14:paraId="639A0C3F" w14:textId="77777777" w:rsidR="00107AD8" w:rsidRPr="00FB0BE5" w:rsidRDefault="00107AD8" w:rsidP="00107AD8">
      <w:pPr>
        <w:ind w:firstLine="567"/>
        <w:rPr>
          <w:rFonts w:asciiTheme="minorHAnsi" w:hAnsiTheme="minorHAnsi" w:cstheme="minorHAnsi"/>
          <w:b/>
        </w:rPr>
      </w:pPr>
      <w:r w:rsidRPr="00FB0BE5">
        <w:rPr>
          <w:rFonts w:asciiTheme="minorHAnsi" w:hAnsiTheme="minorHAnsi" w:cstheme="minorHAnsi"/>
          <w:b/>
        </w:rPr>
        <w:t>Tendințe și evoluții recente</w:t>
      </w:r>
    </w:p>
    <w:p w14:paraId="27D4A860" w14:textId="77777777" w:rsidR="004C2190" w:rsidRPr="00FB0BE5" w:rsidRDefault="004C2190" w:rsidP="00107AD8">
      <w:pPr>
        <w:ind w:firstLine="567"/>
        <w:rPr>
          <w:rFonts w:asciiTheme="minorHAnsi" w:hAnsiTheme="minorHAnsi" w:cstheme="minorHAnsi"/>
          <w:b/>
        </w:rPr>
      </w:pPr>
    </w:p>
    <w:p w14:paraId="244C3C66" w14:textId="6C4F1453" w:rsidR="00107AD8" w:rsidRPr="00FB0BE5" w:rsidRDefault="00107AD8" w:rsidP="00107AD8">
      <w:pPr>
        <w:ind w:firstLine="567"/>
        <w:jc w:val="both"/>
        <w:rPr>
          <w:rFonts w:ascii="Calibri" w:hAnsi="Calibri" w:cs="Calibri"/>
        </w:rPr>
      </w:pPr>
      <w:r w:rsidRPr="00FB0BE5">
        <w:rPr>
          <w:rFonts w:ascii="Calibri" w:hAnsi="Calibri" w:cs="Calibri"/>
        </w:rPr>
        <w:t>Riscurile aferente managementului datoriei de stat sunt abordate detaliat în cadrul Programului „Managementul datoriei de stat pe termen mediu” aprobat anual de către Guvern şi publicat pe pagina web oficială a M</w:t>
      </w:r>
      <w:r w:rsidR="00A712BA" w:rsidRPr="00FB0BE5">
        <w:rPr>
          <w:rFonts w:ascii="Calibri" w:hAnsi="Calibri" w:cs="Calibri"/>
        </w:rPr>
        <w:t xml:space="preserve">inisterului </w:t>
      </w:r>
      <w:r w:rsidRPr="00FB0BE5">
        <w:rPr>
          <w:rFonts w:ascii="Calibri" w:hAnsi="Calibri" w:cs="Calibri"/>
        </w:rPr>
        <w:t>F</w:t>
      </w:r>
      <w:r w:rsidR="00A712BA" w:rsidRPr="00FB0BE5">
        <w:rPr>
          <w:rFonts w:ascii="Calibri" w:hAnsi="Calibri" w:cs="Calibri"/>
        </w:rPr>
        <w:t>inanțelor</w:t>
      </w:r>
      <w:r w:rsidRPr="00FB0BE5">
        <w:rPr>
          <w:rFonts w:ascii="Calibri" w:hAnsi="Calibri" w:cs="Calibri"/>
        </w:rPr>
        <w:t xml:space="preserve">. Astfel, scenariile de </w:t>
      </w:r>
      <w:r w:rsidR="00F5545E" w:rsidRPr="00FB0BE5">
        <w:rPr>
          <w:rFonts w:ascii="Calibri" w:hAnsi="Calibri" w:cs="Calibri"/>
        </w:rPr>
        <w:t>șoc</w:t>
      </w:r>
      <w:r w:rsidRPr="00FB0BE5">
        <w:rPr>
          <w:rFonts w:ascii="Calibri" w:hAnsi="Calibri" w:cs="Calibri"/>
        </w:rPr>
        <w:t xml:space="preserve"> identificate în acest document strategic </w:t>
      </w:r>
      <w:r w:rsidR="00BE70BE" w:rsidRPr="00FB0BE5">
        <w:rPr>
          <w:rFonts w:ascii="Calibri" w:hAnsi="Calibri" w:cs="Calibri"/>
        </w:rPr>
        <w:t>evidențiază</w:t>
      </w:r>
      <w:r w:rsidRPr="00FB0BE5">
        <w:rPr>
          <w:rFonts w:ascii="Calibri" w:hAnsi="Calibri" w:cs="Calibri"/>
        </w:rPr>
        <w:t xml:space="preserve">, printre altele, </w:t>
      </w:r>
      <w:r w:rsidRPr="00FB0BE5">
        <w:rPr>
          <w:rFonts w:ascii="Calibri" w:hAnsi="Calibri" w:cs="Calibri"/>
          <w:u w:val="single"/>
        </w:rPr>
        <w:t>riscul valutar</w:t>
      </w:r>
      <w:r w:rsidRPr="00FB0BE5">
        <w:rPr>
          <w:rFonts w:ascii="Calibri" w:hAnsi="Calibri" w:cs="Calibri"/>
        </w:rPr>
        <w:t xml:space="preserve"> drept cel mai semnificativ risc ce ar putea crea, în caz de materializare, presiuni semnificative asupra bugetului de stat, având în vedere că datoria de stat externă denominată în valută străină </w:t>
      </w:r>
      <w:r w:rsidR="00BE70BE" w:rsidRPr="00FB0BE5">
        <w:rPr>
          <w:rFonts w:ascii="Calibri" w:hAnsi="Calibri" w:cs="Calibri"/>
        </w:rPr>
        <w:t>deține</w:t>
      </w:r>
      <w:r w:rsidRPr="00FB0BE5">
        <w:rPr>
          <w:rFonts w:ascii="Calibri" w:hAnsi="Calibri" w:cs="Calibri"/>
        </w:rPr>
        <w:t xml:space="preserve"> ponderea majoritară în</w:t>
      </w:r>
      <w:r w:rsidR="00BE70BE">
        <w:rPr>
          <w:rFonts w:ascii="Calibri" w:hAnsi="Calibri" w:cs="Calibri"/>
        </w:rPr>
        <w:t xml:space="preserve"> </w:t>
      </w:r>
      <w:r w:rsidRPr="00FB0BE5">
        <w:rPr>
          <w:rFonts w:ascii="Calibri" w:hAnsi="Calibri" w:cs="Calibri"/>
        </w:rPr>
        <w:t xml:space="preserve">portofoliul datoriei de stat. De asemenea, </w:t>
      </w:r>
      <w:r w:rsidRPr="00FB0BE5">
        <w:rPr>
          <w:rFonts w:ascii="Calibri" w:hAnsi="Calibri" w:cs="Calibri"/>
          <w:u w:val="single"/>
        </w:rPr>
        <w:t>riscul ratei de dobândă</w:t>
      </w:r>
      <w:r w:rsidRPr="00FB0BE5">
        <w:rPr>
          <w:rFonts w:ascii="Calibri" w:hAnsi="Calibri" w:cs="Calibri"/>
        </w:rPr>
        <w:t xml:space="preserve"> tinde să se </w:t>
      </w:r>
      <w:r w:rsidR="00BE70BE" w:rsidRPr="00FB0BE5">
        <w:rPr>
          <w:rFonts w:ascii="Calibri" w:hAnsi="Calibri" w:cs="Calibri"/>
        </w:rPr>
        <w:t>evidențieze</w:t>
      </w:r>
      <w:r w:rsidRPr="00FB0BE5">
        <w:rPr>
          <w:rFonts w:ascii="Calibri" w:hAnsi="Calibri" w:cs="Calibri"/>
        </w:rPr>
        <w:t xml:space="preserve">, din perspectiva înlocuirii după caz a </w:t>
      </w:r>
      <w:r w:rsidR="00F5545E" w:rsidRPr="00FB0BE5">
        <w:rPr>
          <w:rFonts w:ascii="Calibri" w:hAnsi="Calibri" w:cs="Calibri"/>
        </w:rPr>
        <w:t>finanțării</w:t>
      </w:r>
      <w:r w:rsidRPr="00FB0BE5">
        <w:rPr>
          <w:rFonts w:ascii="Calibri" w:hAnsi="Calibri" w:cs="Calibri"/>
        </w:rPr>
        <w:t xml:space="preserve"> externe cu </w:t>
      </w:r>
      <w:r w:rsidR="00A712BA" w:rsidRPr="00FB0BE5">
        <w:rPr>
          <w:rFonts w:ascii="Calibri" w:hAnsi="Calibri" w:cs="Calibri"/>
        </w:rPr>
        <w:t>valori mobiliare de stat (</w:t>
      </w:r>
      <w:r w:rsidRPr="00FB0BE5">
        <w:rPr>
          <w:rFonts w:ascii="Calibri" w:hAnsi="Calibri" w:cs="Calibri"/>
        </w:rPr>
        <w:t>VMS</w:t>
      </w:r>
      <w:r w:rsidR="00A712BA" w:rsidRPr="00FB0BE5">
        <w:rPr>
          <w:rFonts w:ascii="Calibri" w:hAnsi="Calibri" w:cs="Calibri"/>
        </w:rPr>
        <w:t>)</w:t>
      </w:r>
      <w:r w:rsidRPr="00FB0BE5">
        <w:rPr>
          <w:rFonts w:ascii="Calibri" w:hAnsi="Calibri" w:cs="Calibri"/>
        </w:rPr>
        <w:t xml:space="preserve"> emise pe </w:t>
      </w:r>
      <w:r w:rsidR="00BE70BE" w:rsidRPr="00FB0BE5">
        <w:rPr>
          <w:rFonts w:ascii="Calibri" w:hAnsi="Calibri" w:cs="Calibri"/>
        </w:rPr>
        <w:t>piața</w:t>
      </w:r>
      <w:r w:rsidRPr="00FB0BE5">
        <w:rPr>
          <w:rFonts w:ascii="Calibri" w:hAnsi="Calibri" w:cs="Calibri"/>
        </w:rPr>
        <w:t xml:space="preserve"> internă care sunt preponderent caracterizate de maturitate redusă, fapt ce presupune refixarea frecventă a ratei de dobândă aferentă.</w:t>
      </w:r>
    </w:p>
    <w:p w14:paraId="1BB5E083" w14:textId="662AC356" w:rsidR="00107AD8" w:rsidRPr="00FB0BE5" w:rsidRDefault="00BC6227" w:rsidP="00107AD8">
      <w:pPr>
        <w:ind w:firstLine="567"/>
        <w:jc w:val="both"/>
        <w:rPr>
          <w:rFonts w:asciiTheme="minorHAnsi" w:hAnsiTheme="minorHAnsi" w:cstheme="minorHAnsi"/>
        </w:rPr>
      </w:pPr>
      <w:r>
        <w:rPr>
          <w:rFonts w:asciiTheme="minorHAnsi" w:hAnsiTheme="minorHAnsi" w:cstheme="minorHAnsi"/>
          <w:noProof/>
          <w:lang w:val="ru-RU" w:eastAsia="ru-RU"/>
        </w:rPr>
        <mc:AlternateContent>
          <mc:Choice Requires="wps">
            <w:drawing>
              <wp:anchor distT="0" distB="0" distL="114300" distR="114300" simplePos="0" relativeHeight="251658752" behindDoc="0" locked="0" layoutInCell="1" allowOverlap="1" wp14:anchorId="0668E280" wp14:editId="186F30FB">
                <wp:simplePos x="0" y="0"/>
                <wp:positionH relativeFrom="column">
                  <wp:posOffset>-119380</wp:posOffset>
                </wp:positionH>
                <wp:positionV relativeFrom="paragraph">
                  <wp:posOffset>1833245</wp:posOffset>
                </wp:positionV>
                <wp:extent cx="6134100" cy="2838450"/>
                <wp:effectExtent l="0" t="0" r="0" b="0"/>
                <wp:wrapSquare wrapText="bothSides"/>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83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033C5" w14:textId="77777777" w:rsidR="00017651" w:rsidRDefault="00017651" w:rsidP="00A901E4">
                            <w:pPr>
                              <w:jc w:val="both"/>
                              <w:rPr>
                                <w:rFonts w:asciiTheme="minorHAnsi" w:hAnsiTheme="minorHAnsi" w:cstheme="minorHAnsi"/>
                                <w:b/>
                                <w:color w:val="365F91" w:themeColor="accent1" w:themeShade="BF"/>
                                <w:sz w:val="22"/>
                                <w:szCs w:val="22"/>
                              </w:rPr>
                            </w:pPr>
                            <w:r w:rsidRPr="00166A39">
                              <w:rPr>
                                <w:rFonts w:asciiTheme="minorHAnsi" w:hAnsiTheme="minorHAnsi" w:cstheme="minorHAnsi"/>
                                <w:b/>
                                <w:color w:val="365F91" w:themeColor="accent1" w:themeShade="BF"/>
                                <w:sz w:val="22"/>
                                <w:szCs w:val="22"/>
                              </w:rPr>
                              <w:t>Graficul 7.Devierea prognozelor soldului datoriei de stat comparativ cu executarea acestuia</w:t>
                            </w:r>
                          </w:p>
                          <w:p w14:paraId="14BEDD7E" w14:textId="77777777" w:rsidR="00017651" w:rsidRDefault="00017651" w:rsidP="00A901E4">
                            <w:pPr>
                              <w:jc w:val="both"/>
                              <w:rPr>
                                <w:rFonts w:asciiTheme="minorHAnsi" w:hAnsiTheme="minorHAnsi" w:cstheme="minorHAnsi"/>
                                <w:b/>
                                <w:color w:val="365F91" w:themeColor="accent1" w:themeShade="BF"/>
                                <w:sz w:val="22"/>
                                <w:szCs w:val="22"/>
                              </w:rPr>
                            </w:pPr>
                          </w:p>
                          <w:p w14:paraId="7943E4D7" w14:textId="77777777" w:rsidR="00017651" w:rsidRDefault="00017651" w:rsidP="00A901E4">
                            <w:pPr>
                              <w:jc w:val="both"/>
                              <w:rPr>
                                <w:rFonts w:asciiTheme="minorHAnsi" w:hAnsiTheme="minorHAnsi" w:cstheme="minorHAnsi"/>
                                <w:b/>
                                <w:color w:val="365F91" w:themeColor="accent1" w:themeShade="BF"/>
                                <w:sz w:val="22"/>
                                <w:szCs w:val="22"/>
                              </w:rPr>
                            </w:pPr>
                            <w:r>
                              <w:rPr>
                                <w:noProof/>
                                <w:lang w:val="ru-RU" w:eastAsia="ru-RU"/>
                              </w:rPr>
                              <w:drawing>
                                <wp:inline distT="0" distB="0" distL="0" distR="0" wp14:anchorId="181FC5E7" wp14:editId="4377A511">
                                  <wp:extent cx="2783408" cy="2209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4967" cy="2211038"/>
                                          </a:xfrm>
                                          <a:prstGeom prst="rect">
                                            <a:avLst/>
                                          </a:prstGeom>
                                          <a:noFill/>
                                          <a:ln>
                                            <a:noFill/>
                                          </a:ln>
                                        </pic:spPr>
                                      </pic:pic>
                                    </a:graphicData>
                                  </a:graphic>
                                </wp:inline>
                              </w:drawing>
                            </w:r>
                            <w:r>
                              <w:rPr>
                                <w:noProof/>
                                <w:lang w:val="ru-RU" w:eastAsia="ru-RU"/>
                              </w:rPr>
                              <w:drawing>
                                <wp:inline distT="0" distB="0" distL="0" distR="0" wp14:anchorId="62E000E9" wp14:editId="3784E5E1">
                                  <wp:extent cx="3027600" cy="2210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7600" cy="2210400"/>
                                          </a:xfrm>
                                          <a:prstGeom prst="rect">
                                            <a:avLst/>
                                          </a:prstGeom>
                                          <a:noFill/>
                                          <a:ln>
                                            <a:noFill/>
                                          </a:ln>
                                        </pic:spPr>
                                      </pic:pic>
                                    </a:graphicData>
                                  </a:graphic>
                                </wp:inline>
                              </w:drawing>
                            </w:r>
                          </w:p>
                          <w:p w14:paraId="3CAF038B" w14:textId="77777777" w:rsidR="00017651" w:rsidRPr="00EB68DC" w:rsidRDefault="00017651" w:rsidP="00A901E4">
                            <w:pPr>
                              <w:jc w:val="both"/>
                              <w:rPr>
                                <w:rFonts w:asciiTheme="minorHAnsi" w:hAnsiTheme="minorHAnsi" w:cstheme="minorHAnsi"/>
                                <w:b/>
                                <w:color w:val="365F91" w:themeColor="accent1" w:themeShade="BF"/>
                                <w:sz w:val="22"/>
                                <w:szCs w:val="22"/>
                              </w:rPr>
                            </w:pPr>
                          </w:p>
                          <w:p w14:paraId="2127B3A7" w14:textId="77777777" w:rsidR="00017651" w:rsidRDefault="00017651" w:rsidP="00107AD8">
                            <w:r w:rsidRPr="00644C94">
                              <w:rPr>
                                <w:noProof/>
                                <w:lang w:val="ru-RU" w:eastAsia="ru-RU"/>
                              </w:rPr>
                              <w:drawing>
                                <wp:inline distT="0" distB="0" distL="0" distR="0" wp14:anchorId="192324AA" wp14:editId="74424487">
                                  <wp:extent cx="2784535" cy="2240648"/>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2796309" cy="2250122"/>
                                          </a:xfrm>
                                          <a:prstGeom prst="rect">
                                            <a:avLst/>
                                          </a:prstGeom>
                                          <a:noFill/>
                                          <a:ln w="9525">
                                            <a:noFill/>
                                            <a:miter lim="800000"/>
                                            <a:headEnd/>
                                            <a:tailEnd/>
                                          </a:ln>
                                        </pic:spPr>
                                      </pic:pic>
                                    </a:graphicData>
                                  </a:graphic>
                                </wp:inline>
                              </w:drawing>
                            </w:r>
                            <w:r w:rsidRPr="00644C94">
                              <w:rPr>
                                <w:noProof/>
                                <w:lang w:val="ru-RU" w:eastAsia="ru-RU"/>
                              </w:rPr>
                              <w:drawing>
                                <wp:inline distT="0" distB="0" distL="0" distR="0" wp14:anchorId="2D4BE6C8" wp14:editId="53E14452">
                                  <wp:extent cx="2810150" cy="2242641"/>
                                  <wp:effectExtent l="19050" t="0" r="92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2815015" cy="22465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8E280" id="Text Box 15" o:spid="_x0000_s1033" type="#_x0000_t202" style="position:absolute;left:0;text-align:left;margin-left:-9.4pt;margin-top:144.35pt;width:483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Pb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j&#10;pEgHHD3ywaMbPaBsGurTG1eB24MBRz/APvjGXJ251/STQ0rftkRt+bW1um85YRBfFk4mZ0dHHBdA&#10;Nv1bzeAesvM6Ag2N7ULxoBwI0IGnpxM3IRYKm7PssshSMFGw5YvLRTGN7CWkOh431vnXXHcoTGps&#10;gfwIT/b3zodwSHV0Cbc5LQVbCynjwm43t9KiPQGhrOMXM3jmJlVwVjocGxHHHYgS7gi2EG8k/muZ&#10;5UV6k5eT9WwxnxTrYjop5+likmblTTlLi7K4W38LAWZF1QrGuLoXih9FmBV/R/KhHUb5RBmivsbl&#10;NJ+OHP0xyTR+v0uyEx56UoquxouTE6kCs68Ug7RJ5YmQ4zz5OfxYZajB8R+rEnUQqB9F4IfNECU3&#10;P8pro9kTCMNqoA0ohvcEJq22XzDqoTdr7D7viOUYyTcKxFVmRRGaOS6K6TyHhT23bM4tRFGAqrHH&#10;aJze+vEB2Bkrti3cNMpZ6WsQZCOiVIJyx6gOMob+izkd3orQ4Ofr6PXjRVt9BwAA//8DAFBLAwQU&#10;AAYACAAAACEAuGmOjuAAAAALAQAADwAAAGRycy9kb3ducmV2LnhtbEyPwW7CMBBE75X6D9ZW6qUC&#10;hxRwCNmgtlKrXqF8wCYxSUS8jmJDwt/XPZXjaEYzb7LdZDpx1YNrLSMs5hEIzaWtWq4Rjj+fswSE&#10;88QVdZY1wk072OWPDxmllR15r68HX4tQwi4lhMb7PpXSlY025Oa21xy8kx0M+SCHWlYDjaHcdDKO&#10;orU01HJYaKjXH40uz4eLQTh9jy+rzVh8+aPaL9fv1KrC3hCfn6a3LQivJ/8fhj/8gA55YCrshSsn&#10;OoTZIgnoHiFOEgUiJDZLFYMoENTrSoHMM3n/If8FAAD//wMAUEsBAi0AFAAGAAgAAAAhALaDOJL+&#10;AAAA4QEAABMAAAAAAAAAAAAAAAAAAAAAAFtDb250ZW50X1R5cGVzXS54bWxQSwECLQAUAAYACAAA&#10;ACEAOP0h/9YAAACUAQAACwAAAAAAAAAAAAAAAAAvAQAAX3JlbHMvLnJlbHNQSwECLQAUAAYACAAA&#10;ACEAk2Kz24cCAAAZBQAADgAAAAAAAAAAAAAAAAAuAgAAZHJzL2Uyb0RvYy54bWxQSwECLQAUAAYA&#10;CAAAACEAuGmOjuAAAAALAQAADwAAAAAAAAAAAAAAAADhBAAAZHJzL2Rvd25yZXYueG1sUEsFBgAA&#10;AAAEAAQA8wAAAO4FAAAAAA==&#10;" stroked="f">
                <v:textbox>
                  <w:txbxContent>
                    <w:p w14:paraId="3AB033C5" w14:textId="77777777" w:rsidR="00017651" w:rsidRDefault="00017651" w:rsidP="00A901E4">
                      <w:pPr>
                        <w:jc w:val="both"/>
                        <w:rPr>
                          <w:rFonts w:asciiTheme="minorHAnsi" w:hAnsiTheme="minorHAnsi" w:cstheme="minorHAnsi"/>
                          <w:b/>
                          <w:color w:val="365F91" w:themeColor="accent1" w:themeShade="BF"/>
                          <w:sz w:val="22"/>
                          <w:szCs w:val="22"/>
                        </w:rPr>
                      </w:pPr>
                      <w:r w:rsidRPr="00166A39">
                        <w:rPr>
                          <w:rFonts w:asciiTheme="minorHAnsi" w:hAnsiTheme="minorHAnsi" w:cstheme="minorHAnsi"/>
                          <w:b/>
                          <w:color w:val="365F91" w:themeColor="accent1" w:themeShade="BF"/>
                          <w:sz w:val="22"/>
                          <w:szCs w:val="22"/>
                        </w:rPr>
                        <w:t>Graficul 7.Devierea prognozelor soldului datoriei de stat comparativ cu executarea acestuia</w:t>
                      </w:r>
                    </w:p>
                    <w:p w14:paraId="14BEDD7E" w14:textId="77777777" w:rsidR="00017651" w:rsidRDefault="00017651" w:rsidP="00A901E4">
                      <w:pPr>
                        <w:jc w:val="both"/>
                        <w:rPr>
                          <w:rFonts w:asciiTheme="minorHAnsi" w:hAnsiTheme="minorHAnsi" w:cstheme="minorHAnsi"/>
                          <w:b/>
                          <w:color w:val="365F91" w:themeColor="accent1" w:themeShade="BF"/>
                          <w:sz w:val="22"/>
                          <w:szCs w:val="22"/>
                        </w:rPr>
                      </w:pPr>
                    </w:p>
                    <w:p w14:paraId="7943E4D7" w14:textId="77777777" w:rsidR="00017651" w:rsidRDefault="00017651" w:rsidP="00A901E4">
                      <w:pPr>
                        <w:jc w:val="both"/>
                        <w:rPr>
                          <w:rFonts w:asciiTheme="minorHAnsi" w:hAnsiTheme="minorHAnsi" w:cstheme="minorHAnsi"/>
                          <w:b/>
                          <w:color w:val="365F91" w:themeColor="accent1" w:themeShade="BF"/>
                          <w:sz w:val="22"/>
                          <w:szCs w:val="22"/>
                        </w:rPr>
                      </w:pPr>
                      <w:r>
                        <w:rPr>
                          <w:noProof/>
                          <w:lang w:val="ru-RU" w:eastAsia="ru-RU"/>
                        </w:rPr>
                        <w:drawing>
                          <wp:inline distT="0" distB="0" distL="0" distR="0" wp14:anchorId="181FC5E7" wp14:editId="4377A511">
                            <wp:extent cx="2783408" cy="2209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4967" cy="2211038"/>
                                    </a:xfrm>
                                    <a:prstGeom prst="rect">
                                      <a:avLst/>
                                    </a:prstGeom>
                                    <a:noFill/>
                                    <a:ln>
                                      <a:noFill/>
                                    </a:ln>
                                  </pic:spPr>
                                </pic:pic>
                              </a:graphicData>
                            </a:graphic>
                          </wp:inline>
                        </w:drawing>
                      </w:r>
                      <w:r>
                        <w:rPr>
                          <w:noProof/>
                          <w:lang w:val="ru-RU" w:eastAsia="ru-RU"/>
                        </w:rPr>
                        <w:drawing>
                          <wp:inline distT="0" distB="0" distL="0" distR="0" wp14:anchorId="62E000E9" wp14:editId="3784E5E1">
                            <wp:extent cx="3027600" cy="2210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7600" cy="2210400"/>
                                    </a:xfrm>
                                    <a:prstGeom prst="rect">
                                      <a:avLst/>
                                    </a:prstGeom>
                                    <a:noFill/>
                                    <a:ln>
                                      <a:noFill/>
                                    </a:ln>
                                  </pic:spPr>
                                </pic:pic>
                              </a:graphicData>
                            </a:graphic>
                          </wp:inline>
                        </w:drawing>
                      </w:r>
                    </w:p>
                    <w:p w14:paraId="3CAF038B" w14:textId="77777777" w:rsidR="00017651" w:rsidRPr="00EB68DC" w:rsidRDefault="00017651" w:rsidP="00A901E4">
                      <w:pPr>
                        <w:jc w:val="both"/>
                        <w:rPr>
                          <w:rFonts w:asciiTheme="minorHAnsi" w:hAnsiTheme="minorHAnsi" w:cstheme="minorHAnsi"/>
                          <w:b/>
                          <w:color w:val="365F91" w:themeColor="accent1" w:themeShade="BF"/>
                          <w:sz w:val="22"/>
                          <w:szCs w:val="22"/>
                        </w:rPr>
                      </w:pPr>
                    </w:p>
                    <w:p w14:paraId="2127B3A7" w14:textId="77777777" w:rsidR="00017651" w:rsidRDefault="00017651" w:rsidP="00107AD8">
                      <w:r w:rsidRPr="00644C94">
                        <w:rPr>
                          <w:noProof/>
                          <w:lang w:val="ru-RU" w:eastAsia="ru-RU"/>
                        </w:rPr>
                        <w:drawing>
                          <wp:inline distT="0" distB="0" distL="0" distR="0" wp14:anchorId="192324AA" wp14:editId="74424487">
                            <wp:extent cx="2784535" cy="2240648"/>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2796309" cy="2250122"/>
                                    </a:xfrm>
                                    <a:prstGeom prst="rect">
                                      <a:avLst/>
                                    </a:prstGeom>
                                    <a:noFill/>
                                    <a:ln w="9525">
                                      <a:noFill/>
                                      <a:miter lim="800000"/>
                                      <a:headEnd/>
                                      <a:tailEnd/>
                                    </a:ln>
                                  </pic:spPr>
                                </pic:pic>
                              </a:graphicData>
                            </a:graphic>
                          </wp:inline>
                        </w:drawing>
                      </w:r>
                      <w:r w:rsidRPr="00644C94">
                        <w:rPr>
                          <w:noProof/>
                          <w:lang w:val="ru-RU" w:eastAsia="ru-RU"/>
                        </w:rPr>
                        <w:drawing>
                          <wp:inline distT="0" distB="0" distL="0" distR="0" wp14:anchorId="2D4BE6C8" wp14:editId="53E14452">
                            <wp:extent cx="2810150" cy="2242641"/>
                            <wp:effectExtent l="19050" t="0" r="92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2815015" cy="2246524"/>
                                    </a:xfrm>
                                    <a:prstGeom prst="rect">
                                      <a:avLst/>
                                    </a:prstGeom>
                                    <a:noFill/>
                                    <a:ln w="9525">
                                      <a:noFill/>
                                      <a:miter lim="800000"/>
                                      <a:headEnd/>
                                      <a:tailEnd/>
                                    </a:ln>
                                  </pic:spPr>
                                </pic:pic>
                              </a:graphicData>
                            </a:graphic>
                          </wp:inline>
                        </w:drawing>
                      </w:r>
                    </w:p>
                  </w:txbxContent>
                </v:textbox>
                <w10:wrap type="square"/>
              </v:shape>
            </w:pict>
          </mc:Fallback>
        </mc:AlternateContent>
      </w:r>
      <w:r w:rsidR="00107AD8" w:rsidRPr="00FB0BE5">
        <w:rPr>
          <w:rFonts w:asciiTheme="minorHAnsi" w:hAnsiTheme="minorHAnsi" w:cstheme="minorHAnsi"/>
        </w:rPr>
        <w:t xml:space="preserve">Analiza prognozelor soldului datoriei de stat (ca % </w:t>
      </w:r>
      <w:r w:rsidR="003D057A" w:rsidRPr="00FB0BE5">
        <w:rPr>
          <w:rFonts w:asciiTheme="minorHAnsi" w:hAnsiTheme="minorHAnsi" w:cstheme="minorHAnsi"/>
        </w:rPr>
        <w:t>î</w:t>
      </w:r>
      <w:r w:rsidR="00107AD8" w:rsidRPr="00FB0BE5">
        <w:rPr>
          <w:rFonts w:asciiTheme="minorHAnsi" w:hAnsiTheme="minorHAnsi" w:cstheme="minorHAnsi"/>
        </w:rPr>
        <w:t xml:space="preserve">n PIB), demonstrează o tendință de subestimare a acestora, în special a estimărilor în cadrul CBTM. Totodată în ultimii </w:t>
      </w:r>
      <w:r w:rsidR="00973ABE">
        <w:rPr>
          <w:rFonts w:asciiTheme="minorHAnsi" w:hAnsiTheme="minorHAnsi" w:cstheme="minorHAnsi"/>
        </w:rPr>
        <w:t>trei</w:t>
      </w:r>
      <w:r w:rsidR="00107AD8" w:rsidRPr="00FB0BE5">
        <w:rPr>
          <w:rFonts w:asciiTheme="minorHAnsi" w:hAnsiTheme="minorHAnsi" w:cstheme="minorHAnsi"/>
        </w:rPr>
        <w:t xml:space="preserve"> ani estimarea efectuată la proiectul </w:t>
      </w:r>
      <w:r w:rsidR="00973ABE">
        <w:rPr>
          <w:rFonts w:asciiTheme="minorHAnsi" w:hAnsiTheme="minorHAnsi" w:cstheme="minorHAnsi"/>
        </w:rPr>
        <w:t xml:space="preserve">legii </w:t>
      </w:r>
      <w:r w:rsidR="00107AD8" w:rsidRPr="00FB0BE5">
        <w:rPr>
          <w:rFonts w:asciiTheme="minorHAnsi" w:hAnsiTheme="minorHAnsi" w:cstheme="minorHAnsi"/>
        </w:rPr>
        <w:t>bugetului</w:t>
      </w:r>
      <w:r w:rsidR="00973ABE">
        <w:rPr>
          <w:rFonts w:asciiTheme="minorHAnsi" w:hAnsiTheme="minorHAnsi" w:cstheme="minorHAnsi"/>
        </w:rPr>
        <w:t xml:space="preserve"> de stat pe anul respectiv</w:t>
      </w:r>
      <w:r w:rsidR="00107AD8" w:rsidRPr="00FB0BE5">
        <w:rPr>
          <w:rFonts w:asciiTheme="minorHAnsi" w:hAnsiTheme="minorHAnsi" w:cstheme="minorHAnsi"/>
        </w:rPr>
        <w:t xml:space="preserve"> a fost supraestimată. Din </w:t>
      </w:r>
      <w:r w:rsidR="00BE70BE" w:rsidRPr="00FB0BE5">
        <w:rPr>
          <w:rFonts w:asciiTheme="minorHAnsi" w:hAnsiTheme="minorHAnsi" w:cstheme="minorHAnsi"/>
        </w:rPr>
        <w:t>2</w:t>
      </w:r>
      <w:r w:rsidR="00BE70BE">
        <w:rPr>
          <w:rFonts w:asciiTheme="minorHAnsi" w:hAnsiTheme="minorHAnsi" w:cstheme="minorHAnsi"/>
        </w:rPr>
        <w:t>6</w:t>
      </w:r>
      <w:r w:rsidR="00BE70BE" w:rsidRPr="00FB0BE5">
        <w:rPr>
          <w:rFonts w:asciiTheme="minorHAnsi" w:hAnsiTheme="minorHAnsi" w:cstheme="minorHAnsi"/>
        </w:rPr>
        <w:t xml:space="preserve"> </w:t>
      </w:r>
      <w:r w:rsidR="00107AD8" w:rsidRPr="00FB0BE5">
        <w:rPr>
          <w:rFonts w:asciiTheme="minorHAnsi" w:hAnsiTheme="minorHAnsi" w:cstheme="minorHAnsi"/>
        </w:rPr>
        <w:t>de observații prezentate mai jos, abateri mai mari de</w:t>
      </w:r>
      <w:r w:rsidR="00BE70BE">
        <w:rPr>
          <w:rFonts w:asciiTheme="minorHAnsi" w:hAnsiTheme="minorHAnsi" w:cstheme="minorHAnsi"/>
        </w:rPr>
        <w:t xml:space="preserve"> </w:t>
      </w:r>
      <w:r w:rsidR="00107AD8" w:rsidRPr="00FB0BE5">
        <w:rPr>
          <w:rFonts w:asciiTheme="minorHAnsi" w:hAnsiTheme="minorHAnsi" w:cstheme="minorHAnsi"/>
        </w:rPr>
        <w:t>3</w:t>
      </w:r>
      <w:r w:rsidR="00973ABE">
        <w:rPr>
          <w:rFonts w:asciiTheme="minorHAnsi" w:hAnsiTheme="minorHAnsi" w:cstheme="minorHAnsi"/>
        </w:rPr>
        <w:t xml:space="preserve"> p.p.</w:t>
      </w:r>
      <w:r w:rsidR="00973ABE" w:rsidRPr="00FB0BE5">
        <w:rPr>
          <w:rFonts w:asciiTheme="minorHAnsi" w:hAnsiTheme="minorHAnsi" w:cstheme="minorHAnsi"/>
        </w:rPr>
        <w:t xml:space="preserve"> </w:t>
      </w:r>
      <w:r w:rsidR="00107AD8" w:rsidRPr="00FB0BE5">
        <w:rPr>
          <w:rFonts w:asciiTheme="minorHAnsi" w:hAnsiTheme="minorHAnsi" w:cstheme="minorHAnsi"/>
        </w:rPr>
        <w:t>din PIB au avut loc</w:t>
      </w:r>
      <w:r w:rsidR="00A901E4" w:rsidRPr="00FB0BE5">
        <w:rPr>
          <w:rFonts w:asciiTheme="minorHAnsi" w:hAnsiTheme="minorHAnsi" w:cstheme="minorHAnsi"/>
        </w:rPr>
        <w:t xml:space="preserve"> în </w:t>
      </w:r>
      <w:r w:rsidR="00BE70BE">
        <w:rPr>
          <w:rFonts w:asciiTheme="minorHAnsi" w:hAnsiTheme="minorHAnsi" w:cstheme="minorHAnsi"/>
        </w:rPr>
        <w:t>20</w:t>
      </w:r>
      <w:r w:rsidR="00BE70BE" w:rsidRPr="00FB0BE5">
        <w:rPr>
          <w:rFonts w:asciiTheme="minorHAnsi" w:hAnsiTheme="minorHAnsi" w:cstheme="minorHAnsi"/>
        </w:rPr>
        <w:t xml:space="preserve"> </w:t>
      </w:r>
      <w:r w:rsidR="00A901E4" w:rsidRPr="00FB0BE5">
        <w:rPr>
          <w:rFonts w:asciiTheme="minorHAnsi" w:hAnsiTheme="minorHAnsi" w:cstheme="minorHAnsi"/>
        </w:rPr>
        <w:t>cazuri, iar între 1 și 3</w:t>
      </w:r>
      <w:r w:rsidR="00973ABE">
        <w:rPr>
          <w:rFonts w:asciiTheme="minorHAnsi" w:hAnsiTheme="minorHAnsi" w:cstheme="minorHAnsi"/>
        </w:rPr>
        <w:t xml:space="preserve"> p.p. </w:t>
      </w:r>
      <w:r w:rsidR="00107AD8" w:rsidRPr="00FB0BE5">
        <w:rPr>
          <w:rFonts w:asciiTheme="minorHAnsi" w:hAnsiTheme="minorHAnsi" w:cstheme="minorHAnsi"/>
        </w:rPr>
        <w:t xml:space="preserve"> din PIB </w:t>
      </w:r>
      <w:r w:rsidR="00107AD8" w:rsidRPr="002B0694">
        <w:rPr>
          <w:rFonts w:asciiTheme="minorHAnsi" w:hAnsiTheme="minorHAnsi" w:cstheme="minorHAnsi"/>
        </w:rPr>
        <w:t xml:space="preserve">în 3 cazuri, fapt ce indică </w:t>
      </w:r>
      <w:r w:rsidR="000552FE" w:rsidRPr="002B0694">
        <w:rPr>
          <w:rFonts w:asciiTheme="minorHAnsi" w:hAnsiTheme="minorHAnsi" w:cstheme="minorHAnsi"/>
          <w:b/>
          <w:i/>
        </w:rPr>
        <w:t>un grad ridicat al riscului asociat estimărilor datoriei de stat.</w:t>
      </w:r>
      <w:r w:rsidR="00107AD8" w:rsidRPr="002B0694">
        <w:rPr>
          <w:rFonts w:asciiTheme="minorHAnsi" w:hAnsiTheme="minorHAnsi" w:cstheme="minorHAnsi"/>
        </w:rPr>
        <w:t xml:space="preserve"> Abaterile prognozelor </w:t>
      </w:r>
      <w:r w:rsidR="00A901E4" w:rsidRPr="002B0694">
        <w:rPr>
          <w:rFonts w:asciiTheme="minorHAnsi" w:hAnsiTheme="minorHAnsi" w:cstheme="minorHAnsi"/>
        </w:rPr>
        <w:t>soldului</w:t>
      </w:r>
      <w:r w:rsidR="00107AD8" w:rsidRPr="002B0694">
        <w:rPr>
          <w:rFonts w:asciiTheme="minorHAnsi" w:hAnsiTheme="minorHAnsi" w:cstheme="minorHAnsi"/>
        </w:rPr>
        <w:t xml:space="preserve"> datoriei de stat demonstrează aceeași tendință de subestimare</w:t>
      </w:r>
      <w:r w:rsidR="0015520C" w:rsidRPr="002B0694">
        <w:rPr>
          <w:rFonts w:asciiTheme="minorHAnsi" w:hAnsiTheme="minorHAnsi" w:cstheme="minorHAnsi"/>
        </w:rPr>
        <w:t xml:space="preserve"> </w:t>
      </w:r>
      <w:r w:rsidR="000E1111" w:rsidRPr="00166A39">
        <w:rPr>
          <w:rFonts w:asciiTheme="minorHAnsi" w:hAnsiTheme="minorHAnsi" w:cstheme="minorHAnsi"/>
        </w:rPr>
        <w:t xml:space="preserve">pentru perioada 2011-2016, trendul inversând-se </w:t>
      </w:r>
      <w:r w:rsidR="00973ABE" w:rsidRPr="00166A39">
        <w:rPr>
          <w:rFonts w:asciiTheme="minorHAnsi" w:hAnsiTheme="minorHAnsi" w:cstheme="minorHAnsi"/>
        </w:rPr>
        <w:t>începând cu</w:t>
      </w:r>
      <w:r w:rsidR="009E29FE" w:rsidRPr="00166A39">
        <w:rPr>
          <w:rFonts w:asciiTheme="minorHAnsi" w:hAnsiTheme="minorHAnsi" w:cstheme="minorHAnsi"/>
        </w:rPr>
        <w:t xml:space="preserve"> </w:t>
      </w:r>
      <w:r w:rsidR="001E44BB" w:rsidRPr="00A90141">
        <w:rPr>
          <w:rFonts w:asciiTheme="minorHAnsi" w:hAnsiTheme="minorHAnsi" w:cstheme="minorHAnsi"/>
        </w:rPr>
        <w:t>estimările</w:t>
      </w:r>
      <w:r w:rsidR="00430699" w:rsidRPr="00166A39">
        <w:rPr>
          <w:rFonts w:asciiTheme="minorHAnsi" w:hAnsiTheme="minorHAnsi" w:cstheme="minorHAnsi"/>
        </w:rPr>
        <w:t xml:space="preserve"> </w:t>
      </w:r>
      <w:r w:rsidR="002B0694">
        <w:rPr>
          <w:rFonts w:asciiTheme="minorHAnsi" w:hAnsiTheme="minorHAnsi" w:cstheme="minorHAnsi"/>
        </w:rPr>
        <w:t xml:space="preserve">efectuate in anul </w:t>
      </w:r>
      <w:r w:rsidR="000E1111" w:rsidRPr="00166A39">
        <w:rPr>
          <w:rFonts w:asciiTheme="minorHAnsi" w:hAnsiTheme="minorHAnsi" w:cstheme="minorHAnsi"/>
        </w:rPr>
        <w:t xml:space="preserve"> 201</w:t>
      </w:r>
      <w:r w:rsidR="00973ABE" w:rsidRPr="00166A39">
        <w:rPr>
          <w:rFonts w:asciiTheme="minorHAnsi" w:hAnsiTheme="minorHAnsi" w:cstheme="minorHAnsi"/>
        </w:rPr>
        <w:t>5</w:t>
      </w:r>
      <w:r w:rsidR="000E1111" w:rsidRPr="00166A39">
        <w:rPr>
          <w:rFonts w:asciiTheme="minorHAnsi" w:hAnsiTheme="minorHAnsi" w:cstheme="minorHAnsi"/>
        </w:rPr>
        <w:t>.</w:t>
      </w:r>
      <w:r w:rsidR="00107AD8" w:rsidRPr="00FB0BE5">
        <w:rPr>
          <w:rFonts w:asciiTheme="minorHAnsi" w:hAnsiTheme="minorHAnsi" w:cstheme="minorHAnsi"/>
        </w:rPr>
        <w:t xml:space="preserve"> </w:t>
      </w:r>
    </w:p>
    <w:p w14:paraId="2B72B1B2" w14:textId="40AE83EA" w:rsidR="00107AD8" w:rsidRPr="00FB0BE5" w:rsidRDefault="00107AD8" w:rsidP="00107AD8">
      <w:pPr>
        <w:ind w:firstLine="567"/>
        <w:jc w:val="both"/>
        <w:rPr>
          <w:rFonts w:asciiTheme="minorHAnsi" w:hAnsiTheme="minorHAnsi" w:cstheme="minorHAnsi"/>
        </w:rPr>
      </w:pPr>
      <w:r w:rsidRPr="00FB0BE5">
        <w:rPr>
          <w:rFonts w:asciiTheme="minorHAnsi" w:hAnsiTheme="minorHAnsi" w:cstheme="minorHAnsi"/>
        </w:rPr>
        <w:t>Deprecierea monedei na</w:t>
      </w:r>
      <w:r w:rsidR="00973ABE">
        <w:rPr>
          <w:rFonts w:asciiTheme="minorHAnsi" w:hAnsiTheme="minorHAnsi" w:cstheme="minorHAnsi"/>
        </w:rPr>
        <w:t>ț</w:t>
      </w:r>
      <w:r w:rsidRPr="00FB0BE5">
        <w:rPr>
          <w:rFonts w:asciiTheme="minorHAnsi" w:hAnsiTheme="minorHAnsi" w:cstheme="minorHAnsi"/>
        </w:rPr>
        <w:t>ionale pe parcursul anului 2015 reprezintă cauza principală a unei subestimări a soldului datoriei de stat (cu peste 10</w:t>
      </w:r>
      <w:r w:rsidR="0095206D">
        <w:rPr>
          <w:rFonts w:asciiTheme="minorHAnsi" w:hAnsiTheme="minorHAnsi" w:cstheme="minorHAnsi"/>
        </w:rPr>
        <w:t xml:space="preserve"> </w:t>
      </w:r>
      <w:r w:rsidR="00F5545E">
        <w:rPr>
          <w:rFonts w:asciiTheme="minorHAnsi" w:hAnsiTheme="minorHAnsi" w:cstheme="minorHAnsi"/>
        </w:rPr>
        <w:t>p.p.</w:t>
      </w:r>
      <w:r w:rsidRPr="00FB0BE5">
        <w:rPr>
          <w:rFonts w:asciiTheme="minorHAnsi" w:hAnsiTheme="minorHAnsi" w:cstheme="minorHAnsi"/>
        </w:rPr>
        <w:t xml:space="preserve"> în PIB) în toate estimările din CBTM, iar supraestimarea (cu 2,</w:t>
      </w:r>
      <w:r w:rsidR="00F5545E">
        <w:rPr>
          <w:rFonts w:asciiTheme="minorHAnsi" w:hAnsiTheme="minorHAnsi" w:cstheme="minorHAnsi"/>
        </w:rPr>
        <w:t>7 p.p.</w:t>
      </w:r>
      <w:r w:rsidR="00F10AA4" w:rsidRPr="00FB0BE5">
        <w:rPr>
          <w:rFonts w:asciiTheme="minorHAnsi" w:hAnsiTheme="minorHAnsi" w:cstheme="minorHAnsi"/>
        </w:rPr>
        <w:t xml:space="preserve"> î</w:t>
      </w:r>
      <w:r w:rsidRPr="00FB0BE5">
        <w:rPr>
          <w:rFonts w:asciiTheme="minorHAnsi" w:hAnsiTheme="minorHAnsi" w:cstheme="minorHAnsi"/>
        </w:rPr>
        <w:t>n PIB)</w:t>
      </w:r>
      <w:r w:rsidR="00422EA6">
        <w:rPr>
          <w:rFonts w:asciiTheme="minorHAnsi" w:hAnsiTheme="minorHAnsi" w:cstheme="minorHAnsi"/>
        </w:rPr>
        <w:t xml:space="preserve"> </w:t>
      </w:r>
      <w:r w:rsidR="00A901E4" w:rsidRPr="00FB0BE5">
        <w:rPr>
          <w:rFonts w:asciiTheme="minorHAnsi" w:hAnsiTheme="minorHAnsi" w:cstheme="minorHAnsi"/>
        </w:rPr>
        <w:t>a soldului î</w:t>
      </w:r>
      <w:r w:rsidRPr="00FB0BE5">
        <w:rPr>
          <w:rFonts w:asciiTheme="minorHAnsi" w:hAnsiTheme="minorHAnsi" w:cstheme="minorHAnsi"/>
        </w:rPr>
        <w:t xml:space="preserve">n bugetul aprobat al aceluiași an se explică </w:t>
      </w:r>
      <w:r w:rsidR="00BE70BE" w:rsidRPr="00FB0BE5">
        <w:rPr>
          <w:rFonts w:asciiTheme="minorHAnsi" w:hAnsiTheme="minorHAnsi" w:cstheme="minorHAnsi"/>
        </w:rPr>
        <w:t>prin</w:t>
      </w:r>
      <w:r w:rsidR="00BE70BE">
        <w:rPr>
          <w:rFonts w:asciiTheme="minorHAnsi" w:hAnsiTheme="minorHAnsi" w:cstheme="minorHAnsi"/>
        </w:rPr>
        <w:t xml:space="preserve"> </w:t>
      </w:r>
      <w:r w:rsidR="0095206D">
        <w:rPr>
          <w:rFonts w:asciiTheme="minorHAnsi" w:hAnsiTheme="minorHAnsi" w:cstheme="minorHAnsi"/>
        </w:rPr>
        <w:t>s</w:t>
      </w:r>
      <w:r w:rsidR="00BE70BE" w:rsidRPr="00FB0BE5">
        <w:rPr>
          <w:rFonts w:asciiTheme="minorHAnsi" w:hAnsiTheme="minorHAnsi" w:cstheme="minorHAnsi"/>
        </w:rPr>
        <w:t>istarea asistenței</w:t>
      </w:r>
      <w:r w:rsidRPr="00FB0BE5">
        <w:rPr>
          <w:rFonts w:asciiTheme="minorHAnsi" w:hAnsiTheme="minorHAnsi" w:cstheme="minorHAnsi"/>
        </w:rPr>
        <w:t xml:space="preserve"> externe în acel an. </w:t>
      </w:r>
    </w:p>
    <w:p w14:paraId="6A17C4AA" w14:textId="743B5CF1" w:rsidR="00107AD8" w:rsidRDefault="00107AD8" w:rsidP="00107AD8">
      <w:pPr>
        <w:ind w:firstLine="567"/>
        <w:jc w:val="both"/>
        <w:rPr>
          <w:rFonts w:asciiTheme="minorHAnsi" w:hAnsiTheme="minorHAnsi" w:cstheme="minorHAnsi"/>
        </w:rPr>
      </w:pPr>
      <w:r w:rsidRPr="00FB0BE5">
        <w:rPr>
          <w:rFonts w:asciiTheme="minorHAnsi" w:hAnsiTheme="minorHAnsi" w:cstheme="minorHAnsi"/>
        </w:rPr>
        <w:t>Cauzele indicate mai sus sunt valabile și pentru abaterile pentru anul 2016. Un alt factor a</w:t>
      </w:r>
      <w:r w:rsidR="003D057A" w:rsidRPr="00FB0BE5">
        <w:rPr>
          <w:rFonts w:asciiTheme="minorHAnsi" w:hAnsiTheme="minorHAnsi" w:cstheme="minorHAnsi"/>
        </w:rPr>
        <w:t>l</w:t>
      </w:r>
      <w:r w:rsidRPr="00FB0BE5">
        <w:rPr>
          <w:rFonts w:asciiTheme="minorHAnsi" w:hAnsiTheme="minorHAnsi" w:cstheme="minorHAnsi"/>
        </w:rPr>
        <w:t xml:space="preserve"> creșterii </w:t>
      </w:r>
      <w:r w:rsidR="00A901E4" w:rsidRPr="00FB0BE5">
        <w:rPr>
          <w:rFonts w:asciiTheme="minorHAnsi" w:hAnsiTheme="minorHAnsi" w:cstheme="minorHAnsi"/>
        </w:rPr>
        <w:t>soldului</w:t>
      </w:r>
      <w:r w:rsidRPr="00FB0BE5">
        <w:rPr>
          <w:rFonts w:asciiTheme="minorHAnsi" w:hAnsiTheme="minorHAnsi" w:cstheme="minorHAnsi"/>
        </w:rPr>
        <w:t xml:space="preserve"> datoriei în acel an a fost emisiunea în 2016 a obligațiunilor de stat în vederea executării de către Ministerul Finanțelor a obligațiilor de plată derivate din garanțiile de stat,</w:t>
      </w:r>
      <w:r w:rsidR="00BE70BE">
        <w:rPr>
          <w:rFonts w:asciiTheme="minorHAnsi" w:hAnsiTheme="minorHAnsi" w:cstheme="minorHAnsi"/>
        </w:rPr>
        <w:t xml:space="preserve"> </w:t>
      </w:r>
      <w:r w:rsidRPr="00FB0BE5">
        <w:rPr>
          <w:rFonts w:asciiTheme="minorHAnsi" w:hAnsiTheme="minorHAnsi" w:cstheme="minorHAnsi"/>
        </w:rPr>
        <w:t xml:space="preserve">acordate pe parcursul anilor 2014 </w:t>
      </w:r>
      <w:r w:rsidR="00F5545E" w:rsidRPr="00FB0BE5">
        <w:rPr>
          <w:rFonts w:asciiTheme="minorHAnsi" w:hAnsiTheme="minorHAnsi" w:cstheme="minorHAnsi"/>
        </w:rPr>
        <w:t>și</w:t>
      </w:r>
      <w:r w:rsidRPr="00FB0BE5">
        <w:rPr>
          <w:rFonts w:asciiTheme="minorHAnsi" w:hAnsiTheme="minorHAnsi" w:cstheme="minorHAnsi"/>
        </w:rPr>
        <w:t xml:space="preserve"> 2015 celor trei bănci aflate în proces de lichidare</w:t>
      </w:r>
      <w:r w:rsidR="003D057A" w:rsidRPr="00FB0BE5">
        <w:rPr>
          <w:rFonts w:asciiTheme="minorHAnsi" w:hAnsiTheme="minorHAnsi" w:cstheme="minorHAnsi"/>
        </w:rPr>
        <w:t>.</w:t>
      </w:r>
      <w:r w:rsidR="00BE70BE">
        <w:rPr>
          <w:rFonts w:asciiTheme="minorHAnsi" w:hAnsiTheme="minorHAnsi" w:cstheme="minorHAnsi"/>
        </w:rPr>
        <w:t xml:space="preserve"> </w:t>
      </w:r>
      <w:r w:rsidR="003D057A" w:rsidRPr="00FB0BE5">
        <w:rPr>
          <w:rFonts w:asciiTheme="minorHAnsi" w:hAnsiTheme="minorHAnsi" w:cstheme="minorHAnsi"/>
        </w:rPr>
        <w:t>Drept</w:t>
      </w:r>
      <w:r w:rsidRPr="00FB0BE5">
        <w:rPr>
          <w:rFonts w:asciiTheme="minorHAnsi" w:hAnsiTheme="minorHAnsi" w:cstheme="minorHAnsi"/>
        </w:rPr>
        <w:t xml:space="preserve"> rezulta</w:t>
      </w:r>
      <w:r w:rsidR="003D057A" w:rsidRPr="00FB0BE5">
        <w:rPr>
          <w:rFonts w:asciiTheme="minorHAnsi" w:hAnsiTheme="minorHAnsi" w:cstheme="minorHAnsi"/>
        </w:rPr>
        <w:t>t,</w:t>
      </w:r>
      <w:r w:rsidR="00BE70BE">
        <w:rPr>
          <w:rFonts w:asciiTheme="minorHAnsi" w:hAnsiTheme="minorHAnsi" w:cstheme="minorHAnsi"/>
        </w:rPr>
        <w:t xml:space="preserve"> </w:t>
      </w:r>
      <w:r w:rsidRPr="00FB0BE5">
        <w:rPr>
          <w:rFonts w:asciiTheme="minorHAnsi" w:hAnsiTheme="minorHAnsi" w:cstheme="minorHAnsi"/>
        </w:rPr>
        <w:t xml:space="preserve">datoria de stat internă s-a majorat </w:t>
      </w:r>
      <w:r w:rsidR="00816238" w:rsidRPr="00FB0BE5">
        <w:rPr>
          <w:rFonts w:asciiTheme="minorHAnsi" w:hAnsiTheme="minorHAnsi" w:cstheme="minorHAnsi"/>
        </w:rPr>
        <w:t>cu circa 10,0</w:t>
      </w:r>
      <w:r w:rsidR="00422EA6">
        <w:rPr>
          <w:rFonts w:asciiTheme="minorHAnsi" w:hAnsiTheme="minorHAnsi" w:cstheme="minorHAnsi"/>
        </w:rPr>
        <w:t xml:space="preserve"> p.p.</w:t>
      </w:r>
      <w:r w:rsidR="00816238" w:rsidRPr="00FB0BE5">
        <w:rPr>
          <w:rFonts w:asciiTheme="minorHAnsi" w:hAnsiTheme="minorHAnsi" w:cstheme="minorHAnsi"/>
        </w:rPr>
        <w:t xml:space="preserve"> în PIB.</w:t>
      </w:r>
    </w:p>
    <w:p w14:paraId="4178F3CF" w14:textId="6CEB8E16" w:rsidR="009E29FE" w:rsidRPr="002B0694" w:rsidRDefault="000E1111" w:rsidP="00107AD8">
      <w:pPr>
        <w:ind w:firstLine="567"/>
        <w:jc w:val="both"/>
        <w:rPr>
          <w:rFonts w:asciiTheme="minorHAnsi" w:hAnsiTheme="minorHAnsi" w:cstheme="minorHAnsi"/>
        </w:rPr>
      </w:pPr>
      <w:r w:rsidRPr="00166A39">
        <w:rPr>
          <w:rFonts w:asciiTheme="minorHAnsi" w:hAnsiTheme="minorHAnsi" w:cstheme="minorHAnsi"/>
        </w:rPr>
        <w:lastRenderedPageBreak/>
        <w:t xml:space="preserve">O tendință inversă se observă în anul 2017, </w:t>
      </w:r>
      <w:r w:rsidR="0095206D" w:rsidRPr="00166A39">
        <w:rPr>
          <w:rFonts w:asciiTheme="minorHAnsi" w:hAnsiTheme="minorHAnsi" w:cstheme="minorHAnsi"/>
        </w:rPr>
        <w:t>câ</w:t>
      </w:r>
      <w:r w:rsidRPr="00166A39">
        <w:rPr>
          <w:rFonts w:asciiTheme="minorHAnsi" w:hAnsiTheme="minorHAnsi" w:cstheme="minorHAnsi"/>
        </w:rPr>
        <w:t>nd din patru observații - trei au fost supraestima</w:t>
      </w:r>
      <w:r w:rsidR="0095206D" w:rsidRPr="00166A39">
        <w:rPr>
          <w:rFonts w:asciiTheme="minorHAnsi" w:hAnsiTheme="minorHAnsi" w:cstheme="minorHAnsi"/>
        </w:rPr>
        <w:t>t</w:t>
      </w:r>
      <w:r w:rsidRPr="00166A39">
        <w:rPr>
          <w:rFonts w:asciiTheme="minorHAnsi" w:hAnsiTheme="minorHAnsi" w:cstheme="minorHAnsi"/>
        </w:rPr>
        <w:t>e, explicația fiind aprecierea monedei naționale, precum și supraestimările de intrări de împrumuturi pentru acest an.</w:t>
      </w:r>
      <w:r w:rsidR="00BE70BE" w:rsidRPr="002B0694">
        <w:rPr>
          <w:rFonts w:asciiTheme="minorHAnsi" w:hAnsiTheme="minorHAnsi" w:cstheme="minorHAnsi"/>
        </w:rPr>
        <w:t xml:space="preserve"> </w:t>
      </w:r>
    </w:p>
    <w:p w14:paraId="582E1CF9" w14:textId="7FC02458" w:rsidR="00107AD8" w:rsidRPr="002B0694" w:rsidRDefault="000E1111" w:rsidP="00107AD8">
      <w:pPr>
        <w:ind w:firstLine="567"/>
        <w:jc w:val="both"/>
        <w:rPr>
          <w:rFonts w:asciiTheme="minorHAnsi" w:hAnsiTheme="minorHAnsi" w:cstheme="minorHAnsi"/>
        </w:rPr>
      </w:pPr>
      <w:r w:rsidRPr="00166A39">
        <w:rPr>
          <w:rFonts w:asciiTheme="minorHAnsi" w:hAnsiTheme="minorHAnsi" w:cstheme="minorHAnsi"/>
        </w:rPr>
        <w:t xml:space="preserve">Pe parcursul ultimilor </w:t>
      </w:r>
      <w:r w:rsidR="0039219A" w:rsidRPr="00166A39">
        <w:rPr>
          <w:rFonts w:asciiTheme="minorHAnsi" w:hAnsiTheme="minorHAnsi" w:cstheme="minorHAnsi"/>
        </w:rPr>
        <w:t>7</w:t>
      </w:r>
      <w:r w:rsidRPr="00166A39">
        <w:rPr>
          <w:rFonts w:asciiTheme="minorHAnsi" w:hAnsiTheme="minorHAnsi" w:cstheme="minorHAnsi"/>
        </w:rPr>
        <w:t xml:space="preserve"> ani se observă preponderent o u</w:t>
      </w:r>
      <w:r w:rsidR="00EA7E5F" w:rsidRPr="00166A39">
        <w:rPr>
          <w:rFonts w:asciiTheme="minorHAnsi" w:hAnsiTheme="minorHAnsi" w:cstheme="minorHAnsi"/>
        </w:rPr>
        <w:t>ș</w:t>
      </w:r>
      <w:r w:rsidRPr="00166A39">
        <w:rPr>
          <w:rFonts w:asciiTheme="minorHAnsi" w:hAnsiTheme="minorHAnsi" w:cstheme="minorHAnsi"/>
        </w:rPr>
        <w:t>oară supraestimare (</w:t>
      </w:r>
      <w:r w:rsidR="0039219A" w:rsidRPr="00166A39">
        <w:rPr>
          <w:rFonts w:asciiTheme="minorHAnsi" w:hAnsiTheme="minorHAnsi" w:cstheme="minorHAnsi"/>
        </w:rPr>
        <w:t>în medie</w:t>
      </w:r>
      <w:r w:rsidRPr="00166A39">
        <w:rPr>
          <w:rFonts w:asciiTheme="minorHAnsi" w:hAnsiTheme="minorHAnsi" w:cstheme="minorHAnsi"/>
        </w:rPr>
        <w:t xml:space="preserve"> </w:t>
      </w:r>
      <w:r w:rsidR="00EA7E5F" w:rsidRPr="00166A39">
        <w:rPr>
          <w:rFonts w:asciiTheme="minorHAnsi" w:hAnsiTheme="minorHAnsi" w:cstheme="minorHAnsi"/>
        </w:rPr>
        <w:t>cu 0,1</w:t>
      </w:r>
      <w:r w:rsidR="00A13033" w:rsidRPr="00166A39">
        <w:rPr>
          <w:rFonts w:asciiTheme="minorHAnsi" w:hAnsiTheme="minorHAnsi" w:cstheme="minorHAnsi"/>
        </w:rPr>
        <w:t>%</w:t>
      </w:r>
      <w:r w:rsidR="00EA7E5F" w:rsidRPr="00166A39">
        <w:rPr>
          <w:rFonts w:asciiTheme="minorHAnsi" w:hAnsiTheme="minorHAnsi" w:cstheme="minorHAnsi"/>
        </w:rPr>
        <w:t xml:space="preserve"> </w:t>
      </w:r>
      <w:r w:rsidRPr="00166A39">
        <w:rPr>
          <w:rFonts w:asciiTheme="minorHAnsi" w:hAnsiTheme="minorHAnsi" w:cstheme="minorHAnsi"/>
        </w:rPr>
        <w:t>din PIB) a cheltuielilor planificate aferente serviciului datoriei de stat. Totodată, este de men</w:t>
      </w:r>
      <w:r w:rsidR="00EA7E5F" w:rsidRPr="00166A39">
        <w:rPr>
          <w:rFonts w:asciiTheme="minorHAnsi" w:hAnsiTheme="minorHAnsi" w:cstheme="minorHAnsi"/>
        </w:rPr>
        <w:t>ț</w:t>
      </w:r>
      <w:r w:rsidRPr="00166A39">
        <w:rPr>
          <w:rFonts w:asciiTheme="minorHAnsi" w:hAnsiTheme="minorHAnsi" w:cstheme="minorHAnsi"/>
        </w:rPr>
        <w:t>ionat că în anii 2011</w:t>
      </w:r>
      <w:r w:rsidR="00EA7E5F" w:rsidRPr="00166A39">
        <w:rPr>
          <w:rFonts w:asciiTheme="minorHAnsi" w:hAnsiTheme="minorHAnsi" w:cstheme="minorHAnsi"/>
        </w:rPr>
        <w:t>,</w:t>
      </w:r>
      <w:r w:rsidRPr="00166A39">
        <w:rPr>
          <w:rFonts w:asciiTheme="minorHAnsi" w:hAnsiTheme="minorHAnsi" w:cstheme="minorHAnsi"/>
        </w:rPr>
        <w:t xml:space="preserve"> 2016</w:t>
      </w:r>
      <w:r w:rsidR="00EA7E5F" w:rsidRPr="00166A39">
        <w:rPr>
          <w:rFonts w:asciiTheme="minorHAnsi" w:hAnsiTheme="minorHAnsi" w:cstheme="minorHAnsi"/>
        </w:rPr>
        <w:t xml:space="preserve"> și 2017</w:t>
      </w:r>
      <w:r w:rsidRPr="00166A39">
        <w:rPr>
          <w:rFonts w:asciiTheme="minorHAnsi" w:hAnsiTheme="minorHAnsi" w:cstheme="minorHAnsi"/>
        </w:rPr>
        <w:t xml:space="preserve"> sumele planificate în legea bugetului pentru anul respectiv au fost foarte aproape de sumele executate de facto. În anul 2016, acest fapt se explică prin aprobarea tardivă (iulie 2016) a legii bugetului de stat pe anul 2016.</w:t>
      </w:r>
      <w:r w:rsidR="00107AD8" w:rsidRPr="002B0694">
        <w:rPr>
          <w:rFonts w:asciiTheme="minorHAnsi" w:hAnsiTheme="minorHAnsi" w:cstheme="minorHAnsi"/>
        </w:rPr>
        <w:t xml:space="preserve"> </w:t>
      </w:r>
    </w:p>
    <w:p w14:paraId="7C1A4EF3" w14:textId="77777777" w:rsidR="00EB68DC" w:rsidRPr="002B0694" w:rsidRDefault="00EB68DC" w:rsidP="00107AD8">
      <w:pPr>
        <w:ind w:firstLine="567"/>
        <w:jc w:val="both"/>
        <w:rPr>
          <w:rFonts w:asciiTheme="minorHAnsi" w:hAnsiTheme="minorHAnsi" w:cstheme="minorHAnsi"/>
          <w:b/>
        </w:rPr>
      </w:pPr>
    </w:p>
    <w:p w14:paraId="1853BFF5" w14:textId="77777777" w:rsidR="00107AD8" w:rsidRPr="002B0694" w:rsidRDefault="000E1111" w:rsidP="00107AD8">
      <w:pPr>
        <w:ind w:firstLine="567"/>
        <w:jc w:val="both"/>
        <w:rPr>
          <w:rFonts w:asciiTheme="minorHAnsi" w:hAnsiTheme="minorHAnsi" w:cstheme="minorHAnsi"/>
          <w:b/>
        </w:rPr>
      </w:pPr>
      <w:r w:rsidRPr="00166A39">
        <w:rPr>
          <w:rFonts w:asciiTheme="minorHAnsi" w:hAnsiTheme="minorHAnsi" w:cstheme="minorHAnsi"/>
          <w:b/>
        </w:rPr>
        <w:t>Prognoza pe termen mediu</w:t>
      </w:r>
    </w:p>
    <w:p w14:paraId="5FF7E142" w14:textId="77777777" w:rsidR="00A901E4" w:rsidRPr="002B0694" w:rsidRDefault="00A901E4" w:rsidP="00107AD8">
      <w:pPr>
        <w:ind w:firstLine="567"/>
        <w:jc w:val="both"/>
        <w:rPr>
          <w:rFonts w:asciiTheme="minorHAnsi" w:hAnsiTheme="minorHAnsi" w:cstheme="minorHAnsi"/>
          <w:b/>
        </w:rPr>
      </w:pPr>
    </w:p>
    <w:p w14:paraId="43899737" w14:textId="72D0F270" w:rsidR="00107AD8" w:rsidRPr="002B0694" w:rsidRDefault="000E1111" w:rsidP="00107AD8">
      <w:pPr>
        <w:ind w:firstLine="567"/>
        <w:jc w:val="both"/>
        <w:rPr>
          <w:rFonts w:asciiTheme="minorHAnsi" w:hAnsiTheme="minorHAnsi" w:cstheme="minorHAnsi"/>
          <w:bCs/>
        </w:rPr>
      </w:pPr>
      <w:r w:rsidRPr="00166A39">
        <w:rPr>
          <w:rFonts w:asciiTheme="minorHAnsi" w:hAnsiTheme="minorHAnsi" w:cstheme="minorHAnsi"/>
        </w:rPr>
        <w:t>Pe perioada 201</w:t>
      </w:r>
      <w:r w:rsidR="00AA260C" w:rsidRPr="00166A39">
        <w:rPr>
          <w:rFonts w:asciiTheme="minorHAnsi" w:hAnsiTheme="minorHAnsi" w:cstheme="minorHAnsi"/>
        </w:rPr>
        <w:t>9</w:t>
      </w:r>
      <w:r w:rsidRPr="00166A39">
        <w:rPr>
          <w:rFonts w:asciiTheme="minorHAnsi" w:hAnsiTheme="minorHAnsi" w:cstheme="minorHAnsi"/>
        </w:rPr>
        <w:t>-202</w:t>
      </w:r>
      <w:r w:rsidR="00AA260C" w:rsidRPr="00166A39">
        <w:rPr>
          <w:rFonts w:asciiTheme="minorHAnsi" w:hAnsiTheme="minorHAnsi" w:cstheme="minorHAnsi"/>
        </w:rPr>
        <w:t>1</w:t>
      </w:r>
      <w:r w:rsidRPr="00166A39">
        <w:rPr>
          <w:rFonts w:asciiTheme="minorHAnsi" w:hAnsiTheme="minorHAnsi" w:cstheme="minorHAnsi"/>
        </w:rPr>
        <w:t xml:space="preserve">, se estimează că soldul datoriei de stat </w:t>
      </w:r>
      <w:r w:rsidR="00E66FB7" w:rsidRPr="00166A39">
        <w:rPr>
          <w:rFonts w:asciiTheme="minorHAnsi" w:hAnsiTheme="minorHAnsi" w:cstheme="minorHAnsi"/>
        </w:rPr>
        <w:t>nu va depăși</w:t>
      </w:r>
      <w:r w:rsidRPr="00166A39">
        <w:rPr>
          <w:rFonts w:asciiTheme="minorHAnsi" w:hAnsiTheme="minorHAnsi" w:cstheme="minorHAnsi"/>
        </w:rPr>
        <w:t xml:space="preserve"> </w:t>
      </w:r>
      <w:r w:rsidR="00E66FB7" w:rsidRPr="00166A39">
        <w:rPr>
          <w:rFonts w:asciiTheme="minorHAnsi" w:hAnsiTheme="minorHAnsi" w:cstheme="minorHAnsi"/>
        </w:rPr>
        <w:t>32,0</w:t>
      </w:r>
      <w:r w:rsidRPr="00166A39">
        <w:rPr>
          <w:rFonts w:asciiTheme="minorHAnsi" w:hAnsiTheme="minorHAnsi" w:cstheme="minorHAnsi"/>
        </w:rPr>
        <w:t>% din PIB, men</w:t>
      </w:r>
      <w:r w:rsidR="00D77677" w:rsidRPr="00166A39">
        <w:rPr>
          <w:rFonts w:asciiTheme="minorHAnsi" w:hAnsiTheme="minorHAnsi" w:cstheme="minorHAnsi"/>
        </w:rPr>
        <w:t>ț</w:t>
      </w:r>
      <w:r w:rsidRPr="00166A39">
        <w:rPr>
          <w:rFonts w:asciiTheme="minorHAnsi" w:hAnsiTheme="minorHAnsi" w:cstheme="minorHAnsi"/>
        </w:rPr>
        <w:t>inând aproximativ aceea</w:t>
      </w:r>
      <w:r w:rsidR="00D77677" w:rsidRPr="00166A39">
        <w:rPr>
          <w:rFonts w:asciiTheme="minorHAnsi" w:hAnsiTheme="minorHAnsi" w:cstheme="minorHAnsi"/>
        </w:rPr>
        <w:t>ș</w:t>
      </w:r>
      <w:r w:rsidRPr="00166A39">
        <w:rPr>
          <w:rFonts w:asciiTheme="minorHAnsi" w:hAnsiTheme="minorHAnsi" w:cstheme="minorHAnsi"/>
        </w:rPr>
        <w:t>i structură conform re</w:t>
      </w:r>
      <w:r w:rsidR="00D77677" w:rsidRPr="00166A39">
        <w:rPr>
          <w:rFonts w:asciiTheme="minorHAnsi" w:hAnsiTheme="minorHAnsi" w:cstheme="minorHAnsi"/>
        </w:rPr>
        <w:t>ș</w:t>
      </w:r>
      <w:r w:rsidRPr="00166A39">
        <w:rPr>
          <w:rFonts w:asciiTheme="minorHAnsi" w:hAnsiTheme="minorHAnsi" w:cstheme="minorHAnsi"/>
        </w:rPr>
        <w:t>edin</w:t>
      </w:r>
      <w:r w:rsidR="00D77677" w:rsidRPr="00166A39">
        <w:rPr>
          <w:rFonts w:asciiTheme="minorHAnsi" w:hAnsiTheme="minorHAnsi" w:cstheme="minorHAnsi"/>
        </w:rPr>
        <w:t>ț</w:t>
      </w:r>
      <w:r w:rsidRPr="00166A39">
        <w:rPr>
          <w:rFonts w:asciiTheme="minorHAnsi" w:hAnsiTheme="minorHAnsi" w:cstheme="minorHAnsi"/>
        </w:rPr>
        <w:t>ei creditorilor (datorie internă vs datorie externă).</w:t>
      </w:r>
      <w:r w:rsidRPr="00166A39">
        <w:rPr>
          <w:rFonts w:asciiTheme="minorHAnsi" w:hAnsiTheme="minorHAnsi" w:cstheme="minorHAnsi"/>
          <w:bCs/>
        </w:rPr>
        <w:t xml:space="preserve"> </w:t>
      </w:r>
    </w:p>
    <w:p w14:paraId="780DA687" w14:textId="77777777" w:rsidR="009304A2" w:rsidRPr="002B0694" w:rsidRDefault="009304A2" w:rsidP="00107AD8">
      <w:pPr>
        <w:ind w:firstLine="567"/>
        <w:jc w:val="both"/>
        <w:rPr>
          <w:rFonts w:asciiTheme="minorHAnsi" w:hAnsiTheme="minorHAnsi" w:cstheme="minorHAnsi"/>
          <w:b/>
          <w:color w:val="365F91" w:themeColor="accent1" w:themeShade="BF"/>
          <w:sz w:val="22"/>
          <w:szCs w:val="22"/>
        </w:rPr>
      </w:pPr>
    </w:p>
    <w:p w14:paraId="3EBA832D" w14:textId="77777777" w:rsidR="00107AD8" w:rsidRPr="002B0694" w:rsidRDefault="000E1111" w:rsidP="00107AD8">
      <w:pPr>
        <w:ind w:firstLine="567"/>
        <w:jc w:val="both"/>
        <w:rPr>
          <w:rFonts w:asciiTheme="minorHAnsi" w:hAnsiTheme="minorHAnsi" w:cstheme="minorHAnsi"/>
          <w:b/>
          <w:color w:val="365F91" w:themeColor="accent1" w:themeShade="BF"/>
          <w:sz w:val="22"/>
          <w:szCs w:val="22"/>
        </w:rPr>
      </w:pPr>
      <w:r w:rsidRPr="00166A39">
        <w:rPr>
          <w:rFonts w:asciiTheme="minorHAnsi" w:hAnsiTheme="minorHAnsi" w:cstheme="minorHAnsi"/>
          <w:b/>
          <w:color w:val="365F91" w:themeColor="accent1" w:themeShade="BF"/>
          <w:sz w:val="22"/>
          <w:szCs w:val="22"/>
        </w:rPr>
        <w:t>Tabelul 3. Evoluția soldului</w:t>
      </w:r>
      <w:r w:rsidR="00D77677" w:rsidRPr="00166A39">
        <w:rPr>
          <w:rFonts w:asciiTheme="minorHAnsi" w:hAnsiTheme="minorHAnsi" w:cstheme="minorHAnsi"/>
          <w:b/>
          <w:color w:val="365F91" w:themeColor="accent1" w:themeShade="BF"/>
          <w:sz w:val="22"/>
          <w:szCs w:val="22"/>
        </w:rPr>
        <w:t xml:space="preserve"> </w:t>
      </w:r>
      <w:r w:rsidRPr="00166A39">
        <w:rPr>
          <w:rFonts w:asciiTheme="minorHAnsi" w:hAnsiTheme="minorHAnsi" w:cstheme="minorHAnsi"/>
          <w:b/>
          <w:color w:val="365F91" w:themeColor="accent1" w:themeShade="BF"/>
          <w:sz w:val="22"/>
          <w:szCs w:val="22"/>
        </w:rPr>
        <w:t>datoriei de stat și a garanțiilor de stat</w:t>
      </w:r>
    </w:p>
    <w:p w14:paraId="14473230" w14:textId="77777777" w:rsidR="008949BF" w:rsidRPr="002B0694" w:rsidRDefault="00C22B5B" w:rsidP="00166A39">
      <w:pPr>
        <w:ind w:firstLine="567"/>
        <w:jc w:val="center"/>
        <w:rPr>
          <w:rFonts w:asciiTheme="minorHAnsi" w:hAnsiTheme="minorHAnsi" w:cstheme="minorHAnsi"/>
          <w:i/>
        </w:rPr>
      </w:pPr>
      <w:r w:rsidRPr="00166A39">
        <w:rPr>
          <w:rFonts w:asciiTheme="minorHAnsi" w:hAnsiTheme="minorHAnsi" w:cstheme="minorHAnsi"/>
          <w:i/>
        </w:rPr>
        <w:t xml:space="preserve">                                                                                                                                    </w:t>
      </w:r>
      <w:r w:rsidR="000E1111" w:rsidRPr="00166A39">
        <w:rPr>
          <w:rFonts w:asciiTheme="minorHAnsi" w:hAnsiTheme="minorHAnsi" w:cstheme="minorHAnsi"/>
          <w:i/>
        </w:rPr>
        <w:t>(% în PIB)</w:t>
      </w:r>
    </w:p>
    <w:tbl>
      <w:tblPr>
        <w:tblW w:w="49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668"/>
        <w:gridCol w:w="664"/>
        <w:gridCol w:w="664"/>
        <w:gridCol w:w="664"/>
        <w:gridCol w:w="869"/>
        <w:gridCol w:w="709"/>
        <w:gridCol w:w="709"/>
        <w:gridCol w:w="709"/>
        <w:gridCol w:w="850"/>
        <w:gridCol w:w="711"/>
        <w:gridCol w:w="844"/>
      </w:tblGrid>
      <w:tr w:rsidR="00C22B5B" w:rsidRPr="002B0694" w14:paraId="08DD720F" w14:textId="77777777" w:rsidTr="00166A39">
        <w:tc>
          <w:tcPr>
            <w:tcW w:w="485" w:type="pct"/>
          </w:tcPr>
          <w:p w14:paraId="0A5D10F1" w14:textId="77777777" w:rsidR="00AA260C" w:rsidRPr="00166A39" w:rsidRDefault="00AA260C" w:rsidP="006B396F">
            <w:pPr>
              <w:jc w:val="both"/>
              <w:rPr>
                <w:rFonts w:asciiTheme="minorHAnsi" w:hAnsiTheme="minorHAnsi" w:cstheme="minorHAnsi"/>
                <w:sz w:val="18"/>
              </w:rPr>
            </w:pPr>
          </w:p>
        </w:tc>
        <w:tc>
          <w:tcPr>
            <w:tcW w:w="374" w:type="pct"/>
          </w:tcPr>
          <w:p w14:paraId="2F5F9530"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2011</w:t>
            </w:r>
          </w:p>
        </w:tc>
        <w:tc>
          <w:tcPr>
            <w:tcW w:w="372" w:type="pct"/>
          </w:tcPr>
          <w:p w14:paraId="00EB2FA7"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2012</w:t>
            </w:r>
          </w:p>
        </w:tc>
        <w:tc>
          <w:tcPr>
            <w:tcW w:w="372" w:type="pct"/>
          </w:tcPr>
          <w:p w14:paraId="598FCBA5"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2013</w:t>
            </w:r>
          </w:p>
        </w:tc>
        <w:tc>
          <w:tcPr>
            <w:tcW w:w="372" w:type="pct"/>
          </w:tcPr>
          <w:p w14:paraId="7C8458B3"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2014</w:t>
            </w:r>
          </w:p>
        </w:tc>
        <w:tc>
          <w:tcPr>
            <w:tcW w:w="487" w:type="pct"/>
          </w:tcPr>
          <w:p w14:paraId="7C4BB592"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2015</w:t>
            </w:r>
          </w:p>
        </w:tc>
        <w:tc>
          <w:tcPr>
            <w:tcW w:w="397" w:type="pct"/>
          </w:tcPr>
          <w:p w14:paraId="7F81ADA0"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2016</w:t>
            </w:r>
            <w:r w:rsidRPr="00166A39">
              <w:rPr>
                <w:rStyle w:val="FootnoteReference"/>
                <w:rFonts w:asciiTheme="minorHAnsi" w:hAnsiTheme="minorHAnsi" w:cstheme="minorHAnsi"/>
                <w:b/>
                <w:sz w:val="18"/>
              </w:rPr>
              <w:footnoteReference w:id="5"/>
            </w:r>
          </w:p>
        </w:tc>
        <w:tc>
          <w:tcPr>
            <w:tcW w:w="397" w:type="pct"/>
          </w:tcPr>
          <w:p w14:paraId="2CEEE29D"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2017</w:t>
            </w:r>
            <w:r w:rsidR="006E719A" w:rsidRPr="002B0694">
              <w:rPr>
                <w:rStyle w:val="FootnoteReference"/>
                <w:rFonts w:asciiTheme="minorHAnsi" w:hAnsiTheme="minorHAnsi" w:cstheme="minorHAnsi"/>
                <w:b/>
                <w:sz w:val="18"/>
              </w:rPr>
              <w:footnoteReference w:id="6"/>
            </w:r>
          </w:p>
        </w:tc>
        <w:tc>
          <w:tcPr>
            <w:tcW w:w="397" w:type="pct"/>
          </w:tcPr>
          <w:p w14:paraId="637874E1" w14:textId="77777777" w:rsidR="008949BF" w:rsidRPr="00166A39" w:rsidRDefault="000E1111" w:rsidP="00166A39">
            <w:pPr>
              <w:rPr>
                <w:rFonts w:asciiTheme="minorHAnsi" w:hAnsiTheme="minorHAnsi" w:cstheme="minorHAnsi"/>
                <w:b/>
                <w:sz w:val="18"/>
              </w:rPr>
            </w:pPr>
            <w:r w:rsidRPr="00166A39">
              <w:rPr>
                <w:rFonts w:asciiTheme="minorHAnsi" w:hAnsiTheme="minorHAnsi" w:cstheme="minorHAnsi"/>
                <w:b/>
                <w:sz w:val="18"/>
              </w:rPr>
              <w:t>2018</w:t>
            </w:r>
          </w:p>
        </w:tc>
        <w:tc>
          <w:tcPr>
            <w:tcW w:w="476" w:type="pct"/>
          </w:tcPr>
          <w:p w14:paraId="1F28BF65" w14:textId="77777777" w:rsidR="008949BF" w:rsidRPr="00166A39" w:rsidRDefault="000E1111" w:rsidP="00166A39">
            <w:pPr>
              <w:ind w:left="-22"/>
              <w:rPr>
                <w:rFonts w:asciiTheme="minorHAnsi" w:hAnsiTheme="minorHAnsi" w:cstheme="minorHAnsi"/>
                <w:b/>
                <w:sz w:val="18"/>
              </w:rPr>
            </w:pPr>
            <w:r w:rsidRPr="00166A39">
              <w:rPr>
                <w:rFonts w:asciiTheme="minorHAnsi" w:hAnsiTheme="minorHAnsi" w:cstheme="minorHAnsi"/>
                <w:b/>
                <w:sz w:val="18"/>
              </w:rPr>
              <w:t>2019</w:t>
            </w:r>
          </w:p>
        </w:tc>
        <w:tc>
          <w:tcPr>
            <w:tcW w:w="398" w:type="pct"/>
          </w:tcPr>
          <w:p w14:paraId="79434F7E"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2020</w:t>
            </w:r>
          </w:p>
        </w:tc>
        <w:tc>
          <w:tcPr>
            <w:tcW w:w="473" w:type="pct"/>
          </w:tcPr>
          <w:p w14:paraId="264D91C1" w14:textId="77777777" w:rsidR="00AA260C" w:rsidRPr="00166A39" w:rsidRDefault="000E1111" w:rsidP="006B396F">
            <w:pPr>
              <w:jc w:val="center"/>
              <w:rPr>
                <w:rFonts w:asciiTheme="minorHAnsi" w:hAnsiTheme="minorHAnsi" w:cstheme="minorHAnsi"/>
                <w:b/>
                <w:sz w:val="18"/>
              </w:rPr>
            </w:pPr>
            <w:r w:rsidRPr="00166A39">
              <w:rPr>
                <w:rFonts w:asciiTheme="minorHAnsi" w:hAnsiTheme="minorHAnsi" w:cstheme="minorHAnsi"/>
                <w:b/>
                <w:sz w:val="18"/>
              </w:rPr>
              <w:t>2021</w:t>
            </w:r>
          </w:p>
        </w:tc>
      </w:tr>
      <w:tr w:rsidR="00C22B5B" w:rsidRPr="002B0694" w14:paraId="146158DB" w14:textId="77777777" w:rsidTr="00166A39">
        <w:tc>
          <w:tcPr>
            <w:tcW w:w="485" w:type="pct"/>
            <w:vAlign w:val="center"/>
          </w:tcPr>
          <w:p w14:paraId="326D4DDE" w14:textId="77777777" w:rsidR="00AA260C" w:rsidRPr="00166A39" w:rsidRDefault="000E1111" w:rsidP="006B396F">
            <w:pPr>
              <w:rPr>
                <w:rFonts w:asciiTheme="minorHAnsi" w:hAnsiTheme="minorHAnsi" w:cstheme="minorHAnsi"/>
                <w:sz w:val="18"/>
              </w:rPr>
            </w:pPr>
            <w:r w:rsidRPr="00166A39">
              <w:rPr>
                <w:rFonts w:asciiTheme="minorHAnsi" w:hAnsiTheme="minorHAnsi" w:cstheme="minorHAnsi"/>
                <w:sz w:val="18"/>
              </w:rPr>
              <w:t>Total Datorie de stat, inclusiv:</w:t>
            </w:r>
          </w:p>
        </w:tc>
        <w:tc>
          <w:tcPr>
            <w:tcW w:w="374" w:type="pct"/>
            <w:vAlign w:val="center"/>
          </w:tcPr>
          <w:p w14:paraId="2650FBC4" w14:textId="77777777" w:rsidR="00AA260C" w:rsidRPr="00166A39" w:rsidRDefault="000E1111" w:rsidP="00D12C27">
            <w:pPr>
              <w:jc w:val="right"/>
              <w:rPr>
                <w:rFonts w:asciiTheme="minorHAnsi" w:hAnsiTheme="minorHAnsi" w:cstheme="minorHAnsi"/>
                <w:color w:val="000000"/>
                <w:sz w:val="18"/>
              </w:rPr>
            </w:pPr>
            <w:r w:rsidRPr="00166A39">
              <w:rPr>
                <w:rFonts w:asciiTheme="minorHAnsi" w:hAnsiTheme="minorHAnsi" w:cstheme="minorHAnsi"/>
                <w:color w:val="000000"/>
                <w:sz w:val="18"/>
              </w:rPr>
              <w:t>23,3%</w:t>
            </w:r>
          </w:p>
        </w:tc>
        <w:tc>
          <w:tcPr>
            <w:tcW w:w="372" w:type="pct"/>
            <w:vAlign w:val="center"/>
          </w:tcPr>
          <w:p w14:paraId="0BD757F0" w14:textId="77777777" w:rsidR="00AA260C" w:rsidRPr="00166A39" w:rsidRDefault="000E1111" w:rsidP="00D12C27">
            <w:pPr>
              <w:jc w:val="right"/>
              <w:rPr>
                <w:rFonts w:asciiTheme="minorHAnsi" w:hAnsiTheme="minorHAnsi" w:cstheme="minorHAnsi"/>
                <w:color w:val="000000"/>
                <w:sz w:val="18"/>
              </w:rPr>
            </w:pPr>
            <w:r w:rsidRPr="00166A39">
              <w:rPr>
                <w:rFonts w:asciiTheme="minorHAnsi" w:hAnsiTheme="minorHAnsi" w:cstheme="minorHAnsi"/>
                <w:color w:val="000000"/>
                <w:sz w:val="18"/>
              </w:rPr>
              <w:t>24,0%</w:t>
            </w:r>
          </w:p>
        </w:tc>
        <w:tc>
          <w:tcPr>
            <w:tcW w:w="372" w:type="pct"/>
            <w:vAlign w:val="center"/>
          </w:tcPr>
          <w:p w14:paraId="5F553B79" w14:textId="77777777" w:rsidR="00AA260C" w:rsidRPr="00166A39" w:rsidRDefault="000E1111" w:rsidP="00D12C27">
            <w:pPr>
              <w:jc w:val="right"/>
              <w:rPr>
                <w:rFonts w:asciiTheme="minorHAnsi" w:hAnsiTheme="minorHAnsi" w:cstheme="minorHAnsi"/>
                <w:color w:val="000000"/>
                <w:sz w:val="18"/>
              </w:rPr>
            </w:pPr>
            <w:r w:rsidRPr="00166A39">
              <w:rPr>
                <w:rFonts w:asciiTheme="minorHAnsi" w:hAnsiTheme="minorHAnsi" w:cstheme="minorHAnsi"/>
                <w:color w:val="000000"/>
                <w:sz w:val="18"/>
              </w:rPr>
              <w:t>23,4%</w:t>
            </w:r>
          </w:p>
        </w:tc>
        <w:tc>
          <w:tcPr>
            <w:tcW w:w="372" w:type="pct"/>
            <w:vAlign w:val="center"/>
          </w:tcPr>
          <w:p w14:paraId="63D76E04" w14:textId="77777777" w:rsidR="00AA260C" w:rsidRPr="00166A39" w:rsidRDefault="000E1111" w:rsidP="00D12C27">
            <w:pPr>
              <w:jc w:val="right"/>
              <w:rPr>
                <w:rFonts w:asciiTheme="minorHAnsi" w:hAnsiTheme="minorHAnsi" w:cstheme="minorHAnsi"/>
                <w:color w:val="000000"/>
                <w:sz w:val="18"/>
              </w:rPr>
            </w:pPr>
            <w:r w:rsidRPr="00166A39">
              <w:rPr>
                <w:rFonts w:asciiTheme="minorHAnsi" w:hAnsiTheme="minorHAnsi" w:cstheme="minorHAnsi"/>
                <w:color w:val="000000"/>
                <w:sz w:val="18"/>
              </w:rPr>
              <w:t>24,5%</w:t>
            </w:r>
          </w:p>
        </w:tc>
        <w:tc>
          <w:tcPr>
            <w:tcW w:w="487" w:type="pct"/>
            <w:vAlign w:val="center"/>
          </w:tcPr>
          <w:p w14:paraId="5AA48038" w14:textId="77777777" w:rsidR="00AA260C" w:rsidRPr="00166A39" w:rsidRDefault="000E1111" w:rsidP="00D12C27">
            <w:pPr>
              <w:jc w:val="right"/>
              <w:rPr>
                <w:rFonts w:asciiTheme="minorHAnsi" w:hAnsiTheme="minorHAnsi" w:cstheme="minorHAnsi"/>
                <w:color w:val="000000"/>
                <w:sz w:val="18"/>
              </w:rPr>
            </w:pPr>
            <w:r w:rsidRPr="00166A39">
              <w:rPr>
                <w:rFonts w:asciiTheme="minorHAnsi" w:hAnsiTheme="minorHAnsi" w:cstheme="minorHAnsi"/>
                <w:color w:val="000000"/>
                <w:sz w:val="18"/>
              </w:rPr>
              <w:t>27,3%</w:t>
            </w:r>
          </w:p>
        </w:tc>
        <w:tc>
          <w:tcPr>
            <w:tcW w:w="397" w:type="pct"/>
            <w:vAlign w:val="center"/>
          </w:tcPr>
          <w:p w14:paraId="73D7CC57" w14:textId="54F1AD92" w:rsidR="00AA260C" w:rsidRPr="00166A39" w:rsidRDefault="000E1111" w:rsidP="00D12C27">
            <w:pPr>
              <w:jc w:val="right"/>
              <w:rPr>
                <w:rFonts w:asciiTheme="minorHAnsi" w:hAnsiTheme="minorHAnsi" w:cstheme="minorHAnsi"/>
                <w:color w:val="000000"/>
                <w:sz w:val="18"/>
              </w:rPr>
            </w:pPr>
            <w:r w:rsidRPr="00166A39">
              <w:rPr>
                <w:rFonts w:asciiTheme="minorHAnsi" w:hAnsiTheme="minorHAnsi" w:cstheme="minorHAnsi"/>
                <w:color w:val="000000"/>
                <w:sz w:val="18"/>
              </w:rPr>
              <w:t>37,5%</w:t>
            </w:r>
          </w:p>
        </w:tc>
        <w:tc>
          <w:tcPr>
            <w:tcW w:w="397" w:type="pct"/>
            <w:vAlign w:val="center"/>
          </w:tcPr>
          <w:p w14:paraId="38C72A4E" w14:textId="0A699BA9" w:rsidR="00AA260C" w:rsidRPr="00166A39" w:rsidRDefault="00944352" w:rsidP="00D12C27">
            <w:pPr>
              <w:jc w:val="right"/>
              <w:rPr>
                <w:rFonts w:asciiTheme="minorHAnsi" w:hAnsiTheme="minorHAnsi" w:cstheme="minorHAnsi"/>
                <w:sz w:val="18"/>
              </w:rPr>
            </w:pPr>
            <w:r w:rsidRPr="00166A39">
              <w:rPr>
                <w:rFonts w:asciiTheme="minorHAnsi" w:hAnsiTheme="minorHAnsi" w:cstheme="minorHAnsi"/>
                <w:sz w:val="18"/>
              </w:rPr>
              <w:t>29,2</w:t>
            </w:r>
            <w:r w:rsidR="000E1111" w:rsidRPr="00166A39">
              <w:rPr>
                <w:rFonts w:asciiTheme="minorHAnsi" w:hAnsiTheme="minorHAnsi" w:cstheme="minorHAnsi"/>
                <w:sz w:val="18"/>
              </w:rPr>
              <w:t>%</w:t>
            </w:r>
          </w:p>
        </w:tc>
        <w:tc>
          <w:tcPr>
            <w:tcW w:w="397" w:type="pct"/>
            <w:vAlign w:val="center"/>
          </w:tcPr>
          <w:p w14:paraId="4BAEC030" w14:textId="10855BA5" w:rsidR="00AA260C" w:rsidRPr="00166A39" w:rsidRDefault="00D74C3B" w:rsidP="00D12C27">
            <w:pPr>
              <w:jc w:val="right"/>
              <w:rPr>
                <w:rFonts w:asciiTheme="minorHAnsi" w:hAnsiTheme="minorHAnsi" w:cstheme="minorHAnsi"/>
                <w:sz w:val="18"/>
              </w:rPr>
            </w:pPr>
            <w:r w:rsidRPr="00166A39">
              <w:rPr>
                <w:rFonts w:asciiTheme="minorHAnsi" w:hAnsiTheme="minorHAnsi" w:cstheme="minorHAnsi"/>
                <w:sz w:val="18"/>
              </w:rPr>
              <w:t>29,7</w:t>
            </w:r>
            <w:r w:rsidR="000E1111" w:rsidRPr="00166A39">
              <w:rPr>
                <w:rFonts w:asciiTheme="minorHAnsi" w:hAnsiTheme="minorHAnsi" w:cstheme="minorHAnsi"/>
                <w:sz w:val="18"/>
              </w:rPr>
              <w:t>%</w:t>
            </w:r>
          </w:p>
        </w:tc>
        <w:tc>
          <w:tcPr>
            <w:tcW w:w="476" w:type="pct"/>
            <w:vAlign w:val="center"/>
          </w:tcPr>
          <w:p w14:paraId="0A0FC0B7" w14:textId="7F4485DC"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sz w:val="18"/>
              </w:rPr>
              <w:t>3</w:t>
            </w:r>
            <w:r w:rsidR="00AA260C" w:rsidRPr="00166A39">
              <w:rPr>
                <w:rFonts w:asciiTheme="minorHAnsi" w:hAnsiTheme="minorHAnsi" w:cstheme="minorHAnsi"/>
                <w:sz w:val="18"/>
              </w:rPr>
              <w:t>0</w:t>
            </w:r>
            <w:r w:rsidRPr="00166A39">
              <w:rPr>
                <w:rFonts w:asciiTheme="minorHAnsi" w:hAnsiTheme="minorHAnsi" w:cstheme="minorHAnsi"/>
                <w:sz w:val="18"/>
              </w:rPr>
              <w:t>,</w:t>
            </w:r>
            <w:r w:rsidR="00A6291E">
              <w:rPr>
                <w:rFonts w:asciiTheme="minorHAnsi" w:hAnsiTheme="minorHAnsi" w:cstheme="minorHAnsi"/>
                <w:sz w:val="18"/>
              </w:rPr>
              <w:t>0</w:t>
            </w:r>
            <w:r w:rsidRPr="00166A39">
              <w:rPr>
                <w:rFonts w:asciiTheme="minorHAnsi" w:hAnsiTheme="minorHAnsi" w:cstheme="minorHAnsi"/>
                <w:sz w:val="18"/>
              </w:rPr>
              <w:t>%</w:t>
            </w:r>
          </w:p>
        </w:tc>
        <w:tc>
          <w:tcPr>
            <w:tcW w:w="398" w:type="pct"/>
            <w:vAlign w:val="center"/>
          </w:tcPr>
          <w:p w14:paraId="1960E6B4" w14:textId="02D05305"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sz w:val="18"/>
              </w:rPr>
              <w:t>3</w:t>
            </w:r>
            <w:r w:rsidR="00D74C3B" w:rsidRPr="00166A39">
              <w:rPr>
                <w:rFonts w:asciiTheme="minorHAnsi" w:hAnsiTheme="minorHAnsi" w:cstheme="minorHAnsi"/>
                <w:sz w:val="18"/>
              </w:rPr>
              <w:t>1,</w:t>
            </w:r>
            <w:r w:rsidR="00A6291E">
              <w:rPr>
                <w:rFonts w:asciiTheme="minorHAnsi" w:hAnsiTheme="minorHAnsi" w:cstheme="minorHAnsi"/>
                <w:sz w:val="18"/>
              </w:rPr>
              <w:t>2</w:t>
            </w:r>
            <w:r w:rsidRPr="00166A39">
              <w:rPr>
                <w:rFonts w:asciiTheme="minorHAnsi" w:hAnsiTheme="minorHAnsi" w:cstheme="minorHAnsi"/>
                <w:sz w:val="18"/>
              </w:rPr>
              <w:t>%</w:t>
            </w:r>
          </w:p>
        </w:tc>
        <w:tc>
          <w:tcPr>
            <w:tcW w:w="473" w:type="pct"/>
          </w:tcPr>
          <w:p w14:paraId="357F400A" w14:textId="77777777" w:rsidR="00AA260C" w:rsidRPr="00166A39" w:rsidRDefault="00AA260C" w:rsidP="00D12C27">
            <w:pPr>
              <w:jc w:val="right"/>
              <w:rPr>
                <w:rFonts w:asciiTheme="minorHAnsi" w:hAnsiTheme="minorHAnsi" w:cstheme="minorHAnsi"/>
                <w:sz w:val="18"/>
              </w:rPr>
            </w:pPr>
          </w:p>
          <w:p w14:paraId="6DC87F65" w14:textId="77777777" w:rsidR="00AA260C" w:rsidRPr="00166A39" w:rsidRDefault="00AA260C" w:rsidP="00D12C27">
            <w:pPr>
              <w:jc w:val="right"/>
              <w:rPr>
                <w:rFonts w:asciiTheme="minorHAnsi" w:hAnsiTheme="minorHAnsi" w:cstheme="minorHAnsi"/>
                <w:sz w:val="18"/>
              </w:rPr>
            </w:pPr>
          </w:p>
          <w:p w14:paraId="3FCC35A2" w14:textId="0D0D914E" w:rsidR="00AA260C" w:rsidRPr="00166A39" w:rsidRDefault="00D74C3B" w:rsidP="00D12C27">
            <w:pPr>
              <w:ind w:hanging="298"/>
              <w:jc w:val="right"/>
              <w:rPr>
                <w:rFonts w:asciiTheme="minorHAnsi" w:hAnsiTheme="minorHAnsi" w:cstheme="minorHAnsi"/>
                <w:sz w:val="18"/>
              </w:rPr>
            </w:pPr>
            <w:r w:rsidRPr="00166A39">
              <w:rPr>
                <w:rFonts w:asciiTheme="minorHAnsi" w:hAnsiTheme="minorHAnsi" w:cstheme="minorHAnsi"/>
                <w:sz w:val="18"/>
              </w:rPr>
              <w:t>3</w:t>
            </w:r>
            <w:r w:rsidR="00A6291E">
              <w:rPr>
                <w:rFonts w:asciiTheme="minorHAnsi" w:hAnsiTheme="minorHAnsi" w:cstheme="minorHAnsi"/>
                <w:sz w:val="18"/>
              </w:rPr>
              <w:t>0,9</w:t>
            </w:r>
            <w:r w:rsidR="00AA260C" w:rsidRPr="00166A39">
              <w:rPr>
                <w:rFonts w:asciiTheme="minorHAnsi" w:hAnsiTheme="minorHAnsi" w:cstheme="minorHAnsi"/>
                <w:sz w:val="18"/>
              </w:rPr>
              <w:t>%</w:t>
            </w:r>
          </w:p>
          <w:p w14:paraId="18327014" w14:textId="77777777" w:rsidR="00AA260C" w:rsidRPr="00166A39" w:rsidRDefault="00AA260C" w:rsidP="00D12C27">
            <w:pPr>
              <w:jc w:val="right"/>
              <w:rPr>
                <w:rFonts w:asciiTheme="minorHAnsi" w:hAnsiTheme="minorHAnsi" w:cstheme="minorHAnsi"/>
                <w:sz w:val="18"/>
              </w:rPr>
            </w:pPr>
          </w:p>
          <w:p w14:paraId="62027C24" w14:textId="77777777" w:rsidR="00AA260C" w:rsidRPr="00166A39" w:rsidRDefault="00AA260C" w:rsidP="00D12C27">
            <w:pPr>
              <w:jc w:val="right"/>
              <w:rPr>
                <w:rFonts w:asciiTheme="minorHAnsi" w:hAnsiTheme="minorHAnsi" w:cstheme="minorHAnsi"/>
                <w:sz w:val="18"/>
              </w:rPr>
            </w:pPr>
          </w:p>
        </w:tc>
      </w:tr>
      <w:tr w:rsidR="00C22B5B" w:rsidRPr="002B0694" w14:paraId="59E46E60" w14:textId="77777777" w:rsidTr="00166A39">
        <w:tc>
          <w:tcPr>
            <w:tcW w:w="485" w:type="pct"/>
            <w:vAlign w:val="center"/>
          </w:tcPr>
          <w:p w14:paraId="759A92FC" w14:textId="77777777" w:rsidR="00AA260C" w:rsidRPr="00166A39" w:rsidRDefault="000E1111" w:rsidP="006B396F">
            <w:pPr>
              <w:jc w:val="center"/>
              <w:rPr>
                <w:rFonts w:asciiTheme="minorHAnsi" w:hAnsiTheme="minorHAnsi" w:cstheme="minorHAnsi"/>
                <w:i/>
                <w:sz w:val="18"/>
              </w:rPr>
            </w:pPr>
            <w:r w:rsidRPr="00166A39">
              <w:rPr>
                <w:rFonts w:asciiTheme="minorHAnsi" w:hAnsiTheme="minorHAnsi" w:cstheme="minorHAnsi"/>
                <w:i/>
                <w:sz w:val="18"/>
              </w:rPr>
              <w:t>Externă</w:t>
            </w:r>
          </w:p>
        </w:tc>
        <w:tc>
          <w:tcPr>
            <w:tcW w:w="374" w:type="pct"/>
            <w:vAlign w:val="center"/>
          </w:tcPr>
          <w:p w14:paraId="4605CE0D"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16,3%</w:t>
            </w:r>
          </w:p>
        </w:tc>
        <w:tc>
          <w:tcPr>
            <w:tcW w:w="372" w:type="pct"/>
            <w:vAlign w:val="center"/>
          </w:tcPr>
          <w:p w14:paraId="67BE8FFA"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17,0%</w:t>
            </w:r>
          </w:p>
        </w:tc>
        <w:tc>
          <w:tcPr>
            <w:tcW w:w="372" w:type="pct"/>
            <w:vAlign w:val="center"/>
          </w:tcPr>
          <w:p w14:paraId="14A6600F"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16,8%</w:t>
            </w:r>
          </w:p>
        </w:tc>
        <w:tc>
          <w:tcPr>
            <w:tcW w:w="372" w:type="pct"/>
            <w:vAlign w:val="center"/>
          </w:tcPr>
          <w:p w14:paraId="4DBFEB0D"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18,2%</w:t>
            </w:r>
          </w:p>
        </w:tc>
        <w:tc>
          <w:tcPr>
            <w:tcW w:w="487" w:type="pct"/>
            <w:vAlign w:val="center"/>
          </w:tcPr>
          <w:p w14:paraId="56A93620"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21,4%</w:t>
            </w:r>
          </w:p>
        </w:tc>
        <w:tc>
          <w:tcPr>
            <w:tcW w:w="397" w:type="pct"/>
            <w:vAlign w:val="center"/>
          </w:tcPr>
          <w:p w14:paraId="348E52C0" w14:textId="547CEA2B"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21,</w:t>
            </w:r>
            <w:r w:rsidR="00570B27" w:rsidRPr="00166A39">
              <w:rPr>
                <w:rFonts w:asciiTheme="minorHAnsi" w:hAnsiTheme="minorHAnsi" w:cstheme="minorHAnsi"/>
                <w:i/>
                <w:color w:val="000000"/>
                <w:sz w:val="18"/>
              </w:rPr>
              <w:t>6</w:t>
            </w:r>
            <w:r w:rsidRPr="00166A39">
              <w:rPr>
                <w:rFonts w:asciiTheme="minorHAnsi" w:hAnsiTheme="minorHAnsi" w:cstheme="minorHAnsi"/>
                <w:i/>
                <w:color w:val="000000"/>
                <w:sz w:val="18"/>
              </w:rPr>
              <w:t>%</w:t>
            </w:r>
          </w:p>
        </w:tc>
        <w:tc>
          <w:tcPr>
            <w:tcW w:w="397" w:type="pct"/>
            <w:vAlign w:val="center"/>
          </w:tcPr>
          <w:p w14:paraId="53096385" w14:textId="57305840" w:rsidR="008949BF" w:rsidRPr="00166A39" w:rsidRDefault="00944352" w:rsidP="00166A39">
            <w:pPr>
              <w:jc w:val="right"/>
              <w:rPr>
                <w:rFonts w:asciiTheme="minorHAnsi" w:hAnsiTheme="minorHAnsi" w:cstheme="minorHAnsi"/>
                <w:i/>
                <w:sz w:val="18"/>
              </w:rPr>
            </w:pPr>
            <w:r w:rsidRPr="00166A39">
              <w:rPr>
                <w:rFonts w:asciiTheme="minorHAnsi" w:hAnsiTheme="minorHAnsi" w:cstheme="minorHAnsi"/>
                <w:i/>
                <w:sz w:val="18"/>
              </w:rPr>
              <w:t>16,5</w:t>
            </w:r>
            <w:r w:rsidR="000E1111" w:rsidRPr="00166A39">
              <w:rPr>
                <w:rFonts w:asciiTheme="minorHAnsi" w:hAnsiTheme="minorHAnsi" w:cstheme="minorHAnsi"/>
                <w:i/>
                <w:sz w:val="18"/>
              </w:rPr>
              <w:t>%</w:t>
            </w:r>
          </w:p>
        </w:tc>
        <w:tc>
          <w:tcPr>
            <w:tcW w:w="397" w:type="pct"/>
            <w:vAlign w:val="center"/>
          </w:tcPr>
          <w:p w14:paraId="2A3BC201" w14:textId="14970CC8" w:rsidR="008949BF" w:rsidRPr="00166A39" w:rsidRDefault="00944352" w:rsidP="00166A39">
            <w:pPr>
              <w:jc w:val="right"/>
              <w:rPr>
                <w:rFonts w:asciiTheme="minorHAnsi" w:hAnsiTheme="minorHAnsi" w:cstheme="minorHAnsi"/>
                <w:i/>
                <w:sz w:val="18"/>
              </w:rPr>
            </w:pPr>
            <w:r w:rsidRPr="00166A39">
              <w:rPr>
                <w:rFonts w:asciiTheme="minorHAnsi" w:hAnsiTheme="minorHAnsi" w:cstheme="minorHAnsi"/>
                <w:i/>
                <w:sz w:val="18"/>
              </w:rPr>
              <w:t>17,</w:t>
            </w:r>
            <w:r w:rsidR="00D74C3B" w:rsidRPr="00166A39">
              <w:rPr>
                <w:rFonts w:asciiTheme="minorHAnsi" w:hAnsiTheme="minorHAnsi" w:cstheme="minorHAnsi"/>
                <w:i/>
                <w:sz w:val="18"/>
              </w:rPr>
              <w:t>0</w:t>
            </w:r>
            <w:r w:rsidR="000E1111" w:rsidRPr="00166A39">
              <w:rPr>
                <w:rFonts w:asciiTheme="minorHAnsi" w:hAnsiTheme="minorHAnsi" w:cstheme="minorHAnsi"/>
                <w:i/>
                <w:sz w:val="18"/>
              </w:rPr>
              <w:t>%</w:t>
            </w:r>
          </w:p>
        </w:tc>
        <w:tc>
          <w:tcPr>
            <w:tcW w:w="476" w:type="pct"/>
            <w:vAlign w:val="center"/>
          </w:tcPr>
          <w:p w14:paraId="518E6E4A" w14:textId="5C8C1070" w:rsidR="008949BF" w:rsidRPr="00166A39" w:rsidRDefault="00D74C3B" w:rsidP="00166A39">
            <w:pPr>
              <w:jc w:val="right"/>
              <w:rPr>
                <w:rFonts w:asciiTheme="minorHAnsi" w:hAnsiTheme="minorHAnsi" w:cstheme="minorHAnsi"/>
                <w:i/>
                <w:sz w:val="18"/>
              </w:rPr>
            </w:pPr>
            <w:r w:rsidRPr="00166A39">
              <w:rPr>
                <w:rFonts w:asciiTheme="minorHAnsi" w:hAnsiTheme="minorHAnsi" w:cstheme="minorHAnsi"/>
                <w:i/>
                <w:sz w:val="18"/>
              </w:rPr>
              <w:t>17,</w:t>
            </w:r>
            <w:r w:rsidR="00A6291E">
              <w:rPr>
                <w:rFonts w:asciiTheme="minorHAnsi" w:hAnsiTheme="minorHAnsi" w:cstheme="minorHAnsi"/>
                <w:i/>
                <w:sz w:val="18"/>
              </w:rPr>
              <w:t>7</w:t>
            </w:r>
            <w:r w:rsidR="000E1111" w:rsidRPr="00166A39">
              <w:rPr>
                <w:rFonts w:asciiTheme="minorHAnsi" w:hAnsiTheme="minorHAnsi" w:cstheme="minorHAnsi"/>
                <w:i/>
                <w:sz w:val="18"/>
              </w:rPr>
              <w:t>%</w:t>
            </w:r>
          </w:p>
        </w:tc>
        <w:tc>
          <w:tcPr>
            <w:tcW w:w="398" w:type="pct"/>
            <w:vAlign w:val="center"/>
          </w:tcPr>
          <w:p w14:paraId="6029E320" w14:textId="045F84E1" w:rsidR="008949BF" w:rsidRPr="00166A39" w:rsidRDefault="00D74C3B" w:rsidP="00166A39">
            <w:pPr>
              <w:jc w:val="right"/>
              <w:rPr>
                <w:rFonts w:asciiTheme="minorHAnsi" w:hAnsiTheme="minorHAnsi" w:cstheme="minorHAnsi"/>
                <w:i/>
                <w:sz w:val="18"/>
              </w:rPr>
            </w:pPr>
            <w:r w:rsidRPr="00166A39">
              <w:rPr>
                <w:rFonts w:asciiTheme="minorHAnsi" w:hAnsiTheme="minorHAnsi" w:cstheme="minorHAnsi"/>
                <w:i/>
                <w:sz w:val="18"/>
              </w:rPr>
              <w:t>18,</w:t>
            </w:r>
            <w:r w:rsidR="00A6291E">
              <w:rPr>
                <w:rFonts w:asciiTheme="minorHAnsi" w:hAnsiTheme="minorHAnsi" w:cstheme="minorHAnsi"/>
                <w:i/>
                <w:sz w:val="18"/>
              </w:rPr>
              <w:t>7</w:t>
            </w:r>
            <w:r w:rsidR="000E1111" w:rsidRPr="00166A39">
              <w:rPr>
                <w:rFonts w:asciiTheme="minorHAnsi" w:hAnsiTheme="minorHAnsi" w:cstheme="minorHAnsi"/>
                <w:i/>
                <w:sz w:val="18"/>
              </w:rPr>
              <w:t>%</w:t>
            </w:r>
          </w:p>
        </w:tc>
        <w:tc>
          <w:tcPr>
            <w:tcW w:w="473" w:type="pct"/>
          </w:tcPr>
          <w:p w14:paraId="41FB1F16" w14:textId="5F795B04" w:rsidR="008949BF" w:rsidRPr="00166A39" w:rsidRDefault="00D74C3B" w:rsidP="00166A39">
            <w:pPr>
              <w:jc w:val="right"/>
              <w:rPr>
                <w:rFonts w:asciiTheme="minorHAnsi" w:hAnsiTheme="minorHAnsi" w:cstheme="minorHAnsi"/>
                <w:i/>
                <w:sz w:val="18"/>
              </w:rPr>
            </w:pPr>
            <w:r w:rsidRPr="00166A39">
              <w:rPr>
                <w:rFonts w:asciiTheme="minorHAnsi" w:hAnsiTheme="minorHAnsi" w:cstheme="minorHAnsi"/>
                <w:i/>
                <w:sz w:val="18"/>
              </w:rPr>
              <w:t>18,</w:t>
            </w:r>
            <w:r w:rsidR="00A6291E">
              <w:rPr>
                <w:rFonts w:asciiTheme="minorHAnsi" w:hAnsiTheme="minorHAnsi" w:cstheme="minorHAnsi"/>
                <w:i/>
                <w:sz w:val="18"/>
              </w:rPr>
              <w:t>4</w:t>
            </w:r>
            <w:r w:rsidRPr="00166A39">
              <w:rPr>
                <w:rFonts w:asciiTheme="minorHAnsi" w:hAnsiTheme="minorHAnsi" w:cstheme="minorHAnsi"/>
                <w:i/>
                <w:sz w:val="18"/>
              </w:rPr>
              <w:t>%</w:t>
            </w:r>
          </w:p>
        </w:tc>
      </w:tr>
      <w:tr w:rsidR="00C22B5B" w:rsidRPr="002B0694" w14:paraId="40ED6DA3" w14:textId="77777777" w:rsidTr="00166A39">
        <w:tc>
          <w:tcPr>
            <w:tcW w:w="485" w:type="pct"/>
            <w:vAlign w:val="center"/>
          </w:tcPr>
          <w:p w14:paraId="2B6B3B7B" w14:textId="77777777" w:rsidR="00AA260C" w:rsidRPr="00166A39" w:rsidRDefault="000E1111" w:rsidP="006B396F">
            <w:pPr>
              <w:jc w:val="center"/>
              <w:rPr>
                <w:rFonts w:asciiTheme="minorHAnsi" w:hAnsiTheme="minorHAnsi" w:cstheme="minorHAnsi"/>
                <w:i/>
                <w:sz w:val="18"/>
              </w:rPr>
            </w:pPr>
            <w:r w:rsidRPr="00166A39">
              <w:rPr>
                <w:rFonts w:asciiTheme="minorHAnsi" w:hAnsiTheme="minorHAnsi" w:cstheme="minorHAnsi"/>
                <w:i/>
                <w:sz w:val="18"/>
              </w:rPr>
              <w:t>Internă</w:t>
            </w:r>
          </w:p>
        </w:tc>
        <w:tc>
          <w:tcPr>
            <w:tcW w:w="374" w:type="pct"/>
            <w:vAlign w:val="center"/>
          </w:tcPr>
          <w:p w14:paraId="4BD5B905"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7,1%</w:t>
            </w:r>
          </w:p>
        </w:tc>
        <w:tc>
          <w:tcPr>
            <w:tcW w:w="372" w:type="pct"/>
            <w:vAlign w:val="center"/>
          </w:tcPr>
          <w:p w14:paraId="6127DEC3"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7,0%</w:t>
            </w:r>
          </w:p>
        </w:tc>
        <w:tc>
          <w:tcPr>
            <w:tcW w:w="372" w:type="pct"/>
            <w:vAlign w:val="center"/>
          </w:tcPr>
          <w:p w14:paraId="5199D8E6"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6,6%</w:t>
            </w:r>
          </w:p>
        </w:tc>
        <w:tc>
          <w:tcPr>
            <w:tcW w:w="372" w:type="pct"/>
            <w:vAlign w:val="center"/>
          </w:tcPr>
          <w:p w14:paraId="1622C547"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6,3%</w:t>
            </w:r>
          </w:p>
        </w:tc>
        <w:tc>
          <w:tcPr>
            <w:tcW w:w="487" w:type="pct"/>
            <w:vAlign w:val="center"/>
          </w:tcPr>
          <w:p w14:paraId="4EF6E07A"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5,9%</w:t>
            </w:r>
          </w:p>
        </w:tc>
        <w:tc>
          <w:tcPr>
            <w:tcW w:w="397" w:type="pct"/>
            <w:vAlign w:val="center"/>
          </w:tcPr>
          <w:p w14:paraId="700E7E2F" w14:textId="77777777"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color w:val="000000"/>
                <w:sz w:val="18"/>
              </w:rPr>
              <w:t>15,9%</w:t>
            </w:r>
          </w:p>
        </w:tc>
        <w:tc>
          <w:tcPr>
            <w:tcW w:w="397" w:type="pct"/>
            <w:vAlign w:val="center"/>
          </w:tcPr>
          <w:p w14:paraId="770BD76B" w14:textId="73C0F637" w:rsidR="008949BF" w:rsidRPr="00166A39" w:rsidRDefault="00944352" w:rsidP="00166A39">
            <w:pPr>
              <w:jc w:val="right"/>
              <w:rPr>
                <w:rFonts w:asciiTheme="minorHAnsi" w:hAnsiTheme="minorHAnsi" w:cstheme="minorHAnsi"/>
                <w:i/>
                <w:sz w:val="18"/>
              </w:rPr>
            </w:pPr>
            <w:r w:rsidRPr="00166A39">
              <w:rPr>
                <w:rFonts w:asciiTheme="minorHAnsi" w:hAnsiTheme="minorHAnsi" w:cstheme="minorHAnsi"/>
                <w:i/>
                <w:sz w:val="18"/>
              </w:rPr>
              <w:t>12,8</w:t>
            </w:r>
            <w:r w:rsidR="000E1111" w:rsidRPr="00166A39">
              <w:rPr>
                <w:rFonts w:asciiTheme="minorHAnsi" w:hAnsiTheme="minorHAnsi" w:cstheme="minorHAnsi"/>
                <w:i/>
                <w:sz w:val="18"/>
              </w:rPr>
              <w:t>%</w:t>
            </w:r>
          </w:p>
        </w:tc>
        <w:tc>
          <w:tcPr>
            <w:tcW w:w="397" w:type="pct"/>
            <w:vAlign w:val="center"/>
          </w:tcPr>
          <w:p w14:paraId="1C5417F0" w14:textId="77E58DDC" w:rsidR="008949BF" w:rsidRPr="00166A39" w:rsidRDefault="00944352" w:rsidP="00166A39">
            <w:pPr>
              <w:jc w:val="right"/>
              <w:rPr>
                <w:rFonts w:asciiTheme="minorHAnsi" w:hAnsiTheme="minorHAnsi" w:cstheme="minorHAnsi"/>
                <w:i/>
                <w:sz w:val="18"/>
              </w:rPr>
            </w:pPr>
            <w:r w:rsidRPr="00166A39">
              <w:rPr>
                <w:rFonts w:asciiTheme="minorHAnsi" w:hAnsiTheme="minorHAnsi" w:cstheme="minorHAnsi"/>
                <w:i/>
                <w:sz w:val="18"/>
              </w:rPr>
              <w:t>12,</w:t>
            </w:r>
            <w:r w:rsidR="00D74C3B" w:rsidRPr="00166A39">
              <w:rPr>
                <w:rFonts w:asciiTheme="minorHAnsi" w:hAnsiTheme="minorHAnsi" w:cstheme="minorHAnsi"/>
                <w:i/>
                <w:sz w:val="18"/>
              </w:rPr>
              <w:t>8</w:t>
            </w:r>
            <w:r w:rsidR="000E1111" w:rsidRPr="00166A39">
              <w:rPr>
                <w:rFonts w:asciiTheme="minorHAnsi" w:hAnsiTheme="minorHAnsi" w:cstheme="minorHAnsi"/>
                <w:i/>
                <w:sz w:val="18"/>
              </w:rPr>
              <w:t>%</w:t>
            </w:r>
          </w:p>
        </w:tc>
        <w:tc>
          <w:tcPr>
            <w:tcW w:w="476" w:type="pct"/>
            <w:vAlign w:val="center"/>
          </w:tcPr>
          <w:p w14:paraId="61271399" w14:textId="3C802A28" w:rsidR="008949BF" w:rsidRPr="00166A39" w:rsidRDefault="000E1111" w:rsidP="00166A39">
            <w:pPr>
              <w:jc w:val="right"/>
              <w:rPr>
                <w:rFonts w:asciiTheme="minorHAnsi" w:hAnsiTheme="minorHAnsi" w:cstheme="minorHAnsi"/>
                <w:i/>
                <w:sz w:val="18"/>
              </w:rPr>
            </w:pPr>
            <w:r w:rsidRPr="00166A39">
              <w:rPr>
                <w:rFonts w:asciiTheme="minorHAnsi" w:hAnsiTheme="minorHAnsi" w:cstheme="minorHAnsi"/>
                <w:i/>
                <w:sz w:val="18"/>
              </w:rPr>
              <w:t>1</w:t>
            </w:r>
            <w:r w:rsidR="00944352" w:rsidRPr="00166A39">
              <w:rPr>
                <w:rFonts w:asciiTheme="minorHAnsi" w:hAnsiTheme="minorHAnsi" w:cstheme="minorHAnsi"/>
                <w:i/>
                <w:sz w:val="18"/>
              </w:rPr>
              <w:t>2,3</w:t>
            </w:r>
            <w:r w:rsidRPr="00166A39">
              <w:rPr>
                <w:rFonts w:asciiTheme="minorHAnsi" w:hAnsiTheme="minorHAnsi" w:cstheme="minorHAnsi"/>
                <w:i/>
                <w:sz w:val="18"/>
              </w:rPr>
              <w:t>%</w:t>
            </w:r>
          </w:p>
        </w:tc>
        <w:tc>
          <w:tcPr>
            <w:tcW w:w="398" w:type="pct"/>
            <w:vAlign w:val="center"/>
          </w:tcPr>
          <w:p w14:paraId="3327C460" w14:textId="1BDE167A" w:rsidR="008949BF" w:rsidRPr="00166A39" w:rsidRDefault="00944352" w:rsidP="00166A39">
            <w:pPr>
              <w:jc w:val="right"/>
              <w:rPr>
                <w:rFonts w:asciiTheme="minorHAnsi" w:hAnsiTheme="minorHAnsi" w:cstheme="minorHAnsi"/>
                <w:i/>
                <w:sz w:val="18"/>
              </w:rPr>
            </w:pPr>
            <w:r w:rsidRPr="00166A39">
              <w:rPr>
                <w:rFonts w:asciiTheme="minorHAnsi" w:hAnsiTheme="minorHAnsi" w:cstheme="minorHAnsi"/>
                <w:i/>
                <w:sz w:val="18"/>
              </w:rPr>
              <w:t>12,5</w:t>
            </w:r>
            <w:r w:rsidR="000E1111" w:rsidRPr="00166A39">
              <w:rPr>
                <w:rFonts w:asciiTheme="minorHAnsi" w:hAnsiTheme="minorHAnsi" w:cstheme="minorHAnsi"/>
                <w:i/>
                <w:sz w:val="18"/>
              </w:rPr>
              <w:t>%</w:t>
            </w:r>
          </w:p>
        </w:tc>
        <w:tc>
          <w:tcPr>
            <w:tcW w:w="473" w:type="pct"/>
          </w:tcPr>
          <w:p w14:paraId="17A57104" w14:textId="77777777" w:rsidR="008949BF" w:rsidRPr="00166A39" w:rsidRDefault="00944352" w:rsidP="00166A39">
            <w:pPr>
              <w:jc w:val="right"/>
              <w:rPr>
                <w:rFonts w:asciiTheme="minorHAnsi" w:hAnsiTheme="minorHAnsi" w:cstheme="minorHAnsi"/>
                <w:i/>
                <w:sz w:val="18"/>
              </w:rPr>
            </w:pPr>
            <w:r w:rsidRPr="00166A39">
              <w:rPr>
                <w:rFonts w:asciiTheme="minorHAnsi" w:hAnsiTheme="minorHAnsi" w:cstheme="minorHAnsi"/>
                <w:i/>
                <w:sz w:val="18"/>
              </w:rPr>
              <w:t>12,5%</w:t>
            </w:r>
          </w:p>
        </w:tc>
      </w:tr>
      <w:tr w:rsidR="00C22B5B" w:rsidRPr="002B0694" w14:paraId="43896BCA" w14:textId="77777777" w:rsidTr="00166A39">
        <w:trPr>
          <w:trHeight w:val="80"/>
        </w:trPr>
        <w:tc>
          <w:tcPr>
            <w:tcW w:w="485" w:type="pct"/>
            <w:vAlign w:val="center"/>
          </w:tcPr>
          <w:p w14:paraId="6F93CF1E" w14:textId="321106E9" w:rsidR="00AA260C" w:rsidRPr="00166A39" w:rsidRDefault="000E1111" w:rsidP="006B396F">
            <w:pPr>
              <w:rPr>
                <w:rFonts w:asciiTheme="minorHAnsi" w:hAnsiTheme="minorHAnsi" w:cstheme="minorHAnsi"/>
                <w:sz w:val="18"/>
              </w:rPr>
            </w:pPr>
            <w:r w:rsidRPr="00166A39">
              <w:rPr>
                <w:rFonts w:asciiTheme="minorHAnsi" w:hAnsiTheme="minorHAnsi" w:cstheme="minorHAnsi"/>
                <w:sz w:val="18"/>
              </w:rPr>
              <w:t>Garanții de stat</w:t>
            </w:r>
          </w:p>
        </w:tc>
        <w:tc>
          <w:tcPr>
            <w:tcW w:w="374" w:type="pct"/>
            <w:vAlign w:val="center"/>
          </w:tcPr>
          <w:p w14:paraId="147DA7FD" w14:textId="77777777"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color w:val="000000"/>
                <w:sz w:val="18"/>
              </w:rPr>
              <w:t>0,07%</w:t>
            </w:r>
          </w:p>
        </w:tc>
        <w:tc>
          <w:tcPr>
            <w:tcW w:w="372" w:type="pct"/>
            <w:vAlign w:val="center"/>
          </w:tcPr>
          <w:p w14:paraId="33A25294" w14:textId="77777777"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color w:val="000000"/>
                <w:sz w:val="18"/>
              </w:rPr>
              <w:t>0,04%</w:t>
            </w:r>
          </w:p>
        </w:tc>
        <w:tc>
          <w:tcPr>
            <w:tcW w:w="372" w:type="pct"/>
            <w:vAlign w:val="center"/>
          </w:tcPr>
          <w:p w14:paraId="7546BE0C" w14:textId="77777777"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color w:val="000000"/>
                <w:sz w:val="18"/>
              </w:rPr>
              <w:t>0,02%</w:t>
            </w:r>
          </w:p>
        </w:tc>
        <w:tc>
          <w:tcPr>
            <w:tcW w:w="372" w:type="pct"/>
            <w:vAlign w:val="center"/>
          </w:tcPr>
          <w:p w14:paraId="35F5BABC" w14:textId="77777777"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color w:val="000000"/>
                <w:sz w:val="18"/>
              </w:rPr>
              <w:t>5,76%</w:t>
            </w:r>
          </w:p>
        </w:tc>
        <w:tc>
          <w:tcPr>
            <w:tcW w:w="487" w:type="pct"/>
            <w:vAlign w:val="center"/>
          </w:tcPr>
          <w:p w14:paraId="2F099930" w14:textId="77777777"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color w:val="000000"/>
                <w:sz w:val="18"/>
              </w:rPr>
              <w:t>11,17%</w:t>
            </w:r>
          </w:p>
        </w:tc>
        <w:tc>
          <w:tcPr>
            <w:tcW w:w="397" w:type="pct"/>
            <w:vAlign w:val="center"/>
          </w:tcPr>
          <w:p w14:paraId="1E468694" w14:textId="77777777"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color w:val="000000"/>
                <w:sz w:val="18"/>
              </w:rPr>
              <w:t>0,0%</w:t>
            </w:r>
          </w:p>
        </w:tc>
        <w:tc>
          <w:tcPr>
            <w:tcW w:w="397" w:type="pct"/>
            <w:vAlign w:val="center"/>
          </w:tcPr>
          <w:p w14:paraId="12A5A1D4" w14:textId="77777777"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color w:val="000000"/>
                <w:sz w:val="18"/>
              </w:rPr>
              <w:t>0,0%</w:t>
            </w:r>
          </w:p>
        </w:tc>
        <w:tc>
          <w:tcPr>
            <w:tcW w:w="397" w:type="pct"/>
            <w:vAlign w:val="center"/>
          </w:tcPr>
          <w:p w14:paraId="773DEF1F" w14:textId="5242E226" w:rsidR="00AA260C" w:rsidRPr="00166A39" w:rsidRDefault="000E1111" w:rsidP="009F6AC7">
            <w:pPr>
              <w:jc w:val="right"/>
              <w:rPr>
                <w:rFonts w:asciiTheme="minorHAnsi" w:hAnsiTheme="minorHAnsi" w:cstheme="minorHAnsi"/>
                <w:sz w:val="18"/>
              </w:rPr>
            </w:pPr>
            <w:r w:rsidRPr="00166A39">
              <w:rPr>
                <w:rFonts w:asciiTheme="minorHAnsi" w:hAnsiTheme="minorHAnsi" w:cstheme="minorHAnsi"/>
                <w:sz w:val="18"/>
              </w:rPr>
              <w:t>0,</w:t>
            </w:r>
            <w:r w:rsidR="009F6AC7" w:rsidRPr="00166A39">
              <w:rPr>
                <w:rFonts w:asciiTheme="minorHAnsi" w:hAnsiTheme="minorHAnsi" w:cstheme="minorHAnsi"/>
                <w:sz w:val="18"/>
              </w:rPr>
              <w:t>5</w:t>
            </w:r>
            <w:r w:rsidRPr="00166A39">
              <w:rPr>
                <w:rFonts w:asciiTheme="minorHAnsi" w:hAnsiTheme="minorHAnsi" w:cstheme="minorHAnsi"/>
                <w:sz w:val="18"/>
              </w:rPr>
              <w:t>%</w:t>
            </w:r>
          </w:p>
        </w:tc>
        <w:tc>
          <w:tcPr>
            <w:tcW w:w="476" w:type="pct"/>
            <w:vAlign w:val="center"/>
          </w:tcPr>
          <w:p w14:paraId="1E0B5F71" w14:textId="6AEAACE9"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sz w:val="18"/>
              </w:rPr>
              <w:t>0,</w:t>
            </w:r>
            <w:r w:rsidR="009F6AC7" w:rsidRPr="00166A39">
              <w:rPr>
                <w:rFonts w:asciiTheme="minorHAnsi" w:hAnsiTheme="minorHAnsi" w:cstheme="minorHAnsi"/>
                <w:sz w:val="18"/>
              </w:rPr>
              <w:t>5</w:t>
            </w:r>
            <w:r w:rsidRPr="00166A39">
              <w:rPr>
                <w:rFonts w:asciiTheme="minorHAnsi" w:hAnsiTheme="minorHAnsi" w:cstheme="minorHAnsi"/>
                <w:sz w:val="18"/>
              </w:rPr>
              <w:t>%</w:t>
            </w:r>
          </w:p>
        </w:tc>
        <w:tc>
          <w:tcPr>
            <w:tcW w:w="398" w:type="pct"/>
            <w:vAlign w:val="center"/>
          </w:tcPr>
          <w:p w14:paraId="35592A2C" w14:textId="47F85012" w:rsidR="00AA260C" w:rsidRPr="00166A39" w:rsidRDefault="000E1111" w:rsidP="00D12C27">
            <w:pPr>
              <w:jc w:val="right"/>
              <w:rPr>
                <w:rFonts w:asciiTheme="minorHAnsi" w:hAnsiTheme="minorHAnsi" w:cstheme="minorHAnsi"/>
                <w:sz w:val="18"/>
              </w:rPr>
            </w:pPr>
            <w:r w:rsidRPr="00166A39">
              <w:rPr>
                <w:rFonts w:asciiTheme="minorHAnsi" w:hAnsiTheme="minorHAnsi" w:cstheme="minorHAnsi"/>
                <w:sz w:val="18"/>
              </w:rPr>
              <w:t>0,</w:t>
            </w:r>
            <w:r w:rsidR="009F6AC7" w:rsidRPr="00166A39">
              <w:rPr>
                <w:rFonts w:asciiTheme="minorHAnsi" w:hAnsiTheme="minorHAnsi" w:cstheme="minorHAnsi"/>
                <w:sz w:val="18"/>
              </w:rPr>
              <w:t>7</w:t>
            </w:r>
            <w:r w:rsidRPr="00166A39">
              <w:rPr>
                <w:rFonts w:asciiTheme="minorHAnsi" w:hAnsiTheme="minorHAnsi" w:cstheme="minorHAnsi"/>
                <w:sz w:val="18"/>
              </w:rPr>
              <w:t>%</w:t>
            </w:r>
          </w:p>
        </w:tc>
        <w:tc>
          <w:tcPr>
            <w:tcW w:w="473" w:type="pct"/>
          </w:tcPr>
          <w:p w14:paraId="38B3B5B3" w14:textId="77777777" w:rsidR="009F6AC7" w:rsidRPr="00166A39" w:rsidRDefault="009F6AC7" w:rsidP="009F6AC7">
            <w:pPr>
              <w:jc w:val="right"/>
              <w:rPr>
                <w:rFonts w:asciiTheme="minorHAnsi" w:hAnsiTheme="minorHAnsi" w:cstheme="minorHAnsi"/>
                <w:sz w:val="18"/>
              </w:rPr>
            </w:pPr>
          </w:p>
          <w:p w14:paraId="614E5417" w14:textId="77777777" w:rsidR="00AA260C" w:rsidRPr="00166A39" w:rsidRDefault="009F6AC7" w:rsidP="009F6AC7">
            <w:pPr>
              <w:jc w:val="right"/>
              <w:rPr>
                <w:rFonts w:asciiTheme="minorHAnsi" w:hAnsiTheme="minorHAnsi" w:cstheme="minorHAnsi"/>
                <w:sz w:val="18"/>
              </w:rPr>
            </w:pPr>
            <w:r w:rsidRPr="00166A39">
              <w:rPr>
                <w:rFonts w:asciiTheme="minorHAnsi" w:hAnsiTheme="minorHAnsi" w:cstheme="minorHAnsi"/>
                <w:sz w:val="18"/>
              </w:rPr>
              <w:t>0,8%</w:t>
            </w:r>
          </w:p>
          <w:p w14:paraId="14FCDBD0" w14:textId="77777777" w:rsidR="009F6AC7" w:rsidRPr="00166A39" w:rsidRDefault="009F6AC7" w:rsidP="009F6AC7">
            <w:pPr>
              <w:jc w:val="right"/>
              <w:rPr>
                <w:rFonts w:asciiTheme="minorHAnsi" w:hAnsiTheme="minorHAnsi" w:cstheme="minorHAnsi"/>
                <w:sz w:val="18"/>
              </w:rPr>
            </w:pPr>
          </w:p>
        </w:tc>
      </w:tr>
    </w:tbl>
    <w:p w14:paraId="09F90B30" w14:textId="77777777" w:rsidR="00A901E4" w:rsidRPr="002B0694" w:rsidRDefault="006C7A75" w:rsidP="00107AD8">
      <w:pPr>
        <w:ind w:firstLine="567"/>
        <w:jc w:val="both"/>
        <w:rPr>
          <w:rFonts w:asciiTheme="minorHAnsi" w:hAnsiTheme="minorHAnsi" w:cstheme="minorHAnsi"/>
        </w:rPr>
      </w:pPr>
      <w:r w:rsidRPr="00166A39">
        <w:rPr>
          <w:rFonts w:asciiTheme="minorHAnsi" w:hAnsiTheme="minorHAnsi" w:cstheme="minorHAnsi"/>
          <w:bCs/>
        </w:rPr>
        <w:t>Cheltuielile pentru serviciul datoriei de stat pe termen mediu vor atinge în mediu 0,9% din PIB și 5,0% din veniturile bugetului de stat cu excepția granturilor.</w:t>
      </w:r>
    </w:p>
    <w:p w14:paraId="322EEC02" w14:textId="77777777" w:rsidR="006C7A75" w:rsidRPr="00166A39" w:rsidRDefault="006C7A75" w:rsidP="00A901E4">
      <w:pPr>
        <w:ind w:firstLine="567"/>
        <w:jc w:val="both"/>
        <w:rPr>
          <w:rFonts w:asciiTheme="minorHAnsi" w:hAnsiTheme="minorHAnsi" w:cstheme="minorHAnsi"/>
        </w:rPr>
      </w:pPr>
    </w:p>
    <w:p w14:paraId="29365512" w14:textId="77777777" w:rsidR="00A901E4" w:rsidRPr="002B0694" w:rsidRDefault="000E1111" w:rsidP="00A901E4">
      <w:pPr>
        <w:ind w:firstLine="567"/>
        <w:jc w:val="both"/>
        <w:rPr>
          <w:rFonts w:asciiTheme="minorHAnsi" w:hAnsiTheme="minorHAnsi" w:cstheme="minorHAnsi"/>
          <w:b/>
          <w:bCs/>
        </w:rPr>
      </w:pPr>
      <w:r w:rsidRPr="00166A39">
        <w:rPr>
          <w:rFonts w:asciiTheme="minorHAnsi" w:hAnsiTheme="minorHAnsi" w:cstheme="minorHAnsi"/>
          <w:b/>
          <w:bCs/>
        </w:rPr>
        <w:t>Atenuarea riscurilor</w:t>
      </w:r>
    </w:p>
    <w:p w14:paraId="246A6297" w14:textId="77777777" w:rsidR="00107AD8" w:rsidRPr="002B0694" w:rsidRDefault="00107AD8" w:rsidP="00107AD8">
      <w:pPr>
        <w:jc w:val="both"/>
        <w:rPr>
          <w:rFonts w:asciiTheme="minorHAnsi" w:hAnsiTheme="minorHAnsi" w:cstheme="minorHAnsi"/>
          <w:b/>
          <w:bCs/>
        </w:rPr>
      </w:pPr>
    </w:p>
    <w:p w14:paraId="20550689" w14:textId="04E45170" w:rsidR="00107AD8" w:rsidRPr="002B0694" w:rsidRDefault="000E1111" w:rsidP="00107AD8">
      <w:pPr>
        <w:ind w:firstLine="567"/>
        <w:jc w:val="both"/>
        <w:rPr>
          <w:rFonts w:asciiTheme="minorHAnsi" w:hAnsiTheme="minorHAnsi" w:cstheme="minorHAnsi"/>
          <w:bCs/>
        </w:rPr>
      </w:pPr>
      <w:r w:rsidRPr="00166A39">
        <w:rPr>
          <w:rFonts w:asciiTheme="minorHAnsi" w:hAnsiTheme="minorHAnsi" w:cstheme="minorHAnsi"/>
          <w:bCs/>
        </w:rPr>
        <w:t xml:space="preserve">Întru atenuarea riscului valutar </w:t>
      </w:r>
      <w:r w:rsidR="00494D8C" w:rsidRPr="00166A39">
        <w:rPr>
          <w:rFonts w:asciiTheme="minorHAnsi" w:hAnsiTheme="minorHAnsi" w:cstheme="minorHAnsi"/>
          <w:bCs/>
        </w:rPr>
        <w:t>și</w:t>
      </w:r>
      <w:r w:rsidRPr="00166A39">
        <w:rPr>
          <w:rFonts w:asciiTheme="minorHAnsi" w:hAnsiTheme="minorHAnsi" w:cstheme="minorHAnsi"/>
          <w:bCs/>
        </w:rPr>
        <w:t xml:space="preserve"> riscului ratei de dobândă aferente datoriei de stat, Ministerul </w:t>
      </w:r>
      <w:r w:rsidR="00494D8C" w:rsidRPr="00166A39">
        <w:rPr>
          <w:rFonts w:asciiTheme="minorHAnsi" w:hAnsiTheme="minorHAnsi" w:cstheme="minorHAnsi"/>
          <w:bCs/>
        </w:rPr>
        <w:t>Finanțelor</w:t>
      </w:r>
      <w:r w:rsidRPr="00166A39">
        <w:rPr>
          <w:rFonts w:asciiTheme="minorHAnsi" w:hAnsiTheme="minorHAnsi" w:cstheme="minorHAnsi"/>
          <w:bCs/>
        </w:rPr>
        <w:t xml:space="preserve"> monitorizează în </w:t>
      </w:r>
      <w:r w:rsidR="00494D8C" w:rsidRPr="00166A39">
        <w:rPr>
          <w:rFonts w:asciiTheme="minorHAnsi" w:hAnsiTheme="minorHAnsi" w:cstheme="minorHAnsi"/>
          <w:bCs/>
        </w:rPr>
        <w:t>permanență</w:t>
      </w:r>
      <w:r w:rsidRPr="00166A39">
        <w:rPr>
          <w:rFonts w:asciiTheme="minorHAnsi" w:hAnsiTheme="minorHAnsi" w:cstheme="minorHAnsi"/>
          <w:bCs/>
        </w:rPr>
        <w:t xml:space="preserve"> </w:t>
      </w:r>
      <w:r w:rsidR="00494D8C" w:rsidRPr="00166A39">
        <w:rPr>
          <w:rFonts w:asciiTheme="minorHAnsi" w:hAnsiTheme="minorHAnsi" w:cstheme="minorHAnsi"/>
          <w:bCs/>
        </w:rPr>
        <w:t>evoluția</w:t>
      </w:r>
      <w:r w:rsidRPr="00166A39">
        <w:rPr>
          <w:rFonts w:asciiTheme="minorHAnsi" w:hAnsiTheme="minorHAnsi" w:cstheme="minorHAnsi"/>
          <w:bCs/>
        </w:rPr>
        <w:t xml:space="preserve"> ratei oficiale</w:t>
      </w:r>
      <w:r w:rsidR="00494D8C" w:rsidRPr="00166A39">
        <w:rPr>
          <w:rFonts w:asciiTheme="minorHAnsi" w:hAnsiTheme="minorHAnsi" w:cstheme="minorHAnsi"/>
          <w:bCs/>
        </w:rPr>
        <w:t xml:space="preserve"> </w:t>
      </w:r>
      <w:r w:rsidRPr="00166A39">
        <w:rPr>
          <w:rFonts w:asciiTheme="minorHAnsi" w:hAnsiTheme="minorHAnsi" w:cstheme="minorHAnsi"/>
          <w:bCs/>
        </w:rPr>
        <w:t xml:space="preserve">de schimb a monedei </w:t>
      </w:r>
      <w:r w:rsidR="00494D8C" w:rsidRPr="00166A39">
        <w:rPr>
          <w:rFonts w:asciiTheme="minorHAnsi" w:hAnsiTheme="minorHAnsi" w:cstheme="minorHAnsi"/>
          <w:bCs/>
        </w:rPr>
        <w:t>naționale</w:t>
      </w:r>
      <w:r w:rsidRPr="00166A39">
        <w:rPr>
          <w:rFonts w:asciiTheme="minorHAnsi" w:hAnsiTheme="minorHAnsi" w:cstheme="minorHAnsi"/>
          <w:bCs/>
        </w:rPr>
        <w:t xml:space="preserve"> în raport cu valutele în care este denominată datoria de stat externă </w:t>
      </w:r>
      <w:r w:rsidR="00494D8C" w:rsidRPr="00166A39">
        <w:rPr>
          <w:rFonts w:asciiTheme="minorHAnsi" w:hAnsiTheme="minorHAnsi" w:cstheme="minorHAnsi"/>
          <w:bCs/>
        </w:rPr>
        <w:t>și</w:t>
      </w:r>
      <w:r w:rsidRPr="00166A39">
        <w:rPr>
          <w:rFonts w:asciiTheme="minorHAnsi" w:hAnsiTheme="minorHAnsi" w:cstheme="minorHAnsi"/>
          <w:bCs/>
        </w:rPr>
        <w:t xml:space="preserve"> </w:t>
      </w:r>
      <w:r w:rsidR="00494D8C" w:rsidRPr="00166A39">
        <w:rPr>
          <w:rFonts w:asciiTheme="minorHAnsi" w:hAnsiTheme="minorHAnsi" w:cstheme="minorHAnsi"/>
          <w:bCs/>
        </w:rPr>
        <w:t>evoluția</w:t>
      </w:r>
      <w:r w:rsidRPr="00166A39">
        <w:rPr>
          <w:rFonts w:asciiTheme="minorHAnsi" w:hAnsiTheme="minorHAnsi" w:cstheme="minorHAnsi"/>
          <w:bCs/>
        </w:rPr>
        <w:t xml:space="preserve"> ratelor dobânzii de </w:t>
      </w:r>
      <w:r w:rsidR="00494D8C" w:rsidRPr="00166A39">
        <w:rPr>
          <w:rFonts w:asciiTheme="minorHAnsi" w:hAnsiTheme="minorHAnsi" w:cstheme="minorHAnsi"/>
          <w:bCs/>
        </w:rPr>
        <w:t>referință</w:t>
      </w:r>
      <w:r w:rsidRPr="00166A39">
        <w:rPr>
          <w:rFonts w:asciiTheme="minorHAnsi" w:hAnsiTheme="minorHAnsi" w:cstheme="minorHAnsi"/>
          <w:bCs/>
        </w:rPr>
        <w:t xml:space="preserve"> aferente datoriei de stat (Libor 6 luni, Euribor 6 luni, Rata de bază a BNM aplicată la principalele operațiuni de politică monetară pe termen scurt). </w:t>
      </w:r>
      <w:r w:rsidR="00494D8C" w:rsidRPr="00166A39">
        <w:rPr>
          <w:rFonts w:asciiTheme="minorHAnsi" w:hAnsiTheme="minorHAnsi" w:cstheme="minorHAnsi"/>
          <w:bCs/>
        </w:rPr>
        <w:t xml:space="preserve">Astfel, </w:t>
      </w:r>
      <w:r w:rsidRPr="00166A39">
        <w:rPr>
          <w:rFonts w:asciiTheme="minorHAnsi" w:hAnsiTheme="minorHAnsi" w:cstheme="minorHAnsi"/>
          <w:bCs/>
        </w:rPr>
        <w:t xml:space="preserve"> </w:t>
      </w:r>
      <w:r w:rsidR="00D74C3B" w:rsidRPr="00166A39">
        <w:rPr>
          <w:rFonts w:asciiTheme="minorHAnsi" w:hAnsiTheme="minorHAnsi" w:cstheme="minorHAnsi"/>
          <w:bCs/>
        </w:rPr>
        <w:t>în momentul estimării soldului</w:t>
      </w:r>
      <w:r w:rsidRPr="00166A39">
        <w:rPr>
          <w:rFonts w:asciiTheme="minorHAnsi" w:hAnsiTheme="minorHAnsi" w:cstheme="minorHAnsi"/>
          <w:bCs/>
        </w:rPr>
        <w:t xml:space="preserve"> datoriei de stat </w:t>
      </w:r>
      <w:r w:rsidR="00494D8C" w:rsidRPr="00166A39">
        <w:rPr>
          <w:rFonts w:asciiTheme="minorHAnsi" w:hAnsiTheme="minorHAnsi" w:cstheme="minorHAnsi"/>
          <w:bCs/>
        </w:rPr>
        <w:t>și</w:t>
      </w:r>
      <w:r w:rsidRPr="00166A39">
        <w:rPr>
          <w:rFonts w:asciiTheme="minorHAnsi" w:hAnsiTheme="minorHAnsi" w:cstheme="minorHAnsi"/>
          <w:bCs/>
        </w:rPr>
        <w:t xml:space="preserve"> a cheltuielilor de deservire a acesteia,</w:t>
      </w:r>
      <w:r w:rsidR="00E269A6" w:rsidRPr="00166A39">
        <w:rPr>
          <w:rFonts w:asciiTheme="minorHAnsi" w:hAnsiTheme="minorHAnsi" w:cstheme="minorHAnsi"/>
          <w:bCs/>
        </w:rPr>
        <w:t xml:space="preserve"> se iau în calcul scenariile cele mai pesimiste, și anume-</w:t>
      </w:r>
      <w:r w:rsidR="00494D8C" w:rsidRPr="00166A39">
        <w:rPr>
          <w:rFonts w:asciiTheme="minorHAnsi" w:hAnsiTheme="minorHAnsi" w:cstheme="minorHAnsi"/>
          <w:bCs/>
        </w:rPr>
        <w:t>fluctuații</w:t>
      </w:r>
      <w:r w:rsidRPr="00166A39">
        <w:rPr>
          <w:rFonts w:asciiTheme="minorHAnsi" w:hAnsiTheme="minorHAnsi" w:cstheme="minorHAnsi"/>
          <w:bCs/>
        </w:rPr>
        <w:t xml:space="preserve"> semnificative a</w:t>
      </w:r>
      <w:r w:rsidR="00E269A6" w:rsidRPr="00166A39">
        <w:rPr>
          <w:rFonts w:asciiTheme="minorHAnsi" w:hAnsiTheme="minorHAnsi" w:cstheme="minorHAnsi"/>
          <w:bCs/>
        </w:rPr>
        <w:t>le</w:t>
      </w:r>
      <w:r w:rsidRPr="00166A39">
        <w:rPr>
          <w:rFonts w:asciiTheme="minorHAnsi" w:hAnsiTheme="minorHAnsi" w:cstheme="minorHAnsi"/>
          <w:bCs/>
        </w:rPr>
        <w:t xml:space="preserve"> indicatorilor sus-menționați.</w:t>
      </w:r>
      <w:r w:rsidR="00BF2003" w:rsidRPr="00166A39">
        <w:rPr>
          <w:rFonts w:asciiTheme="minorHAnsi" w:hAnsiTheme="minorHAnsi" w:cstheme="minorHAnsi"/>
          <w:bCs/>
        </w:rPr>
        <w:t xml:space="preserve"> La fel, în scopul diminuării expunerii față de riscul ratei de dobândă</w:t>
      </w:r>
      <w:r w:rsidR="00374E25" w:rsidRPr="00166A39">
        <w:rPr>
          <w:rFonts w:asciiTheme="minorHAnsi" w:hAnsiTheme="minorHAnsi" w:cstheme="minorHAnsi"/>
          <w:bCs/>
        </w:rPr>
        <w:t xml:space="preserve"> și riscul valutar</w:t>
      </w:r>
      <w:r w:rsidR="00BF2003" w:rsidRPr="00166A39">
        <w:rPr>
          <w:rFonts w:asciiTheme="minorHAnsi" w:hAnsiTheme="minorHAnsi" w:cstheme="minorHAnsi"/>
          <w:bCs/>
        </w:rPr>
        <w:t xml:space="preserve">, se va examina posibilitatea </w:t>
      </w:r>
      <w:r w:rsidR="00374E25" w:rsidRPr="00166A39">
        <w:rPr>
          <w:rFonts w:asciiTheme="minorHAnsi" w:hAnsiTheme="minorHAnsi" w:cstheme="minorHAnsi"/>
          <w:bCs/>
        </w:rPr>
        <w:t>restructurării portofoliului</w:t>
      </w:r>
      <w:r w:rsidR="00BF2003" w:rsidRPr="00166A39">
        <w:rPr>
          <w:rFonts w:asciiTheme="minorHAnsi" w:hAnsiTheme="minorHAnsi" w:cstheme="minorHAnsi"/>
          <w:bCs/>
        </w:rPr>
        <w:t xml:space="preserve"> datoriei de stat externe </w:t>
      </w:r>
      <w:r w:rsidRPr="00166A39">
        <w:rPr>
          <w:rFonts w:asciiTheme="minorHAnsi" w:hAnsiTheme="minorHAnsi" w:cstheme="minorHAnsi"/>
          <w:bCs/>
        </w:rPr>
        <w:t xml:space="preserve">prin intermediul </w:t>
      </w:r>
      <w:r w:rsidR="00374E25" w:rsidRPr="00166A39">
        <w:rPr>
          <w:rFonts w:asciiTheme="minorHAnsi" w:hAnsiTheme="minorHAnsi" w:cstheme="minorHAnsi"/>
          <w:bCs/>
        </w:rPr>
        <w:t xml:space="preserve">utilizării instrumentului de </w:t>
      </w:r>
      <w:r w:rsidR="001C06AD" w:rsidRPr="00166A39">
        <w:rPr>
          <w:rFonts w:asciiTheme="minorHAnsi" w:hAnsiTheme="minorHAnsi" w:cstheme="minorHAnsi"/>
          <w:bCs/>
        </w:rPr>
        <w:t>conversiun</w:t>
      </w:r>
      <w:r w:rsidR="00374E25" w:rsidRPr="00166A39">
        <w:rPr>
          <w:rFonts w:asciiTheme="minorHAnsi" w:hAnsiTheme="minorHAnsi" w:cstheme="minorHAnsi"/>
          <w:bCs/>
        </w:rPr>
        <w:t>e a</w:t>
      </w:r>
      <w:r w:rsidR="001C06AD" w:rsidRPr="00166A39">
        <w:rPr>
          <w:rFonts w:asciiTheme="minorHAnsi" w:hAnsiTheme="minorHAnsi" w:cstheme="minorHAnsi"/>
          <w:bCs/>
        </w:rPr>
        <w:t xml:space="preserve"> ratei</w:t>
      </w:r>
      <w:r w:rsidR="004F7B16" w:rsidRPr="00166A39">
        <w:rPr>
          <w:rFonts w:asciiTheme="minorHAnsi" w:hAnsiTheme="minorHAnsi" w:cstheme="minorHAnsi"/>
          <w:bCs/>
        </w:rPr>
        <w:t xml:space="preserve"> de dobândă și </w:t>
      </w:r>
      <w:r w:rsidR="001C06AD" w:rsidRPr="00166A39">
        <w:rPr>
          <w:rFonts w:asciiTheme="minorHAnsi" w:hAnsiTheme="minorHAnsi" w:cstheme="minorHAnsi"/>
          <w:bCs/>
        </w:rPr>
        <w:t>valutei</w:t>
      </w:r>
      <w:r w:rsidR="00374E25" w:rsidRPr="00166A39">
        <w:rPr>
          <w:rFonts w:asciiTheme="minorHAnsi" w:hAnsiTheme="minorHAnsi" w:cstheme="minorHAnsi"/>
          <w:bCs/>
        </w:rPr>
        <w:t xml:space="preserve"> aferente datoriei existente</w:t>
      </w:r>
      <w:r w:rsidR="004F7B16" w:rsidRPr="00166A39">
        <w:rPr>
          <w:rFonts w:asciiTheme="minorHAnsi" w:hAnsiTheme="minorHAnsi" w:cstheme="minorHAnsi"/>
          <w:bCs/>
        </w:rPr>
        <w:t>,</w:t>
      </w:r>
      <w:r w:rsidRPr="00166A39">
        <w:rPr>
          <w:rFonts w:asciiTheme="minorHAnsi" w:hAnsiTheme="minorHAnsi" w:cstheme="minorHAnsi"/>
          <w:bCs/>
        </w:rPr>
        <w:t xml:space="preserve"> </w:t>
      </w:r>
      <w:r w:rsidR="00E269A6" w:rsidRPr="00166A39">
        <w:rPr>
          <w:rFonts w:asciiTheme="minorHAnsi" w:hAnsiTheme="minorHAnsi" w:cstheme="minorHAnsi"/>
          <w:bCs/>
        </w:rPr>
        <w:t>ținând</w:t>
      </w:r>
      <w:r w:rsidR="00374E25" w:rsidRPr="00166A39">
        <w:rPr>
          <w:rFonts w:asciiTheme="minorHAnsi" w:hAnsiTheme="minorHAnsi" w:cstheme="minorHAnsi"/>
          <w:bCs/>
        </w:rPr>
        <w:t xml:space="preserve"> cont de condițiile și raportul cost-risc pe</w:t>
      </w:r>
      <w:r w:rsidRPr="00166A39">
        <w:rPr>
          <w:rFonts w:asciiTheme="minorHAnsi" w:hAnsiTheme="minorHAnsi" w:cstheme="minorHAnsi"/>
          <w:bCs/>
        </w:rPr>
        <w:t xml:space="preserve"> care acesta le implică.</w:t>
      </w:r>
    </w:p>
    <w:p w14:paraId="78E87AC6" w14:textId="1595ADB2" w:rsidR="00BF2003" w:rsidRPr="00166A39" w:rsidRDefault="000E1111" w:rsidP="00037B4D">
      <w:pPr>
        <w:ind w:firstLine="567"/>
        <w:jc w:val="both"/>
        <w:rPr>
          <w:rFonts w:asciiTheme="minorHAnsi" w:hAnsiTheme="minorHAnsi" w:cstheme="minorHAnsi"/>
          <w:bCs/>
        </w:rPr>
      </w:pPr>
      <w:r w:rsidRPr="00166A39">
        <w:rPr>
          <w:rFonts w:asciiTheme="minorHAnsi" w:hAnsiTheme="minorHAnsi" w:cstheme="minorHAnsi"/>
          <w:bCs/>
        </w:rPr>
        <w:t>Totodată, în scopul îmbunătăți</w:t>
      </w:r>
      <w:r w:rsidR="00E269A6" w:rsidRPr="00166A39">
        <w:rPr>
          <w:rFonts w:asciiTheme="minorHAnsi" w:hAnsiTheme="minorHAnsi" w:cstheme="minorHAnsi"/>
          <w:bCs/>
        </w:rPr>
        <w:t>rii</w:t>
      </w:r>
      <w:r w:rsidRPr="00166A39">
        <w:rPr>
          <w:rFonts w:asciiTheme="minorHAnsi" w:hAnsiTheme="minorHAnsi" w:cstheme="minorHAnsi"/>
          <w:bCs/>
        </w:rPr>
        <w:t xml:space="preserve"> gestion</w:t>
      </w:r>
      <w:r w:rsidR="00E269A6" w:rsidRPr="00166A39">
        <w:rPr>
          <w:rFonts w:asciiTheme="minorHAnsi" w:hAnsiTheme="minorHAnsi" w:cstheme="minorHAnsi"/>
          <w:bCs/>
        </w:rPr>
        <w:t>ării</w:t>
      </w:r>
      <w:r w:rsidRPr="00166A39">
        <w:rPr>
          <w:rFonts w:asciiTheme="minorHAnsi" w:hAnsiTheme="minorHAnsi" w:cstheme="minorHAnsi"/>
          <w:bCs/>
        </w:rPr>
        <w:t xml:space="preserve"> datoriei de stat și reduce</w:t>
      </w:r>
      <w:r w:rsidR="00E269A6" w:rsidRPr="00166A39">
        <w:rPr>
          <w:rFonts w:asciiTheme="minorHAnsi" w:hAnsiTheme="minorHAnsi" w:cstheme="minorHAnsi"/>
          <w:bCs/>
        </w:rPr>
        <w:t>rii</w:t>
      </w:r>
      <w:r w:rsidRPr="00166A39">
        <w:rPr>
          <w:rFonts w:asciiTheme="minorHAnsi" w:hAnsiTheme="minorHAnsi" w:cstheme="minorHAnsi"/>
          <w:bCs/>
        </w:rPr>
        <w:t xml:space="preserve"> riscul</w:t>
      </w:r>
      <w:r w:rsidR="00E269A6" w:rsidRPr="00166A39">
        <w:rPr>
          <w:rFonts w:asciiTheme="minorHAnsi" w:hAnsiTheme="minorHAnsi" w:cstheme="minorHAnsi"/>
          <w:bCs/>
        </w:rPr>
        <w:t>ui</w:t>
      </w:r>
      <w:r w:rsidRPr="00166A39">
        <w:rPr>
          <w:rFonts w:asciiTheme="minorHAnsi" w:hAnsiTheme="minorHAnsi" w:cstheme="minorHAnsi"/>
          <w:bCs/>
        </w:rPr>
        <w:t xml:space="preserve"> de refinanțare a</w:t>
      </w:r>
      <w:r w:rsidR="00D12C27" w:rsidRPr="00166A39">
        <w:rPr>
          <w:rFonts w:asciiTheme="minorHAnsi" w:hAnsiTheme="minorHAnsi" w:cstheme="minorHAnsi"/>
          <w:bCs/>
        </w:rPr>
        <w:t>l</w:t>
      </w:r>
      <w:r w:rsidRPr="00166A39">
        <w:rPr>
          <w:rFonts w:asciiTheme="minorHAnsi" w:hAnsiTheme="minorHAnsi" w:cstheme="minorHAnsi"/>
          <w:bCs/>
        </w:rPr>
        <w:t xml:space="preserve"> datoriei de stat și riscuril</w:t>
      </w:r>
      <w:r w:rsidR="00E269A6" w:rsidRPr="00166A39">
        <w:rPr>
          <w:rFonts w:asciiTheme="minorHAnsi" w:hAnsiTheme="minorHAnsi" w:cstheme="minorHAnsi"/>
          <w:bCs/>
        </w:rPr>
        <w:t>or</w:t>
      </w:r>
      <w:r w:rsidRPr="00166A39">
        <w:rPr>
          <w:rFonts w:asciiTheme="minorHAnsi" w:hAnsiTheme="minorHAnsi" w:cstheme="minorHAnsi"/>
          <w:bCs/>
        </w:rPr>
        <w:t xml:space="preserve"> legate de lichidități</w:t>
      </w:r>
      <w:r w:rsidR="006E6536" w:rsidRPr="00166A39">
        <w:rPr>
          <w:rFonts w:asciiTheme="minorHAnsi" w:hAnsiTheme="minorHAnsi" w:cstheme="minorHAnsi"/>
          <w:bCs/>
        </w:rPr>
        <w:t>le bugetului de stat</w:t>
      </w:r>
      <w:r w:rsidRPr="00166A39">
        <w:rPr>
          <w:rFonts w:asciiTheme="minorHAnsi" w:hAnsiTheme="minorHAnsi" w:cstheme="minorHAnsi"/>
          <w:bCs/>
        </w:rPr>
        <w:t>, Ministerul Finanțelor va menține pe termen mediu rezerv</w:t>
      </w:r>
      <w:r w:rsidR="00494D8C" w:rsidRPr="00166A39">
        <w:rPr>
          <w:rFonts w:asciiTheme="minorHAnsi" w:hAnsiTheme="minorHAnsi" w:cstheme="minorHAnsi"/>
          <w:bCs/>
        </w:rPr>
        <w:t>a</w:t>
      </w:r>
      <w:r w:rsidRPr="00166A39">
        <w:rPr>
          <w:rFonts w:asciiTheme="minorHAnsi" w:hAnsiTheme="minorHAnsi" w:cstheme="minorHAnsi"/>
          <w:bCs/>
        </w:rPr>
        <w:t xml:space="preserve"> de lichidități</w:t>
      </w:r>
      <w:r w:rsidR="00D12C27" w:rsidRPr="00166A39">
        <w:rPr>
          <w:rFonts w:asciiTheme="minorHAnsi" w:hAnsiTheme="minorHAnsi" w:cstheme="minorHAnsi"/>
          <w:bCs/>
        </w:rPr>
        <w:t xml:space="preserve"> în monedă națională</w:t>
      </w:r>
      <w:r w:rsidRPr="00166A39">
        <w:rPr>
          <w:rFonts w:asciiTheme="minorHAnsi" w:hAnsiTheme="minorHAnsi" w:cstheme="minorHAnsi"/>
          <w:bCs/>
        </w:rPr>
        <w:t xml:space="preserve"> (cash </w:t>
      </w:r>
      <w:r w:rsidRPr="00166A39">
        <w:rPr>
          <w:rFonts w:asciiTheme="minorHAnsi" w:hAnsiTheme="minorHAnsi" w:cstheme="minorHAnsi"/>
          <w:bCs/>
        </w:rPr>
        <w:lastRenderedPageBreak/>
        <w:t>buffer)</w:t>
      </w:r>
      <w:r w:rsidR="00826DB3" w:rsidRPr="00166A39">
        <w:rPr>
          <w:rFonts w:asciiTheme="minorHAnsi" w:hAnsiTheme="minorHAnsi" w:cstheme="minorHAnsi"/>
          <w:bCs/>
        </w:rPr>
        <w:t xml:space="preserve"> și va asigura completarea acesteia până la atingerea plafonului de 2 000,0 mil. lei</w:t>
      </w:r>
      <w:r w:rsidRPr="00166A39">
        <w:rPr>
          <w:rFonts w:asciiTheme="minorHAnsi" w:hAnsiTheme="minorHAnsi" w:cstheme="minorHAnsi"/>
          <w:bCs/>
        </w:rPr>
        <w:t>. Rezerva dată nu va implica costuri adiționale pentru deservirea datoriei de stat și nu va putea fi utilizată pentru finanțarea deficitului bugetar</w:t>
      </w:r>
      <w:r w:rsidR="00037B4D" w:rsidRPr="00166A39">
        <w:rPr>
          <w:rFonts w:asciiTheme="minorHAnsi" w:hAnsiTheme="minorHAnsi" w:cstheme="minorHAnsi"/>
          <w:bCs/>
        </w:rPr>
        <w:t>, cu excepția unor situații stabilite în Legea finanțelor publice și responsabilității bugetar-fiscale.</w:t>
      </w:r>
    </w:p>
    <w:p w14:paraId="09BB094D" w14:textId="2285A83D" w:rsidR="00107AD8" w:rsidRPr="002B0694" w:rsidRDefault="00BF2003" w:rsidP="00037B4D">
      <w:pPr>
        <w:ind w:firstLine="567"/>
        <w:jc w:val="both"/>
        <w:rPr>
          <w:rFonts w:asciiTheme="minorHAnsi" w:hAnsiTheme="minorHAnsi" w:cstheme="minorHAnsi"/>
          <w:bCs/>
        </w:rPr>
      </w:pPr>
      <w:r w:rsidRPr="00166A39">
        <w:rPr>
          <w:rFonts w:asciiTheme="minorHAnsi" w:hAnsiTheme="minorHAnsi" w:cstheme="minorHAnsi"/>
          <w:bCs/>
        </w:rPr>
        <w:t xml:space="preserve">De asemenea, în scopul </w:t>
      </w:r>
      <w:r w:rsidR="006E6536" w:rsidRPr="00166A39">
        <w:rPr>
          <w:rFonts w:asciiTheme="minorHAnsi" w:hAnsiTheme="minorHAnsi" w:cstheme="minorHAnsi"/>
          <w:bCs/>
        </w:rPr>
        <w:t>consolidării și extinderii curbei de randament</w:t>
      </w:r>
      <w:r w:rsidR="00673A3E" w:rsidRPr="00166A39">
        <w:rPr>
          <w:rFonts w:asciiTheme="minorHAnsi" w:hAnsiTheme="minorHAnsi" w:cstheme="minorHAnsi"/>
          <w:bCs/>
        </w:rPr>
        <w:t>e pe piața internă a VMS</w:t>
      </w:r>
      <w:r w:rsidR="00055AB4" w:rsidRPr="00166A39">
        <w:rPr>
          <w:rFonts w:asciiTheme="minorHAnsi" w:hAnsiTheme="minorHAnsi" w:cstheme="minorHAnsi"/>
          <w:bCs/>
        </w:rPr>
        <w:t xml:space="preserve"> și</w:t>
      </w:r>
      <w:r w:rsidR="00673A3E" w:rsidRPr="00166A39">
        <w:rPr>
          <w:rFonts w:asciiTheme="minorHAnsi" w:hAnsiTheme="minorHAnsi" w:cstheme="minorHAnsi"/>
          <w:bCs/>
        </w:rPr>
        <w:t xml:space="preserve"> consolidării</w:t>
      </w:r>
      <w:r w:rsidR="000E1111" w:rsidRPr="00166A39">
        <w:rPr>
          <w:rFonts w:asciiTheme="minorHAnsi" w:hAnsiTheme="minorHAnsi" w:cstheme="minorHAnsi"/>
          <w:bCs/>
        </w:rPr>
        <w:t xml:space="preserve"> portofoliului de datorie</w:t>
      </w:r>
      <w:r w:rsidRPr="00166A39">
        <w:rPr>
          <w:rFonts w:asciiTheme="minorHAnsi" w:hAnsiTheme="minorHAnsi" w:cstheme="minorHAnsi"/>
          <w:bCs/>
        </w:rPr>
        <w:t xml:space="preserve">, Ministerul Finanțelor </w:t>
      </w:r>
      <w:r w:rsidR="00055AB4" w:rsidRPr="00166A39">
        <w:rPr>
          <w:rFonts w:asciiTheme="minorHAnsi" w:hAnsiTheme="minorHAnsi" w:cstheme="minorHAnsi"/>
          <w:bCs/>
        </w:rPr>
        <w:t xml:space="preserve">va </w:t>
      </w:r>
      <w:r w:rsidR="00E269A6" w:rsidRPr="00166A39">
        <w:rPr>
          <w:rFonts w:asciiTheme="minorHAnsi" w:hAnsiTheme="minorHAnsi" w:cstheme="minorHAnsi"/>
          <w:bCs/>
        </w:rPr>
        <w:t>continua</w:t>
      </w:r>
      <w:r w:rsidR="000E1111" w:rsidRPr="00166A39">
        <w:rPr>
          <w:rFonts w:asciiTheme="minorHAnsi" w:hAnsiTheme="minorHAnsi" w:cstheme="minorHAnsi"/>
          <w:bCs/>
        </w:rPr>
        <w:t xml:space="preserve"> operațiuni</w:t>
      </w:r>
      <w:r w:rsidR="00E269A6" w:rsidRPr="00166A39">
        <w:rPr>
          <w:rFonts w:asciiTheme="minorHAnsi" w:hAnsiTheme="minorHAnsi" w:cstheme="minorHAnsi"/>
          <w:bCs/>
        </w:rPr>
        <w:t>le</w:t>
      </w:r>
      <w:r w:rsidR="000E1111" w:rsidRPr="00166A39">
        <w:rPr>
          <w:rFonts w:asciiTheme="minorHAnsi" w:hAnsiTheme="minorHAnsi" w:cstheme="minorHAnsi"/>
          <w:bCs/>
        </w:rPr>
        <w:t xml:space="preserve"> de redeschidere a valorilor mobiliare de stat</w:t>
      </w:r>
      <w:r w:rsidR="00E269A6" w:rsidRPr="00166A39">
        <w:rPr>
          <w:rFonts w:asciiTheme="minorHAnsi" w:hAnsiTheme="minorHAnsi" w:cstheme="minorHAnsi"/>
          <w:bCs/>
        </w:rPr>
        <w:t>.</w:t>
      </w:r>
    </w:p>
    <w:p w14:paraId="67607CC0" w14:textId="08EC1B35" w:rsidR="00ED4885" w:rsidRPr="00166A39" w:rsidRDefault="000E1111" w:rsidP="00ED4885">
      <w:pPr>
        <w:tabs>
          <w:tab w:val="left" w:pos="3559"/>
        </w:tabs>
        <w:spacing w:line="259" w:lineRule="auto"/>
        <w:ind w:firstLine="567"/>
        <w:jc w:val="both"/>
        <w:rPr>
          <w:rFonts w:asciiTheme="minorHAnsi" w:hAnsiTheme="minorHAnsi" w:cstheme="minorHAnsi"/>
          <w:bCs/>
        </w:rPr>
      </w:pPr>
      <w:r w:rsidRPr="00166A39">
        <w:rPr>
          <w:rFonts w:asciiTheme="minorHAnsi" w:hAnsiTheme="minorHAnsi" w:cstheme="minorHAnsi"/>
          <w:bCs/>
        </w:rPr>
        <w:t xml:space="preserve">În </w:t>
      </w:r>
      <w:r w:rsidR="00494D8C" w:rsidRPr="00166A39">
        <w:rPr>
          <w:rFonts w:asciiTheme="minorHAnsi" w:hAnsiTheme="minorHAnsi" w:cstheme="minorHAnsi"/>
          <w:bCs/>
        </w:rPr>
        <w:t>scopul implementării</w:t>
      </w:r>
      <w:r w:rsidRPr="00166A39">
        <w:rPr>
          <w:rFonts w:asciiTheme="minorHAnsi" w:hAnsiTheme="minorHAnsi" w:cstheme="minorHAnsi"/>
          <w:bCs/>
        </w:rPr>
        <w:t xml:space="preserve"> </w:t>
      </w:r>
      <w:r w:rsidR="00494D8C" w:rsidRPr="00166A39">
        <w:rPr>
          <w:rFonts w:asciiTheme="minorHAnsi" w:hAnsiTheme="minorHAnsi" w:cstheme="minorHAnsi"/>
          <w:bCs/>
        </w:rPr>
        <w:t xml:space="preserve">prevederilor </w:t>
      </w:r>
      <w:r w:rsidRPr="00166A39">
        <w:rPr>
          <w:rFonts w:asciiTheme="minorHAnsi" w:hAnsiTheme="minorHAnsi" w:cstheme="minorHAnsi"/>
          <w:bCs/>
        </w:rPr>
        <w:t>Programul</w:t>
      </w:r>
      <w:r w:rsidR="007A5AC3" w:rsidRPr="00166A39">
        <w:rPr>
          <w:rFonts w:asciiTheme="minorHAnsi" w:hAnsiTheme="minorHAnsi" w:cstheme="minorHAnsi"/>
          <w:bCs/>
        </w:rPr>
        <w:t xml:space="preserve"> </w:t>
      </w:r>
      <w:r w:rsidRPr="00166A39">
        <w:rPr>
          <w:rFonts w:asciiTheme="minorHAnsi" w:hAnsiTheme="minorHAnsi" w:cstheme="minorHAnsi"/>
          <w:bCs/>
        </w:rPr>
        <w:t>”Managementul Datoriei de stat pe termen mediu (201</w:t>
      </w:r>
      <w:r w:rsidR="00494D8C" w:rsidRPr="00166A39">
        <w:rPr>
          <w:rFonts w:asciiTheme="minorHAnsi" w:hAnsiTheme="minorHAnsi" w:cstheme="minorHAnsi"/>
          <w:bCs/>
        </w:rPr>
        <w:t>8</w:t>
      </w:r>
      <w:r w:rsidRPr="00166A39">
        <w:rPr>
          <w:rFonts w:asciiTheme="minorHAnsi" w:hAnsiTheme="minorHAnsi" w:cstheme="minorHAnsi"/>
          <w:bCs/>
        </w:rPr>
        <w:t>-20</w:t>
      </w:r>
      <w:r w:rsidR="00494D8C" w:rsidRPr="00166A39">
        <w:rPr>
          <w:rFonts w:asciiTheme="minorHAnsi" w:hAnsiTheme="minorHAnsi" w:cstheme="minorHAnsi"/>
          <w:bCs/>
        </w:rPr>
        <w:t>20</w:t>
      </w:r>
      <w:r w:rsidRPr="00166A39">
        <w:rPr>
          <w:rFonts w:asciiTheme="minorHAnsi" w:hAnsiTheme="minorHAnsi" w:cstheme="minorHAnsi"/>
          <w:bCs/>
        </w:rPr>
        <w:t>)”,</w:t>
      </w:r>
      <w:r w:rsidR="00494D8C" w:rsidRPr="00166A39">
        <w:rPr>
          <w:rFonts w:asciiTheme="minorHAnsi" w:hAnsiTheme="minorHAnsi" w:cstheme="minorHAnsi"/>
          <w:bCs/>
        </w:rPr>
        <w:t xml:space="preserve"> Direcția datorii publice a elaborat</w:t>
      </w:r>
      <w:r w:rsidRPr="00166A39">
        <w:rPr>
          <w:rFonts w:asciiTheme="minorHAnsi" w:hAnsiTheme="minorHAnsi" w:cstheme="minorHAnsi"/>
          <w:bCs/>
        </w:rPr>
        <w:t xml:space="preserve"> Planul de gestionare a riscului operațional și de continuitate a activităților aferente managementului datoriei de stat pentru anul 2018. Documentul stabilește principalele măsuri de reacție la riscurile operaționale, urmărindu-se în același timp diminuarea probabilității de apariție ulterioară a acestora. </w:t>
      </w:r>
      <w:r w:rsidR="00117ACE" w:rsidRPr="00166A39">
        <w:rPr>
          <w:rFonts w:asciiTheme="minorHAnsi" w:hAnsiTheme="minorHAnsi" w:cstheme="minorHAnsi"/>
          <w:bCs/>
        </w:rPr>
        <w:t xml:space="preserve">În acest sens, colaboratorii subdiviziunii urmează să implementeze și să se ghideze în activitatea sa de reacțiile de răspuns și strategiile de diminuare a riscurilor identificate. </w:t>
      </w:r>
      <w:r w:rsidRPr="00166A39">
        <w:rPr>
          <w:rFonts w:asciiTheme="minorHAnsi" w:hAnsiTheme="minorHAnsi" w:cstheme="minorHAnsi"/>
          <w:bCs/>
        </w:rPr>
        <w:t xml:space="preserve">Documentul respectiv va fi revizuit pentru perioada anului 2019, odată cu actualizarea activităților din Planul de </w:t>
      </w:r>
      <w:r w:rsidR="00117ACE" w:rsidRPr="00166A39">
        <w:rPr>
          <w:rFonts w:asciiTheme="minorHAnsi" w:hAnsiTheme="minorHAnsi" w:cstheme="minorHAnsi"/>
          <w:bCs/>
        </w:rPr>
        <w:t>acțiuni al subdiviziunii</w:t>
      </w:r>
      <w:r w:rsidRPr="00166A39">
        <w:rPr>
          <w:rFonts w:asciiTheme="minorHAnsi" w:hAnsiTheme="minorHAnsi" w:cstheme="minorHAnsi"/>
          <w:bCs/>
        </w:rPr>
        <w:t xml:space="preserve"> pentru anul 2019.</w:t>
      </w:r>
    </w:p>
    <w:p w14:paraId="3E95BA79" w14:textId="77777777" w:rsidR="000552FE" w:rsidRPr="00FB0BE5" w:rsidRDefault="000552FE" w:rsidP="000552FE">
      <w:pPr>
        <w:pStyle w:val="Heading1"/>
        <w:numPr>
          <w:ilvl w:val="0"/>
          <w:numId w:val="10"/>
        </w:numPr>
        <w:rPr>
          <w:rFonts w:asciiTheme="minorHAnsi" w:hAnsiTheme="minorHAnsi"/>
        </w:rPr>
      </w:pPr>
      <w:bookmarkStart w:id="16" w:name="_Toc498455212"/>
      <w:bookmarkStart w:id="17" w:name="_Toc498612427"/>
      <w:r w:rsidRPr="00FB0BE5">
        <w:rPr>
          <w:rFonts w:asciiTheme="minorHAnsi" w:hAnsiTheme="minorHAnsi"/>
        </w:rPr>
        <w:t xml:space="preserve">Riscuri </w:t>
      </w:r>
      <w:r w:rsidR="00455067" w:rsidRPr="00FB0BE5">
        <w:rPr>
          <w:rStyle w:val="IntenseEmphasis"/>
          <w:rFonts w:asciiTheme="minorHAnsi" w:hAnsiTheme="minorHAnsi" w:cstheme="minorHAnsi"/>
          <w:b/>
          <w:i w:val="0"/>
          <w:iCs w:val="0"/>
          <w:color w:val="365F91" w:themeColor="accent1" w:themeShade="BF"/>
        </w:rPr>
        <w:t>bugetar-fiscale</w:t>
      </w:r>
      <w:r w:rsidRPr="00FB0BE5">
        <w:rPr>
          <w:rFonts w:asciiTheme="minorHAnsi" w:hAnsiTheme="minorHAnsi"/>
        </w:rPr>
        <w:t xml:space="preserve"> implicite</w:t>
      </w:r>
      <w:bookmarkEnd w:id="16"/>
      <w:bookmarkEnd w:id="17"/>
    </w:p>
    <w:p w14:paraId="111F79F1" w14:textId="77777777" w:rsidR="000235A5" w:rsidRPr="00FB0BE5" w:rsidRDefault="000235A5" w:rsidP="000235A5"/>
    <w:p w14:paraId="7F95DF0D" w14:textId="77777777" w:rsidR="00424AC9" w:rsidRPr="00FB0BE5" w:rsidRDefault="000552FE" w:rsidP="00424AC9">
      <w:pPr>
        <w:pStyle w:val="Heading2"/>
        <w:numPr>
          <w:ilvl w:val="1"/>
          <w:numId w:val="12"/>
        </w:numPr>
        <w:tabs>
          <w:tab w:val="left" w:pos="567"/>
          <w:tab w:val="left" w:pos="1134"/>
        </w:tabs>
        <w:spacing w:before="0"/>
        <w:ind w:left="0" w:firstLine="567"/>
        <w:rPr>
          <w:rFonts w:asciiTheme="minorHAnsi" w:hAnsiTheme="minorHAnsi" w:cstheme="minorHAnsi"/>
          <w:sz w:val="24"/>
          <w:szCs w:val="24"/>
        </w:rPr>
      </w:pPr>
      <w:bookmarkStart w:id="18" w:name="_Toc498455213"/>
      <w:bookmarkStart w:id="19" w:name="_Toc498612428"/>
      <w:r w:rsidRPr="00FB0BE5">
        <w:rPr>
          <w:rFonts w:asciiTheme="minorHAnsi" w:hAnsiTheme="minorHAnsi" w:cstheme="minorHAnsi"/>
          <w:sz w:val="24"/>
          <w:szCs w:val="24"/>
        </w:rPr>
        <w:t>Riscuri, asociate bugetelor locale</w:t>
      </w:r>
      <w:bookmarkEnd w:id="18"/>
      <w:bookmarkEnd w:id="19"/>
    </w:p>
    <w:p w14:paraId="339AE105" w14:textId="77777777" w:rsidR="00424AC9" w:rsidRPr="00FB0BE5" w:rsidRDefault="00424AC9" w:rsidP="00424AC9">
      <w:pPr>
        <w:ind w:firstLine="567"/>
        <w:rPr>
          <w:rFonts w:asciiTheme="minorHAnsi" w:hAnsiTheme="minorHAnsi" w:cstheme="minorHAnsi"/>
        </w:rPr>
      </w:pPr>
    </w:p>
    <w:p w14:paraId="57B75ADA" w14:textId="77777777" w:rsidR="00424AC9" w:rsidRPr="00FB0BE5" w:rsidRDefault="000552FE" w:rsidP="00424AC9">
      <w:pPr>
        <w:pStyle w:val="Heading3"/>
        <w:spacing w:before="0"/>
        <w:ind w:firstLine="567"/>
        <w:jc w:val="both"/>
        <w:rPr>
          <w:rFonts w:asciiTheme="minorHAnsi" w:hAnsiTheme="minorHAnsi" w:cstheme="minorHAnsi"/>
          <w:b w:val="0"/>
          <w:i/>
          <w:color w:val="auto"/>
        </w:rPr>
      </w:pPr>
      <w:bookmarkStart w:id="20" w:name="_Toc498455214"/>
      <w:r w:rsidRPr="00FB0BE5">
        <w:rPr>
          <w:rFonts w:asciiTheme="minorHAnsi" w:hAnsiTheme="minorHAnsi" w:cstheme="minorHAnsi"/>
          <w:b w:val="0"/>
          <w:i/>
          <w:color w:val="auto"/>
        </w:rPr>
        <w:t>Riscurile asociate bugetelor APL sunt de diversă natură și pot fi atât implicite, cât și explicite, dar pentru a crea o imagine completă aspra situației în domeniul APL, acestea sunt prezentate într-un singur capitol. În prezenta Notă, riscurile asociate bugetelor locale sunt prezentate separat. Pe viitor se propune identificarea posibil</w:t>
      </w:r>
      <w:r w:rsidR="008548D6" w:rsidRPr="00FB0BE5">
        <w:rPr>
          <w:rFonts w:asciiTheme="minorHAnsi" w:hAnsiTheme="minorHAnsi" w:cstheme="minorHAnsi"/>
          <w:b w:val="0"/>
          <w:i/>
          <w:color w:val="auto"/>
        </w:rPr>
        <w:t>e</w:t>
      </w:r>
      <w:r w:rsidRPr="00FB0BE5">
        <w:rPr>
          <w:rFonts w:asciiTheme="minorHAnsi" w:hAnsiTheme="minorHAnsi" w:cstheme="minorHAnsi"/>
          <w:b w:val="0"/>
          <w:i/>
          <w:color w:val="auto"/>
        </w:rPr>
        <w:t>lor corelări între aceste riscuri și o prezentare din perspectiva impactului potențial a diferitor riscuri.</w:t>
      </w:r>
      <w:bookmarkEnd w:id="20"/>
    </w:p>
    <w:p w14:paraId="30253576" w14:textId="77777777" w:rsidR="006538EE" w:rsidRPr="00FB0BE5" w:rsidRDefault="006538EE" w:rsidP="006538EE">
      <w:pPr>
        <w:ind w:firstLine="567"/>
        <w:jc w:val="both"/>
        <w:rPr>
          <w:rFonts w:asciiTheme="minorHAnsi" w:hAnsiTheme="minorHAnsi" w:cstheme="minorHAnsi"/>
          <w:i/>
        </w:rPr>
      </w:pPr>
      <w:r w:rsidRPr="00FB0BE5">
        <w:rPr>
          <w:rFonts w:asciiTheme="minorHAnsi" w:hAnsiTheme="minorHAnsi" w:cstheme="minorHAnsi"/>
          <w:i/>
        </w:rPr>
        <w:t xml:space="preserve">Privite în parte, fiecare domeniu care ar putea reprezenta un risc pentru bugetele locale, și implicit pentru bugetul de stat, </w:t>
      </w:r>
      <w:r w:rsidR="000552FE" w:rsidRPr="00FB0BE5">
        <w:rPr>
          <w:rFonts w:asciiTheme="minorHAnsi" w:hAnsiTheme="minorHAnsi" w:cstheme="minorHAnsi"/>
          <w:b/>
          <w:i/>
        </w:rPr>
        <w:t>acestea nu reprezintă un impact semnificativ</w:t>
      </w:r>
      <w:r w:rsidRPr="00FB0BE5">
        <w:rPr>
          <w:rFonts w:asciiTheme="minorHAnsi" w:hAnsiTheme="minorHAnsi" w:cstheme="minorHAnsi"/>
          <w:i/>
        </w:rPr>
        <w:t>. Însă multitudinea acestor domenii, ar putea crește riscul per ansamblu pentru bugetele locale. Anume din aceste considerente, un management prudent al fiecărui sector, și implementarea măsurilor de atenuare a riscurilor ar reduce la minimum impactul acestor riscuri.</w:t>
      </w:r>
    </w:p>
    <w:p w14:paraId="1E80C8A9" w14:textId="77777777" w:rsidR="000552FE" w:rsidRPr="00FB0BE5" w:rsidRDefault="000552FE" w:rsidP="000552FE">
      <w:pPr>
        <w:rPr>
          <w:b/>
        </w:rPr>
      </w:pPr>
    </w:p>
    <w:p w14:paraId="4D9EB83C" w14:textId="77777777" w:rsidR="00424AC9" w:rsidRPr="00FB0BE5" w:rsidRDefault="00424AC9" w:rsidP="00424AC9"/>
    <w:p w14:paraId="5D0EC284" w14:textId="77777777" w:rsidR="00424AC9" w:rsidRPr="00FB0BE5" w:rsidRDefault="00424AC9" w:rsidP="00424AC9">
      <w:pPr>
        <w:pStyle w:val="Heading3"/>
        <w:spacing w:before="0"/>
        <w:ind w:firstLine="567"/>
        <w:rPr>
          <w:rFonts w:asciiTheme="minorHAnsi" w:hAnsiTheme="minorHAnsi" w:cstheme="minorHAnsi"/>
        </w:rPr>
      </w:pPr>
      <w:bookmarkStart w:id="21" w:name="_Toc498455215"/>
      <w:r w:rsidRPr="00FB0BE5">
        <w:rPr>
          <w:rFonts w:asciiTheme="minorHAnsi" w:hAnsiTheme="minorHAnsi" w:cstheme="minorHAnsi"/>
        </w:rPr>
        <w:t>2.1.1. Prognoza transferurilor către APL</w:t>
      </w:r>
      <w:bookmarkEnd w:id="21"/>
    </w:p>
    <w:p w14:paraId="1A49314D" w14:textId="77777777" w:rsidR="00424AC9" w:rsidRPr="00FB0BE5" w:rsidRDefault="00424AC9" w:rsidP="00424AC9">
      <w:pPr>
        <w:ind w:firstLine="567"/>
      </w:pPr>
    </w:p>
    <w:p w14:paraId="04F5074E" w14:textId="57161289" w:rsidR="00424AC9" w:rsidRPr="00794B9F" w:rsidRDefault="000E1111" w:rsidP="00424AC9">
      <w:pPr>
        <w:pStyle w:val="ListParagraph"/>
        <w:ind w:left="0" w:firstLine="567"/>
        <w:jc w:val="both"/>
        <w:rPr>
          <w:rFonts w:asciiTheme="minorHAnsi" w:hAnsiTheme="minorHAnsi" w:cstheme="minorHAnsi"/>
          <w:sz w:val="24"/>
          <w:szCs w:val="24"/>
        </w:rPr>
      </w:pPr>
      <w:r w:rsidRPr="00166A39">
        <w:rPr>
          <w:rFonts w:asciiTheme="minorHAnsi" w:hAnsiTheme="minorHAnsi" w:cstheme="minorHAnsi"/>
          <w:sz w:val="24"/>
          <w:szCs w:val="24"/>
        </w:rPr>
        <w:t xml:space="preserve">În perioada 2011-2017 ritmul mediu anual de creștere a volumului veniturilor totale ale bugetelor locale constituie </w:t>
      </w:r>
      <w:r w:rsidR="00794B9F" w:rsidRPr="00166A39">
        <w:rPr>
          <w:rFonts w:asciiTheme="minorHAnsi" w:hAnsiTheme="minorHAnsi" w:cstheme="minorHAnsi"/>
          <w:sz w:val="24"/>
          <w:szCs w:val="24"/>
        </w:rPr>
        <w:t>10</w:t>
      </w:r>
      <w:r w:rsidRPr="00166A39">
        <w:rPr>
          <w:rFonts w:asciiTheme="minorHAnsi" w:hAnsiTheme="minorHAnsi" w:cstheme="minorHAnsi"/>
          <w:sz w:val="24"/>
          <w:szCs w:val="24"/>
        </w:rPr>
        <w:t xml:space="preserve">%, pe când ritmul mediu de creștere a volumului transferurilor de la bugetul de stat constituie </w:t>
      </w:r>
      <w:r w:rsidR="00794B9F" w:rsidRPr="00166A39">
        <w:rPr>
          <w:rFonts w:asciiTheme="minorHAnsi" w:hAnsiTheme="minorHAnsi" w:cstheme="minorHAnsi"/>
          <w:sz w:val="24"/>
          <w:szCs w:val="24"/>
        </w:rPr>
        <w:t>15,6</w:t>
      </w:r>
      <w:r w:rsidRPr="00166A39">
        <w:rPr>
          <w:rFonts w:asciiTheme="minorHAnsi" w:hAnsiTheme="minorHAnsi" w:cstheme="minorHAnsi"/>
          <w:sz w:val="24"/>
          <w:szCs w:val="24"/>
        </w:rPr>
        <w:t>%. Drept rezultat, are loc o redimensionare a structurii părții de venituri a bugetelor locale prin creșterea ponderii transferurilor cu 1</w:t>
      </w:r>
      <w:r w:rsidR="00794B9F" w:rsidRPr="00166A39">
        <w:rPr>
          <w:rFonts w:asciiTheme="minorHAnsi" w:hAnsiTheme="minorHAnsi" w:cstheme="minorHAnsi"/>
          <w:sz w:val="24"/>
          <w:szCs w:val="24"/>
        </w:rPr>
        <w:t>4</w:t>
      </w:r>
      <w:r w:rsidRPr="00166A39">
        <w:rPr>
          <w:rFonts w:asciiTheme="minorHAnsi" w:hAnsiTheme="minorHAnsi" w:cstheme="minorHAnsi"/>
          <w:sz w:val="24"/>
          <w:szCs w:val="24"/>
        </w:rPr>
        <w:t>,</w:t>
      </w:r>
      <w:r w:rsidR="00794B9F" w:rsidRPr="00166A39">
        <w:rPr>
          <w:rFonts w:asciiTheme="minorHAnsi" w:hAnsiTheme="minorHAnsi" w:cstheme="minorHAnsi"/>
          <w:sz w:val="24"/>
          <w:szCs w:val="24"/>
        </w:rPr>
        <w:t>2</w:t>
      </w:r>
      <w:r w:rsidRPr="00166A39">
        <w:rPr>
          <w:rFonts w:asciiTheme="minorHAnsi" w:hAnsiTheme="minorHAnsi" w:cstheme="minorHAnsi"/>
          <w:sz w:val="24"/>
          <w:szCs w:val="24"/>
        </w:rPr>
        <w:t xml:space="preserve"> </w:t>
      </w:r>
      <w:r w:rsidR="00794B9F" w:rsidRPr="00166A39">
        <w:rPr>
          <w:rFonts w:asciiTheme="minorHAnsi" w:hAnsiTheme="minorHAnsi" w:cstheme="minorHAnsi"/>
          <w:sz w:val="24"/>
          <w:szCs w:val="24"/>
        </w:rPr>
        <w:t>p.p.</w:t>
      </w:r>
      <w:r w:rsidRPr="00166A39">
        <w:rPr>
          <w:rFonts w:asciiTheme="minorHAnsi" w:hAnsiTheme="minorHAnsi" w:cstheme="minorHAnsi"/>
          <w:sz w:val="24"/>
          <w:szCs w:val="24"/>
        </w:rPr>
        <w:t xml:space="preserve"> (de la 56,8% în 2011 la </w:t>
      </w:r>
      <w:r w:rsidR="00794B9F" w:rsidRPr="00166A39">
        <w:rPr>
          <w:rFonts w:asciiTheme="minorHAnsi" w:hAnsiTheme="minorHAnsi" w:cstheme="minorHAnsi"/>
          <w:sz w:val="24"/>
          <w:szCs w:val="24"/>
        </w:rPr>
        <w:t>71,0</w:t>
      </w:r>
      <w:r w:rsidRPr="00166A39">
        <w:rPr>
          <w:rFonts w:asciiTheme="minorHAnsi" w:hAnsiTheme="minorHAnsi" w:cstheme="minorHAnsi"/>
          <w:sz w:val="24"/>
          <w:szCs w:val="24"/>
        </w:rPr>
        <w:t>% în 201</w:t>
      </w:r>
      <w:r w:rsidR="00794B9F" w:rsidRPr="00166A39">
        <w:rPr>
          <w:rFonts w:asciiTheme="minorHAnsi" w:hAnsiTheme="minorHAnsi" w:cstheme="minorHAnsi"/>
          <w:sz w:val="24"/>
          <w:szCs w:val="24"/>
        </w:rPr>
        <w:t>7</w:t>
      </w:r>
      <w:r w:rsidRPr="00166A39">
        <w:rPr>
          <w:rFonts w:asciiTheme="minorHAnsi" w:hAnsiTheme="minorHAnsi" w:cstheme="minorHAnsi"/>
          <w:sz w:val="24"/>
          <w:szCs w:val="24"/>
        </w:rPr>
        <w:t>) în detrimentul veniturilor autonome (venituri proprii și venituri partajate). Disparitatea în cauză este și mai mare în anul 2017 urmare a majorării volumului transferurilor de la bugetul de stat destinate infrastructurii drumurilor publice locale.</w:t>
      </w:r>
    </w:p>
    <w:p w14:paraId="4725F4E1" w14:textId="04D1F31B" w:rsidR="00424AC9" w:rsidRPr="00FB0BE5" w:rsidRDefault="000E1111" w:rsidP="00424AC9">
      <w:pPr>
        <w:pStyle w:val="ListParagraph"/>
        <w:ind w:left="0" w:firstLine="567"/>
        <w:jc w:val="both"/>
        <w:rPr>
          <w:rFonts w:asciiTheme="minorHAnsi" w:hAnsiTheme="minorHAnsi" w:cstheme="minorHAnsi"/>
          <w:sz w:val="24"/>
          <w:szCs w:val="24"/>
        </w:rPr>
      </w:pPr>
      <w:r w:rsidRPr="00166A39">
        <w:rPr>
          <w:rFonts w:asciiTheme="minorHAnsi" w:hAnsiTheme="minorHAnsi" w:cstheme="minorHAnsi"/>
          <w:sz w:val="24"/>
          <w:szCs w:val="24"/>
        </w:rPr>
        <w:t xml:space="preserve">Transferurile de la bugetul de stat către bugetele autorităților publice locale reprezintă </w:t>
      </w:r>
      <w:r w:rsidR="00794B9F" w:rsidRPr="00166A39">
        <w:rPr>
          <w:rFonts w:asciiTheme="minorHAnsi" w:hAnsiTheme="minorHAnsi" w:cstheme="minorHAnsi"/>
          <w:sz w:val="24"/>
          <w:szCs w:val="24"/>
        </w:rPr>
        <w:t>71,0</w:t>
      </w:r>
      <w:r w:rsidRPr="00166A39">
        <w:rPr>
          <w:rFonts w:asciiTheme="minorHAnsi" w:hAnsiTheme="minorHAnsi" w:cstheme="minorHAnsi"/>
          <w:sz w:val="24"/>
          <w:szCs w:val="24"/>
        </w:rPr>
        <w:t>% din veniturile acestor bugete. În acest sens o supraestimare/subestimare a acestora reprezintă un risc semnificativ atât pentru bugetul de stat, cât și pentru bugetele locale.</w:t>
      </w:r>
      <w:r w:rsidR="00424AC9" w:rsidRPr="00FB0BE5">
        <w:rPr>
          <w:rFonts w:asciiTheme="minorHAnsi" w:hAnsiTheme="minorHAnsi" w:cstheme="minorHAnsi"/>
          <w:sz w:val="24"/>
          <w:szCs w:val="24"/>
        </w:rPr>
        <w:t xml:space="preserve"> </w:t>
      </w:r>
    </w:p>
    <w:p w14:paraId="163048C3" w14:textId="39BC09ED" w:rsidR="00424AC9" w:rsidRPr="00FB0BE5" w:rsidRDefault="00BC6227" w:rsidP="00424AC9">
      <w:pPr>
        <w:pStyle w:val="ListParagraph"/>
        <w:ind w:left="0" w:firstLine="567"/>
        <w:jc w:val="both"/>
        <w:rPr>
          <w:rFonts w:asciiTheme="minorHAnsi" w:hAnsiTheme="minorHAnsi" w:cstheme="minorHAnsi"/>
          <w:sz w:val="24"/>
          <w:szCs w:val="24"/>
        </w:rPr>
      </w:pPr>
      <w:r>
        <w:rPr>
          <w:rFonts w:asciiTheme="minorHAnsi" w:hAnsiTheme="minorHAnsi" w:cstheme="minorHAnsi"/>
          <w:noProof/>
          <w:sz w:val="24"/>
          <w:szCs w:val="24"/>
          <w:lang w:val="ru-RU" w:eastAsia="ru-RU"/>
        </w:rPr>
        <w:lastRenderedPageBreak/>
        <mc:AlternateContent>
          <mc:Choice Requires="wps">
            <w:drawing>
              <wp:anchor distT="0" distB="0" distL="114300" distR="114300" simplePos="0" relativeHeight="251660800" behindDoc="0" locked="0" layoutInCell="1" allowOverlap="1" wp14:anchorId="00C5F337" wp14:editId="46D2A2EB">
                <wp:simplePos x="0" y="0"/>
                <wp:positionH relativeFrom="column">
                  <wp:posOffset>-43180</wp:posOffset>
                </wp:positionH>
                <wp:positionV relativeFrom="paragraph">
                  <wp:posOffset>2102485</wp:posOffset>
                </wp:positionV>
                <wp:extent cx="5847080" cy="2619375"/>
                <wp:effectExtent l="0" t="0" r="0" b="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61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F5D33" w14:textId="77777777" w:rsidR="00017651" w:rsidRDefault="00017651" w:rsidP="00424AC9">
                            <w:pPr>
                              <w:pStyle w:val="ListParagraph"/>
                              <w:ind w:left="0"/>
                              <w:jc w:val="both"/>
                              <w:rPr>
                                <w:rFonts w:cstheme="minorHAnsi"/>
                                <w:b/>
                                <w:i/>
                                <w:color w:val="17365D" w:themeColor="text2" w:themeShade="BF"/>
                              </w:rPr>
                            </w:pPr>
                            <w:r w:rsidRPr="00166A39">
                              <w:rPr>
                                <w:rFonts w:cstheme="minorHAnsi"/>
                                <w:b/>
                                <w:i/>
                                <w:color w:val="17365D" w:themeColor="text2" w:themeShade="BF"/>
                              </w:rPr>
                              <w:t>Graficul 8. Devierea prognozelor transferurilor către APL comparativ cu executarea acestora</w:t>
                            </w:r>
                          </w:p>
                          <w:p w14:paraId="31A7566E" w14:textId="77777777" w:rsidR="00017651" w:rsidRDefault="00017651" w:rsidP="00424AC9">
                            <w:pPr>
                              <w:pStyle w:val="ListParagraph"/>
                              <w:ind w:left="0"/>
                              <w:jc w:val="both"/>
                              <w:rPr>
                                <w:rFonts w:cstheme="minorHAnsi"/>
                                <w:b/>
                                <w:i/>
                                <w:color w:val="17365D" w:themeColor="text2" w:themeShade="BF"/>
                              </w:rPr>
                            </w:pPr>
                            <w:r w:rsidRPr="00166A39">
                              <w:rPr>
                                <w:noProof/>
                                <w:lang w:val="ru-RU" w:eastAsia="ru-RU"/>
                              </w:rPr>
                              <w:drawing>
                                <wp:inline distT="0" distB="0" distL="0" distR="0" wp14:anchorId="0406EA70" wp14:editId="185C8CB4">
                                  <wp:extent cx="2676525" cy="2209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76525" cy="2209800"/>
                                          </a:xfrm>
                                          <a:prstGeom prst="rect">
                                            <a:avLst/>
                                          </a:prstGeom>
                                          <a:noFill/>
                                          <a:ln>
                                            <a:noFill/>
                                          </a:ln>
                                        </pic:spPr>
                                      </pic:pic>
                                    </a:graphicData>
                                  </a:graphic>
                                </wp:inline>
                              </w:drawing>
                            </w:r>
                            <w:r w:rsidRPr="00CC65F9">
                              <w:rPr>
                                <w:rFonts w:cstheme="minorHAnsi"/>
                                <w:b/>
                                <w:i/>
                                <w:color w:val="17365D" w:themeColor="text2" w:themeShade="BF"/>
                              </w:rPr>
                              <w:t xml:space="preserve"> </w:t>
                            </w:r>
                            <w:r w:rsidRPr="00166A39">
                              <w:rPr>
                                <w:noProof/>
                                <w:lang w:val="ru-RU" w:eastAsia="ru-RU"/>
                              </w:rPr>
                              <w:drawing>
                                <wp:inline distT="0" distB="0" distL="0" distR="0" wp14:anchorId="318E89D7" wp14:editId="444ADCA4">
                                  <wp:extent cx="2924175" cy="21907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p w14:paraId="7BAB78D3" w14:textId="77777777" w:rsidR="00017651" w:rsidRDefault="00017651" w:rsidP="00424AC9">
                            <w:pPr>
                              <w:pStyle w:val="ListParagraph"/>
                              <w:ind w:left="0"/>
                              <w:jc w:val="both"/>
                              <w:rPr>
                                <w:rFonts w:cstheme="minorHAnsi"/>
                                <w:b/>
                                <w:i/>
                                <w:color w:val="17365D" w:themeColor="text2" w:themeShade="BF"/>
                              </w:rPr>
                            </w:pPr>
                          </w:p>
                          <w:p w14:paraId="7C471FB3" w14:textId="5F834E22" w:rsidR="00017651" w:rsidRDefault="00017651" w:rsidP="00424AC9">
                            <w:pPr>
                              <w:pStyle w:val="ListParagraph"/>
                              <w:ind w:left="0"/>
                              <w:jc w:val="both"/>
                              <w:rPr>
                                <w:rFonts w:cstheme="minorHAnsi"/>
                                <w:b/>
                                <w:i/>
                                <w:color w:val="17365D" w:themeColor="text2"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C5F337" id="_x0000_s1034" type="#_x0000_t202" style="position:absolute;left:0;text-align:left;margin-left:-3.4pt;margin-top:165.55pt;width:460.4pt;height:20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Np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BpKE9vXAVe9wb8/ADb4BpTdeZO088OKX3TErXlV9bqvuWEQXhZOJmcHR1xXADZ&#10;9O80g2vIzusINDS2C7WDaiBAB5oeT9SEUChsThfFPF2AiYItn2Xlq3mMLiHV8bixzr/hukNhUmML&#10;3Ed4sr9zPoRDqqNLuM1pKdhaSBkXdru5kRbtCehkHb+YwTM3qYKz0uHYiDjuQJRwR7CFeCPvT2WW&#10;F+l1Xk7Ws8V8UqyL6aSEFCZpVl6Xs7Qoi9v1txBgVlStYIyrO6H4UYNZ8XccH7phVE9UIeprXE7z&#10;6cjRH5NM4/e7JDvhoSWl6Gq8ODmRKjD7WjFIm1SeCDnOk5/Dj1WGGhz/sSpRB4H6UQR+2AxRcYuj&#10;vDaaPYIwrAbagGJ4TmDSavsVox5as8buy45YjpF8q0BcZVYUoZfjopjOc1jYc8vm3EIUBagae4zG&#10;6Y0f+39nrNi2cNMoZ6WvQJCNiFIJyh2jOsgY2i/mdHgqQn+fr6PXjwdt9R0AAP//AwBQSwMEFAAG&#10;AAgAAAAhALN9igTfAAAACgEAAA8AAABkcnMvZG93bnJldi54bWxMj0FPg0AUhO8m/ofNM/Fi2gVB&#10;sMijURNNr639AQu7BSL7lrDbQv+9z5MeJzOZ+abcLnYQFzP53hFCvI5AGGqc7qlFOH59rJ5B+KBI&#10;q8GRQbgaD9vq9qZUhXYz7c3lEFrBJeQLhdCFMBZS+qYzVvm1Gw2xd3KTVYHl1Eo9qZnL7SAfoyiT&#10;VvXEC50azXtnmu/D2SKcdvPD02auP8Mx36fZm+rz2l0R7++W1xcQwSzhLwy/+IwOFTPV7kzaiwFh&#10;lTF5QEiSOAbBgU2c8rkaIU+TDGRVyv8Xqh8AAAD//wMAUEsBAi0AFAAGAAgAAAAhALaDOJL+AAAA&#10;4QEAABMAAAAAAAAAAAAAAAAAAAAAAFtDb250ZW50X1R5cGVzXS54bWxQSwECLQAUAAYACAAAACEA&#10;OP0h/9YAAACUAQAACwAAAAAAAAAAAAAAAAAvAQAAX3JlbHMvLnJlbHNQSwECLQAUAAYACAAAACEA&#10;gEQzaYUCAAAYBQAADgAAAAAAAAAAAAAAAAAuAgAAZHJzL2Uyb0RvYy54bWxQSwECLQAUAAYACAAA&#10;ACEAs32KBN8AAAAKAQAADwAAAAAAAAAAAAAAAADfBAAAZHJzL2Rvd25yZXYueG1sUEsFBgAAAAAE&#10;AAQA8wAAAOsFAAAAAA==&#10;" stroked="f">
                <v:textbox>
                  <w:txbxContent>
                    <w:p w14:paraId="7AFF5D33" w14:textId="77777777" w:rsidR="00017651" w:rsidRDefault="00017651" w:rsidP="00424AC9">
                      <w:pPr>
                        <w:pStyle w:val="ListParagraph"/>
                        <w:ind w:left="0"/>
                        <w:jc w:val="both"/>
                        <w:rPr>
                          <w:rFonts w:cstheme="minorHAnsi"/>
                          <w:b/>
                          <w:i/>
                          <w:color w:val="17365D" w:themeColor="text2" w:themeShade="BF"/>
                        </w:rPr>
                      </w:pPr>
                      <w:r w:rsidRPr="00166A39">
                        <w:rPr>
                          <w:rFonts w:cstheme="minorHAnsi"/>
                          <w:b/>
                          <w:i/>
                          <w:color w:val="17365D" w:themeColor="text2" w:themeShade="BF"/>
                        </w:rPr>
                        <w:t>Graficul 8. Devierea prognozelor transferurilor către APL comparativ cu executarea acestora</w:t>
                      </w:r>
                    </w:p>
                    <w:p w14:paraId="31A7566E" w14:textId="77777777" w:rsidR="00017651" w:rsidRDefault="00017651" w:rsidP="00424AC9">
                      <w:pPr>
                        <w:pStyle w:val="ListParagraph"/>
                        <w:ind w:left="0"/>
                        <w:jc w:val="both"/>
                        <w:rPr>
                          <w:rFonts w:cstheme="minorHAnsi"/>
                          <w:b/>
                          <w:i/>
                          <w:color w:val="17365D" w:themeColor="text2" w:themeShade="BF"/>
                        </w:rPr>
                      </w:pPr>
                      <w:r w:rsidRPr="00166A39">
                        <w:rPr>
                          <w:noProof/>
                          <w:lang w:val="ru-RU" w:eastAsia="ru-RU"/>
                        </w:rPr>
                        <w:drawing>
                          <wp:inline distT="0" distB="0" distL="0" distR="0" wp14:anchorId="0406EA70" wp14:editId="185C8CB4">
                            <wp:extent cx="2676525" cy="2209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76525" cy="2209800"/>
                                    </a:xfrm>
                                    <a:prstGeom prst="rect">
                                      <a:avLst/>
                                    </a:prstGeom>
                                    <a:noFill/>
                                    <a:ln>
                                      <a:noFill/>
                                    </a:ln>
                                  </pic:spPr>
                                </pic:pic>
                              </a:graphicData>
                            </a:graphic>
                          </wp:inline>
                        </w:drawing>
                      </w:r>
                      <w:r w:rsidRPr="00CC65F9">
                        <w:rPr>
                          <w:rFonts w:cstheme="minorHAnsi"/>
                          <w:b/>
                          <w:i/>
                          <w:color w:val="17365D" w:themeColor="text2" w:themeShade="BF"/>
                        </w:rPr>
                        <w:t xml:space="preserve"> </w:t>
                      </w:r>
                      <w:r w:rsidRPr="00166A39">
                        <w:rPr>
                          <w:noProof/>
                          <w:lang w:val="ru-RU" w:eastAsia="ru-RU"/>
                        </w:rPr>
                        <w:drawing>
                          <wp:inline distT="0" distB="0" distL="0" distR="0" wp14:anchorId="318E89D7" wp14:editId="444ADCA4">
                            <wp:extent cx="2924175" cy="21907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p w14:paraId="7BAB78D3" w14:textId="77777777" w:rsidR="00017651" w:rsidRDefault="00017651" w:rsidP="00424AC9">
                      <w:pPr>
                        <w:pStyle w:val="ListParagraph"/>
                        <w:ind w:left="0"/>
                        <w:jc w:val="both"/>
                        <w:rPr>
                          <w:rFonts w:cstheme="minorHAnsi"/>
                          <w:b/>
                          <w:i/>
                          <w:color w:val="17365D" w:themeColor="text2" w:themeShade="BF"/>
                        </w:rPr>
                      </w:pPr>
                    </w:p>
                    <w:p w14:paraId="7C471FB3" w14:textId="5F834E22" w:rsidR="00017651" w:rsidRDefault="00017651" w:rsidP="00424AC9">
                      <w:pPr>
                        <w:pStyle w:val="ListParagraph"/>
                        <w:ind w:left="0"/>
                        <w:jc w:val="both"/>
                        <w:rPr>
                          <w:rFonts w:cstheme="minorHAnsi"/>
                          <w:b/>
                          <w:i/>
                          <w:color w:val="17365D" w:themeColor="text2" w:themeShade="BF"/>
                        </w:rPr>
                      </w:pPr>
                    </w:p>
                  </w:txbxContent>
                </v:textbox>
                <w10:wrap type="square"/>
              </v:shape>
            </w:pict>
          </mc:Fallback>
        </mc:AlternateContent>
      </w:r>
      <w:r w:rsidR="00424AC9" w:rsidRPr="00FB0BE5">
        <w:rPr>
          <w:rFonts w:asciiTheme="minorHAnsi" w:hAnsiTheme="minorHAnsi" w:cstheme="minorHAnsi"/>
          <w:sz w:val="24"/>
          <w:szCs w:val="24"/>
        </w:rPr>
        <w:t xml:space="preserve">Analiza prognozelor transferurilor către bugetele locale ca % în PIB, și ca sume nominale, efectuate pe parcursul ultimilor </w:t>
      </w:r>
      <w:r w:rsidR="00CC65F9">
        <w:rPr>
          <w:rFonts w:asciiTheme="minorHAnsi" w:hAnsiTheme="minorHAnsi" w:cstheme="minorHAnsi"/>
          <w:sz w:val="24"/>
          <w:szCs w:val="24"/>
        </w:rPr>
        <w:t>7</w:t>
      </w:r>
      <w:r w:rsidR="00CC65F9" w:rsidRPr="00FB0BE5">
        <w:rPr>
          <w:rFonts w:asciiTheme="minorHAnsi" w:hAnsiTheme="minorHAnsi" w:cstheme="minorHAnsi"/>
          <w:sz w:val="24"/>
          <w:szCs w:val="24"/>
        </w:rPr>
        <w:t xml:space="preserve"> </w:t>
      </w:r>
      <w:r w:rsidR="00424AC9" w:rsidRPr="00FB0BE5">
        <w:rPr>
          <w:rFonts w:asciiTheme="minorHAnsi" w:hAnsiTheme="minorHAnsi" w:cstheme="minorHAnsi"/>
          <w:sz w:val="24"/>
          <w:szCs w:val="24"/>
        </w:rPr>
        <w:t>ani, de</w:t>
      </w:r>
      <w:r w:rsidR="006538EE" w:rsidRPr="00FB0BE5">
        <w:rPr>
          <w:rFonts w:asciiTheme="minorHAnsi" w:hAnsiTheme="minorHAnsi" w:cstheme="minorHAnsi"/>
          <w:sz w:val="24"/>
          <w:szCs w:val="24"/>
        </w:rPr>
        <w:t>notă</w:t>
      </w:r>
      <w:r w:rsidR="00424AC9" w:rsidRPr="00FB0BE5">
        <w:rPr>
          <w:rFonts w:asciiTheme="minorHAnsi" w:hAnsiTheme="minorHAnsi" w:cstheme="minorHAnsi"/>
          <w:sz w:val="24"/>
          <w:szCs w:val="24"/>
        </w:rPr>
        <w:t xml:space="preserve"> o </w:t>
      </w:r>
      <w:r w:rsidR="006538EE" w:rsidRPr="00FB0BE5">
        <w:rPr>
          <w:rFonts w:asciiTheme="minorHAnsi" w:hAnsiTheme="minorHAnsi" w:cstheme="minorHAnsi"/>
          <w:sz w:val="24"/>
          <w:szCs w:val="24"/>
        </w:rPr>
        <w:t xml:space="preserve">tendință clară de </w:t>
      </w:r>
      <w:r w:rsidR="00424AC9" w:rsidRPr="00FB0BE5">
        <w:rPr>
          <w:rFonts w:asciiTheme="minorHAnsi" w:hAnsiTheme="minorHAnsi" w:cstheme="minorHAnsi"/>
          <w:sz w:val="24"/>
          <w:szCs w:val="24"/>
        </w:rPr>
        <w:t xml:space="preserve">subestimare a acestora. Abateri mai mici de 1% în PIB se atestă în </w:t>
      </w:r>
      <w:r w:rsidR="00CC65F9">
        <w:rPr>
          <w:rFonts w:asciiTheme="minorHAnsi" w:hAnsiTheme="minorHAnsi" w:cstheme="minorHAnsi"/>
          <w:sz w:val="24"/>
          <w:szCs w:val="24"/>
        </w:rPr>
        <w:t>23</w:t>
      </w:r>
      <w:r w:rsidR="00424AC9" w:rsidRPr="00FB0BE5">
        <w:rPr>
          <w:rFonts w:asciiTheme="minorHAnsi" w:hAnsiTheme="minorHAnsi" w:cstheme="minorHAnsi"/>
          <w:sz w:val="24"/>
          <w:szCs w:val="24"/>
        </w:rPr>
        <w:t xml:space="preserve"> din 2</w:t>
      </w:r>
      <w:r w:rsidR="00CC65F9">
        <w:rPr>
          <w:rFonts w:asciiTheme="minorHAnsi" w:hAnsiTheme="minorHAnsi" w:cstheme="minorHAnsi"/>
          <w:sz w:val="24"/>
          <w:szCs w:val="24"/>
        </w:rPr>
        <w:t>6</w:t>
      </w:r>
      <w:r w:rsidR="00424AC9" w:rsidRPr="00FB0BE5">
        <w:rPr>
          <w:rFonts w:asciiTheme="minorHAnsi" w:hAnsiTheme="minorHAnsi" w:cstheme="minorHAnsi"/>
          <w:sz w:val="24"/>
          <w:szCs w:val="24"/>
        </w:rPr>
        <w:t xml:space="preserve"> de observații, ce denotă </w:t>
      </w:r>
      <w:r w:rsidR="000552FE" w:rsidRPr="00FB0BE5">
        <w:rPr>
          <w:rFonts w:asciiTheme="minorHAnsi" w:hAnsiTheme="minorHAnsi" w:cstheme="minorHAnsi"/>
          <w:b/>
          <w:i/>
          <w:sz w:val="24"/>
          <w:szCs w:val="24"/>
        </w:rPr>
        <w:t>un impact scăzut al riscului</w:t>
      </w:r>
      <w:r w:rsidR="00424AC9" w:rsidRPr="00FB0BE5">
        <w:rPr>
          <w:rFonts w:asciiTheme="minorHAnsi" w:hAnsiTheme="minorHAnsi" w:cstheme="minorHAnsi"/>
          <w:sz w:val="24"/>
          <w:szCs w:val="24"/>
        </w:rPr>
        <w:t xml:space="preserve"> (sub/supraestimarea volumului de transferuri), </w:t>
      </w:r>
      <w:r w:rsidR="000552FE" w:rsidRPr="00FB0BE5">
        <w:rPr>
          <w:rFonts w:asciiTheme="minorHAnsi" w:hAnsiTheme="minorHAnsi" w:cstheme="minorHAnsi"/>
          <w:b/>
          <w:i/>
          <w:sz w:val="24"/>
          <w:szCs w:val="24"/>
        </w:rPr>
        <w:t xml:space="preserve">și o probabilitate </w:t>
      </w:r>
      <w:r w:rsidR="009B3752" w:rsidRPr="00FB0BE5">
        <w:rPr>
          <w:rFonts w:asciiTheme="minorHAnsi" w:hAnsiTheme="minorHAnsi" w:cstheme="minorHAnsi"/>
          <w:b/>
          <w:i/>
          <w:sz w:val="24"/>
          <w:szCs w:val="24"/>
        </w:rPr>
        <w:t>î</w:t>
      </w:r>
      <w:r w:rsidR="000552FE" w:rsidRPr="00FB0BE5">
        <w:rPr>
          <w:rFonts w:asciiTheme="minorHAnsi" w:hAnsiTheme="minorHAnsi" w:cstheme="minorHAnsi"/>
          <w:b/>
          <w:i/>
          <w:sz w:val="24"/>
          <w:szCs w:val="24"/>
        </w:rPr>
        <w:t>nal</w:t>
      </w:r>
      <w:r w:rsidR="009B3752" w:rsidRPr="00FB0BE5">
        <w:rPr>
          <w:rFonts w:asciiTheme="minorHAnsi" w:hAnsiTheme="minorHAnsi" w:cstheme="minorHAnsi"/>
          <w:b/>
          <w:i/>
          <w:sz w:val="24"/>
          <w:szCs w:val="24"/>
        </w:rPr>
        <w:t>tă</w:t>
      </w:r>
      <w:r w:rsidR="00CC65F9">
        <w:rPr>
          <w:rFonts w:asciiTheme="minorHAnsi" w:hAnsiTheme="minorHAnsi" w:cstheme="minorHAnsi"/>
          <w:b/>
          <w:i/>
          <w:sz w:val="24"/>
          <w:szCs w:val="24"/>
        </w:rPr>
        <w:t xml:space="preserve"> </w:t>
      </w:r>
      <w:r w:rsidR="009B3752" w:rsidRPr="00FB0BE5">
        <w:rPr>
          <w:rFonts w:asciiTheme="minorHAnsi" w:hAnsiTheme="minorHAnsi" w:cstheme="minorHAnsi"/>
          <w:b/>
          <w:i/>
          <w:sz w:val="24"/>
          <w:szCs w:val="24"/>
        </w:rPr>
        <w:t>de subestimare a transferurilor</w:t>
      </w:r>
      <w:r w:rsidR="00424AC9" w:rsidRPr="00FB0BE5">
        <w:rPr>
          <w:rFonts w:asciiTheme="minorHAnsi" w:hAnsiTheme="minorHAnsi" w:cstheme="minorHAnsi"/>
          <w:sz w:val="24"/>
          <w:szCs w:val="24"/>
        </w:rPr>
        <w:t>. Cele mai semnificative subestimări au avut loc pentru anii 2014 și 2015 și se datorează reformării din anul 2014 a sistemului de relații interbugetare, cu revizuirea veniturilor partajate între bugetul de stat și bugetele locale și preluării finanțării</w:t>
      </w:r>
      <w:r w:rsidR="00CC65F9">
        <w:rPr>
          <w:rFonts w:asciiTheme="minorHAnsi" w:hAnsiTheme="minorHAnsi" w:cstheme="minorHAnsi"/>
          <w:sz w:val="24"/>
          <w:szCs w:val="24"/>
        </w:rPr>
        <w:t xml:space="preserve"> </w:t>
      </w:r>
      <w:r w:rsidR="00424AC9" w:rsidRPr="00FB0BE5">
        <w:rPr>
          <w:rFonts w:asciiTheme="minorHAnsi" w:hAnsiTheme="minorHAnsi" w:cstheme="minorHAnsi"/>
          <w:sz w:val="24"/>
          <w:szCs w:val="24"/>
        </w:rPr>
        <w:t xml:space="preserve">de către bugetul de stat a învățământului preșcolar, primar, secundar general, special și complementar și a unor competențe delegate (asistența socială, paza depozitelor cu pesticide etc.). </w:t>
      </w:r>
    </w:p>
    <w:p w14:paraId="55641F54" w14:textId="77777777" w:rsidR="00424AC9" w:rsidRPr="00FB0BE5" w:rsidRDefault="00424AC9" w:rsidP="00424AC9">
      <w:pPr>
        <w:pStyle w:val="ListParagraph"/>
        <w:rPr>
          <w:rFonts w:asciiTheme="minorHAnsi" w:hAnsiTheme="minorHAnsi" w:cstheme="minorHAnsi"/>
          <w:sz w:val="24"/>
          <w:szCs w:val="24"/>
        </w:rPr>
      </w:pPr>
    </w:p>
    <w:p w14:paraId="09092DA0" w14:textId="0FC163C2" w:rsidR="00287287" w:rsidRDefault="00345DB7" w:rsidP="008548D6">
      <w:pPr>
        <w:pStyle w:val="ListParagraph"/>
        <w:spacing w:line="240" w:lineRule="auto"/>
        <w:ind w:left="0" w:firstLine="567"/>
        <w:jc w:val="both"/>
        <w:rPr>
          <w:rFonts w:asciiTheme="minorHAnsi" w:hAnsiTheme="minorHAnsi" w:cstheme="minorHAnsi"/>
          <w:sz w:val="24"/>
          <w:szCs w:val="24"/>
        </w:rPr>
      </w:pPr>
      <w:r>
        <w:rPr>
          <w:rFonts w:asciiTheme="minorHAnsi" w:hAnsiTheme="minorHAnsi" w:cstheme="minorHAnsi"/>
          <w:noProof/>
          <w:sz w:val="24"/>
          <w:szCs w:val="24"/>
          <w:lang w:val="ru-RU" w:eastAsia="ru-RU"/>
        </w:rPr>
        <mc:AlternateContent>
          <mc:Choice Requires="wps">
            <w:drawing>
              <wp:anchor distT="0" distB="0" distL="114300" distR="114300" simplePos="0" relativeHeight="251661824" behindDoc="0" locked="0" layoutInCell="1" allowOverlap="1" wp14:anchorId="451026A0" wp14:editId="6D8DA405">
                <wp:simplePos x="0" y="0"/>
                <wp:positionH relativeFrom="margin">
                  <wp:align>right</wp:align>
                </wp:positionH>
                <wp:positionV relativeFrom="paragraph">
                  <wp:posOffset>100965</wp:posOffset>
                </wp:positionV>
                <wp:extent cx="3019425" cy="3467100"/>
                <wp:effectExtent l="0" t="0" r="0" b="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46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3D6D" w14:textId="77777777" w:rsidR="00017651" w:rsidRDefault="00017651" w:rsidP="0000188D">
                            <w:pPr>
                              <w:rPr>
                                <w:rFonts w:asciiTheme="minorHAnsi" w:hAnsiTheme="minorHAnsi" w:cstheme="minorHAnsi"/>
                                <w:b/>
                                <w:i/>
                                <w:color w:val="17365D" w:themeColor="text2" w:themeShade="BF"/>
                                <w:sz w:val="22"/>
                                <w:szCs w:val="22"/>
                              </w:rPr>
                            </w:pPr>
                            <w:r w:rsidRPr="00166A39">
                              <w:rPr>
                                <w:rFonts w:asciiTheme="minorHAnsi" w:hAnsiTheme="minorHAnsi" w:cstheme="minorHAnsi"/>
                                <w:b/>
                                <w:i/>
                                <w:color w:val="17365D" w:themeColor="text2" w:themeShade="BF"/>
                                <w:sz w:val="22"/>
                                <w:szCs w:val="22"/>
                              </w:rPr>
                              <w:t>Graficul</w:t>
                            </w:r>
                            <w:r>
                              <w:rPr>
                                <w:rFonts w:asciiTheme="minorHAnsi" w:hAnsiTheme="minorHAnsi" w:cstheme="minorHAnsi"/>
                                <w:b/>
                                <w:i/>
                                <w:color w:val="17365D" w:themeColor="text2" w:themeShade="BF"/>
                                <w:sz w:val="22"/>
                                <w:szCs w:val="22"/>
                              </w:rPr>
                              <w:t xml:space="preserve"> </w:t>
                            </w:r>
                            <w:r w:rsidRPr="00166A39">
                              <w:rPr>
                                <w:rFonts w:asciiTheme="minorHAnsi" w:hAnsiTheme="minorHAnsi" w:cstheme="minorHAnsi"/>
                                <w:b/>
                                <w:i/>
                                <w:color w:val="17365D" w:themeColor="text2" w:themeShade="BF"/>
                                <w:sz w:val="22"/>
                                <w:szCs w:val="22"/>
                              </w:rPr>
                              <w:t>9. Evoluția transferurilor de la bugetul de stat către bugetele locale</w:t>
                            </w:r>
                          </w:p>
                          <w:p w14:paraId="2AD9635A" w14:textId="77777777" w:rsidR="00017651" w:rsidRDefault="00017651" w:rsidP="0000188D">
                            <w:pPr>
                              <w:rPr>
                                <w:rFonts w:asciiTheme="minorHAnsi" w:hAnsiTheme="minorHAnsi" w:cstheme="minorHAnsi"/>
                                <w:b/>
                                <w:i/>
                                <w:color w:val="17365D" w:themeColor="text2" w:themeShade="BF"/>
                                <w:sz w:val="22"/>
                                <w:szCs w:val="22"/>
                              </w:rPr>
                            </w:pPr>
                          </w:p>
                          <w:p w14:paraId="70C53EEC" w14:textId="048C4F92" w:rsidR="00017651" w:rsidRDefault="00017651" w:rsidP="0000188D">
                            <w:pPr>
                              <w:rPr>
                                <w:rFonts w:asciiTheme="minorHAnsi" w:hAnsiTheme="minorHAnsi" w:cstheme="minorHAnsi"/>
                                <w:b/>
                                <w:i/>
                                <w:color w:val="17365D" w:themeColor="text2" w:themeShade="BF"/>
                                <w:sz w:val="22"/>
                                <w:szCs w:val="22"/>
                              </w:rPr>
                            </w:pPr>
                            <w:r>
                              <w:rPr>
                                <w:noProof/>
                                <w:lang w:val="ru-RU" w:eastAsia="ru-RU"/>
                              </w:rPr>
                              <w:drawing>
                                <wp:inline distT="0" distB="0" distL="0" distR="0" wp14:anchorId="15D55634" wp14:editId="68DEB1C9">
                                  <wp:extent cx="3020695" cy="230632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20695" cy="2306320"/>
                                          </a:xfrm>
                                          <a:prstGeom prst="rect">
                                            <a:avLst/>
                                          </a:prstGeom>
                                          <a:noFill/>
                                          <a:ln>
                                            <a:noFill/>
                                          </a:ln>
                                        </pic:spPr>
                                      </pic:pic>
                                    </a:graphicData>
                                  </a:graphic>
                                </wp:inline>
                              </w:drawing>
                            </w:r>
                          </w:p>
                          <w:p w14:paraId="130C903E" w14:textId="77777777" w:rsidR="00017651" w:rsidRPr="00F231A6" w:rsidRDefault="00017651" w:rsidP="00345DB7">
                            <w:pPr>
                              <w:rPr>
                                <w:rFonts w:asciiTheme="minorHAnsi" w:hAnsiTheme="minorHAnsi" w:cstheme="minorHAnsi"/>
                                <w:b/>
                                <w:i/>
                                <w:color w:val="17365D" w:themeColor="text2" w:themeShade="BF"/>
                                <w:sz w:val="16"/>
                                <w:szCs w:val="16"/>
                              </w:rPr>
                            </w:pPr>
                            <w:r w:rsidRPr="00F231A6">
                              <w:rPr>
                                <w:i/>
                                <w:sz w:val="16"/>
                                <w:szCs w:val="16"/>
                              </w:rPr>
                              <w:t xml:space="preserve">Datele ntru 2019-21 sunt raportate la PIB, calculat in condițiile metodologiei noi SN 2008, ce explica reducerea de circa </w:t>
                            </w:r>
                            <w:r>
                              <w:rPr>
                                <w:i/>
                                <w:sz w:val="16"/>
                                <w:szCs w:val="16"/>
                              </w:rPr>
                              <w:t xml:space="preserve">1 </w:t>
                            </w:r>
                            <w:r w:rsidRPr="00F231A6">
                              <w:rPr>
                                <w:i/>
                                <w:sz w:val="16"/>
                                <w:szCs w:val="16"/>
                              </w:rPr>
                              <w:t xml:space="preserve">p.p. a </w:t>
                            </w:r>
                            <w:r>
                              <w:rPr>
                                <w:i/>
                                <w:sz w:val="16"/>
                                <w:szCs w:val="16"/>
                              </w:rPr>
                              <w:t>transferurilor</w:t>
                            </w:r>
                            <w:r w:rsidRPr="00F231A6">
                              <w:rPr>
                                <w:i/>
                                <w:sz w:val="16"/>
                                <w:szCs w:val="16"/>
                              </w:rPr>
                              <w:t xml:space="preserve"> în PIB.</w:t>
                            </w:r>
                          </w:p>
                          <w:p w14:paraId="5A0BCBA9" w14:textId="77777777" w:rsidR="00017651" w:rsidRDefault="00017651" w:rsidP="0000188D">
                            <w:pPr>
                              <w:rPr>
                                <w:rFonts w:asciiTheme="minorHAnsi" w:hAnsiTheme="minorHAnsi" w:cstheme="minorHAnsi"/>
                                <w:b/>
                                <w:i/>
                                <w:color w:val="17365D" w:themeColor="text2" w:themeShade="BF"/>
                                <w:sz w:val="22"/>
                                <w:szCs w:val="22"/>
                              </w:rPr>
                            </w:pPr>
                          </w:p>
                          <w:p w14:paraId="1190E9D7" w14:textId="77777777" w:rsidR="00017651" w:rsidRDefault="00017651" w:rsidP="0000188D">
                            <w:pPr>
                              <w:rPr>
                                <w:rFonts w:asciiTheme="minorHAnsi" w:hAnsiTheme="minorHAnsi" w:cstheme="minorHAnsi"/>
                                <w:b/>
                                <w:i/>
                                <w:color w:val="17365D" w:themeColor="text2" w:themeShade="BF"/>
                                <w:sz w:val="22"/>
                                <w:szCs w:val="22"/>
                              </w:rPr>
                            </w:pPr>
                          </w:p>
                          <w:p w14:paraId="7F678F9B" w14:textId="77777777" w:rsidR="00017651" w:rsidRDefault="00017651" w:rsidP="0000188D">
                            <w:pPr>
                              <w:rPr>
                                <w:rFonts w:asciiTheme="minorHAnsi" w:hAnsiTheme="minorHAnsi" w:cstheme="minorHAnsi"/>
                                <w:b/>
                                <w:i/>
                                <w:color w:val="17365D" w:themeColor="text2" w:themeShade="BF"/>
                                <w:sz w:val="22"/>
                                <w:szCs w:val="22"/>
                              </w:rPr>
                            </w:pPr>
                          </w:p>
                          <w:p w14:paraId="42FD177B" w14:textId="77777777" w:rsidR="00017651" w:rsidRDefault="00017651" w:rsidP="0000188D">
                            <w:pPr>
                              <w:rPr>
                                <w:rFonts w:asciiTheme="minorHAnsi" w:hAnsiTheme="minorHAnsi" w:cstheme="minorHAnsi"/>
                                <w:b/>
                                <w:i/>
                                <w:color w:val="17365D" w:themeColor="text2" w:themeShade="BF"/>
                                <w:sz w:val="22"/>
                                <w:szCs w:val="22"/>
                              </w:rPr>
                            </w:pPr>
                          </w:p>
                          <w:p w14:paraId="027AB25D" w14:textId="77777777" w:rsidR="00017651" w:rsidRDefault="00017651" w:rsidP="0000188D">
                            <w:pPr>
                              <w:rPr>
                                <w:rFonts w:asciiTheme="minorHAnsi" w:hAnsiTheme="minorHAnsi" w:cstheme="minorHAnsi"/>
                                <w:b/>
                                <w:i/>
                                <w:color w:val="17365D" w:themeColor="text2" w:themeShade="BF"/>
                                <w:sz w:val="22"/>
                                <w:szCs w:val="22"/>
                              </w:rPr>
                            </w:pPr>
                          </w:p>
                          <w:p w14:paraId="381943BF" w14:textId="77777777" w:rsidR="00017651" w:rsidRDefault="00017651" w:rsidP="0000188D">
                            <w:pPr>
                              <w:rPr>
                                <w:rFonts w:asciiTheme="minorHAnsi" w:hAnsiTheme="minorHAnsi" w:cstheme="minorHAnsi"/>
                                <w:b/>
                                <w:i/>
                                <w:color w:val="17365D" w:themeColor="text2" w:themeShade="BF"/>
                                <w:sz w:val="22"/>
                                <w:szCs w:val="22"/>
                              </w:rPr>
                            </w:pPr>
                          </w:p>
                          <w:p w14:paraId="3C48C570" w14:textId="77777777" w:rsidR="00017651" w:rsidRDefault="00017651" w:rsidP="0000188D">
                            <w:pPr>
                              <w:rPr>
                                <w:rFonts w:asciiTheme="minorHAnsi" w:hAnsiTheme="minorHAnsi" w:cstheme="minorHAnsi"/>
                                <w:b/>
                                <w:i/>
                                <w:color w:val="17365D" w:themeColor="text2" w:themeShade="BF"/>
                                <w:sz w:val="22"/>
                                <w:szCs w:val="22"/>
                              </w:rPr>
                            </w:pPr>
                          </w:p>
                          <w:p w14:paraId="4ECB3C5E" w14:textId="77777777" w:rsidR="00017651" w:rsidRDefault="00017651" w:rsidP="0000188D">
                            <w:pPr>
                              <w:rPr>
                                <w:rFonts w:asciiTheme="minorHAnsi" w:hAnsiTheme="minorHAnsi" w:cstheme="minorHAnsi"/>
                                <w:b/>
                                <w:i/>
                                <w:color w:val="17365D" w:themeColor="text2" w:themeShade="BF"/>
                                <w:sz w:val="22"/>
                                <w:szCs w:val="22"/>
                              </w:rPr>
                            </w:pPr>
                          </w:p>
                          <w:p w14:paraId="65D7C474" w14:textId="77777777" w:rsidR="00017651" w:rsidRDefault="00017651" w:rsidP="0000188D">
                            <w:pPr>
                              <w:rPr>
                                <w:rFonts w:asciiTheme="minorHAnsi" w:hAnsiTheme="minorHAnsi" w:cstheme="minorHAnsi"/>
                                <w:b/>
                                <w:i/>
                                <w:color w:val="17365D" w:themeColor="text2" w:themeShade="BF"/>
                                <w:sz w:val="22"/>
                                <w:szCs w:val="22"/>
                              </w:rPr>
                            </w:pPr>
                          </w:p>
                          <w:p w14:paraId="21987BF8" w14:textId="77777777" w:rsidR="00017651" w:rsidRPr="00281D70" w:rsidRDefault="00017651" w:rsidP="0000188D">
                            <w:pPr>
                              <w:rPr>
                                <w:rFonts w:asciiTheme="minorHAnsi" w:hAnsiTheme="minorHAnsi" w:cstheme="minorHAnsi"/>
                                <w:sz w:val="22"/>
                                <w:szCs w:val="22"/>
                              </w:rPr>
                            </w:pPr>
                          </w:p>
                          <w:p w14:paraId="71D8AD29" w14:textId="77777777" w:rsidR="00017651" w:rsidRDefault="00017651" w:rsidP="000018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026A0" id="_x0000_s1035" type="#_x0000_t202" style="position:absolute;left:0;text-align:left;margin-left:186.55pt;margin-top:7.95pt;width:237.75pt;height:273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ouQIAAMIFAAAOAAAAZHJzL2Uyb0RvYy54bWysVNlunDAUfa/Uf7D8TljiWUBhomQYqkrp&#10;IiX9AA+YwSrY1PYMpFH/vddm1uSlassD8nJ97jl3u7kd2gbtmNJcihSHVwFGTBSy5GKT4m9PuTfH&#10;SBsqStpIwVL8zDS+Xbx/d9N3CYtkLZuSKQQgQid9l+LamC7xfV3UrKX6SnZMwGUlVUsNbNXGLxXt&#10;Ab1t/CgIpn4vVdkpWTCt4TQbL/HC4VcVK8yXqtLMoCbFwM24v3L/tf37ixuabBTtal7sadC/YNFS&#10;LsDpESqjhqKt4m+gWl4oqWVlrgrZ+rKqeMGcBlATBq/UPNa0Y04LBEd3xzDp/wdbfN59VYiXkDsI&#10;j6At5OiJDQbdywERG56+0wlYPXZgZwY4BlMnVXcPsviukZDLmooNu1NK9jWjJdAL7Uv/7OmIoy3I&#10;uv8kS3BDt0Y6oKFSrY0dRAMBOvB4PqbGUing8DoIYxJNMCrg7ppMZ2HgkufT5PC8U9p8YLJFdpFi&#10;Bbl38HT3oI2lQ5ODifUmZM6bxuW/ERcHYDiegHN4au8sDZfOlziIV/PVnHgkmq48EmSZd5cviTfN&#10;w9kku86Wyyz8Zf2GJKl5WTJh3RxKKyR/lrp9kY9FcSwuLRteWjhLSavNetkotKNQ2rn7XNDh5mTm&#10;X9JwQQAtrySFEQnuo9jLp/OZR3Iy8eJZMPcg5PfxNCAxyfJLSQ9csH+XhPoUxxNIqpNzIv1KW+C+&#10;t9po0nIDw6PhbYrnRyOa2BpcidKl1lDejOuzUFj6p1BAug+JdhVri3QsVzOsB9cb8aER1rJ8hhJW&#10;EgoM6hQGHyxqqX5i1MMQSbH+saWKYdR8FNAGcUiInTpuQyazCDbq/GZ9fkNFAVApNhiNy6UZJ9W2&#10;U3xTg6ex8YS8g9apuCtq22Mjq33DwaBw2vZDzU6i872zOo3exW8AAAD//wMAUEsDBBQABgAIAAAA&#10;IQAAdENU3AAAAAcBAAAPAAAAZHJzL2Rvd25yZXYueG1sTI/BTsMwEETvSP0Ha5G4UbuobkmIU1Ug&#10;riBaQOLmxtskIl5HsduEv2c50ePOjGbeFpvJd+KMQ2wDGVjMFQikKriWagPv++fbexAxWXK2C4QG&#10;fjDCppxdFTZ3YaQ3PO9SLbiEYm4NNCn1uZSxatDbOA89EnvHMHib+Bxq6QY7crnv5J1SK+ltS7zQ&#10;2B4fG6y+dydv4OPl+PW5VK/1k9f9GCYlyWfSmJvrafsAIuGU/sPwh8/oUDLTIZzIRdEZ4EcSqzoD&#10;we5yrTWIgwG9WmQgy0Je8pe/AAAA//8DAFBLAQItABQABgAIAAAAIQC2gziS/gAAAOEBAAATAAAA&#10;AAAAAAAAAAAAAAAAAABbQ29udGVudF9UeXBlc10ueG1sUEsBAi0AFAAGAAgAAAAhADj9If/WAAAA&#10;lAEAAAsAAAAAAAAAAAAAAAAALwEAAF9yZWxzLy5yZWxzUEsBAi0AFAAGAAgAAAAhAMT6oSi5AgAA&#10;wgUAAA4AAAAAAAAAAAAAAAAALgIAAGRycy9lMm9Eb2MueG1sUEsBAi0AFAAGAAgAAAAhAAB0Q1Tc&#10;AAAABwEAAA8AAAAAAAAAAAAAAAAAEwUAAGRycy9kb3ducmV2LnhtbFBLBQYAAAAABAAEAPMAAAAc&#10;BgAAAAA=&#10;" filled="f" stroked="f">
                <v:textbox>
                  <w:txbxContent>
                    <w:p w14:paraId="16AB3D6D" w14:textId="77777777" w:rsidR="00017651" w:rsidRDefault="00017651" w:rsidP="0000188D">
                      <w:pPr>
                        <w:rPr>
                          <w:rFonts w:asciiTheme="minorHAnsi" w:hAnsiTheme="minorHAnsi" w:cstheme="minorHAnsi"/>
                          <w:b/>
                          <w:i/>
                          <w:color w:val="17365D" w:themeColor="text2" w:themeShade="BF"/>
                          <w:sz w:val="22"/>
                          <w:szCs w:val="22"/>
                        </w:rPr>
                      </w:pPr>
                      <w:r w:rsidRPr="00166A39">
                        <w:rPr>
                          <w:rFonts w:asciiTheme="minorHAnsi" w:hAnsiTheme="minorHAnsi" w:cstheme="minorHAnsi"/>
                          <w:b/>
                          <w:i/>
                          <w:color w:val="17365D" w:themeColor="text2" w:themeShade="BF"/>
                          <w:sz w:val="22"/>
                          <w:szCs w:val="22"/>
                        </w:rPr>
                        <w:t>Graficul</w:t>
                      </w:r>
                      <w:r>
                        <w:rPr>
                          <w:rFonts w:asciiTheme="minorHAnsi" w:hAnsiTheme="minorHAnsi" w:cstheme="minorHAnsi"/>
                          <w:b/>
                          <w:i/>
                          <w:color w:val="17365D" w:themeColor="text2" w:themeShade="BF"/>
                          <w:sz w:val="22"/>
                          <w:szCs w:val="22"/>
                        </w:rPr>
                        <w:t xml:space="preserve"> </w:t>
                      </w:r>
                      <w:r w:rsidRPr="00166A39">
                        <w:rPr>
                          <w:rFonts w:asciiTheme="minorHAnsi" w:hAnsiTheme="minorHAnsi" w:cstheme="minorHAnsi"/>
                          <w:b/>
                          <w:i/>
                          <w:color w:val="17365D" w:themeColor="text2" w:themeShade="BF"/>
                          <w:sz w:val="22"/>
                          <w:szCs w:val="22"/>
                        </w:rPr>
                        <w:t>9. Evoluția transferurilor de la bugetul de stat către bugetele locale</w:t>
                      </w:r>
                    </w:p>
                    <w:p w14:paraId="2AD9635A" w14:textId="77777777" w:rsidR="00017651" w:rsidRDefault="00017651" w:rsidP="0000188D">
                      <w:pPr>
                        <w:rPr>
                          <w:rFonts w:asciiTheme="minorHAnsi" w:hAnsiTheme="minorHAnsi" w:cstheme="minorHAnsi"/>
                          <w:b/>
                          <w:i/>
                          <w:color w:val="17365D" w:themeColor="text2" w:themeShade="BF"/>
                          <w:sz w:val="22"/>
                          <w:szCs w:val="22"/>
                        </w:rPr>
                      </w:pPr>
                    </w:p>
                    <w:p w14:paraId="70C53EEC" w14:textId="048C4F92" w:rsidR="00017651" w:rsidRDefault="00017651" w:rsidP="0000188D">
                      <w:pPr>
                        <w:rPr>
                          <w:rFonts w:asciiTheme="minorHAnsi" w:hAnsiTheme="minorHAnsi" w:cstheme="minorHAnsi"/>
                          <w:b/>
                          <w:i/>
                          <w:color w:val="17365D" w:themeColor="text2" w:themeShade="BF"/>
                          <w:sz w:val="22"/>
                          <w:szCs w:val="22"/>
                        </w:rPr>
                      </w:pPr>
                      <w:r>
                        <w:rPr>
                          <w:noProof/>
                          <w:lang w:val="ru-RU" w:eastAsia="ru-RU"/>
                        </w:rPr>
                        <w:drawing>
                          <wp:inline distT="0" distB="0" distL="0" distR="0" wp14:anchorId="15D55634" wp14:editId="68DEB1C9">
                            <wp:extent cx="3020695" cy="2306320"/>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20695" cy="2306320"/>
                                    </a:xfrm>
                                    <a:prstGeom prst="rect">
                                      <a:avLst/>
                                    </a:prstGeom>
                                    <a:noFill/>
                                    <a:ln>
                                      <a:noFill/>
                                    </a:ln>
                                  </pic:spPr>
                                </pic:pic>
                              </a:graphicData>
                            </a:graphic>
                          </wp:inline>
                        </w:drawing>
                      </w:r>
                    </w:p>
                    <w:p w14:paraId="130C903E" w14:textId="77777777" w:rsidR="00017651" w:rsidRPr="00F231A6" w:rsidRDefault="00017651" w:rsidP="00345DB7">
                      <w:pPr>
                        <w:rPr>
                          <w:rFonts w:asciiTheme="minorHAnsi" w:hAnsiTheme="minorHAnsi" w:cstheme="minorHAnsi"/>
                          <w:b/>
                          <w:i/>
                          <w:color w:val="17365D" w:themeColor="text2" w:themeShade="BF"/>
                          <w:sz w:val="16"/>
                          <w:szCs w:val="16"/>
                        </w:rPr>
                      </w:pPr>
                      <w:r w:rsidRPr="00F231A6">
                        <w:rPr>
                          <w:i/>
                          <w:sz w:val="16"/>
                          <w:szCs w:val="16"/>
                        </w:rPr>
                        <w:t xml:space="preserve">Datele ntru 2019-21 sunt raportate la PIB, calculat in condițiile metodologiei noi SN 2008, ce explica reducerea de circa </w:t>
                      </w:r>
                      <w:r>
                        <w:rPr>
                          <w:i/>
                          <w:sz w:val="16"/>
                          <w:szCs w:val="16"/>
                        </w:rPr>
                        <w:t xml:space="preserve">1 </w:t>
                      </w:r>
                      <w:r w:rsidRPr="00F231A6">
                        <w:rPr>
                          <w:i/>
                          <w:sz w:val="16"/>
                          <w:szCs w:val="16"/>
                        </w:rPr>
                        <w:t xml:space="preserve">p.p. a </w:t>
                      </w:r>
                      <w:r>
                        <w:rPr>
                          <w:i/>
                          <w:sz w:val="16"/>
                          <w:szCs w:val="16"/>
                        </w:rPr>
                        <w:t>transferurilor</w:t>
                      </w:r>
                      <w:r w:rsidRPr="00F231A6">
                        <w:rPr>
                          <w:i/>
                          <w:sz w:val="16"/>
                          <w:szCs w:val="16"/>
                        </w:rPr>
                        <w:t xml:space="preserve"> în PIB.</w:t>
                      </w:r>
                    </w:p>
                    <w:p w14:paraId="5A0BCBA9" w14:textId="77777777" w:rsidR="00017651" w:rsidRDefault="00017651" w:rsidP="0000188D">
                      <w:pPr>
                        <w:rPr>
                          <w:rFonts w:asciiTheme="minorHAnsi" w:hAnsiTheme="minorHAnsi" w:cstheme="minorHAnsi"/>
                          <w:b/>
                          <w:i/>
                          <w:color w:val="17365D" w:themeColor="text2" w:themeShade="BF"/>
                          <w:sz w:val="22"/>
                          <w:szCs w:val="22"/>
                        </w:rPr>
                      </w:pPr>
                    </w:p>
                    <w:p w14:paraId="1190E9D7" w14:textId="77777777" w:rsidR="00017651" w:rsidRDefault="00017651" w:rsidP="0000188D">
                      <w:pPr>
                        <w:rPr>
                          <w:rFonts w:asciiTheme="minorHAnsi" w:hAnsiTheme="minorHAnsi" w:cstheme="minorHAnsi"/>
                          <w:b/>
                          <w:i/>
                          <w:color w:val="17365D" w:themeColor="text2" w:themeShade="BF"/>
                          <w:sz w:val="22"/>
                          <w:szCs w:val="22"/>
                        </w:rPr>
                      </w:pPr>
                    </w:p>
                    <w:p w14:paraId="7F678F9B" w14:textId="77777777" w:rsidR="00017651" w:rsidRDefault="00017651" w:rsidP="0000188D">
                      <w:pPr>
                        <w:rPr>
                          <w:rFonts w:asciiTheme="minorHAnsi" w:hAnsiTheme="minorHAnsi" w:cstheme="minorHAnsi"/>
                          <w:b/>
                          <w:i/>
                          <w:color w:val="17365D" w:themeColor="text2" w:themeShade="BF"/>
                          <w:sz w:val="22"/>
                          <w:szCs w:val="22"/>
                        </w:rPr>
                      </w:pPr>
                    </w:p>
                    <w:p w14:paraId="42FD177B" w14:textId="77777777" w:rsidR="00017651" w:rsidRDefault="00017651" w:rsidP="0000188D">
                      <w:pPr>
                        <w:rPr>
                          <w:rFonts w:asciiTheme="minorHAnsi" w:hAnsiTheme="minorHAnsi" w:cstheme="minorHAnsi"/>
                          <w:b/>
                          <w:i/>
                          <w:color w:val="17365D" w:themeColor="text2" w:themeShade="BF"/>
                          <w:sz w:val="22"/>
                          <w:szCs w:val="22"/>
                        </w:rPr>
                      </w:pPr>
                    </w:p>
                    <w:p w14:paraId="027AB25D" w14:textId="77777777" w:rsidR="00017651" w:rsidRDefault="00017651" w:rsidP="0000188D">
                      <w:pPr>
                        <w:rPr>
                          <w:rFonts w:asciiTheme="minorHAnsi" w:hAnsiTheme="minorHAnsi" w:cstheme="minorHAnsi"/>
                          <w:b/>
                          <w:i/>
                          <w:color w:val="17365D" w:themeColor="text2" w:themeShade="BF"/>
                          <w:sz w:val="22"/>
                          <w:szCs w:val="22"/>
                        </w:rPr>
                      </w:pPr>
                    </w:p>
                    <w:p w14:paraId="381943BF" w14:textId="77777777" w:rsidR="00017651" w:rsidRDefault="00017651" w:rsidP="0000188D">
                      <w:pPr>
                        <w:rPr>
                          <w:rFonts w:asciiTheme="minorHAnsi" w:hAnsiTheme="minorHAnsi" w:cstheme="minorHAnsi"/>
                          <w:b/>
                          <w:i/>
                          <w:color w:val="17365D" w:themeColor="text2" w:themeShade="BF"/>
                          <w:sz w:val="22"/>
                          <w:szCs w:val="22"/>
                        </w:rPr>
                      </w:pPr>
                    </w:p>
                    <w:p w14:paraId="3C48C570" w14:textId="77777777" w:rsidR="00017651" w:rsidRDefault="00017651" w:rsidP="0000188D">
                      <w:pPr>
                        <w:rPr>
                          <w:rFonts w:asciiTheme="minorHAnsi" w:hAnsiTheme="minorHAnsi" w:cstheme="minorHAnsi"/>
                          <w:b/>
                          <w:i/>
                          <w:color w:val="17365D" w:themeColor="text2" w:themeShade="BF"/>
                          <w:sz w:val="22"/>
                          <w:szCs w:val="22"/>
                        </w:rPr>
                      </w:pPr>
                    </w:p>
                    <w:p w14:paraId="4ECB3C5E" w14:textId="77777777" w:rsidR="00017651" w:rsidRDefault="00017651" w:rsidP="0000188D">
                      <w:pPr>
                        <w:rPr>
                          <w:rFonts w:asciiTheme="minorHAnsi" w:hAnsiTheme="minorHAnsi" w:cstheme="minorHAnsi"/>
                          <w:b/>
                          <w:i/>
                          <w:color w:val="17365D" w:themeColor="text2" w:themeShade="BF"/>
                          <w:sz w:val="22"/>
                          <w:szCs w:val="22"/>
                        </w:rPr>
                      </w:pPr>
                    </w:p>
                    <w:p w14:paraId="65D7C474" w14:textId="77777777" w:rsidR="00017651" w:rsidRDefault="00017651" w:rsidP="0000188D">
                      <w:pPr>
                        <w:rPr>
                          <w:rFonts w:asciiTheme="minorHAnsi" w:hAnsiTheme="minorHAnsi" w:cstheme="minorHAnsi"/>
                          <w:b/>
                          <w:i/>
                          <w:color w:val="17365D" w:themeColor="text2" w:themeShade="BF"/>
                          <w:sz w:val="22"/>
                          <w:szCs w:val="22"/>
                        </w:rPr>
                      </w:pPr>
                    </w:p>
                    <w:p w14:paraId="21987BF8" w14:textId="77777777" w:rsidR="00017651" w:rsidRPr="00281D70" w:rsidRDefault="00017651" w:rsidP="0000188D">
                      <w:pPr>
                        <w:rPr>
                          <w:rFonts w:asciiTheme="minorHAnsi" w:hAnsiTheme="minorHAnsi" w:cstheme="minorHAnsi"/>
                          <w:sz w:val="22"/>
                          <w:szCs w:val="22"/>
                        </w:rPr>
                      </w:pPr>
                    </w:p>
                    <w:p w14:paraId="71D8AD29" w14:textId="77777777" w:rsidR="00017651" w:rsidRDefault="00017651" w:rsidP="0000188D"/>
                  </w:txbxContent>
                </v:textbox>
                <w10:wrap type="square" anchorx="margin"/>
              </v:shape>
            </w:pict>
          </mc:Fallback>
        </mc:AlternateContent>
      </w:r>
    </w:p>
    <w:p w14:paraId="6C4625C0" w14:textId="12382A74" w:rsidR="00287287" w:rsidRDefault="00287287" w:rsidP="008548D6">
      <w:pPr>
        <w:pStyle w:val="ListParagraph"/>
        <w:spacing w:line="240" w:lineRule="auto"/>
        <w:ind w:left="0" w:firstLine="567"/>
        <w:jc w:val="both"/>
        <w:rPr>
          <w:rFonts w:asciiTheme="minorHAnsi" w:hAnsiTheme="minorHAnsi" w:cstheme="minorHAnsi"/>
          <w:sz w:val="24"/>
          <w:szCs w:val="24"/>
        </w:rPr>
      </w:pPr>
    </w:p>
    <w:p w14:paraId="7D12C615" w14:textId="3F71F162" w:rsidR="00424AC9" w:rsidRPr="00FB0BE5" w:rsidRDefault="00424AC9" w:rsidP="008548D6">
      <w:pPr>
        <w:pStyle w:val="ListParagraph"/>
        <w:spacing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Totodată, formula existentă de calcul a transferurilor (cu destinație generală și specială pentru învățământ, asistență socială și infrastructura drumurilor) către bugetele locale a contribuit la o prognoza mai bună a transferurilor per total. O supra/subestimare a transferurilor poate avea loc în cazul unor schimbări în sistemul de relații interbugetare, iar impactul </w:t>
      </w:r>
      <w:r w:rsidR="006538EE" w:rsidRPr="00FB0BE5">
        <w:rPr>
          <w:rFonts w:asciiTheme="minorHAnsi" w:hAnsiTheme="minorHAnsi" w:cstheme="minorHAnsi"/>
          <w:sz w:val="24"/>
          <w:szCs w:val="24"/>
        </w:rPr>
        <w:t xml:space="preserve">estimat ar unor </w:t>
      </w:r>
      <w:r w:rsidRPr="00FB0BE5">
        <w:rPr>
          <w:rFonts w:asciiTheme="minorHAnsi" w:hAnsiTheme="minorHAnsi" w:cstheme="minorHAnsi"/>
          <w:sz w:val="24"/>
          <w:szCs w:val="24"/>
        </w:rPr>
        <w:t>posibil</w:t>
      </w:r>
      <w:r w:rsidR="006538EE" w:rsidRPr="00FB0BE5">
        <w:rPr>
          <w:rFonts w:asciiTheme="minorHAnsi" w:hAnsiTheme="minorHAnsi" w:cstheme="minorHAnsi"/>
          <w:sz w:val="24"/>
          <w:szCs w:val="24"/>
        </w:rPr>
        <w:t>e</w:t>
      </w:r>
      <w:r w:rsidR="0052655F">
        <w:rPr>
          <w:rFonts w:asciiTheme="minorHAnsi" w:hAnsiTheme="minorHAnsi" w:cstheme="minorHAnsi"/>
          <w:sz w:val="24"/>
          <w:szCs w:val="24"/>
        </w:rPr>
        <w:t xml:space="preserve"> </w:t>
      </w:r>
      <w:r w:rsidRPr="00FB0BE5">
        <w:rPr>
          <w:rFonts w:asciiTheme="minorHAnsi" w:hAnsiTheme="minorHAnsi" w:cstheme="minorHAnsi"/>
          <w:sz w:val="24"/>
          <w:szCs w:val="24"/>
        </w:rPr>
        <w:t>schimbări, similare celor care au avut loc în trecut</w:t>
      </w:r>
      <w:r w:rsidR="006538EE" w:rsidRPr="00FB0BE5">
        <w:rPr>
          <w:rFonts w:asciiTheme="minorHAnsi" w:hAnsiTheme="minorHAnsi" w:cstheme="minorHAnsi"/>
          <w:sz w:val="24"/>
          <w:szCs w:val="24"/>
        </w:rPr>
        <w:t>,</w:t>
      </w:r>
      <w:r w:rsidRPr="00FB0BE5">
        <w:rPr>
          <w:rFonts w:asciiTheme="minorHAnsi" w:hAnsiTheme="minorHAnsi" w:cstheme="minorHAnsi"/>
          <w:sz w:val="24"/>
          <w:szCs w:val="24"/>
        </w:rPr>
        <w:t xml:space="preserve"> este unul </w:t>
      </w:r>
      <w:r w:rsidR="006538EE" w:rsidRPr="00FB0BE5">
        <w:rPr>
          <w:rFonts w:asciiTheme="minorHAnsi" w:hAnsiTheme="minorHAnsi" w:cstheme="minorHAnsi"/>
          <w:sz w:val="24"/>
          <w:szCs w:val="24"/>
        </w:rPr>
        <w:t>sub</w:t>
      </w:r>
      <w:r w:rsidRPr="00FB0BE5">
        <w:rPr>
          <w:rFonts w:asciiTheme="minorHAnsi" w:hAnsiTheme="minorHAnsi" w:cstheme="minorHAnsi"/>
          <w:sz w:val="24"/>
          <w:szCs w:val="24"/>
        </w:rPr>
        <w:t xml:space="preserve"> 2,5% din PIB</w:t>
      </w:r>
      <w:r w:rsidR="006538EE" w:rsidRPr="00FB0BE5">
        <w:rPr>
          <w:rFonts w:asciiTheme="minorHAnsi" w:hAnsiTheme="minorHAnsi" w:cstheme="minorHAnsi"/>
          <w:sz w:val="24"/>
          <w:szCs w:val="24"/>
        </w:rPr>
        <w:t xml:space="preserve">, abateri </w:t>
      </w:r>
      <w:r w:rsidR="00A41E52" w:rsidRPr="00FB0BE5">
        <w:rPr>
          <w:rFonts w:asciiTheme="minorHAnsi" w:hAnsiTheme="minorHAnsi" w:cstheme="minorHAnsi"/>
          <w:sz w:val="24"/>
          <w:szCs w:val="24"/>
        </w:rPr>
        <w:t>fiind în</w:t>
      </w:r>
      <w:r w:rsidR="006538EE" w:rsidRPr="00FB0BE5">
        <w:rPr>
          <w:rFonts w:asciiTheme="minorHAnsi" w:hAnsiTheme="minorHAnsi" w:cstheme="minorHAnsi"/>
          <w:sz w:val="24"/>
          <w:szCs w:val="24"/>
        </w:rPr>
        <w:t>registrate în anii 2014 și 2015</w:t>
      </w:r>
      <w:r w:rsidRPr="00FB0BE5">
        <w:rPr>
          <w:rFonts w:asciiTheme="minorHAnsi" w:hAnsiTheme="minorHAnsi" w:cstheme="minorHAnsi"/>
          <w:sz w:val="24"/>
          <w:szCs w:val="24"/>
        </w:rPr>
        <w:t>.</w:t>
      </w:r>
    </w:p>
    <w:p w14:paraId="54461B66" w14:textId="77777777" w:rsidR="000552FE" w:rsidRDefault="000552FE" w:rsidP="000552FE"/>
    <w:p w14:paraId="2095F6FE" w14:textId="4F4B2CB2" w:rsidR="002F7287" w:rsidRDefault="002F7287" w:rsidP="000552FE"/>
    <w:p w14:paraId="11FE7F0F" w14:textId="6A8D5BF2" w:rsidR="001E44BB" w:rsidRDefault="001E44BB" w:rsidP="000552FE"/>
    <w:p w14:paraId="4C0D3332" w14:textId="56C85ECC" w:rsidR="001E44BB" w:rsidRDefault="001E44BB" w:rsidP="000552FE"/>
    <w:p w14:paraId="5FE9A5E1" w14:textId="7650BF0A" w:rsidR="001E44BB" w:rsidRDefault="001E44BB" w:rsidP="000552FE"/>
    <w:p w14:paraId="34312712" w14:textId="77777777" w:rsidR="00424AC9" w:rsidRPr="00FB0BE5" w:rsidRDefault="00424AC9" w:rsidP="00424AC9">
      <w:pPr>
        <w:pStyle w:val="Heading3"/>
        <w:ind w:firstLine="567"/>
        <w:rPr>
          <w:rFonts w:asciiTheme="minorHAnsi" w:hAnsiTheme="minorHAnsi" w:cstheme="minorHAnsi"/>
        </w:rPr>
      </w:pPr>
      <w:bookmarkStart w:id="22" w:name="_Toc498455216"/>
      <w:r w:rsidRPr="00FB0BE5">
        <w:rPr>
          <w:rFonts w:asciiTheme="minorHAnsi" w:hAnsiTheme="minorHAnsi" w:cstheme="minorHAnsi"/>
        </w:rPr>
        <w:lastRenderedPageBreak/>
        <w:t>2.1.2. Arierate la cheltuieli</w:t>
      </w:r>
      <w:bookmarkEnd w:id="22"/>
    </w:p>
    <w:p w14:paraId="5CB4AB3D" w14:textId="77777777" w:rsidR="00424AC9" w:rsidRPr="00FB0BE5" w:rsidRDefault="00424AC9" w:rsidP="00424AC9"/>
    <w:p w14:paraId="1A1A2ADD" w14:textId="77777777" w:rsidR="00424AC9" w:rsidRPr="00FB0BE5" w:rsidRDefault="00424AC9" w:rsidP="00424AC9">
      <w:pPr>
        <w:ind w:left="360" w:firstLine="207"/>
        <w:jc w:val="both"/>
        <w:rPr>
          <w:rFonts w:asciiTheme="minorHAnsi" w:hAnsiTheme="minorHAnsi" w:cstheme="minorHAnsi"/>
          <w:b/>
        </w:rPr>
      </w:pPr>
      <w:r w:rsidRPr="00FB0BE5">
        <w:rPr>
          <w:rFonts w:asciiTheme="minorHAnsi" w:hAnsiTheme="minorHAnsi" w:cstheme="minorHAnsi"/>
          <w:b/>
        </w:rPr>
        <w:t>Situația curentă</w:t>
      </w:r>
    </w:p>
    <w:p w14:paraId="78EB22BE" w14:textId="77777777" w:rsidR="00424AC9" w:rsidRPr="00FB0BE5" w:rsidRDefault="00424AC9" w:rsidP="00424AC9">
      <w:pPr>
        <w:ind w:left="360" w:firstLine="207"/>
        <w:jc w:val="both"/>
        <w:rPr>
          <w:rFonts w:asciiTheme="minorHAnsi" w:hAnsiTheme="minorHAnsi" w:cstheme="minorHAnsi"/>
          <w:b/>
        </w:rPr>
      </w:pPr>
    </w:p>
    <w:p w14:paraId="6FA0D7A5" w14:textId="60EA9339"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Pe parcursul anilor 2011-</w:t>
      </w:r>
      <w:r w:rsidR="00816B69" w:rsidRPr="00FB0BE5">
        <w:rPr>
          <w:rFonts w:asciiTheme="minorHAnsi" w:hAnsiTheme="minorHAnsi" w:cstheme="minorHAnsi"/>
        </w:rPr>
        <w:t>201</w:t>
      </w:r>
      <w:r w:rsidR="00816B69">
        <w:rPr>
          <w:rFonts w:asciiTheme="minorHAnsi" w:hAnsiTheme="minorHAnsi" w:cstheme="minorHAnsi"/>
        </w:rPr>
        <w:t>7</w:t>
      </w:r>
      <w:r w:rsidRPr="00FB0BE5">
        <w:rPr>
          <w:rFonts w:asciiTheme="minorHAnsi" w:hAnsiTheme="minorHAnsi" w:cstheme="minorHAnsi"/>
        </w:rPr>
        <w:t>, arieratele</w:t>
      </w:r>
      <w:r w:rsidR="00816B69">
        <w:rPr>
          <w:rFonts w:asciiTheme="minorHAnsi" w:hAnsiTheme="minorHAnsi" w:cstheme="minorHAnsi"/>
        </w:rPr>
        <w:t xml:space="preserve"> </w:t>
      </w:r>
      <w:r w:rsidRPr="00FB0BE5">
        <w:rPr>
          <w:rFonts w:asciiTheme="minorHAnsi" w:hAnsiTheme="minorHAnsi" w:cstheme="minorHAnsi"/>
        </w:rPr>
        <w:t>bugetel</w:t>
      </w:r>
      <w:r w:rsidR="008548D6" w:rsidRPr="00FB0BE5">
        <w:rPr>
          <w:rFonts w:asciiTheme="minorHAnsi" w:hAnsiTheme="minorHAnsi" w:cstheme="minorHAnsi"/>
        </w:rPr>
        <w:t>or</w:t>
      </w:r>
      <w:r w:rsidRPr="00FB0BE5">
        <w:rPr>
          <w:rFonts w:asciiTheme="minorHAnsi" w:hAnsiTheme="minorHAnsi" w:cstheme="minorHAnsi"/>
        </w:rPr>
        <w:t xml:space="preserve"> locale au înregistrat o dinamică neuniformă. Deși acestea au fost nesemnificative (0,</w:t>
      </w:r>
      <w:r w:rsidR="00816B69">
        <w:rPr>
          <w:rFonts w:asciiTheme="minorHAnsi" w:hAnsiTheme="minorHAnsi" w:cstheme="minorHAnsi"/>
        </w:rPr>
        <w:t>3</w:t>
      </w:r>
      <w:r w:rsidRPr="00FB0BE5">
        <w:rPr>
          <w:rFonts w:asciiTheme="minorHAnsi" w:hAnsiTheme="minorHAnsi" w:cstheme="minorHAnsi"/>
        </w:rPr>
        <w:t>-1,8% din volumul cheltuielilor), a fost manifestată o tendință de existență permanentă a acestora</w:t>
      </w:r>
      <w:r w:rsidR="00816B69">
        <w:rPr>
          <w:rFonts w:asciiTheme="minorHAnsi" w:hAnsiTheme="minorHAnsi" w:cstheme="minorHAnsi"/>
        </w:rPr>
        <w:t>.</w:t>
      </w:r>
      <w:r w:rsidRPr="00FB0BE5">
        <w:rPr>
          <w:rFonts w:asciiTheme="minorHAnsi" w:hAnsiTheme="minorHAnsi" w:cstheme="minorHAnsi"/>
        </w:rPr>
        <w:t xml:space="preserve">. </w:t>
      </w:r>
    </w:p>
    <w:p w14:paraId="087DC244" w14:textId="77777777"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 xml:space="preserve">Ținând cont că, autoritățile publice locale sunt independente și bugetele lor se execută în condiții de autonomie financiară, Ministerul Finanțelor nu poate interveni asupra impunerii achitării arieratelor formate. Decizia de efectuare a cheltuielilor, inclusiv de achitare a arieratelor, aparține exclusiv autorităților publice locale. </w:t>
      </w:r>
    </w:p>
    <w:p w14:paraId="5B925EC7" w14:textId="77777777" w:rsidR="00424AC9" w:rsidRPr="00FB0BE5" w:rsidRDefault="00424AC9" w:rsidP="00424AC9">
      <w:pPr>
        <w:ind w:firstLine="567"/>
        <w:jc w:val="both"/>
        <w:rPr>
          <w:rFonts w:asciiTheme="minorHAnsi" w:hAnsiTheme="minorHAnsi" w:cstheme="minorHAnsi"/>
        </w:rPr>
      </w:pPr>
      <w:r w:rsidRPr="00FB0BE5">
        <w:rPr>
          <w:rFonts w:asciiTheme="minorHAnsi" w:hAnsiTheme="minorHAnsi" w:cstheme="minorHAnsi"/>
        </w:rPr>
        <w:t>Principalele cauze de formare a arieratelor sunt: insuficiența alocațiilor bugetare, neîncasarea integrală a veniturilor colectate/proprii planificate, repartizarea incorectă a limitelor de alocații la planificarea bugetului, nefinanțarea lucrărilor de reparații și investiții capitale de către Fondul de eficiență energetică și Fondul ecologic.</w:t>
      </w:r>
    </w:p>
    <w:p w14:paraId="194ADB5A" w14:textId="0A2D0540" w:rsidR="00424AC9" w:rsidRPr="00FB0BE5" w:rsidRDefault="00BC6227" w:rsidP="00424AC9">
      <w:pPr>
        <w:ind w:firstLine="567"/>
        <w:jc w:val="both"/>
        <w:rPr>
          <w:rFonts w:asciiTheme="minorHAnsi" w:hAnsiTheme="minorHAnsi" w:cstheme="minorHAnsi"/>
        </w:rPr>
      </w:pPr>
      <w:r>
        <w:rPr>
          <w:rFonts w:asciiTheme="minorHAnsi" w:hAnsiTheme="minorHAnsi" w:cstheme="minorHAnsi"/>
          <w:noProof/>
          <w:lang w:val="ru-RU" w:eastAsia="ru-RU"/>
        </w:rPr>
        <mc:AlternateContent>
          <mc:Choice Requires="wps">
            <w:drawing>
              <wp:anchor distT="0" distB="0" distL="114300" distR="114300" simplePos="0" relativeHeight="251665920" behindDoc="0" locked="0" layoutInCell="1" allowOverlap="1" wp14:anchorId="50CDF9D7" wp14:editId="0CF0BA70">
                <wp:simplePos x="0" y="0"/>
                <wp:positionH relativeFrom="column">
                  <wp:posOffset>-14605</wp:posOffset>
                </wp:positionH>
                <wp:positionV relativeFrom="paragraph">
                  <wp:posOffset>78105</wp:posOffset>
                </wp:positionV>
                <wp:extent cx="3540760" cy="2552700"/>
                <wp:effectExtent l="0" t="0" r="2540" b="0"/>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2552700"/>
                        </a:xfrm>
                        <a:prstGeom prst="rect">
                          <a:avLst/>
                        </a:prstGeom>
                        <a:solidFill>
                          <a:srgbClr val="FFFFFF"/>
                        </a:solidFill>
                        <a:ln w="9525">
                          <a:solidFill>
                            <a:schemeClr val="bg1">
                              <a:lumMod val="100000"/>
                              <a:lumOff val="0"/>
                            </a:schemeClr>
                          </a:solidFill>
                          <a:miter lim="800000"/>
                          <a:headEnd/>
                          <a:tailEnd/>
                        </a:ln>
                      </wps:spPr>
                      <wps:txbx>
                        <w:txbxContent>
                          <w:p w14:paraId="3536A405" w14:textId="77777777" w:rsidR="00017651" w:rsidRDefault="00017651" w:rsidP="000303D7">
                            <w:pPr>
                              <w:rPr>
                                <w:rFonts w:asciiTheme="minorHAnsi" w:hAnsiTheme="minorHAnsi" w:cstheme="minorHAnsi"/>
                                <w:b/>
                                <w:i/>
                                <w:color w:val="548DD4" w:themeColor="text2" w:themeTint="99"/>
                                <w:sz w:val="22"/>
                                <w:szCs w:val="22"/>
                              </w:rPr>
                            </w:pPr>
                            <w:r w:rsidRPr="008548D6">
                              <w:rPr>
                                <w:rFonts w:asciiTheme="minorHAnsi" w:hAnsiTheme="minorHAnsi" w:cstheme="minorHAnsi"/>
                                <w:b/>
                                <w:i/>
                                <w:color w:val="548DD4" w:themeColor="text2" w:themeTint="99"/>
                                <w:sz w:val="22"/>
                                <w:szCs w:val="22"/>
                              </w:rPr>
                              <w:t>Graficul 10. Evoluția arieratelor la cheltuieli ale APL</w:t>
                            </w:r>
                          </w:p>
                          <w:p w14:paraId="0C3F3287" w14:textId="77777777" w:rsidR="00017651" w:rsidRDefault="00017651" w:rsidP="000303D7">
                            <w:pPr>
                              <w:rPr>
                                <w:rFonts w:asciiTheme="minorHAnsi" w:hAnsiTheme="minorHAnsi" w:cstheme="minorHAnsi"/>
                                <w:b/>
                                <w:i/>
                                <w:color w:val="548DD4" w:themeColor="text2" w:themeTint="99"/>
                                <w:sz w:val="22"/>
                                <w:szCs w:val="22"/>
                              </w:rPr>
                            </w:pPr>
                            <w:r>
                              <w:rPr>
                                <w:noProof/>
                                <w:lang w:val="ru-RU" w:eastAsia="ru-RU"/>
                              </w:rPr>
                              <w:drawing>
                                <wp:inline distT="0" distB="0" distL="0" distR="0" wp14:anchorId="10159328" wp14:editId="26BB2F0A">
                                  <wp:extent cx="3348990" cy="2133870"/>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48990" cy="2133870"/>
                                          </a:xfrm>
                                          <a:prstGeom prst="rect">
                                            <a:avLst/>
                                          </a:prstGeom>
                                          <a:noFill/>
                                          <a:ln>
                                            <a:noFill/>
                                          </a:ln>
                                        </pic:spPr>
                                      </pic:pic>
                                    </a:graphicData>
                                  </a:graphic>
                                </wp:inline>
                              </w:drawing>
                            </w:r>
                          </w:p>
                          <w:p w14:paraId="6F822F4B" w14:textId="77777777" w:rsidR="00017651" w:rsidRDefault="00017651" w:rsidP="000303D7">
                            <w:pPr>
                              <w:rPr>
                                <w:rFonts w:asciiTheme="minorHAnsi" w:hAnsiTheme="minorHAnsi" w:cstheme="minorHAnsi"/>
                                <w:b/>
                                <w:i/>
                                <w:color w:val="548DD4" w:themeColor="text2" w:themeTint="99"/>
                                <w:sz w:val="22"/>
                                <w:szCs w:val="22"/>
                              </w:rPr>
                            </w:pPr>
                          </w:p>
                          <w:p w14:paraId="705D50AC" w14:textId="77777777" w:rsidR="00017651" w:rsidRDefault="00017651" w:rsidP="000303D7">
                            <w:pPr>
                              <w:rPr>
                                <w:rFonts w:asciiTheme="minorHAnsi" w:hAnsiTheme="minorHAnsi" w:cstheme="minorHAnsi"/>
                                <w:b/>
                                <w:i/>
                                <w:color w:val="548DD4" w:themeColor="text2" w:themeTint="99"/>
                                <w:sz w:val="22"/>
                                <w:szCs w:val="22"/>
                              </w:rPr>
                            </w:pPr>
                          </w:p>
                          <w:p w14:paraId="46ECBD36" w14:textId="5E484F8A" w:rsidR="00017651" w:rsidRDefault="00017651" w:rsidP="00030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DF9D7" id="Text Box 17" o:spid="_x0000_s1036" type="#_x0000_t202" style="position:absolute;left:0;text-align:left;margin-left:-1.15pt;margin-top:6.15pt;width:278.8pt;height:2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dpSQIAAJEEAAAOAAAAZHJzL2Uyb0RvYy54bWysVNtu2zAMfR+wfxD0vviypGmNOEWXLsOA&#10;7gK0+wBZlm1huk1SYmdfP0pK0rR7G+YHQSKpI/Ic0qvbSQq0Z9ZxrWpczHKMmKK65aqv8Y+n7btr&#10;jJwnqiVCK1bjA3P4dv32zWo0FSv1oEXLLAIQ5arR1Hjw3lRZ5ujAJHEzbZgCZ6etJB6Ots9aS0ZA&#10;lyIr8/wqG7VtjdWUOQfW++TE64jfdYz6b13nmEeixpCbj6uNaxPWbL0iVW+JGTg9pkH+IQtJuIJH&#10;z1D3xBO0s/wvKMmp1U53fka1zHTXccpiDVBNkb+q5nEghsVagBxnzjS5/wdLv+6/W8TbGpcYKSJB&#10;oic2efRBT6hYBnpG4yqIejQQ5yewg8yxVGceNP3pkNKbgaie3Vmrx4GRFtIrws3s4mrCcQGkGb/o&#10;Ft4hO68j0NRZGbgDNhCgg0yHszQhFwrG94t5vrwCFwVfuViUyzyKl5HqdN1Y5z8xLVHY1NiC9hGe&#10;7B+cD+mQ6hQSXnNa8HbLhYgH2zcbYdGeQJ9s4xcreBUmFBprfLMoF4mBFxChZdkZpOkTS2InodwE&#10;XOThSz0HdujMZD9VErs+QMRkXyQouYc5EVzW+PoCJdD9UbWxiz3hIu2hUqGO/AfKE/l+aqaodBHf&#10;C+I0uj2AIlanuYA5hs2g7W+MRpiJGrtfO2IZRuKzAlVvivk8DFE8zBfLEg720tNceoiiAFVjj1Ha&#10;bnwavJ2xvB/gpcSQ0nfQCR2PGj1ndcwf+j6ycZzRMFiX5xj1/CdZ/wEAAP//AwBQSwMEFAAGAAgA&#10;AAAhAFCn8qjfAAAACQEAAA8AAABkcnMvZG93bnJldi54bWxMj09PwkAQxe8mfofNmHiDLdASLd0S&#10;opGbMVSDHrfdoW3ozjbdBaqf3uGkp/nzXt78JluPthNnHHzrSMFsGoFAqpxpqVbw8f4yeQDhgyaj&#10;O0eo4Bs9rPPbm0ynxl1oh+ci1IJDyKdaQRNCn0rpqwat9lPXI7F2cIPVgcehlmbQFw63nZxH0VJa&#10;3RJfaHSPTw1Wx+JkFfgqWu7f4mL/Wcot/jwa8/y1fVXq/m7crEAEHMOfGa74jA45M5XuRMaLTsFk&#10;vmAn76+V9SRJuCkVxLN4ATLP5P8P8l8AAAD//wMAUEsBAi0AFAAGAAgAAAAhALaDOJL+AAAA4QEA&#10;ABMAAAAAAAAAAAAAAAAAAAAAAFtDb250ZW50X1R5cGVzXS54bWxQSwECLQAUAAYACAAAACEAOP0h&#10;/9YAAACUAQAACwAAAAAAAAAAAAAAAAAvAQAAX3JlbHMvLnJlbHNQSwECLQAUAAYACAAAACEAob1H&#10;aUkCAACRBAAADgAAAAAAAAAAAAAAAAAuAgAAZHJzL2Uyb0RvYy54bWxQSwECLQAUAAYACAAAACEA&#10;UKfyqN8AAAAJAQAADwAAAAAAAAAAAAAAAACjBAAAZHJzL2Rvd25yZXYueG1sUEsFBgAAAAAEAAQA&#10;8wAAAK8FAAAAAA==&#10;" strokecolor="white [3212]">
                <v:textbox>
                  <w:txbxContent>
                    <w:p w14:paraId="3536A405" w14:textId="77777777" w:rsidR="00017651" w:rsidRDefault="00017651" w:rsidP="000303D7">
                      <w:pPr>
                        <w:rPr>
                          <w:rFonts w:asciiTheme="minorHAnsi" w:hAnsiTheme="minorHAnsi" w:cstheme="minorHAnsi"/>
                          <w:b/>
                          <w:i/>
                          <w:color w:val="548DD4" w:themeColor="text2" w:themeTint="99"/>
                          <w:sz w:val="22"/>
                          <w:szCs w:val="22"/>
                        </w:rPr>
                      </w:pPr>
                      <w:r w:rsidRPr="008548D6">
                        <w:rPr>
                          <w:rFonts w:asciiTheme="minorHAnsi" w:hAnsiTheme="minorHAnsi" w:cstheme="minorHAnsi"/>
                          <w:b/>
                          <w:i/>
                          <w:color w:val="548DD4" w:themeColor="text2" w:themeTint="99"/>
                          <w:sz w:val="22"/>
                          <w:szCs w:val="22"/>
                        </w:rPr>
                        <w:t>Graficul 10. Evoluția arieratelor la cheltuieli ale APL</w:t>
                      </w:r>
                    </w:p>
                    <w:p w14:paraId="0C3F3287" w14:textId="77777777" w:rsidR="00017651" w:rsidRDefault="00017651" w:rsidP="000303D7">
                      <w:pPr>
                        <w:rPr>
                          <w:rFonts w:asciiTheme="minorHAnsi" w:hAnsiTheme="minorHAnsi" w:cstheme="minorHAnsi"/>
                          <w:b/>
                          <w:i/>
                          <w:color w:val="548DD4" w:themeColor="text2" w:themeTint="99"/>
                          <w:sz w:val="22"/>
                          <w:szCs w:val="22"/>
                        </w:rPr>
                      </w:pPr>
                      <w:r>
                        <w:rPr>
                          <w:noProof/>
                          <w:lang w:val="ru-RU" w:eastAsia="ru-RU"/>
                        </w:rPr>
                        <w:drawing>
                          <wp:inline distT="0" distB="0" distL="0" distR="0" wp14:anchorId="10159328" wp14:editId="26BB2F0A">
                            <wp:extent cx="3348990" cy="2133870"/>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48990" cy="2133870"/>
                                    </a:xfrm>
                                    <a:prstGeom prst="rect">
                                      <a:avLst/>
                                    </a:prstGeom>
                                    <a:noFill/>
                                    <a:ln>
                                      <a:noFill/>
                                    </a:ln>
                                  </pic:spPr>
                                </pic:pic>
                              </a:graphicData>
                            </a:graphic>
                          </wp:inline>
                        </w:drawing>
                      </w:r>
                    </w:p>
                    <w:p w14:paraId="6F822F4B" w14:textId="77777777" w:rsidR="00017651" w:rsidRDefault="00017651" w:rsidP="000303D7">
                      <w:pPr>
                        <w:rPr>
                          <w:rFonts w:asciiTheme="minorHAnsi" w:hAnsiTheme="minorHAnsi" w:cstheme="minorHAnsi"/>
                          <w:b/>
                          <w:i/>
                          <w:color w:val="548DD4" w:themeColor="text2" w:themeTint="99"/>
                          <w:sz w:val="22"/>
                          <w:szCs w:val="22"/>
                        </w:rPr>
                      </w:pPr>
                    </w:p>
                    <w:p w14:paraId="705D50AC" w14:textId="77777777" w:rsidR="00017651" w:rsidRDefault="00017651" w:rsidP="000303D7">
                      <w:pPr>
                        <w:rPr>
                          <w:rFonts w:asciiTheme="minorHAnsi" w:hAnsiTheme="minorHAnsi" w:cstheme="minorHAnsi"/>
                          <w:b/>
                          <w:i/>
                          <w:color w:val="548DD4" w:themeColor="text2" w:themeTint="99"/>
                          <w:sz w:val="22"/>
                          <w:szCs w:val="22"/>
                        </w:rPr>
                      </w:pPr>
                    </w:p>
                    <w:p w14:paraId="46ECBD36" w14:textId="5E484F8A" w:rsidR="00017651" w:rsidRDefault="00017651" w:rsidP="000303D7"/>
                  </w:txbxContent>
                </v:textbox>
                <w10:wrap type="square"/>
              </v:shape>
            </w:pict>
          </mc:Fallback>
        </mc:AlternateContent>
      </w:r>
      <w:r w:rsidR="00424AC9" w:rsidRPr="00FB0BE5">
        <w:rPr>
          <w:rFonts w:asciiTheme="minorHAnsi" w:hAnsiTheme="minorHAnsi" w:cstheme="minorHAnsi"/>
        </w:rPr>
        <w:t xml:space="preserve">Existența arieratelor denotă o acumulare de cheltuieli efectuate dar nefinanțate, care ar putea pune o povară asupra executării unor bugete locale în următorii ani. Impactul acestor arierate asupra bugetelor locale comportă </w:t>
      </w:r>
      <w:r w:rsidR="000552FE" w:rsidRPr="00FB0BE5">
        <w:rPr>
          <w:rFonts w:asciiTheme="minorHAnsi" w:hAnsiTheme="minorHAnsi" w:cstheme="minorHAnsi"/>
          <w:b/>
          <w:i/>
        </w:rPr>
        <w:t>un risc fiscal redus</w:t>
      </w:r>
      <w:r w:rsidR="00424AC9" w:rsidRPr="00FB0BE5">
        <w:rPr>
          <w:rFonts w:asciiTheme="minorHAnsi" w:hAnsiTheme="minorHAnsi" w:cstheme="minorHAnsi"/>
        </w:rPr>
        <w:t xml:space="preserve"> ca pondere în suma totală a cheltuielilor și ca pondere în PIB, însă existența permanentă a arieratelor impune întreprinderea unor măsuri în sensul neadmiterii lor.</w:t>
      </w:r>
    </w:p>
    <w:p w14:paraId="67CDC41D" w14:textId="77777777" w:rsidR="00424AC9" w:rsidRPr="00FB0BE5" w:rsidRDefault="00424AC9" w:rsidP="008548D6">
      <w:pPr>
        <w:ind w:firstLine="567"/>
        <w:jc w:val="both"/>
        <w:rPr>
          <w:rFonts w:asciiTheme="minorHAnsi" w:hAnsiTheme="minorHAnsi" w:cstheme="minorHAnsi"/>
          <w:b/>
        </w:rPr>
      </w:pPr>
    </w:p>
    <w:p w14:paraId="29A8B508" w14:textId="77777777" w:rsidR="007B5D84" w:rsidRDefault="007B5D84" w:rsidP="008548D6">
      <w:pPr>
        <w:ind w:firstLine="567"/>
        <w:jc w:val="both"/>
        <w:rPr>
          <w:rFonts w:asciiTheme="minorHAnsi" w:hAnsiTheme="minorHAnsi" w:cstheme="minorHAnsi"/>
          <w:b/>
        </w:rPr>
      </w:pPr>
    </w:p>
    <w:p w14:paraId="5BE9841F" w14:textId="29D9F56A" w:rsidR="00424AC9" w:rsidRPr="00FB0BE5" w:rsidRDefault="00424AC9" w:rsidP="008548D6">
      <w:pPr>
        <w:ind w:firstLine="567"/>
        <w:jc w:val="both"/>
        <w:rPr>
          <w:rFonts w:asciiTheme="minorHAnsi" w:hAnsiTheme="minorHAnsi" w:cstheme="minorHAnsi"/>
          <w:b/>
        </w:rPr>
      </w:pPr>
      <w:r w:rsidRPr="00FB0BE5">
        <w:rPr>
          <w:rFonts w:asciiTheme="minorHAnsi" w:hAnsiTheme="minorHAnsi" w:cstheme="minorHAnsi"/>
          <w:b/>
        </w:rPr>
        <w:t>Măsuri de atenuare</w:t>
      </w:r>
      <w:r w:rsidR="00B658A2" w:rsidRPr="00FB0BE5">
        <w:rPr>
          <w:rFonts w:asciiTheme="minorHAnsi" w:hAnsiTheme="minorHAnsi" w:cstheme="minorHAnsi"/>
          <w:b/>
        </w:rPr>
        <w:t xml:space="preserve"> a riscurilor</w:t>
      </w:r>
    </w:p>
    <w:p w14:paraId="287E6F35" w14:textId="77777777" w:rsidR="00424AC9" w:rsidRPr="00FB0BE5" w:rsidRDefault="00424AC9" w:rsidP="008548D6">
      <w:pPr>
        <w:ind w:firstLine="567"/>
        <w:jc w:val="both"/>
        <w:rPr>
          <w:rFonts w:asciiTheme="minorHAnsi" w:hAnsiTheme="minorHAnsi" w:cstheme="minorHAnsi"/>
          <w:b/>
        </w:rPr>
      </w:pPr>
    </w:p>
    <w:p w14:paraId="157D04D8" w14:textId="77777777" w:rsidR="00424AC9" w:rsidRPr="00FB0BE5" w:rsidRDefault="00424AC9" w:rsidP="008548D6">
      <w:pPr>
        <w:ind w:firstLine="567"/>
        <w:jc w:val="both"/>
        <w:rPr>
          <w:rFonts w:asciiTheme="minorHAnsi" w:hAnsiTheme="minorHAnsi" w:cstheme="minorHAnsi"/>
        </w:rPr>
      </w:pPr>
      <w:r w:rsidRPr="00FB0BE5">
        <w:rPr>
          <w:rFonts w:asciiTheme="minorHAnsi" w:hAnsiTheme="minorHAnsi" w:cstheme="minorHAnsi"/>
        </w:rPr>
        <w:t>În scopul</w:t>
      </w:r>
      <w:r w:rsidR="00F65012" w:rsidRPr="00FB0BE5">
        <w:rPr>
          <w:rFonts w:asciiTheme="minorHAnsi" w:hAnsiTheme="minorHAnsi" w:cstheme="minorHAnsi"/>
        </w:rPr>
        <w:t xml:space="preserve"> r</w:t>
      </w:r>
      <w:r w:rsidRPr="00FB0BE5">
        <w:rPr>
          <w:rFonts w:asciiTheme="minorHAnsi" w:hAnsiTheme="minorHAnsi" w:cstheme="minorHAnsi"/>
        </w:rPr>
        <w:t xml:space="preserve">educerii </w:t>
      </w:r>
      <w:r w:rsidR="002A7E09">
        <w:rPr>
          <w:rFonts w:asciiTheme="minorHAnsi" w:hAnsiTheme="minorHAnsi" w:cstheme="minorHAnsi"/>
        </w:rPr>
        <w:t xml:space="preserve">și neadmiterii pe viitor a </w:t>
      </w:r>
      <w:r w:rsidRPr="00FB0BE5">
        <w:rPr>
          <w:rFonts w:asciiTheme="minorHAnsi" w:hAnsiTheme="minorHAnsi" w:cstheme="minorHAnsi"/>
        </w:rPr>
        <w:t>arieratelor:</w:t>
      </w:r>
    </w:p>
    <w:p w14:paraId="782F9BF8" w14:textId="221EDA75" w:rsidR="00424AC9" w:rsidRPr="00FB0BE5" w:rsidRDefault="00424AC9" w:rsidP="003A55C8">
      <w:pPr>
        <w:pStyle w:val="ListParagraph"/>
        <w:numPr>
          <w:ilvl w:val="0"/>
          <w:numId w:val="25"/>
        </w:numPr>
        <w:tabs>
          <w:tab w:val="left" w:pos="851"/>
        </w:tabs>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 xml:space="preserve">au fost </w:t>
      </w:r>
      <w:r w:rsidR="002A7E09">
        <w:rPr>
          <w:rFonts w:asciiTheme="minorHAnsi" w:hAnsiTheme="minorHAnsi" w:cstheme="minorHAnsi"/>
          <w:sz w:val="24"/>
          <w:szCs w:val="24"/>
        </w:rPr>
        <w:t xml:space="preserve">operate modificări </w:t>
      </w:r>
      <w:r w:rsidRPr="00FB0BE5">
        <w:rPr>
          <w:rFonts w:asciiTheme="minorHAnsi" w:hAnsiTheme="minorHAnsi" w:cstheme="minorHAnsi"/>
          <w:sz w:val="24"/>
          <w:szCs w:val="24"/>
        </w:rPr>
        <w:t xml:space="preserve"> la articolul 67 al Legii finanțelor publice și responsabilității bugetar-fiscale nr.181</w:t>
      </w:r>
      <w:r w:rsidR="00B32DD3" w:rsidRPr="00FB0BE5">
        <w:rPr>
          <w:rFonts w:asciiTheme="minorHAnsi" w:hAnsiTheme="minorHAnsi" w:cstheme="minorHAnsi"/>
          <w:sz w:val="24"/>
          <w:szCs w:val="24"/>
        </w:rPr>
        <w:t>/</w:t>
      </w:r>
      <w:r w:rsidRPr="00FB0BE5">
        <w:rPr>
          <w:rFonts w:asciiTheme="minorHAnsi" w:hAnsiTheme="minorHAnsi" w:cstheme="minorHAnsi"/>
          <w:sz w:val="24"/>
          <w:szCs w:val="24"/>
        </w:rPr>
        <w:t xml:space="preserve"> 2014, prin care s-au stabilit reglementări de achitare a</w:t>
      </w:r>
      <w:r w:rsidR="002A7E09">
        <w:rPr>
          <w:rFonts w:asciiTheme="minorHAnsi" w:hAnsiTheme="minorHAnsi" w:cstheme="minorHAnsi"/>
          <w:sz w:val="24"/>
          <w:szCs w:val="24"/>
        </w:rPr>
        <w:t xml:space="preserve"> </w:t>
      </w:r>
      <w:r w:rsidRPr="00FB0BE5">
        <w:rPr>
          <w:rFonts w:asciiTheme="minorHAnsi" w:hAnsiTheme="minorHAnsi" w:cstheme="minorHAnsi"/>
          <w:sz w:val="24"/>
          <w:szCs w:val="24"/>
        </w:rPr>
        <w:t>arieratelor în mod prioritar.</w:t>
      </w:r>
    </w:p>
    <w:p w14:paraId="557F8090" w14:textId="14AF91CC" w:rsidR="00424AC9" w:rsidRDefault="00424AC9" w:rsidP="003A55C8">
      <w:pPr>
        <w:pStyle w:val="ListParagraph"/>
        <w:numPr>
          <w:ilvl w:val="0"/>
          <w:numId w:val="25"/>
        </w:numPr>
        <w:tabs>
          <w:tab w:val="left" w:pos="851"/>
        </w:tabs>
        <w:spacing w:after="0" w:line="240" w:lineRule="auto"/>
        <w:ind w:left="0" w:firstLine="567"/>
        <w:jc w:val="both"/>
        <w:rPr>
          <w:rFonts w:asciiTheme="minorHAnsi" w:hAnsiTheme="minorHAnsi" w:cstheme="minorHAnsi"/>
          <w:sz w:val="24"/>
          <w:szCs w:val="24"/>
        </w:rPr>
      </w:pPr>
      <w:r w:rsidRPr="00FB0BE5">
        <w:rPr>
          <w:rFonts w:asciiTheme="minorHAnsi" w:hAnsiTheme="minorHAnsi" w:cstheme="minorHAnsi"/>
          <w:sz w:val="24"/>
          <w:szCs w:val="24"/>
        </w:rPr>
        <w:t>a fost modificat Ordinul</w:t>
      </w:r>
      <w:r w:rsidR="00D67C35">
        <w:rPr>
          <w:rFonts w:asciiTheme="minorHAnsi" w:hAnsiTheme="minorHAnsi" w:cstheme="minorHAnsi"/>
          <w:sz w:val="24"/>
          <w:szCs w:val="24"/>
        </w:rPr>
        <w:t xml:space="preserve"> </w:t>
      </w:r>
      <w:r w:rsidRPr="00FB0BE5">
        <w:rPr>
          <w:rFonts w:asciiTheme="minorHAnsi" w:hAnsiTheme="minorHAnsi" w:cstheme="minorHAnsi"/>
          <w:sz w:val="24"/>
          <w:szCs w:val="24"/>
        </w:rPr>
        <w:t xml:space="preserve">ministrului finanțelor cu privire la aprobarea Planului de conturi contabile în sistemul bugetar şi a Normelor metodologice privind </w:t>
      </w:r>
      <w:r w:rsidR="002A7E09" w:rsidRPr="00FB0BE5">
        <w:rPr>
          <w:rFonts w:asciiTheme="minorHAnsi" w:hAnsiTheme="minorHAnsi" w:cstheme="minorHAnsi"/>
          <w:sz w:val="24"/>
          <w:szCs w:val="24"/>
        </w:rPr>
        <w:t>evidentă</w:t>
      </w:r>
      <w:r w:rsidRPr="00FB0BE5">
        <w:rPr>
          <w:rFonts w:asciiTheme="minorHAnsi" w:hAnsiTheme="minorHAnsi" w:cstheme="minorHAnsi"/>
          <w:sz w:val="24"/>
          <w:szCs w:val="24"/>
        </w:rPr>
        <w:t xml:space="preserve"> contabilă şi raportarea financiară în sistemul bugetar nr. 216din28.12.2015. Aceste modificări se referă la introducerea unui formular privind vechimea arieratelor, care va fi automatizat în sistemul informațional de management financiar (SIMF), ce va permite pe viitor o monitorizare și o analiză mai detaliată a arieratelor, și întreprinderea măsurilor de reducere a acestora.</w:t>
      </w:r>
    </w:p>
    <w:p w14:paraId="631921EF" w14:textId="466DA50B" w:rsidR="007D6E9D" w:rsidRDefault="007D6E9D" w:rsidP="00166A39">
      <w:pPr>
        <w:tabs>
          <w:tab w:val="left" w:pos="851"/>
        </w:tabs>
        <w:jc w:val="both"/>
        <w:rPr>
          <w:rFonts w:asciiTheme="minorHAnsi" w:hAnsiTheme="minorHAnsi" w:cstheme="minorHAnsi"/>
        </w:rPr>
      </w:pPr>
    </w:p>
    <w:p w14:paraId="7761810E" w14:textId="52A14C95" w:rsidR="007D6E9D" w:rsidRDefault="007D6E9D" w:rsidP="00166A39">
      <w:pPr>
        <w:tabs>
          <w:tab w:val="left" w:pos="851"/>
        </w:tabs>
        <w:jc w:val="both"/>
        <w:rPr>
          <w:rFonts w:asciiTheme="minorHAnsi" w:hAnsiTheme="minorHAnsi" w:cstheme="minorHAnsi"/>
        </w:rPr>
      </w:pPr>
    </w:p>
    <w:p w14:paraId="1103DA3B" w14:textId="77777777" w:rsidR="007D6E9D" w:rsidRPr="00166A39" w:rsidRDefault="007D6E9D" w:rsidP="00166A39">
      <w:pPr>
        <w:tabs>
          <w:tab w:val="left" w:pos="851"/>
        </w:tabs>
        <w:jc w:val="both"/>
        <w:rPr>
          <w:rFonts w:asciiTheme="minorHAnsi" w:hAnsiTheme="minorHAnsi" w:cstheme="minorHAnsi"/>
        </w:rPr>
      </w:pPr>
    </w:p>
    <w:p w14:paraId="1773FDBD" w14:textId="77777777" w:rsidR="00424AC9" w:rsidRPr="00FB0BE5" w:rsidRDefault="00424AC9" w:rsidP="00424AC9">
      <w:pPr>
        <w:ind w:firstLine="709"/>
        <w:jc w:val="both"/>
        <w:rPr>
          <w:rFonts w:asciiTheme="minorHAnsi" w:hAnsiTheme="minorHAnsi" w:cstheme="minorHAnsi"/>
        </w:rPr>
      </w:pPr>
    </w:p>
    <w:p w14:paraId="57DA04F0" w14:textId="77777777" w:rsidR="00424AC9" w:rsidRPr="00166A39" w:rsidRDefault="000E1111" w:rsidP="00424AC9">
      <w:pPr>
        <w:pStyle w:val="Heading3"/>
        <w:ind w:firstLine="567"/>
        <w:rPr>
          <w:b w:val="0"/>
        </w:rPr>
      </w:pPr>
      <w:bookmarkStart w:id="23" w:name="_Toc498455217"/>
      <w:r w:rsidRPr="00166A39">
        <w:lastRenderedPageBreak/>
        <w:t>2.1.3. Recreditarea și garanțiile acordate de la bugetul de stat APL</w:t>
      </w:r>
      <w:bookmarkEnd w:id="23"/>
    </w:p>
    <w:p w14:paraId="61FC5DC0" w14:textId="77777777" w:rsidR="00424AC9" w:rsidRPr="00166A39" w:rsidRDefault="00424AC9" w:rsidP="00424AC9">
      <w:pPr>
        <w:ind w:firstLine="708"/>
        <w:jc w:val="both"/>
        <w:rPr>
          <w:rFonts w:asciiTheme="minorHAnsi" w:hAnsiTheme="minorHAnsi" w:cstheme="minorHAnsi"/>
          <w:b/>
        </w:rPr>
      </w:pPr>
    </w:p>
    <w:p w14:paraId="29A5848A" w14:textId="77777777" w:rsidR="00424AC9" w:rsidRPr="00166A39" w:rsidRDefault="000E1111" w:rsidP="00424AC9">
      <w:pPr>
        <w:ind w:firstLine="567"/>
        <w:jc w:val="both"/>
        <w:rPr>
          <w:rFonts w:asciiTheme="minorHAnsi" w:hAnsiTheme="minorHAnsi" w:cstheme="minorHAnsi"/>
          <w:b/>
        </w:rPr>
      </w:pPr>
      <w:r w:rsidRPr="00166A39">
        <w:rPr>
          <w:rFonts w:asciiTheme="minorHAnsi" w:hAnsiTheme="minorHAnsi" w:cstheme="minorHAnsi"/>
          <w:b/>
        </w:rPr>
        <w:t>Situația curentă</w:t>
      </w:r>
    </w:p>
    <w:p w14:paraId="4F2C6FA6" w14:textId="55478D09" w:rsidR="00424AC9" w:rsidRPr="00166A39" w:rsidRDefault="000E1111" w:rsidP="008548D6">
      <w:pPr>
        <w:ind w:firstLine="567"/>
        <w:jc w:val="both"/>
        <w:rPr>
          <w:rFonts w:asciiTheme="minorHAnsi" w:hAnsiTheme="minorHAnsi" w:cstheme="minorHAnsi"/>
        </w:rPr>
      </w:pPr>
      <w:r w:rsidRPr="00166A39">
        <w:rPr>
          <w:rFonts w:asciiTheme="minorHAnsi" w:hAnsiTheme="minorHAnsi" w:cstheme="minorHAnsi"/>
        </w:rPr>
        <w:t>Începând cu anul 2004 și p</w:t>
      </w:r>
      <w:r w:rsidR="000B3632" w:rsidRPr="00166A39">
        <w:rPr>
          <w:rFonts w:asciiTheme="minorHAnsi" w:hAnsiTheme="minorHAnsi" w:cstheme="minorHAnsi"/>
          <w:lang w:val="ro-MD"/>
        </w:rPr>
        <w:t>â</w:t>
      </w:r>
      <w:r w:rsidRPr="00166A39">
        <w:rPr>
          <w:rFonts w:asciiTheme="minorHAnsi" w:hAnsiTheme="minorHAnsi" w:cstheme="minorHAnsi"/>
        </w:rPr>
        <w:t>nă în prezent au fost implementate diverse</w:t>
      </w:r>
      <w:r w:rsidR="00816B69" w:rsidRPr="00166A39">
        <w:rPr>
          <w:rFonts w:asciiTheme="minorHAnsi" w:hAnsiTheme="minorHAnsi" w:cstheme="minorHAnsi"/>
        </w:rPr>
        <w:t xml:space="preserve"> </w:t>
      </w:r>
      <w:r w:rsidRPr="00166A39">
        <w:rPr>
          <w:rFonts w:asciiTheme="minorHAnsi" w:hAnsiTheme="minorHAnsi" w:cstheme="minorHAnsi"/>
        </w:rPr>
        <w:t>proiecte investiționale în teritoriu în domeniul energetic, construcția locuințelor sociale și dezvoltarea serviciilor de aprovizionare cu apă și canalizare, finanțate din surse externe prin operațiunea de recreditare de stat. Astfel, 26 de autorități publice locale (APL) au beneficiat de împrumuturi recreditate în cadrul proiectelor investiționale. Soldul datoriilor APL la situația din 30.09.201</w:t>
      </w:r>
      <w:r w:rsidR="001331DF" w:rsidRPr="00166A39">
        <w:rPr>
          <w:rFonts w:asciiTheme="minorHAnsi" w:hAnsiTheme="minorHAnsi" w:cstheme="minorHAnsi"/>
        </w:rPr>
        <w:t>8</w:t>
      </w:r>
      <w:r w:rsidRPr="00166A39">
        <w:rPr>
          <w:rFonts w:asciiTheme="minorHAnsi" w:hAnsiTheme="minorHAnsi" w:cstheme="minorHAnsi"/>
        </w:rPr>
        <w:t xml:space="preserve"> constituia </w:t>
      </w:r>
      <w:r w:rsidR="00753DCC" w:rsidRPr="00166A39">
        <w:rPr>
          <w:rFonts w:asciiTheme="minorHAnsi" w:hAnsiTheme="minorHAnsi" w:cstheme="minorHAnsi"/>
        </w:rPr>
        <w:t>694,5</w:t>
      </w:r>
      <w:r w:rsidRPr="00166A39">
        <w:rPr>
          <w:rFonts w:asciiTheme="minorHAnsi" w:hAnsiTheme="minorHAnsi" w:cstheme="minorHAnsi"/>
        </w:rPr>
        <w:t xml:space="preserve"> mil. lei (</w:t>
      </w:r>
      <w:r w:rsidR="001331DF" w:rsidRPr="00166A39">
        <w:rPr>
          <w:rFonts w:asciiTheme="minorHAnsi" w:hAnsiTheme="minorHAnsi" w:cstheme="minorHAnsi"/>
        </w:rPr>
        <w:t>0.4</w:t>
      </w:r>
      <w:r w:rsidRPr="00166A39">
        <w:rPr>
          <w:rFonts w:asciiTheme="minorHAnsi" w:hAnsiTheme="minorHAnsi" w:cstheme="minorHAnsi"/>
        </w:rPr>
        <w:t xml:space="preserve">% din PIB), inclusiv datoria cu termen de achitare expirat </w:t>
      </w:r>
      <w:r w:rsidR="00753DCC" w:rsidRPr="00166A39">
        <w:rPr>
          <w:rFonts w:asciiTheme="minorHAnsi" w:hAnsiTheme="minorHAnsi" w:cstheme="minorHAnsi"/>
        </w:rPr>
        <w:t xml:space="preserve">constituie </w:t>
      </w:r>
      <w:r w:rsidR="00164876" w:rsidRPr="00166A39">
        <w:rPr>
          <w:rFonts w:asciiTheme="minorHAnsi" w:hAnsiTheme="minorHAnsi" w:cstheme="minorHAnsi"/>
        </w:rPr>
        <w:t>1,1 mii lei</w:t>
      </w:r>
      <w:r w:rsidRPr="00166A39">
        <w:rPr>
          <w:rFonts w:asciiTheme="minorHAnsi" w:hAnsiTheme="minorHAnsi" w:cstheme="minorHAnsi"/>
        </w:rPr>
        <w:t xml:space="preserve"> </w:t>
      </w:r>
    </w:p>
    <w:p w14:paraId="76C41A2E" w14:textId="6D5C813C" w:rsidR="00424AC9" w:rsidRPr="00166A39" w:rsidRDefault="000E1111" w:rsidP="008548D6">
      <w:pPr>
        <w:ind w:firstLine="567"/>
        <w:jc w:val="both"/>
        <w:rPr>
          <w:rFonts w:asciiTheme="minorHAnsi" w:hAnsiTheme="minorHAnsi" w:cstheme="minorHAnsi"/>
        </w:rPr>
      </w:pPr>
      <w:r w:rsidRPr="00166A39">
        <w:rPr>
          <w:rFonts w:asciiTheme="minorHAnsi" w:hAnsiTheme="minorHAnsi" w:cstheme="minorHAnsi"/>
        </w:rPr>
        <w:t>Totodată, APL au emis garanții în cadrul proiectelor investiționale. Soldul garanțiilor emise de APL la situația din 30.09.201</w:t>
      </w:r>
      <w:r w:rsidR="001331DF" w:rsidRPr="00166A39">
        <w:rPr>
          <w:rFonts w:asciiTheme="minorHAnsi" w:hAnsiTheme="minorHAnsi" w:cstheme="minorHAnsi"/>
        </w:rPr>
        <w:t>8</w:t>
      </w:r>
      <w:r w:rsidRPr="00166A39">
        <w:rPr>
          <w:rFonts w:asciiTheme="minorHAnsi" w:hAnsiTheme="minorHAnsi" w:cstheme="minorHAnsi"/>
        </w:rPr>
        <w:t xml:space="preserve"> constituie suma de </w:t>
      </w:r>
      <w:r w:rsidR="00EC0E8D" w:rsidRPr="00166A39">
        <w:rPr>
          <w:rFonts w:asciiTheme="minorHAnsi" w:hAnsiTheme="minorHAnsi" w:cstheme="minorHAnsi"/>
        </w:rPr>
        <w:t>408,3</w:t>
      </w:r>
      <w:r w:rsidRPr="00166A39">
        <w:rPr>
          <w:rFonts w:asciiTheme="minorHAnsi" w:hAnsiTheme="minorHAnsi" w:cstheme="minorHAnsi"/>
        </w:rPr>
        <w:t xml:space="preserve"> mil</w:t>
      </w:r>
      <w:r w:rsidR="00356246" w:rsidRPr="00166A39">
        <w:rPr>
          <w:rFonts w:asciiTheme="minorHAnsi" w:hAnsiTheme="minorHAnsi" w:cstheme="minorHAnsi"/>
        </w:rPr>
        <w:t>.</w:t>
      </w:r>
      <w:r w:rsidRPr="00166A39">
        <w:rPr>
          <w:rFonts w:asciiTheme="minorHAnsi" w:hAnsiTheme="minorHAnsi" w:cstheme="minorHAnsi"/>
        </w:rPr>
        <w:t xml:space="preserve"> lei ( 0,</w:t>
      </w:r>
      <w:r w:rsidR="00EC0E8D" w:rsidRPr="00166A39">
        <w:rPr>
          <w:rFonts w:asciiTheme="minorHAnsi" w:hAnsiTheme="minorHAnsi" w:cstheme="minorHAnsi"/>
        </w:rPr>
        <w:t>2</w:t>
      </w:r>
      <w:r w:rsidRPr="00166A39">
        <w:rPr>
          <w:rFonts w:asciiTheme="minorHAnsi" w:hAnsiTheme="minorHAnsi" w:cstheme="minorHAnsi"/>
        </w:rPr>
        <w:t>% din PIB)</w:t>
      </w:r>
    </w:p>
    <w:p w14:paraId="5C2D3F9C" w14:textId="77777777" w:rsidR="00424AC9" w:rsidRPr="00166A39" w:rsidRDefault="000E1111" w:rsidP="008548D6">
      <w:pPr>
        <w:ind w:firstLine="567"/>
        <w:jc w:val="both"/>
        <w:rPr>
          <w:rFonts w:asciiTheme="minorHAnsi" w:hAnsiTheme="minorHAnsi" w:cstheme="minorHAnsi"/>
        </w:rPr>
      </w:pPr>
      <w:r w:rsidRPr="00166A39">
        <w:rPr>
          <w:rFonts w:asciiTheme="minorHAnsi" w:hAnsiTheme="minorHAnsi" w:cstheme="minorHAnsi"/>
        </w:rPr>
        <w:t>Astfel, riscurile bugetar-fiscale identificate aferente recreditării APL și acordării garanțiilor de către acestea</w:t>
      </w:r>
      <w:r w:rsidR="00816B69" w:rsidRPr="00166A39">
        <w:rPr>
          <w:rFonts w:asciiTheme="minorHAnsi" w:hAnsiTheme="minorHAnsi" w:cstheme="minorHAnsi"/>
        </w:rPr>
        <w:t xml:space="preserve"> </w:t>
      </w:r>
      <w:r w:rsidRPr="00166A39">
        <w:rPr>
          <w:rFonts w:asciiTheme="minorHAnsi" w:hAnsiTheme="minorHAnsi" w:cstheme="minorHAnsi"/>
        </w:rPr>
        <w:t>sunt:</w:t>
      </w:r>
    </w:p>
    <w:p w14:paraId="4EEE28E6" w14:textId="77777777" w:rsidR="00424AC9" w:rsidRPr="00166A39" w:rsidRDefault="000E1111"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166A39">
        <w:rPr>
          <w:rFonts w:asciiTheme="minorHAnsi" w:hAnsiTheme="minorHAnsi" w:cstheme="minorHAnsi"/>
          <w:sz w:val="24"/>
          <w:szCs w:val="24"/>
        </w:rPr>
        <w:t>riscul de schimb valutar;</w:t>
      </w:r>
    </w:p>
    <w:p w14:paraId="21A3E89B" w14:textId="77777777" w:rsidR="00424AC9" w:rsidRPr="00166A39" w:rsidRDefault="000E1111"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166A39">
        <w:rPr>
          <w:rFonts w:asciiTheme="minorHAnsi" w:hAnsiTheme="minorHAnsi" w:cstheme="minorHAnsi"/>
          <w:sz w:val="24"/>
          <w:szCs w:val="24"/>
        </w:rPr>
        <w:t>estimări nerealiste a veniturilor la adoptarea deciziei de angajare a împrumutului;</w:t>
      </w:r>
    </w:p>
    <w:p w14:paraId="281F4F1D" w14:textId="77777777" w:rsidR="00424AC9" w:rsidRPr="00166A39" w:rsidRDefault="000E1111"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166A39">
        <w:rPr>
          <w:rFonts w:asciiTheme="minorHAnsi" w:hAnsiTheme="minorHAnsi" w:cstheme="minorHAnsi"/>
          <w:sz w:val="24"/>
          <w:szCs w:val="24"/>
        </w:rPr>
        <w:t>supra-îndatorarea bugetelor locale;</w:t>
      </w:r>
    </w:p>
    <w:p w14:paraId="542AC5FA" w14:textId="77777777" w:rsidR="00424AC9" w:rsidRPr="00166A39" w:rsidRDefault="000E1111" w:rsidP="003A55C8">
      <w:pPr>
        <w:pStyle w:val="ListParagraph"/>
        <w:numPr>
          <w:ilvl w:val="0"/>
          <w:numId w:val="23"/>
        </w:numPr>
        <w:spacing w:after="0" w:line="240" w:lineRule="auto"/>
        <w:ind w:left="851" w:hanging="284"/>
        <w:jc w:val="both"/>
        <w:rPr>
          <w:rFonts w:asciiTheme="minorHAnsi" w:hAnsiTheme="minorHAnsi" w:cstheme="minorHAnsi"/>
          <w:sz w:val="24"/>
          <w:szCs w:val="24"/>
        </w:rPr>
      </w:pPr>
      <w:r w:rsidRPr="00166A39">
        <w:rPr>
          <w:rFonts w:asciiTheme="minorHAnsi" w:hAnsiTheme="minorHAnsi" w:cstheme="minorHAnsi"/>
          <w:sz w:val="24"/>
          <w:szCs w:val="24"/>
        </w:rPr>
        <w:t>insolvența Regiilor Apă-Canal, beneficiari de împrumuturi recreditate, garantate de APL;</w:t>
      </w:r>
    </w:p>
    <w:p w14:paraId="07F9FBBD" w14:textId="60A19F54" w:rsidR="00424AC9" w:rsidRPr="00166A39" w:rsidRDefault="000E1111" w:rsidP="003A55C8">
      <w:pPr>
        <w:pStyle w:val="ListParagraph"/>
        <w:spacing w:after="0" w:line="240" w:lineRule="auto"/>
        <w:ind w:left="0" w:firstLine="567"/>
        <w:jc w:val="both"/>
        <w:rPr>
          <w:rFonts w:asciiTheme="minorHAnsi" w:hAnsiTheme="minorHAnsi" w:cstheme="minorHAnsi"/>
          <w:sz w:val="24"/>
          <w:szCs w:val="24"/>
        </w:rPr>
      </w:pPr>
      <w:r w:rsidRPr="00166A39">
        <w:rPr>
          <w:rFonts w:asciiTheme="minorHAnsi" w:hAnsiTheme="minorHAnsi" w:cstheme="minorHAnsi"/>
          <w:sz w:val="24"/>
          <w:szCs w:val="24"/>
        </w:rPr>
        <w:t>Pe parcursul anilor 201</w:t>
      </w:r>
      <w:r w:rsidR="00015AE7" w:rsidRPr="00166A39">
        <w:rPr>
          <w:rFonts w:asciiTheme="minorHAnsi" w:hAnsiTheme="minorHAnsi" w:cstheme="minorHAnsi"/>
          <w:sz w:val="24"/>
          <w:szCs w:val="24"/>
        </w:rPr>
        <w:t>9</w:t>
      </w:r>
      <w:r w:rsidRPr="00166A39">
        <w:rPr>
          <w:rFonts w:asciiTheme="minorHAnsi" w:hAnsiTheme="minorHAnsi" w:cstheme="minorHAnsi"/>
          <w:sz w:val="24"/>
          <w:szCs w:val="24"/>
        </w:rPr>
        <w:t>-202</w:t>
      </w:r>
      <w:r w:rsidR="00015AE7" w:rsidRPr="00166A39">
        <w:rPr>
          <w:rFonts w:asciiTheme="minorHAnsi" w:hAnsiTheme="minorHAnsi" w:cstheme="minorHAnsi"/>
          <w:sz w:val="24"/>
          <w:szCs w:val="24"/>
        </w:rPr>
        <w:t>1</w:t>
      </w:r>
      <w:r w:rsidRPr="00166A39">
        <w:rPr>
          <w:rFonts w:asciiTheme="minorHAnsi" w:hAnsiTheme="minorHAnsi" w:cstheme="minorHAnsi"/>
          <w:sz w:val="24"/>
          <w:szCs w:val="24"/>
        </w:rPr>
        <w:t xml:space="preserve"> se planifică mijloace financiare îndreptate pentru recreditarea APL </w:t>
      </w:r>
      <w:r w:rsidR="00015AE7" w:rsidRPr="00166A39">
        <w:rPr>
          <w:rFonts w:asciiTheme="minorHAnsi" w:hAnsiTheme="minorHAnsi" w:cstheme="minorHAnsi"/>
          <w:sz w:val="24"/>
          <w:szCs w:val="24"/>
        </w:rPr>
        <w:t>în sumă de 0</w:t>
      </w:r>
      <w:r w:rsidRPr="00166A39">
        <w:rPr>
          <w:rFonts w:asciiTheme="minorHAnsi" w:hAnsiTheme="minorHAnsi" w:cstheme="minorHAnsi"/>
          <w:sz w:val="24"/>
          <w:szCs w:val="24"/>
        </w:rPr>
        <w:t>,</w:t>
      </w:r>
      <w:r w:rsidR="00015AE7" w:rsidRPr="00166A39">
        <w:rPr>
          <w:rFonts w:asciiTheme="minorHAnsi" w:hAnsiTheme="minorHAnsi" w:cstheme="minorHAnsi"/>
          <w:sz w:val="24"/>
          <w:szCs w:val="24"/>
        </w:rPr>
        <w:t>8</w:t>
      </w:r>
      <w:r w:rsidRPr="00166A39">
        <w:rPr>
          <w:rFonts w:asciiTheme="minorHAnsi" w:hAnsiTheme="minorHAnsi" w:cstheme="minorHAnsi"/>
          <w:sz w:val="24"/>
          <w:szCs w:val="24"/>
        </w:rPr>
        <w:t xml:space="preserve"> mil. lei</w:t>
      </w:r>
      <w:r w:rsidR="00015AE7" w:rsidRPr="00166A39">
        <w:rPr>
          <w:rFonts w:asciiTheme="minorHAnsi" w:hAnsiTheme="minorHAnsi" w:cstheme="minorHAnsi"/>
          <w:sz w:val="24"/>
          <w:szCs w:val="24"/>
        </w:rPr>
        <w:t xml:space="preserve"> (</w:t>
      </w:r>
      <w:r w:rsidRPr="00166A39">
        <w:rPr>
          <w:rFonts w:asciiTheme="minorHAnsi" w:hAnsiTheme="minorHAnsi" w:cstheme="minorHAnsi"/>
          <w:sz w:val="24"/>
          <w:szCs w:val="24"/>
        </w:rPr>
        <w:t>în 201</w:t>
      </w:r>
      <w:r w:rsidR="00015AE7" w:rsidRPr="00166A39">
        <w:rPr>
          <w:rFonts w:asciiTheme="minorHAnsi" w:hAnsiTheme="minorHAnsi" w:cstheme="minorHAnsi"/>
          <w:sz w:val="24"/>
          <w:szCs w:val="24"/>
        </w:rPr>
        <w:t>9)</w:t>
      </w:r>
      <w:r w:rsidRPr="00166A39">
        <w:rPr>
          <w:rFonts w:asciiTheme="minorHAnsi" w:hAnsiTheme="minorHAnsi" w:cstheme="minorHAnsi"/>
          <w:sz w:val="24"/>
          <w:szCs w:val="24"/>
        </w:rPr>
        <w:t xml:space="preserve"> </w:t>
      </w:r>
      <w:r w:rsidR="007B00A7" w:rsidRPr="00166A39">
        <w:rPr>
          <w:rFonts w:asciiTheme="minorHAnsi" w:hAnsiTheme="minorHAnsi" w:cstheme="minorHAnsi"/>
          <w:sz w:val="24"/>
          <w:szCs w:val="24"/>
        </w:rPr>
        <w:t>ac</w:t>
      </w:r>
      <w:r w:rsidRPr="00166A39">
        <w:rPr>
          <w:rFonts w:asciiTheme="minorHAnsi" w:hAnsiTheme="minorHAnsi" w:cstheme="minorHAnsi"/>
          <w:sz w:val="24"/>
          <w:szCs w:val="24"/>
        </w:rPr>
        <w:t>easta fiind implementată prin intermediul proiectelor finanțate din surse externe.</w:t>
      </w:r>
    </w:p>
    <w:p w14:paraId="1C3B3510" w14:textId="77777777" w:rsidR="00424AC9" w:rsidRPr="00166A39" w:rsidRDefault="00424AC9" w:rsidP="003A55C8">
      <w:pPr>
        <w:pStyle w:val="ListParagraph"/>
        <w:spacing w:after="0" w:line="240" w:lineRule="auto"/>
        <w:ind w:left="0" w:firstLine="708"/>
        <w:jc w:val="both"/>
        <w:rPr>
          <w:rFonts w:asciiTheme="minorHAnsi" w:hAnsiTheme="minorHAnsi" w:cstheme="minorHAnsi"/>
          <w:b/>
          <w:sz w:val="24"/>
          <w:szCs w:val="24"/>
        </w:rPr>
      </w:pPr>
    </w:p>
    <w:p w14:paraId="266F7185" w14:textId="77777777" w:rsidR="00424AC9" w:rsidRPr="00166A39" w:rsidRDefault="000E1111" w:rsidP="003A55C8">
      <w:pPr>
        <w:pStyle w:val="ListParagraph"/>
        <w:spacing w:after="0" w:line="240" w:lineRule="auto"/>
        <w:ind w:left="0" w:firstLine="567"/>
        <w:jc w:val="both"/>
        <w:rPr>
          <w:rFonts w:asciiTheme="minorHAnsi" w:hAnsiTheme="minorHAnsi" w:cstheme="minorHAnsi"/>
          <w:b/>
          <w:sz w:val="24"/>
          <w:szCs w:val="24"/>
        </w:rPr>
      </w:pPr>
      <w:r w:rsidRPr="00166A39">
        <w:rPr>
          <w:rFonts w:asciiTheme="minorHAnsi" w:hAnsiTheme="minorHAnsi" w:cstheme="minorHAnsi"/>
          <w:b/>
          <w:sz w:val="24"/>
          <w:szCs w:val="24"/>
        </w:rPr>
        <w:t>Măsuri de atenuare a riscurilor</w:t>
      </w:r>
    </w:p>
    <w:p w14:paraId="1C62B277" w14:textId="77777777" w:rsidR="00424AC9" w:rsidRPr="00166A39" w:rsidRDefault="00424AC9" w:rsidP="003A55C8">
      <w:pPr>
        <w:pStyle w:val="ListParagraph"/>
        <w:spacing w:after="0" w:line="240" w:lineRule="auto"/>
        <w:ind w:left="0" w:firstLine="567"/>
        <w:jc w:val="both"/>
        <w:rPr>
          <w:rFonts w:asciiTheme="minorHAnsi" w:hAnsiTheme="minorHAnsi" w:cstheme="minorHAnsi"/>
          <w:b/>
          <w:sz w:val="24"/>
          <w:szCs w:val="24"/>
        </w:rPr>
      </w:pPr>
    </w:p>
    <w:p w14:paraId="11654D16" w14:textId="77777777" w:rsidR="00424AC9" w:rsidRPr="00166A39" w:rsidRDefault="000E1111" w:rsidP="003A55C8">
      <w:pPr>
        <w:pStyle w:val="ListParagraph"/>
        <w:numPr>
          <w:ilvl w:val="0"/>
          <w:numId w:val="24"/>
        </w:numPr>
        <w:tabs>
          <w:tab w:val="left" w:pos="851"/>
        </w:tabs>
        <w:spacing w:after="0" w:line="240" w:lineRule="auto"/>
        <w:ind w:left="0" w:firstLine="567"/>
        <w:jc w:val="both"/>
        <w:rPr>
          <w:rFonts w:asciiTheme="minorHAnsi" w:hAnsiTheme="minorHAnsi" w:cstheme="minorHAnsi"/>
          <w:sz w:val="24"/>
          <w:szCs w:val="24"/>
        </w:rPr>
      </w:pPr>
      <w:r w:rsidRPr="00166A39">
        <w:rPr>
          <w:rFonts w:asciiTheme="minorHAnsi" w:hAnsiTheme="minorHAnsi" w:cstheme="minorHAnsi"/>
          <w:sz w:val="24"/>
          <w:szCs w:val="24"/>
        </w:rPr>
        <w:t>revizuirea cadrului normativ regulator privind angajarea și deservirea împrumuturilor de către APL, cu accent pe sustenabilitatea bugetelor locale, îmbunătățirea disciplinei și transparenței fiscale.</w:t>
      </w:r>
    </w:p>
    <w:p w14:paraId="764AEDE6" w14:textId="77777777" w:rsidR="00424AC9" w:rsidRPr="00166A39" w:rsidRDefault="000E1111" w:rsidP="003A55C8">
      <w:pPr>
        <w:pStyle w:val="ListParagraph"/>
        <w:numPr>
          <w:ilvl w:val="0"/>
          <w:numId w:val="24"/>
        </w:numPr>
        <w:tabs>
          <w:tab w:val="left" w:pos="851"/>
        </w:tabs>
        <w:spacing w:after="0" w:line="240" w:lineRule="auto"/>
        <w:ind w:left="0" w:firstLine="567"/>
        <w:jc w:val="both"/>
        <w:rPr>
          <w:rFonts w:asciiTheme="minorHAnsi" w:hAnsiTheme="minorHAnsi" w:cstheme="minorHAnsi"/>
          <w:sz w:val="24"/>
          <w:szCs w:val="24"/>
        </w:rPr>
      </w:pPr>
      <w:r w:rsidRPr="00166A39">
        <w:rPr>
          <w:rFonts w:asciiTheme="minorHAnsi" w:hAnsiTheme="minorHAnsi" w:cstheme="minorHAnsi"/>
          <w:sz w:val="24"/>
          <w:szCs w:val="24"/>
        </w:rPr>
        <w:t>analiza riguroasă ex-ante de către Ministerul Finanțelor și evaluarea ex-post angajării împrumuturilor de către APL.</w:t>
      </w:r>
    </w:p>
    <w:p w14:paraId="33959780" w14:textId="77777777" w:rsidR="00424AC9" w:rsidRPr="00166A39" w:rsidRDefault="00424AC9" w:rsidP="003A55C8">
      <w:pPr>
        <w:pStyle w:val="ListParagraph"/>
        <w:spacing w:after="0" w:line="240" w:lineRule="auto"/>
        <w:ind w:left="1068"/>
        <w:jc w:val="both"/>
        <w:rPr>
          <w:rFonts w:asciiTheme="minorHAnsi" w:hAnsiTheme="minorHAnsi" w:cstheme="minorHAnsi"/>
          <w:sz w:val="24"/>
          <w:szCs w:val="24"/>
        </w:rPr>
      </w:pPr>
    </w:p>
    <w:p w14:paraId="0CE1E896" w14:textId="77777777" w:rsidR="00424AC9" w:rsidRPr="00166A39" w:rsidRDefault="000E1111" w:rsidP="00424AC9">
      <w:pPr>
        <w:pStyle w:val="Heading3"/>
        <w:spacing w:before="0"/>
        <w:ind w:firstLine="567"/>
        <w:rPr>
          <w:b w:val="0"/>
        </w:rPr>
      </w:pPr>
      <w:bookmarkStart w:id="24" w:name="_Toc498455218"/>
      <w:r w:rsidRPr="00166A39">
        <w:t>2.1.4. Riscurile asociate întreprinderilor municipale</w:t>
      </w:r>
      <w:bookmarkEnd w:id="24"/>
    </w:p>
    <w:p w14:paraId="51A48939" w14:textId="77777777" w:rsidR="00424AC9" w:rsidRPr="00166A39" w:rsidRDefault="00424AC9" w:rsidP="00424AC9">
      <w:pPr>
        <w:ind w:left="360"/>
        <w:jc w:val="both"/>
        <w:rPr>
          <w:rFonts w:asciiTheme="minorHAnsi" w:hAnsiTheme="minorHAnsi" w:cstheme="minorHAnsi"/>
          <w:b/>
        </w:rPr>
      </w:pPr>
    </w:p>
    <w:p w14:paraId="30313B88" w14:textId="77777777" w:rsidR="00424AC9" w:rsidRPr="00166A39" w:rsidRDefault="000E1111" w:rsidP="00424AC9">
      <w:pPr>
        <w:ind w:firstLine="567"/>
        <w:jc w:val="both"/>
        <w:rPr>
          <w:rFonts w:asciiTheme="minorHAnsi" w:hAnsiTheme="minorHAnsi" w:cstheme="minorHAnsi"/>
          <w:b/>
        </w:rPr>
      </w:pPr>
      <w:r w:rsidRPr="00166A39">
        <w:rPr>
          <w:rFonts w:asciiTheme="minorHAnsi" w:hAnsiTheme="minorHAnsi" w:cstheme="minorHAnsi"/>
          <w:b/>
        </w:rPr>
        <w:t>Situația curentă</w:t>
      </w:r>
    </w:p>
    <w:p w14:paraId="6BC5927E" w14:textId="77777777" w:rsidR="00424AC9" w:rsidRPr="00166A39" w:rsidRDefault="00424AC9" w:rsidP="00424AC9">
      <w:pPr>
        <w:ind w:firstLine="567"/>
        <w:jc w:val="both"/>
        <w:rPr>
          <w:rFonts w:asciiTheme="minorHAnsi" w:hAnsiTheme="minorHAnsi" w:cstheme="minorHAnsi"/>
          <w:b/>
        </w:rPr>
      </w:pPr>
    </w:p>
    <w:p w14:paraId="1591CD8F" w14:textId="77777777" w:rsidR="00424AC9" w:rsidRPr="00166A39" w:rsidRDefault="000E1111" w:rsidP="00424AC9">
      <w:pPr>
        <w:ind w:firstLine="567"/>
        <w:jc w:val="both"/>
        <w:rPr>
          <w:rFonts w:asciiTheme="minorHAnsi" w:hAnsiTheme="minorHAnsi" w:cstheme="minorHAnsi"/>
        </w:rPr>
      </w:pPr>
      <w:r w:rsidRPr="00166A39">
        <w:rPr>
          <w:rFonts w:asciiTheme="minorHAnsi" w:hAnsiTheme="minorHAnsi" w:cstheme="minorHAnsi"/>
        </w:rPr>
        <w:t xml:space="preserve">Pe parcursul anilor 2004-2013 în cadrul implementării proiectelor investiționale în domeniul dezvoltării serviciilor de aprovizionare cu apă și de canalizare, 8 Regii Apă-Canal (întreprinderi municipale și/sau societăți comerciale cu capital integral sau majoritar municipal) au beneficiat de finanțare prin operațiunea de recreditare de stat din surse externe la condiții financiare avantajoase. Suma împrumuturilor recreditate în acest scop constituie cca 19,0 mil. dolari SUA. </w:t>
      </w:r>
    </w:p>
    <w:p w14:paraId="089C7BBA" w14:textId="4F5FB9D1" w:rsidR="00E31ACB" w:rsidRPr="00166A39" w:rsidRDefault="000E1111" w:rsidP="00E31ACB">
      <w:pPr>
        <w:ind w:firstLine="567"/>
        <w:jc w:val="both"/>
        <w:rPr>
          <w:rFonts w:asciiTheme="minorHAnsi" w:hAnsiTheme="minorHAnsi" w:cstheme="minorHAnsi"/>
        </w:rPr>
      </w:pPr>
      <w:r w:rsidRPr="00166A39">
        <w:rPr>
          <w:rFonts w:asciiTheme="minorHAnsi" w:hAnsiTheme="minorHAnsi" w:cstheme="minorHAnsi"/>
        </w:rPr>
        <w:t>În pofida acestui fapt, Regiile Apă-Canal întâmpină greutăți la rambursarea împrumuturilor contractate și solicită restructurarea acestora. Motivele principale invocate fiind, neajustarea la timp a tarifului pentru serviciile de aprovizionare cu apă și canalizare, pierderi de apă în rețea, deprecierea monedei naționale în anii 2014-2015 etc. Astfel, la situația din 30.09.201</w:t>
      </w:r>
      <w:r w:rsidR="003A0A0E" w:rsidRPr="00166A39">
        <w:rPr>
          <w:rFonts w:asciiTheme="minorHAnsi" w:hAnsiTheme="minorHAnsi" w:cstheme="minorHAnsi"/>
        </w:rPr>
        <w:t>8</w:t>
      </w:r>
      <w:r w:rsidRPr="00166A39">
        <w:rPr>
          <w:rFonts w:asciiTheme="minorHAnsi" w:hAnsiTheme="minorHAnsi" w:cstheme="minorHAnsi"/>
        </w:rPr>
        <w:t xml:space="preserve"> soldul datoriilor întreprinderilor municipale pe împrumuturile recreditate constituia circa </w:t>
      </w:r>
      <w:r w:rsidR="003A0A0E" w:rsidRPr="00166A39">
        <w:rPr>
          <w:rFonts w:asciiTheme="minorHAnsi" w:hAnsiTheme="minorHAnsi" w:cstheme="minorHAnsi"/>
        </w:rPr>
        <w:t>260,1</w:t>
      </w:r>
      <w:r w:rsidRPr="00166A39">
        <w:rPr>
          <w:rFonts w:asciiTheme="minorHAnsi" w:hAnsiTheme="minorHAnsi" w:cstheme="minorHAnsi"/>
        </w:rPr>
        <w:t xml:space="preserve"> mil. lei (0,</w:t>
      </w:r>
      <w:r w:rsidR="003A0A0E" w:rsidRPr="00166A39">
        <w:rPr>
          <w:rFonts w:asciiTheme="minorHAnsi" w:hAnsiTheme="minorHAnsi" w:cstheme="minorHAnsi"/>
        </w:rPr>
        <w:t>1</w:t>
      </w:r>
      <w:r w:rsidRPr="00166A39">
        <w:rPr>
          <w:rFonts w:asciiTheme="minorHAnsi" w:hAnsiTheme="minorHAnsi" w:cstheme="minorHAnsi"/>
        </w:rPr>
        <w:t xml:space="preserve">% din PIB), inclusiv datoriile cu termen de achitare expirat – </w:t>
      </w:r>
      <w:r w:rsidR="003A0A0E" w:rsidRPr="00166A39">
        <w:rPr>
          <w:rFonts w:asciiTheme="minorHAnsi" w:hAnsiTheme="minorHAnsi" w:cstheme="minorHAnsi"/>
        </w:rPr>
        <w:t>4,7</w:t>
      </w:r>
      <w:r w:rsidRPr="00166A39">
        <w:rPr>
          <w:rFonts w:asciiTheme="minorHAnsi" w:hAnsiTheme="minorHAnsi" w:cstheme="minorHAnsi"/>
          <w:i/>
        </w:rPr>
        <w:t xml:space="preserve"> mil.lei</w:t>
      </w:r>
      <w:r w:rsidRPr="00166A39">
        <w:rPr>
          <w:rFonts w:asciiTheme="minorHAnsi" w:hAnsiTheme="minorHAnsi" w:cstheme="minorHAnsi"/>
        </w:rPr>
        <w:t xml:space="preserve"> sau </w:t>
      </w:r>
      <w:r w:rsidR="003A0A0E" w:rsidRPr="00166A39">
        <w:rPr>
          <w:rFonts w:asciiTheme="minorHAnsi" w:hAnsiTheme="minorHAnsi" w:cstheme="minorHAnsi"/>
        </w:rPr>
        <w:t>1</w:t>
      </w:r>
      <w:r w:rsidRPr="00166A39">
        <w:rPr>
          <w:rFonts w:asciiTheme="minorHAnsi" w:hAnsiTheme="minorHAnsi" w:cstheme="minorHAnsi"/>
        </w:rPr>
        <w:t>,8% din volumul total al soldului .</w:t>
      </w:r>
      <w:r w:rsidR="0003058E" w:rsidRPr="00166A39">
        <w:rPr>
          <w:rFonts w:asciiTheme="minorHAnsi" w:hAnsiTheme="minorHAnsi" w:cstheme="minorHAnsi"/>
        </w:rPr>
        <w:t xml:space="preserve"> </w:t>
      </w:r>
      <w:r w:rsidR="00E31ACB" w:rsidRPr="00166A39">
        <w:rPr>
          <w:rFonts w:asciiTheme="minorHAnsi" w:hAnsiTheme="minorHAnsi" w:cstheme="minorHAnsi"/>
        </w:rPr>
        <w:t xml:space="preserve">În vederea gestionării riscului respectiv, au fost restructurate acorduri de recreditare cu extinderea termenului de </w:t>
      </w:r>
      <w:r w:rsidR="00E31ACB" w:rsidRPr="00166A39">
        <w:rPr>
          <w:rFonts w:asciiTheme="minorHAnsi" w:hAnsiTheme="minorHAnsi" w:cstheme="minorHAnsi"/>
        </w:rPr>
        <w:lastRenderedPageBreak/>
        <w:t xml:space="preserve">rambursare cu 7 ani. </w:t>
      </w:r>
      <w:r w:rsidR="002B0694" w:rsidRPr="00166A39">
        <w:rPr>
          <w:rFonts w:asciiTheme="minorHAnsi" w:hAnsiTheme="minorHAnsi" w:cstheme="minorHAnsi"/>
        </w:rPr>
        <w:t>Măsura</w:t>
      </w:r>
      <w:r w:rsidR="00E31ACB" w:rsidRPr="00166A39">
        <w:rPr>
          <w:rFonts w:asciiTheme="minorHAnsi" w:hAnsiTheme="minorHAnsi" w:cstheme="minorHAnsi"/>
        </w:rPr>
        <w:t xml:space="preserve"> respectiva va oferi posibilitatea beneficiarilor de a redistribui </w:t>
      </w:r>
      <w:r w:rsidR="002B0694" w:rsidRPr="00166A39">
        <w:rPr>
          <w:rFonts w:asciiTheme="minorHAnsi" w:hAnsiTheme="minorHAnsi" w:cstheme="minorHAnsi"/>
        </w:rPr>
        <w:t>plăti</w:t>
      </w:r>
      <w:r w:rsidR="00E31ACB" w:rsidRPr="00166A39">
        <w:rPr>
          <w:rFonts w:asciiTheme="minorHAnsi" w:hAnsiTheme="minorHAnsi" w:cstheme="minorHAnsi"/>
        </w:rPr>
        <w:t xml:space="preserve"> </w:t>
      </w:r>
      <w:r w:rsidR="002B0694" w:rsidRPr="00166A39">
        <w:rPr>
          <w:rFonts w:asciiTheme="minorHAnsi" w:hAnsiTheme="minorHAnsi" w:cstheme="minorHAnsi"/>
        </w:rPr>
        <w:t>anuale</w:t>
      </w:r>
      <w:r w:rsidR="00E31ACB" w:rsidRPr="00166A39">
        <w:rPr>
          <w:rFonts w:asciiTheme="minorHAnsi" w:hAnsiTheme="minorHAnsi" w:cstheme="minorHAnsi"/>
        </w:rPr>
        <w:t xml:space="preserve"> </w:t>
      </w:r>
      <w:r w:rsidR="002B0694" w:rsidRPr="00166A39">
        <w:rPr>
          <w:rFonts w:asciiTheme="minorHAnsi" w:hAnsiTheme="minorHAnsi" w:cstheme="minorHAnsi"/>
        </w:rPr>
        <w:t>reieșind</w:t>
      </w:r>
      <w:r w:rsidR="00E31ACB" w:rsidRPr="00166A39">
        <w:rPr>
          <w:rFonts w:asciiTheme="minorHAnsi" w:hAnsiTheme="minorHAnsi" w:cstheme="minorHAnsi"/>
        </w:rPr>
        <w:t xml:space="preserve"> din </w:t>
      </w:r>
      <w:r w:rsidR="002B0694" w:rsidRPr="00166A39">
        <w:rPr>
          <w:rFonts w:asciiTheme="minorHAnsi" w:hAnsiTheme="minorHAnsi" w:cstheme="minorHAnsi"/>
        </w:rPr>
        <w:t>posibilitățile</w:t>
      </w:r>
      <w:r w:rsidR="00E31ACB" w:rsidRPr="00166A39">
        <w:rPr>
          <w:rFonts w:asciiTheme="minorHAnsi" w:hAnsiTheme="minorHAnsi" w:cstheme="minorHAnsi"/>
        </w:rPr>
        <w:t xml:space="preserve"> bugetului local si de a onora datoria fata de buget. </w:t>
      </w:r>
    </w:p>
    <w:p w14:paraId="2CAF5F0D" w14:textId="77777777" w:rsidR="00424AC9" w:rsidRPr="00166A39" w:rsidRDefault="000E1111" w:rsidP="00424AC9">
      <w:pPr>
        <w:ind w:firstLine="567"/>
        <w:jc w:val="both"/>
        <w:rPr>
          <w:rFonts w:asciiTheme="minorHAnsi" w:hAnsiTheme="minorHAnsi" w:cstheme="minorHAnsi"/>
        </w:rPr>
      </w:pPr>
      <w:r w:rsidRPr="00166A39">
        <w:rPr>
          <w:rFonts w:asciiTheme="minorHAnsi" w:hAnsiTheme="minorHAnsi" w:cstheme="minorHAnsi"/>
        </w:rPr>
        <w:t xml:space="preserve">Situațiile descrise mai sus reprezintă </w:t>
      </w:r>
      <w:r w:rsidRPr="00166A39">
        <w:rPr>
          <w:rFonts w:asciiTheme="minorHAnsi" w:hAnsiTheme="minorHAnsi" w:cstheme="minorHAnsi"/>
          <w:b/>
          <w:i/>
        </w:rPr>
        <w:t>riscuri bugetar-fiscale directe pentru bugetul de stat</w:t>
      </w:r>
      <w:r w:rsidRPr="00166A39">
        <w:rPr>
          <w:rFonts w:asciiTheme="minorHAnsi" w:hAnsiTheme="minorHAnsi" w:cstheme="minorHAnsi"/>
        </w:rPr>
        <w:t>, deoarece aceste împrumuturi de stat externe au fost contractate de către Republica Moldova și sunt rambursate din bugetul de stat, indiferent de onorarea obligațiunilor financiare angajate de către beneficiarii recreditați prin operațiunea de recreditare.</w:t>
      </w:r>
    </w:p>
    <w:p w14:paraId="111DBECF" w14:textId="26685E85" w:rsidR="00424AC9" w:rsidRPr="00FB0BE5" w:rsidRDefault="000E1111" w:rsidP="00424AC9">
      <w:pPr>
        <w:ind w:firstLine="567"/>
        <w:jc w:val="both"/>
        <w:rPr>
          <w:rFonts w:asciiTheme="minorHAnsi" w:hAnsiTheme="minorHAnsi" w:cstheme="minorHAnsi"/>
        </w:rPr>
      </w:pPr>
      <w:r w:rsidRPr="00166A39">
        <w:rPr>
          <w:rFonts w:asciiTheme="minorHAnsi" w:hAnsiTheme="minorHAnsi" w:cstheme="minorHAnsi"/>
          <w:b/>
        </w:rPr>
        <w:t>Măsurile de atenuare a riscurilor descrise</w:t>
      </w:r>
      <w:r w:rsidRPr="00166A39">
        <w:rPr>
          <w:rFonts w:asciiTheme="minorHAnsi" w:hAnsiTheme="minorHAnsi" w:cstheme="minorHAnsi"/>
        </w:rPr>
        <w:t xml:space="preserve"> impun implicarea autoritățil</w:t>
      </w:r>
      <w:r w:rsidR="00AC3A62" w:rsidRPr="00166A39">
        <w:rPr>
          <w:rFonts w:asciiTheme="minorHAnsi" w:hAnsiTheme="minorHAnsi" w:cstheme="minorHAnsi"/>
        </w:rPr>
        <w:t>or</w:t>
      </w:r>
      <w:r w:rsidRPr="00166A39">
        <w:rPr>
          <w:rFonts w:asciiTheme="minorHAnsi" w:hAnsiTheme="minorHAnsi" w:cstheme="minorHAnsi"/>
        </w:rPr>
        <w:t xml:space="preserve"> publice locale în redresarea situației economico-financiare a operatorilor apă-canal, revizuirea tarifelor pentru serviciile de aprovizionare cu apă și canalizare.</w:t>
      </w:r>
    </w:p>
    <w:p w14:paraId="3D2DB7DB" w14:textId="77777777" w:rsidR="00EB685F" w:rsidRDefault="00EB685F" w:rsidP="00424AC9">
      <w:pPr>
        <w:ind w:firstLine="567"/>
        <w:jc w:val="both"/>
        <w:rPr>
          <w:rFonts w:asciiTheme="minorHAnsi" w:hAnsiTheme="minorHAnsi" w:cstheme="minorHAnsi"/>
        </w:rPr>
      </w:pPr>
    </w:p>
    <w:p w14:paraId="5D7F9A87" w14:textId="77777777" w:rsidR="000552FE" w:rsidRPr="00FB0BE5" w:rsidRDefault="000552FE" w:rsidP="000552FE">
      <w:pPr>
        <w:pStyle w:val="Heading2"/>
        <w:rPr>
          <w:sz w:val="24"/>
          <w:szCs w:val="24"/>
        </w:rPr>
      </w:pPr>
      <w:bookmarkStart w:id="25" w:name="_Toc498612429"/>
      <w:r w:rsidRPr="00FB0BE5">
        <w:rPr>
          <w:b w:val="0"/>
          <w:bCs w:val="0"/>
        </w:rPr>
        <w:t xml:space="preserve">2.2 </w:t>
      </w:r>
      <w:bookmarkStart w:id="26" w:name="_Toc498455219"/>
      <w:r w:rsidRPr="00FB0BE5">
        <w:rPr>
          <w:sz w:val="24"/>
          <w:szCs w:val="24"/>
        </w:rPr>
        <w:t>Riscuri</w:t>
      </w:r>
      <w:r w:rsidR="00610029" w:rsidRPr="00FB0BE5">
        <w:rPr>
          <w:sz w:val="24"/>
          <w:szCs w:val="24"/>
        </w:rPr>
        <w:t xml:space="preserve">, </w:t>
      </w:r>
      <w:r w:rsidRPr="00FB0BE5">
        <w:rPr>
          <w:sz w:val="24"/>
          <w:szCs w:val="24"/>
        </w:rPr>
        <w:t>asociate întreprinderilor de stat</w:t>
      </w:r>
      <w:r w:rsidR="0075439B">
        <w:rPr>
          <w:sz w:val="24"/>
          <w:szCs w:val="24"/>
        </w:rPr>
        <w:t xml:space="preserve"> </w:t>
      </w:r>
      <w:r w:rsidRPr="00FB0BE5">
        <w:rPr>
          <w:sz w:val="24"/>
          <w:szCs w:val="24"/>
        </w:rPr>
        <w:t>și societăților comerciale cu capital integral sau majoritar de stat</w:t>
      </w:r>
      <w:bookmarkEnd w:id="25"/>
      <w:bookmarkEnd w:id="26"/>
    </w:p>
    <w:p w14:paraId="0358065D" w14:textId="77777777" w:rsidR="00C064A8" w:rsidRPr="00FB0BE5" w:rsidRDefault="00C064A8" w:rsidP="00C064A8">
      <w:pPr>
        <w:jc w:val="center"/>
        <w:rPr>
          <w:rFonts w:asciiTheme="minorHAnsi" w:hAnsiTheme="minorHAnsi" w:cstheme="minorHAnsi"/>
        </w:rPr>
      </w:pPr>
    </w:p>
    <w:p w14:paraId="098ED07C" w14:textId="77777777" w:rsidR="000C2B62" w:rsidRPr="00166A39" w:rsidRDefault="000C2B62" w:rsidP="00166A39">
      <w:pPr>
        <w:ind w:firstLine="539"/>
        <w:jc w:val="both"/>
        <w:rPr>
          <w:rFonts w:asciiTheme="minorHAnsi" w:hAnsiTheme="minorHAnsi" w:cstheme="minorHAnsi"/>
          <w:b/>
        </w:rPr>
      </w:pPr>
      <w:r w:rsidRPr="00166A39">
        <w:rPr>
          <w:rFonts w:asciiTheme="minorHAnsi" w:hAnsiTheme="minorHAnsi" w:cstheme="minorHAnsi"/>
          <w:b/>
        </w:rPr>
        <w:t>Prezentare generală și evoluții recente</w:t>
      </w:r>
    </w:p>
    <w:p w14:paraId="46E0CD0F" w14:textId="77777777" w:rsidR="000C2B62" w:rsidRPr="00166A39" w:rsidRDefault="000C2B62" w:rsidP="00166A39">
      <w:pPr>
        <w:ind w:firstLine="539"/>
        <w:jc w:val="both"/>
        <w:rPr>
          <w:rFonts w:asciiTheme="minorHAnsi" w:hAnsiTheme="minorHAnsi" w:cstheme="minorHAnsi"/>
        </w:rPr>
      </w:pPr>
      <w:r w:rsidRPr="00166A39">
        <w:rPr>
          <w:rFonts w:asciiTheme="minorHAnsi" w:hAnsiTheme="minorHAnsi" w:cstheme="minorHAnsi"/>
        </w:rPr>
        <w:t>Pentru a evalua riscurile bugetar-fiscale asociate întreprinderilor de stat și societăților comerciale cu capital integral sau majoritar de stat (în continuare – societăți pe acțiuni), au fost supuse analizei rezultatele financiare, obținute în anul 2017 a:</w:t>
      </w:r>
    </w:p>
    <w:p w14:paraId="39279224" w14:textId="77777777" w:rsidR="000C2B62" w:rsidRPr="00166A39" w:rsidRDefault="000C2B62" w:rsidP="00166A39">
      <w:pPr>
        <w:pStyle w:val="ListParagraph"/>
        <w:widowControl w:val="0"/>
        <w:numPr>
          <w:ilvl w:val="0"/>
          <w:numId w:val="40"/>
        </w:numPr>
        <w:suppressAutoHyphens/>
        <w:autoSpaceDN w:val="0"/>
        <w:spacing w:after="0" w:line="240" w:lineRule="auto"/>
        <w:ind w:left="709" w:hanging="170"/>
        <w:jc w:val="both"/>
        <w:textAlignment w:val="baseline"/>
        <w:rPr>
          <w:rFonts w:asciiTheme="minorHAnsi" w:hAnsiTheme="minorHAnsi" w:cstheme="minorHAnsi"/>
          <w:sz w:val="24"/>
          <w:szCs w:val="24"/>
        </w:rPr>
      </w:pPr>
      <w:r w:rsidRPr="00166A39">
        <w:rPr>
          <w:rFonts w:asciiTheme="minorHAnsi" w:hAnsiTheme="minorHAnsi" w:cstheme="minorHAnsi"/>
          <w:sz w:val="24"/>
          <w:szCs w:val="24"/>
        </w:rPr>
        <w:t>169 întreprinderi de stat (Î.S.);</w:t>
      </w:r>
    </w:p>
    <w:p w14:paraId="3E1E32D0" w14:textId="4C1E6206" w:rsidR="000C2B62" w:rsidRPr="00166A39" w:rsidRDefault="000C2B62" w:rsidP="00166A39">
      <w:pPr>
        <w:pStyle w:val="ListParagraph"/>
        <w:widowControl w:val="0"/>
        <w:numPr>
          <w:ilvl w:val="0"/>
          <w:numId w:val="40"/>
        </w:numPr>
        <w:suppressAutoHyphens/>
        <w:autoSpaceDN w:val="0"/>
        <w:spacing w:after="0" w:line="240" w:lineRule="auto"/>
        <w:ind w:left="709" w:hanging="170"/>
        <w:jc w:val="both"/>
        <w:textAlignment w:val="baseline"/>
        <w:rPr>
          <w:rFonts w:asciiTheme="minorHAnsi" w:hAnsiTheme="minorHAnsi" w:cstheme="minorHAnsi"/>
          <w:sz w:val="24"/>
          <w:szCs w:val="24"/>
        </w:rPr>
      </w:pPr>
      <w:r w:rsidRPr="00166A39">
        <w:rPr>
          <w:rFonts w:asciiTheme="minorHAnsi" w:hAnsiTheme="minorHAnsi" w:cstheme="minorHAnsi"/>
          <w:sz w:val="24"/>
          <w:szCs w:val="24"/>
        </w:rPr>
        <w:t xml:space="preserve">22 </w:t>
      </w:r>
      <w:r w:rsidR="007D4CBC" w:rsidRPr="00166A39">
        <w:rPr>
          <w:rFonts w:asciiTheme="minorHAnsi" w:hAnsiTheme="minorHAnsi" w:cstheme="minorHAnsi"/>
          <w:sz w:val="24"/>
          <w:szCs w:val="24"/>
        </w:rPr>
        <w:t>societăți</w:t>
      </w:r>
      <w:r w:rsidRPr="00166A39">
        <w:rPr>
          <w:rFonts w:asciiTheme="minorHAnsi" w:hAnsiTheme="minorHAnsi" w:cstheme="minorHAnsi"/>
          <w:sz w:val="24"/>
          <w:szCs w:val="24"/>
        </w:rPr>
        <w:t xml:space="preserve"> pe acțiuni (S.A.) cu capital majoritar de stat (50%+1 acțiune);</w:t>
      </w:r>
    </w:p>
    <w:p w14:paraId="27903732" w14:textId="4ED3E696" w:rsidR="000C2B62" w:rsidRPr="00166A39" w:rsidRDefault="000C2B62" w:rsidP="00166A39">
      <w:pPr>
        <w:pStyle w:val="ListParagraph"/>
        <w:widowControl w:val="0"/>
        <w:numPr>
          <w:ilvl w:val="0"/>
          <w:numId w:val="40"/>
        </w:numPr>
        <w:suppressAutoHyphens/>
        <w:autoSpaceDN w:val="0"/>
        <w:spacing w:after="0" w:line="240" w:lineRule="auto"/>
        <w:ind w:left="709" w:hanging="170"/>
        <w:jc w:val="both"/>
        <w:textAlignment w:val="baseline"/>
        <w:rPr>
          <w:rFonts w:asciiTheme="minorHAnsi" w:hAnsiTheme="minorHAnsi" w:cstheme="minorHAnsi"/>
          <w:sz w:val="24"/>
          <w:szCs w:val="24"/>
        </w:rPr>
      </w:pPr>
      <w:r w:rsidRPr="00166A39">
        <w:rPr>
          <w:rFonts w:asciiTheme="minorHAnsi" w:hAnsiTheme="minorHAnsi" w:cstheme="minorHAnsi"/>
          <w:sz w:val="24"/>
          <w:szCs w:val="24"/>
        </w:rPr>
        <w:t xml:space="preserve">13 </w:t>
      </w:r>
      <w:r w:rsidR="007D4CBC" w:rsidRPr="00166A39">
        <w:rPr>
          <w:rFonts w:asciiTheme="minorHAnsi" w:hAnsiTheme="minorHAnsi" w:cstheme="minorHAnsi"/>
          <w:sz w:val="24"/>
          <w:szCs w:val="24"/>
        </w:rPr>
        <w:t>societăți</w:t>
      </w:r>
      <w:r w:rsidRPr="00166A39">
        <w:rPr>
          <w:rFonts w:asciiTheme="minorHAnsi" w:hAnsiTheme="minorHAnsi" w:cstheme="minorHAnsi"/>
          <w:sz w:val="24"/>
          <w:szCs w:val="24"/>
        </w:rPr>
        <w:t xml:space="preserve"> pe acțiuni cu capital integral de stat (100% cota statului). </w:t>
      </w:r>
    </w:p>
    <w:p w14:paraId="62A246A3" w14:textId="77777777" w:rsidR="000C2B62" w:rsidRPr="00166A39" w:rsidRDefault="000C2B62" w:rsidP="00166A39">
      <w:pPr>
        <w:ind w:firstLine="539"/>
        <w:jc w:val="both"/>
        <w:rPr>
          <w:rFonts w:asciiTheme="minorHAnsi" w:hAnsiTheme="minorHAnsi" w:cstheme="minorHAnsi"/>
        </w:rPr>
      </w:pPr>
      <w:r w:rsidRPr="00166A39">
        <w:rPr>
          <w:rFonts w:asciiTheme="minorHAnsi" w:hAnsiTheme="minorHAnsi" w:cstheme="minorHAnsi"/>
        </w:rPr>
        <w:t>În rezultatul activității economice în anul 2017, întreprinderile de stat au înregistrat, în ansamblu, pierderi nete în mărime de 79,5 mil. lei, sau cu 57,1 mil. lei mai mult comparativ cu situația anului 2016, în timp ce societățile pe acțiuni au înregistrat 390,2 mil. lei profit net, sau cu 244,7 mil. lei mai mult comparativ cu anul 2016. Principalii indicatori agregați se prezintă în tabelul de mai jos.</w:t>
      </w:r>
    </w:p>
    <w:p w14:paraId="067CD461" w14:textId="77777777" w:rsidR="000C2B62" w:rsidRPr="00166A39" w:rsidRDefault="000C2B62" w:rsidP="000C2B62">
      <w:pPr>
        <w:spacing w:line="120" w:lineRule="auto"/>
        <w:ind w:firstLine="539"/>
        <w:jc w:val="both"/>
        <w:rPr>
          <w:rFonts w:ascii="Calibri" w:hAnsi="Calibri" w:cs="Calibri"/>
          <w:sz w:val="26"/>
          <w:szCs w:val="26"/>
        </w:rPr>
      </w:pPr>
    </w:p>
    <w:p w14:paraId="7DEC35B2" w14:textId="77777777" w:rsidR="000C2B62" w:rsidRPr="00166A39" w:rsidRDefault="000C2B62" w:rsidP="00166A39">
      <w:pPr>
        <w:ind w:hanging="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 xml:space="preserve">Tabelul 3. Informația consolidată a principalilor indicatori economici ai întreprinderilor de stat </w:t>
      </w:r>
    </w:p>
    <w:p w14:paraId="69D4F129" w14:textId="77777777" w:rsidR="000C2B62" w:rsidRPr="00166A39" w:rsidRDefault="000C2B62" w:rsidP="00166A39">
      <w:pPr>
        <w:ind w:hanging="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 xml:space="preserve">și societăților pe acțiuni cu capital majoritar de stat, conform situațiilor financiare (mil. lei)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87"/>
        <w:gridCol w:w="29"/>
        <w:gridCol w:w="951"/>
        <w:gridCol w:w="1013"/>
        <w:gridCol w:w="9"/>
        <w:gridCol w:w="983"/>
        <w:gridCol w:w="993"/>
        <w:gridCol w:w="846"/>
        <w:gridCol w:w="993"/>
      </w:tblGrid>
      <w:tr w:rsidR="000C2B62" w:rsidRPr="00BD2435" w14:paraId="39438AC8" w14:textId="77777777" w:rsidTr="00F67814">
        <w:trPr>
          <w:jc w:val="center"/>
        </w:trPr>
        <w:tc>
          <w:tcPr>
            <w:tcW w:w="3256" w:type="dxa"/>
            <w:vMerge w:val="restart"/>
            <w:vAlign w:val="center"/>
          </w:tcPr>
          <w:p w14:paraId="2934A9B5"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Total</w:t>
            </w:r>
          </w:p>
        </w:tc>
        <w:tc>
          <w:tcPr>
            <w:tcW w:w="2980" w:type="dxa"/>
            <w:gridSpan w:val="4"/>
          </w:tcPr>
          <w:p w14:paraId="645F493D"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Întreprinderi de stat</w:t>
            </w:r>
          </w:p>
        </w:tc>
        <w:tc>
          <w:tcPr>
            <w:tcW w:w="2831" w:type="dxa"/>
            <w:gridSpan w:val="4"/>
          </w:tcPr>
          <w:p w14:paraId="368983C0"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Societăți pe acțiuni</w:t>
            </w:r>
          </w:p>
        </w:tc>
        <w:tc>
          <w:tcPr>
            <w:tcW w:w="993" w:type="dxa"/>
          </w:tcPr>
          <w:p w14:paraId="54902761"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TOTAL</w:t>
            </w:r>
          </w:p>
        </w:tc>
      </w:tr>
      <w:tr w:rsidR="000C2B62" w:rsidRPr="00BD2435" w14:paraId="2FA02FAE" w14:textId="77777777" w:rsidTr="00F67814">
        <w:trPr>
          <w:jc w:val="center"/>
        </w:trPr>
        <w:tc>
          <w:tcPr>
            <w:tcW w:w="3256" w:type="dxa"/>
            <w:vMerge/>
          </w:tcPr>
          <w:p w14:paraId="6F2FECA0" w14:textId="77777777" w:rsidR="000C2B62" w:rsidRPr="00166A39" w:rsidRDefault="000C2B62" w:rsidP="00F67814">
            <w:pPr>
              <w:spacing w:line="276" w:lineRule="auto"/>
              <w:jc w:val="both"/>
              <w:rPr>
                <w:rFonts w:ascii="Calibri" w:hAnsi="Calibri" w:cs="Calibri"/>
                <w:b/>
                <w:sz w:val="16"/>
                <w:szCs w:val="16"/>
              </w:rPr>
            </w:pPr>
          </w:p>
        </w:tc>
        <w:tc>
          <w:tcPr>
            <w:tcW w:w="987" w:type="dxa"/>
          </w:tcPr>
          <w:p w14:paraId="1C95AB64"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01.01.2017</w:t>
            </w:r>
          </w:p>
        </w:tc>
        <w:tc>
          <w:tcPr>
            <w:tcW w:w="980" w:type="dxa"/>
            <w:gridSpan w:val="2"/>
          </w:tcPr>
          <w:p w14:paraId="34DCD925"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31.12.2017</w:t>
            </w:r>
          </w:p>
        </w:tc>
        <w:tc>
          <w:tcPr>
            <w:tcW w:w="1013" w:type="dxa"/>
          </w:tcPr>
          <w:p w14:paraId="178334AA"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abaterea</w:t>
            </w:r>
          </w:p>
        </w:tc>
        <w:tc>
          <w:tcPr>
            <w:tcW w:w="992" w:type="dxa"/>
            <w:gridSpan w:val="2"/>
          </w:tcPr>
          <w:p w14:paraId="1F881788"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01.01.2017</w:t>
            </w:r>
          </w:p>
        </w:tc>
        <w:tc>
          <w:tcPr>
            <w:tcW w:w="993" w:type="dxa"/>
          </w:tcPr>
          <w:p w14:paraId="42FB719B"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31.12.2017</w:t>
            </w:r>
          </w:p>
        </w:tc>
        <w:tc>
          <w:tcPr>
            <w:tcW w:w="846" w:type="dxa"/>
          </w:tcPr>
          <w:p w14:paraId="43421FCD"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abaterea</w:t>
            </w:r>
          </w:p>
        </w:tc>
        <w:tc>
          <w:tcPr>
            <w:tcW w:w="993" w:type="dxa"/>
            <w:vMerge w:val="restart"/>
          </w:tcPr>
          <w:p w14:paraId="5ACAC2CE"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la 31.12.2017</w:t>
            </w:r>
          </w:p>
        </w:tc>
      </w:tr>
      <w:tr w:rsidR="000C2B62" w:rsidRPr="00BD2435" w14:paraId="2744D823" w14:textId="77777777" w:rsidTr="00F67814">
        <w:trPr>
          <w:jc w:val="center"/>
        </w:trPr>
        <w:tc>
          <w:tcPr>
            <w:tcW w:w="3256" w:type="dxa"/>
          </w:tcPr>
          <w:p w14:paraId="2F51EDB2"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1</w:t>
            </w:r>
          </w:p>
        </w:tc>
        <w:tc>
          <w:tcPr>
            <w:tcW w:w="987" w:type="dxa"/>
          </w:tcPr>
          <w:p w14:paraId="75188414"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2</w:t>
            </w:r>
          </w:p>
        </w:tc>
        <w:tc>
          <w:tcPr>
            <w:tcW w:w="980" w:type="dxa"/>
            <w:gridSpan w:val="2"/>
          </w:tcPr>
          <w:p w14:paraId="488FD8DE"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3</w:t>
            </w:r>
          </w:p>
        </w:tc>
        <w:tc>
          <w:tcPr>
            <w:tcW w:w="1013" w:type="dxa"/>
          </w:tcPr>
          <w:p w14:paraId="517FA22D"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4=3-2</w:t>
            </w:r>
          </w:p>
        </w:tc>
        <w:tc>
          <w:tcPr>
            <w:tcW w:w="992" w:type="dxa"/>
            <w:gridSpan w:val="2"/>
          </w:tcPr>
          <w:p w14:paraId="287D76E9"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5</w:t>
            </w:r>
          </w:p>
        </w:tc>
        <w:tc>
          <w:tcPr>
            <w:tcW w:w="993" w:type="dxa"/>
          </w:tcPr>
          <w:p w14:paraId="704784F6"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6</w:t>
            </w:r>
          </w:p>
        </w:tc>
        <w:tc>
          <w:tcPr>
            <w:tcW w:w="846" w:type="dxa"/>
          </w:tcPr>
          <w:p w14:paraId="02C4B3AD"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7=6-5</w:t>
            </w:r>
          </w:p>
        </w:tc>
        <w:tc>
          <w:tcPr>
            <w:tcW w:w="993" w:type="dxa"/>
            <w:vMerge/>
          </w:tcPr>
          <w:p w14:paraId="4F2DB350" w14:textId="77777777" w:rsidR="000C2B62" w:rsidRPr="00166A39" w:rsidRDefault="000C2B62" w:rsidP="00F67814">
            <w:pPr>
              <w:spacing w:line="276" w:lineRule="auto"/>
              <w:jc w:val="center"/>
              <w:rPr>
                <w:rFonts w:ascii="Calibri" w:hAnsi="Calibri" w:cs="Calibri"/>
                <w:b/>
                <w:sz w:val="16"/>
                <w:szCs w:val="16"/>
              </w:rPr>
            </w:pPr>
          </w:p>
        </w:tc>
      </w:tr>
      <w:tr w:rsidR="000C2B62" w:rsidRPr="00BD2435" w14:paraId="110DB95F" w14:textId="77777777" w:rsidTr="00F67814">
        <w:trPr>
          <w:jc w:val="center"/>
        </w:trPr>
        <w:tc>
          <w:tcPr>
            <w:tcW w:w="3256" w:type="dxa"/>
          </w:tcPr>
          <w:p w14:paraId="1724798E"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Active</w:t>
            </w:r>
          </w:p>
        </w:tc>
        <w:tc>
          <w:tcPr>
            <w:tcW w:w="987" w:type="dxa"/>
          </w:tcPr>
          <w:p w14:paraId="6D57F0F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22234,2</w:t>
            </w:r>
          </w:p>
        </w:tc>
        <w:tc>
          <w:tcPr>
            <w:tcW w:w="980" w:type="dxa"/>
            <w:gridSpan w:val="2"/>
          </w:tcPr>
          <w:p w14:paraId="61C3E5EE"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22099,0</w:t>
            </w:r>
          </w:p>
        </w:tc>
        <w:tc>
          <w:tcPr>
            <w:tcW w:w="1013" w:type="dxa"/>
          </w:tcPr>
          <w:p w14:paraId="3358D046"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-135,2</w:t>
            </w:r>
          </w:p>
        </w:tc>
        <w:tc>
          <w:tcPr>
            <w:tcW w:w="992" w:type="dxa"/>
            <w:gridSpan w:val="2"/>
          </w:tcPr>
          <w:p w14:paraId="713AEE16"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16703,5</w:t>
            </w:r>
          </w:p>
        </w:tc>
        <w:tc>
          <w:tcPr>
            <w:tcW w:w="993" w:type="dxa"/>
          </w:tcPr>
          <w:p w14:paraId="7CCCA7F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17461,7</w:t>
            </w:r>
          </w:p>
        </w:tc>
        <w:tc>
          <w:tcPr>
            <w:tcW w:w="846" w:type="dxa"/>
          </w:tcPr>
          <w:p w14:paraId="5254B72D"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+758,2</w:t>
            </w:r>
          </w:p>
        </w:tc>
        <w:tc>
          <w:tcPr>
            <w:tcW w:w="993" w:type="dxa"/>
          </w:tcPr>
          <w:p w14:paraId="17040A59"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39560,7</w:t>
            </w:r>
          </w:p>
        </w:tc>
      </w:tr>
      <w:tr w:rsidR="000C2B62" w:rsidRPr="00BD2435" w14:paraId="4E5AB2CC" w14:textId="77777777" w:rsidTr="00F67814">
        <w:trPr>
          <w:jc w:val="center"/>
        </w:trPr>
        <w:tc>
          <w:tcPr>
            <w:tcW w:w="3256" w:type="dxa"/>
          </w:tcPr>
          <w:p w14:paraId="568D3E76"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Capital propriu</w:t>
            </w:r>
          </w:p>
        </w:tc>
        <w:tc>
          <w:tcPr>
            <w:tcW w:w="987" w:type="dxa"/>
          </w:tcPr>
          <w:p w14:paraId="03A2239D"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15953,6</w:t>
            </w:r>
          </w:p>
        </w:tc>
        <w:tc>
          <w:tcPr>
            <w:tcW w:w="980" w:type="dxa"/>
            <w:gridSpan w:val="2"/>
          </w:tcPr>
          <w:p w14:paraId="7E3D035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15212,2</w:t>
            </w:r>
          </w:p>
        </w:tc>
        <w:tc>
          <w:tcPr>
            <w:tcW w:w="1013" w:type="dxa"/>
          </w:tcPr>
          <w:p w14:paraId="05B6217C"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-741,4</w:t>
            </w:r>
            <w:r w:rsidRPr="00166A39">
              <w:rPr>
                <w:rStyle w:val="FootnoteReference"/>
                <w:rFonts w:ascii="Calibri" w:hAnsi="Calibri" w:cs="Calibri"/>
                <w:sz w:val="16"/>
                <w:szCs w:val="16"/>
              </w:rPr>
              <w:footnoteReference w:id="7"/>
            </w:r>
          </w:p>
        </w:tc>
        <w:tc>
          <w:tcPr>
            <w:tcW w:w="992" w:type="dxa"/>
            <w:gridSpan w:val="2"/>
          </w:tcPr>
          <w:p w14:paraId="372F55B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9558,9</w:t>
            </w:r>
          </w:p>
        </w:tc>
        <w:tc>
          <w:tcPr>
            <w:tcW w:w="993" w:type="dxa"/>
          </w:tcPr>
          <w:p w14:paraId="2DF7DB6B"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10535,7</w:t>
            </w:r>
          </w:p>
        </w:tc>
        <w:tc>
          <w:tcPr>
            <w:tcW w:w="846" w:type="dxa"/>
          </w:tcPr>
          <w:p w14:paraId="18A96979"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+976,8</w:t>
            </w:r>
          </w:p>
        </w:tc>
        <w:tc>
          <w:tcPr>
            <w:tcW w:w="993" w:type="dxa"/>
          </w:tcPr>
          <w:p w14:paraId="363FF304"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25747,9</w:t>
            </w:r>
          </w:p>
        </w:tc>
      </w:tr>
      <w:tr w:rsidR="000C2B62" w:rsidRPr="00BD2435" w14:paraId="403DAB2A" w14:textId="77777777" w:rsidTr="00F67814">
        <w:trPr>
          <w:jc w:val="center"/>
        </w:trPr>
        <w:tc>
          <w:tcPr>
            <w:tcW w:w="3256" w:type="dxa"/>
          </w:tcPr>
          <w:p w14:paraId="088A2DDB"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 xml:space="preserve">Capital social </w:t>
            </w:r>
          </w:p>
        </w:tc>
        <w:tc>
          <w:tcPr>
            <w:tcW w:w="987" w:type="dxa"/>
          </w:tcPr>
          <w:p w14:paraId="380DD3B2"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5914,7</w:t>
            </w:r>
          </w:p>
        </w:tc>
        <w:tc>
          <w:tcPr>
            <w:tcW w:w="980" w:type="dxa"/>
            <w:gridSpan w:val="2"/>
          </w:tcPr>
          <w:p w14:paraId="057F22CB"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6140,6</w:t>
            </w:r>
          </w:p>
        </w:tc>
        <w:tc>
          <w:tcPr>
            <w:tcW w:w="1013" w:type="dxa"/>
          </w:tcPr>
          <w:p w14:paraId="7966720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+225,9</w:t>
            </w:r>
          </w:p>
        </w:tc>
        <w:tc>
          <w:tcPr>
            <w:tcW w:w="992" w:type="dxa"/>
            <w:gridSpan w:val="2"/>
          </w:tcPr>
          <w:p w14:paraId="6A315DCB"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2808,3</w:t>
            </w:r>
          </w:p>
        </w:tc>
        <w:tc>
          <w:tcPr>
            <w:tcW w:w="993" w:type="dxa"/>
          </w:tcPr>
          <w:p w14:paraId="02E81A4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2873,1</w:t>
            </w:r>
          </w:p>
        </w:tc>
        <w:tc>
          <w:tcPr>
            <w:tcW w:w="846" w:type="dxa"/>
          </w:tcPr>
          <w:p w14:paraId="1D44CDFE"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+64,8</w:t>
            </w:r>
          </w:p>
        </w:tc>
        <w:tc>
          <w:tcPr>
            <w:tcW w:w="993" w:type="dxa"/>
          </w:tcPr>
          <w:p w14:paraId="739F4597"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9013,7</w:t>
            </w:r>
          </w:p>
        </w:tc>
      </w:tr>
      <w:tr w:rsidR="000C2B62" w:rsidRPr="00BD2435" w14:paraId="48C86BD7" w14:textId="77777777" w:rsidTr="00F67814">
        <w:trPr>
          <w:jc w:val="center"/>
        </w:trPr>
        <w:tc>
          <w:tcPr>
            <w:tcW w:w="3256" w:type="dxa"/>
          </w:tcPr>
          <w:p w14:paraId="18DC4719"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Creanțe (pe termen lung și curente)</w:t>
            </w:r>
          </w:p>
        </w:tc>
        <w:tc>
          <w:tcPr>
            <w:tcW w:w="987" w:type="dxa"/>
          </w:tcPr>
          <w:p w14:paraId="55A03F94"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3254,2</w:t>
            </w:r>
          </w:p>
        </w:tc>
        <w:tc>
          <w:tcPr>
            <w:tcW w:w="980" w:type="dxa"/>
            <w:gridSpan w:val="2"/>
          </w:tcPr>
          <w:p w14:paraId="7FB40520"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2896,2</w:t>
            </w:r>
          </w:p>
        </w:tc>
        <w:tc>
          <w:tcPr>
            <w:tcW w:w="1013" w:type="dxa"/>
          </w:tcPr>
          <w:p w14:paraId="3835A033"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-358,0</w:t>
            </w:r>
          </w:p>
        </w:tc>
        <w:tc>
          <w:tcPr>
            <w:tcW w:w="992" w:type="dxa"/>
            <w:gridSpan w:val="2"/>
          </w:tcPr>
          <w:p w14:paraId="7C4F9CDD"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3029,2</w:t>
            </w:r>
          </w:p>
        </w:tc>
        <w:tc>
          <w:tcPr>
            <w:tcW w:w="993" w:type="dxa"/>
          </w:tcPr>
          <w:p w14:paraId="1541D069"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3159,5</w:t>
            </w:r>
          </w:p>
        </w:tc>
        <w:tc>
          <w:tcPr>
            <w:tcW w:w="846" w:type="dxa"/>
          </w:tcPr>
          <w:p w14:paraId="18E5050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+130,3</w:t>
            </w:r>
          </w:p>
        </w:tc>
        <w:tc>
          <w:tcPr>
            <w:tcW w:w="993" w:type="dxa"/>
          </w:tcPr>
          <w:p w14:paraId="24FE3F20"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6055,7</w:t>
            </w:r>
          </w:p>
        </w:tc>
      </w:tr>
      <w:tr w:rsidR="000C2B62" w:rsidRPr="00BD2435" w14:paraId="6AB7EB36" w14:textId="77777777" w:rsidTr="00F67814">
        <w:trPr>
          <w:jc w:val="center"/>
        </w:trPr>
        <w:tc>
          <w:tcPr>
            <w:tcW w:w="3256" w:type="dxa"/>
          </w:tcPr>
          <w:p w14:paraId="4BDE004E"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Datorii (pe termen lung, curente)</w:t>
            </w:r>
          </w:p>
        </w:tc>
        <w:tc>
          <w:tcPr>
            <w:tcW w:w="987" w:type="dxa"/>
          </w:tcPr>
          <w:p w14:paraId="1EBE8B14"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6280,6</w:t>
            </w:r>
          </w:p>
        </w:tc>
        <w:tc>
          <w:tcPr>
            <w:tcW w:w="980" w:type="dxa"/>
            <w:gridSpan w:val="2"/>
          </w:tcPr>
          <w:p w14:paraId="0EEA3079"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6886,8</w:t>
            </w:r>
            <w:r w:rsidRPr="00166A39">
              <w:rPr>
                <w:rStyle w:val="FootnoteReference"/>
                <w:rFonts w:ascii="Calibri" w:hAnsi="Calibri" w:cs="Calibri"/>
                <w:sz w:val="16"/>
                <w:szCs w:val="16"/>
              </w:rPr>
              <w:footnoteReference w:id="8"/>
            </w:r>
          </w:p>
        </w:tc>
        <w:tc>
          <w:tcPr>
            <w:tcW w:w="1013" w:type="dxa"/>
          </w:tcPr>
          <w:p w14:paraId="495239E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+606,2</w:t>
            </w:r>
          </w:p>
        </w:tc>
        <w:tc>
          <w:tcPr>
            <w:tcW w:w="992" w:type="dxa"/>
            <w:gridSpan w:val="2"/>
          </w:tcPr>
          <w:p w14:paraId="7283D8E9"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7144,6</w:t>
            </w:r>
          </w:p>
        </w:tc>
        <w:tc>
          <w:tcPr>
            <w:tcW w:w="993" w:type="dxa"/>
          </w:tcPr>
          <w:p w14:paraId="472550DD"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6926,0</w:t>
            </w:r>
          </w:p>
        </w:tc>
        <w:tc>
          <w:tcPr>
            <w:tcW w:w="846" w:type="dxa"/>
          </w:tcPr>
          <w:p w14:paraId="7D9C0F9D"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-218,6</w:t>
            </w:r>
          </w:p>
        </w:tc>
        <w:tc>
          <w:tcPr>
            <w:tcW w:w="993" w:type="dxa"/>
          </w:tcPr>
          <w:p w14:paraId="670FF85D"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13812,8</w:t>
            </w:r>
          </w:p>
        </w:tc>
      </w:tr>
      <w:tr w:rsidR="000C2B62" w:rsidRPr="00BD2435" w14:paraId="6FA4BCA7" w14:textId="77777777" w:rsidTr="00F67814">
        <w:trPr>
          <w:jc w:val="center"/>
        </w:trPr>
        <w:tc>
          <w:tcPr>
            <w:tcW w:w="3256" w:type="dxa"/>
          </w:tcPr>
          <w:p w14:paraId="2CC7783F"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 xml:space="preserve">Venituri din vînzări  </w:t>
            </w:r>
            <w:r w:rsidRPr="00166A39">
              <w:rPr>
                <w:rFonts w:ascii="Calibri" w:hAnsi="Calibri" w:cs="Calibri"/>
                <w:sz w:val="16"/>
                <w:szCs w:val="16"/>
              </w:rPr>
              <w:t>(2016/ 2017)</w:t>
            </w:r>
          </w:p>
        </w:tc>
        <w:tc>
          <w:tcPr>
            <w:tcW w:w="987" w:type="dxa"/>
          </w:tcPr>
          <w:p w14:paraId="7B5CC580"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6524,0</w:t>
            </w:r>
          </w:p>
        </w:tc>
        <w:tc>
          <w:tcPr>
            <w:tcW w:w="980" w:type="dxa"/>
            <w:gridSpan w:val="2"/>
          </w:tcPr>
          <w:p w14:paraId="3111BDAE"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6836,6</w:t>
            </w:r>
          </w:p>
        </w:tc>
        <w:tc>
          <w:tcPr>
            <w:tcW w:w="1013" w:type="dxa"/>
          </w:tcPr>
          <w:p w14:paraId="10A6918F"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+312,6</w:t>
            </w:r>
          </w:p>
        </w:tc>
        <w:tc>
          <w:tcPr>
            <w:tcW w:w="992" w:type="dxa"/>
            <w:gridSpan w:val="2"/>
          </w:tcPr>
          <w:p w14:paraId="612ACA2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13125,7</w:t>
            </w:r>
          </w:p>
        </w:tc>
        <w:tc>
          <w:tcPr>
            <w:tcW w:w="993" w:type="dxa"/>
          </w:tcPr>
          <w:p w14:paraId="419A24A4"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13271,8</w:t>
            </w:r>
          </w:p>
        </w:tc>
        <w:tc>
          <w:tcPr>
            <w:tcW w:w="846" w:type="dxa"/>
          </w:tcPr>
          <w:p w14:paraId="517C85B0"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+146,1</w:t>
            </w:r>
          </w:p>
        </w:tc>
        <w:tc>
          <w:tcPr>
            <w:tcW w:w="993" w:type="dxa"/>
          </w:tcPr>
          <w:p w14:paraId="3121902C"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20108,4</w:t>
            </w:r>
          </w:p>
        </w:tc>
      </w:tr>
      <w:tr w:rsidR="000C2B62" w:rsidRPr="00BD2435" w14:paraId="5969A831" w14:textId="77777777" w:rsidTr="00F67814">
        <w:trPr>
          <w:jc w:val="center"/>
        </w:trPr>
        <w:tc>
          <w:tcPr>
            <w:tcW w:w="3256" w:type="dxa"/>
          </w:tcPr>
          <w:p w14:paraId="1DE63640"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 xml:space="preserve">Costul vînzărilor </w:t>
            </w:r>
            <w:r w:rsidRPr="00166A39">
              <w:rPr>
                <w:rFonts w:ascii="Calibri" w:hAnsi="Calibri" w:cs="Calibri"/>
                <w:sz w:val="16"/>
                <w:szCs w:val="16"/>
              </w:rPr>
              <w:t>(2016/ 2017)</w:t>
            </w:r>
          </w:p>
        </w:tc>
        <w:tc>
          <w:tcPr>
            <w:tcW w:w="987" w:type="dxa"/>
          </w:tcPr>
          <w:p w14:paraId="23BBF82A"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5421,3</w:t>
            </w:r>
          </w:p>
        </w:tc>
        <w:tc>
          <w:tcPr>
            <w:tcW w:w="980" w:type="dxa"/>
            <w:gridSpan w:val="2"/>
          </w:tcPr>
          <w:p w14:paraId="7D2C1E99"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5856,2</w:t>
            </w:r>
          </w:p>
        </w:tc>
        <w:tc>
          <w:tcPr>
            <w:tcW w:w="1013" w:type="dxa"/>
          </w:tcPr>
          <w:p w14:paraId="209ECE64"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+434,9</w:t>
            </w:r>
          </w:p>
        </w:tc>
        <w:tc>
          <w:tcPr>
            <w:tcW w:w="992" w:type="dxa"/>
            <w:gridSpan w:val="2"/>
          </w:tcPr>
          <w:p w14:paraId="0760A11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12090,0</w:t>
            </w:r>
          </w:p>
        </w:tc>
        <w:tc>
          <w:tcPr>
            <w:tcW w:w="993" w:type="dxa"/>
          </w:tcPr>
          <w:p w14:paraId="2110526F"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12014,4</w:t>
            </w:r>
          </w:p>
        </w:tc>
        <w:tc>
          <w:tcPr>
            <w:tcW w:w="846" w:type="dxa"/>
          </w:tcPr>
          <w:p w14:paraId="0A3741D2"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-75,6</w:t>
            </w:r>
          </w:p>
        </w:tc>
        <w:tc>
          <w:tcPr>
            <w:tcW w:w="993" w:type="dxa"/>
          </w:tcPr>
          <w:p w14:paraId="04E4D26F"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17870,6</w:t>
            </w:r>
          </w:p>
        </w:tc>
      </w:tr>
      <w:tr w:rsidR="000C2B62" w:rsidRPr="00BD2435" w14:paraId="1A4B8906" w14:textId="77777777" w:rsidTr="00F67814">
        <w:trPr>
          <w:jc w:val="center"/>
        </w:trPr>
        <w:tc>
          <w:tcPr>
            <w:tcW w:w="3256" w:type="dxa"/>
          </w:tcPr>
          <w:p w14:paraId="45663EA9"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 xml:space="preserve">Cheltuieli, </w:t>
            </w:r>
            <w:r w:rsidRPr="00166A39">
              <w:rPr>
                <w:rFonts w:ascii="Calibri" w:hAnsi="Calibri" w:cs="Calibri"/>
                <w:sz w:val="16"/>
                <w:szCs w:val="16"/>
              </w:rPr>
              <w:t>alte decît costul vînzărilor</w:t>
            </w:r>
            <w:r w:rsidRPr="00166A39">
              <w:rPr>
                <w:rFonts w:ascii="Calibri" w:hAnsi="Calibri" w:cs="Calibri"/>
                <w:b/>
                <w:sz w:val="16"/>
                <w:szCs w:val="16"/>
              </w:rPr>
              <w:t xml:space="preserve"> </w:t>
            </w:r>
            <w:r w:rsidRPr="00166A39">
              <w:rPr>
                <w:rFonts w:ascii="Calibri" w:hAnsi="Calibri" w:cs="Calibri"/>
                <w:sz w:val="16"/>
                <w:szCs w:val="16"/>
              </w:rPr>
              <w:t>(2016/ 2017)</w:t>
            </w:r>
          </w:p>
        </w:tc>
        <w:tc>
          <w:tcPr>
            <w:tcW w:w="987" w:type="dxa"/>
          </w:tcPr>
          <w:p w14:paraId="7E7EB19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2047,5</w:t>
            </w:r>
          </w:p>
        </w:tc>
        <w:tc>
          <w:tcPr>
            <w:tcW w:w="980" w:type="dxa"/>
            <w:gridSpan w:val="2"/>
          </w:tcPr>
          <w:p w14:paraId="5D6F9950"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1659,1</w:t>
            </w:r>
          </w:p>
        </w:tc>
        <w:tc>
          <w:tcPr>
            <w:tcW w:w="1013" w:type="dxa"/>
          </w:tcPr>
          <w:p w14:paraId="1D597964"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-388,4</w:t>
            </w:r>
          </w:p>
        </w:tc>
        <w:tc>
          <w:tcPr>
            <w:tcW w:w="992" w:type="dxa"/>
            <w:gridSpan w:val="2"/>
          </w:tcPr>
          <w:p w14:paraId="0C92B751"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1032,6</w:t>
            </w:r>
          </w:p>
        </w:tc>
        <w:tc>
          <w:tcPr>
            <w:tcW w:w="993" w:type="dxa"/>
          </w:tcPr>
          <w:p w14:paraId="738F4490"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1080,6</w:t>
            </w:r>
          </w:p>
        </w:tc>
        <w:tc>
          <w:tcPr>
            <w:tcW w:w="846" w:type="dxa"/>
          </w:tcPr>
          <w:p w14:paraId="5A46339C"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+48,0</w:t>
            </w:r>
          </w:p>
        </w:tc>
        <w:tc>
          <w:tcPr>
            <w:tcW w:w="993" w:type="dxa"/>
          </w:tcPr>
          <w:p w14:paraId="5236C5B5"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2739,7</w:t>
            </w:r>
          </w:p>
        </w:tc>
      </w:tr>
      <w:tr w:rsidR="000C2B62" w:rsidRPr="00BD2435" w14:paraId="3A0D29A6" w14:textId="77777777" w:rsidTr="00F67814">
        <w:trPr>
          <w:jc w:val="center"/>
        </w:trPr>
        <w:tc>
          <w:tcPr>
            <w:tcW w:w="3256" w:type="dxa"/>
          </w:tcPr>
          <w:p w14:paraId="5ED45D9B"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 xml:space="preserve">Rezultat total: profit net (pierderi nete) </w:t>
            </w:r>
            <w:r w:rsidRPr="00166A39">
              <w:rPr>
                <w:rFonts w:ascii="Calibri" w:hAnsi="Calibri" w:cs="Calibri"/>
                <w:sz w:val="16"/>
                <w:szCs w:val="16"/>
              </w:rPr>
              <w:t>(2016/ 2017),</w:t>
            </w:r>
            <w:r w:rsidRPr="00166A39">
              <w:rPr>
                <w:rFonts w:ascii="Calibri" w:hAnsi="Calibri" w:cs="Calibri"/>
                <w:b/>
                <w:sz w:val="16"/>
                <w:szCs w:val="16"/>
              </w:rPr>
              <w:t xml:space="preserve"> din care:</w:t>
            </w:r>
          </w:p>
        </w:tc>
        <w:tc>
          <w:tcPr>
            <w:tcW w:w="987" w:type="dxa"/>
          </w:tcPr>
          <w:p w14:paraId="1417E684"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-22,4</w:t>
            </w:r>
          </w:p>
        </w:tc>
        <w:tc>
          <w:tcPr>
            <w:tcW w:w="980" w:type="dxa"/>
            <w:gridSpan w:val="2"/>
          </w:tcPr>
          <w:p w14:paraId="73F31C4F"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-79,5</w:t>
            </w:r>
          </w:p>
        </w:tc>
        <w:tc>
          <w:tcPr>
            <w:tcW w:w="1013" w:type="dxa"/>
          </w:tcPr>
          <w:p w14:paraId="5091F20B"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+(-57,1)</w:t>
            </w:r>
          </w:p>
        </w:tc>
        <w:tc>
          <w:tcPr>
            <w:tcW w:w="992" w:type="dxa"/>
            <w:gridSpan w:val="2"/>
          </w:tcPr>
          <w:p w14:paraId="09FF66D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145,5</w:t>
            </w:r>
          </w:p>
        </w:tc>
        <w:tc>
          <w:tcPr>
            <w:tcW w:w="993" w:type="dxa"/>
          </w:tcPr>
          <w:p w14:paraId="26190D9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390,2</w:t>
            </w:r>
          </w:p>
        </w:tc>
        <w:tc>
          <w:tcPr>
            <w:tcW w:w="846" w:type="dxa"/>
          </w:tcPr>
          <w:p w14:paraId="2A2B1846"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+244,7</w:t>
            </w:r>
          </w:p>
        </w:tc>
        <w:tc>
          <w:tcPr>
            <w:tcW w:w="993" w:type="dxa"/>
          </w:tcPr>
          <w:p w14:paraId="524EF4AB"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310,7</w:t>
            </w:r>
          </w:p>
        </w:tc>
      </w:tr>
      <w:tr w:rsidR="000C2B62" w:rsidRPr="00BD2435" w14:paraId="38F37754" w14:textId="77777777" w:rsidTr="00F67814">
        <w:trPr>
          <w:jc w:val="center"/>
        </w:trPr>
        <w:tc>
          <w:tcPr>
            <w:tcW w:w="3256" w:type="dxa"/>
          </w:tcPr>
          <w:p w14:paraId="2603A3DE" w14:textId="77777777" w:rsidR="000C2B62" w:rsidRPr="00166A39" w:rsidRDefault="000C2B62" w:rsidP="00F67814">
            <w:pPr>
              <w:spacing w:line="276" w:lineRule="auto"/>
              <w:jc w:val="both"/>
              <w:rPr>
                <w:rFonts w:ascii="Calibri" w:hAnsi="Calibri" w:cs="Calibri"/>
                <w:i/>
                <w:sz w:val="16"/>
                <w:szCs w:val="16"/>
              </w:rPr>
            </w:pPr>
            <w:r w:rsidRPr="00166A39">
              <w:rPr>
                <w:rFonts w:ascii="Calibri" w:hAnsi="Calibri" w:cs="Calibri"/>
                <w:i/>
                <w:sz w:val="16"/>
                <w:szCs w:val="16"/>
              </w:rPr>
              <w:t xml:space="preserve">Cu profit </w:t>
            </w:r>
          </w:p>
        </w:tc>
        <w:tc>
          <w:tcPr>
            <w:tcW w:w="987" w:type="dxa"/>
          </w:tcPr>
          <w:p w14:paraId="74B237F6"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9,1</w:t>
            </w:r>
          </w:p>
        </w:tc>
        <w:tc>
          <w:tcPr>
            <w:tcW w:w="980" w:type="dxa"/>
            <w:gridSpan w:val="2"/>
          </w:tcPr>
          <w:p w14:paraId="7419E109"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219,2</w:t>
            </w:r>
          </w:p>
        </w:tc>
        <w:tc>
          <w:tcPr>
            <w:tcW w:w="1013" w:type="dxa"/>
          </w:tcPr>
          <w:p w14:paraId="1FDAFC19"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+210,1</w:t>
            </w:r>
          </w:p>
        </w:tc>
        <w:tc>
          <w:tcPr>
            <w:tcW w:w="992" w:type="dxa"/>
            <w:gridSpan w:val="2"/>
          </w:tcPr>
          <w:p w14:paraId="2F061F3A"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210,3</w:t>
            </w:r>
          </w:p>
        </w:tc>
        <w:tc>
          <w:tcPr>
            <w:tcW w:w="993" w:type="dxa"/>
          </w:tcPr>
          <w:p w14:paraId="18E8CD3D"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437,7</w:t>
            </w:r>
          </w:p>
        </w:tc>
        <w:tc>
          <w:tcPr>
            <w:tcW w:w="846" w:type="dxa"/>
          </w:tcPr>
          <w:p w14:paraId="3616567B"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+227,4</w:t>
            </w:r>
          </w:p>
        </w:tc>
        <w:tc>
          <w:tcPr>
            <w:tcW w:w="993" w:type="dxa"/>
          </w:tcPr>
          <w:p w14:paraId="120084CD"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656,9</w:t>
            </w:r>
          </w:p>
        </w:tc>
      </w:tr>
      <w:tr w:rsidR="000C2B62" w:rsidRPr="00BD2435" w14:paraId="25F9ADB8" w14:textId="77777777" w:rsidTr="00F67814">
        <w:trPr>
          <w:jc w:val="center"/>
        </w:trPr>
        <w:tc>
          <w:tcPr>
            <w:tcW w:w="3256" w:type="dxa"/>
          </w:tcPr>
          <w:p w14:paraId="6F359699" w14:textId="77777777" w:rsidR="000C2B62" w:rsidRPr="00166A39" w:rsidRDefault="000C2B62" w:rsidP="00F67814">
            <w:pPr>
              <w:spacing w:line="276" w:lineRule="auto"/>
              <w:jc w:val="both"/>
              <w:rPr>
                <w:rFonts w:ascii="Calibri" w:hAnsi="Calibri" w:cs="Calibri"/>
                <w:i/>
                <w:sz w:val="16"/>
                <w:szCs w:val="16"/>
              </w:rPr>
            </w:pPr>
            <w:r w:rsidRPr="00166A39">
              <w:rPr>
                <w:rFonts w:ascii="Calibri" w:hAnsi="Calibri" w:cs="Calibri"/>
                <w:i/>
                <w:sz w:val="16"/>
                <w:szCs w:val="16"/>
              </w:rPr>
              <w:t>Cu pierderi</w:t>
            </w:r>
          </w:p>
        </w:tc>
        <w:tc>
          <w:tcPr>
            <w:tcW w:w="987" w:type="dxa"/>
          </w:tcPr>
          <w:p w14:paraId="75DF578D"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-31,5</w:t>
            </w:r>
          </w:p>
        </w:tc>
        <w:tc>
          <w:tcPr>
            <w:tcW w:w="980" w:type="dxa"/>
            <w:gridSpan w:val="2"/>
          </w:tcPr>
          <w:p w14:paraId="142EB2B0"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-298,7</w:t>
            </w:r>
          </w:p>
        </w:tc>
        <w:tc>
          <w:tcPr>
            <w:tcW w:w="1013" w:type="dxa"/>
          </w:tcPr>
          <w:p w14:paraId="5E89C428"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-267,2</w:t>
            </w:r>
          </w:p>
        </w:tc>
        <w:tc>
          <w:tcPr>
            <w:tcW w:w="992" w:type="dxa"/>
            <w:gridSpan w:val="2"/>
          </w:tcPr>
          <w:p w14:paraId="6637118A"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-64,8</w:t>
            </w:r>
          </w:p>
        </w:tc>
        <w:tc>
          <w:tcPr>
            <w:tcW w:w="993" w:type="dxa"/>
          </w:tcPr>
          <w:p w14:paraId="69A8C142"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-47,5</w:t>
            </w:r>
          </w:p>
        </w:tc>
        <w:tc>
          <w:tcPr>
            <w:tcW w:w="846" w:type="dxa"/>
          </w:tcPr>
          <w:p w14:paraId="0A0AF0EC"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-(+17,3)</w:t>
            </w:r>
          </w:p>
        </w:tc>
        <w:tc>
          <w:tcPr>
            <w:tcW w:w="993" w:type="dxa"/>
          </w:tcPr>
          <w:p w14:paraId="60C94F72" w14:textId="77777777" w:rsidR="000C2B62" w:rsidRPr="00166A39" w:rsidRDefault="000C2B62" w:rsidP="00F67814">
            <w:pPr>
              <w:spacing w:line="276" w:lineRule="auto"/>
              <w:jc w:val="center"/>
              <w:rPr>
                <w:rFonts w:ascii="Calibri" w:hAnsi="Calibri" w:cs="Calibri"/>
                <w:i/>
                <w:sz w:val="16"/>
                <w:szCs w:val="16"/>
              </w:rPr>
            </w:pPr>
            <w:r w:rsidRPr="00166A39">
              <w:rPr>
                <w:rFonts w:ascii="Calibri" w:hAnsi="Calibri" w:cs="Calibri"/>
                <w:i/>
                <w:sz w:val="16"/>
                <w:szCs w:val="16"/>
              </w:rPr>
              <w:t>-346,2</w:t>
            </w:r>
          </w:p>
        </w:tc>
      </w:tr>
      <w:tr w:rsidR="000C2B62" w:rsidRPr="00BD2435" w14:paraId="786ADB9C" w14:textId="77777777" w:rsidTr="00F67814">
        <w:trPr>
          <w:jc w:val="center"/>
        </w:trPr>
        <w:tc>
          <w:tcPr>
            <w:tcW w:w="3256" w:type="dxa"/>
          </w:tcPr>
          <w:p w14:paraId="768A357F"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Achitările impozitelor și taxelor în BPN</w:t>
            </w:r>
          </w:p>
        </w:tc>
        <w:tc>
          <w:tcPr>
            <w:tcW w:w="987" w:type="dxa"/>
          </w:tcPr>
          <w:p w14:paraId="2F33382F"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1387,5</w:t>
            </w:r>
          </w:p>
        </w:tc>
        <w:tc>
          <w:tcPr>
            <w:tcW w:w="980" w:type="dxa"/>
            <w:gridSpan w:val="2"/>
          </w:tcPr>
          <w:p w14:paraId="5AFF1E0B"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1272,9</w:t>
            </w:r>
          </w:p>
        </w:tc>
        <w:tc>
          <w:tcPr>
            <w:tcW w:w="1013" w:type="dxa"/>
          </w:tcPr>
          <w:p w14:paraId="083063F7"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-114,6</w:t>
            </w:r>
          </w:p>
        </w:tc>
        <w:tc>
          <w:tcPr>
            <w:tcW w:w="992" w:type="dxa"/>
            <w:gridSpan w:val="2"/>
          </w:tcPr>
          <w:p w14:paraId="4377B7A6"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1032,2</w:t>
            </w:r>
          </w:p>
        </w:tc>
        <w:tc>
          <w:tcPr>
            <w:tcW w:w="993" w:type="dxa"/>
          </w:tcPr>
          <w:p w14:paraId="62CD28A1"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1143,1</w:t>
            </w:r>
          </w:p>
        </w:tc>
        <w:tc>
          <w:tcPr>
            <w:tcW w:w="846" w:type="dxa"/>
          </w:tcPr>
          <w:p w14:paraId="739C93B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+110,9</w:t>
            </w:r>
          </w:p>
        </w:tc>
        <w:tc>
          <w:tcPr>
            <w:tcW w:w="993" w:type="dxa"/>
          </w:tcPr>
          <w:p w14:paraId="58DB842F"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2416,0</w:t>
            </w:r>
          </w:p>
        </w:tc>
      </w:tr>
      <w:tr w:rsidR="000C2B62" w:rsidRPr="00BD2435" w14:paraId="27AB49E5" w14:textId="77777777" w:rsidTr="00F67814">
        <w:trPr>
          <w:jc w:val="center"/>
        </w:trPr>
        <w:tc>
          <w:tcPr>
            <w:tcW w:w="3256" w:type="dxa"/>
          </w:tcPr>
          <w:p w14:paraId="3677D606" w14:textId="77777777" w:rsidR="000C2B62" w:rsidRPr="00166A39" w:rsidRDefault="000C2B62" w:rsidP="00F67814">
            <w:pPr>
              <w:spacing w:line="276" w:lineRule="auto"/>
              <w:jc w:val="both"/>
              <w:rPr>
                <w:rFonts w:ascii="Calibri" w:hAnsi="Calibri" w:cs="Calibri"/>
                <w:b/>
                <w:sz w:val="16"/>
                <w:szCs w:val="16"/>
              </w:rPr>
            </w:pPr>
            <w:r w:rsidRPr="00166A39">
              <w:rPr>
                <w:rFonts w:ascii="Calibri" w:hAnsi="Calibri" w:cs="Calibri"/>
                <w:b/>
                <w:sz w:val="16"/>
                <w:szCs w:val="16"/>
              </w:rPr>
              <w:t>Datorii față de BPN</w:t>
            </w:r>
          </w:p>
        </w:tc>
        <w:tc>
          <w:tcPr>
            <w:tcW w:w="987" w:type="dxa"/>
          </w:tcPr>
          <w:p w14:paraId="2E5A82D1"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142,6</w:t>
            </w:r>
          </w:p>
        </w:tc>
        <w:tc>
          <w:tcPr>
            <w:tcW w:w="980" w:type="dxa"/>
            <w:gridSpan w:val="2"/>
          </w:tcPr>
          <w:p w14:paraId="61594F36"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145,3</w:t>
            </w:r>
          </w:p>
        </w:tc>
        <w:tc>
          <w:tcPr>
            <w:tcW w:w="1013" w:type="dxa"/>
          </w:tcPr>
          <w:p w14:paraId="3A40A8CD"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+2,7</w:t>
            </w:r>
          </w:p>
        </w:tc>
        <w:tc>
          <w:tcPr>
            <w:tcW w:w="992" w:type="dxa"/>
            <w:gridSpan w:val="2"/>
          </w:tcPr>
          <w:p w14:paraId="5D98A6AC"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4,7</w:t>
            </w:r>
          </w:p>
        </w:tc>
        <w:tc>
          <w:tcPr>
            <w:tcW w:w="993" w:type="dxa"/>
          </w:tcPr>
          <w:p w14:paraId="443F0B6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2,0</w:t>
            </w:r>
          </w:p>
        </w:tc>
        <w:tc>
          <w:tcPr>
            <w:tcW w:w="846" w:type="dxa"/>
          </w:tcPr>
          <w:p w14:paraId="41A505A5" w14:textId="77777777" w:rsidR="000C2B62" w:rsidRPr="00166A39" w:rsidRDefault="000C2B62" w:rsidP="00F67814">
            <w:pPr>
              <w:spacing w:line="276" w:lineRule="auto"/>
              <w:jc w:val="center"/>
              <w:rPr>
                <w:rFonts w:ascii="Calibri" w:hAnsi="Calibri" w:cs="Calibri"/>
                <w:sz w:val="16"/>
                <w:szCs w:val="16"/>
              </w:rPr>
            </w:pPr>
            <w:r w:rsidRPr="00166A39">
              <w:rPr>
                <w:rFonts w:ascii="Calibri" w:hAnsi="Calibri" w:cs="Calibri"/>
                <w:sz w:val="16"/>
                <w:szCs w:val="16"/>
              </w:rPr>
              <w:t>-2,7</w:t>
            </w:r>
          </w:p>
        </w:tc>
        <w:tc>
          <w:tcPr>
            <w:tcW w:w="993" w:type="dxa"/>
          </w:tcPr>
          <w:p w14:paraId="72D6709E" w14:textId="77777777" w:rsidR="000C2B62" w:rsidRPr="00166A39" w:rsidRDefault="000C2B62" w:rsidP="00F67814">
            <w:pPr>
              <w:spacing w:line="276" w:lineRule="auto"/>
              <w:jc w:val="center"/>
              <w:rPr>
                <w:rFonts w:ascii="Calibri" w:hAnsi="Calibri" w:cs="Calibri"/>
                <w:b/>
                <w:sz w:val="16"/>
                <w:szCs w:val="16"/>
              </w:rPr>
            </w:pPr>
            <w:r w:rsidRPr="00166A39">
              <w:rPr>
                <w:rFonts w:ascii="Calibri" w:hAnsi="Calibri" w:cs="Calibri"/>
                <w:b/>
                <w:sz w:val="16"/>
                <w:szCs w:val="16"/>
              </w:rPr>
              <w:t>147,3</w:t>
            </w:r>
          </w:p>
        </w:tc>
      </w:tr>
      <w:tr w:rsidR="000C2B62" w:rsidRPr="00BD2435" w14:paraId="23E8CC1D" w14:textId="77777777" w:rsidTr="00F67814">
        <w:trPr>
          <w:jc w:val="center"/>
        </w:trPr>
        <w:tc>
          <w:tcPr>
            <w:tcW w:w="4272" w:type="dxa"/>
            <w:gridSpan w:val="3"/>
          </w:tcPr>
          <w:p w14:paraId="713EB0A1" w14:textId="77777777" w:rsidR="000C2B62" w:rsidRPr="00166A39" w:rsidRDefault="000C2B62" w:rsidP="00F67814">
            <w:pPr>
              <w:spacing w:line="276" w:lineRule="auto"/>
              <w:rPr>
                <w:rFonts w:ascii="Calibri" w:hAnsi="Calibri" w:cs="Calibri"/>
                <w:sz w:val="16"/>
                <w:szCs w:val="16"/>
              </w:rPr>
            </w:pPr>
            <w:r w:rsidRPr="00166A39">
              <w:rPr>
                <w:rFonts w:ascii="Calibri" w:hAnsi="Calibri" w:cs="Calibri"/>
                <w:b/>
                <w:sz w:val="16"/>
                <w:szCs w:val="16"/>
              </w:rPr>
              <w:t>Dividende/defalcări încasate din profitul net obținut în 2016 (la situația din 31.12.2017)</w:t>
            </w:r>
          </w:p>
        </w:tc>
        <w:tc>
          <w:tcPr>
            <w:tcW w:w="1973" w:type="dxa"/>
            <w:gridSpan w:val="3"/>
            <w:vAlign w:val="center"/>
          </w:tcPr>
          <w:p w14:paraId="0D0AF38C" w14:textId="77777777" w:rsidR="000C2B62" w:rsidRPr="001C5FC7" w:rsidRDefault="000C2B62" w:rsidP="00F67814">
            <w:pPr>
              <w:spacing w:line="276" w:lineRule="auto"/>
              <w:jc w:val="center"/>
              <w:rPr>
                <w:rFonts w:ascii="Calibri" w:hAnsi="Calibri" w:cs="Calibri"/>
                <w:sz w:val="16"/>
                <w:szCs w:val="16"/>
              </w:rPr>
            </w:pPr>
            <w:r w:rsidRPr="001C5FC7">
              <w:rPr>
                <w:rFonts w:ascii="Calibri" w:hAnsi="Calibri" w:cs="Calibri"/>
                <w:sz w:val="16"/>
                <w:szCs w:val="16"/>
              </w:rPr>
              <w:t>44,375 (106,9% executare față de planul rectificat)</w:t>
            </w:r>
          </w:p>
        </w:tc>
        <w:tc>
          <w:tcPr>
            <w:tcW w:w="2822" w:type="dxa"/>
            <w:gridSpan w:val="3"/>
            <w:vAlign w:val="center"/>
          </w:tcPr>
          <w:p w14:paraId="782DFA6D" w14:textId="77777777" w:rsidR="000C2B62" w:rsidRPr="001C5FC7" w:rsidRDefault="000C2B62" w:rsidP="00F67814">
            <w:pPr>
              <w:spacing w:line="276" w:lineRule="auto"/>
              <w:jc w:val="center"/>
              <w:rPr>
                <w:rFonts w:ascii="Calibri" w:hAnsi="Calibri" w:cs="Calibri"/>
                <w:sz w:val="16"/>
                <w:szCs w:val="16"/>
              </w:rPr>
            </w:pPr>
            <w:r w:rsidRPr="001C5FC7">
              <w:rPr>
                <w:rFonts w:ascii="Calibri" w:hAnsi="Calibri" w:cs="Calibri"/>
                <w:sz w:val="16"/>
                <w:szCs w:val="16"/>
              </w:rPr>
              <w:t>122,731 (100,8% executare față de planul rectificat)</w:t>
            </w:r>
          </w:p>
        </w:tc>
        <w:tc>
          <w:tcPr>
            <w:tcW w:w="993" w:type="dxa"/>
            <w:vAlign w:val="center"/>
          </w:tcPr>
          <w:p w14:paraId="16ED2D1F" w14:textId="77777777" w:rsidR="000C2B62" w:rsidRPr="001C5FC7" w:rsidRDefault="000C2B62" w:rsidP="00F67814">
            <w:pPr>
              <w:spacing w:line="276" w:lineRule="auto"/>
              <w:jc w:val="center"/>
              <w:rPr>
                <w:rFonts w:ascii="Calibri" w:hAnsi="Calibri" w:cs="Calibri"/>
                <w:b/>
                <w:sz w:val="16"/>
                <w:szCs w:val="16"/>
              </w:rPr>
            </w:pPr>
            <w:r w:rsidRPr="001C5FC7">
              <w:rPr>
                <w:rFonts w:ascii="Calibri" w:hAnsi="Calibri" w:cs="Calibri"/>
                <w:b/>
                <w:sz w:val="16"/>
                <w:szCs w:val="16"/>
              </w:rPr>
              <w:t>167,11</w:t>
            </w:r>
          </w:p>
        </w:tc>
      </w:tr>
    </w:tbl>
    <w:p w14:paraId="34EB43CF" w14:textId="77777777" w:rsidR="000C2B62" w:rsidRPr="00166A39" w:rsidRDefault="000C2B62" w:rsidP="000C2B62">
      <w:pPr>
        <w:spacing w:line="120" w:lineRule="auto"/>
        <w:jc w:val="both"/>
        <w:rPr>
          <w:rFonts w:ascii="Calibri" w:hAnsi="Calibri" w:cs="Calibri"/>
          <w:sz w:val="18"/>
          <w:szCs w:val="18"/>
        </w:rPr>
      </w:pPr>
    </w:p>
    <w:p w14:paraId="40953CC8" w14:textId="77777777" w:rsidR="000C2B62" w:rsidRPr="00166A39" w:rsidRDefault="000C2B62" w:rsidP="000C2B62">
      <w:pPr>
        <w:pStyle w:val="BodyTextIndent2"/>
        <w:spacing w:line="120" w:lineRule="auto"/>
        <w:ind w:firstLine="539"/>
        <w:rPr>
          <w:rFonts w:ascii="Calibri" w:hAnsi="Calibri" w:cs="Calibri"/>
          <w:sz w:val="26"/>
          <w:szCs w:val="26"/>
        </w:rPr>
      </w:pPr>
    </w:p>
    <w:p w14:paraId="3849A3AB" w14:textId="77777777" w:rsidR="000C2B62" w:rsidRPr="00166A39" w:rsidRDefault="000C2B62" w:rsidP="00166A39">
      <w:pPr>
        <w:pStyle w:val="BodyTextIndent2"/>
        <w:ind w:firstLine="539"/>
        <w:rPr>
          <w:rFonts w:ascii="Calibri" w:hAnsi="Calibri" w:cs="Calibri"/>
          <w:sz w:val="24"/>
          <w:szCs w:val="24"/>
        </w:rPr>
      </w:pPr>
      <w:r w:rsidRPr="00166A39">
        <w:rPr>
          <w:rFonts w:ascii="Calibri" w:hAnsi="Calibri" w:cs="Calibri"/>
          <w:sz w:val="24"/>
          <w:szCs w:val="24"/>
        </w:rPr>
        <w:t xml:space="preserve">Totodată, se atestă că achitările impozitelor și taxelor ale entităților cu capital de stat în total venituri ale bugetului public național din impozite și taxe constituie circa 7,0 la sută. </w:t>
      </w:r>
    </w:p>
    <w:p w14:paraId="7C1896E2" w14:textId="77777777" w:rsidR="000C2B62" w:rsidRPr="00166A39" w:rsidRDefault="000C2B62" w:rsidP="00166A39">
      <w:pPr>
        <w:pStyle w:val="BodyTextIndent2"/>
        <w:ind w:firstLine="539"/>
        <w:rPr>
          <w:rFonts w:ascii="Calibri" w:hAnsi="Calibri" w:cs="Calibri"/>
          <w:color w:val="FF0000"/>
          <w:sz w:val="24"/>
          <w:szCs w:val="24"/>
        </w:rPr>
      </w:pPr>
      <w:r w:rsidRPr="00166A39">
        <w:rPr>
          <w:rFonts w:ascii="Calibri" w:hAnsi="Calibri" w:cs="Calibri"/>
          <w:sz w:val="24"/>
          <w:szCs w:val="24"/>
        </w:rPr>
        <w:t xml:space="preserve">În particular, din totalul entităților analizate, 130 entități sau 63,7% au activat cu profit în anul 2017, suma căruia a constituit 656,9 mil. lei, iar 70 entități cu capital de stat sau 34,3% din entități au activat cu pierderi, suma cărora a constituit 346,2 mil. lei. </w:t>
      </w:r>
      <w:r w:rsidRPr="00166A39">
        <w:rPr>
          <w:rFonts w:ascii="Calibri" w:hAnsi="Calibri" w:cs="Calibri"/>
          <w:b/>
          <w:sz w:val="24"/>
          <w:szCs w:val="24"/>
        </w:rPr>
        <w:t>Pierderi nete mai mari de 1 milion lei</w:t>
      </w:r>
      <w:r w:rsidRPr="00166A39">
        <w:rPr>
          <w:rFonts w:ascii="Calibri" w:hAnsi="Calibri" w:cs="Calibri"/>
          <w:sz w:val="24"/>
          <w:szCs w:val="24"/>
        </w:rPr>
        <w:t xml:space="preserve"> se înregistrează la </w:t>
      </w:r>
      <w:r w:rsidRPr="00166A39">
        <w:rPr>
          <w:rFonts w:ascii="Calibri" w:hAnsi="Calibri" w:cs="Calibri"/>
          <w:b/>
          <w:sz w:val="24"/>
          <w:szCs w:val="24"/>
        </w:rPr>
        <w:t>20 întreprinderi de stat</w:t>
      </w:r>
      <w:r w:rsidRPr="00166A39">
        <w:rPr>
          <w:rFonts w:ascii="Calibri" w:hAnsi="Calibri" w:cs="Calibri"/>
          <w:sz w:val="24"/>
          <w:szCs w:val="24"/>
        </w:rPr>
        <w:t xml:space="preserve"> (sau 32,3% din numărul întreprinderilor ce înregistrează pierderi)</w:t>
      </w:r>
      <w:r w:rsidRPr="00166A39">
        <w:rPr>
          <w:rFonts w:ascii="Calibri" w:hAnsi="Calibri" w:cs="Calibri"/>
          <w:sz w:val="24"/>
          <w:szCs w:val="24"/>
          <w:lang w:val="ro-MD"/>
        </w:rPr>
        <w:t xml:space="preserve"> și </w:t>
      </w:r>
      <w:r w:rsidRPr="00166A39">
        <w:rPr>
          <w:rFonts w:ascii="Calibri" w:hAnsi="Calibri" w:cs="Calibri"/>
          <w:b/>
          <w:sz w:val="24"/>
          <w:szCs w:val="24"/>
          <w:lang w:val="ro-MD"/>
        </w:rPr>
        <w:t>2 societăți pe acțiuni</w:t>
      </w:r>
      <w:r w:rsidRPr="00166A39">
        <w:rPr>
          <w:rFonts w:ascii="Calibri" w:hAnsi="Calibri" w:cs="Calibri"/>
          <w:sz w:val="24"/>
          <w:szCs w:val="24"/>
          <w:lang w:val="ro-MD"/>
        </w:rPr>
        <w:t xml:space="preserve"> (sau 25,0% din societățile ce înregistrează pierderi)</w:t>
      </w:r>
      <w:r w:rsidRPr="00166A39">
        <w:rPr>
          <w:rFonts w:ascii="Calibri" w:hAnsi="Calibri" w:cs="Calibri"/>
          <w:sz w:val="24"/>
          <w:szCs w:val="24"/>
        </w:rPr>
        <w:t xml:space="preserve">, din care cele mai mari pierderi se înregistrează la: </w:t>
      </w:r>
    </w:p>
    <w:p w14:paraId="56614C0B" w14:textId="77777777" w:rsidR="000C2B62" w:rsidRPr="00166A39" w:rsidRDefault="000C2B62" w:rsidP="00166A39">
      <w:pPr>
        <w:numPr>
          <w:ilvl w:val="0"/>
          <w:numId w:val="29"/>
        </w:numPr>
        <w:ind w:left="800" w:hanging="233"/>
        <w:jc w:val="both"/>
        <w:rPr>
          <w:rFonts w:ascii="Calibri" w:hAnsi="Calibri" w:cs="Calibri"/>
        </w:rPr>
      </w:pPr>
      <w:r w:rsidRPr="00166A39">
        <w:rPr>
          <w:rFonts w:ascii="Calibri" w:hAnsi="Calibri" w:cs="Calibri"/>
        </w:rPr>
        <w:t xml:space="preserve">Î.S. Compania Aeriană „Air Moldova” (190,4 mil. lei pierderi în anul 2017, </w:t>
      </w:r>
      <w:r w:rsidRPr="00166A39">
        <w:rPr>
          <w:rFonts w:ascii="Calibri" w:hAnsi="Calibri" w:cs="Calibri"/>
          <w:b/>
        </w:rPr>
        <w:t>față de</w:t>
      </w:r>
      <w:r w:rsidRPr="00166A39">
        <w:rPr>
          <w:rFonts w:ascii="Calibri" w:hAnsi="Calibri" w:cs="Calibri"/>
        </w:rPr>
        <w:t xml:space="preserve"> 8,6 mil. lei profit în anul 2016);</w:t>
      </w:r>
    </w:p>
    <w:p w14:paraId="6DAF2A38" w14:textId="77777777" w:rsidR="000C2B62" w:rsidRPr="00166A39" w:rsidRDefault="000C2B62" w:rsidP="00166A39">
      <w:pPr>
        <w:numPr>
          <w:ilvl w:val="0"/>
          <w:numId w:val="29"/>
        </w:numPr>
        <w:ind w:left="800" w:hanging="233"/>
        <w:jc w:val="both"/>
        <w:rPr>
          <w:rFonts w:ascii="Calibri" w:hAnsi="Calibri" w:cs="Calibri"/>
        </w:rPr>
      </w:pPr>
      <w:r w:rsidRPr="00166A39">
        <w:rPr>
          <w:rFonts w:ascii="Calibri" w:hAnsi="Calibri" w:cs="Calibri"/>
        </w:rPr>
        <w:t>S.A. „CET Nord” (40,4 mil. lei pierderi în anul 2017,</w:t>
      </w:r>
      <w:r w:rsidRPr="00166A39">
        <w:rPr>
          <w:rFonts w:ascii="Calibri" w:hAnsi="Calibri" w:cs="Calibri"/>
          <w:lang w:val="ro-MD"/>
        </w:rPr>
        <w:t xml:space="preserve"> față de 52,9 mil. lei </w:t>
      </w:r>
      <w:r w:rsidRPr="00166A39">
        <w:rPr>
          <w:rFonts w:ascii="Calibri" w:hAnsi="Calibri" w:cs="Calibri"/>
        </w:rPr>
        <w:t>pierderi</w:t>
      </w:r>
      <w:r w:rsidRPr="00166A39">
        <w:rPr>
          <w:rFonts w:ascii="Calibri" w:hAnsi="Calibri" w:cs="Calibri"/>
          <w:lang w:val="ro-MD"/>
        </w:rPr>
        <w:t xml:space="preserve"> nete</w:t>
      </w:r>
      <w:r w:rsidRPr="00166A39">
        <w:rPr>
          <w:rFonts w:ascii="Calibri" w:hAnsi="Calibri" w:cs="Calibri"/>
        </w:rPr>
        <w:t xml:space="preserve"> </w:t>
      </w:r>
      <w:r w:rsidRPr="00166A39">
        <w:rPr>
          <w:rFonts w:ascii="Calibri" w:hAnsi="Calibri" w:cs="Calibri"/>
          <w:lang w:val="ro-MD"/>
        </w:rPr>
        <w:t>în</w:t>
      </w:r>
      <w:r w:rsidRPr="00166A39">
        <w:rPr>
          <w:rFonts w:ascii="Calibri" w:hAnsi="Calibri" w:cs="Calibri"/>
        </w:rPr>
        <w:t xml:space="preserve"> 2016);</w:t>
      </w:r>
    </w:p>
    <w:p w14:paraId="73F39995" w14:textId="77777777" w:rsidR="000C2B62" w:rsidRPr="00166A39" w:rsidRDefault="000C2B62" w:rsidP="00166A39">
      <w:pPr>
        <w:numPr>
          <w:ilvl w:val="0"/>
          <w:numId w:val="29"/>
        </w:numPr>
        <w:ind w:left="800" w:hanging="233"/>
        <w:jc w:val="both"/>
        <w:rPr>
          <w:rFonts w:ascii="Calibri" w:hAnsi="Calibri" w:cs="Calibri"/>
        </w:rPr>
      </w:pPr>
      <w:r w:rsidRPr="00166A39">
        <w:rPr>
          <w:rFonts w:ascii="Calibri" w:hAnsi="Calibri" w:cs="Calibri"/>
        </w:rPr>
        <w:t>Î.S. „VestMoldTransGaz” (26,0 mil. lei pierderi în anul 2017, față de 3,3 mil. lei pierderi nete în 2016);</w:t>
      </w:r>
    </w:p>
    <w:p w14:paraId="6357D10D" w14:textId="71A029D9" w:rsidR="000C2B62" w:rsidRPr="00166A39" w:rsidRDefault="000C2B62" w:rsidP="00166A39">
      <w:pPr>
        <w:numPr>
          <w:ilvl w:val="0"/>
          <w:numId w:val="29"/>
        </w:numPr>
        <w:ind w:left="800" w:hanging="233"/>
        <w:jc w:val="both"/>
        <w:rPr>
          <w:rFonts w:ascii="Calibri" w:hAnsi="Calibri" w:cs="Calibri"/>
        </w:rPr>
      </w:pPr>
      <w:r w:rsidRPr="00166A39">
        <w:rPr>
          <w:rFonts w:ascii="Calibri" w:hAnsi="Calibri" w:cs="Calibri"/>
        </w:rPr>
        <w:t xml:space="preserve">Î.S. „Fabrica de Sticlă din </w:t>
      </w:r>
      <w:r w:rsidR="007D4CBC" w:rsidRPr="00166A39">
        <w:rPr>
          <w:rFonts w:ascii="Calibri" w:hAnsi="Calibri" w:cs="Calibri"/>
        </w:rPr>
        <w:t>Chișinău</w:t>
      </w:r>
      <w:r w:rsidRPr="00166A39">
        <w:rPr>
          <w:rFonts w:ascii="Calibri" w:hAnsi="Calibri" w:cs="Calibri"/>
        </w:rPr>
        <w:t>” (19,7 mil. lei pierderi în anul 2017, față de 13,5 mil. lei pierderi nete în 2016);</w:t>
      </w:r>
    </w:p>
    <w:p w14:paraId="3AFBDD87" w14:textId="77777777" w:rsidR="000C2B62" w:rsidRPr="00166A39" w:rsidRDefault="000C2B62" w:rsidP="00166A39">
      <w:pPr>
        <w:numPr>
          <w:ilvl w:val="0"/>
          <w:numId w:val="29"/>
        </w:numPr>
        <w:ind w:left="800" w:hanging="233"/>
        <w:jc w:val="both"/>
        <w:rPr>
          <w:rFonts w:ascii="Calibri" w:hAnsi="Calibri" w:cs="Calibri"/>
        </w:rPr>
      </w:pPr>
      <w:r w:rsidRPr="00166A39">
        <w:rPr>
          <w:rFonts w:ascii="Calibri" w:hAnsi="Calibri" w:cs="Calibri"/>
        </w:rPr>
        <w:t>Î.S. „Colegiul Național de Viticultură și Vinificație din Chișinău” (18,9 mil. lei pierderi în anul 2017, față de 0,8 mil. lei pierderi nete în 2016).</w:t>
      </w:r>
    </w:p>
    <w:p w14:paraId="6B6E5CE8" w14:textId="77777777" w:rsidR="000C2B62" w:rsidRPr="00166A39" w:rsidRDefault="000C2B62" w:rsidP="00166A39">
      <w:pPr>
        <w:numPr>
          <w:ilvl w:val="0"/>
          <w:numId w:val="29"/>
        </w:numPr>
        <w:ind w:left="800" w:hanging="233"/>
        <w:jc w:val="both"/>
        <w:rPr>
          <w:rFonts w:ascii="Calibri" w:hAnsi="Calibri" w:cs="Calibri"/>
        </w:rPr>
      </w:pPr>
      <w:r w:rsidRPr="00166A39">
        <w:rPr>
          <w:rFonts w:ascii="Calibri" w:hAnsi="Calibri" w:cs="Calibri"/>
        </w:rPr>
        <w:t xml:space="preserve">S.A. „Răut” (5,6 mil. lei pierderi în anul 2017, </w:t>
      </w:r>
      <w:r w:rsidRPr="00166A39">
        <w:rPr>
          <w:rFonts w:ascii="Calibri" w:hAnsi="Calibri" w:cs="Calibri"/>
          <w:lang w:val="ro-MD"/>
        </w:rPr>
        <w:t xml:space="preserve">față de 7,8 mil. lei pierderi nete în </w:t>
      </w:r>
      <w:r w:rsidRPr="00166A39">
        <w:rPr>
          <w:rFonts w:ascii="Calibri" w:hAnsi="Calibri" w:cs="Calibri"/>
        </w:rPr>
        <w:t>2016).</w:t>
      </w:r>
    </w:p>
    <w:p w14:paraId="03EF1A75" w14:textId="77777777" w:rsidR="000C2B62" w:rsidRPr="00166A39" w:rsidRDefault="000C2B62" w:rsidP="000C2B62">
      <w:pPr>
        <w:pStyle w:val="BodyTextIndent2"/>
        <w:spacing w:line="120" w:lineRule="auto"/>
        <w:ind w:firstLine="539"/>
        <w:rPr>
          <w:rFonts w:ascii="Calibri" w:hAnsi="Calibri" w:cs="Calibri"/>
          <w:color w:val="FF0000"/>
          <w:sz w:val="26"/>
          <w:szCs w:val="26"/>
        </w:rPr>
      </w:pPr>
    </w:p>
    <w:p w14:paraId="06D6BCD2" w14:textId="77777777" w:rsidR="000C2B62" w:rsidRPr="00166A39" w:rsidRDefault="000C2B62" w:rsidP="00166A39">
      <w:pPr>
        <w:ind w:hanging="284"/>
        <w:rPr>
          <w:rFonts w:asciiTheme="minorHAnsi" w:hAnsiTheme="minorHAnsi" w:cstheme="minorHAnsi"/>
          <w:b/>
          <w:i/>
          <w:color w:val="548DD4" w:themeColor="text2" w:themeTint="99"/>
          <w:sz w:val="22"/>
          <w:szCs w:val="22"/>
        </w:rPr>
      </w:pPr>
      <w:r w:rsidRPr="00166A39">
        <w:rPr>
          <w:rFonts w:ascii="Calibri" w:hAnsi="Calibri" w:cs="Calibri"/>
          <w:color w:val="FF0000"/>
        </w:rPr>
        <w:tab/>
      </w:r>
      <w:r w:rsidRPr="00166A39">
        <w:rPr>
          <w:rFonts w:asciiTheme="minorHAnsi" w:hAnsiTheme="minorHAnsi" w:cstheme="minorHAnsi"/>
          <w:b/>
          <w:i/>
          <w:color w:val="548DD4" w:themeColor="text2" w:themeTint="99"/>
          <w:sz w:val="22"/>
          <w:szCs w:val="22"/>
        </w:rPr>
        <w:t>Tabelul 4. Situaţia financiară a entităților economice cu capital de stat în anul 2017</w:t>
      </w:r>
    </w:p>
    <w:tbl>
      <w:tblPr>
        <w:tblStyle w:val="TableGrid"/>
        <w:tblW w:w="9692" w:type="dxa"/>
        <w:jc w:val="center"/>
        <w:tblLayout w:type="fixed"/>
        <w:tblLook w:val="0000" w:firstRow="0" w:lastRow="0" w:firstColumn="0" w:lastColumn="0" w:noHBand="0" w:noVBand="0"/>
      </w:tblPr>
      <w:tblGrid>
        <w:gridCol w:w="1133"/>
        <w:gridCol w:w="1418"/>
        <w:gridCol w:w="904"/>
        <w:gridCol w:w="992"/>
        <w:gridCol w:w="738"/>
        <w:gridCol w:w="850"/>
        <w:gridCol w:w="922"/>
        <w:gridCol w:w="751"/>
        <w:gridCol w:w="900"/>
        <w:gridCol w:w="1084"/>
      </w:tblGrid>
      <w:tr w:rsidR="000C2B62" w:rsidRPr="00BD2435" w14:paraId="6E805E02" w14:textId="77777777" w:rsidTr="00F67814">
        <w:trPr>
          <w:trHeight w:val="218"/>
          <w:jc w:val="center"/>
        </w:trPr>
        <w:tc>
          <w:tcPr>
            <w:tcW w:w="1133" w:type="dxa"/>
            <w:vMerge w:val="restart"/>
            <w:vAlign w:val="center"/>
          </w:tcPr>
          <w:p w14:paraId="77166E3F"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Entităţi</w:t>
            </w:r>
          </w:p>
          <w:p w14:paraId="32905C4D"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economice</w:t>
            </w:r>
          </w:p>
        </w:tc>
        <w:tc>
          <w:tcPr>
            <w:tcW w:w="1418" w:type="dxa"/>
            <w:vMerge w:val="restart"/>
            <w:vAlign w:val="center"/>
          </w:tcPr>
          <w:p w14:paraId="6731C1B9" w14:textId="77777777" w:rsidR="000C2B62" w:rsidRPr="00166A39" w:rsidRDefault="000C2B62" w:rsidP="00F67814">
            <w:pPr>
              <w:pStyle w:val="BodyTextIndent2"/>
              <w:ind w:firstLine="0"/>
              <w:jc w:val="center"/>
              <w:rPr>
                <w:rFonts w:ascii="Calibri" w:hAnsi="Calibri" w:cs="Calibri"/>
                <w:b/>
                <w:sz w:val="18"/>
                <w:szCs w:val="18"/>
              </w:rPr>
            </w:pPr>
            <w:r w:rsidRPr="00166A39">
              <w:rPr>
                <w:rFonts w:ascii="Calibri" w:hAnsi="Calibri" w:cs="Calibri"/>
                <w:b/>
                <w:sz w:val="18"/>
                <w:szCs w:val="18"/>
              </w:rPr>
              <w:t>Numărul entităţilor supuse analizei</w:t>
            </w:r>
          </w:p>
        </w:tc>
        <w:tc>
          <w:tcPr>
            <w:tcW w:w="2634" w:type="dxa"/>
            <w:gridSpan w:val="3"/>
            <w:vAlign w:val="center"/>
          </w:tcPr>
          <w:p w14:paraId="7AE1C88B"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Au activat cu pierderi</w:t>
            </w:r>
          </w:p>
        </w:tc>
        <w:tc>
          <w:tcPr>
            <w:tcW w:w="2523" w:type="dxa"/>
            <w:gridSpan w:val="3"/>
            <w:vAlign w:val="center"/>
          </w:tcPr>
          <w:p w14:paraId="42D783BE"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Au activat cu profit</w:t>
            </w:r>
          </w:p>
        </w:tc>
        <w:tc>
          <w:tcPr>
            <w:tcW w:w="1984" w:type="dxa"/>
            <w:gridSpan w:val="2"/>
            <w:vAlign w:val="center"/>
          </w:tcPr>
          <w:p w14:paraId="60E5E49E"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Rezultat financiar nul</w:t>
            </w:r>
          </w:p>
        </w:tc>
      </w:tr>
      <w:tr w:rsidR="000C2B62" w:rsidRPr="00BD2435" w14:paraId="489F3E7F" w14:textId="77777777" w:rsidTr="00F67814">
        <w:trPr>
          <w:trHeight w:val="63"/>
          <w:jc w:val="center"/>
        </w:trPr>
        <w:tc>
          <w:tcPr>
            <w:tcW w:w="1133" w:type="dxa"/>
            <w:vMerge/>
            <w:vAlign w:val="center"/>
          </w:tcPr>
          <w:p w14:paraId="4DA3600C" w14:textId="77777777" w:rsidR="000C2B62" w:rsidRPr="00166A39" w:rsidRDefault="000C2B62" w:rsidP="00F67814">
            <w:pPr>
              <w:jc w:val="center"/>
              <w:rPr>
                <w:rFonts w:ascii="Calibri" w:hAnsi="Calibri" w:cs="Calibri"/>
                <w:b/>
                <w:sz w:val="18"/>
                <w:szCs w:val="18"/>
              </w:rPr>
            </w:pPr>
          </w:p>
        </w:tc>
        <w:tc>
          <w:tcPr>
            <w:tcW w:w="1418" w:type="dxa"/>
            <w:vMerge/>
            <w:vAlign w:val="center"/>
          </w:tcPr>
          <w:p w14:paraId="0FA886CD" w14:textId="77777777" w:rsidR="000C2B62" w:rsidRPr="00166A39" w:rsidRDefault="000C2B62" w:rsidP="00F67814">
            <w:pPr>
              <w:jc w:val="center"/>
              <w:rPr>
                <w:rFonts w:ascii="Calibri" w:hAnsi="Calibri" w:cs="Calibri"/>
                <w:b/>
                <w:sz w:val="18"/>
                <w:szCs w:val="18"/>
              </w:rPr>
            </w:pPr>
          </w:p>
        </w:tc>
        <w:tc>
          <w:tcPr>
            <w:tcW w:w="904" w:type="dxa"/>
            <w:vAlign w:val="center"/>
          </w:tcPr>
          <w:p w14:paraId="4F48232A"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numărul ent. ec.</w:t>
            </w:r>
          </w:p>
        </w:tc>
        <w:tc>
          <w:tcPr>
            <w:tcW w:w="992" w:type="dxa"/>
            <w:vAlign w:val="center"/>
          </w:tcPr>
          <w:p w14:paraId="1D79E10B" w14:textId="77777777" w:rsidR="000C2B62" w:rsidRPr="00166A39" w:rsidRDefault="000C2B62" w:rsidP="00F67814">
            <w:pPr>
              <w:pStyle w:val="BodyTextIndent2"/>
              <w:ind w:firstLine="0"/>
              <w:jc w:val="center"/>
              <w:rPr>
                <w:rFonts w:ascii="Calibri" w:hAnsi="Calibri" w:cs="Calibri"/>
                <w:sz w:val="18"/>
                <w:szCs w:val="18"/>
              </w:rPr>
            </w:pPr>
            <w:r w:rsidRPr="00166A39">
              <w:rPr>
                <w:rFonts w:ascii="Calibri" w:hAnsi="Calibri" w:cs="Calibri"/>
                <w:sz w:val="18"/>
                <w:szCs w:val="18"/>
              </w:rPr>
              <w:t>ponderea,</w:t>
            </w:r>
          </w:p>
          <w:p w14:paraId="67BB3437"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w:t>
            </w:r>
          </w:p>
        </w:tc>
        <w:tc>
          <w:tcPr>
            <w:tcW w:w="738" w:type="dxa"/>
            <w:vAlign w:val="center"/>
          </w:tcPr>
          <w:p w14:paraId="13CF1E4A"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suma, mil. lei</w:t>
            </w:r>
          </w:p>
        </w:tc>
        <w:tc>
          <w:tcPr>
            <w:tcW w:w="850" w:type="dxa"/>
            <w:vAlign w:val="center"/>
          </w:tcPr>
          <w:p w14:paraId="0BC9BD79"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numărul ent. ec.</w:t>
            </w:r>
          </w:p>
        </w:tc>
        <w:tc>
          <w:tcPr>
            <w:tcW w:w="922" w:type="dxa"/>
            <w:vAlign w:val="center"/>
          </w:tcPr>
          <w:p w14:paraId="55769476" w14:textId="77777777" w:rsidR="000C2B62" w:rsidRPr="00166A39" w:rsidRDefault="000C2B62" w:rsidP="00F67814">
            <w:pPr>
              <w:pStyle w:val="BodyTextIndent2"/>
              <w:ind w:firstLine="0"/>
              <w:jc w:val="center"/>
              <w:rPr>
                <w:rFonts w:ascii="Calibri" w:hAnsi="Calibri" w:cs="Calibri"/>
                <w:sz w:val="18"/>
                <w:szCs w:val="18"/>
              </w:rPr>
            </w:pPr>
            <w:r w:rsidRPr="00166A39">
              <w:rPr>
                <w:rFonts w:ascii="Calibri" w:hAnsi="Calibri" w:cs="Calibri"/>
                <w:sz w:val="18"/>
                <w:szCs w:val="18"/>
              </w:rPr>
              <w:t>ponderea,</w:t>
            </w:r>
          </w:p>
          <w:p w14:paraId="412A53F9"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w:t>
            </w:r>
          </w:p>
        </w:tc>
        <w:tc>
          <w:tcPr>
            <w:tcW w:w="751" w:type="dxa"/>
            <w:vAlign w:val="center"/>
          </w:tcPr>
          <w:p w14:paraId="0FE460E2"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suma, mil. lei</w:t>
            </w:r>
          </w:p>
        </w:tc>
        <w:tc>
          <w:tcPr>
            <w:tcW w:w="900" w:type="dxa"/>
            <w:vAlign w:val="center"/>
          </w:tcPr>
          <w:p w14:paraId="47658762"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numărul ent. ec.</w:t>
            </w:r>
          </w:p>
        </w:tc>
        <w:tc>
          <w:tcPr>
            <w:tcW w:w="1084" w:type="dxa"/>
            <w:vAlign w:val="center"/>
          </w:tcPr>
          <w:p w14:paraId="1D0786CE" w14:textId="77777777" w:rsidR="000C2B62" w:rsidRPr="00166A39" w:rsidRDefault="000C2B62" w:rsidP="00F67814">
            <w:pPr>
              <w:pStyle w:val="BodyTextIndent2"/>
              <w:ind w:firstLine="0"/>
              <w:jc w:val="center"/>
              <w:rPr>
                <w:rFonts w:ascii="Calibri" w:hAnsi="Calibri" w:cs="Calibri"/>
                <w:sz w:val="18"/>
                <w:szCs w:val="18"/>
              </w:rPr>
            </w:pPr>
            <w:r w:rsidRPr="00166A39">
              <w:rPr>
                <w:rFonts w:ascii="Calibri" w:hAnsi="Calibri" w:cs="Calibri"/>
                <w:sz w:val="18"/>
                <w:szCs w:val="18"/>
              </w:rPr>
              <w:t>ponderea,</w:t>
            </w:r>
          </w:p>
          <w:p w14:paraId="44CB5C43"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w:t>
            </w:r>
          </w:p>
        </w:tc>
      </w:tr>
      <w:tr w:rsidR="000C2B62" w:rsidRPr="00BD2435" w14:paraId="4F40BD47" w14:textId="77777777" w:rsidTr="00F67814">
        <w:trPr>
          <w:trHeight w:val="189"/>
          <w:jc w:val="center"/>
        </w:trPr>
        <w:tc>
          <w:tcPr>
            <w:tcW w:w="1133" w:type="dxa"/>
          </w:tcPr>
          <w:p w14:paraId="202D64E8"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1</w:t>
            </w:r>
          </w:p>
        </w:tc>
        <w:tc>
          <w:tcPr>
            <w:tcW w:w="1418" w:type="dxa"/>
          </w:tcPr>
          <w:p w14:paraId="0884D8CC"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2</w:t>
            </w:r>
          </w:p>
        </w:tc>
        <w:tc>
          <w:tcPr>
            <w:tcW w:w="904" w:type="dxa"/>
          </w:tcPr>
          <w:p w14:paraId="6B7DCCA5"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3</w:t>
            </w:r>
          </w:p>
        </w:tc>
        <w:tc>
          <w:tcPr>
            <w:tcW w:w="992" w:type="dxa"/>
          </w:tcPr>
          <w:p w14:paraId="5420BB2B"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4=3/2</w:t>
            </w:r>
          </w:p>
        </w:tc>
        <w:tc>
          <w:tcPr>
            <w:tcW w:w="738" w:type="dxa"/>
          </w:tcPr>
          <w:p w14:paraId="06B949C0"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5</w:t>
            </w:r>
          </w:p>
        </w:tc>
        <w:tc>
          <w:tcPr>
            <w:tcW w:w="850" w:type="dxa"/>
          </w:tcPr>
          <w:p w14:paraId="0D4EF829"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6</w:t>
            </w:r>
          </w:p>
        </w:tc>
        <w:tc>
          <w:tcPr>
            <w:tcW w:w="922" w:type="dxa"/>
          </w:tcPr>
          <w:p w14:paraId="2992F338"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7=6/2</w:t>
            </w:r>
          </w:p>
        </w:tc>
        <w:tc>
          <w:tcPr>
            <w:tcW w:w="751" w:type="dxa"/>
          </w:tcPr>
          <w:p w14:paraId="05897946"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8</w:t>
            </w:r>
          </w:p>
        </w:tc>
        <w:tc>
          <w:tcPr>
            <w:tcW w:w="900" w:type="dxa"/>
          </w:tcPr>
          <w:p w14:paraId="05FE2250"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9</w:t>
            </w:r>
          </w:p>
        </w:tc>
        <w:tc>
          <w:tcPr>
            <w:tcW w:w="1084" w:type="dxa"/>
          </w:tcPr>
          <w:p w14:paraId="01770D2A" w14:textId="77777777" w:rsidR="000C2B62" w:rsidRPr="00166A39" w:rsidRDefault="000C2B62" w:rsidP="00F67814">
            <w:pPr>
              <w:pStyle w:val="NoSpacing"/>
              <w:jc w:val="center"/>
              <w:rPr>
                <w:rFonts w:ascii="Calibri" w:hAnsi="Calibri" w:cs="Calibri"/>
                <w:sz w:val="16"/>
                <w:szCs w:val="16"/>
              </w:rPr>
            </w:pPr>
            <w:r w:rsidRPr="00166A39">
              <w:rPr>
                <w:rFonts w:ascii="Calibri" w:hAnsi="Calibri" w:cs="Calibri"/>
                <w:sz w:val="16"/>
                <w:szCs w:val="16"/>
              </w:rPr>
              <w:t>10=9/2</w:t>
            </w:r>
          </w:p>
        </w:tc>
      </w:tr>
      <w:tr w:rsidR="000C2B62" w:rsidRPr="00BD2435" w14:paraId="179B7EE6" w14:textId="77777777" w:rsidTr="00F67814">
        <w:trPr>
          <w:trHeight w:val="53"/>
          <w:jc w:val="center"/>
        </w:trPr>
        <w:tc>
          <w:tcPr>
            <w:tcW w:w="1133" w:type="dxa"/>
          </w:tcPr>
          <w:p w14:paraId="01AA2F67" w14:textId="77777777" w:rsidR="000C2B62" w:rsidRPr="00166A39" w:rsidRDefault="000C2B62" w:rsidP="00F67814">
            <w:pPr>
              <w:pStyle w:val="BodyTextIndent2"/>
              <w:ind w:firstLine="0"/>
              <w:jc w:val="center"/>
              <w:rPr>
                <w:rFonts w:ascii="Calibri" w:hAnsi="Calibri" w:cs="Calibri"/>
                <w:sz w:val="16"/>
                <w:szCs w:val="16"/>
              </w:rPr>
            </w:pPr>
            <w:r w:rsidRPr="00166A39">
              <w:rPr>
                <w:rFonts w:ascii="Calibri" w:hAnsi="Calibri" w:cs="Calibri"/>
                <w:sz w:val="16"/>
                <w:szCs w:val="16"/>
              </w:rPr>
              <w:t>Î.S.</w:t>
            </w:r>
          </w:p>
        </w:tc>
        <w:tc>
          <w:tcPr>
            <w:tcW w:w="1418" w:type="dxa"/>
            <w:shd w:val="clear" w:color="auto" w:fill="auto"/>
            <w:vAlign w:val="center"/>
          </w:tcPr>
          <w:p w14:paraId="78E942DA" w14:textId="77777777" w:rsidR="000C2B62" w:rsidRPr="00166A39" w:rsidRDefault="000C2B62" w:rsidP="00F67814">
            <w:pPr>
              <w:pStyle w:val="BodyTextIndent2"/>
              <w:ind w:firstLine="0"/>
              <w:jc w:val="center"/>
              <w:rPr>
                <w:rFonts w:ascii="Calibri" w:hAnsi="Calibri" w:cs="Calibri"/>
                <w:sz w:val="18"/>
                <w:szCs w:val="18"/>
              </w:rPr>
            </w:pPr>
            <w:r w:rsidRPr="00166A39">
              <w:rPr>
                <w:rFonts w:ascii="Calibri" w:hAnsi="Calibri" w:cs="Calibri"/>
                <w:sz w:val="18"/>
                <w:szCs w:val="18"/>
              </w:rPr>
              <w:t>169</w:t>
            </w:r>
          </w:p>
        </w:tc>
        <w:tc>
          <w:tcPr>
            <w:tcW w:w="904" w:type="dxa"/>
            <w:shd w:val="clear" w:color="auto" w:fill="auto"/>
            <w:vAlign w:val="center"/>
          </w:tcPr>
          <w:p w14:paraId="27B6AD7E"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62</w:t>
            </w:r>
          </w:p>
        </w:tc>
        <w:tc>
          <w:tcPr>
            <w:tcW w:w="992" w:type="dxa"/>
            <w:shd w:val="clear" w:color="auto" w:fill="auto"/>
            <w:vAlign w:val="center"/>
          </w:tcPr>
          <w:p w14:paraId="262A8960"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36,7</w:t>
            </w:r>
          </w:p>
        </w:tc>
        <w:tc>
          <w:tcPr>
            <w:tcW w:w="738" w:type="dxa"/>
            <w:shd w:val="clear" w:color="auto" w:fill="auto"/>
            <w:vAlign w:val="center"/>
          </w:tcPr>
          <w:p w14:paraId="48E4F01B"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298,7</w:t>
            </w:r>
          </w:p>
        </w:tc>
        <w:tc>
          <w:tcPr>
            <w:tcW w:w="850" w:type="dxa"/>
            <w:shd w:val="clear" w:color="auto" w:fill="auto"/>
            <w:vAlign w:val="center"/>
          </w:tcPr>
          <w:p w14:paraId="11DC198C"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103</w:t>
            </w:r>
          </w:p>
        </w:tc>
        <w:tc>
          <w:tcPr>
            <w:tcW w:w="922" w:type="dxa"/>
            <w:shd w:val="clear" w:color="auto" w:fill="auto"/>
            <w:vAlign w:val="center"/>
          </w:tcPr>
          <w:p w14:paraId="43CCCC40"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60,9</w:t>
            </w:r>
          </w:p>
        </w:tc>
        <w:tc>
          <w:tcPr>
            <w:tcW w:w="751" w:type="dxa"/>
            <w:shd w:val="clear" w:color="auto" w:fill="auto"/>
            <w:vAlign w:val="center"/>
          </w:tcPr>
          <w:p w14:paraId="22C49C87"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219,2</w:t>
            </w:r>
          </w:p>
        </w:tc>
        <w:tc>
          <w:tcPr>
            <w:tcW w:w="900" w:type="dxa"/>
            <w:shd w:val="clear" w:color="auto" w:fill="auto"/>
            <w:vAlign w:val="center"/>
          </w:tcPr>
          <w:p w14:paraId="6BB5A262" w14:textId="77777777" w:rsidR="000C2B62" w:rsidRPr="00166A39" w:rsidRDefault="000C2B62" w:rsidP="00F67814">
            <w:pPr>
              <w:jc w:val="center"/>
              <w:rPr>
                <w:rFonts w:ascii="Calibri" w:hAnsi="Calibri" w:cs="Calibri"/>
                <w:b/>
                <w:sz w:val="18"/>
                <w:szCs w:val="18"/>
              </w:rPr>
            </w:pPr>
            <w:r w:rsidRPr="00166A39">
              <w:rPr>
                <w:rFonts w:ascii="Calibri" w:hAnsi="Calibri" w:cs="Calibri"/>
                <w:b/>
                <w:sz w:val="18"/>
                <w:szCs w:val="18"/>
              </w:rPr>
              <w:t>4</w:t>
            </w:r>
          </w:p>
        </w:tc>
        <w:tc>
          <w:tcPr>
            <w:tcW w:w="1084" w:type="dxa"/>
            <w:shd w:val="clear" w:color="auto" w:fill="auto"/>
            <w:vAlign w:val="center"/>
          </w:tcPr>
          <w:p w14:paraId="32238469" w14:textId="77777777" w:rsidR="000C2B62" w:rsidRPr="00166A39" w:rsidRDefault="000C2B62" w:rsidP="00F67814">
            <w:pPr>
              <w:jc w:val="center"/>
              <w:rPr>
                <w:rFonts w:ascii="Calibri" w:hAnsi="Calibri" w:cs="Calibri"/>
                <w:sz w:val="18"/>
                <w:szCs w:val="18"/>
              </w:rPr>
            </w:pPr>
            <w:r w:rsidRPr="00166A39">
              <w:rPr>
                <w:rFonts w:ascii="Calibri" w:hAnsi="Calibri" w:cs="Calibri"/>
                <w:sz w:val="18"/>
                <w:szCs w:val="18"/>
              </w:rPr>
              <w:t>2,4</w:t>
            </w:r>
          </w:p>
        </w:tc>
      </w:tr>
      <w:tr w:rsidR="000C2B62" w:rsidRPr="00BD2435" w14:paraId="5FCB55D7" w14:textId="77777777" w:rsidTr="00F67814">
        <w:trPr>
          <w:trHeight w:val="167"/>
          <w:jc w:val="center"/>
        </w:trPr>
        <w:tc>
          <w:tcPr>
            <w:tcW w:w="1133" w:type="dxa"/>
          </w:tcPr>
          <w:p w14:paraId="435FED5C" w14:textId="77777777" w:rsidR="000C2B62" w:rsidRPr="00166A39" w:rsidRDefault="000C2B62" w:rsidP="00F67814">
            <w:pPr>
              <w:spacing w:line="23" w:lineRule="atLeast"/>
              <w:jc w:val="center"/>
              <w:rPr>
                <w:rFonts w:ascii="Calibri" w:hAnsi="Calibri" w:cs="Calibri"/>
                <w:sz w:val="16"/>
                <w:szCs w:val="16"/>
              </w:rPr>
            </w:pPr>
            <w:r w:rsidRPr="00166A39">
              <w:rPr>
                <w:rFonts w:ascii="Calibri" w:hAnsi="Calibri" w:cs="Calibri"/>
                <w:sz w:val="16"/>
                <w:szCs w:val="16"/>
              </w:rPr>
              <w:t>S.A.</w:t>
            </w:r>
          </w:p>
        </w:tc>
        <w:tc>
          <w:tcPr>
            <w:tcW w:w="1418" w:type="dxa"/>
            <w:shd w:val="clear" w:color="auto" w:fill="auto"/>
            <w:vAlign w:val="center"/>
          </w:tcPr>
          <w:p w14:paraId="5221B7EA" w14:textId="77777777" w:rsidR="000C2B62" w:rsidRPr="00166A39" w:rsidRDefault="000C2B62" w:rsidP="00F67814">
            <w:pPr>
              <w:pStyle w:val="BodyTextIndent2"/>
              <w:spacing w:line="23" w:lineRule="atLeast"/>
              <w:ind w:firstLine="0"/>
              <w:jc w:val="center"/>
              <w:rPr>
                <w:rFonts w:ascii="Calibri" w:hAnsi="Calibri" w:cs="Calibri"/>
                <w:sz w:val="18"/>
                <w:szCs w:val="18"/>
              </w:rPr>
            </w:pPr>
            <w:r w:rsidRPr="00166A39">
              <w:rPr>
                <w:rFonts w:ascii="Calibri" w:hAnsi="Calibri" w:cs="Calibri"/>
                <w:sz w:val="18"/>
                <w:szCs w:val="18"/>
              </w:rPr>
              <w:t>35</w:t>
            </w:r>
          </w:p>
        </w:tc>
        <w:tc>
          <w:tcPr>
            <w:tcW w:w="904" w:type="dxa"/>
            <w:shd w:val="clear" w:color="auto" w:fill="auto"/>
            <w:vAlign w:val="center"/>
          </w:tcPr>
          <w:p w14:paraId="72996F83" w14:textId="77777777" w:rsidR="000C2B62" w:rsidRPr="00166A39" w:rsidRDefault="000C2B62" w:rsidP="00F67814">
            <w:pPr>
              <w:spacing w:line="23" w:lineRule="atLeast"/>
              <w:jc w:val="center"/>
              <w:rPr>
                <w:rFonts w:ascii="Calibri" w:hAnsi="Calibri" w:cs="Calibri"/>
                <w:b/>
                <w:sz w:val="18"/>
                <w:szCs w:val="18"/>
              </w:rPr>
            </w:pPr>
            <w:r w:rsidRPr="00166A39">
              <w:rPr>
                <w:rFonts w:ascii="Calibri" w:hAnsi="Calibri" w:cs="Calibri"/>
                <w:b/>
                <w:sz w:val="18"/>
                <w:szCs w:val="18"/>
              </w:rPr>
              <w:t>8</w:t>
            </w:r>
          </w:p>
        </w:tc>
        <w:tc>
          <w:tcPr>
            <w:tcW w:w="992" w:type="dxa"/>
            <w:shd w:val="clear" w:color="auto" w:fill="auto"/>
            <w:vAlign w:val="center"/>
          </w:tcPr>
          <w:p w14:paraId="0357D6D3" w14:textId="77777777" w:rsidR="000C2B62" w:rsidRPr="00166A39" w:rsidRDefault="000C2B62" w:rsidP="00F67814">
            <w:pPr>
              <w:spacing w:line="23" w:lineRule="atLeast"/>
              <w:jc w:val="center"/>
              <w:rPr>
                <w:rFonts w:ascii="Calibri" w:hAnsi="Calibri" w:cs="Calibri"/>
                <w:sz w:val="18"/>
                <w:szCs w:val="18"/>
              </w:rPr>
            </w:pPr>
            <w:r w:rsidRPr="00166A39">
              <w:rPr>
                <w:rFonts w:ascii="Calibri" w:hAnsi="Calibri" w:cs="Calibri"/>
                <w:sz w:val="18"/>
                <w:szCs w:val="18"/>
              </w:rPr>
              <w:t>22,9</w:t>
            </w:r>
          </w:p>
        </w:tc>
        <w:tc>
          <w:tcPr>
            <w:tcW w:w="738" w:type="dxa"/>
            <w:shd w:val="clear" w:color="auto" w:fill="auto"/>
            <w:vAlign w:val="center"/>
          </w:tcPr>
          <w:p w14:paraId="5BD91539" w14:textId="77777777" w:rsidR="000C2B62" w:rsidRPr="00166A39" w:rsidRDefault="000C2B62" w:rsidP="00F67814">
            <w:pPr>
              <w:spacing w:line="23" w:lineRule="atLeast"/>
              <w:jc w:val="center"/>
              <w:rPr>
                <w:rFonts w:ascii="Calibri" w:hAnsi="Calibri" w:cs="Calibri"/>
                <w:sz w:val="18"/>
                <w:szCs w:val="18"/>
              </w:rPr>
            </w:pPr>
            <w:r w:rsidRPr="00166A39">
              <w:rPr>
                <w:rFonts w:ascii="Calibri" w:hAnsi="Calibri" w:cs="Calibri"/>
                <w:sz w:val="18"/>
                <w:szCs w:val="18"/>
              </w:rPr>
              <w:t>47,5</w:t>
            </w:r>
          </w:p>
        </w:tc>
        <w:tc>
          <w:tcPr>
            <w:tcW w:w="850" w:type="dxa"/>
            <w:shd w:val="clear" w:color="auto" w:fill="auto"/>
            <w:vAlign w:val="center"/>
          </w:tcPr>
          <w:p w14:paraId="32100ADE" w14:textId="77777777" w:rsidR="000C2B62" w:rsidRPr="00166A39" w:rsidRDefault="000C2B62" w:rsidP="00F67814">
            <w:pPr>
              <w:spacing w:line="23" w:lineRule="atLeast"/>
              <w:jc w:val="center"/>
              <w:rPr>
                <w:rFonts w:ascii="Calibri" w:hAnsi="Calibri" w:cs="Calibri"/>
                <w:b/>
                <w:sz w:val="18"/>
                <w:szCs w:val="18"/>
              </w:rPr>
            </w:pPr>
            <w:r w:rsidRPr="00166A39">
              <w:rPr>
                <w:rFonts w:ascii="Calibri" w:hAnsi="Calibri" w:cs="Calibri"/>
                <w:b/>
                <w:sz w:val="18"/>
                <w:szCs w:val="18"/>
              </w:rPr>
              <w:t>27</w:t>
            </w:r>
          </w:p>
        </w:tc>
        <w:tc>
          <w:tcPr>
            <w:tcW w:w="922" w:type="dxa"/>
            <w:shd w:val="clear" w:color="auto" w:fill="auto"/>
            <w:vAlign w:val="center"/>
          </w:tcPr>
          <w:p w14:paraId="2C7DB45A" w14:textId="77777777" w:rsidR="000C2B62" w:rsidRPr="00166A39" w:rsidRDefault="000C2B62" w:rsidP="00F67814">
            <w:pPr>
              <w:spacing w:line="23" w:lineRule="atLeast"/>
              <w:jc w:val="center"/>
              <w:rPr>
                <w:rFonts w:ascii="Calibri" w:hAnsi="Calibri" w:cs="Calibri"/>
                <w:sz w:val="18"/>
                <w:szCs w:val="18"/>
              </w:rPr>
            </w:pPr>
            <w:r w:rsidRPr="00166A39">
              <w:rPr>
                <w:rFonts w:ascii="Calibri" w:hAnsi="Calibri" w:cs="Calibri"/>
                <w:sz w:val="18"/>
                <w:szCs w:val="18"/>
              </w:rPr>
              <w:t>77,1</w:t>
            </w:r>
          </w:p>
        </w:tc>
        <w:tc>
          <w:tcPr>
            <w:tcW w:w="751" w:type="dxa"/>
            <w:shd w:val="clear" w:color="auto" w:fill="auto"/>
            <w:vAlign w:val="center"/>
          </w:tcPr>
          <w:p w14:paraId="6D7CA208" w14:textId="77777777" w:rsidR="000C2B62" w:rsidRPr="00166A39" w:rsidRDefault="000C2B62" w:rsidP="00F67814">
            <w:pPr>
              <w:spacing w:line="23" w:lineRule="atLeast"/>
              <w:jc w:val="center"/>
              <w:rPr>
                <w:rFonts w:ascii="Calibri" w:hAnsi="Calibri" w:cs="Calibri"/>
                <w:sz w:val="18"/>
                <w:szCs w:val="18"/>
              </w:rPr>
            </w:pPr>
            <w:r w:rsidRPr="00166A39">
              <w:rPr>
                <w:rFonts w:ascii="Calibri" w:hAnsi="Calibri" w:cs="Calibri"/>
                <w:sz w:val="18"/>
                <w:szCs w:val="18"/>
              </w:rPr>
              <w:t>437,7</w:t>
            </w:r>
          </w:p>
        </w:tc>
        <w:tc>
          <w:tcPr>
            <w:tcW w:w="900" w:type="dxa"/>
            <w:vAlign w:val="center"/>
          </w:tcPr>
          <w:p w14:paraId="6160F5BB" w14:textId="77777777" w:rsidR="000C2B62" w:rsidRPr="00166A39" w:rsidRDefault="000C2B62" w:rsidP="00F67814">
            <w:pPr>
              <w:jc w:val="center"/>
              <w:rPr>
                <w:rFonts w:ascii="Calibri" w:hAnsi="Calibri" w:cs="Calibri"/>
                <w:sz w:val="16"/>
                <w:szCs w:val="16"/>
              </w:rPr>
            </w:pPr>
            <w:r w:rsidRPr="00166A39">
              <w:rPr>
                <w:rFonts w:ascii="Calibri" w:hAnsi="Calibri" w:cs="Calibri"/>
                <w:sz w:val="16"/>
                <w:szCs w:val="16"/>
              </w:rPr>
              <w:t>-</w:t>
            </w:r>
          </w:p>
        </w:tc>
        <w:tc>
          <w:tcPr>
            <w:tcW w:w="1084" w:type="dxa"/>
            <w:vAlign w:val="center"/>
          </w:tcPr>
          <w:p w14:paraId="5FBFE544" w14:textId="77777777" w:rsidR="000C2B62" w:rsidRPr="00166A39" w:rsidRDefault="000C2B62" w:rsidP="00F67814">
            <w:pPr>
              <w:jc w:val="center"/>
              <w:rPr>
                <w:rFonts w:ascii="Calibri" w:hAnsi="Calibri" w:cs="Calibri"/>
                <w:sz w:val="16"/>
                <w:szCs w:val="16"/>
              </w:rPr>
            </w:pPr>
            <w:r w:rsidRPr="00166A39">
              <w:rPr>
                <w:rFonts w:ascii="Calibri" w:hAnsi="Calibri" w:cs="Calibri"/>
                <w:sz w:val="16"/>
                <w:szCs w:val="16"/>
              </w:rPr>
              <w:t>-</w:t>
            </w:r>
          </w:p>
        </w:tc>
      </w:tr>
      <w:tr w:rsidR="000C2B62" w:rsidRPr="00BD2435" w14:paraId="31D9808A" w14:textId="77777777" w:rsidTr="00F67814">
        <w:trPr>
          <w:trHeight w:val="188"/>
          <w:jc w:val="center"/>
        </w:trPr>
        <w:tc>
          <w:tcPr>
            <w:tcW w:w="1133" w:type="dxa"/>
          </w:tcPr>
          <w:p w14:paraId="16A907C7" w14:textId="77777777" w:rsidR="000C2B62" w:rsidRPr="00166A39" w:rsidRDefault="000C2B62" w:rsidP="00F67814">
            <w:pPr>
              <w:spacing w:line="23" w:lineRule="atLeast"/>
              <w:jc w:val="center"/>
              <w:rPr>
                <w:rFonts w:ascii="Calibri" w:hAnsi="Calibri" w:cs="Calibri"/>
                <w:b/>
                <w:sz w:val="16"/>
                <w:szCs w:val="16"/>
              </w:rPr>
            </w:pPr>
            <w:r w:rsidRPr="00166A39">
              <w:rPr>
                <w:rFonts w:ascii="Calibri" w:hAnsi="Calibri" w:cs="Calibri"/>
                <w:b/>
                <w:sz w:val="16"/>
                <w:szCs w:val="16"/>
              </w:rPr>
              <w:t>Total entități</w:t>
            </w:r>
          </w:p>
        </w:tc>
        <w:tc>
          <w:tcPr>
            <w:tcW w:w="1418" w:type="dxa"/>
          </w:tcPr>
          <w:p w14:paraId="6D9C1BA1" w14:textId="77777777" w:rsidR="000C2B62" w:rsidRPr="00166A39" w:rsidRDefault="000C2B62" w:rsidP="00F67814">
            <w:pPr>
              <w:pStyle w:val="BodyTextIndent2"/>
              <w:spacing w:line="23" w:lineRule="atLeast"/>
              <w:ind w:firstLine="0"/>
              <w:jc w:val="center"/>
              <w:rPr>
                <w:rFonts w:ascii="Calibri" w:hAnsi="Calibri" w:cs="Calibri"/>
                <w:b/>
                <w:sz w:val="16"/>
                <w:szCs w:val="16"/>
              </w:rPr>
            </w:pPr>
            <w:r w:rsidRPr="00166A39">
              <w:rPr>
                <w:rFonts w:ascii="Calibri" w:hAnsi="Calibri" w:cs="Calibri"/>
                <w:b/>
                <w:sz w:val="16"/>
                <w:szCs w:val="16"/>
              </w:rPr>
              <w:t>204</w:t>
            </w:r>
          </w:p>
        </w:tc>
        <w:tc>
          <w:tcPr>
            <w:tcW w:w="904" w:type="dxa"/>
          </w:tcPr>
          <w:p w14:paraId="18DCF47D" w14:textId="77777777" w:rsidR="000C2B62" w:rsidRPr="00166A39" w:rsidRDefault="000C2B62" w:rsidP="00F67814">
            <w:pPr>
              <w:spacing w:line="23" w:lineRule="atLeast"/>
              <w:jc w:val="center"/>
              <w:rPr>
                <w:rFonts w:ascii="Calibri" w:hAnsi="Calibri" w:cs="Calibri"/>
                <w:b/>
                <w:sz w:val="16"/>
                <w:szCs w:val="16"/>
              </w:rPr>
            </w:pPr>
            <w:r w:rsidRPr="00166A39">
              <w:rPr>
                <w:rFonts w:ascii="Calibri" w:hAnsi="Calibri" w:cs="Calibri"/>
                <w:b/>
                <w:sz w:val="16"/>
                <w:szCs w:val="16"/>
              </w:rPr>
              <w:t>70</w:t>
            </w:r>
          </w:p>
        </w:tc>
        <w:tc>
          <w:tcPr>
            <w:tcW w:w="992" w:type="dxa"/>
          </w:tcPr>
          <w:p w14:paraId="6F9C22C5" w14:textId="77777777" w:rsidR="000C2B62" w:rsidRPr="00166A39" w:rsidRDefault="000C2B62" w:rsidP="00F67814">
            <w:pPr>
              <w:spacing w:line="23" w:lineRule="atLeast"/>
              <w:jc w:val="center"/>
              <w:rPr>
                <w:rFonts w:ascii="Calibri" w:hAnsi="Calibri" w:cs="Calibri"/>
                <w:b/>
                <w:sz w:val="16"/>
                <w:szCs w:val="16"/>
              </w:rPr>
            </w:pPr>
            <w:r w:rsidRPr="00166A39">
              <w:rPr>
                <w:rFonts w:ascii="Calibri" w:hAnsi="Calibri" w:cs="Calibri"/>
                <w:b/>
                <w:sz w:val="16"/>
                <w:szCs w:val="16"/>
              </w:rPr>
              <w:t>34,3</w:t>
            </w:r>
          </w:p>
        </w:tc>
        <w:tc>
          <w:tcPr>
            <w:tcW w:w="738" w:type="dxa"/>
          </w:tcPr>
          <w:p w14:paraId="53EEC4B8" w14:textId="77777777" w:rsidR="000C2B62" w:rsidRPr="00166A39" w:rsidRDefault="000C2B62" w:rsidP="00F67814">
            <w:pPr>
              <w:spacing w:line="23" w:lineRule="atLeast"/>
              <w:jc w:val="center"/>
              <w:rPr>
                <w:rFonts w:ascii="Calibri" w:hAnsi="Calibri" w:cs="Calibri"/>
                <w:b/>
                <w:sz w:val="16"/>
                <w:szCs w:val="16"/>
              </w:rPr>
            </w:pPr>
            <w:r w:rsidRPr="00166A39">
              <w:rPr>
                <w:rFonts w:ascii="Calibri" w:hAnsi="Calibri" w:cs="Calibri"/>
                <w:b/>
                <w:sz w:val="16"/>
                <w:szCs w:val="16"/>
              </w:rPr>
              <w:t>346,2</w:t>
            </w:r>
          </w:p>
        </w:tc>
        <w:tc>
          <w:tcPr>
            <w:tcW w:w="850" w:type="dxa"/>
          </w:tcPr>
          <w:p w14:paraId="09FDA914" w14:textId="77777777" w:rsidR="000C2B62" w:rsidRPr="00166A39" w:rsidRDefault="000C2B62" w:rsidP="00F67814">
            <w:pPr>
              <w:spacing w:line="23" w:lineRule="atLeast"/>
              <w:jc w:val="center"/>
              <w:rPr>
                <w:rFonts w:ascii="Calibri" w:hAnsi="Calibri" w:cs="Calibri"/>
                <w:b/>
                <w:sz w:val="16"/>
                <w:szCs w:val="16"/>
              </w:rPr>
            </w:pPr>
            <w:r w:rsidRPr="00166A39">
              <w:rPr>
                <w:rFonts w:ascii="Calibri" w:hAnsi="Calibri" w:cs="Calibri"/>
                <w:b/>
                <w:sz w:val="16"/>
                <w:szCs w:val="16"/>
              </w:rPr>
              <w:t>130</w:t>
            </w:r>
          </w:p>
        </w:tc>
        <w:tc>
          <w:tcPr>
            <w:tcW w:w="922" w:type="dxa"/>
          </w:tcPr>
          <w:p w14:paraId="634C1CC2" w14:textId="77777777" w:rsidR="000C2B62" w:rsidRPr="00166A39" w:rsidRDefault="000C2B62" w:rsidP="00F67814">
            <w:pPr>
              <w:spacing w:line="23" w:lineRule="atLeast"/>
              <w:jc w:val="center"/>
              <w:rPr>
                <w:rFonts w:ascii="Calibri" w:hAnsi="Calibri" w:cs="Calibri"/>
                <w:b/>
                <w:sz w:val="16"/>
                <w:szCs w:val="16"/>
              </w:rPr>
            </w:pPr>
            <w:r w:rsidRPr="00166A39">
              <w:rPr>
                <w:rFonts w:ascii="Calibri" w:hAnsi="Calibri" w:cs="Calibri"/>
                <w:b/>
                <w:sz w:val="16"/>
                <w:szCs w:val="16"/>
              </w:rPr>
              <w:t>63,7</w:t>
            </w:r>
          </w:p>
        </w:tc>
        <w:tc>
          <w:tcPr>
            <w:tcW w:w="751" w:type="dxa"/>
          </w:tcPr>
          <w:p w14:paraId="79F83D07" w14:textId="77777777" w:rsidR="000C2B62" w:rsidRPr="00166A39" w:rsidRDefault="000C2B62" w:rsidP="00F67814">
            <w:pPr>
              <w:spacing w:line="23" w:lineRule="atLeast"/>
              <w:jc w:val="center"/>
              <w:rPr>
                <w:rFonts w:ascii="Calibri" w:hAnsi="Calibri" w:cs="Calibri"/>
                <w:b/>
                <w:sz w:val="16"/>
                <w:szCs w:val="16"/>
              </w:rPr>
            </w:pPr>
            <w:r w:rsidRPr="00166A39">
              <w:rPr>
                <w:rFonts w:ascii="Calibri" w:hAnsi="Calibri" w:cs="Calibri"/>
                <w:b/>
                <w:sz w:val="16"/>
                <w:szCs w:val="16"/>
              </w:rPr>
              <w:t>656,9</w:t>
            </w:r>
          </w:p>
        </w:tc>
        <w:tc>
          <w:tcPr>
            <w:tcW w:w="900" w:type="dxa"/>
          </w:tcPr>
          <w:p w14:paraId="434A2DBA" w14:textId="77777777" w:rsidR="000C2B62" w:rsidRPr="00166A39" w:rsidRDefault="000C2B62" w:rsidP="00F67814">
            <w:pPr>
              <w:jc w:val="center"/>
              <w:rPr>
                <w:rFonts w:ascii="Calibri" w:hAnsi="Calibri" w:cs="Calibri"/>
                <w:b/>
                <w:sz w:val="16"/>
                <w:szCs w:val="16"/>
              </w:rPr>
            </w:pPr>
            <w:r w:rsidRPr="00166A39">
              <w:rPr>
                <w:rFonts w:ascii="Calibri" w:hAnsi="Calibri" w:cs="Calibri"/>
                <w:b/>
                <w:sz w:val="16"/>
                <w:szCs w:val="16"/>
              </w:rPr>
              <w:t>4</w:t>
            </w:r>
          </w:p>
        </w:tc>
        <w:tc>
          <w:tcPr>
            <w:tcW w:w="1084" w:type="dxa"/>
          </w:tcPr>
          <w:p w14:paraId="0FC91FE6" w14:textId="77777777" w:rsidR="000C2B62" w:rsidRPr="00166A39" w:rsidRDefault="000C2B62" w:rsidP="00F67814">
            <w:pPr>
              <w:jc w:val="center"/>
              <w:rPr>
                <w:rFonts w:ascii="Calibri" w:hAnsi="Calibri" w:cs="Calibri"/>
                <w:b/>
                <w:sz w:val="16"/>
                <w:szCs w:val="16"/>
              </w:rPr>
            </w:pPr>
            <w:r w:rsidRPr="00166A39">
              <w:rPr>
                <w:rFonts w:ascii="Calibri" w:hAnsi="Calibri" w:cs="Calibri"/>
                <w:b/>
                <w:sz w:val="16"/>
                <w:szCs w:val="16"/>
              </w:rPr>
              <w:t>2,0</w:t>
            </w:r>
          </w:p>
        </w:tc>
      </w:tr>
    </w:tbl>
    <w:p w14:paraId="0024FAA4" w14:textId="77777777" w:rsidR="000C2B62" w:rsidRPr="00166A39" w:rsidRDefault="000C2B62" w:rsidP="000C2B62">
      <w:pPr>
        <w:spacing w:line="120" w:lineRule="auto"/>
        <w:ind w:firstLine="567"/>
        <w:jc w:val="both"/>
        <w:rPr>
          <w:rFonts w:ascii="Calibri" w:hAnsi="Calibri" w:cs="Calibri"/>
          <w:sz w:val="28"/>
          <w:szCs w:val="28"/>
        </w:rPr>
      </w:pPr>
    </w:p>
    <w:p w14:paraId="25B00427" w14:textId="27B670E8" w:rsidR="000C2B62" w:rsidRDefault="000C2B62" w:rsidP="00166A39">
      <w:pPr>
        <w:ind w:firstLine="708"/>
        <w:jc w:val="both"/>
        <w:rPr>
          <w:rFonts w:ascii="Calibri" w:hAnsi="Calibri" w:cs="Calibri"/>
        </w:rPr>
      </w:pPr>
      <w:r w:rsidRPr="00166A39">
        <w:rPr>
          <w:rFonts w:ascii="Calibri" w:hAnsi="Calibri" w:cs="Calibri"/>
        </w:rPr>
        <w:t xml:space="preserve">Concomitent, din 70 entități cu capital de stat care au activat cu pierderi în anul 2017, pierderile unor entități din ramura transportului aerian (în special Î.S. Compania Aeriană „Air Moldova”) constituie 191,9 mil. lei sau </w:t>
      </w:r>
      <w:r w:rsidRPr="00166A39">
        <w:rPr>
          <w:rFonts w:ascii="Calibri" w:hAnsi="Calibri" w:cs="Calibri"/>
          <w:b/>
        </w:rPr>
        <w:t>55,4%</w:t>
      </w:r>
      <w:r w:rsidRPr="00166A39">
        <w:rPr>
          <w:rFonts w:ascii="Calibri" w:hAnsi="Calibri" w:cs="Calibri"/>
        </w:rPr>
        <w:t xml:space="preserve"> din suma totală a pierderilor, iar pierderile S.A. „CET-Nord” reprezintă 40,4 mil. lei sau </w:t>
      </w:r>
      <w:r w:rsidRPr="00166A39">
        <w:rPr>
          <w:rFonts w:ascii="Calibri" w:hAnsi="Calibri" w:cs="Calibri"/>
          <w:b/>
        </w:rPr>
        <w:t>11,7%</w:t>
      </w:r>
      <w:r w:rsidRPr="00166A39">
        <w:rPr>
          <w:rFonts w:ascii="Calibri" w:hAnsi="Calibri" w:cs="Calibri"/>
        </w:rPr>
        <w:t xml:space="preserve"> din suma totală a pierderilor. </w:t>
      </w:r>
    </w:p>
    <w:p w14:paraId="7AED603D" w14:textId="45D319A7" w:rsidR="007D6E9D" w:rsidRPr="00166A39" w:rsidRDefault="007D6E9D" w:rsidP="00166A39">
      <w:pPr>
        <w:ind w:hanging="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Diagrama 11. Întreprinderile de stat și societățile pe acțiuni care au înregistrat pierderi nete</w:t>
      </w:r>
      <w:r>
        <w:rPr>
          <w:rFonts w:asciiTheme="minorHAnsi" w:hAnsiTheme="minorHAnsi" w:cstheme="minorHAnsi"/>
          <w:b/>
          <w:i/>
          <w:color w:val="548DD4" w:themeColor="text2" w:themeTint="99"/>
          <w:sz w:val="22"/>
          <w:szCs w:val="22"/>
        </w:rPr>
        <w:t xml:space="preserve"> (mil. lei)</w:t>
      </w:r>
    </w:p>
    <w:p w14:paraId="491D6F2D" w14:textId="77777777" w:rsidR="000C2B62" w:rsidRPr="00004F56" w:rsidRDefault="000C2B62" w:rsidP="000C2B62">
      <w:pPr>
        <w:spacing w:line="26" w:lineRule="atLeast"/>
        <w:jc w:val="center"/>
        <w:rPr>
          <w:color w:val="FF0000"/>
          <w:sz w:val="28"/>
          <w:szCs w:val="28"/>
        </w:rPr>
      </w:pPr>
      <w:r w:rsidRPr="00004F56">
        <w:rPr>
          <w:noProof/>
          <w:color w:val="FF0000"/>
          <w:sz w:val="28"/>
          <w:szCs w:val="28"/>
          <w:lang w:val="ru-RU" w:eastAsia="ru-RU"/>
        </w:rPr>
        <w:drawing>
          <wp:inline distT="0" distB="0" distL="0" distR="0" wp14:anchorId="64471493" wp14:editId="34B33121">
            <wp:extent cx="2895600" cy="3022600"/>
            <wp:effectExtent l="0" t="0" r="0" b="6350"/>
            <wp:docPr id="52"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004F56">
        <w:rPr>
          <w:noProof/>
          <w:color w:val="FF0000"/>
          <w:sz w:val="28"/>
          <w:szCs w:val="28"/>
          <w:lang w:val="ru-RU" w:eastAsia="ru-RU"/>
        </w:rPr>
        <w:drawing>
          <wp:inline distT="0" distB="0" distL="0" distR="0" wp14:anchorId="48528F52" wp14:editId="7B43ACE1">
            <wp:extent cx="2857500" cy="3022600"/>
            <wp:effectExtent l="0" t="0" r="0" b="6350"/>
            <wp:docPr id="53"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D6FA682" w14:textId="77777777" w:rsidR="000C2B62" w:rsidRPr="00166A39" w:rsidRDefault="000C2B62" w:rsidP="00166A39">
      <w:pPr>
        <w:ind w:firstLine="540"/>
        <w:jc w:val="both"/>
        <w:rPr>
          <w:rFonts w:asciiTheme="minorHAnsi" w:hAnsiTheme="minorHAnsi" w:cstheme="minorHAnsi"/>
        </w:rPr>
      </w:pPr>
    </w:p>
    <w:p w14:paraId="4F539547" w14:textId="77777777" w:rsidR="000C2B62" w:rsidRPr="00166A39" w:rsidRDefault="000C2B62" w:rsidP="00166A39">
      <w:pPr>
        <w:ind w:firstLine="540"/>
        <w:jc w:val="both"/>
        <w:rPr>
          <w:rFonts w:asciiTheme="minorHAnsi" w:hAnsiTheme="minorHAnsi" w:cstheme="minorHAnsi"/>
        </w:rPr>
      </w:pPr>
      <w:r w:rsidRPr="00166A39">
        <w:rPr>
          <w:rFonts w:asciiTheme="minorHAnsi" w:hAnsiTheme="minorHAnsi" w:cstheme="minorHAnsi"/>
        </w:rPr>
        <w:t xml:space="preserve">La fel, se atestă că </w:t>
      </w:r>
      <w:r w:rsidRPr="00166A39">
        <w:rPr>
          <w:rFonts w:asciiTheme="minorHAnsi" w:hAnsiTheme="minorHAnsi" w:cstheme="minorHAnsi"/>
          <w:i/>
        </w:rPr>
        <w:t>84 entități sau 41,2%</w:t>
      </w:r>
      <w:r w:rsidRPr="00166A39">
        <w:rPr>
          <w:rFonts w:asciiTheme="minorHAnsi" w:hAnsiTheme="minorHAnsi" w:cstheme="minorHAnsi"/>
        </w:rPr>
        <w:t xml:space="preserve"> din entitățile supuse monitorizării, </w:t>
      </w:r>
      <w:r w:rsidRPr="00166A39">
        <w:rPr>
          <w:rFonts w:asciiTheme="minorHAnsi" w:hAnsiTheme="minorHAnsi" w:cstheme="minorHAnsi"/>
          <w:i/>
        </w:rPr>
        <w:t>înregistrează în anul 2017 pierderi din activitatea operațională</w:t>
      </w:r>
      <w:r w:rsidRPr="00166A39">
        <w:rPr>
          <w:rFonts w:asciiTheme="minorHAnsi" w:hAnsiTheme="minorHAnsi" w:cstheme="minorHAnsi"/>
        </w:rPr>
        <w:t xml:space="preserve">. </w:t>
      </w:r>
      <w:r w:rsidRPr="00166A39">
        <w:rPr>
          <w:rFonts w:asciiTheme="minorHAnsi" w:hAnsiTheme="minorHAnsi" w:cstheme="minorHAnsi"/>
          <w:b/>
        </w:rPr>
        <w:t>Cele mai considerabile pierderi din activitatea operațională</w:t>
      </w:r>
      <w:r w:rsidRPr="00166A39">
        <w:rPr>
          <w:rFonts w:asciiTheme="minorHAnsi" w:hAnsiTheme="minorHAnsi" w:cstheme="minorHAnsi"/>
        </w:rPr>
        <w:t xml:space="preserve"> au fost înregistrate de:</w:t>
      </w:r>
    </w:p>
    <w:p w14:paraId="5492ACA5" w14:textId="77777777" w:rsidR="000C2B62" w:rsidRPr="00166A39" w:rsidRDefault="000C2B62" w:rsidP="00166A39">
      <w:pPr>
        <w:numPr>
          <w:ilvl w:val="0"/>
          <w:numId w:val="39"/>
        </w:numPr>
        <w:ind w:hanging="153"/>
        <w:jc w:val="both"/>
        <w:rPr>
          <w:rFonts w:asciiTheme="minorHAnsi" w:hAnsiTheme="minorHAnsi" w:cstheme="minorHAnsi"/>
        </w:rPr>
      </w:pPr>
      <w:r w:rsidRPr="00166A39">
        <w:rPr>
          <w:rFonts w:asciiTheme="minorHAnsi" w:hAnsiTheme="minorHAnsi" w:cstheme="minorHAnsi"/>
        </w:rPr>
        <w:t>Î.S. Compania Aeriană „Air Moldova” – 209,4 mil. lei;</w:t>
      </w:r>
    </w:p>
    <w:p w14:paraId="19F60658" w14:textId="77777777" w:rsidR="000C2B62" w:rsidRPr="00166A39" w:rsidRDefault="000C2B62" w:rsidP="00166A39">
      <w:pPr>
        <w:numPr>
          <w:ilvl w:val="0"/>
          <w:numId w:val="39"/>
        </w:numPr>
        <w:tabs>
          <w:tab w:val="left" w:pos="284"/>
        </w:tabs>
        <w:ind w:hanging="153"/>
        <w:jc w:val="both"/>
        <w:rPr>
          <w:rFonts w:asciiTheme="minorHAnsi" w:hAnsiTheme="minorHAnsi" w:cstheme="minorHAnsi"/>
        </w:rPr>
      </w:pPr>
      <w:r w:rsidRPr="00166A39">
        <w:rPr>
          <w:rFonts w:asciiTheme="minorHAnsi" w:hAnsiTheme="minorHAnsi" w:cstheme="minorHAnsi"/>
        </w:rPr>
        <w:t>S.A.„CET-Nord” – 43,0 mil. lei;</w:t>
      </w:r>
    </w:p>
    <w:p w14:paraId="0E5E0DA0" w14:textId="77777777" w:rsidR="000C2B62" w:rsidRPr="00166A39" w:rsidRDefault="000C2B62" w:rsidP="00166A39">
      <w:pPr>
        <w:numPr>
          <w:ilvl w:val="0"/>
          <w:numId w:val="39"/>
        </w:numPr>
        <w:ind w:hanging="153"/>
        <w:jc w:val="both"/>
        <w:rPr>
          <w:rFonts w:asciiTheme="minorHAnsi" w:hAnsiTheme="minorHAnsi" w:cstheme="minorHAnsi"/>
        </w:rPr>
      </w:pPr>
      <w:r w:rsidRPr="00166A39">
        <w:rPr>
          <w:rFonts w:asciiTheme="minorHAnsi" w:hAnsiTheme="minorHAnsi" w:cstheme="minorHAnsi"/>
        </w:rPr>
        <w:t>Î.S. „Calea Ferată din Moldova” – 29,8 mil. lei;</w:t>
      </w:r>
    </w:p>
    <w:p w14:paraId="493D7AAE" w14:textId="77777777" w:rsidR="000C2B62" w:rsidRPr="00166A39" w:rsidRDefault="000C2B62" w:rsidP="00166A39">
      <w:pPr>
        <w:numPr>
          <w:ilvl w:val="0"/>
          <w:numId w:val="39"/>
        </w:numPr>
        <w:ind w:hanging="153"/>
        <w:jc w:val="both"/>
        <w:rPr>
          <w:rFonts w:asciiTheme="minorHAnsi" w:hAnsiTheme="minorHAnsi" w:cstheme="minorHAnsi"/>
        </w:rPr>
      </w:pPr>
      <w:r w:rsidRPr="00166A39">
        <w:rPr>
          <w:rFonts w:asciiTheme="minorHAnsi" w:hAnsiTheme="minorHAnsi" w:cstheme="minorHAnsi"/>
        </w:rPr>
        <w:t>Î.S. „VestMoldTransGaz” – 26,4 mil. lei;</w:t>
      </w:r>
    </w:p>
    <w:p w14:paraId="569850F5" w14:textId="77777777" w:rsidR="000C2B62" w:rsidRPr="00166A39" w:rsidRDefault="000C2B62" w:rsidP="00166A39">
      <w:pPr>
        <w:numPr>
          <w:ilvl w:val="0"/>
          <w:numId w:val="39"/>
        </w:numPr>
        <w:tabs>
          <w:tab w:val="left" w:pos="284"/>
        </w:tabs>
        <w:ind w:hanging="153"/>
        <w:jc w:val="both"/>
        <w:rPr>
          <w:rFonts w:asciiTheme="minorHAnsi" w:hAnsiTheme="minorHAnsi" w:cstheme="minorHAnsi"/>
        </w:rPr>
      </w:pPr>
      <w:r w:rsidRPr="00166A39">
        <w:rPr>
          <w:rFonts w:asciiTheme="minorHAnsi" w:hAnsiTheme="minorHAnsi" w:cstheme="minorHAnsi"/>
        </w:rPr>
        <w:t>S.A.„Termoelectrica” – 24,9 mil. lei;</w:t>
      </w:r>
    </w:p>
    <w:p w14:paraId="2C66A87D" w14:textId="77777777" w:rsidR="000C2B62" w:rsidRPr="00166A39" w:rsidRDefault="000C2B62" w:rsidP="00166A39">
      <w:pPr>
        <w:numPr>
          <w:ilvl w:val="0"/>
          <w:numId w:val="39"/>
        </w:numPr>
        <w:tabs>
          <w:tab w:val="left" w:pos="284"/>
        </w:tabs>
        <w:ind w:hanging="153"/>
        <w:jc w:val="both"/>
        <w:rPr>
          <w:rFonts w:asciiTheme="minorHAnsi" w:hAnsiTheme="minorHAnsi" w:cstheme="minorHAnsi"/>
        </w:rPr>
      </w:pPr>
      <w:r w:rsidRPr="00166A39">
        <w:rPr>
          <w:rFonts w:asciiTheme="minorHAnsi" w:hAnsiTheme="minorHAnsi" w:cstheme="minorHAnsi"/>
        </w:rPr>
        <w:t>Î.S. „Fabrica de Sticlă din Chișinău” – 19,1 mil. lei;</w:t>
      </w:r>
    </w:p>
    <w:p w14:paraId="795A82F2" w14:textId="77777777" w:rsidR="000C2B62" w:rsidRPr="00166A39" w:rsidRDefault="000C2B62" w:rsidP="00166A39">
      <w:pPr>
        <w:numPr>
          <w:ilvl w:val="0"/>
          <w:numId w:val="39"/>
        </w:numPr>
        <w:tabs>
          <w:tab w:val="left" w:pos="284"/>
        </w:tabs>
        <w:ind w:hanging="153"/>
        <w:jc w:val="both"/>
        <w:rPr>
          <w:rFonts w:asciiTheme="minorHAnsi" w:hAnsiTheme="minorHAnsi" w:cstheme="minorHAnsi"/>
        </w:rPr>
      </w:pPr>
      <w:r w:rsidRPr="00166A39">
        <w:rPr>
          <w:rFonts w:asciiTheme="minorHAnsi" w:hAnsiTheme="minorHAnsi" w:cstheme="minorHAnsi"/>
        </w:rPr>
        <w:t>S.A.„Răut” – 10,2 mil. lei;</w:t>
      </w:r>
    </w:p>
    <w:p w14:paraId="205E7F51" w14:textId="77777777" w:rsidR="000C2B62" w:rsidRPr="00166A39" w:rsidRDefault="000C2B62" w:rsidP="00166A39">
      <w:pPr>
        <w:numPr>
          <w:ilvl w:val="0"/>
          <w:numId w:val="39"/>
        </w:numPr>
        <w:tabs>
          <w:tab w:val="left" w:pos="284"/>
        </w:tabs>
        <w:ind w:hanging="153"/>
        <w:jc w:val="both"/>
        <w:rPr>
          <w:rFonts w:asciiTheme="minorHAnsi" w:hAnsiTheme="minorHAnsi" w:cstheme="minorHAnsi"/>
        </w:rPr>
      </w:pPr>
      <w:r w:rsidRPr="00166A39">
        <w:rPr>
          <w:rFonts w:asciiTheme="minorHAnsi" w:hAnsiTheme="minorHAnsi" w:cstheme="minorHAnsi"/>
        </w:rPr>
        <w:t>S.A. „Uzina de Tractoare „TRACOM” – 1,6 mil. lei etc.</w:t>
      </w:r>
    </w:p>
    <w:p w14:paraId="3BBA0164" w14:textId="77777777" w:rsidR="007B5D84" w:rsidRDefault="007B5D84" w:rsidP="00166A39">
      <w:pPr>
        <w:pStyle w:val="BodyTextIndent"/>
        <w:spacing w:after="0"/>
        <w:ind w:left="0" w:firstLine="567"/>
        <w:jc w:val="both"/>
        <w:rPr>
          <w:rFonts w:asciiTheme="minorHAnsi" w:hAnsiTheme="minorHAnsi" w:cstheme="minorHAnsi"/>
        </w:rPr>
      </w:pPr>
    </w:p>
    <w:p w14:paraId="1AB6DD4D" w14:textId="5C978444" w:rsidR="000C2B62" w:rsidRPr="00166A39" w:rsidRDefault="000C2B62" w:rsidP="00166A39">
      <w:pPr>
        <w:pStyle w:val="BodyTextIndent"/>
        <w:spacing w:after="0"/>
        <w:ind w:left="0" w:firstLine="567"/>
        <w:jc w:val="both"/>
        <w:rPr>
          <w:rFonts w:asciiTheme="minorHAnsi" w:hAnsiTheme="minorHAnsi" w:cstheme="minorHAnsi"/>
        </w:rPr>
      </w:pPr>
      <w:r w:rsidRPr="00166A39">
        <w:rPr>
          <w:rFonts w:asciiTheme="minorHAnsi" w:hAnsiTheme="minorHAnsi" w:cstheme="minorHAnsi"/>
        </w:rPr>
        <w:t xml:space="preserve">De asemenea, </w:t>
      </w:r>
      <w:r w:rsidRPr="00166A39">
        <w:rPr>
          <w:rFonts w:asciiTheme="minorHAnsi" w:hAnsiTheme="minorHAnsi" w:cstheme="minorHAnsi"/>
          <w:b/>
        </w:rPr>
        <w:t xml:space="preserve">57 entități economice </w:t>
      </w:r>
      <w:r w:rsidRPr="00166A39">
        <w:rPr>
          <w:rFonts w:asciiTheme="minorHAnsi" w:hAnsiTheme="minorHAnsi" w:cstheme="minorHAnsi"/>
        </w:rPr>
        <w:t xml:space="preserve">înregistrează o </w:t>
      </w:r>
      <w:r w:rsidRPr="00166A39">
        <w:rPr>
          <w:rFonts w:asciiTheme="minorHAnsi" w:hAnsiTheme="minorHAnsi" w:cstheme="minorHAnsi"/>
          <w:b/>
        </w:rPr>
        <w:t>depășire a capitalului social față de capitalul propriu</w:t>
      </w:r>
      <w:r w:rsidRPr="00166A39">
        <w:rPr>
          <w:rFonts w:asciiTheme="minorHAnsi" w:hAnsiTheme="minorHAnsi" w:cstheme="minorHAnsi"/>
        </w:rPr>
        <w:t xml:space="preserve">, din care </w:t>
      </w:r>
      <w:r w:rsidRPr="00166A39">
        <w:rPr>
          <w:rFonts w:asciiTheme="minorHAnsi" w:hAnsiTheme="minorHAnsi" w:cstheme="minorHAnsi"/>
          <w:b/>
        </w:rPr>
        <w:t>16 entități economice (întreprinderi de stat) înregistrează o valoare negativă a capitalului propriu</w:t>
      </w:r>
      <w:r w:rsidRPr="00166A39">
        <w:rPr>
          <w:rFonts w:asciiTheme="minorHAnsi" w:hAnsiTheme="minorHAnsi" w:cstheme="minorHAnsi"/>
        </w:rPr>
        <w:t xml:space="preserve"> (spre deosebire de 19 entități în anul 2016)</w:t>
      </w:r>
      <w:r w:rsidRPr="00166A39">
        <w:rPr>
          <w:rFonts w:asciiTheme="minorHAnsi" w:hAnsiTheme="minorHAnsi" w:cstheme="minorHAnsi"/>
          <w:color w:val="FF0000"/>
        </w:rPr>
        <w:t xml:space="preserve"> </w:t>
      </w:r>
      <w:r w:rsidRPr="00166A39">
        <w:rPr>
          <w:rFonts w:asciiTheme="minorHAnsi" w:hAnsiTheme="minorHAnsi" w:cstheme="minorHAnsi"/>
        </w:rPr>
        <w:t>în mărime de 149,9 mil. lei, conform situației de la finele anului 2017, cele mai considerabile valori negative ale capitalului propriu fiind înregistrate de:</w:t>
      </w:r>
    </w:p>
    <w:p w14:paraId="745497D4" w14:textId="77777777" w:rsidR="000C2B62" w:rsidRPr="00166A39" w:rsidRDefault="000C2B62" w:rsidP="00166A39">
      <w:pPr>
        <w:pStyle w:val="BodyTextIndent"/>
        <w:spacing w:after="0"/>
        <w:ind w:left="0" w:firstLine="567"/>
        <w:jc w:val="both"/>
        <w:rPr>
          <w:rFonts w:asciiTheme="minorHAnsi" w:hAnsiTheme="minorHAnsi" w:cstheme="minorHAnsi"/>
        </w:rPr>
      </w:pPr>
      <w:r w:rsidRPr="00166A39">
        <w:rPr>
          <w:rFonts w:asciiTheme="minorHAnsi" w:hAnsiTheme="minorHAnsi" w:cstheme="minorHAnsi"/>
        </w:rPr>
        <w:t>- Î.S. Compania Aeriană „Air Moldova” – 81,3 mil. lei (la 31.12.2017);</w:t>
      </w:r>
    </w:p>
    <w:p w14:paraId="6C519D71" w14:textId="77777777" w:rsidR="000C2B62" w:rsidRPr="00166A39" w:rsidRDefault="000C2B62" w:rsidP="00166A39">
      <w:pPr>
        <w:pStyle w:val="BodyTextIndent"/>
        <w:spacing w:after="0"/>
        <w:ind w:left="0" w:firstLine="567"/>
        <w:jc w:val="both"/>
        <w:rPr>
          <w:rFonts w:asciiTheme="minorHAnsi" w:hAnsiTheme="minorHAnsi" w:cstheme="minorHAnsi"/>
        </w:rPr>
      </w:pPr>
      <w:r w:rsidRPr="00166A39">
        <w:rPr>
          <w:rFonts w:asciiTheme="minorHAnsi" w:hAnsiTheme="minorHAnsi" w:cstheme="minorHAnsi"/>
        </w:rPr>
        <w:t>- Î.S. „Moldtranselectro” – 59,7 mil. lei (mai mult de 3 ani);</w:t>
      </w:r>
    </w:p>
    <w:p w14:paraId="1211FAF4" w14:textId="77777777" w:rsidR="000C2B62" w:rsidRPr="00166A39" w:rsidRDefault="000C2B62" w:rsidP="00166A39">
      <w:pPr>
        <w:pStyle w:val="BodyTextIndent"/>
        <w:spacing w:after="0"/>
        <w:ind w:left="0" w:firstLine="567"/>
        <w:jc w:val="both"/>
        <w:rPr>
          <w:rFonts w:asciiTheme="minorHAnsi" w:hAnsiTheme="minorHAnsi" w:cstheme="minorHAnsi"/>
        </w:rPr>
      </w:pPr>
      <w:r w:rsidRPr="00166A39">
        <w:rPr>
          <w:rFonts w:asciiTheme="minorHAnsi" w:hAnsiTheme="minorHAnsi" w:cstheme="minorHAnsi"/>
        </w:rPr>
        <w:t>- Î.S. Stațiunea Tehnologică pentru Irigare „Vulcănești”–3,6 mil.lei (mai mult de 3 ani);</w:t>
      </w:r>
    </w:p>
    <w:p w14:paraId="56D522B4" w14:textId="77777777" w:rsidR="000C2B62" w:rsidRPr="00166A39" w:rsidRDefault="000C2B62" w:rsidP="00166A39">
      <w:pPr>
        <w:pStyle w:val="BodyTextIndent"/>
        <w:spacing w:after="0"/>
        <w:ind w:left="0" w:firstLine="567"/>
        <w:jc w:val="both"/>
        <w:rPr>
          <w:rFonts w:asciiTheme="minorHAnsi" w:hAnsiTheme="minorHAnsi" w:cstheme="minorHAnsi"/>
        </w:rPr>
      </w:pPr>
      <w:r w:rsidRPr="00166A39">
        <w:rPr>
          <w:rFonts w:asciiTheme="minorHAnsi" w:hAnsiTheme="minorHAnsi" w:cstheme="minorHAnsi"/>
        </w:rPr>
        <w:t>- Î.S. DIP „Casa de comerț” – 1,0 mil. lei (mai mult de 3 ani).</w:t>
      </w:r>
    </w:p>
    <w:p w14:paraId="49A138D8" w14:textId="2B07CC4C" w:rsidR="000C2B62" w:rsidRPr="00166A39" w:rsidRDefault="000C2B62" w:rsidP="00166A39">
      <w:pPr>
        <w:tabs>
          <w:tab w:val="left" w:pos="545"/>
        </w:tabs>
        <w:jc w:val="both"/>
        <w:rPr>
          <w:rFonts w:asciiTheme="minorHAnsi" w:hAnsiTheme="minorHAnsi" w:cstheme="minorHAnsi"/>
        </w:rPr>
      </w:pPr>
      <w:r w:rsidRPr="00166A39">
        <w:rPr>
          <w:rFonts w:asciiTheme="minorHAnsi" w:hAnsiTheme="minorHAnsi" w:cstheme="minorHAnsi"/>
          <w:color w:val="FF0000"/>
        </w:rPr>
        <w:tab/>
      </w:r>
      <w:r w:rsidRPr="00166A39">
        <w:rPr>
          <w:rFonts w:asciiTheme="minorHAnsi" w:hAnsiTheme="minorHAnsi" w:cstheme="minorHAnsi"/>
        </w:rPr>
        <w:t xml:space="preserve">Potrivit Legii cu privire la întreprinderea de stat și întreprinderea municipală/Legii privind societățile pe acțiuni, dacă, la expirarea celui de-al treilea an financiar consecutiv, valoarea capitalului propriu al entității, potrivit </w:t>
      </w:r>
      <w:r w:rsidR="007D4CBC" w:rsidRPr="00166A39">
        <w:rPr>
          <w:rFonts w:asciiTheme="minorHAnsi" w:hAnsiTheme="minorHAnsi" w:cstheme="minorHAnsi"/>
        </w:rPr>
        <w:t>bilanțului</w:t>
      </w:r>
      <w:r w:rsidRPr="00166A39">
        <w:rPr>
          <w:rFonts w:asciiTheme="minorHAnsi" w:hAnsiTheme="minorHAnsi" w:cstheme="minorHAnsi"/>
        </w:rPr>
        <w:t xml:space="preserve"> anual al acesteia, va fi mai mică </w:t>
      </w:r>
      <w:r w:rsidR="008E721C" w:rsidRPr="00166A39">
        <w:rPr>
          <w:rFonts w:asciiTheme="minorHAnsi" w:hAnsiTheme="minorHAnsi" w:cstheme="minorHAnsi"/>
        </w:rPr>
        <w:t>decât</w:t>
      </w:r>
      <w:r w:rsidRPr="00166A39">
        <w:rPr>
          <w:rFonts w:asciiTheme="minorHAnsi" w:hAnsiTheme="minorHAnsi" w:cstheme="minorHAnsi"/>
        </w:rPr>
        <w:t xml:space="preserve"> mărimea capitalului social, se impune necesitatea întreprinderii măsurilor conform cadrului legal (reducerea capitalului social, aporturi în numerar, dizolvare etc.). </w:t>
      </w:r>
    </w:p>
    <w:p w14:paraId="490E8E0F" w14:textId="222B5E81" w:rsidR="000C2B62" w:rsidRPr="00166A39" w:rsidRDefault="000C2B62" w:rsidP="00166A39">
      <w:pPr>
        <w:tabs>
          <w:tab w:val="left" w:pos="545"/>
        </w:tabs>
        <w:jc w:val="both"/>
        <w:rPr>
          <w:rFonts w:asciiTheme="minorHAnsi" w:hAnsiTheme="minorHAnsi" w:cstheme="minorHAnsi"/>
        </w:rPr>
      </w:pPr>
      <w:r w:rsidRPr="00166A39">
        <w:rPr>
          <w:rFonts w:asciiTheme="minorHAnsi" w:hAnsiTheme="minorHAnsi" w:cstheme="minorHAnsi"/>
        </w:rPr>
        <w:tab/>
        <w:t xml:space="preserve">Totodată, s-a constatat că, la situația din 31.12.2017, </w:t>
      </w:r>
      <w:r w:rsidRPr="00166A39">
        <w:rPr>
          <w:rFonts w:asciiTheme="minorHAnsi" w:hAnsiTheme="minorHAnsi" w:cstheme="minorHAnsi"/>
          <w:b/>
        </w:rPr>
        <w:t>la</w:t>
      </w:r>
      <w:r w:rsidRPr="00166A39">
        <w:rPr>
          <w:rFonts w:asciiTheme="minorHAnsi" w:hAnsiTheme="minorHAnsi" w:cstheme="minorHAnsi"/>
        </w:rPr>
        <w:t xml:space="preserve"> </w:t>
      </w:r>
      <w:r w:rsidRPr="00166A39">
        <w:rPr>
          <w:rFonts w:asciiTheme="minorHAnsi" w:hAnsiTheme="minorHAnsi" w:cstheme="minorHAnsi"/>
          <w:b/>
        </w:rPr>
        <w:t xml:space="preserve">54 entități </w:t>
      </w:r>
      <w:r w:rsidRPr="00166A39">
        <w:rPr>
          <w:rFonts w:asciiTheme="minorHAnsi" w:hAnsiTheme="minorHAnsi" w:cstheme="minorHAnsi"/>
        </w:rPr>
        <w:t xml:space="preserve">cu capital de stat sau 26,5% din totalul entităților monitorizate, </w:t>
      </w:r>
      <w:r w:rsidRPr="00166A39">
        <w:rPr>
          <w:rFonts w:asciiTheme="minorHAnsi" w:hAnsiTheme="minorHAnsi" w:cstheme="minorHAnsi"/>
          <w:b/>
        </w:rPr>
        <w:t>datoriile curente depășesc activele circulante</w:t>
      </w:r>
      <w:r w:rsidRPr="00166A39">
        <w:rPr>
          <w:rFonts w:asciiTheme="minorHAnsi" w:hAnsiTheme="minorHAnsi" w:cstheme="minorHAnsi"/>
        </w:rPr>
        <w:t xml:space="preserve">, fapt care poate genera dificultăți în activitatea agenților economici, dacă această situație </w:t>
      </w:r>
      <w:r w:rsidR="008E721C" w:rsidRPr="00166A39">
        <w:rPr>
          <w:rFonts w:asciiTheme="minorHAnsi" w:hAnsiTheme="minorHAnsi" w:cstheme="minorHAnsi"/>
        </w:rPr>
        <w:t>rămâne</w:t>
      </w:r>
      <w:r w:rsidRPr="00166A39">
        <w:rPr>
          <w:rFonts w:asciiTheme="minorHAnsi" w:hAnsiTheme="minorHAnsi" w:cstheme="minorHAnsi"/>
        </w:rPr>
        <w:t xml:space="preserve"> neschimbată. </w:t>
      </w:r>
    </w:p>
    <w:p w14:paraId="28D858CC" w14:textId="77777777" w:rsidR="007B5D84" w:rsidRDefault="007B5D84" w:rsidP="00166A39">
      <w:pPr>
        <w:pStyle w:val="BodyTextIndent2"/>
        <w:ind w:firstLine="539"/>
        <w:rPr>
          <w:rFonts w:asciiTheme="minorHAnsi" w:hAnsiTheme="minorHAnsi" w:cstheme="minorHAnsi"/>
          <w:b/>
          <w:sz w:val="24"/>
          <w:szCs w:val="24"/>
        </w:rPr>
      </w:pPr>
    </w:p>
    <w:p w14:paraId="07D94B62" w14:textId="243BE54C" w:rsidR="000C2B62" w:rsidRPr="00166A39" w:rsidRDefault="000C2B62" w:rsidP="00166A39">
      <w:pPr>
        <w:pStyle w:val="BodyTextIndent2"/>
        <w:ind w:firstLine="539"/>
        <w:rPr>
          <w:rFonts w:asciiTheme="minorHAnsi" w:hAnsiTheme="minorHAnsi" w:cstheme="minorHAnsi"/>
          <w:b/>
          <w:sz w:val="24"/>
          <w:szCs w:val="24"/>
        </w:rPr>
      </w:pPr>
      <w:r w:rsidRPr="00166A39">
        <w:rPr>
          <w:rFonts w:asciiTheme="minorHAnsi" w:hAnsiTheme="minorHAnsi" w:cstheme="minorHAnsi"/>
          <w:b/>
          <w:sz w:val="24"/>
          <w:szCs w:val="24"/>
        </w:rPr>
        <w:t>Analiza solvabilității celor mai mari întreprinderi de stat/ societăți pe acțiuni</w:t>
      </w:r>
    </w:p>
    <w:p w14:paraId="362D9B56" w14:textId="451CD7D7" w:rsidR="007B5D84" w:rsidRDefault="000C2B62">
      <w:pPr>
        <w:pStyle w:val="BodyTextIndent2"/>
        <w:ind w:firstLine="539"/>
        <w:rPr>
          <w:rFonts w:asciiTheme="minorHAnsi" w:hAnsiTheme="minorHAnsi" w:cstheme="minorHAnsi"/>
          <w:sz w:val="24"/>
          <w:szCs w:val="24"/>
        </w:rPr>
      </w:pPr>
      <w:r w:rsidRPr="00166A39">
        <w:rPr>
          <w:rFonts w:asciiTheme="minorHAnsi" w:hAnsiTheme="minorHAnsi" w:cstheme="minorHAnsi"/>
          <w:sz w:val="24"/>
          <w:szCs w:val="24"/>
        </w:rPr>
        <w:t xml:space="preserve">În contextul evaluării şi analizei riscurilor bugetar-fiscale aferente </w:t>
      </w:r>
      <w:r w:rsidR="007D4CBC" w:rsidRPr="00166A39">
        <w:rPr>
          <w:rFonts w:asciiTheme="minorHAnsi" w:hAnsiTheme="minorHAnsi" w:cstheme="minorHAnsi"/>
          <w:sz w:val="24"/>
          <w:szCs w:val="24"/>
        </w:rPr>
        <w:t>activității</w:t>
      </w:r>
      <w:r w:rsidRPr="00166A39">
        <w:rPr>
          <w:rFonts w:asciiTheme="minorHAnsi" w:hAnsiTheme="minorHAnsi" w:cstheme="minorHAnsi"/>
          <w:sz w:val="24"/>
          <w:szCs w:val="24"/>
        </w:rPr>
        <w:t xml:space="preserve"> economico-financiare a entităților cu capital integral sau majoritar de stat, a fost efectuată analiza detaliată a principalilor indicatori financiari a celor mai mari Î.S./ S.A., selectate după active, venituri din </w:t>
      </w:r>
      <w:r w:rsidR="007D4CBC" w:rsidRPr="00166A39">
        <w:rPr>
          <w:rFonts w:asciiTheme="minorHAnsi" w:hAnsiTheme="minorHAnsi" w:cstheme="minorHAnsi"/>
          <w:sz w:val="24"/>
          <w:szCs w:val="24"/>
        </w:rPr>
        <w:t>vânzări</w:t>
      </w:r>
      <w:r w:rsidRPr="00166A39">
        <w:rPr>
          <w:rFonts w:asciiTheme="minorHAnsi" w:hAnsiTheme="minorHAnsi" w:cstheme="minorHAnsi"/>
          <w:sz w:val="24"/>
          <w:szCs w:val="24"/>
        </w:rPr>
        <w:t xml:space="preserve"> și datorii înregistrate. Astfel, se atestă că veniturile din </w:t>
      </w:r>
      <w:r w:rsidR="007D4CBC" w:rsidRPr="00166A39">
        <w:rPr>
          <w:rFonts w:asciiTheme="minorHAnsi" w:hAnsiTheme="minorHAnsi" w:cstheme="minorHAnsi"/>
          <w:sz w:val="24"/>
          <w:szCs w:val="24"/>
        </w:rPr>
        <w:t>vânzări</w:t>
      </w:r>
      <w:r w:rsidRPr="00166A39">
        <w:rPr>
          <w:rFonts w:asciiTheme="minorHAnsi" w:hAnsiTheme="minorHAnsi" w:cstheme="minorHAnsi"/>
          <w:sz w:val="24"/>
          <w:szCs w:val="24"/>
        </w:rPr>
        <w:t xml:space="preserve"> totale ale entităților menționate în tabelul 5 reprezintă 48,3% din veniturile din </w:t>
      </w:r>
      <w:r w:rsidR="007D4CBC" w:rsidRPr="00166A39">
        <w:rPr>
          <w:rFonts w:asciiTheme="minorHAnsi" w:hAnsiTheme="minorHAnsi" w:cstheme="minorHAnsi"/>
          <w:sz w:val="24"/>
          <w:szCs w:val="24"/>
        </w:rPr>
        <w:t>vânzări</w:t>
      </w:r>
      <w:r w:rsidRPr="00166A39">
        <w:rPr>
          <w:rFonts w:asciiTheme="minorHAnsi" w:hAnsiTheme="minorHAnsi" w:cstheme="minorHAnsi"/>
          <w:sz w:val="24"/>
          <w:szCs w:val="24"/>
        </w:rPr>
        <w:t xml:space="preserve"> înregistrate în anul 2017 de către 204 entități monitorizate, activele acestora reprezintă 75,8% din totalul activelor Î.S. și S.A., iar datoriile (curente și pe termen lung) – 82,5% din suma datoriilor totale ale entităților.</w:t>
      </w:r>
    </w:p>
    <w:p w14:paraId="3C2888E8" w14:textId="77777777" w:rsidR="007B5D84" w:rsidRDefault="007B5D84">
      <w:pPr>
        <w:spacing w:after="200" w:line="276" w:lineRule="auto"/>
        <w:rPr>
          <w:rFonts w:asciiTheme="minorHAnsi" w:hAnsiTheme="minorHAnsi" w:cstheme="minorHAnsi"/>
          <w:lang w:eastAsia="ru-RU"/>
        </w:rPr>
      </w:pPr>
      <w:r>
        <w:rPr>
          <w:rFonts w:asciiTheme="minorHAnsi" w:hAnsiTheme="minorHAnsi" w:cstheme="minorHAnsi"/>
        </w:rPr>
        <w:br w:type="page"/>
      </w:r>
    </w:p>
    <w:p w14:paraId="2F03763E" w14:textId="77777777" w:rsidR="000C2B62" w:rsidRPr="00166A39" w:rsidRDefault="000C2B62" w:rsidP="00166A39">
      <w:pPr>
        <w:pStyle w:val="BodyTextIndent2"/>
        <w:ind w:firstLine="539"/>
        <w:rPr>
          <w:rFonts w:asciiTheme="minorHAnsi" w:hAnsiTheme="minorHAnsi" w:cstheme="minorHAnsi"/>
          <w:sz w:val="24"/>
          <w:szCs w:val="24"/>
        </w:rPr>
      </w:pPr>
    </w:p>
    <w:p w14:paraId="1C7C586B" w14:textId="77777777" w:rsidR="000C2B62" w:rsidRPr="00166A39" w:rsidRDefault="000C2B62" w:rsidP="00166A39">
      <w:pPr>
        <w:ind w:hanging="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 xml:space="preserve">Tabelul 5. Analiza principalilor indicatori financiari aferenți </w:t>
      </w:r>
    </w:p>
    <w:p w14:paraId="6958D3BD" w14:textId="77777777" w:rsidR="000C2B62" w:rsidRPr="00166A39" w:rsidRDefault="000C2B62" w:rsidP="00166A39">
      <w:pPr>
        <w:ind w:hanging="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activității unor întreprinderi de stat/ societăți pe acțiuni, la 31.12.2017</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95"/>
        <w:gridCol w:w="753"/>
        <w:gridCol w:w="789"/>
        <w:gridCol w:w="1007"/>
        <w:gridCol w:w="1227"/>
        <w:gridCol w:w="1066"/>
        <w:gridCol w:w="1305"/>
        <w:gridCol w:w="1241"/>
      </w:tblGrid>
      <w:tr w:rsidR="000C2B62" w:rsidRPr="00BD2435" w14:paraId="1DF0C727" w14:textId="77777777" w:rsidTr="00F67814">
        <w:trPr>
          <w:trHeight w:val="500"/>
          <w:tblHeader/>
          <w:jc w:val="center"/>
        </w:trPr>
        <w:tc>
          <w:tcPr>
            <w:tcW w:w="535" w:type="dxa"/>
            <w:vAlign w:val="center"/>
            <w:hideMark/>
          </w:tcPr>
          <w:p w14:paraId="0FBFF5D2" w14:textId="77777777" w:rsidR="000C2B62" w:rsidRPr="00166A39" w:rsidRDefault="000C2B62" w:rsidP="00BD2435">
            <w:pPr>
              <w:ind w:left="-108" w:right="-108"/>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Nr.</w:t>
            </w:r>
          </w:p>
          <w:p w14:paraId="52462BF1" w14:textId="77777777" w:rsidR="000C2B62" w:rsidRPr="00166A39" w:rsidRDefault="000C2B62" w:rsidP="00BD2435">
            <w:pPr>
              <w:ind w:left="-108" w:right="-108"/>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d/o</w:t>
            </w:r>
          </w:p>
        </w:tc>
        <w:tc>
          <w:tcPr>
            <w:tcW w:w="1895" w:type="dxa"/>
            <w:vAlign w:val="center"/>
            <w:hideMark/>
          </w:tcPr>
          <w:p w14:paraId="69108E4C" w14:textId="77777777" w:rsidR="000C2B62" w:rsidRPr="00166A39" w:rsidRDefault="000C2B62" w:rsidP="00BD2435">
            <w:pPr>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Denumirea întreprinderii</w:t>
            </w:r>
          </w:p>
        </w:tc>
        <w:tc>
          <w:tcPr>
            <w:tcW w:w="753" w:type="dxa"/>
            <w:vAlign w:val="center"/>
          </w:tcPr>
          <w:p w14:paraId="3B2FD9F8" w14:textId="77777777" w:rsidR="000C2B62" w:rsidRPr="00166A39" w:rsidRDefault="000C2B62" w:rsidP="00166A39">
            <w:pPr>
              <w:pStyle w:val="ListParagraph"/>
              <w:spacing w:line="240" w:lineRule="auto"/>
              <w:ind w:left="0"/>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Active, mil. lei</w:t>
            </w:r>
          </w:p>
        </w:tc>
        <w:tc>
          <w:tcPr>
            <w:tcW w:w="789" w:type="dxa"/>
            <w:vAlign w:val="center"/>
          </w:tcPr>
          <w:p w14:paraId="35C9C933" w14:textId="77777777" w:rsidR="000C2B62" w:rsidRPr="00166A39" w:rsidRDefault="000C2B62" w:rsidP="00BD2435">
            <w:pPr>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Datorii, mil. lei</w:t>
            </w:r>
          </w:p>
        </w:tc>
        <w:tc>
          <w:tcPr>
            <w:tcW w:w="1007" w:type="dxa"/>
            <w:vAlign w:val="center"/>
          </w:tcPr>
          <w:p w14:paraId="193875A8" w14:textId="77777777" w:rsidR="000C2B62" w:rsidRPr="00166A39" w:rsidRDefault="000C2B62" w:rsidP="00BD2435">
            <w:pPr>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Venituri din vînzări, mil. lei</w:t>
            </w:r>
          </w:p>
        </w:tc>
        <w:tc>
          <w:tcPr>
            <w:tcW w:w="1227" w:type="dxa"/>
            <w:vAlign w:val="center"/>
          </w:tcPr>
          <w:p w14:paraId="2606767D" w14:textId="77777777" w:rsidR="000C2B62" w:rsidRPr="00166A39" w:rsidRDefault="000C2B62" w:rsidP="00BD2435">
            <w:pPr>
              <w:jc w:val="center"/>
              <w:rPr>
                <w:rFonts w:asciiTheme="minorHAnsi" w:hAnsiTheme="minorHAnsi" w:cstheme="minorHAnsi"/>
                <w:b/>
                <w:sz w:val="18"/>
                <w:szCs w:val="18"/>
              </w:rPr>
            </w:pPr>
            <w:r w:rsidRPr="00166A39">
              <w:rPr>
                <w:rFonts w:asciiTheme="minorHAnsi" w:eastAsia="SimSun" w:hAnsiTheme="minorHAnsi" w:cstheme="minorHAnsi"/>
                <w:b/>
                <w:sz w:val="18"/>
                <w:szCs w:val="18"/>
              </w:rPr>
              <w:t>Profit net (pierdere netă), mil. lei</w:t>
            </w:r>
          </w:p>
        </w:tc>
        <w:tc>
          <w:tcPr>
            <w:tcW w:w="1066" w:type="dxa"/>
            <w:vAlign w:val="center"/>
          </w:tcPr>
          <w:p w14:paraId="60FC65AF" w14:textId="77777777" w:rsidR="000C2B62" w:rsidRPr="00166A39" w:rsidRDefault="000C2B62" w:rsidP="00BD2435">
            <w:pPr>
              <w:jc w:val="center"/>
              <w:rPr>
                <w:rFonts w:asciiTheme="minorHAnsi" w:hAnsiTheme="minorHAnsi" w:cstheme="minorHAnsi"/>
                <w:b/>
                <w:sz w:val="18"/>
                <w:szCs w:val="18"/>
              </w:rPr>
            </w:pPr>
            <w:r w:rsidRPr="00166A39">
              <w:rPr>
                <w:rFonts w:asciiTheme="minorHAnsi" w:hAnsiTheme="minorHAnsi" w:cstheme="minorHAnsi"/>
                <w:b/>
                <w:sz w:val="18"/>
                <w:szCs w:val="18"/>
              </w:rPr>
              <w:t>Lichiditatea curentă</w:t>
            </w:r>
            <w:r w:rsidRPr="00166A39">
              <w:rPr>
                <w:rStyle w:val="FootnoteReference"/>
                <w:rFonts w:asciiTheme="minorHAnsi" w:hAnsiTheme="minorHAnsi" w:cstheme="minorHAnsi"/>
                <w:b/>
                <w:sz w:val="18"/>
                <w:szCs w:val="18"/>
              </w:rPr>
              <w:footnoteReference w:id="9"/>
            </w:r>
            <w:r w:rsidRPr="00166A39">
              <w:rPr>
                <w:rFonts w:asciiTheme="minorHAnsi" w:hAnsiTheme="minorHAnsi" w:cstheme="minorHAnsi"/>
                <w:b/>
                <w:sz w:val="18"/>
                <w:szCs w:val="18"/>
              </w:rPr>
              <w:t xml:space="preserve">, coef. </w:t>
            </w:r>
          </w:p>
        </w:tc>
        <w:tc>
          <w:tcPr>
            <w:tcW w:w="1305" w:type="dxa"/>
            <w:vAlign w:val="center"/>
          </w:tcPr>
          <w:p w14:paraId="4DD5E754" w14:textId="77777777" w:rsidR="000C2B62" w:rsidRPr="00166A39" w:rsidRDefault="000C2B62">
            <w:pPr>
              <w:jc w:val="center"/>
              <w:rPr>
                <w:rFonts w:asciiTheme="minorHAnsi" w:hAnsiTheme="minorHAnsi" w:cstheme="minorHAnsi"/>
                <w:b/>
                <w:sz w:val="18"/>
                <w:szCs w:val="18"/>
              </w:rPr>
            </w:pPr>
            <w:r w:rsidRPr="00166A39">
              <w:rPr>
                <w:rFonts w:asciiTheme="minorHAnsi" w:hAnsiTheme="minorHAnsi" w:cstheme="minorHAnsi"/>
                <w:b/>
                <w:sz w:val="18"/>
                <w:szCs w:val="18"/>
              </w:rPr>
              <w:t>Marja profitului operațional</w:t>
            </w:r>
            <w:r w:rsidRPr="00166A39">
              <w:rPr>
                <w:rStyle w:val="FootnoteReference"/>
                <w:rFonts w:asciiTheme="minorHAnsi" w:hAnsiTheme="minorHAnsi" w:cstheme="minorHAnsi"/>
                <w:b/>
                <w:sz w:val="18"/>
                <w:szCs w:val="18"/>
              </w:rPr>
              <w:footnoteReference w:id="10"/>
            </w:r>
            <w:r w:rsidRPr="00166A39">
              <w:rPr>
                <w:rFonts w:asciiTheme="minorHAnsi" w:hAnsiTheme="minorHAnsi" w:cstheme="minorHAnsi"/>
                <w:b/>
                <w:sz w:val="18"/>
                <w:szCs w:val="18"/>
              </w:rPr>
              <w:t>, %</w:t>
            </w:r>
          </w:p>
        </w:tc>
        <w:tc>
          <w:tcPr>
            <w:tcW w:w="1241" w:type="dxa"/>
            <w:vAlign w:val="center"/>
          </w:tcPr>
          <w:p w14:paraId="22186BEA" w14:textId="77777777" w:rsidR="000C2B62" w:rsidRPr="00166A39" w:rsidRDefault="000C2B62">
            <w:pPr>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Levierul financiar</w:t>
            </w:r>
            <w:r w:rsidRPr="00166A39">
              <w:rPr>
                <w:rStyle w:val="FootnoteReference"/>
                <w:rFonts w:asciiTheme="minorHAnsi" w:eastAsia="SimSun" w:hAnsiTheme="minorHAnsi" w:cstheme="minorHAnsi"/>
                <w:b/>
                <w:sz w:val="18"/>
                <w:szCs w:val="18"/>
              </w:rPr>
              <w:footnoteReference w:id="11"/>
            </w:r>
            <w:r w:rsidRPr="00166A39">
              <w:rPr>
                <w:rFonts w:asciiTheme="minorHAnsi" w:eastAsia="SimSun" w:hAnsiTheme="minorHAnsi" w:cstheme="minorHAnsi"/>
                <w:b/>
                <w:sz w:val="18"/>
                <w:szCs w:val="18"/>
              </w:rPr>
              <w:t>, coef.</w:t>
            </w:r>
          </w:p>
        </w:tc>
      </w:tr>
      <w:tr w:rsidR="000C2B62" w:rsidRPr="00BD2435" w14:paraId="289E8BC5" w14:textId="77777777" w:rsidTr="00F67814">
        <w:trPr>
          <w:jc w:val="center"/>
        </w:trPr>
        <w:tc>
          <w:tcPr>
            <w:tcW w:w="535" w:type="dxa"/>
          </w:tcPr>
          <w:p w14:paraId="3914E029"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w:t>
            </w:r>
          </w:p>
        </w:tc>
        <w:tc>
          <w:tcPr>
            <w:tcW w:w="1895" w:type="dxa"/>
          </w:tcPr>
          <w:p w14:paraId="70E85930" w14:textId="77777777" w:rsidR="000C2B62" w:rsidRPr="00166A39" w:rsidRDefault="000C2B62" w:rsidP="00BD2435">
            <w:pPr>
              <w:tabs>
                <w:tab w:val="left" w:pos="142"/>
              </w:tabs>
              <w:suppressAutoHyphens/>
              <w:jc w:val="both"/>
              <w:rPr>
                <w:rFonts w:asciiTheme="minorHAnsi" w:eastAsia="SimSun" w:hAnsiTheme="minorHAnsi" w:cstheme="minorHAnsi"/>
                <w:sz w:val="18"/>
                <w:szCs w:val="18"/>
              </w:rPr>
            </w:pPr>
            <w:r w:rsidRPr="00166A39">
              <w:rPr>
                <w:rFonts w:asciiTheme="minorHAnsi" w:eastAsia="SimSun" w:hAnsiTheme="minorHAnsi" w:cstheme="minorHAnsi"/>
                <w:sz w:val="18"/>
                <w:szCs w:val="18"/>
              </w:rPr>
              <w:t>Î.S. „Administrația de Stat a Drumurilor”</w:t>
            </w:r>
          </w:p>
        </w:tc>
        <w:tc>
          <w:tcPr>
            <w:tcW w:w="753" w:type="dxa"/>
          </w:tcPr>
          <w:p w14:paraId="1CB26D8B"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8892,3</w:t>
            </w:r>
          </w:p>
        </w:tc>
        <w:tc>
          <w:tcPr>
            <w:tcW w:w="789" w:type="dxa"/>
          </w:tcPr>
          <w:p w14:paraId="04211E94"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2439,5</w:t>
            </w:r>
            <w:r w:rsidRPr="00166A39">
              <w:rPr>
                <w:rStyle w:val="FootnoteReference"/>
                <w:rFonts w:asciiTheme="minorHAnsi" w:eastAsia="SimSun" w:hAnsiTheme="minorHAnsi" w:cstheme="minorHAnsi"/>
                <w:sz w:val="18"/>
                <w:szCs w:val="18"/>
              </w:rPr>
              <w:footnoteReference w:id="12"/>
            </w:r>
          </w:p>
        </w:tc>
        <w:tc>
          <w:tcPr>
            <w:tcW w:w="1007" w:type="dxa"/>
          </w:tcPr>
          <w:p w14:paraId="059EC645"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52,2</w:t>
            </w:r>
          </w:p>
        </w:tc>
        <w:tc>
          <w:tcPr>
            <w:tcW w:w="1227" w:type="dxa"/>
          </w:tcPr>
          <w:p w14:paraId="372908E1"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0,6</w:t>
            </w:r>
          </w:p>
        </w:tc>
        <w:tc>
          <w:tcPr>
            <w:tcW w:w="1066" w:type="dxa"/>
          </w:tcPr>
          <w:p w14:paraId="3C4661FA" w14:textId="77777777" w:rsidR="000C2B62" w:rsidRPr="00166A39" w:rsidRDefault="000C2B62">
            <w:pPr>
              <w:jc w:val="center"/>
              <w:rPr>
                <w:rFonts w:asciiTheme="minorHAnsi" w:eastAsia="SimSun" w:hAnsiTheme="minorHAnsi" w:cstheme="minorHAnsi"/>
                <w:b/>
                <w:color w:val="FF0000"/>
                <w:sz w:val="18"/>
                <w:szCs w:val="18"/>
              </w:rPr>
            </w:pPr>
            <w:r w:rsidRPr="00166A39">
              <w:rPr>
                <w:rFonts w:asciiTheme="minorHAnsi" w:eastAsia="SimSun" w:hAnsiTheme="minorHAnsi" w:cstheme="minorHAnsi"/>
                <w:b/>
                <w:color w:val="FF0000"/>
                <w:sz w:val="18"/>
                <w:szCs w:val="18"/>
              </w:rPr>
              <w:t>0,59</w:t>
            </w:r>
          </w:p>
        </w:tc>
        <w:tc>
          <w:tcPr>
            <w:tcW w:w="1305" w:type="dxa"/>
          </w:tcPr>
          <w:p w14:paraId="73297D2C"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1,72</w:t>
            </w:r>
          </w:p>
        </w:tc>
        <w:tc>
          <w:tcPr>
            <w:tcW w:w="1241" w:type="dxa"/>
          </w:tcPr>
          <w:p w14:paraId="19B3FA85"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1,38</w:t>
            </w:r>
          </w:p>
        </w:tc>
      </w:tr>
      <w:tr w:rsidR="000C2B62" w:rsidRPr="00BD2435" w14:paraId="13A7FF0C" w14:textId="77777777" w:rsidTr="00F67814">
        <w:trPr>
          <w:jc w:val="center"/>
        </w:trPr>
        <w:tc>
          <w:tcPr>
            <w:tcW w:w="535" w:type="dxa"/>
          </w:tcPr>
          <w:p w14:paraId="6564DB08" w14:textId="77777777" w:rsidR="000C2B62" w:rsidRPr="00166A39" w:rsidRDefault="000C2B62" w:rsidP="00BD2435">
            <w:pPr>
              <w:jc w:val="center"/>
              <w:rPr>
                <w:rFonts w:asciiTheme="minorHAnsi" w:hAnsiTheme="minorHAnsi" w:cstheme="minorHAnsi"/>
                <w:sz w:val="18"/>
                <w:szCs w:val="18"/>
              </w:rPr>
            </w:pPr>
            <w:r w:rsidRPr="00166A39">
              <w:rPr>
                <w:rFonts w:asciiTheme="minorHAnsi" w:hAnsiTheme="minorHAnsi" w:cstheme="minorHAnsi"/>
                <w:sz w:val="18"/>
                <w:szCs w:val="18"/>
              </w:rPr>
              <w:t>2.</w:t>
            </w:r>
          </w:p>
        </w:tc>
        <w:tc>
          <w:tcPr>
            <w:tcW w:w="1895" w:type="dxa"/>
          </w:tcPr>
          <w:p w14:paraId="6933B345" w14:textId="77777777" w:rsidR="000C2B62" w:rsidRPr="00166A39" w:rsidRDefault="000C2B62" w:rsidP="00BD2435">
            <w:pPr>
              <w:pStyle w:val="NoSpacing"/>
              <w:rPr>
                <w:rFonts w:asciiTheme="minorHAnsi" w:hAnsiTheme="minorHAnsi" w:cstheme="minorHAnsi"/>
                <w:sz w:val="18"/>
                <w:szCs w:val="18"/>
              </w:rPr>
            </w:pPr>
            <w:r w:rsidRPr="00166A39">
              <w:rPr>
                <w:rFonts w:asciiTheme="minorHAnsi" w:hAnsiTheme="minorHAnsi" w:cstheme="minorHAnsi"/>
                <w:bCs/>
                <w:sz w:val="18"/>
                <w:szCs w:val="18"/>
              </w:rPr>
              <w:t>S.A. „Moldtelecom”</w:t>
            </w:r>
          </w:p>
        </w:tc>
        <w:tc>
          <w:tcPr>
            <w:tcW w:w="753" w:type="dxa"/>
          </w:tcPr>
          <w:p w14:paraId="7F715772"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5948,3</w:t>
            </w:r>
          </w:p>
        </w:tc>
        <w:tc>
          <w:tcPr>
            <w:tcW w:w="789" w:type="dxa"/>
          </w:tcPr>
          <w:p w14:paraId="3A34BA82"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1606,3</w:t>
            </w:r>
          </w:p>
        </w:tc>
        <w:tc>
          <w:tcPr>
            <w:tcW w:w="1007" w:type="dxa"/>
          </w:tcPr>
          <w:p w14:paraId="13E3DE14"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1770,8</w:t>
            </w:r>
          </w:p>
        </w:tc>
        <w:tc>
          <w:tcPr>
            <w:tcW w:w="1227" w:type="dxa"/>
          </w:tcPr>
          <w:p w14:paraId="27CB585E"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61,9</w:t>
            </w:r>
          </w:p>
        </w:tc>
        <w:tc>
          <w:tcPr>
            <w:tcW w:w="1066" w:type="dxa"/>
          </w:tcPr>
          <w:p w14:paraId="3F09E358" w14:textId="77777777" w:rsidR="000C2B62" w:rsidRPr="00166A39" w:rsidRDefault="000C2B62">
            <w:pPr>
              <w:jc w:val="center"/>
              <w:rPr>
                <w:rFonts w:asciiTheme="minorHAnsi" w:hAnsiTheme="minorHAnsi" w:cstheme="minorHAnsi"/>
                <w:b/>
                <w:color w:val="FF0000"/>
                <w:sz w:val="18"/>
                <w:szCs w:val="18"/>
              </w:rPr>
            </w:pPr>
            <w:r w:rsidRPr="00166A39">
              <w:rPr>
                <w:rFonts w:asciiTheme="minorHAnsi" w:eastAsia="SimSun" w:hAnsiTheme="minorHAnsi" w:cstheme="minorHAnsi"/>
                <w:b/>
                <w:color w:val="FF0000"/>
                <w:sz w:val="18"/>
                <w:szCs w:val="18"/>
              </w:rPr>
              <w:t>0,31</w:t>
            </w:r>
          </w:p>
        </w:tc>
        <w:tc>
          <w:tcPr>
            <w:tcW w:w="1305" w:type="dxa"/>
          </w:tcPr>
          <w:p w14:paraId="79636E99" w14:textId="77777777" w:rsidR="000C2B62" w:rsidRPr="00166A39" w:rsidRDefault="000C2B62">
            <w:pPr>
              <w:jc w:val="center"/>
              <w:rPr>
                <w:rFonts w:asciiTheme="minorHAnsi" w:hAnsiTheme="minorHAnsi" w:cstheme="minorHAnsi"/>
                <w:sz w:val="18"/>
                <w:szCs w:val="18"/>
              </w:rPr>
            </w:pPr>
            <w:r w:rsidRPr="00166A39">
              <w:rPr>
                <w:rFonts w:asciiTheme="minorHAnsi" w:hAnsiTheme="minorHAnsi" w:cstheme="minorHAnsi"/>
                <w:sz w:val="18"/>
                <w:szCs w:val="18"/>
              </w:rPr>
              <w:t>1,29</w:t>
            </w:r>
          </w:p>
        </w:tc>
        <w:tc>
          <w:tcPr>
            <w:tcW w:w="1241" w:type="dxa"/>
          </w:tcPr>
          <w:p w14:paraId="7696D64B"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1,37</w:t>
            </w:r>
          </w:p>
        </w:tc>
      </w:tr>
      <w:tr w:rsidR="000C2B62" w:rsidRPr="00BD2435" w14:paraId="659FCA03" w14:textId="77777777" w:rsidTr="00F67814">
        <w:trPr>
          <w:jc w:val="center"/>
        </w:trPr>
        <w:tc>
          <w:tcPr>
            <w:tcW w:w="535" w:type="dxa"/>
          </w:tcPr>
          <w:p w14:paraId="2EF03651" w14:textId="77777777" w:rsidR="000C2B62" w:rsidRPr="00166A39" w:rsidRDefault="000C2B62" w:rsidP="00BD2435">
            <w:pPr>
              <w:jc w:val="center"/>
              <w:rPr>
                <w:rFonts w:asciiTheme="minorHAnsi" w:hAnsiTheme="minorHAnsi" w:cstheme="minorHAnsi"/>
                <w:sz w:val="18"/>
                <w:szCs w:val="18"/>
              </w:rPr>
            </w:pPr>
            <w:r w:rsidRPr="00166A39">
              <w:rPr>
                <w:rFonts w:asciiTheme="minorHAnsi" w:hAnsiTheme="minorHAnsi" w:cstheme="minorHAnsi"/>
                <w:sz w:val="18"/>
                <w:szCs w:val="18"/>
              </w:rPr>
              <w:t>3.</w:t>
            </w:r>
          </w:p>
        </w:tc>
        <w:tc>
          <w:tcPr>
            <w:tcW w:w="1895" w:type="dxa"/>
          </w:tcPr>
          <w:p w14:paraId="50609BCA" w14:textId="77777777" w:rsidR="000C2B62" w:rsidRPr="00166A39" w:rsidRDefault="000C2B62" w:rsidP="00166A39">
            <w:pPr>
              <w:rPr>
                <w:rFonts w:asciiTheme="minorHAnsi" w:hAnsiTheme="minorHAnsi" w:cstheme="minorHAnsi"/>
                <w:sz w:val="18"/>
                <w:szCs w:val="18"/>
              </w:rPr>
            </w:pPr>
            <w:r w:rsidRPr="00166A39">
              <w:rPr>
                <w:rFonts w:asciiTheme="minorHAnsi" w:hAnsiTheme="minorHAnsi" w:cstheme="minorHAnsi"/>
                <w:sz w:val="18"/>
                <w:szCs w:val="18"/>
              </w:rPr>
              <w:t xml:space="preserve">S.A.„Termoelectrica” </w:t>
            </w:r>
          </w:p>
        </w:tc>
        <w:tc>
          <w:tcPr>
            <w:tcW w:w="753" w:type="dxa"/>
          </w:tcPr>
          <w:p w14:paraId="25457079"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5468,7</w:t>
            </w:r>
          </w:p>
        </w:tc>
        <w:tc>
          <w:tcPr>
            <w:tcW w:w="789" w:type="dxa"/>
          </w:tcPr>
          <w:p w14:paraId="73F88E7F"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3696,5</w:t>
            </w:r>
          </w:p>
        </w:tc>
        <w:tc>
          <w:tcPr>
            <w:tcW w:w="1007" w:type="dxa"/>
          </w:tcPr>
          <w:p w14:paraId="217F955A"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2389,7</w:t>
            </w:r>
          </w:p>
        </w:tc>
        <w:tc>
          <w:tcPr>
            <w:tcW w:w="1227" w:type="dxa"/>
          </w:tcPr>
          <w:p w14:paraId="369150DF"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38,1</w:t>
            </w:r>
          </w:p>
        </w:tc>
        <w:tc>
          <w:tcPr>
            <w:tcW w:w="1066" w:type="dxa"/>
          </w:tcPr>
          <w:p w14:paraId="7FD8572C"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9,30</w:t>
            </w:r>
          </w:p>
        </w:tc>
        <w:tc>
          <w:tcPr>
            <w:tcW w:w="1305" w:type="dxa"/>
          </w:tcPr>
          <w:p w14:paraId="29951CDC" w14:textId="77777777" w:rsidR="000C2B62" w:rsidRPr="00166A39" w:rsidRDefault="000C2B62">
            <w:pPr>
              <w:jc w:val="center"/>
              <w:rPr>
                <w:rFonts w:asciiTheme="minorHAnsi" w:hAnsiTheme="minorHAnsi" w:cstheme="minorHAnsi"/>
                <w:b/>
                <w:color w:val="FF0000"/>
                <w:sz w:val="18"/>
                <w:szCs w:val="18"/>
              </w:rPr>
            </w:pPr>
            <w:r w:rsidRPr="00166A39">
              <w:rPr>
                <w:rFonts w:asciiTheme="minorHAnsi" w:hAnsiTheme="minorHAnsi" w:cstheme="minorHAnsi"/>
                <w:b/>
                <w:color w:val="FF0000"/>
                <w:sz w:val="18"/>
                <w:szCs w:val="18"/>
              </w:rPr>
              <w:t>-0,67</w:t>
            </w:r>
          </w:p>
        </w:tc>
        <w:tc>
          <w:tcPr>
            <w:tcW w:w="1241" w:type="dxa"/>
          </w:tcPr>
          <w:p w14:paraId="5880F0B9" w14:textId="77777777" w:rsidR="000C2B62" w:rsidRPr="00166A39" w:rsidRDefault="000C2B62">
            <w:pPr>
              <w:jc w:val="center"/>
              <w:rPr>
                <w:rFonts w:asciiTheme="minorHAnsi" w:hAnsiTheme="minorHAnsi" w:cstheme="minorHAnsi"/>
                <w:b/>
                <w:sz w:val="18"/>
                <w:szCs w:val="18"/>
              </w:rPr>
            </w:pPr>
            <w:r w:rsidRPr="00166A39">
              <w:rPr>
                <w:rFonts w:asciiTheme="minorHAnsi" w:eastAsia="SimSun" w:hAnsiTheme="minorHAnsi" w:cstheme="minorHAnsi"/>
                <w:b/>
                <w:color w:val="FF0000"/>
                <w:sz w:val="18"/>
                <w:szCs w:val="18"/>
              </w:rPr>
              <w:t>3,09</w:t>
            </w:r>
          </w:p>
        </w:tc>
      </w:tr>
      <w:tr w:rsidR="000C2B62" w:rsidRPr="00BD2435" w14:paraId="7021EF06" w14:textId="77777777" w:rsidTr="00F67814">
        <w:trPr>
          <w:jc w:val="center"/>
        </w:trPr>
        <w:tc>
          <w:tcPr>
            <w:tcW w:w="535" w:type="dxa"/>
          </w:tcPr>
          <w:p w14:paraId="3E15C901"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4.</w:t>
            </w:r>
          </w:p>
        </w:tc>
        <w:tc>
          <w:tcPr>
            <w:tcW w:w="1895" w:type="dxa"/>
          </w:tcPr>
          <w:p w14:paraId="64CD0520" w14:textId="77777777" w:rsidR="000C2B62" w:rsidRPr="00166A39" w:rsidRDefault="000C2B62" w:rsidP="00166A39">
            <w:pPr>
              <w:pStyle w:val="ListParagraph"/>
              <w:spacing w:line="240" w:lineRule="auto"/>
              <w:ind w:left="0"/>
              <w:jc w:val="both"/>
              <w:rPr>
                <w:rFonts w:asciiTheme="minorHAnsi" w:eastAsia="SimSun" w:hAnsiTheme="minorHAnsi" w:cstheme="minorHAnsi"/>
                <w:sz w:val="18"/>
                <w:szCs w:val="18"/>
              </w:rPr>
            </w:pPr>
            <w:r w:rsidRPr="00166A39">
              <w:rPr>
                <w:rFonts w:asciiTheme="minorHAnsi" w:hAnsiTheme="minorHAnsi" w:cstheme="minorHAnsi"/>
                <w:sz w:val="18"/>
                <w:szCs w:val="18"/>
              </w:rPr>
              <w:t>Î.S. „Calea Ferată din Moldova”</w:t>
            </w:r>
          </w:p>
        </w:tc>
        <w:tc>
          <w:tcPr>
            <w:tcW w:w="753" w:type="dxa"/>
          </w:tcPr>
          <w:p w14:paraId="284A8DB2"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3343,7</w:t>
            </w:r>
          </w:p>
        </w:tc>
        <w:tc>
          <w:tcPr>
            <w:tcW w:w="789" w:type="dxa"/>
          </w:tcPr>
          <w:p w14:paraId="4F2A9CD0"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529,6</w:t>
            </w:r>
          </w:p>
        </w:tc>
        <w:tc>
          <w:tcPr>
            <w:tcW w:w="1007" w:type="dxa"/>
          </w:tcPr>
          <w:p w14:paraId="30CEA56A"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1009,0</w:t>
            </w:r>
          </w:p>
        </w:tc>
        <w:tc>
          <w:tcPr>
            <w:tcW w:w="1227" w:type="dxa"/>
          </w:tcPr>
          <w:p w14:paraId="02ACA2C9"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7,1</w:t>
            </w:r>
          </w:p>
        </w:tc>
        <w:tc>
          <w:tcPr>
            <w:tcW w:w="1066" w:type="dxa"/>
          </w:tcPr>
          <w:p w14:paraId="33EDB33D"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1,03</w:t>
            </w:r>
          </w:p>
        </w:tc>
        <w:tc>
          <w:tcPr>
            <w:tcW w:w="1305" w:type="dxa"/>
          </w:tcPr>
          <w:p w14:paraId="41020A2C" w14:textId="77777777" w:rsidR="000C2B62" w:rsidRPr="00166A39" w:rsidRDefault="000C2B62">
            <w:pPr>
              <w:jc w:val="center"/>
              <w:rPr>
                <w:rFonts w:asciiTheme="minorHAnsi" w:eastAsia="SimSun" w:hAnsiTheme="minorHAnsi" w:cstheme="minorHAnsi"/>
                <w:color w:val="FF0000"/>
                <w:sz w:val="18"/>
                <w:szCs w:val="18"/>
              </w:rPr>
            </w:pPr>
            <w:r w:rsidRPr="00166A39">
              <w:rPr>
                <w:rFonts w:asciiTheme="minorHAnsi" w:eastAsia="SimSun" w:hAnsiTheme="minorHAnsi" w:cstheme="minorHAnsi"/>
                <w:color w:val="FF0000"/>
                <w:sz w:val="18"/>
                <w:szCs w:val="18"/>
              </w:rPr>
              <w:t xml:space="preserve">- </w:t>
            </w:r>
          </w:p>
          <w:p w14:paraId="064D10C1" w14:textId="77777777" w:rsidR="000C2B62" w:rsidRPr="00166A39" w:rsidRDefault="000C2B62">
            <w:pPr>
              <w:jc w:val="center"/>
              <w:rPr>
                <w:rFonts w:asciiTheme="minorHAnsi" w:eastAsia="SimSun" w:hAnsiTheme="minorHAnsi" w:cstheme="minorHAnsi"/>
                <w:b/>
                <w:color w:val="FF0000"/>
                <w:sz w:val="18"/>
                <w:szCs w:val="18"/>
              </w:rPr>
            </w:pPr>
            <w:r w:rsidRPr="00166A39">
              <w:rPr>
                <w:rFonts w:asciiTheme="minorHAnsi" w:eastAsia="SimSun" w:hAnsiTheme="minorHAnsi" w:cstheme="minorHAnsi"/>
                <w:b/>
                <w:color w:val="FF0000"/>
                <w:sz w:val="18"/>
                <w:szCs w:val="18"/>
              </w:rPr>
              <w:t>(-2,95)</w:t>
            </w:r>
          </w:p>
        </w:tc>
        <w:tc>
          <w:tcPr>
            <w:tcW w:w="1241" w:type="dxa"/>
          </w:tcPr>
          <w:p w14:paraId="55887CA0"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1,19</w:t>
            </w:r>
          </w:p>
        </w:tc>
      </w:tr>
      <w:tr w:rsidR="000C2B62" w:rsidRPr="00BD2435" w14:paraId="4A0237F5" w14:textId="77777777" w:rsidTr="00F67814">
        <w:trPr>
          <w:jc w:val="center"/>
        </w:trPr>
        <w:tc>
          <w:tcPr>
            <w:tcW w:w="535" w:type="dxa"/>
          </w:tcPr>
          <w:p w14:paraId="60DB9E68" w14:textId="77777777" w:rsidR="000C2B62" w:rsidRPr="00166A39" w:rsidRDefault="000C2B62" w:rsidP="00BD2435">
            <w:pPr>
              <w:jc w:val="center"/>
              <w:rPr>
                <w:rFonts w:asciiTheme="minorHAnsi" w:hAnsiTheme="minorHAnsi" w:cstheme="minorHAnsi"/>
                <w:sz w:val="18"/>
                <w:szCs w:val="18"/>
              </w:rPr>
            </w:pPr>
            <w:r w:rsidRPr="00166A39">
              <w:rPr>
                <w:rFonts w:asciiTheme="minorHAnsi" w:hAnsiTheme="minorHAnsi" w:cstheme="minorHAnsi"/>
                <w:sz w:val="18"/>
                <w:szCs w:val="18"/>
              </w:rPr>
              <w:t>5.</w:t>
            </w:r>
          </w:p>
        </w:tc>
        <w:tc>
          <w:tcPr>
            <w:tcW w:w="1895" w:type="dxa"/>
          </w:tcPr>
          <w:p w14:paraId="6458E4E7" w14:textId="77777777" w:rsidR="000C2B62" w:rsidRPr="00166A39" w:rsidRDefault="000C2B62" w:rsidP="00BD2435">
            <w:pPr>
              <w:rPr>
                <w:rFonts w:asciiTheme="minorHAnsi" w:hAnsiTheme="minorHAnsi" w:cstheme="minorHAnsi"/>
                <w:sz w:val="18"/>
                <w:szCs w:val="18"/>
              </w:rPr>
            </w:pPr>
            <w:r w:rsidRPr="00166A39">
              <w:rPr>
                <w:rFonts w:asciiTheme="minorHAnsi" w:hAnsiTheme="minorHAnsi" w:cstheme="minorHAnsi"/>
                <w:bCs/>
                <w:sz w:val="18"/>
                <w:szCs w:val="18"/>
              </w:rPr>
              <w:t>S.A. „Red Nord”</w:t>
            </w:r>
          </w:p>
        </w:tc>
        <w:tc>
          <w:tcPr>
            <w:tcW w:w="753" w:type="dxa"/>
          </w:tcPr>
          <w:p w14:paraId="41526C0D"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1895,2</w:t>
            </w:r>
          </w:p>
        </w:tc>
        <w:tc>
          <w:tcPr>
            <w:tcW w:w="789" w:type="dxa"/>
          </w:tcPr>
          <w:p w14:paraId="12080B69"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246,2</w:t>
            </w:r>
          </w:p>
        </w:tc>
        <w:tc>
          <w:tcPr>
            <w:tcW w:w="1007" w:type="dxa"/>
          </w:tcPr>
          <w:p w14:paraId="59AA8912"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667,3</w:t>
            </w:r>
          </w:p>
        </w:tc>
        <w:tc>
          <w:tcPr>
            <w:tcW w:w="1227" w:type="dxa"/>
          </w:tcPr>
          <w:p w14:paraId="7E594DC7"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99,3</w:t>
            </w:r>
          </w:p>
        </w:tc>
        <w:tc>
          <w:tcPr>
            <w:tcW w:w="1066" w:type="dxa"/>
          </w:tcPr>
          <w:p w14:paraId="4309CE1E" w14:textId="77777777" w:rsidR="000C2B62" w:rsidRPr="00166A39" w:rsidRDefault="000C2B62">
            <w:pPr>
              <w:jc w:val="center"/>
              <w:rPr>
                <w:rFonts w:asciiTheme="minorHAnsi" w:hAnsiTheme="minorHAnsi" w:cstheme="minorHAnsi"/>
                <w:b/>
                <w:sz w:val="18"/>
                <w:szCs w:val="18"/>
              </w:rPr>
            </w:pPr>
            <w:r w:rsidRPr="00166A39">
              <w:rPr>
                <w:rFonts w:asciiTheme="minorHAnsi" w:eastAsia="SimSun" w:hAnsiTheme="minorHAnsi" w:cstheme="minorHAnsi"/>
                <w:b/>
                <w:color w:val="FF0000"/>
                <w:sz w:val="18"/>
                <w:szCs w:val="18"/>
              </w:rPr>
              <w:t>0,66</w:t>
            </w:r>
          </w:p>
        </w:tc>
        <w:tc>
          <w:tcPr>
            <w:tcW w:w="1305" w:type="dxa"/>
          </w:tcPr>
          <w:p w14:paraId="6A35346E" w14:textId="77777777" w:rsidR="000C2B62" w:rsidRPr="00166A39" w:rsidRDefault="000C2B62">
            <w:pPr>
              <w:jc w:val="center"/>
              <w:rPr>
                <w:rFonts w:asciiTheme="minorHAnsi" w:hAnsiTheme="minorHAnsi" w:cstheme="minorHAnsi"/>
                <w:sz w:val="18"/>
                <w:szCs w:val="18"/>
              </w:rPr>
            </w:pPr>
            <w:r w:rsidRPr="00166A39">
              <w:rPr>
                <w:rFonts w:asciiTheme="minorHAnsi" w:hAnsiTheme="minorHAnsi" w:cstheme="minorHAnsi"/>
                <w:sz w:val="18"/>
                <w:szCs w:val="18"/>
              </w:rPr>
              <w:t>18,73</w:t>
            </w:r>
          </w:p>
        </w:tc>
        <w:tc>
          <w:tcPr>
            <w:tcW w:w="1241" w:type="dxa"/>
          </w:tcPr>
          <w:p w14:paraId="16295082"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1,15</w:t>
            </w:r>
          </w:p>
        </w:tc>
      </w:tr>
      <w:tr w:rsidR="000C2B62" w:rsidRPr="00BD2435" w14:paraId="2E9340E9" w14:textId="77777777" w:rsidTr="00F67814">
        <w:trPr>
          <w:jc w:val="center"/>
        </w:trPr>
        <w:tc>
          <w:tcPr>
            <w:tcW w:w="535" w:type="dxa"/>
          </w:tcPr>
          <w:p w14:paraId="52299CB3"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6.</w:t>
            </w:r>
          </w:p>
        </w:tc>
        <w:tc>
          <w:tcPr>
            <w:tcW w:w="1895" w:type="dxa"/>
          </w:tcPr>
          <w:p w14:paraId="216D720B" w14:textId="77777777" w:rsidR="000C2B62" w:rsidRPr="00166A39" w:rsidRDefault="000C2B62" w:rsidP="00BD2435">
            <w:pPr>
              <w:jc w:val="both"/>
              <w:rPr>
                <w:rFonts w:asciiTheme="minorHAnsi" w:eastAsia="SimSun" w:hAnsiTheme="minorHAnsi" w:cstheme="minorHAnsi"/>
                <w:sz w:val="18"/>
                <w:szCs w:val="18"/>
              </w:rPr>
            </w:pPr>
            <w:r w:rsidRPr="00166A39">
              <w:rPr>
                <w:rFonts w:asciiTheme="minorHAnsi" w:eastAsia="SimSun" w:hAnsiTheme="minorHAnsi" w:cstheme="minorHAnsi"/>
                <w:sz w:val="18"/>
                <w:szCs w:val="18"/>
              </w:rPr>
              <w:t>Î.S. „Moldelectrica”</w:t>
            </w:r>
          </w:p>
        </w:tc>
        <w:tc>
          <w:tcPr>
            <w:tcW w:w="753" w:type="dxa"/>
          </w:tcPr>
          <w:p w14:paraId="7EBCE2DD"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1580,0</w:t>
            </w:r>
          </w:p>
        </w:tc>
        <w:tc>
          <w:tcPr>
            <w:tcW w:w="789" w:type="dxa"/>
          </w:tcPr>
          <w:p w14:paraId="2F583471"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415,4</w:t>
            </w:r>
          </w:p>
        </w:tc>
        <w:tc>
          <w:tcPr>
            <w:tcW w:w="1007" w:type="dxa"/>
          </w:tcPr>
          <w:p w14:paraId="65E0AC23"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585,4</w:t>
            </w:r>
          </w:p>
        </w:tc>
        <w:tc>
          <w:tcPr>
            <w:tcW w:w="1227" w:type="dxa"/>
          </w:tcPr>
          <w:p w14:paraId="7738B9CA"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46,9</w:t>
            </w:r>
          </w:p>
        </w:tc>
        <w:tc>
          <w:tcPr>
            <w:tcW w:w="1066" w:type="dxa"/>
          </w:tcPr>
          <w:p w14:paraId="563C7CFB"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2,71</w:t>
            </w:r>
          </w:p>
        </w:tc>
        <w:tc>
          <w:tcPr>
            <w:tcW w:w="1305" w:type="dxa"/>
          </w:tcPr>
          <w:p w14:paraId="69939A19"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3,11</w:t>
            </w:r>
          </w:p>
        </w:tc>
        <w:tc>
          <w:tcPr>
            <w:tcW w:w="1241" w:type="dxa"/>
          </w:tcPr>
          <w:p w14:paraId="5E8BA705"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1,36</w:t>
            </w:r>
          </w:p>
        </w:tc>
      </w:tr>
      <w:tr w:rsidR="000C2B62" w:rsidRPr="00BD2435" w14:paraId="79B63683" w14:textId="77777777" w:rsidTr="00F67814">
        <w:trPr>
          <w:jc w:val="center"/>
        </w:trPr>
        <w:tc>
          <w:tcPr>
            <w:tcW w:w="535" w:type="dxa"/>
          </w:tcPr>
          <w:p w14:paraId="622DF92B"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7.</w:t>
            </w:r>
          </w:p>
        </w:tc>
        <w:tc>
          <w:tcPr>
            <w:tcW w:w="1895" w:type="dxa"/>
          </w:tcPr>
          <w:p w14:paraId="18BCCE40" w14:textId="77777777" w:rsidR="000C2B62" w:rsidRPr="00166A39" w:rsidRDefault="000C2B62" w:rsidP="00BD2435">
            <w:pPr>
              <w:pStyle w:val="NoSpacing"/>
              <w:rPr>
                <w:rFonts w:asciiTheme="minorHAnsi" w:hAnsiTheme="minorHAnsi" w:cstheme="minorHAnsi"/>
                <w:sz w:val="18"/>
                <w:szCs w:val="18"/>
              </w:rPr>
            </w:pPr>
            <w:r w:rsidRPr="00166A39">
              <w:rPr>
                <w:rFonts w:asciiTheme="minorHAnsi" w:hAnsiTheme="minorHAnsi" w:cstheme="minorHAnsi"/>
                <w:sz w:val="18"/>
                <w:szCs w:val="18"/>
              </w:rPr>
              <w:t>Î.S. Compania Aeriană „AIR Moldova”</w:t>
            </w:r>
          </w:p>
        </w:tc>
        <w:tc>
          <w:tcPr>
            <w:tcW w:w="753" w:type="dxa"/>
          </w:tcPr>
          <w:p w14:paraId="1E4128BF"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1032,9</w:t>
            </w:r>
          </w:p>
        </w:tc>
        <w:tc>
          <w:tcPr>
            <w:tcW w:w="789" w:type="dxa"/>
          </w:tcPr>
          <w:p w14:paraId="44C4E368"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1114,1</w:t>
            </w:r>
          </w:p>
        </w:tc>
        <w:tc>
          <w:tcPr>
            <w:tcW w:w="1007" w:type="dxa"/>
          </w:tcPr>
          <w:p w14:paraId="5054D337"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2727,9</w:t>
            </w:r>
          </w:p>
        </w:tc>
        <w:tc>
          <w:tcPr>
            <w:tcW w:w="1227" w:type="dxa"/>
          </w:tcPr>
          <w:p w14:paraId="6137B4ED"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-190,4</w:t>
            </w:r>
          </w:p>
        </w:tc>
        <w:tc>
          <w:tcPr>
            <w:tcW w:w="1066" w:type="dxa"/>
          </w:tcPr>
          <w:p w14:paraId="3124E108" w14:textId="77777777" w:rsidR="000C2B62" w:rsidRPr="00166A39" w:rsidRDefault="000C2B62">
            <w:pPr>
              <w:jc w:val="center"/>
              <w:rPr>
                <w:rFonts w:asciiTheme="minorHAnsi" w:eastAsia="SimSun" w:hAnsiTheme="minorHAnsi" w:cstheme="minorHAnsi"/>
                <w:b/>
                <w:color w:val="FF0000"/>
                <w:sz w:val="18"/>
                <w:szCs w:val="18"/>
              </w:rPr>
            </w:pPr>
            <w:r w:rsidRPr="00166A39">
              <w:rPr>
                <w:rFonts w:asciiTheme="minorHAnsi" w:eastAsia="SimSun" w:hAnsiTheme="minorHAnsi" w:cstheme="minorHAnsi"/>
                <w:b/>
                <w:color w:val="FF0000"/>
                <w:sz w:val="18"/>
                <w:szCs w:val="18"/>
              </w:rPr>
              <w:t>0,31</w:t>
            </w:r>
          </w:p>
        </w:tc>
        <w:tc>
          <w:tcPr>
            <w:tcW w:w="1305" w:type="dxa"/>
          </w:tcPr>
          <w:p w14:paraId="6ED9D030"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 xml:space="preserve">- </w:t>
            </w:r>
          </w:p>
          <w:p w14:paraId="3514AAF0" w14:textId="77777777" w:rsidR="000C2B62" w:rsidRPr="00166A39" w:rsidRDefault="000C2B62">
            <w:pPr>
              <w:jc w:val="center"/>
              <w:rPr>
                <w:rFonts w:asciiTheme="minorHAnsi" w:eastAsia="SimSun" w:hAnsiTheme="minorHAnsi" w:cstheme="minorHAnsi"/>
                <w:b/>
                <w:sz w:val="18"/>
                <w:szCs w:val="18"/>
              </w:rPr>
            </w:pPr>
            <w:r w:rsidRPr="00166A39">
              <w:rPr>
                <w:rFonts w:asciiTheme="minorHAnsi" w:eastAsia="SimSun" w:hAnsiTheme="minorHAnsi" w:cstheme="minorHAnsi"/>
                <w:b/>
                <w:color w:val="FF0000"/>
                <w:sz w:val="18"/>
                <w:szCs w:val="18"/>
              </w:rPr>
              <w:t>(-7,68)</w:t>
            </w:r>
          </w:p>
        </w:tc>
        <w:tc>
          <w:tcPr>
            <w:tcW w:w="1241" w:type="dxa"/>
          </w:tcPr>
          <w:p w14:paraId="74EE896F" w14:textId="77777777" w:rsidR="000C2B62" w:rsidRPr="00166A39" w:rsidRDefault="000C2B62">
            <w:pPr>
              <w:jc w:val="center"/>
              <w:rPr>
                <w:rFonts w:asciiTheme="minorHAnsi" w:eastAsia="SimSun" w:hAnsiTheme="minorHAnsi" w:cstheme="minorHAnsi"/>
                <w:b/>
                <w:sz w:val="18"/>
                <w:szCs w:val="18"/>
              </w:rPr>
            </w:pPr>
            <w:r w:rsidRPr="00166A39">
              <w:rPr>
                <w:rFonts w:asciiTheme="minorHAnsi" w:eastAsia="SimSun" w:hAnsiTheme="minorHAnsi" w:cstheme="minorHAnsi"/>
                <w:b/>
                <w:sz w:val="18"/>
                <w:szCs w:val="18"/>
              </w:rPr>
              <w:t xml:space="preserve">- </w:t>
            </w:r>
          </w:p>
          <w:p w14:paraId="7E1B55C4" w14:textId="77777777" w:rsidR="000C2B62" w:rsidRPr="00166A39" w:rsidRDefault="000C2B62">
            <w:pPr>
              <w:jc w:val="center"/>
              <w:rPr>
                <w:rFonts w:asciiTheme="minorHAnsi" w:eastAsia="SimSun" w:hAnsiTheme="minorHAnsi" w:cstheme="minorHAnsi"/>
                <w:b/>
                <w:sz w:val="18"/>
                <w:szCs w:val="18"/>
              </w:rPr>
            </w:pPr>
            <w:r w:rsidRPr="00166A39">
              <w:rPr>
                <w:rFonts w:asciiTheme="minorHAnsi" w:eastAsia="SimSun" w:hAnsiTheme="minorHAnsi" w:cstheme="minorHAnsi"/>
                <w:i/>
                <w:color w:val="FF0000"/>
                <w:sz w:val="18"/>
                <w:szCs w:val="18"/>
              </w:rPr>
              <w:t>(capital propriu negativ (-81,3 mil. lei)</w:t>
            </w:r>
          </w:p>
        </w:tc>
      </w:tr>
      <w:tr w:rsidR="000C2B62" w:rsidRPr="00BD2435" w14:paraId="2789E134" w14:textId="77777777" w:rsidTr="00F67814">
        <w:trPr>
          <w:jc w:val="center"/>
        </w:trPr>
        <w:tc>
          <w:tcPr>
            <w:tcW w:w="535" w:type="dxa"/>
          </w:tcPr>
          <w:p w14:paraId="5E563899"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8.</w:t>
            </w:r>
          </w:p>
        </w:tc>
        <w:tc>
          <w:tcPr>
            <w:tcW w:w="1895" w:type="dxa"/>
          </w:tcPr>
          <w:p w14:paraId="2CC62CE9" w14:textId="77777777" w:rsidR="000C2B62" w:rsidRPr="00166A39" w:rsidRDefault="000C2B62" w:rsidP="00BD2435">
            <w:pPr>
              <w:jc w:val="both"/>
              <w:rPr>
                <w:rFonts w:asciiTheme="minorHAnsi" w:hAnsiTheme="minorHAnsi" w:cstheme="minorHAnsi"/>
                <w:sz w:val="18"/>
                <w:szCs w:val="18"/>
              </w:rPr>
            </w:pPr>
            <w:r w:rsidRPr="00166A39">
              <w:rPr>
                <w:rFonts w:asciiTheme="minorHAnsi" w:hAnsiTheme="minorHAnsi" w:cstheme="minorHAnsi"/>
                <w:sz w:val="18"/>
                <w:szCs w:val="18"/>
              </w:rPr>
              <w:t>Î.S. „Modtranselectro”</w:t>
            </w:r>
          </w:p>
        </w:tc>
        <w:tc>
          <w:tcPr>
            <w:tcW w:w="753" w:type="dxa"/>
          </w:tcPr>
          <w:p w14:paraId="49B5ACA1"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608,5</w:t>
            </w:r>
          </w:p>
        </w:tc>
        <w:tc>
          <w:tcPr>
            <w:tcW w:w="789" w:type="dxa"/>
          </w:tcPr>
          <w:p w14:paraId="59AC68FD" w14:textId="77777777" w:rsidR="000C2B62" w:rsidRPr="00166A39" w:rsidRDefault="000C2B62" w:rsidP="00BD2435">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668,2</w:t>
            </w:r>
          </w:p>
        </w:tc>
        <w:tc>
          <w:tcPr>
            <w:tcW w:w="1007" w:type="dxa"/>
          </w:tcPr>
          <w:p w14:paraId="46449D35"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w:t>
            </w:r>
          </w:p>
        </w:tc>
        <w:tc>
          <w:tcPr>
            <w:tcW w:w="1227" w:type="dxa"/>
          </w:tcPr>
          <w:p w14:paraId="514FD84A"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68,9</w:t>
            </w:r>
          </w:p>
        </w:tc>
        <w:tc>
          <w:tcPr>
            <w:tcW w:w="1066" w:type="dxa"/>
          </w:tcPr>
          <w:p w14:paraId="7F296725" w14:textId="77777777" w:rsidR="000C2B62" w:rsidRPr="00166A39" w:rsidRDefault="000C2B62">
            <w:pPr>
              <w:jc w:val="center"/>
              <w:rPr>
                <w:rFonts w:asciiTheme="minorHAnsi" w:eastAsia="SimSun" w:hAnsiTheme="minorHAnsi" w:cstheme="minorHAnsi"/>
                <w:b/>
                <w:color w:val="FF0000"/>
                <w:sz w:val="18"/>
                <w:szCs w:val="18"/>
              </w:rPr>
            </w:pPr>
            <w:r w:rsidRPr="00166A39">
              <w:rPr>
                <w:rFonts w:asciiTheme="minorHAnsi" w:eastAsia="SimSun" w:hAnsiTheme="minorHAnsi" w:cstheme="minorHAnsi"/>
                <w:b/>
                <w:color w:val="FF0000"/>
                <w:sz w:val="18"/>
                <w:szCs w:val="18"/>
              </w:rPr>
              <w:t>0,97</w:t>
            </w:r>
          </w:p>
        </w:tc>
        <w:tc>
          <w:tcPr>
            <w:tcW w:w="1305" w:type="dxa"/>
          </w:tcPr>
          <w:p w14:paraId="7266F598"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 xml:space="preserve">- </w:t>
            </w:r>
          </w:p>
          <w:p w14:paraId="72E8AB7F"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i/>
                <w:color w:val="FF0000"/>
                <w:sz w:val="18"/>
                <w:szCs w:val="18"/>
              </w:rPr>
              <w:t>(nu înregistrează venituri din vînzări)</w:t>
            </w:r>
          </w:p>
        </w:tc>
        <w:tc>
          <w:tcPr>
            <w:tcW w:w="1241" w:type="dxa"/>
          </w:tcPr>
          <w:p w14:paraId="63081AE6" w14:textId="77777777" w:rsidR="000C2B62" w:rsidRPr="00166A39" w:rsidRDefault="000C2B62">
            <w:pPr>
              <w:jc w:val="center"/>
              <w:rPr>
                <w:rFonts w:asciiTheme="minorHAnsi" w:eastAsia="SimSun" w:hAnsiTheme="minorHAnsi" w:cstheme="minorHAnsi"/>
                <w:sz w:val="18"/>
                <w:szCs w:val="18"/>
              </w:rPr>
            </w:pPr>
            <w:r w:rsidRPr="00166A39">
              <w:rPr>
                <w:rFonts w:asciiTheme="minorHAnsi" w:eastAsia="SimSun" w:hAnsiTheme="minorHAnsi" w:cstheme="minorHAnsi"/>
                <w:sz w:val="18"/>
                <w:szCs w:val="18"/>
              </w:rPr>
              <w:t>-</w:t>
            </w:r>
          </w:p>
          <w:p w14:paraId="48FCDBD2" w14:textId="77777777" w:rsidR="000C2B62" w:rsidRPr="00166A39" w:rsidRDefault="000C2B62">
            <w:pPr>
              <w:jc w:val="center"/>
              <w:rPr>
                <w:rFonts w:asciiTheme="minorHAnsi" w:eastAsia="SimSun" w:hAnsiTheme="minorHAnsi" w:cstheme="minorHAnsi"/>
                <w:i/>
                <w:sz w:val="18"/>
                <w:szCs w:val="18"/>
              </w:rPr>
            </w:pPr>
            <w:r w:rsidRPr="00166A39">
              <w:rPr>
                <w:rFonts w:asciiTheme="minorHAnsi" w:eastAsia="SimSun" w:hAnsiTheme="minorHAnsi" w:cstheme="minorHAnsi"/>
                <w:i/>
                <w:color w:val="FF0000"/>
                <w:sz w:val="18"/>
                <w:szCs w:val="18"/>
              </w:rPr>
              <w:t>(capital propriu negativ (-59,7 mil. lei)</w:t>
            </w:r>
          </w:p>
        </w:tc>
      </w:tr>
      <w:tr w:rsidR="000C2B62" w:rsidRPr="00BD2435" w14:paraId="059A2D0A" w14:textId="77777777" w:rsidTr="00F67814">
        <w:trPr>
          <w:jc w:val="center"/>
        </w:trPr>
        <w:tc>
          <w:tcPr>
            <w:tcW w:w="535" w:type="dxa"/>
          </w:tcPr>
          <w:p w14:paraId="6F916087" w14:textId="77777777" w:rsidR="000C2B62" w:rsidRPr="00166A39" w:rsidRDefault="000C2B62" w:rsidP="00BD2435">
            <w:pPr>
              <w:jc w:val="center"/>
              <w:rPr>
                <w:rFonts w:asciiTheme="minorHAnsi" w:hAnsiTheme="minorHAnsi" w:cstheme="minorHAnsi"/>
                <w:sz w:val="18"/>
                <w:szCs w:val="18"/>
              </w:rPr>
            </w:pPr>
            <w:r w:rsidRPr="00166A39">
              <w:rPr>
                <w:rFonts w:asciiTheme="minorHAnsi" w:hAnsiTheme="minorHAnsi" w:cstheme="minorHAnsi"/>
                <w:sz w:val="18"/>
                <w:szCs w:val="18"/>
              </w:rPr>
              <w:t>9.</w:t>
            </w:r>
          </w:p>
        </w:tc>
        <w:tc>
          <w:tcPr>
            <w:tcW w:w="1895" w:type="dxa"/>
          </w:tcPr>
          <w:p w14:paraId="373116AD" w14:textId="77777777" w:rsidR="000C2B62" w:rsidRPr="00166A39" w:rsidRDefault="000C2B62" w:rsidP="00BD2435">
            <w:pPr>
              <w:rPr>
                <w:rFonts w:asciiTheme="minorHAnsi" w:hAnsiTheme="minorHAnsi" w:cstheme="minorHAnsi"/>
                <w:sz w:val="18"/>
                <w:szCs w:val="18"/>
              </w:rPr>
            </w:pPr>
            <w:r w:rsidRPr="00166A39">
              <w:rPr>
                <w:rFonts w:asciiTheme="minorHAnsi" w:hAnsiTheme="minorHAnsi" w:cstheme="minorHAnsi"/>
                <w:sz w:val="18"/>
                <w:szCs w:val="18"/>
              </w:rPr>
              <w:t xml:space="preserve">S.A. „CET-Nord” </w:t>
            </w:r>
          </w:p>
        </w:tc>
        <w:tc>
          <w:tcPr>
            <w:tcW w:w="753" w:type="dxa"/>
          </w:tcPr>
          <w:p w14:paraId="713FB998"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606,1</w:t>
            </w:r>
          </w:p>
        </w:tc>
        <w:tc>
          <w:tcPr>
            <w:tcW w:w="789" w:type="dxa"/>
          </w:tcPr>
          <w:p w14:paraId="34BFF8C0"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366,6</w:t>
            </w:r>
          </w:p>
        </w:tc>
        <w:tc>
          <w:tcPr>
            <w:tcW w:w="1007" w:type="dxa"/>
          </w:tcPr>
          <w:p w14:paraId="43B6B365"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242,1</w:t>
            </w:r>
          </w:p>
        </w:tc>
        <w:tc>
          <w:tcPr>
            <w:tcW w:w="1227" w:type="dxa"/>
          </w:tcPr>
          <w:p w14:paraId="530CF4C5"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-40,4</w:t>
            </w:r>
          </w:p>
        </w:tc>
        <w:tc>
          <w:tcPr>
            <w:tcW w:w="1066" w:type="dxa"/>
          </w:tcPr>
          <w:p w14:paraId="3317038E" w14:textId="77777777" w:rsidR="000C2B62" w:rsidRPr="00166A39" w:rsidRDefault="000C2B62">
            <w:pPr>
              <w:jc w:val="center"/>
              <w:rPr>
                <w:rFonts w:asciiTheme="minorHAnsi" w:hAnsiTheme="minorHAnsi" w:cstheme="minorHAnsi"/>
                <w:b/>
                <w:color w:val="FF0000"/>
                <w:sz w:val="18"/>
                <w:szCs w:val="18"/>
              </w:rPr>
            </w:pPr>
            <w:r w:rsidRPr="00166A39">
              <w:rPr>
                <w:rFonts w:asciiTheme="minorHAnsi" w:eastAsia="SimSun" w:hAnsiTheme="minorHAnsi" w:cstheme="minorHAnsi"/>
                <w:b/>
                <w:color w:val="FF0000"/>
                <w:sz w:val="18"/>
                <w:szCs w:val="18"/>
              </w:rPr>
              <w:t>0,76</w:t>
            </w:r>
          </w:p>
        </w:tc>
        <w:tc>
          <w:tcPr>
            <w:tcW w:w="1305" w:type="dxa"/>
          </w:tcPr>
          <w:p w14:paraId="14F03E33" w14:textId="77777777" w:rsidR="000C2B62" w:rsidRPr="00166A39" w:rsidRDefault="000C2B62">
            <w:pPr>
              <w:jc w:val="center"/>
              <w:rPr>
                <w:rFonts w:asciiTheme="minorHAnsi" w:hAnsiTheme="minorHAnsi" w:cstheme="minorHAnsi"/>
                <w:b/>
                <w:color w:val="FF0000"/>
                <w:sz w:val="18"/>
                <w:szCs w:val="18"/>
              </w:rPr>
            </w:pPr>
            <w:r w:rsidRPr="00166A39">
              <w:rPr>
                <w:rFonts w:asciiTheme="minorHAnsi" w:hAnsiTheme="minorHAnsi" w:cstheme="minorHAnsi"/>
                <w:b/>
                <w:color w:val="FF0000"/>
                <w:sz w:val="18"/>
                <w:szCs w:val="18"/>
              </w:rPr>
              <w:t>-17,76</w:t>
            </w:r>
          </w:p>
        </w:tc>
        <w:tc>
          <w:tcPr>
            <w:tcW w:w="1241" w:type="dxa"/>
          </w:tcPr>
          <w:p w14:paraId="5F8ED54F" w14:textId="77777777" w:rsidR="000C2B62" w:rsidRPr="00166A39" w:rsidRDefault="000C2B62">
            <w:pPr>
              <w:jc w:val="center"/>
              <w:rPr>
                <w:rFonts w:asciiTheme="minorHAnsi" w:hAnsiTheme="minorHAnsi" w:cstheme="minorHAnsi"/>
                <w:b/>
                <w:color w:val="FF0000"/>
                <w:sz w:val="18"/>
                <w:szCs w:val="18"/>
              </w:rPr>
            </w:pPr>
            <w:r w:rsidRPr="00166A39">
              <w:rPr>
                <w:rFonts w:asciiTheme="minorHAnsi" w:eastAsia="SimSun" w:hAnsiTheme="minorHAnsi" w:cstheme="minorHAnsi"/>
                <w:b/>
                <w:color w:val="FF0000"/>
                <w:sz w:val="18"/>
                <w:szCs w:val="18"/>
              </w:rPr>
              <w:t>2,53</w:t>
            </w:r>
          </w:p>
        </w:tc>
      </w:tr>
      <w:tr w:rsidR="000C2B62" w:rsidRPr="00BD2435" w14:paraId="2FB2A3CD" w14:textId="77777777" w:rsidTr="00F67814">
        <w:trPr>
          <w:jc w:val="center"/>
        </w:trPr>
        <w:tc>
          <w:tcPr>
            <w:tcW w:w="535" w:type="dxa"/>
            <w:tcBorders>
              <w:top w:val="single" w:sz="4" w:space="0" w:color="auto"/>
              <w:left w:val="single" w:sz="4" w:space="0" w:color="auto"/>
              <w:bottom w:val="single" w:sz="4" w:space="0" w:color="auto"/>
              <w:right w:val="single" w:sz="4" w:space="0" w:color="auto"/>
            </w:tcBorders>
          </w:tcPr>
          <w:p w14:paraId="06BE9D59" w14:textId="77777777" w:rsidR="000C2B62" w:rsidRPr="00166A39" w:rsidRDefault="000C2B62" w:rsidP="00BD2435">
            <w:pPr>
              <w:jc w:val="center"/>
              <w:rPr>
                <w:rFonts w:asciiTheme="minorHAnsi" w:hAnsiTheme="minorHAnsi" w:cstheme="minorHAnsi"/>
                <w:sz w:val="18"/>
                <w:szCs w:val="18"/>
              </w:rPr>
            </w:pPr>
            <w:r w:rsidRPr="00166A39">
              <w:rPr>
                <w:rFonts w:asciiTheme="minorHAnsi" w:hAnsiTheme="minorHAnsi" w:cstheme="minorHAnsi"/>
                <w:sz w:val="18"/>
                <w:szCs w:val="18"/>
              </w:rPr>
              <w:t>10.</w:t>
            </w:r>
          </w:p>
        </w:tc>
        <w:tc>
          <w:tcPr>
            <w:tcW w:w="1895" w:type="dxa"/>
            <w:tcBorders>
              <w:top w:val="single" w:sz="4" w:space="0" w:color="auto"/>
              <w:left w:val="single" w:sz="4" w:space="0" w:color="auto"/>
              <w:bottom w:val="single" w:sz="4" w:space="0" w:color="auto"/>
              <w:right w:val="single" w:sz="4" w:space="0" w:color="auto"/>
            </w:tcBorders>
          </w:tcPr>
          <w:p w14:paraId="59A70219" w14:textId="77777777" w:rsidR="000C2B62" w:rsidRPr="00166A39" w:rsidRDefault="000C2B62" w:rsidP="00BD2435">
            <w:pPr>
              <w:pStyle w:val="NoSpacing"/>
              <w:rPr>
                <w:rFonts w:asciiTheme="minorHAnsi" w:hAnsiTheme="minorHAnsi" w:cstheme="minorHAnsi"/>
                <w:sz w:val="18"/>
                <w:szCs w:val="18"/>
              </w:rPr>
            </w:pPr>
            <w:r w:rsidRPr="00166A39">
              <w:rPr>
                <w:rFonts w:asciiTheme="minorHAnsi" w:hAnsiTheme="minorHAnsi" w:cstheme="minorHAnsi"/>
                <w:bCs/>
                <w:sz w:val="18"/>
                <w:szCs w:val="18"/>
              </w:rPr>
              <w:t>S.A. „Combinatul de Vinuri Cricova”</w:t>
            </w:r>
          </w:p>
        </w:tc>
        <w:tc>
          <w:tcPr>
            <w:tcW w:w="753" w:type="dxa"/>
            <w:tcBorders>
              <w:top w:val="single" w:sz="4" w:space="0" w:color="auto"/>
              <w:left w:val="single" w:sz="4" w:space="0" w:color="auto"/>
              <w:bottom w:val="single" w:sz="4" w:space="0" w:color="auto"/>
              <w:right w:val="single" w:sz="4" w:space="0" w:color="auto"/>
            </w:tcBorders>
            <w:vAlign w:val="center"/>
          </w:tcPr>
          <w:p w14:paraId="77085DB5"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605,8</w:t>
            </w:r>
          </w:p>
        </w:tc>
        <w:tc>
          <w:tcPr>
            <w:tcW w:w="789" w:type="dxa"/>
            <w:tcBorders>
              <w:top w:val="single" w:sz="4" w:space="0" w:color="auto"/>
              <w:left w:val="single" w:sz="4" w:space="0" w:color="auto"/>
              <w:bottom w:val="single" w:sz="4" w:space="0" w:color="auto"/>
              <w:right w:val="single" w:sz="4" w:space="0" w:color="auto"/>
            </w:tcBorders>
            <w:vAlign w:val="center"/>
          </w:tcPr>
          <w:p w14:paraId="16FFE6C9" w14:textId="77777777" w:rsidR="000C2B62" w:rsidRPr="00166A39" w:rsidRDefault="000C2B62" w:rsidP="00BD2435">
            <w:pPr>
              <w:jc w:val="center"/>
              <w:rPr>
                <w:rFonts w:asciiTheme="minorHAnsi" w:hAnsiTheme="minorHAnsi" w:cstheme="minorHAnsi"/>
                <w:sz w:val="18"/>
                <w:szCs w:val="18"/>
              </w:rPr>
            </w:pPr>
            <w:r w:rsidRPr="00166A39">
              <w:rPr>
                <w:rFonts w:asciiTheme="minorHAnsi" w:eastAsia="SimSun" w:hAnsiTheme="minorHAnsi" w:cstheme="minorHAnsi"/>
                <w:sz w:val="18"/>
                <w:szCs w:val="18"/>
              </w:rPr>
              <w:t>309,0</w:t>
            </w:r>
          </w:p>
        </w:tc>
        <w:tc>
          <w:tcPr>
            <w:tcW w:w="1007" w:type="dxa"/>
            <w:tcBorders>
              <w:top w:val="single" w:sz="4" w:space="0" w:color="auto"/>
              <w:left w:val="single" w:sz="4" w:space="0" w:color="auto"/>
              <w:bottom w:val="single" w:sz="4" w:space="0" w:color="auto"/>
              <w:right w:val="single" w:sz="4" w:space="0" w:color="auto"/>
            </w:tcBorders>
            <w:vAlign w:val="center"/>
          </w:tcPr>
          <w:p w14:paraId="72457493"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260,9</w:t>
            </w:r>
          </w:p>
        </w:tc>
        <w:tc>
          <w:tcPr>
            <w:tcW w:w="1227" w:type="dxa"/>
            <w:tcBorders>
              <w:top w:val="single" w:sz="4" w:space="0" w:color="auto"/>
              <w:left w:val="single" w:sz="4" w:space="0" w:color="auto"/>
              <w:bottom w:val="single" w:sz="4" w:space="0" w:color="auto"/>
              <w:right w:val="single" w:sz="4" w:space="0" w:color="auto"/>
            </w:tcBorders>
            <w:vAlign w:val="center"/>
          </w:tcPr>
          <w:p w14:paraId="6D961726"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25,5</w:t>
            </w:r>
          </w:p>
        </w:tc>
        <w:tc>
          <w:tcPr>
            <w:tcW w:w="1066" w:type="dxa"/>
            <w:tcBorders>
              <w:top w:val="single" w:sz="4" w:space="0" w:color="auto"/>
              <w:left w:val="single" w:sz="4" w:space="0" w:color="auto"/>
              <w:bottom w:val="single" w:sz="4" w:space="0" w:color="auto"/>
              <w:right w:val="single" w:sz="4" w:space="0" w:color="auto"/>
            </w:tcBorders>
            <w:vAlign w:val="center"/>
          </w:tcPr>
          <w:p w14:paraId="3202EE70" w14:textId="77777777" w:rsidR="000C2B62" w:rsidRPr="00166A39" w:rsidRDefault="000C2B62">
            <w:pPr>
              <w:jc w:val="center"/>
              <w:rPr>
                <w:rFonts w:asciiTheme="minorHAnsi" w:hAnsiTheme="minorHAnsi" w:cstheme="minorHAnsi"/>
                <w:sz w:val="18"/>
                <w:szCs w:val="18"/>
              </w:rPr>
            </w:pPr>
            <w:r w:rsidRPr="00166A39">
              <w:rPr>
                <w:rFonts w:asciiTheme="minorHAnsi" w:eastAsia="SimSun" w:hAnsiTheme="minorHAnsi" w:cstheme="minorHAnsi"/>
                <w:sz w:val="18"/>
                <w:szCs w:val="18"/>
              </w:rPr>
              <w:t>2,50</w:t>
            </w:r>
          </w:p>
        </w:tc>
        <w:tc>
          <w:tcPr>
            <w:tcW w:w="1305" w:type="dxa"/>
            <w:tcBorders>
              <w:top w:val="single" w:sz="4" w:space="0" w:color="auto"/>
              <w:left w:val="single" w:sz="4" w:space="0" w:color="auto"/>
              <w:bottom w:val="single" w:sz="4" w:space="0" w:color="auto"/>
              <w:right w:val="single" w:sz="4" w:space="0" w:color="auto"/>
            </w:tcBorders>
            <w:vAlign w:val="center"/>
          </w:tcPr>
          <w:p w14:paraId="35820C3D" w14:textId="77777777" w:rsidR="000C2B62" w:rsidRPr="00166A39" w:rsidRDefault="000C2B62">
            <w:pPr>
              <w:jc w:val="center"/>
              <w:rPr>
                <w:rFonts w:asciiTheme="minorHAnsi" w:hAnsiTheme="minorHAnsi" w:cstheme="minorHAnsi"/>
                <w:sz w:val="18"/>
                <w:szCs w:val="18"/>
              </w:rPr>
            </w:pPr>
            <w:r w:rsidRPr="00166A39">
              <w:rPr>
                <w:rFonts w:asciiTheme="minorHAnsi" w:hAnsiTheme="minorHAnsi" w:cstheme="minorHAnsi"/>
                <w:sz w:val="18"/>
                <w:szCs w:val="18"/>
              </w:rPr>
              <w:t>9,77</w:t>
            </w:r>
          </w:p>
        </w:tc>
        <w:tc>
          <w:tcPr>
            <w:tcW w:w="1241" w:type="dxa"/>
            <w:tcBorders>
              <w:top w:val="single" w:sz="4" w:space="0" w:color="auto"/>
              <w:left w:val="single" w:sz="4" w:space="0" w:color="auto"/>
              <w:bottom w:val="single" w:sz="4" w:space="0" w:color="auto"/>
              <w:right w:val="single" w:sz="4" w:space="0" w:color="auto"/>
            </w:tcBorders>
            <w:vAlign w:val="center"/>
          </w:tcPr>
          <w:p w14:paraId="591C59EC" w14:textId="77777777" w:rsidR="000C2B62" w:rsidRPr="00166A39" w:rsidRDefault="000C2B62">
            <w:pPr>
              <w:jc w:val="center"/>
              <w:rPr>
                <w:rFonts w:asciiTheme="minorHAnsi" w:hAnsiTheme="minorHAnsi" w:cstheme="minorHAnsi"/>
                <w:b/>
                <w:sz w:val="18"/>
                <w:szCs w:val="18"/>
              </w:rPr>
            </w:pPr>
            <w:r w:rsidRPr="00166A39">
              <w:rPr>
                <w:rFonts w:asciiTheme="minorHAnsi" w:eastAsia="SimSun" w:hAnsiTheme="minorHAnsi" w:cstheme="minorHAnsi"/>
                <w:b/>
                <w:color w:val="FF0000"/>
                <w:sz w:val="18"/>
                <w:szCs w:val="18"/>
              </w:rPr>
              <w:t>2,04</w:t>
            </w:r>
          </w:p>
        </w:tc>
      </w:tr>
    </w:tbl>
    <w:p w14:paraId="7342CCFB" w14:textId="77777777" w:rsidR="000C2B62" w:rsidRPr="00166A39" w:rsidRDefault="000C2B62" w:rsidP="00166A39">
      <w:pPr>
        <w:pStyle w:val="BodyTextIndent2"/>
        <w:ind w:firstLine="539"/>
        <w:rPr>
          <w:rFonts w:asciiTheme="minorHAnsi" w:hAnsiTheme="minorHAnsi" w:cstheme="minorHAnsi"/>
          <w:sz w:val="24"/>
          <w:szCs w:val="24"/>
        </w:rPr>
      </w:pPr>
    </w:p>
    <w:p w14:paraId="64BEAD65" w14:textId="689E239F" w:rsidR="000C2B62" w:rsidRPr="00166A39" w:rsidRDefault="000C2B62" w:rsidP="00166A39">
      <w:pPr>
        <w:pStyle w:val="BodyTextIndent2"/>
        <w:shd w:val="clear" w:color="auto" w:fill="FFFFFF"/>
        <w:ind w:firstLine="540"/>
        <w:rPr>
          <w:rFonts w:asciiTheme="minorHAnsi" w:hAnsiTheme="minorHAnsi" w:cstheme="minorHAnsi"/>
          <w:color w:val="000000"/>
          <w:sz w:val="24"/>
          <w:szCs w:val="24"/>
        </w:rPr>
      </w:pPr>
      <w:r w:rsidRPr="00166A39">
        <w:rPr>
          <w:rFonts w:asciiTheme="minorHAnsi" w:hAnsiTheme="minorHAnsi" w:cstheme="minorHAnsi"/>
          <w:color w:val="000000"/>
          <w:sz w:val="24"/>
          <w:szCs w:val="24"/>
        </w:rPr>
        <w:t xml:space="preserve">Indicatorii economico-financiari ai entităților selectate pentru evaluarea riscurilor fiscale au fost analizați </w:t>
      </w:r>
      <w:r w:rsidR="007D4CBC" w:rsidRPr="00166A39">
        <w:rPr>
          <w:rFonts w:asciiTheme="minorHAnsi" w:hAnsiTheme="minorHAnsi" w:cstheme="minorHAnsi"/>
          <w:color w:val="000000"/>
          <w:sz w:val="24"/>
          <w:szCs w:val="24"/>
        </w:rPr>
        <w:t>utilizând</w:t>
      </w:r>
      <w:r w:rsidRPr="00166A39">
        <w:rPr>
          <w:rFonts w:asciiTheme="minorHAnsi" w:hAnsiTheme="minorHAnsi" w:cstheme="minorHAnsi"/>
          <w:color w:val="000000"/>
          <w:sz w:val="24"/>
          <w:szCs w:val="24"/>
        </w:rPr>
        <w:t xml:space="preserve"> de asemenea modele scoring de estimare a riscului de insolvabilitate (Altman, Holder, Taffler). Prin urmare, cele mai semnificative aspecte constatate în rezultatul analizei sunt:</w:t>
      </w:r>
    </w:p>
    <w:p w14:paraId="020EF168" w14:textId="0617E1D6" w:rsidR="000C2B62" w:rsidRPr="00166A39" w:rsidRDefault="000C2B62" w:rsidP="00166A39">
      <w:pPr>
        <w:pStyle w:val="BodyTextIndent2"/>
        <w:numPr>
          <w:ilvl w:val="0"/>
          <w:numId w:val="37"/>
        </w:numPr>
        <w:shd w:val="clear" w:color="auto" w:fill="FFFFFF"/>
        <w:ind w:left="0" w:firstLine="567"/>
        <w:rPr>
          <w:rFonts w:asciiTheme="minorHAnsi" w:hAnsiTheme="minorHAnsi" w:cstheme="minorHAnsi"/>
          <w:color w:val="000000"/>
          <w:sz w:val="24"/>
          <w:szCs w:val="24"/>
        </w:rPr>
      </w:pPr>
      <w:r w:rsidRPr="00166A39">
        <w:rPr>
          <w:rFonts w:asciiTheme="minorHAnsi" w:hAnsiTheme="minorHAnsi" w:cstheme="minorHAnsi"/>
          <w:color w:val="000000"/>
          <w:sz w:val="24"/>
          <w:szCs w:val="24"/>
        </w:rPr>
        <w:t>i</w:t>
      </w:r>
      <w:r w:rsidRPr="00166A39">
        <w:rPr>
          <w:rFonts w:asciiTheme="minorHAnsi" w:hAnsiTheme="minorHAnsi" w:cstheme="minorHAnsi"/>
          <w:sz w:val="24"/>
          <w:szCs w:val="24"/>
        </w:rPr>
        <w:t xml:space="preserve">ndicatorii de rezultat ai </w:t>
      </w:r>
      <w:r w:rsidRPr="00166A39">
        <w:rPr>
          <w:rFonts w:asciiTheme="minorHAnsi" w:hAnsiTheme="minorHAnsi" w:cstheme="minorHAnsi"/>
          <w:b/>
          <w:sz w:val="24"/>
          <w:szCs w:val="24"/>
        </w:rPr>
        <w:t xml:space="preserve">Î.S. „Calea Ferată din Moldova” </w:t>
      </w:r>
      <w:r w:rsidRPr="00166A39">
        <w:rPr>
          <w:rFonts w:asciiTheme="minorHAnsi" w:hAnsiTheme="minorHAnsi" w:cstheme="minorHAnsi"/>
          <w:sz w:val="24"/>
          <w:szCs w:val="24"/>
        </w:rPr>
        <w:t xml:space="preserve">la situația din 31.12.2017 înregistrează o ușoară îmbunătățire comparativ cu situația aferentă anului 2016 (majorare a veniturilor din </w:t>
      </w:r>
      <w:r w:rsidR="007D4CBC" w:rsidRPr="00166A39">
        <w:rPr>
          <w:rFonts w:asciiTheme="minorHAnsi" w:hAnsiTheme="minorHAnsi" w:cstheme="minorHAnsi"/>
          <w:sz w:val="24"/>
          <w:szCs w:val="24"/>
        </w:rPr>
        <w:t>vânzări</w:t>
      </w:r>
      <w:r w:rsidRPr="00166A39">
        <w:rPr>
          <w:rFonts w:asciiTheme="minorHAnsi" w:hAnsiTheme="minorHAnsi" w:cstheme="minorHAnsi"/>
          <w:sz w:val="24"/>
          <w:szCs w:val="24"/>
        </w:rPr>
        <w:t xml:space="preserve">, a profitului brut, diminuarea pierderilor din activitatea operațională, a datoriilor curente, înregistrarea unui profit net al perioadei de gestiune modest). Cu toate acestea, indicatorii de rentabilitate ai întreprinderii înregistrează un nivel scăzut, nivelul de lichiditate al întreprinderii necesită a fi majorat, precum și eforturi suplimentare sunt necesare de întreprins pentru înregistrarea rezultatului pozitiv din activitatea operațională. Ameliorarea situației financiare la întreprindere către finele anului 2017 nu s-a dovedit a fi durabilă, or în perioada anului 2018 entitatea continuă să </w:t>
      </w:r>
      <w:r w:rsidR="007D4CBC" w:rsidRPr="00166A39">
        <w:rPr>
          <w:rFonts w:asciiTheme="minorHAnsi" w:hAnsiTheme="minorHAnsi" w:cstheme="minorHAnsi"/>
          <w:sz w:val="24"/>
          <w:szCs w:val="24"/>
        </w:rPr>
        <w:t>întimpine</w:t>
      </w:r>
      <w:r w:rsidRPr="00166A39">
        <w:rPr>
          <w:rFonts w:asciiTheme="minorHAnsi" w:hAnsiTheme="minorHAnsi" w:cstheme="minorHAnsi"/>
          <w:sz w:val="24"/>
          <w:szCs w:val="24"/>
        </w:rPr>
        <w:t xml:space="preserve"> dificultăți financiare.</w:t>
      </w:r>
    </w:p>
    <w:p w14:paraId="124FE3F9" w14:textId="11ED0D72" w:rsidR="000C2B62" w:rsidRPr="006808E0" w:rsidRDefault="000C2B62" w:rsidP="00166A39">
      <w:pPr>
        <w:pStyle w:val="BodyTextIndent2"/>
        <w:numPr>
          <w:ilvl w:val="0"/>
          <w:numId w:val="37"/>
        </w:numPr>
        <w:shd w:val="clear" w:color="auto" w:fill="FFFFFF"/>
        <w:spacing w:after="60"/>
        <w:ind w:left="0" w:firstLine="567"/>
        <w:rPr>
          <w:rFonts w:asciiTheme="minorHAnsi" w:hAnsiTheme="minorHAnsi" w:cstheme="minorHAnsi"/>
          <w:color w:val="000000"/>
          <w:sz w:val="24"/>
          <w:szCs w:val="24"/>
        </w:rPr>
      </w:pPr>
      <w:r w:rsidRPr="00166A39">
        <w:rPr>
          <w:rFonts w:asciiTheme="minorHAnsi" w:hAnsiTheme="minorHAnsi" w:cstheme="minorHAnsi"/>
          <w:color w:val="000000"/>
          <w:sz w:val="24"/>
          <w:szCs w:val="24"/>
        </w:rPr>
        <w:t xml:space="preserve">o situație nefavorabilă se înregistrează și la </w:t>
      </w:r>
      <w:r w:rsidRPr="00166A39">
        <w:rPr>
          <w:rFonts w:asciiTheme="minorHAnsi" w:hAnsiTheme="minorHAnsi" w:cstheme="minorHAnsi"/>
          <w:b/>
          <w:color w:val="000000"/>
          <w:sz w:val="24"/>
          <w:szCs w:val="24"/>
        </w:rPr>
        <w:t>S.A. „Termoelectrica”</w:t>
      </w:r>
      <w:r w:rsidRPr="00166A39">
        <w:rPr>
          <w:rFonts w:asciiTheme="minorHAnsi" w:hAnsiTheme="minorHAnsi" w:cstheme="minorHAnsi"/>
          <w:color w:val="000000"/>
          <w:sz w:val="24"/>
          <w:szCs w:val="24"/>
        </w:rPr>
        <w:t xml:space="preserve"> și </w:t>
      </w:r>
      <w:r w:rsidRPr="00166A39">
        <w:rPr>
          <w:rFonts w:asciiTheme="minorHAnsi" w:hAnsiTheme="minorHAnsi" w:cstheme="minorHAnsi"/>
          <w:b/>
          <w:color w:val="000000"/>
          <w:sz w:val="24"/>
          <w:szCs w:val="24"/>
        </w:rPr>
        <w:t>S.A. „CET-Nord”</w:t>
      </w:r>
      <w:r w:rsidRPr="00166A39">
        <w:rPr>
          <w:rFonts w:asciiTheme="minorHAnsi" w:hAnsiTheme="minorHAnsi" w:cstheme="minorHAnsi"/>
          <w:color w:val="000000"/>
          <w:sz w:val="24"/>
          <w:szCs w:val="24"/>
        </w:rPr>
        <w:t xml:space="preserve">, care în anul 2017 au obținut marje negative ale rezultatului operațional, ceea ce le creează sau poate crea dificultăți la onorarea angajamentelor asumate. Situația financiară a S.A. „CET-Nord” este mai dificilă comparativ cu situația S.A. „Termoelectrica”, aceasta </w:t>
      </w:r>
      <w:r w:rsidR="007D4CBC" w:rsidRPr="00166A39">
        <w:rPr>
          <w:rFonts w:asciiTheme="minorHAnsi" w:hAnsiTheme="minorHAnsi" w:cstheme="minorHAnsi"/>
          <w:color w:val="000000"/>
          <w:sz w:val="24"/>
          <w:szCs w:val="24"/>
        </w:rPr>
        <w:t>înregistrând</w:t>
      </w:r>
      <w:r w:rsidRPr="00166A39">
        <w:rPr>
          <w:rFonts w:asciiTheme="minorHAnsi" w:hAnsiTheme="minorHAnsi" w:cstheme="minorHAnsi"/>
          <w:color w:val="000000"/>
          <w:sz w:val="24"/>
          <w:szCs w:val="24"/>
        </w:rPr>
        <w:t xml:space="preserve"> pierderi brute de 17,4 mil. lei, dar care s-au diminuat față de pierderile anului 2016. În contextul tarifelor la serviciile prestate reglementate, se impune necesitatea optimizării costurilor și cheltuielilor sau restructurării activității societăților, pentru a asigura înregistrarea unor rezultate pozitive din activitatea desfășurată. Concomitent, dat fiind contractarea de </w:t>
      </w:r>
      <w:r w:rsidRPr="00166A39">
        <w:rPr>
          <w:rFonts w:asciiTheme="minorHAnsi" w:hAnsiTheme="minorHAnsi" w:cstheme="minorHAnsi"/>
          <w:color w:val="000000"/>
          <w:sz w:val="24"/>
          <w:szCs w:val="24"/>
        </w:rPr>
        <w:lastRenderedPageBreak/>
        <w:t xml:space="preserve">către societăți a </w:t>
      </w:r>
      <w:r w:rsidRPr="00166A39">
        <w:rPr>
          <w:rFonts w:asciiTheme="minorHAnsi" w:hAnsiTheme="minorHAnsi" w:cstheme="minorHAnsi"/>
          <w:sz w:val="24"/>
          <w:szCs w:val="24"/>
        </w:rPr>
        <w:t xml:space="preserve">împrumuturilor pe termen lung în valută străină, acestea pot fi expuse riscului valutar (fluctuației cursului valutar), care poate deteriora situația fluxurilor de numerar în legătură cu plata ratei </w:t>
      </w:r>
      <w:r w:rsidR="007D4CBC" w:rsidRPr="00166A39">
        <w:rPr>
          <w:rFonts w:asciiTheme="minorHAnsi" w:hAnsiTheme="minorHAnsi" w:cstheme="minorHAnsi"/>
          <w:sz w:val="24"/>
          <w:szCs w:val="24"/>
        </w:rPr>
        <w:t>dobânzii</w:t>
      </w:r>
      <w:r w:rsidRPr="00166A39">
        <w:rPr>
          <w:rFonts w:asciiTheme="minorHAnsi" w:hAnsiTheme="minorHAnsi" w:cstheme="minorHAnsi"/>
          <w:sz w:val="24"/>
          <w:szCs w:val="24"/>
        </w:rPr>
        <w:t xml:space="preserve"> și rambursării împrumutului.</w:t>
      </w:r>
    </w:p>
    <w:p w14:paraId="4E2995D2" w14:textId="77777777" w:rsidR="006808E0" w:rsidRPr="00166A39" w:rsidRDefault="006808E0" w:rsidP="006808E0">
      <w:pPr>
        <w:pStyle w:val="BodyTextIndent2"/>
        <w:shd w:val="clear" w:color="auto" w:fill="FFFFFF"/>
        <w:spacing w:after="60"/>
        <w:ind w:left="567" w:firstLine="0"/>
        <w:rPr>
          <w:rFonts w:asciiTheme="minorHAnsi" w:hAnsiTheme="minorHAnsi" w:cstheme="minorHAnsi"/>
          <w:color w:val="000000"/>
          <w:sz w:val="24"/>
          <w:szCs w:val="24"/>
        </w:rPr>
      </w:pPr>
    </w:p>
    <w:p w14:paraId="1DE97BFD" w14:textId="38BC75A3" w:rsidR="000C2B62" w:rsidRPr="006808E0" w:rsidRDefault="000C2B62" w:rsidP="00166A39">
      <w:pPr>
        <w:pStyle w:val="BodyTextIndent2"/>
        <w:numPr>
          <w:ilvl w:val="0"/>
          <w:numId w:val="37"/>
        </w:numPr>
        <w:shd w:val="clear" w:color="auto" w:fill="FFFFFF"/>
        <w:spacing w:after="60"/>
        <w:ind w:left="0" w:firstLine="567"/>
        <w:rPr>
          <w:rFonts w:asciiTheme="minorHAnsi" w:hAnsiTheme="minorHAnsi" w:cstheme="minorHAnsi"/>
          <w:color w:val="000000"/>
          <w:sz w:val="24"/>
          <w:szCs w:val="24"/>
        </w:rPr>
      </w:pPr>
      <w:r w:rsidRPr="00166A39">
        <w:rPr>
          <w:rFonts w:asciiTheme="minorHAnsi" w:hAnsiTheme="minorHAnsi" w:cstheme="minorHAnsi"/>
          <w:sz w:val="24"/>
          <w:szCs w:val="24"/>
        </w:rPr>
        <w:t xml:space="preserve">o situație dificilă se atestă și la </w:t>
      </w:r>
      <w:r w:rsidRPr="00166A39">
        <w:rPr>
          <w:rFonts w:asciiTheme="minorHAnsi" w:hAnsiTheme="minorHAnsi" w:cstheme="minorHAnsi"/>
          <w:b/>
          <w:sz w:val="24"/>
          <w:szCs w:val="24"/>
        </w:rPr>
        <w:t>Î.S. Compania Aeriană „AIR Moldova”</w:t>
      </w:r>
      <w:r w:rsidRPr="00166A39">
        <w:rPr>
          <w:rFonts w:asciiTheme="minorHAnsi" w:hAnsiTheme="minorHAnsi" w:cstheme="minorHAnsi"/>
          <w:sz w:val="24"/>
          <w:szCs w:val="24"/>
        </w:rPr>
        <w:t xml:space="preserve">, care în 2017, comparativ cu 2016, înregistrează o înrăutățire considerabilă a situației economico-financiare, </w:t>
      </w:r>
      <w:r w:rsidR="007D4CBC" w:rsidRPr="00166A39">
        <w:rPr>
          <w:rFonts w:asciiTheme="minorHAnsi" w:hAnsiTheme="minorHAnsi" w:cstheme="minorHAnsi"/>
          <w:sz w:val="24"/>
          <w:szCs w:val="24"/>
        </w:rPr>
        <w:t>având</w:t>
      </w:r>
      <w:r w:rsidRPr="00166A39">
        <w:rPr>
          <w:rFonts w:asciiTheme="minorHAnsi" w:hAnsiTheme="minorHAnsi" w:cstheme="minorHAnsi"/>
          <w:sz w:val="24"/>
          <w:szCs w:val="24"/>
        </w:rPr>
        <w:t xml:space="preserve"> un capital propriu negativ de 81,3 mil. lei. </w:t>
      </w:r>
      <w:r w:rsidR="007D4CBC" w:rsidRPr="00166A39">
        <w:rPr>
          <w:rFonts w:asciiTheme="minorHAnsi" w:hAnsiTheme="minorHAnsi" w:cstheme="minorHAnsi"/>
          <w:sz w:val="24"/>
          <w:szCs w:val="24"/>
        </w:rPr>
        <w:t>Apariția</w:t>
      </w:r>
      <w:r w:rsidRPr="00166A39">
        <w:rPr>
          <w:rFonts w:asciiTheme="minorHAnsi" w:hAnsiTheme="minorHAnsi" w:cstheme="minorHAnsi"/>
          <w:sz w:val="24"/>
          <w:szCs w:val="24"/>
        </w:rPr>
        <w:t xml:space="preserve"> valorii negative a capitalului propriu confirmă o stare de criză, </w:t>
      </w:r>
      <w:r w:rsidR="007D4CBC" w:rsidRPr="00166A39">
        <w:rPr>
          <w:rFonts w:asciiTheme="minorHAnsi" w:hAnsiTheme="minorHAnsi" w:cstheme="minorHAnsi"/>
          <w:sz w:val="24"/>
          <w:szCs w:val="24"/>
        </w:rPr>
        <w:t>când</w:t>
      </w:r>
      <w:r w:rsidRPr="00166A39">
        <w:rPr>
          <w:rFonts w:asciiTheme="minorHAnsi" w:hAnsiTheme="minorHAnsi" w:cstheme="minorHAnsi"/>
          <w:sz w:val="24"/>
          <w:szCs w:val="24"/>
        </w:rPr>
        <w:t xml:space="preserve"> întreprinderea nu dispune de active formate pe seama surselor proprii şi activitatea pe deplin se </w:t>
      </w:r>
      <w:r w:rsidR="007D4CBC" w:rsidRPr="00166A39">
        <w:rPr>
          <w:rFonts w:asciiTheme="minorHAnsi" w:hAnsiTheme="minorHAnsi" w:cstheme="minorHAnsi"/>
          <w:sz w:val="24"/>
          <w:szCs w:val="24"/>
        </w:rPr>
        <w:t>finanțează</w:t>
      </w:r>
      <w:r w:rsidRPr="00166A39">
        <w:rPr>
          <w:rFonts w:asciiTheme="minorHAnsi" w:hAnsiTheme="minorHAnsi" w:cstheme="minorHAnsi"/>
          <w:sz w:val="24"/>
          <w:szCs w:val="24"/>
        </w:rPr>
        <w:t xml:space="preserve"> din contul surselor împrumutate. Deci, se constată dependența financiară absolută a întreprinderii de creditorii acesteia. Cu </w:t>
      </w:r>
      <w:r w:rsidR="007D4CBC" w:rsidRPr="00166A39">
        <w:rPr>
          <w:rFonts w:asciiTheme="minorHAnsi" w:hAnsiTheme="minorHAnsi" w:cstheme="minorHAnsi"/>
          <w:sz w:val="24"/>
          <w:szCs w:val="24"/>
        </w:rPr>
        <w:t>atât</w:t>
      </w:r>
      <w:r w:rsidRPr="00166A39">
        <w:rPr>
          <w:rFonts w:asciiTheme="minorHAnsi" w:hAnsiTheme="minorHAnsi" w:cstheme="minorHAnsi"/>
          <w:sz w:val="24"/>
          <w:szCs w:val="24"/>
        </w:rPr>
        <w:t xml:space="preserve"> mai mult, se atestă că întreprinderea înregistrează un nivel scăzut al numerarului (rata lichidității curente este de 0,31, față de minim 1 recomandat). Acest fapt indică că întreprinderea nu dispune de active curente suficiente pentru acoperirea datoriilor curente, fiind un prim semnal al riscului de insolvabilitate. Totodată, o situație alarmantă se atestă și cu privire la înregistrarea de către întreprindere a pierderilor din activitatea operațională și respectiv a pierderilor nete. </w:t>
      </w:r>
    </w:p>
    <w:p w14:paraId="30F9BE77" w14:textId="77777777" w:rsidR="006808E0" w:rsidRPr="00166A39" w:rsidRDefault="006808E0" w:rsidP="006808E0">
      <w:pPr>
        <w:pStyle w:val="BodyTextIndent2"/>
        <w:shd w:val="clear" w:color="auto" w:fill="FFFFFF"/>
        <w:spacing w:after="60"/>
        <w:ind w:left="567" w:firstLine="0"/>
        <w:rPr>
          <w:rFonts w:asciiTheme="minorHAnsi" w:hAnsiTheme="minorHAnsi" w:cstheme="minorHAnsi"/>
          <w:color w:val="000000"/>
          <w:sz w:val="24"/>
          <w:szCs w:val="24"/>
        </w:rPr>
      </w:pPr>
    </w:p>
    <w:p w14:paraId="214649B1" w14:textId="7CF5317F" w:rsidR="000C2B62" w:rsidRPr="00166A39" w:rsidRDefault="000C2B62" w:rsidP="00166A39">
      <w:pPr>
        <w:pStyle w:val="BodyTextIndent2"/>
        <w:numPr>
          <w:ilvl w:val="0"/>
          <w:numId w:val="37"/>
        </w:numPr>
        <w:shd w:val="clear" w:color="auto" w:fill="FFFFFF"/>
        <w:spacing w:after="60"/>
        <w:ind w:left="0" w:firstLine="567"/>
        <w:rPr>
          <w:rFonts w:asciiTheme="minorHAnsi" w:hAnsiTheme="minorHAnsi" w:cstheme="minorHAnsi"/>
          <w:color w:val="000000"/>
          <w:sz w:val="24"/>
          <w:szCs w:val="24"/>
        </w:rPr>
      </w:pPr>
      <w:r w:rsidRPr="00166A39">
        <w:rPr>
          <w:rFonts w:asciiTheme="minorHAnsi" w:hAnsiTheme="minorHAnsi" w:cstheme="minorHAnsi"/>
          <w:color w:val="000000"/>
          <w:sz w:val="24"/>
          <w:szCs w:val="24"/>
        </w:rPr>
        <w:t xml:space="preserve">o situație dificilă se atestă inclusiv la </w:t>
      </w:r>
      <w:r w:rsidRPr="00166A39">
        <w:rPr>
          <w:rFonts w:asciiTheme="minorHAnsi" w:hAnsiTheme="minorHAnsi" w:cstheme="minorHAnsi"/>
          <w:b/>
          <w:color w:val="000000"/>
          <w:sz w:val="24"/>
          <w:szCs w:val="24"/>
        </w:rPr>
        <w:t>Î.S. „Moldtranselectro”</w:t>
      </w:r>
      <w:r w:rsidR="006808E0">
        <w:rPr>
          <w:rStyle w:val="FootnoteReference"/>
          <w:rFonts w:asciiTheme="minorHAnsi" w:hAnsiTheme="minorHAnsi" w:cstheme="minorHAnsi"/>
          <w:b/>
          <w:color w:val="000000"/>
          <w:sz w:val="24"/>
          <w:szCs w:val="24"/>
        </w:rPr>
        <w:footnoteReference w:id="13"/>
      </w:r>
      <w:r w:rsidRPr="00166A39">
        <w:rPr>
          <w:rFonts w:asciiTheme="minorHAnsi" w:hAnsiTheme="minorHAnsi" w:cstheme="minorHAnsi"/>
          <w:color w:val="000000"/>
          <w:sz w:val="24"/>
          <w:szCs w:val="24"/>
        </w:rPr>
        <w:t xml:space="preserve">, care la fel înregistrează un capital propriu negativ, respectiv o insuficiență de resurse proprii pentru finanțarea activelor sale. Dat fiind specificul de activitate, întreprinderea nu înregistrează venituri din </w:t>
      </w:r>
      <w:r w:rsidR="007D4CBC" w:rsidRPr="00166A39">
        <w:rPr>
          <w:rFonts w:asciiTheme="minorHAnsi" w:hAnsiTheme="minorHAnsi" w:cstheme="minorHAnsi"/>
          <w:color w:val="000000"/>
          <w:sz w:val="24"/>
          <w:szCs w:val="24"/>
        </w:rPr>
        <w:t>vânzări</w:t>
      </w:r>
      <w:r w:rsidRPr="00166A39">
        <w:rPr>
          <w:rFonts w:asciiTheme="minorHAnsi" w:hAnsiTheme="minorHAnsi" w:cstheme="minorHAnsi"/>
          <w:color w:val="000000"/>
          <w:sz w:val="24"/>
          <w:szCs w:val="24"/>
        </w:rPr>
        <w:t xml:space="preserve">, activitatea de bază fiind concentrată pe gestionarea datoriilor debitoare și creditoare proprii, </w:t>
      </w:r>
      <w:r w:rsidR="007D4CBC" w:rsidRPr="00166A39">
        <w:rPr>
          <w:rFonts w:asciiTheme="minorHAnsi" w:hAnsiTheme="minorHAnsi" w:cstheme="minorHAnsi"/>
          <w:color w:val="000000"/>
          <w:sz w:val="24"/>
          <w:szCs w:val="24"/>
        </w:rPr>
        <w:t>cât</w:t>
      </w:r>
      <w:r w:rsidRPr="00166A39">
        <w:rPr>
          <w:rFonts w:asciiTheme="minorHAnsi" w:hAnsiTheme="minorHAnsi" w:cstheme="minorHAnsi"/>
          <w:color w:val="000000"/>
          <w:sz w:val="24"/>
          <w:szCs w:val="24"/>
        </w:rPr>
        <w:t xml:space="preserve"> și cele preluate de la întreprinderile din sectorul electroenergetic în proces de privatizare, în conformitate cu Legea nr. 336/1999 cu privire la restructurarea datoriilor întreprinderilor din sectorul electroenergetic. Incertitudinea cu privire la recuperarea anumitor creanțe poate afecta sustenabilitatea activității întreprinderii.</w:t>
      </w:r>
    </w:p>
    <w:p w14:paraId="2085C84B" w14:textId="77777777" w:rsidR="000C2B62" w:rsidRPr="00166A39" w:rsidRDefault="000C2B62" w:rsidP="00166A39">
      <w:pPr>
        <w:pStyle w:val="BodyTextIndent2"/>
        <w:shd w:val="clear" w:color="auto" w:fill="FFFFFF"/>
        <w:spacing w:after="60"/>
        <w:ind w:firstLine="540"/>
        <w:rPr>
          <w:rFonts w:asciiTheme="minorHAnsi" w:hAnsiTheme="minorHAnsi" w:cstheme="minorHAnsi"/>
          <w:color w:val="000000"/>
          <w:sz w:val="24"/>
          <w:szCs w:val="24"/>
        </w:rPr>
      </w:pPr>
      <w:r w:rsidRPr="00166A39">
        <w:rPr>
          <w:rFonts w:asciiTheme="minorHAnsi" w:hAnsiTheme="minorHAnsi" w:cstheme="minorHAnsi"/>
          <w:color w:val="000000"/>
          <w:sz w:val="24"/>
          <w:szCs w:val="24"/>
        </w:rPr>
        <w:t>Activitatea celorlalte entități economice reflectate în tabel nu prezintă careva riscuri imediate. Totodată, se menționează că întreprinderile de stat din domeniul irigării și gospodăririi apelor la fel înregistrează dificultăți financiare, restructurarea sectorului dat fiind absolut necesară.</w:t>
      </w:r>
    </w:p>
    <w:p w14:paraId="14BF0483" w14:textId="3BED5CA5" w:rsidR="000C2B62" w:rsidRPr="00166A39" w:rsidRDefault="000C2B62" w:rsidP="00166A39">
      <w:pPr>
        <w:pStyle w:val="BodyTextIndent2"/>
        <w:shd w:val="clear" w:color="auto" w:fill="FFFFFF"/>
        <w:spacing w:after="60"/>
        <w:ind w:firstLine="540"/>
        <w:rPr>
          <w:rFonts w:asciiTheme="minorHAnsi" w:hAnsiTheme="minorHAnsi" w:cstheme="minorHAnsi"/>
          <w:sz w:val="24"/>
          <w:szCs w:val="24"/>
        </w:rPr>
      </w:pPr>
      <w:r w:rsidRPr="00166A39">
        <w:rPr>
          <w:rFonts w:asciiTheme="minorHAnsi" w:hAnsiTheme="minorHAnsi" w:cstheme="minorHAnsi"/>
          <w:sz w:val="24"/>
          <w:szCs w:val="24"/>
        </w:rPr>
        <w:t xml:space="preserve">Este de remarcat că S.A. „Moldovagaz” nu este inclusă în sfera de analiză, </w:t>
      </w:r>
      <w:r w:rsidR="007D4CBC" w:rsidRPr="00166A39">
        <w:rPr>
          <w:rFonts w:asciiTheme="minorHAnsi" w:hAnsiTheme="minorHAnsi" w:cstheme="minorHAnsi"/>
          <w:sz w:val="24"/>
          <w:szCs w:val="24"/>
        </w:rPr>
        <w:t>întrucât</w:t>
      </w:r>
      <w:r w:rsidRPr="00166A39">
        <w:rPr>
          <w:rFonts w:asciiTheme="minorHAnsi" w:hAnsiTheme="minorHAnsi" w:cstheme="minorHAnsi"/>
          <w:sz w:val="24"/>
          <w:szCs w:val="24"/>
        </w:rPr>
        <w:t xml:space="preserve"> cota statului în capitalul social al acesteia este mai mică de 50%. Cu toate acestea, dat fiind importanța strategică a entității, activitatea societății a fost analizată suplimentar în contextul notei privind riscurile bugetar-fiscale. Prin urmare, se atestă că creanțele curente ale societății constituie la 31.12.2017 suma de 6,37 mlrd. lei, din care creanțele comerciale însumează 3,43 mlrd. lei, iar creanțele părților afiliate – 2,16 mlrd. lei. Deopotrivă, datoriile societății, la 31.12.2017, constituie 13,80 mlrd. lei, inclusiv față de părțile afiliate – 9,81 mlrd. lei. De asemenea, capitalul propriu al S.A. „Moldovagaz”, la finele anului 2017, a înregistrat o valoare negativă de 1,03 mlrd. lei, iar pierderea neacoperită a anilor precedenți a constituit 4,58 mlrd. lei. Cu toate acestea, în rezultatul activității economico-financiare în anul 2017, societatea a obținut profit net de circa 1,93 mlrd. lei. </w:t>
      </w:r>
    </w:p>
    <w:p w14:paraId="6C256C4C" w14:textId="39B9286A" w:rsidR="007B5D84" w:rsidRDefault="007B5D84">
      <w:pPr>
        <w:spacing w:after="200" w:line="276" w:lineRule="auto"/>
        <w:rPr>
          <w:rFonts w:asciiTheme="minorHAnsi" w:hAnsiTheme="minorHAnsi" w:cstheme="minorHAnsi"/>
          <w:lang w:eastAsia="ru-RU"/>
        </w:rPr>
      </w:pPr>
      <w:r>
        <w:rPr>
          <w:rFonts w:asciiTheme="minorHAnsi" w:hAnsiTheme="minorHAnsi" w:cstheme="minorHAnsi"/>
        </w:rPr>
        <w:br w:type="page"/>
      </w:r>
    </w:p>
    <w:p w14:paraId="10C58D42" w14:textId="77777777" w:rsidR="000C2B62" w:rsidRPr="00166A39" w:rsidRDefault="000C2B62" w:rsidP="00166A39">
      <w:pPr>
        <w:ind w:left="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lastRenderedPageBreak/>
        <w:t xml:space="preserve">Tabelul 6. Analiza principalilor indicatori financiari aferenți </w:t>
      </w:r>
    </w:p>
    <w:p w14:paraId="05C8E2F7" w14:textId="77777777" w:rsidR="000C2B62" w:rsidRPr="00166A39" w:rsidRDefault="000C2B62" w:rsidP="00166A39">
      <w:pPr>
        <w:ind w:left="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activității S.A. „Moldovagaz”, în dinamică (mil. lei)</w:t>
      </w:r>
    </w:p>
    <w:p w14:paraId="06B7C3DF" w14:textId="77777777" w:rsidR="000C2B62" w:rsidRDefault="000C2B62" w:rsidP="000C2B62">
      <w:pPr>
        <w:spacing w:line="276" w:lineRule="auto"/>
        <w:jc w:val="center"/>
      </w:pPr>
      <w:r w:rsidRPr="00E324A2">
        <w:rPr>
          <w:noProof/>
          <w:lang w:val="ru-RU" w:eastAsia="ru-RU"/>
        </w:rPr>
        <w:drawing>
          <wp:inline distT="0" distB="0" distL="0" distR="0" wp14:anchorId="2EDCAE4A" wp14:editId="631709B9">
            <wp:extent cx="5295265" cy="184785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25985" cy="1858570"/>
                    </a:xfrm>
                    <a:prstGeom prst="rect">
                      <a:avLst/>
                    </a:prstGeom>
                    <a:noFill/>
                    <a:ln>
                      <a:noFill/>
                    </a:ln>
                  </pic:spPr>
                </pic:pic>
              </a:graphicData>
            </a:graphic>
          </wp:inline>
        </w:drawing>
      </w:r>
    </w:p>
    <w:p w14:paraId="52E206F2" w14:textId="77777777" w:rsidR="000C2B62" w:rsidRDefault="000C2B62" w:rsidP="000C2B62">
      <w:pPr>
        <w:spacing w:line="120" w:lineRule="auto"/>
        <w:ind w:firstLine="539"/>
        <w:jc w:val="both"/>
      </w:pPr>
    </w:p>
    <w:p w14:paraId="33EC98D4" w14:textId="77777777" w:rsidR="00FD12F8" w:rsidRDefault="00FD12F8" w:rsidP="00FD12F8">
      <w:pPr>
        <w:pStyle w:val="BodyTextIndent2"/>
        <w:shd w:val="clear" w:color="auto" w:fill="FFFFFF"/>
        <w:spacing w:after="60"/>
        <w:ind w:firstLine="540"/>
        <w:rPr>
          <w:rFonts w:asciiTheme="minorHAnsi" w:hAnsiTheme="minorHAnsi" w:cstheme="minorHAnsi"/>
          <w:sz w:val="24"/>
          <w:szCs w:val="24"/>
        </w:rPr>
      </w:pPr>
      <w:r w:rsidRPr="00166A39">
        <w:rPr>
          <w:rFonts w:asciiTheme="minorHAnsi" w:hAnsiTheme="minorHAnsi" w:cstheme="minorHAnsi"/>
          <w:sz w:val="24"/>
          <w:szCs w:val="24"/>
        </w:rPr>
        <w:t>Așadar, în condițiile unei lichidități curente de 0,56 unități la situația din 31.12.2017 și a unui levier financiar negativ (rata generală de acoperire a capitalului propriu negativă), se atestă o situație economico-financiară dificilă la această entitate, existând riscul considerabil de neonorare/ insuficiență a resurselor pentru onorarea obligațiilor asumate. În același timp, se constată că pe parcursul ultimelor 2 perioade de gestiune, indicatorii economico-financiari ai societății înregistrează un trend ascendent de îmbunătățire, ca rezultat al ajustării tarifelor la gazele naturale în anul 2016.</w:t>
      </w:r>
    </w:p>
    <w:p w14:paraId="44314FF3" w14:textId="77777777" w:rsidR="000C2B62" w:rsidRPr="00166A39" w:rsidRDefault="000C2B62" w:rsidP="00166A39">
      <w:pPr>
        <w:spacing w:after="60"/>
        <w:ind w:firstLine="539"/>
        <w:jc w:val="both"/>
        <w:rPr>
          <w:rFonts w:asciiTheme="minorHAnsi" w:hAnsiTheme="minorHAnsi" w:cstheme="minorHAnsi"/>
        </w:rPr>
      </w:pPr>
      <w:r w:rsidRPr="00166A39">
        <w:rPr>
          <w:rFonts w:asciiTheme="minorHAnsi" w:hAnsiTheme="minorHAnsi" w:cstheme="minorHAnsi"/>
        </w:rPr>
        <w:t>Concomitent, se constată dependența directă a indicatorilor economici ai societății de fluctuația cursului valutar (ratei de schimb a monedei naționale), fapt care reprezintă un risc major pentru entitate în lipsa unor instrumente de acoperire a eventualelor pierderi din activitatea financiară.</w:t>
      </w:r>
    </w:p>
    <w:p w14:paraId="5424B51E" w14:textId="773360DC" w:rsidR="00BD2435" w:rsidRPr="00166A39" w:rsidRDefault="007D4CBC" w:rsidP="00166A39">
      <w:pPr>
        <w:spacing w:after="60"/>
        <w:ind w:firstLine="539"/>
        <w:jc w:val="both"/>
        <w:rPr>
          <w:rFonts w:asciiTheme="minorHAnsi" w:hAnsiTheme="minorHAnsi" w:cstheme="minorHAnsi"/>
        </w:rPr>
      </w:pPr>
      <w:r w:rsidRPr="00166A39">
        <w:rPr>
          <w:rFonts w:asciiTheme="minorHAnsi" w:hAnsiTheme="minorHAnsi" w:cstheme="minorHAnsi"/>
        </w:rPr>
        <w:t>Generalizând</w:t>
      </w:r>
      <w:r w:rsidR="000C2B62" w:rsidRPr="00166A39">
        <w:rPr>
          <w:rFonts w:asciiTheme="minorHAnsi" w:hAnsiTheme="minorHAnsi" w:cstheme="minorHAnsi"/>
        </w:rPr>
        <w:t xml:space="preserve"> asupra celor expuse, se constată că o parte din entitățile supuse analizei se confruntă cu o serie de probleme comune precum: rata scăzută a lichidității curente (insuficiența mijloacelor financiare pe termen scurt), marja scăzută sau negativă a profitului (rezultatului) operațional (activitatea de bază nu aduce profit), finanțarea activelor preponderent din surse împrumutate (la 4 din 10 entități analizate) etc. La fel, se atestă că activitatea unor entități este expusă inclusiv riscului valutar (condiționat de procurarea combustibilului, gazelor naturale, contractarea împrumuturilor în valută străină etc.) care, în lipsa unor instrumente eficiente de gestionare a acestor riscuri, poate influența considerabil situația financiară a entităților și respectiv crește riscurile fiscale aferente.</w:t>
      </w:r>
    </w:p>
    <w:p w14:paraId="0C585EDE" w14:textId="77777777" w:rsidR="00FB09A5" w:rsidRDefault="00FB09A5" w:rsidP="00166A39">
      <w:pPr>
        <w:ind w:firstLine="540"/>
        <w:jc w:val="both"/>
        <w:rPr>
          <w:rFonts w:asciiTheme="minorHAnsi" w:hAnsiTheme="minorHAnsi" w:cstheme="minorHAnsi"/>
          <w:b/>
        </w:rPr>
      </w:pPr>
    </w:p>
    <w:p w14:paraId="67D2A6FE" w14:textId="06808AC5" w:rsidR="00BD2435" w:rsidRPr="00166A39" w:rsidRDefault="00BD2435" w:rsidP="00166A39">
      <w:pPr>
        <w:ind w:firstLine="540"/>
        <w:jc w:val="both"/>
        <w:rPr>
          <w:rFonts w:asciiTheme="minorHAnsi" w:hAnsiTheme="minorHAnsi" w:cstheme="minorHAnsi"/>
          <w:b/>
        </w:rPr>
      </w:pPr>
      <w:r w:rsidRPr="00166A39">
        <w:rPr>
          <w:rFonts w:asciiTheme="minorHAnsi" w:hAnsiTheme="minorHAnsi" w:cstheme="minorHAnsi"/>
          <w:b/>
        </w:rPr>
        <w:t>Relațiile întreprinderilor de stat și societăților pe acțiuni cu bugetul de stat</w:t>
      </w:r>
    </w:p>
    <w:p w14:paraId="175D42C1" w14:textId="177C9FEF" w:rsidR="00BD2435" w:rsidRPr="00166A39" w:rsidRDefault="00BD2435" w:rsidP="00166A39">
      <w:pPr>
        <w:spacing w:after="60"/>
        <w:ind w:firstLine="539"/>
        <w:jc w:val="both"/>
        <w:rPr>
          <w:rFonts w:asciiTheme="minorHAnsi" w:hAnsiTheme="minorHAnsi" w:cstheme="minorHAnsi"/>
          <w:color w:val="FF0000"/>
        </w:rPr>
      </w:pPr>
      <w:r w:rsidRPr="00166A39">
        <w:rPr>
          <w:rFonts w:asciiTheme="minorHAnsi" w:hAnsiTheme="minorHAnsi" w:cstheme="minorHAnsi"/>
        </w:rPr>
        <w:t xml:space="preserve">Pe parcursul anilor 2014-2018, au fost efectuate plăți bugetare către întreprinderile de stat şi </w:t>
      </w:r>
      <w:r w:rsidR="007D4CBC" w:rsidRPr="00166A39">
        <w:rPr>
          <w:rFonts w:asciiTheme="minorHAnsi" w:hAnsiTheme="minorHAnsi" w:cstheme="minorHAnsi"/>
        </w:rPr>
        <w:t>societățile</w:t>
      </w:r>
      <w:r w:rsidRPr="00166A39">
        <w:rPr>
          <w:rFonts w:asciiTheme="minorHAnsi" w:hAnsiTheme="minorHAnsi" w:cstheme="minorHAnsi"/>
        </w:rPr>
        <w:t xml:space="preserve"> pe </w:t>
      </w:r>
      <w:r w:rsidR="007D4CBC" w:rsidRPr="00166A39">
        <w:rPr>
          <w:rFonts w:asciiTheme="minorHAnsi" w:hAnsiTheme="minorHAnsi" w:cstheme="minorHAnsi"/>
        </w:rPr>
        <w:t>acțiuni</w:t>
      </w:r>
      <w:r w:rsidRPr="00166A39">
        <w:rPr>
          <w:rFonts w:asciiTheme="minorHAnsi" w:hAnsiTheme="minorHAnsi" w:cstheme="minorHAnsi"/>
        </w:rPr>
        <w:t xml:space="preserve">, sub formă de subvenții, aport la capitalul social, acordare de împrumuturi recreditate din surse externe prin intermediul Ministerului Finanțelor. Subvențiile sunt oferite în mare parte entităților din domeniul teatral-concertistic, pentru compensarea cheltuielilor (circa 60% din totalul subvențiilor). De asemenea, pentru anul 2018 sunt prevăzute aporturi considerabile la capitalul social al Î.S. „Calea Ferată din Moldova” din contul împrumutului acordat de Banca Europeană de </w:t>
      </w:r>
      <w:r w:rsidR="007D4CBC" w:rsidRPr="00166A39">
        <w:rPr>
          <w:rFonts w:asciiTheme="minorHAnsi" w:hAnsiTheme="minorHAnsi" w:cstheme="minorHAnsi"/>
        </w:rPr>
        <w:t>Investiții</w:t>
      </w:r>
      <w:r w:rsidRPr="00166A39">
        <w:rPr>
          <w:rFonts w:asciiTheme="minorHAnsi" w:hAnsiTheme="minorHAnsi" w:cstheme="minorHAnsi"/>
        </w:rPr>
        <w:t xml:space="preserve"> în cadrul proiectului „Proiectul de </w:t>
      </w:r>
      <w:r w:rsidR="007D4CBC" w:rsidRPr="00166A39">
        <w:rPr>
          <w:rFonts w:asciiTheme="minorHAnsi" w:hAnsiTheme="minorHAnsi" w:cstheme="minorHAnsi"/>
        </w:rPr>
        <w:t>achiziție</w:t>
      </w:r>
      <w:r w:rsidRPr="00166A39">
        <w:rPr>
          <w:rFonts w:asciiTheme="minorHAnsi" w:hAnsiTheme="minorHAnsi" w:cstheme="minorHAnsi"/>
        </w:rPr>
        <w:t xml:space="preserve"> a locomotivelor şi de restructurare a infrastructurii feroviare”.</w:t>
      </w:r>
    </w:p>
    <w:p w14:paraId="6FD6AFD7" w14:textId="346AA789" w:rsidR="00BD2435" w:rsidRPr="00166A39" w:rsidRDefault="00BD2435" w:rsidP="00166A39">
      <w:pPr>
        <w:spacing w:after="60"/>
        <w:ind w:firstLine="539"/>
        <w:jc w:val="both"/>
        <w:rPr>
          <w:rFonts w:asciiTheme="minorHAnsi" w:hAnsiTheme="minorHAnsi" w:cstheme="minorHAnsi"/>
        </w:rPr>
      </w:pPr>
      <w:r w:rsidRPr="00166A39">
        <w:rPr>
          <w:rFonts w:asciiTheme="minorHAnsi" w:hAnsiTheme="minorHAnsi" w:cstheme="minorHAnsi"/>
        </w:rPr>
        <w:t xml:space="preserve">Plățile întreprinderilor de stat și societăților pe acțiuni către bugetul de stat, sub formă de defalcări/ dividende, </w:t>
      </w:r>
      <w:r w:rsidR="007D4CBC" w:rsidRPr="00166A39">
        <w:rPr>
          <w:rFonts w:asciiTheme="minorHAnsi" w:hAnsiTheme="minorHAnsi" w:cstheme="minorHAnsi"/>
        </w:rPr>
        <w:t>dobânzi</w:t>
      </w:r>
      <w:r w:rsidRPr="00166A39">
        <w:rPr>
          <w:rFonts w:asciiTheme="minorHAnsi" w:hAnsiTheme="minorHAnsi" w:cstheme="minorHAnsi"/>
        </w:rPr>
        <w:t xml:space="preserve"> și rambursări de împrumuturi sunt inferioare plăților din buget către aceste entități (în special pentru anii 2018-2019), fapt care a condiționat înregistrarea unei cifre nete negative în acest sens. </w:t>
      </w:r>
    </w:p>
    <w:p w14:paraId="1A24C11F" w14:textId="24692317" w:rsidR="00FB09A5" w:rsidRDefault="00BD2435" w:rsidP="00FB09A5">
      <w:pPr>
        <w:spacing w:after="60"/>
        <w:ind w:firstLine="539"/>
        <w:jc w:val="both"/>
        <w:rPr>
          <w:rFonts w:asciiTheme="minorHAnsi" w:hAnsiTheme="minorHAnsi" w:cstheme="minorHAnsi"/>
        </w:rPr>
      </w:pPr>
      <w:r w:rsidRPr="00166A39">
        <w:rPr>
          <w:rFonts w:asciiTheme="minorHAnsi" w:hAnsiTheme="minorHAnsi" w:cstheme="minorHAnsi"/>
        </w:rPr>
        <w:lastRenderedPageBreak/>
        <w:t>Un sumar al plăților bugetare nete, efectuate în perioada 2014-2017, și o prognoză a acestora pentru perioada 2018-2019 se prezintă în tabelul 7.</w:t>
      </w:r>
    </w:p>
    <w:p w14:paraId="130DFBF3" w14:textId="0D13A982" w:rsidR="00FD12F8" w:rsidRDefault="00FD12F8">
      <w:pPr>
        <w:spacing w:after="200" w:line="276" w:lineRule="auto"/>
        <w:rPr>
          <w:rFonts w:asciiTheme="minorHAnsi" w:hAnsiTheme="minorHAnsi" w:cstheme="minorHAnsi"/>
        </w:rPr>
      </w:pPr>
      <w:r w:rsidRPr="00166A39">
        <w:rPr>
          <w:rFonts w:asciiTheme="minorHAnsi" w:hAnsiTheme="minorHAnsi" w:cstheme="minorHAnsi"/>
          <w:b/>
          <w:i/>
          <w:color w:val="548DD4" w:themeColor="text2" w:themeTint="99"/>
          <w:sz w:val="22"/>
          <w:szCs w:val="22"/>
        </w:rPr>
        <w:t>Tabelul 7. Plăți bugetare aferente întreprinderilor de stat și societăților pe acțiuni, mil. lei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198"/>
        <w:gridCol w:w="830"/>
        <w:gridCol w:w="830"/>
        <w:gridCol w:w="832"/>
        <w:gridCol w:w="964"/>
        <w:gridCol w:w="968"/>
        <w:gridCol w:w="776"/>
      </w:tblGrid>
      <w:tr w:rsidR="00FD12F8" w:rsidRPr="00192930" w14:paraId="085554AD" w14:textId="77777777" w:rsidTr="00000191">
        <w:trPr>
          <w:tblHeader/>
          <w:jc w:val="center"/>
        </w:trPr>
        <w:tc>
          <w:tcPr>
            <w:tcW w:w="366" w:type="pct"/>
            <w:tcBorders>
              <w:top w:val="single" w:sz="4" w:space="0" w:color="auto"/>
              <w:left w:val="single" w:sz="4" w:space="0" w:color="auto"/>
              <w:bottom w:val="single" w:sz="4" w:space="0" w:color="auto"/>
              <w:right w:val="single" w:sz="4" w:space="0" w:color="auto"/>
            </w:tcBorders>
            <w:hideMark/>
          </w:tcPr>
          <w:p w14:paraId="1A874E1B"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Nr.</w:t>
            </w:r>
          </w:p>
        </w:tc>
        <w:tc>
          <w:tcPr>
            <w:tcW w:w="1765" w:type="pct"/>
            <w:tcBorders>
              <w:top w:val="single" w:sz="4" w:space="0" w:color="auto"/>
              <w:left w:val="single" w:sz="4" w:space="0" w:color="auto"/>
              <w:bottom w:val="single" w:sz="4" w:space="0" w:color="auto"/>
              <w:right w:val="single" w:sz="4" w:space="0" w:color="auto"/>
            </w:tcBorders>
            <w:hideMark/>
          </w:tcPr>
          <w:p w14:paraId="53CC251D"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Indicatori</w:t>
            </w:r>
          </w:p>
        </w:tc>
        <w:tc>
          <w:tcPr>
            <w:tcW w:w="458" w:type="pct"/>
            <w:tcBorders>
              <w:top w:val="single" w:sz="4" w:space="0" w:color="auto"/>
              <w:left w:val="single" w:sz="4" w:space="0" w:color="auto"/>
              <w:bottom w:val="single" w:sz="4" w:space="0" w:color="auto"/>
              <w:right w:val="single" w:sz="4" w:space="0" w:color="auto"/>
            </w:tcBorders>
            <w:hideMark/>
          </w:tcPr>
          <w:p w14:paraId="59B89FDF"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2014</w:t>
            </w:r>
          </w:p>
        </w:tc>
        <w:tc>
          <w:tcPr>
            <w:tcW w:w="458" w:type="pct"/>
            <w:tcBorders>
              <w:top w:val="single" w:sz="4" w:space="0" w:color="auto"/>
              <w:left w:val="single" w:sz="4" w:space="0" w:color="auto"/>
              <w:bottom w:val="single" w:sz="4" w:space="0" w:color="auto"/>
              <w:right w:val="single" w:sz="4" w:space="0" w:color="auto"/>
            </w:tcBorders>
            <w:hideMark/>
          </w:tcPr>
          <w:p w14:paraId="1ADA0994"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2015</w:t>
            </w:r>
          </w:p>
        </w:tc>
        <w:tc>
          <w:tcPr>
            <w:tcW w:w="459" w:type="pct"/>
            <w:tcBorders>
              <w:top w:val="single" w:sz="4" w:space="0" w:color="auto"/>
              <w:left w:val="single" w:sz="4" w:space="0" w:color="auto"/>
              <w:bottom w:val="single" w:sz="4" w:space="0" w:color="auto"/>
              <w:right w:val="single" w:sz="4" w:space="0" w:color="auto"/>
            </w:tcBorders>
            <w:hideMark/>
          </w:tcPr>
          <w:p w14:paraId="39AE24E5"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2016</w:t>
            </w:r>
          </w:p>
        </w:tc>
        <w:tc>
          <w:tcPr>
            <w:tcW w:w="532" w:type="pct"/>
            <w:tcBorders>
              <w:top w:val="single" w:sz="4" w:space="0" w:color="auto"/>
              <w:left w:val="single" w:sz="4" w:space="0" w:color="auto"/>
              <w:bottom w:val="single" w:sz="4" w:space="0" w:color="auto"/>
              <w:right w:val="single" w:sz="4" w:space="0" w:color="auto"/>
            </w:tcBorders>
            <w:hideMark/>
          </w:tcPr>
          <w:p w14:paraId="68CA2C85"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2017 executat</w:t>
            </w:r>
          </w:p>
        </w:tc>
        <w:tc>
          <w:tcPr>
            <w:tcW w:w="534" w:type="pct"/>
            <w:tcBorders>
              <w:top w:val="single" w:sz="4" w:space="0" w:color="auto"/>
              <w:left w:val="single" w:sz="4" w:space="0" w:color="auto"/>
              <w:bottom w:val="single" w:sz="4" w:space="0" w:color="auto"/>
              <w:right w:val="single" w:sz="4" w:space="0" w:color="auto"/>
            </w:tcBorders>
            <w:hideMark/>
          </w:tcPr>
          <w:p w14:paraId="2F1AE786"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2018 aprobat</w:t>
            </w:r>
          </w:p>
        </w:tc>
        <w:tc>
          <w:tcPr>
            <w:tcW w:w="429" w:type="pct"/>
            <w:tcBorders>
              <w:top w:val="single" w:sz="4" w:space="0" w:color="auto"/>
              <w:left w:val="single" w:sz="4" w:space="0" w:color="auto"/>
              <w:bottom w:val="single" w:sz="4" w:space="0" w:color="auto"/>
              <w:right w:val="single" w:sz="4" w:space="0" w:color="auto"/>
            </w:tcBorders>
            <w:hideMark/>
          </w:tcPr>
          <w:p w14:paraId="3630C72A"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2019 estimat</w:t>
            </w:r>
          </w:p>
        </w:tc>
      </w:tr>
      <w:tr w:rsidR="00FD12F8" w:rsidRPr="00192930" w14:paraId="18EC49E1" w14:textId="77777777" w:rsidTr="00000191">
        <w:trPr>
          <w:trHeight w:val="70"/>
          <w:jc w:val="center"/>
        </w:trPr>
        <w:tc>
          <w:tcPr>
            <w:tcW w:w="366" w:type="pct"/>
            <w:tcBorders>
              <w:top w:val="single" w:sz="4" w:space="0" w:color="auto"/>
              <w:left w:val="single" w:sz="4" w:space="0" w:color="auto"/>
              <w:bottom w:val="single" w:sz="4" w:space="0" w:color="auto"/>
              <w:right w:val="single" w:sz="4" w:space="0" w:color="auto"/>
            </w:tcBorders>
            <w:hideMark/>
          </w:tcPr>
          <w:p w14:paraId="4C9E3016"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w:t>
            </w:r>
          </w:p>
        </w:tc>
        <w:tc>
          <w:tcPr>
            <w:tcW w:w="4634" w:type="pct"/>
            <w:gridSpan w:val="7"/>
            <w:tcBorders>
              <w:top w:val="single" w:sz="4" w:space="0" w:color="auto"/>
              <w:left w:val="single" w:sz="4" w:space="0" w:color="auto"/>
              <w:bottom w:val="single" w:sz="4" w:space="0" w:color="auto"/>
              <w:right w:val="single" w:sz="4" w:space="0" w:color="auto"/>
            </w:tcBorders>
            <w:hideMark/>
          </w:tcPr>
          <w:p w14:paraId="6BA7A185" w14:textId="77777777" w:rsidR="00FD12F8" w:rsidRPr="00166A39" w:rsidRDefault="00FD12F8" w:rsidP="00000191">
            <w:pPr>
              <w:rPr>
                <w:rFonts w:asciiTheme="minorHAnsi" w:hAnsiTheme="minorHAnsi" w:cstheme="minorHAnsi"/>
                <w:b/>
                <w:sz w:val="16"/>
                <w:szCs w:val="16"/>
                <w:u w:val="single"/>
              </w:rPr>
            </w:pPr>
            <w:r w:rsidRPr="00166A39">
              <w:rPr>
                <w:rFonts w:asciiTheme="minorHAnsi" w:hAnsiTheme="minorHAnsi" w:cstheme="minorHAnsi"/>
                <w:b/>
                <w:color w:val="548DD4" w:themeColor="text2" w:themeTint="99"/>
                <w:sz w:val="16"/>
                <w:szCs w:val="16"/>
                <w:u w:val="single"/>
              </w:rPr>
              <w:t>Plăți de la buget către Î.S.</w:t>
            </w:r>
            <w:r w:rsidRPr="00166A39">
              <w:rPr>
                <w:rStyle w:val="FootnoteReference"/>
                <w:rFonts w:asciiTheme="minorHAnsi" w:hAnsiTheme="minorHAnsi" w:cstheme="minorHAnsi"/>
                <w:b/>
                <w:color w:val="548DD4" w:themeColor="text2" w:themeTint="99"/>
                <w:sz w:val="16"/>
                <w:szCs w:val="16"/>
                <w:u w:val="single"/>
                <w:lang w:val="ro-MD"/>
              </w:rPr>
              <w:footnoteReference w:id="14"/>
            </w:r>
            <w:r w:rsidRPr="00166A39">
              <w:rPr>
                <w:rFonts w:asciiTheme="minorHAnsi" w:hAnsiTheme="minorHAnsi" w:cstheme="minorHAnsi"/>
                <w:b/>
                <w:color w:val="548DD4" w:themeColor="text2" w:themeTint="99"/>
                <w:sz w:val="16"/>
                <w:szCs w:val="16"/>
                <w:u w:val="single"/>
              </w:rPr>
              <w:t xml:space="preserve"> și S.A. sub formă de: </w:t>
            </w:r>
          </w:p>
        </w:tc>
      </w:tr>
      <w:tr w:rsidR="00FD12F8" w:rsidRPr="00192930" w14:paraId="41A1CA89"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3BDAF935"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I.1</w:t>
            </w:r>
          </w:p>
        </w:tc>
        <w:tc>
          <w:tcPr>
            <w:tcW w:w="1765" w:type="pct"/>
            <w:tcBorders>
              <w:top w:val="single" w:sz="4" w:space="0" w:color="auto"/>
              <w:left w:val="single" w:sz="4" w:space="0" w:color="auto"/>
              <w:bottom w:val="single" w:sz="4" w:space="0" w:color="auto"/>
              <w:right w:val="single" w:sz="4" w:space="0" w:color="auto"/>
            </w:tcBorders>
            <w:hideMark/>
          </w:tcPr>
          <w:p w14:paraId="5A973022"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Subvenții, total</w:t>
            </w:r>
          </w:p>
        </w:tc>
        <w:tc>
          <w:tcPr>
            <w:tcW w:w="458" w:type="pct"/>
            <w:tcBorders>
              <w:top w:val="single" w:sz="4" w:space="0" w:color="auto"/>
              <w:left w:val="single" w:sz="4" w:space="0" w:color="auto"/>
              <w:bottom w:val="single" w:sz="4" w:space="0" w:color="auto"/>
              <w:right w:val="single" w:sz="4" w:space="0" w:color="auto"/>
            </w:tcBorders>
            <w:hideMark/>
          </w:tcPr>
          <w:p w14:paraId="751E65EF"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209,8</w:t>
            </w:r>
          </w:p>
        </w:tc>
        <w:tc>
          <w:tcPr>
            <w:tcW w:w="458" w:type="pct"/>
            <w:tcBorders>
              <w:top w:val="single" w:sz="4" w:space="0" w:color="auto"/>
              <w:left w:val="single" w:sz="4" w:space="0" w:color="auto"/>
              <w:bottom w:val="single" w:sz="4" w:space="0" w:color="auto"/>
              <w:right w:val="single" w:sz="4" w:space="0" w:color="auto"/>
            </w:tcBorders>
            <w:hideMark/>
          </w:tcPr>
          <w:p w14:paraId="2A397D02"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167,9</w:t>
            </w:r>
          </w:p>
        </w:tc>
        <w:tc>
          <w:tcPr>
            <w:tcW w:w="459" w:type="pct"/>
            <w:tcBorders>
              <w:top w:val="single" w:sz="4" w:space="0" w:color="auto"/>
              <w:left w:val="single" w:sz="4" w:space="0" w:color="auto"/>
              <w:bottom w:val="single" w:sz="4" w:space="0" w:color="auto"/>
              <w:right w:val="single" w:sz="4" w:space="0" w:color="auto"/>
            </w:tcBorders>
            <w:hideMark/>
          </w:tcPr>
          <w:p w14:paraId="7A7D80E0"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181,9</w:t>
            </w:r>
          </w:p>
        </w:tc>
        <w:tc>
          <w:tcPr>
            <w:tcW w:w="532" w:type="pct"/>
            <w:tcBorders>
              <w:top w:val="single" w:sz="4" w:space="0" w:color="auto"/>
              <w:left w:val="single" w:sz="4" w:space="0" w:color="auto"/>
              <w:bottom w:val="single" w:sz="4" w:space="0" w:color="auto"/>
              <w:right w:val="single" w:sz="4" w:space="0" w:color="auto"/>
            </w:tcBorders>
          </w:tcPr>
          <w:p w14:paraId="3BC618B2"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en-US"/>
              </w:rPr>
              <w:t>195</w:t>
            </w:r>
            <w:r w:rsidRPr="00166A39">
              <w:rPr>
                <w:rFonts w:asciiTheme="minorHAnsi" w:hAnsiTheme="minorHAnsi" w:cstheme="minorHAnsi"/>
                <w:b/>
                <w:sz w:val="16"/>
                <w:szCs w:val="16"/>
                <w:lang w:val="ro-MD"/>
              </w:rPr>
              <w:t>,4</w:t>
            </w:r>
          </w:p>
        </w:tc>
        <w:tc>
          <w:tcPr>
            <w:tcW w:w="534" w:type="pct"/>
            <w:tcBorders>
              <w:top w:val="single" w:sz="4" w:space="0" w:color="auto"/>
              <w:left w:val="single" w:sz="4" w:space="0" w:color="auto"/>
              <w:bottom w:val="single" w:sz="4" w:space="0" w:color="auto"/>
              <w:right w:val="single" w:sz="4" w:space="0" w:color="auto"/>
            </w:tcBorders>
          </w:tcPr>
          <w:p w14:paraId="39AE404D"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201,4</w:t>
            </w:r>
          </w:p>
        </w:tc>
        <w:tc>
          <w:tcPr>
            <w:tcW w:w="429" w:type="pct"/>
            <w:tcBorders>
              <w:top w:val="single" w:sz="4" w:space="0" w:color="auto"/>
              <w:left w:val="single" w:sz="4" w:space="0" w:color="auto"/>
              <w:bottom w:val="single" w:sz="4" w:space="0" w:color="auto"/>
              <w:right w:val="single" w:sz="4" w:space="0" w:color="auto"/>
            </w:tcBorders>
          </w:tcPr>
          <w:p w14:paraId="6CE5A96E"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183,5</w:t>
            </w:r>
          </w:p>
        </w:tc>
      </w:tr>
      <w:tr w:rsidR="00FD12F8" w:rsidRPr="00192930" w14:paraId="0939E490" w14:textId="77777777" w:rsidTr="00000191">
        <w:trPr>
          <w:trHeight w:val="53"/>
          <w:jc w:val="center"/>
        </w:trPr>
        <w:tc>
          <w:tcPr>
            <w:tcW w:w="366" w:type="pct"/>
            <w:tcBorders>
              <w:top w:val="single" w:sz="4" w:space="0" w:color="auto"/>
              <w:left w:val="single" w:sz="4" w:space="0" w:color="auto"/>
              <w:bottom w:val="single" w:sz="4" w:space="0" w:color="auto"/>
              <w:right w:val="single" w:sz="4" w:space="0" w:color="auto"/>
            </w:tcBorders>
          </w:tcPr>
          <w:p w14:paraId="76E3C10F"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1A724DBE"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inclusiv:</w:t>
            </w:r>
          </w:p>
        </w:tc>
        <w:tc>
          <w:tcPr>
            <w:tcW w:w="458" w:type="pct"/>
            <w:tcBorders>
              <w:top w:val="single" w:sz="4" w:space="0" w:color="auto"/>
              <w:left w:val="single" w:sz="4" w:space="0" w:color="auto"/>
              <w:bottom w:val="single" w:sz="4" w:space="0" w:color="auto"/>
              <w:right w:val="single" w:sz="4" w:space="0" w:color="auto"/>
            </w:tcBorders>
          </w:tcPr>
          <w:p w14:paraId="2E1D3E14" w14:textId="77777777" w:rsidR="00FD12F8" w:rsidRPr="00166A39" w:rsidRDefault="00FD12F8" w:rsidP="00000191">
            <w:pPr>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tcPr>
          <w:p w14:paraId="32E346C1" w14:textId="77777777" w:rsidR="00FD12F8" w:rsidRPr="00166A39" w:rsidRDefault="00FD12F8" w:rsidP="00000191">
            <w:pPr>
              <w:jc w:val="center"/>
              <w:rPr>
                <w:rFonts w:asciiTheme="minorHAnsi" w:hAnsiTheme="minorHAnsi" w:cstheme="minorHAnsi"/>
                <w:sz w:val="16"/>
                <w:szCs w:val="16"/>
              </w:rPr>
            </w:pPr>
          </w:p>
        </w:tc>
        <w:tc>
          <w:tcPr>
            <w:tcW w:w="459" w:type="pct"/>
            <w:tcBorders>
              <w:top w:val="single" w:sz="4" w:space="0" w:color="auto"/>
              <w:left w:val="single" w:sz="4" w:space="0" w:color="auto"/>
              <w:bottom w:val="single" w:sz="4" w:space="0" w:color="auto"/>
              <w:right w:val="single" w:sz="4" w:space="0" w:color="auto"/>
            </w:tcBorders>
          </w:tcPr>
          <w:p w14:paraId="541E2A83" w14:textId="77777777" w:rsidR="00FD12F8" w:rsidRPr="00166A39" w:rsidRDefault="00FD12F8" w:rsidP="00000191">
            <w:pPr>
              <w:jc w:val="center"/>
              <w:rPr>
                <w:rFonts w:asciiTheme="minorHAnsi" w:hAnsiTheme="minorHAnsi" w:cstheme="minorHAnsi"/>
                <w:sz w:val="16"/>
                <w:szCs w:val="16"/>
              </w:rPr>
            </w:pPr>
          </w:p>
        </w:tc>
        <w:tc>
          <w:tcPr>
            <w:tcW w:w="532" w:type="pct"/>
            <w:tcBorders>
              <w:top w:val="single" w:sz="4" w:space="0" w:color="auto"/>
              <w:left w:val="single" w:sz="4" w:space="0" w:color="auto"/>
              <w:bottom w:val="single" w:sz="4" w:space="0" w:color="auto"/>
              <w:right w:val="single" w:sz="4" w:space="0" w:color="auto"/>
            </w:tcBorders>
          </w:tcPr>
          <w:p w14:paraId="2451B99C" w14:textId="77777777" w:rsidR="00FD12F8" w:rsidRPr="00166A39" w:rsidRDefault="00FD12F8" w:rsidP="00000191">
            <w:pPr>
              <w:jc w:val="center"/>
              <w:rPr>
                <w:rFonts w:asciiTheme="minorHAnsi" w:hAnsiTheme="minorHAnsi" w:cstheme="minorHAnsi"/>
                <w:sz w:val="16"/>
                <w:szCs w:val="16"/>
              </w:rPr>
            </w:pPr>
          </w:p>
        </w:tc>
        <w:tc>
          <w:tcPr>
            <w:tcW w:w="534" w:type="pct"/>
            <w:tcBorders>
              <w:top w:val="single" w:sz="4" w:space="0" w:color="auto"/>
              <w:left w:val="single" w:sz="4" w:space="0" w:color="auto"/>
              <w:bottom w:val="single" w:sz="4" w:space="0" w:color="auto"/>
              <w:right w:val="single" w:sz="4" w:space="0" w:color="auto"/>
            </w:tcBorders>
          </w:tcPr>
          <w:p w14:paraId="6E4A5D3A" w14:textId="77777777" w:rsidR="00FD12F8" w:rsidRPr="00166A39" w:rsidRDefault="00FD12F8" w:rsidP="00000191">
            <w:pPr>
              <w:jc w:val="center"/>
              <w:rPr>
                <w:rFonts w:asciiTheme="minorHAnsi" w:hAnsiTheme="minorHAnsi" w:cstheme="minorHAnsi"/>
                <w:sz w:val="16"/>
                <w:szCs w:val="16"/>
              </w:rPr>
            </w:pPr>
          </w:p>
        </w:tc>
        <w:tc>
          <w:tcPr>
            <w:tcW w:w="429" w:type="pct"/>
            <w:tcBorders>
              <w:top w:val="single" w:sz="4" w:space="0" w:color="auto"/>
              <w:left w:val="single" w:sz="4" w:space="0" w:color="auto"/>
              <w:bottom w:val="single" w:sz="4" w:space="0" w:color="auto"/>
              <w:right w:val="single" w:sz="4" w:space="0" w:color="auto"/>
            </w:tcBorders>
          </w:tcPr>
          <w:p w14:paraId="35E765D1" w14:textId="77777777" w:rsidR="00FD12F8" w:rsidRPr="00166A39" w:rsidRDefault="00FD12F8" w:rsidP="00000191">
            <w:pPr>
              <w:jc w:val="center"/>
              <w:rPr>
                <w:rFonts w:asciiTheme="minorHAnsi" w:hAnsiTheme="minorHAnsi" w:cstheme="minorHAnsi"/>
                <w:sz w:val="16"/>
                <w:szCs w:val="16"/>
              </w:rPr>
            </w:pPr>
          </w:p>
        </w:tc>
      </w:tr>
      <w:tr w:rsidR="00FD12F8" w:rsidRPr="00192930" w14:paraId="55C8F1F8" w14:textId="77777777" w:rsidTr="00000191">
        <w:trPr>
          <w:trHeight w:val="60"/>
          <w:jc w:val="center"/>
        </w:trPr>
        <w:tc>
          <w:tcPr>
            <w:tcW w:w="366" w:type="pct"/>
            <w:tcBorders>
              <w:top w:val="single" w:sz="4" w:space="0" w:color="auto"/>
              <w:left w:val="single" w:sz="4" w:space="0" w:color="auto"/>
              <w:bottom w:val="single" w:sz="4" w:space="0" w:color="auto"/>
              <w:right w:val="single" w:sz="4" w:space="0" w:color="auto"/>
            </w:tcBorders>
          </w:tcPr>
          <w:p w14:paraId="0D020F6E"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23169B65" w14:textId="77777777" w:rsidR="00FD12F8" w:rsidRPr="00166A39" w:rsidRDefault="00FD12F8" w:rsidP="00000191">
            <w:pPr>
              <w:rPr>
                <w:rFonts w:asciiTheme="minorHAnsi" w:hAnsiTheme="minorHAnsi" w:cstheme="minorHAnsi"/>
                <w:sz w:val="16"/>
                <w:szCs w:val="16"/>
                <w:lang w:val="ro-MD"/>
              </w:rPr>
            </w:pPr>
            <w:r w:rsidRPr="00166A39">
              <w:rPr>
                <w:rFonts w:asciiTheme="minorHAnsi" w:hAnsiTheme="minorHAnsi" w:cstheme="minorHAnsi"/>
                <w:sz w:val="16"/>
                <w:szCs w:val="16"/>
              </w:rPr>
              <w:t>Î.S.</w:t>
            </w:r>
          </w:p>
        </w:tc>
        <w:tc>
          <w:tcPr>
            <w:tcW w:w="458" w:type="pct"/>
            <w:tcBorders>
              <w:top w:val="single" w:sz="4" w:space="0" w:color="auto"/>
              <w:left w:val="single" w:sz="4" w:space="0" w:color="auto"/>
              <w:bottom w:val="single" w:sz="4" w:space="0" w:color="auto"/>
              <w:right w:val="single" w:sz="4" w:space="0" w:color="auto"/>
            </w:tcBorders>
            <w:hideMark/>
          </w:tcPr>
          <w:p w14:paraId="35544084"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206,9</w:t>
            </w:r>
          </w:p>
        </w:tc>
        <w:tc>
          <w:tcPr>
            <w:tcW w:w="458" w:type="pct"/>
            <w:tcBorders>
              <w:top w:val="single" w:sz="4" w:space="0" w:color="auto"/>
              <w:left w:val="single" w:sz="4" w:space="0" w:color="auto"/>
              <w:bottom w:val="single" w:sz="4" w:space="0" w:color="auto"/>
              <w:right w:val="single" w:sz="4" w:space="0" w:color="auto"/>
            </w:tcBorders>
            <w:hideMark/>
          </w:tcPr>
          <w:p w14:paraId="7C3BE516"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167,7</w:t>
            </w:r>
          </w:p>
        </w:tc>
        <w:tc>
          <w:tcPr>
            <w:tcW w:w="459" w:type="pct"/>
            <w:tcBorders>
              <w:top w:val="single" w:sz="4" w:space="0" w:color="auto"/>
              <w:left w:val="single" w:sz="4" w:space="0" w:color="auto"/>
              <w:bottom w:val="single" w:sz="4" w:space="0" w:color="auto"/>
              <w:right w:val="single" w:sz="4" w:space="0" w:color="auto"/>
            </w:tcBorders>
            <w:hideMark/>
          </w:tcPr>
          <w:p w14:paraId="20D074BB"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180,1</w:t>
            </w:r>
          </w:p>
        </w:tc>
        <w:tc>
          <w:tcPr>
            <w:tcW w:w="532" w:type="pct"/>
            <w:tcBorders>
              <w:top w:val="single" w:sz="4" w:space="0" w:color="auto"/>
              <w:left w:val="single" w:sz="4" w:space="0" w:color="auto"/>
              <w:bottom w:val="single" w:sz="4" w:space="0" w:color="auto"/>
              <w:right w:val="single" w:sz="4" w:space="0" w:color="auto"/>
            </w:tcBorders>
          </w:tcPr>
          <w:p w14:paraId="781AE799"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193,6</w:t>
            </w:r>
          </w:p>
        </w:tc>
        <w:tc>
          <w:tcPr>
            <w:tcW w:w="534" w:type="pct"/>
            <w:tcBorders>
              <w:top w:val="single" w:sz="4" w:space="0" w:color="auto"/>
              <w:left w:val="single" w:sz="4" w:space="0" w:color="auto"/>
              <w:bottom w:val="single" w:sz="4" w:space="0" w:color="auto"/>
              <w:right w:val="single" w:sz="4" w:space="0" w:color="auto"/>
            </w:tcBorders>
          </w:tcPr>
          <w:p w14:paraId="3B33C53B"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199,9</w:t>
            </w:r>
          </w:p>
        </w:tc>
        <w:tc>
          <w:tcPr>
            <w:tcW w:w="429" w:type="pct"/>
            <w:tcBorders>
              <w:top w:val="single" w:sz="4" w:space="0" w:color="auto"/>
              <w:left w:val="single" w:sz="4" w:space="0" w:color="auto"/>
              <w:bottom w:val="single" w:sz="4" w:space="0" w:color="auto"/>
              <w:right w:val="single" w:sz="4" w:space="0" w:color="auto"/>
            </w:tcBorders>
          </w:tcPr>
          <w:p w14:paraId="4C222A98"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182,0</w:t>
            </w:r>
          </w:p>
        </w:tc>
      </w:tr>
      <w:tr w:rsidR="00FD12F8" w:rsidRPr="00192930" w14:paraId="6AC5F0EB"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18F78E63"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6C1E36E4"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S.A.</w:t>
            </w:r>
          </w:p>
        </w:tc>
        <w:tc>
          <w:tcPr>
            <w:tcW w:w="458" w:type="pct"/>
            <w:tcBorders>
              <w:top w:val="single" w:sz="4" w:space="0" w:color="auto"/>
              <w:left w:val="single" w:sz="4" w:space="0" w:color="auto"/>
              <w:bottom w:val="single" w:sz="4" w:space="0" w:color="auto"/>
              <w:right w:val="single" w:sz="4" w:space="0" w:color="auto"/>
            </w:tcBorders>
            <w:hideMark/>
          </w:tcPr>
          <w:p w14:paraId="5E2CBB3E"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2,9</w:t>
            </w:r>
          </w:p>
        </w:tc>
        <w:tc>
          <w:tcPr>
            <w:tcW w:w="458" w:type="pct"/>
            <w:tcBorders>
              <w:top w:val="single" w:sz="4" w:space="0" w:color="auto"/>
              <w:left w:val="single" w:sz="4" w:space="0" w:color="auto"/>
              <w:bottom w:val="single" w:sz="4" w:space="0" w:color="auto"/>
              <w:right w:val="single" w:sz="4" w:space="0" w:color="auto"/>
            </w:tcBorders>
            <w:hideMark/>
          </w:tcPr>
          <w:p w14:paraId="75182172"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0,2</w:t>
            </w:r>
          </w:p>
        </w:tc>
        <w:tc>
          <w:tcPr>
            <w:tcW w:w="459" w:type="pct"/>
            <w:tcBorders>
              <w:top w:val="single" w:sz="4" w:space="0" w:color="auto"/>
              <w:left w:val="single" w:sz="4" w:space="0" w:color="auto"/>
              <w:bottom w:val="single" w:sz="4" w:space="0" w:color="auto"/>
              <w:right w:val="single" w:sz="4" w:space="0" w:color="auto"/>
            </w:tcBorders>
            <w:hideMark/>
          </w:tcPr>
          <w:p w14:paraId="39C81025"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1,8</w:t>
            </w:r>
          </w:p>
        </w:tc>
        <w:tc>
          <w:tcPr>
            <w:tcW w:w="532" w:type="pct"/>
            <w:tcBorders>
              <w:top w:val="single" w:sz="4" w:space="0" w:color="auto"/>
              <w:left w:val="single" w:sz="4" w:space="0" w:color="auto"/>
              <w:bottom w:val="single" w:sz="4" w:space="0" w:color="auto"/>
              <w:right w:val="single" w:sz="4" w:space="0" w:color="auto"/>
            </w:tcBorders>
          </w:tcPr>
          <w:p w14:paraId="4B202D7D"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1,8</w:t>
            </w:r>
          </w:p>
        </w:tc>
        <w:tc>
          <w:tcPr>
            <w:tcW w:w="534" w:type="pct"/>
            <w:tcBorders>
              <w:top w:val="single" w:sz="4" w:space="0" w:color="auto"/>
              <w:left w:val="single" w:sz="4" w:space="0" w:color="auto"/>
              <w:bottom w:val="single" w:sz="4" w:space="0" w:color="auto"/>
              <w:right w:val="single" w:sz="4" w:space="0" w:color="auto"/>
            </w:tcBorders>
          </w:tcPr>
          <w:p w14:paraId="2C7DEA48"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1,5</w:t>
            </w:r>
          </w:p>
        </w:tc>
        <w:tc>
          <w:tcPr>
            <w:tcW w:w="429" w:type="pct"/>
            <w:tcBorders>
              <w:top w:val="single" w:sz="4" w:space="0" w:color="auto"/>
              <w:left w:val="single" w:sz="4" w:space="0" w:color="auto"/>
              <w:bottom w:val="single" w:sz="4" w:space="0" w:color="auto"/>
              <w:right w:val="single" w:sz="4" w:space="0" w:color="auto"/>
            </w:tcBorders>
          </w:tcPr>
          <w:p w14:paraId="759185C6"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1,5</w:t>
            </w:r>
          </w:p>
        </w:tc>
      </w:tr>
      <w:tr w:rsidR="00FD12F8" w:rsidRPr="00192930" w14:paraId="212999B6"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46B8481A"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I.2</w:t>
            </w:r>
          </w:p>
        </w:tc>
        <w:tc>
          <w:tcPr>
            <w:tcW w:w="1765" w:type="pct"/>
            <w:tcBorders>
              <w:top w:val="single" w:sz="4" w:space="0" w:color="auto"/>
              <w:left w:val="single" w:sz="4" w:space="0" w:color="auto"/>
              <w:bottom w:val="single" w:sz="4" w:space="0" w:color="auto"/>
              <w:right w:val="single" w:sz="4" w:space="0" w:color="auto"/>
            </w:tcBorders>
            <w:hideMark/>
          </w:tcPr>
          <w:p w14:paraId="26B2FA78"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 xml:space="preserve">Aport la capitalul social, total </w:t>
            </w:r>
          </w:p>
        </w:tc>
        <w:tc>
          <w:tcPr>
            <w:tcW w:w="458" w:type="pct"/>
            <w:tcBorders>
              <w:top w:val="single" w:sz="4" w:space="0" w:color="auto"/>
              <w:left w:val="single" w:sz="4" w:space="0" w:color="auto"/>
              <w:bottom w:val="single" w:sz="4" w:space="0" w:color="auto"/>
              <w:right w:val="single" w:sz="4" w:space="0" w:color="auto"/>
            </w:tcBorders>
            <w:hideMark/>
          </w:tcPr>
          <w:p w14:paraId="3B3F8C16"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19,0</w:t>
            </w:r>
          </w:p>
        </w:tc>
        <w:tc>
          <w:tcPr>
            <w:tcW w:w="458" w:type="pct"/>
            <w:tcBorders>
              <w:top w:val="single" w:sz="4" w:space="0" w:color="auto"/>
              <w:left w:val="single" w:sz="4" w:space="0" w:color="auto"/>
              <w:bottom w:val="single" w:sz="4" w:space="0" w:color="auto"/>
              <w:right w:val="single" w:sz="4" w:space="0" w:color="auto"/>
            </w:tcBorders>
            <w:hideMark/>
          </w:tcPr>
          <w:p w14:paraId="0FEDEE34"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w:t>
            </w:r>
          </w:p>
        </w:tc>
        <w:tc>
          <w:tcPr>
            <w:tcW w:w="459" w:type="pct"/>
            <w:tcBorders>
              <w:top w:val="single" w:sz="4" w:space="0" w:color="auto"/>
              <w:left w:val="single" w:sz="4" w:space="0" w:color="auto"/>
              <w:bottom w:val="single" w:sz="4" w:space="0" w:color="auto"/>
              <w:right w:val="single" w:sz="4" w:space="0" w:color="auto"/>
            </w:tcBorders>
            <w:hideMark/>
          </w:tcPr>
          <w:p w14:paraId="35D7FBEF"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14,82</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9E8DEC2"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13,5</w:t>
            </w:r>
          </w:p>
        </w:tc>
        <w:tc>
          <w:tcPr>
            <w:tcW w:w="534" w:type="pct"/>
            <w:tcBorders>
              <w:top w:val="single" w:sz="4" w:space="0" w:color="auto"/>
              <w:left w:val="single" w:sz="4" w:space="0" w:color="auto"/>
              <w:bottom w:val="single" w:sz="4" w:space="0" w:color="auto"/>
              <w:right w:val="single" w:sz="4" w:space="0" w:color="auto"/>
            </w:tcBorders>
          </w:tcPr>
          <w:p w14:paraId="35B697A3"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114,3</w:t>
            </w:r>
          </w:p>
        </w:tc>
        <w:tc>
          <w:tcPr>
            <w:tcW w:w="429" w:type="pct"/>
            <w:tcBorders>
              <w:top w:val="single" w:sz="4" w:space="0" w:color="auto"/>
              <w:left w:val="single" w:sz="4" w:space="0" w:color="auto"/>
              <w:bottom w:val="single" w:sz="4" w:space="0" w:color="auto"/>
              <w:right w:val="single" w:sz="4" w:space="0" w:color="auto"/>
            </w:tcBorders>
          </w:tcPr>
          <w:p w14:paraId="38E415EB"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247,3</w:t>
            </w:r>
          </w:p>
        </w:tc>
      </w:tr>
      <w:tr w:rsidR="00FD12F8" w:rsidRPr="00192930" w14:paraId="2DA689CA" w14:textId="77777777" w:rsidTr="00000191">
        <w:trPr>
          <w:trHeight w:val="113"/>
          <w:jc w:val="center"/>
        </w:trPr>
        <w:tc>
          <w:tcPr>
            <w:tcW w:w="366" w:type="pct"/>
            <w:tcBorders>
              <w:top w:val="single" w:sz="4" w:space="0" w:color="auto"/>
              <w:left w:val="single" w:sz="4" w:space="0" w:color="auto"/>
              <w:bottom w:val="single" w:sz="4" w:space="0" w:color="auto"/>
              <w:right w:val="single" w:sz="4" w:space="0" w:color="auto"/>
            </w:tcBorders>
          </w:tcPr>
          <w:p w14:paraId="53FA9D94"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507C1506"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inclusiv:</w:t>
            </w:r>
          </w:p>
        </w:tc>
        <w:tc>
          <w:tcPr>
            <w:tcW w:w="458" w:type="pct"/>
            <w:tcBorders>
              <w:top w:val="single" w:sz="4" w:space="0" w:color="auto"/>
              <w:left w:val="single" w:sz="4" w:space="0" w:color="auto"/>
              <w:bottom w:val="single" w:sz="4" w:space="0" w:color="auto"/>
              <w:right w:val="single" w:sz="4" w:space="0" w:color="auto"/>
            </w:tcBorders>
          </w:tcPr>
          <w:p w14:paraId="433F745A" w14:textId="77777777" w:rsidR="00FD12F8" w:rsidRPr="00166A39" w:rsidRDefault="00FD12F8" w:rsidP="00000191">
            <w:pPr>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tcPr>
          <w:p w14:paraId="745F6D1F" w14:textId="77777777" w:rsidR="00FD12F8" w:rsidRPr="00166A39" w:rsidRDefault="00FD12F8" w:rsidP="00000191">
            <w:pPr>
              <w:jc w:val="center"/>
              <w:rPr>
                <w:rFonts w:asciiTheme="minorHAnsi" w:hAnsiTheme="minorHAnsi" w:cstheme="minorHAnsi"/>
                <w:sz w:val="16"/>
                <w:szCs w:val="16"/>
              </w:rPr>
            </w:pPr>
          </w:p>
        </w:tc>
        <w:tc>
          <w:tcPr>
            <w:tcW w:w="459" w:type="pct"/>
            <w:tcBorders>
              <w:top w:val="single" w:sz="4" w:space="0" w:color="auto"/>
              <w:left w:val="single" w:sz="4" w:space="0" w:color="auto"/>
              <w:bottom w:val="single" w:sz="4" w:space="0" w:color="auto"/>
              <w:right w:val="single" w:sz="4" w:space="0" w:color="auto"/>
            </w:tcBorders>
          </w:tcPr>
          <w:p w14:paraId="0BEA2298" w14:textId="77777777" w:rsidR="00FD12F8" w:rsidRPr="00166A39" w:rsidRDefault="00FD12F8" w:rsidP="00000191">
            <w:pPr>
              <w:jc w:val="center"/>
              <w:rPr>
                <w:rFonts w:asciiTheme="minorHAnsi" w:hAnsiTheme="minorHAnsi" w:cstheme="minorHAnsi"/>
                <w:sz w:val="16"/>
                <w:szCs w:val="16"/>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03DDD16" w14:textId="77777777" w:rsidR="00FD12F8" w:rsidRPr="00166A39" w:rsidRDefault="00FD12F8" w:rsidP="00000191">
            <w:pPr>
              <w:jc w:val="center"/>
              <w:rPr>
                <w:rFonts w:asciiTheme="minorHAnsi" w:hAnsiTheme="minorHAnsi" w:cstheme="minorHAnsi"/>
                <w:sz w:val="16"/>
                <w:szCs w:val="16"/>
              </w:rPr>
            </w:pPr>
          </w:p>
        </w:tc>
        <w:tc>
          <w:tcPr>
            <w:tcW w:w="534" w:type="pct"/>
            <w:tcBorders>
              <w:top w:val="single" w:sz="4" w:space="0" w:color="auto"/>
              <w:left w:val="single" w:sz="4" w:space="0" w:color="auto"/>
              <w:bottom w:val="single" w:sz="4" w:space="0" w:color="auto"/>
              <w:right w:val="single" w:sz="4" w:space="0" w:color="auto"/>
            </w:tcBorders>
          </w:tcPr>
          <w:p w14:paraId="505773DA" w14:textId="77777777" w:rsidR="00FD12F8" w:rsidRPr="00166A39" w:rsidRDefault="00FD12F8" w:rsidP="00000191">
            <w:pPr>
              <w:jc w:val="center"/>
              <w:rPr>
                <w:rFonts w:asciiTheme="minorHAnsi" w:hAnsiTheme="minorHAnsi" w:cstheme="minorHAnsi"/>
                <w:sz w:val="16"/>
                <w:szCs w:val="16"/>
              </w:rPr>
            </w:pPr>
          </w:p>
        </w:tc>
        <w:tc>
          <w:tcPr>
            <w:tcW w:w="429" w:type="pct"/>
            <w:tcBorders>
              <w:top w:val="single" w:sz="4" w:space="0" w:color="auto"/>
              <w:left w:val="single" w:sz="4" w:space="0" w:color="auto"/>
              <w:bottom w:val="single" w:sz="4" w:space="0" w:color="auto"/>
              <w:right w:val="single" w:sz="4" w:space="0" w:color="auto"/>
            </w:tcBorders>
          </w:tcPr>
          <w:p w14:paraId="46044A63" w14:textId="77777777" w:rsidR="00FD12F8" w:rsidRPr="00166A39" w:rsidRDefault="00FD12F8" w:rsidP="00000191">
            <w:pPr>
              <w:jc w:val="center"/>
              <w:rPr>
                <w:rFonts w:asciiTheme="minorHAnsi" w:hAnsiTheme="minorHAnsi" w:cstheme="minorHAnsi"/>
                <w:sz w:val="16"/>
                <w:szCs w:val="16"/>
              </w:rPr>
            </w:pPr>
          </w:p>
        </w:tc>
      </w:tr>
      <w:tr w:rsidR="00FD12F8" w:rsidRPr="00192930" w14:paraId="5E843F43"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6900CB58"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5E85DB50"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Î.S.</w:t>
            </w:r>
          </w:p>
        </w:tc>
        <w:tc>
          <w:tcPr>
            <w:tcW w:w="458" w:type="pct"/>
            <w:tcBorders>
              <w:top w:val="single" w:sz="4" w:space="0" w:color="auto"/>
              <w:left w:val="single" w:sz="4" w:space="0" w:color="auto"/>
              <w:bottom w:val="single" w:sz="4" w:space="0" w:color="auto"/>
              <w:right w:val="single" w:sz="4" w:space="0" w:color="auto"/>
            </w:tcBorders>
            <w:hideMark/>
          </w:tcPr>
          <w:p w14:paraId="503B7EED"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19,0</w:t>
            </w:r>
          </w:p>
        </w:tc>
        <w:tc>
          <w:tcPr>
            <w:tcW w:w="458" w:type="pct"/>
            <w:tcBorders>
              <w:top w:val="single" w:sz="4" w:space="0" w:color="auto"/>
              <w:left w:val="single" w:sz="4" w:space="0" w:color="auto"/>
              <w:bottom w:val="single" w:sz="4" w:space="0" w:color="auto"/>
              <w:right w:val="single" w:sz="4" w:space="0" w:color="auto"/>
            </w:tcBorders>
            <w:hideMark/>
          </w:tcPr>
          <w:p w14:paraId="15813566"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w:t>
            </w:r>
          </w:p>
        </w:tc>
        <w:tc>
          <w:tcPr>
            <w:tcW w:w="459" w:type="pct"/>
            <w:tcBorders>
              <w:top w:val="single" w:sz="4" w:space="0" w:color="auto"/>
              <w:left w:val="single" w:sz="4" w:space="0" w:color="auto"/>
              <w:bottom w:val="single" w:sz="4" w:space="0" w:color="auto"/>
              <w:right w:val="single" w:sz="4" w:space="0" w:color="auto"/>
            </w:tcBorders>
            <w:hideMark/>
          </w:tcPr>
          <w:p w14:paraId="18EA41BB"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14,8</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DE854D5"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12,5</w:t>
            </w:r>
          </w:p>
        </w:tc>
        <w:tc>
          <w:tcPr>
            <w:tcW w:w="534" w:type="pct"/>
            <w:tcBorders>
              <w:top w:val="single" w:sz="4" w:space="0" w:color="auto"/>
              <w:left w:val="single" w:sz="4" w:space="0" w:color="auto"/>
              <w:bottom w:val="single" w:sz="4" w:space="0" w:color="auto"/>
              <w:right w:val="single" w:sz="4" w:space="0" w:color="auto"/>
            </w:tcBorders>
          </w:tcPr>
          <w:p w14:paraId="050B6E89"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114,3</w:t>
            </w:r>
          </w:p>
        </w:tc>
        <w:tc>
          <w:tcPr>
            <w:tcW w:w="429" w:type="pct"/>
            <w:tcBorders>
              <w:top w:val="single" w:sz="4" w:space="0" w:color="auto"/>
              <w:left w:val="single" w:sz="4" w:space="0" w:color="auto"/>
              <w:bottom w:val="single" w:sz="4" w:space="0" w:color="auto"/>
              <w:right w:val="single" w:sz="4" w:space="0" w:color="auto"/>
            </w:tcBorders>
          </w:tcPr>
          <w:p w14:paraId="229C3AB0"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247,3</w:t>
            </w:r>
          </w:p>
        </w:tc>
      </w:tr>
      <w:tr w:rsidR="00FD12F8" w:rsidRPr="00192930" w14:paraId="63201973"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127BD891"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342FE361"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S.A.</w:t>
            </w:r>
          </w:p>
        </w:tc>
        <w:tc>
          <w:tcPr>
            <w:tcW w:w="458" w:type="pct"/>
            <w:tcBorders>
              <w:top w:val="single" w:sz="4" w:space="0" w:color="auto"/>
              <w:left w:val="single" w:sz="4" w:space="0" w:color="auto"/>
              <w:bottom w:val="single" w:sz="4" w:space="0" w:color="auto"/>
              <w:right w:val="single" w:sz="4" w:space="0" w:color="auto"/>
            </w:tcBorders>
            <w:hideMark/>
          </w:tcPr>
          <w:p w14:paraId="2C32DCA0"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w:t>
            </w:r>
          </w:p>
        </w:tc>
        <w:tc>
          <w:tcPr>
            <w:tcW w:w="458" w:type="pct"/>
            <w:tcBorders>
              <w:top w:val="single" w:sz="4" w:space="0" w:color="auto"/>
              <w:left w:val="single" w:sz="4" w:space="0" w:color="auto"/>
              <w:bottom w:val="single" w:sz="4" w:space="0" w:color="auto"/>
              <w:right w:val="single" w:sz="4" w:space="0" w:color="auto"/>
            </w:tcBorders>
            <w:hideMark/>
          </w:tcPr>
          <w:p w14:paraId="3646BE8B"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w:t>
            </w:r>
          </w:p>
        </w:tc>
        <w:tc>
          <w:tcPr>
            <w:tcW w:w="459" w:type="pct"/>
            <w:tcBorders>
              <w:top w:val="single" w:sz="4" w:space="0" w:color="auto"/>
              <w:left w:val="single" w:sz="4" w:space="0" w:color="auto"/>
              <w:bottom w:val="single" w:sz="4" w:space="0" w:color="auto"/>
              <w:right w:val="single" w:sz="4" w:space="0" w:color="auto"/>
            </w:tcBorders>
            <w:hideMark/>
          </w:tcPr>
          <w:p w14:paraId="53089ADC"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0,02</w:t>
            </w:r>
          </w:p>
        </w:tc>
        <w:tc>
          <w:tcPr>
            <w:tcW w:w="532" w:type="pct"/>
            <w:tcBorders>
              <w:top w:val="single" w:sz="4" w:space="0" w:color="auto"/>
              <w:left w:val="single" w:sz="4" w:space="0" w:color="auto"/>
              <w:bottom w:val="single" w:sz="4" w:space="0" w:color="auto"/>
              <w:right w:val="single" w:sz="4" w:space="0" w:color="auto"/>
            </w:tcBorders>
          </w:tcPr>
          <w:p w14:paraId="0C29C4E3"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1,0</w:t>
            </w:r>
          </w:p>
        </w:tc>
        <w:tc>
          <w:tcPr>
            <w:tcW w:w="534" w:type="pct"/>
            <w:tcBorders>
              <w:top w:val="single" w:sz="4" w:space="0" w:color="auto"/>
              <w:left w:val="single" w:sz="4" w:space="0" w:color="auto"/>
              <w:bottom w:val="single" w:sz="4" w:space="0" w:color="auto"/>
              <w:right w:val="single" w:sz="4" w:space="0" w:color="auto"/>
            </w:tcBorders>
          </w:tcPr>
          <w:p w14:paraId="3972FF93" w14:textId="77777777" w:rsidR="00FD12F8" w:rsidRPr="00C6748E" w:rsidRDefault="00FD12F8" w:rsidP="00000191">
            <w:pPr>
              <w:jc w:val="center"/>
              <w:rPr>
                <w:rFonts w:asciiTheme="minorHAnsi" w:hAnsiTheme="minorHAnsi" w:cstheme="minorHAnsi"/>
                <w:sz w:val="16"/>
                <w:szCs w:val="16"/>
                <w:lang w:val="ro-MD"/>
              </w:rPr>
            </w:pPr>
            <w:r w:rsidRPr="00C6748E">
              <w:rPr>
                <w:rFonts w:asciiTheme="minorHAnsi" w:hAnsiTheme="minorHAnsi" w:cstheme="minorHAnsi"/>
                <w:sz w:val="16"/>
                <w:szCs w:val="16"/>
                <w:lang w:val="ro-MD"/>
              </w:rPr>
              <w:t>-</w:t>
            </w:r>
          </w:p>
        </w:tc>
        <w:tc>
          <w:tcPr>
            <w:tcW w:w="429" w:type="pct"/>
            <w:tcBorders>
              <w:top w:val="single" w:sz="4" w:space="0" w:color="auto"/>
              <w:left w:val="single" w:sz="4" w:space="0" w:color="auto"/>
              <w:bottom w:val="single" w:sz="4" w:space="0" w:color="auto"/>
              <w:right w:val="single" w:sz="4" w:space="0" w:color="auto"/>
            </w:tcBorders>
          </w:tcPr>
          <w:p w14:paraId="0BC36C58" w14:textId="77777777" w:rsidR="00FD12F8" w:rsidRPr="00C6748E" w:rsidRDefault="00FD12F8" w:rsidP="00000191">
            <w:pPr>
              <w:jc w:val="center"/>
              <w:rPr>
                <w:rFonts w:asciiTheme="minorHAnsi" w:hAnsiTheme="minorHAnsi" w:cstheme="minorHAnsi"/>
                <w:sz w:val="16"/>
                <w:szCs w:val="16"/>
                <w:lang w:val="ro-MD"/>
              </w:rPr>
            </w:pPr>
            <w:r w:rsidRPr="00C6748E">
              <w:rPr>
                <w:rFonts w:asciiTheme="minorHAnsi" w:hAnsiTheme="minorHAnsi" w:cstheme="minorHAnsi"/>
                <w:sz w:val="16"/>
                <w:szCs w:val="16"/>
                <w:lang w:val="ro-MD"/>
              </w:rPr>
              <w:t>-</w:t>
            </w:r>
          </w:p>
        </w:tc>
      </w:tr>
      <w:tr w:rsidR="00FD12F8" w:rsidRPr="00192930" w14:paraId="442F7962"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617D346E"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I.3</w:t>
            </w:r>
          </w:p>
        </w:tc>
        <w:tc>
          <w:tcPr>
            <w:tcW w:w="1765" w:type="pct"/>
            <w:tcBorders>
              <w:top w:val="single" w:sz="4" w:space="0" w:color="auto"/>
              <w:left w:val="single" w:sz="4" w:space="0" w:color="auto"/>
              <w:bottom w:val="single" w:sz="4" w:space="0" w:color="auto"/>
              <w:right w:val="single" w:sz="4" w:space="0" w:color="auto"/>
            </w:tcBorders>
            <w:hideMark/>
          </w:tcPr>
          <w:p w14:paraId="1B515022"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Împrumuturi</w:t>
            </w:r>
            <w:r w:rsidRPr="00166A39">
              <w:rPr>
                <w:rFonts w:asciiTheme="minorHAnsi" w:hAnsiTheme="minorHAnsi" w:cstheme="minorHAnsi"/>
                <w:b/>
                <w:sz w:val="16"/>
                <w:szCs w:val="16"/>
                <w:lang w:val="ro-MD"/>
              </w:rPr>
              <w:t xml:space="preserve"> recreditate din surse externe</w:t>
            </w:r>
            <w:r w:rsidRPr="00166A39">
              <w:rPr>
                <w:rFonts w:asciiTheme="minorHAnsi" w:hAnsiTheme="minorHAnsi" w:cstheme="minorHAnsi"/>
                <w:b/>
                <w:sz w:val="16"/>
                <w:szCs w:val="16"/>
              </w:rPr>
              <w:t>, total</w:t>
            </w:r>
          </w:p>
        </w:tc>
        <w:tc>
          <w:tcPr>
            <w:tcW w:w="458" w:type="pct"/>
            <w:tcBorders>
              <w:top w:val="single" w:sz="4" w:space="0" w:color="auto"/>
              <w:left w:val="single" w:sz="4" w:space="0" w:color="auto"/>
              <w:bottom w:val="single" w:sz="4" w:space="0" w:color="auto"/>
              <w:right w:val="single" w:sz="4" w:space="0" w:color="auto"/>
            </w:tcBorders>
            <w:hideMark/>
          </w:tcPr>
          <w:p w14:paraId="197BD89C"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w:t>
            </w:r>
          </w:p>
        </w:tc>
        <w:tc>
          <w:tcPr>
            <w:tcW w:w="458" w:type="pct"/>
            <w:tcBorders>
              <w:top w:val="single" w:sz="4" w:space="0" w:color="auto"/>
              <w:left w:val="single" w:sz="4" w:space="0" w:color="auto"/>
              <w:bottom w:val="single" w:sz="4" w:space="0" w:color="auto"/>
              <w:right w:val="single" w:sz="4" w:space="0" w:color="auto"/>
            </w:tcBorders>
            <w:hideMark/>
          </w:tcPr>
          <w:p w14:paraId="3F318B40"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38,5</w:t>
            </w:r>
          </w:p>
        </w:tc>
        <w:tc>
          <w:tcPr>
            <w:tcW w:w="459" w:type="pct"/>
            <w:tcBorders>
              <w:top w:val="single" w:sz="4" w:space="0" w:color="auto"/>
              <w:left w:val="single" w:sz="4" w:space="0" w:color="auto"/>
              <w:bottom w:val="single" w:sz="4" w:space="0" w:color="auto"/>
              <w:right w:val="single" w:sz="4" w:space="0" w:color="auto"/>
            </w:tcBorders>
            <w:hideMark/>
          </w:tcPr>
          <w:p w14:paraId="6AB7E107"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306,8</w:t>
            </w:r>
          </w:p>
        </w:tc>
        <w:tc>
          <w:tcPr>
            <w:tcW w:w="532" w:type="pct"/>
            <w:tcBorders>
              <w:top w:val="single" w:sz="4" w:space="0" w:color="auto"/>
              <w:left w:val="single" w:sz="4" w:space="0" w:color="auto"/>
              <w:bottom w:val="single" w:sz="4" w:space="0" w:color="auto"/>
              <w:right w:val="single" w:sz="4" w:space="0" w:color="auto"/>
            </w:tcBorders>
          </w:tcPr>
          <w:p w14:paraId="2B40AE06"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313,4</w:t>
            </w:r>
          </w:p>
        </w:tc>
        <w:tc>
          <w:tcPr>
            <w:tcW w:w="534" w:type="pct"/>
            <w:tcBorders>
              <w:top w:val="single" w:sz="4" w:space="0" w:color="auto"/>
              <w:left w:val="single" w:sz="4" w:space="0" w:color="auto"/>
              <w:bottom w:val="single" w:sz="4" w:space="0" w:color="auto"/>
              <w:right w:val="single" w:sz="4" w:space="0" w:color="auto"/>
            </w:tcBorders>
          </w:tcPr>
          <w:p w14:paraId="6B60E5E8"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639,4</w:t>
            </w:r>
          </w:p>
        </w:tc>
        <w:tc>
          <w:tcPr>
            <w:tcW w:w="429" w:type="pct"/>
            <w:tcBorders>
              <w:top w:val="single" w:sz="4" w:space="0" w:color="auto"/>
              <w:left w:val="single" w:sz="4" w:space="0" w:color="auto"/>
              <w:bottom w:val="single" w:sz="4" w:space="0" w:color="auto"/>
              <w:right w:val="single" w:sz="4" w:space="0" w:color="auto"/>
            </w:tcBorders>
          </w:tcPr>
          <w:p w14:paraId="7F60EB4A"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741,3</w:t>
            </w:r>
          </w:p>
        </w:tc>
      </w:tr>
      <w:tr w:rsidR="00FD12F8" w:rsidRPr="00192930" w14:paraId="69279871"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6C50760C"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65CD9535"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 xml:space="preserve">inclusiv: </w:t>
            </w:r>
          </w:p>
        </w:tc>
        <w:tc>
          <w:tcPr>
            <w:tcW w:w="458" w:type="pct"/>
            <w:tcBorders>
              <w:top w:val="single" w:sz="4" w:space="0" w:color="auto"/>
              <w:left w:val="single" w:sz="4" w:space="0" w:color="auto"/>
              <w:bottom w:val="single" w:sz="4" w:space="0" w:color="auto"/>
              <w:right w:val="single" w:sz="4" w:space="0" w:color="auto"/>
            </w:tcBorders>
          </w:tcPr>
          <w:p w14:paraId="1AE1ECFF" w14:textId="77777777" w:rsidR="00FD12F8" w:rsidRPr="00166A39" w:rsidRDefault="00FD12F8" w:rsidP="00000191">
            <w:pPr>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tcPr>
          <w:p w14:paraId="684DA4D6" w14:textId="77777777" w:rsidR="00FD12F8" w:rsidRPr="00166A39" w:rsidRDefault="00FD12F8" w:rsidP="00000191">
            <w:pPr>
              <w:jc w:val="center"/>
              <w:rPr>
                <w:rFonts w:asciiTheme="minorHAnsi" w:hAnsiTheme="minorHAnsi" w:cstheme="minorHAnsi"/>
                <w:sz w:val="16"/>
                <w:szCs w:val="16"/>
              </w:rPr>
            </w:pPr>
          </w:p>
        </w:tc>
        <w:tc>
          <w:tcPr>
            <w:tcW w:w="459" w:type="pct"/>
            <w:tcBorders>
              <w:top w:val="single" w:sz="4" w:space="0" w:color="auto"/>
              <w:left w:val="single" w:sz="4" w:space="0" w:color="auto"/>
              <w:bottom w:val="single" w:sz="4" w:space="0" w:color="auto"/>
              <w:right w:val="single" w:sz="4" w:space="0" w:color="auto"/>
            </w:tcBorders>
          </w:tcPr>
          <w:p w14:paraId="05B99A69" w14:textId="77777777" w:rsidR="00FD12F8" w:rsidRPr="00166A39" w:rsidRDefault="00FD12F8" w:rsidP="00000191">
            <w:pPr>
              <w:jc w:val="center"/>
              <w:rPr>
                <w:rFonts w:asciiTheme="minorHAnsi" w:hAnsiTheme="minorHAnsi" w:cstheme="minorHAnsi"/>
                <w:sz w:val="16"/>
                <w:szCs w:val="16"/>
              </w:rPr>
            </w:pPr>
          </w:p>
        </w:tc>
        <w:tc>
          <w:tcPr>
            <w:tcW w:w="532" w:type="pct"/>
            <w:tcBorders>
              <w:top w:val="single" w:sz="4" w:space="0" w:color="auto"/>
              <w:left w:val="single" w:sz="4" w:space="0" w:color="auto"/>
              <w:bottom w:val="single" w:sz="4" w:space="0" w:color="auto"/>
              <w:right w:val="single" w:sz="4" w:space="0" w:color="auto"/>
            </w:tcBorders>
          </w:tcPr>
          <w:p w14:paraId="3C655A81" w14:textId="77777777" w:rsidR="00FD12F8" w:rsidRPr="00166A39" w:rsidRDefault="00FD12F8" w:rsidP="00000191">
            <w:pPr>
              <w:jc w:val="center"/>
              <w:rPr>
                <w:rFonts w:asciiTheme="minorHAnsi" w:hAnsiTheme="minorHAnsi" w:cstheme="minorHAnsi"/>
                <w:sz w:val="16"/>
                <w:szCs w:val="16"/>
              </w:rPr>
            </w:pPr>
          </w:p>
        </w:tc>
        <w:tc>
          <w:tcPr>
            <w:tcW w:w="534" w:type="pct"/>
            <w:tcBorders>
              <w:top w:val="single" w:sz="4" w:space="0" w:color="auto"/>
              <w:left w:val="single" w:sz="4" w:space="0" w:color="auto"/>
              <w:bottom w:val="single" w:sz="4" w:space="0" w:color="auto"/>
              <w:right w:val="single" w:sz="4" w:space="0" w:color="auto"/>
            </w:tcBorders>
          </w:tcPr>
          <w:p w14:paraId="174DCEB9" w14:textId="77777777" w:rsidR="00FD12F8" w:rsidRPr="00166A39" w:rsidRDefault="00FD12F8" w:rsidP="00000191">
            <w:pPr>
              <w:jc w:val="center"/>
              <w:rPr>
                <w:rFonts w:asciiTheme="minorHAnsi" w:hAnsiTheme="minorHAnsi" w:cstheme="minorHAnsi"/>
                <w:sz w:val="16"/>
                <w:szCs w:val="16"/>
              </w:rPr>
            </w:pPr>
          </w:p>
        </w:tc>
        <w:tc>
          <w:tcPr>
            <w:tcW w:w="429" w:type="pct"/>
            <w:tcBorders>
              <w:top w:val="single" w:sz="4" w:space="0" w:color="auto"/>
              <w:left w:val="single" w:sz="4" w:space="0" w:color="auto"/>
              <w:bottom w:val="single" w:sz="4" w:space="0" w:color="auto"/>
              <w:right w:val="single" w:sz="4" w:space="0" w:color="auto"/>
            </w:tcBorders>
          </w:tcPr>
          <w:p w14:paraId="1F004A1A" w14:textId="77777777" w:rsidR="00FD12F8" w:rsidRPr="00166A39" w:rsidRDefault="00FD12F8" w:rsidP="00000191">
            <w:pPr>
              <w:jc w:val="center"/>
              <w:rPr>
                <w:rFonts w:asciiTheme="minorHAnsi" w:hAnsiTheme="minorHAnsi" w:cstheme="minorHAnsi"/>
                <w:sz w:val="16"/>
                <w:szCs w:val="16"/>
              </w:rPr>
            </w:pPr>
          </w:p>
        </w:tc>
      </w:tr>
      <w:tr w:rsidR="00FD12F8" w:rsidRPr="00192930" w14:paraId="6B3F29A7"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2F100E74"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16074518"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Î.S.</w:t>
            </w:r>
          </w:p>
        </w:tc>
        <w:tc>
          <w:tcPr>
            <w:tcW w:w="458" w:type="pct"/>
            <w:tcBorders>
              <w:top w:val="single" w:sz="4" w:space="0" w:color="auto"/>
              <w:left w:val="single" w:sz="4" w:space="0" w:color="auto"/>
              <w:bottom w:val="single" w:sz="4" w:space="0" w:color="auto"/>
              <w:right w:val="single" w:sz="4" w:space="0" w:color="auto"/>
            </w:tcBorders>
            <w:hideMark/>
          </w:tcPr>
          <w:p w14:paraId="2FF2721A"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w:t>
            </w:r>
          </w:p>
        </w:tc>
        <w:tc>
          <w:tcPr>
            <w:tcW w:w="458" w:type="pct"/>
            <w:tcBorders>
              <w:top w:val="single" w:sz="4" w:space="0" w:color="auto"/>
              <w:left w:val="single" w:sz="4" w:space="0" w:color="auto"/>
              <w:bottom w:val="single" w:sz="4" w:space="0" w:color="auto"/>
              <w:right w:val="single" w:sz="4" w:space="0" w:color="auto"/>
            </w:tcBorders>
            <w:hideMark/>
          </w:tcPr>
          <w:p w14:paraId="031014C2"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w:t>
            </w:r>
          </w:p>
        </w:tc>
        <w:tc>
          <w:tcPr>
            <w:tcW w:w="459" w:type="pct"/>
            <w:tcBorders>
              <w:top w:val="single" w:sz="4" w:space="0" w:color="auto"/>
              <w:left w:val="single" w:sz="4" w:space="0" w:color="auto"/>
              <w:bottom w:val="single" w:sz="4" w:space="0" w:color="auto"/>
              <w:right w:val="single" w:sz="4" w:space="0" w:color="auto"/>
            </w:tcBorders>
            <w:hideMark/>
          </w:tcPr>
          <w:p w14:paraId="1AF90AA1"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22,9</w:t>
            </w:r>
          </w:p>
        </w:tc>
        <w:tc>
          <w:tcPr>
            <w:tcW w:w="532" w:type="pct"/>
            <w:tcBorders>
              <w:top w:val="single" w:sz="4" w:space="0" w:color="auto"/>
              <w:left w:val="single" w:sz="4" w:space="0" w:color="auto"/>
              <w:bottom w:val="single" w:sz="4" w:space="0" w:color="auto"/>
              <w:right w:val="single" w:sz="4" w:space="0" w:color="auto"/>
            </w:tcBorders>
          </w:tcPr>
          <w:p w14:paraId="5F198626"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50,6</w:t>
            </w:r>
          </w:p>
        </w:tc>
        <w:tc>
          <w:tcPr>
            <w:tcW w:w="534" w:type="pct"/>
            <w:tcBorders>
              <w:top w:val="single" w:sz="4" w:space="0" w:color="auto"/>
              <w:left w:val="single" w:sz="4" w:space="0" w:color="auto"/>
              <w:bottom w:val="single" w:sz="4" w:space="0" w:color="auto"/>
              <w:right w:val="single" w:sz="4" w:space="0" w:color="auto"/>
            </w:tcBorders>
          </w:tcPr>
          <w:p w14:paraId="713C5178"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419,9</w:t>
            </w:r>
          </w:p>
        </w:tc>
        <w:tc>
          <w:tcPr>
            <w:tcW w:w="429" w:type="pct"/>
            <w:tcBorders>
              <w:top w:val="single" w:sz="4" w:space="0" w:color="auto"/>
              <w:left w:val="single" w:sz="4" w:space="0" w:color="auto"/>
              <w:bottom w:val="single" w:sz="4" w:space="0" w:color="auto"/>
              <w:right w:val="single" w:sz="4" w:space="0" w:color="auto"/>
            </w:tcBorders>
          </w:tcPr>
          <w:p w14:paraId="320E577D"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668,7</w:t>
            </w:r>
          </w:p>
        </w:tc>
      </w:tr>
      <w:tr w:rsidR="00FD12F8" w:rsidRPr="00192930" w14:paraId="5E4662D4"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712DE44D" w14:textId="77777777" w:rsidR="00FD12F8" w:rsidRPr="00166A39" w:rsidRDefault="00FD12F8" w:rsidP="00000191">
            <w:pPr>
              <w:jc w:val="center"/>
              <w:rPr>
                <w:rFonts w:asciiTheme="minorHAnsi" w:hAnsiTheme="minorHAnsi" w:cstheme="minorHAnsi"/>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089C48E6"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 xml:space="preserve">S.A. </w:t>
            </w:r>
          </w:p>
        </w:tc>
        <w:tc>
          <w:tcPr>
            <w:tcW w:w="458" w:type="pct"/>
            <w:tcBorders>
              <w:top w:val="single" w:sz="4" w:space="0" w:color="auto"/>
              <w:left w:val="single" w:sz="4" w:space="0" w:color="auto"/>
              <w:bottom w:val="single" w:sz="4" w:space="0" w:color="auto"/>
              <w:right w:val="single" w:sz="4" w:space="0" w:color="auto"/>
            </w:tcBorders>
            <w:hideMark/>
          </w:tcPr>
          <w:p w14:paraId="6EA55AD2"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w:t>
            </w:r>
          </w:p>
        </w:tc>
        <w:tc>
          <w:tcPr>
            <w:tcW w:w="458" w:type="pct"/>
            <w:tcBorders>
              <w:top w:val="single" w:sz="4" w:space="0" w:color="auto"/>
              <w:left w:val="single" w:sz="4" w:space="0" w:color="auto"/>
              <w:bottom w:val="single" w:sz="4" w:space="0" w:color="auto"/>
              <w:right w:val="single" w:sz="4" w:space="0" w:color="auto"/>
            </w:tcBorders>
            <w:hideMark/>
          </w:tcPr>
          <w:p w14:paraId="589A1E21"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38,5</w:t>
            </w:r>
          </w:p>
        </w:tc>
        <w:tc>
          <w:tcPr>
            <w:tcW w:w="459" w:type="pct"/>
            <w:tcBorders>
              <w:top w:val="single" w:sz="4" w:space="0" w:color="auto"/>
              <w:left w:val="single" w:sz="4" w:space="0" w:color="auto"/>
              <w:bottom w:val="single" w:sz="4" w:space="0" w:color="auto"/>
              <w:right w:val="single" w:sz="4" w:space="0" w:color="auto"/>
            </w:tcBorders>
            <w:hideMark/>
          </w:tcPr>
          <w:p w14:paraId="2B82AAEF"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283,9</w:t>
            </w:r>
          </w:p>
        </w:tc>
        <w:tc>
          <w:tcPr>
            <w:tcW w:w="532" w:type="pct"/>
            <w:tcBorders>
              <w:top w:val="single" w:sz="4" w:space="0" w:color="auto"/>
              <w:left w:val="single" w:sz="4" w:space="0" w:color="auto"/>
              <w:bottom w:val="single" w:sz="4" w:space="0" w:color="auto"/>
              <w:right w:val="single" w:sz="4" w:space="0" w:color="auto"/>
            </w:tcBorders>
          </w:tcPr>
          <w:p w14:paraId="4EE46F96"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262,8</w:t>
            </w:r>
          </w:p>
        </w:tc>
        <w:tc>
          <w:tcPr>
            <w:tcW w:w="534" w:type="pct"/>
            <w:tcBorders>
              <w:top w:val="single" w:sz="4" w:space="0" w:color="auto"/>
              <w:left w:val="single" w:sz="4" w:space="0" w:color="auto"/>
              <w:bottom w:val="single" w:sz="4" w:space="0" w:color="auto"/>
              <w:right w:val="single" w:sz="4" w:space="0" w:color="auto"/>
            </w:tcBorders>
          </w:tcPr>
          <w:p w14:paraId="2C99A263"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219,5</w:t>
            </w:r>
          </w:p>
        </w:tc>
        <w:tc>
          <w:tcPr>
            <w:tcW w:w="429" w:type="pct"/>
            <w:tcBorders>
              <w:top w:val="single" w:sz="4" w:space="0" w:color="auto"/>
              <w:left w:val="single" w:sz="4" w:space="0" w:color="auto"/>
              <w:bottom w:val="single" w:sz="4" w:space="0" w:color="auto"/>
              <w:right w:val="single" w:sz="4" w:space="0" w:color="auto"/>
            </w:tcBorders>
          </w:tcPr>
          <w:p w14:paraId="1CF78217"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72,6</w:t>
            </w:r>
          </w:p>
        </w:tc>
      </w:tr>
      <w:tr w:rsidR="00FD12F8" w:rsidRPr="00192930" w14:paraId="04A08AB3"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4D4A3AE1"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I.4</w:t>
            </w:r>
          </w:p>
        </w:tc>
        <w:tc>
          <w:tcPr>
            <w:tcW w:w="1765" w:type="pct"/>
            <w:tcBorders>
              <w:top w:val="single" w:sz="4" w:space="0" w:color="auto"/>
              <w:left w:val="single" w:sz="4" w:space="0" w:color="auto"/>
              <w:bottom w:val="single" w:sz="4" w:space="0" w:color="auto"/>
              <w:right w:val="single" w:sz="4" w:space="0" w:color="auto"/>
            </w:tcBorders>
            <w:hideMark/>
          </w:tcPr>
          <w:p w14:paraId="33C197BD"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TOTAL (I.1+I.2+I.3):</w:t>
            </w:r>
          </w:p>
        </w:tc>
        <w:tc>
          <w:tcPr>
            <w:tcW w:w="458" w:type="pct"/>
            <w:tcBorders>
              <w:top w:val="single" w:sz="4" w:space="0" w:color="auto"/>
              <w:left w:val="single" w:sz="4" w:space="0" w:color="auto"/>
              <w:bottom w:val="single" w:sz="4" w:space="0" w:color="auto"/>
              <w:right w:val="single" w:sz="4" w:space="0" w:color="auto"/>
            </w:tcBorders>
            <w:hideMark/>
          </w:tcPr>
          <w:p w14:paraId="24E70ADF"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228,8</w:t>
            </w:r>
          </w:p>
        </w:tc>
        <w:tc>
          <w:tcPr>
            <w:tcW w:w="458" w:type="pct"/>
            <w:tcBorders>
              <w:top w:val="single" w:sz="4" w:space="0" w:color="auto"/>
              <w:left w:val="single" w:sz="4" w:space="0" w:color="auto"/>
              <w:bottom w:val="single" w:sz="4" w:space="0" w:color="auto"/>
              <w:right w:val="single" w:sz="4" w:space="0" w:color="auto"/>
            </w:tcBorders>
            <w:hideMark/>
          </w:tcPr>
          <w:p w14:paraId="4E98E55A"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206,4</w:t>
            </w:r>
          </w:p>
        </w:tc>
        <w:tc>
          <w:tcPr>
            <w:tcW w:w="459" w:type="pct"/>
            <w:tcBorders>
              <w:top w:val="single" w:sz="4" w:space="0" w:color="auto"/>
              <w:left w:val="single" w:sz="4" w:space="0" w:color="auto"/>
              <w:bottom w:val="single" w:sz="4" w:space="0" w:color="auto"/>
              <w:right w:val="single" w:sz="4" w:space="0" w:color="auto"/>
            </w:tcBorders>
            <w:hideMark/>
          </w:tcPr>
          <w:p w14:paraId="5AA38D74"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503,52</w:t>
            </w:r>
          </w:p>
        </w:tc>
        <w:tc>
          <w:tcPr>
            <w:tcW w:w="532" w:type="pct"/>
            <w:tcBorders>
              <w:top w:val="single" w:sz="4" w:space="0" w:color="auto"/>
              <w:left w:val="single" w:sz="4" w:space="0" w:color="auto"/>
              <w:bottom w:val="single" w:sz="4" w:space="0" w:color="auto"/>
              <w:right w:val="single" w:sz="4" w:space="0" w:color="auto"/>
            </w:tcBorders>
          </w:tcPr>
          <w:p w14:paraId="4F767A39"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522,3</w:t>
            </w:r>
          </w:p>
        </w:tc>
        <w:tc>
          <w:tcPr>
            <w:tcW w:w="534" w:type="pct"/>
            <w:tcBorders>
              <w:top w:val="single" w:sz="4" w:space="0" w:color="auto"/>
              <w:left w:val="single" w:sz="4" w:space="0" w:color="auto"/>
              <w:bottom w:val="single" w:sz="4" w:space="0" w:color="auto"/>
              <w:right w:val="single" w:sz="4" w:space="0" w:color="auto"/>
            </w:tcBorders>
          </w:tcPr>
          <w:p w14:paraId="0F3BC9CE"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955,1</w:t>
            </w:r>
          </w:p>
        </w:tc>
        <w:tc>
          <w:tcPr>
            <w:tcW w:w="429" w:type="pct"/>
            <w:tcBorders>
              <w:top w:val="single" w:sz="4" w:space="0" w:color="auto"/>
              <w:left w:val="single" w:sz="4" w:space="0" w:color="auto"/>
              <w:bottom w:val="single" w:sz="4" w:space="0" w:color="auto"/>
              <w:right w:val="single" w:sz="4" w:space="0" w:color="auto"/>
            </w:tcBorders>
          </w:tcPr>
          <w:p w14:paraId="03B9A94C"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1172,1</w:t>
            </w:r>
          </w:p>
        </w:tc>
      </w:tr>
      <w:tr w:rsidR="00FD12F8" w:rsidRPr="00192930" w14:paraId="1F83EF92"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1DF5B073"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II.</w:t>
            </w:r>
          </w:p>
        </w:tc>
        <w:tc>
          <w:tcPr>
            <w:tcW w:w="4634" w:type="pct"/>
            <w:gridSpan w:val="7"/>
            <w:tcBorders>
              <w:top w:val="single" w:sz="4" w:space="0" w:color="auto"/>
              <w:left w:val="single" w:sz="4" w:space="0" w:color="auto"/>
              <w:bottom w:val="single" w:sz="4" w:space="0" w:color="auto"/>
              <w:right w:val="single" w:sz="4" w:space="0" w:color="auto"/>
            </w:tcBorders>
            <w:hideMark/>
          </w:tcPr>
          <w:p w14:paraId="757EE0D3" w14:textId="77777777" w:rsidR="00FD12F8" w:rsidRPr="00166A39" w:rsidRDefault="00FD12F8" w:rsidP="00000191">
            <w:pPr>
              <w:rPr>
                <w:rFonts w:asciiTheme="minorHAnsi" w:hAnsiTheme="minorHAnsi" w:cstheme="minorHAnsi"/>
                <w:b/>
                <w:sz w:val="16"/>
                <w:szCs w:val="16"/>
                <w:u w:val="single"/>
              </w:rPr>
            </w:pPr>
            <w:r w:rsidRPr="00166A39">
              <w:rPr>
                <w:rFonts w:asciiTheme="minorHAnsi" w:hAnsiTheme="minorHAnsi" w:cstheme="minorHAnsi"/>
                <w:b/>
                <w:color w:val="548DD4" w:themeColor="text2" w:themeTint="99"/>
                <w:sz w:val="16"/>
                <w:szCs w:val="16"/>
                <w:u w:val="single"/>
              </w:rPr>
              <w:t>Plăți de la Î.S. și S.A. în bugetul de stat, sub formă de:</w:t>
            </w:r>
          </w:p>
        </w:tc>
      </w:tr>
      <w:tr w:rsidR="00FD12F8" w:rsidRPr="00192930" w14:paraId="0F33BEDC"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238A83B1"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II.1</w:t>
            </w:r>
          </w:p>
        </w:tc>
        <w:tc>
          <w:tcPr>
            <w:tcW w:w="1765" w:type="pct"/>
            <w:tcBorders>
              <w:top w:val="single" w:sz="4" w:space="0" w:color="auto"/>
              <w:left w:val="single" w:sz="4" w:space="0" w:color="auto"/>
              <w:bottom w:val="single" w:sz="4" w:space="0" w:color="auto"/>
              <w:right w:val="single" w:sz="4" w:space="0" w:color="auto"/>
            </w:tcBorders>
            <w:hideMark/>
          </w:tcPr>
          <w:p w14:paraId="13EAD400"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Defalcări și dividende, total</w:t>
            </w:r>
          </w:p>
        </w:tc>
        <w:tc>
          <w:tcPr>
            <w:tcW w:w="458" w:type="pct"/>
            <w:tcBorders>
              <w:top w:val="single" w:sz="4" w:space="0" w:color="auto"/>
              <w:left w:val="single" w:sz="4" w:space="0" w:color="auto"/>
              <w:bottom w:val="single" w:sz="4" w:space="0" w:color="auto"/>
              <w:right w:val="single" w:sz="4" w:space="0" w:color="auto"/>
            </w:tcBorders>
            <w:hideMark/>
          </w:tcPr>
          <w:p w14:paraId="32D3CE68"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127,5</w:t>
            </w:r>
          </w:p>
        </w:tc>
        <w:tc>
          <w:tcPr>
            <w:tcW w:w="458" w:type="pct"/>
            <w:tcBorders>
              <w:top w:val="single" w:sz="4" w:space="0" w:color="auto"/>
              <w:left w:val="single" w:sz="4" w:space="0" w:color="auto"/>
              <w:bottom w:val="single" w:sz="4" w:space="0" w:color="auto"/>
              <w:right w:val="single" w:sz="4" w:space="0" w:color="auto"/>
            </w:tcBorders>
            <w:hideMark/>
          </w:tcPr>
          <w:p w14:paraId="02A22D6C"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133,9</w:t>
            </w:r>
          </w:p>
        </w:tc>
        <w:tc>
          <w:tcPr>
            <w:tcW w:w="459" w:type="pct"/>
            <w:tcBorders>
              <w:top w:val="single" w:sz="4" w:space="0" w:color="auto"/>
              <w:left w:val="single" w:sz="4" w:space="0" w:color="auto"/>
              <w:bottom w:val="single" w:sz="4" w:space="0" w:color="auto"/>
              <w:right w:val="single" w:sz="4" w:space="0" w:color="auto"/>
            </w:tcBorders>
            <w:hideMark/>
          </w:tcPr>
          <w:p w14:paraId="22B54035"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124,4</w:t>
            </w:r>
          </w:p>
        </w:tc>
        <w:tc>
          <w:tcPr>
            <w:tcW w:w="532" w:type="pct"/>
            <w:tcBorders>
              <w:top w:val="single" w:sz="4" w:space="0" w:color="auto"/>
              <w:left w:val="single" w:sz="4" w:space="0" w:color="auto"/>
              <w:bottom w:val="single" w:sz="4" w:space="0" w:color="auto"/>
              <w:right w:val="single" w:sz="4" w:space="0" w:color="auto"/>
            </w:tcBorders>
          </w:tcPr>
          <w:p w14:paraId="1E6CFF09" w14:textId="77777777" w:rsidR="00FD12F8" w:rsidRPr="00C6748E" w:rsidRDefault="00FD12F8" w:rsidP="00000191">
            <w:pPr>
              <w:jc w:val="center"/>
              <w:rPr>
                <w:rFonts w:asciiTheme="minorHAnsi" w:hAnsiTheme="minorHAnsi" w:cstheme="minorHAnsi"/>
                <w:b/>
                <w:sz w:val="16"/>
                <w:szCs w:val="16"/>
                <w:lang w:val="ro-MD"/>
              </w:rPr>
            </w:pPr>
            <w:r w:rsidRPr="00C6748E">
              <w:rPr>
                <w:rFonts w:asciiTheme="minorHAnsi" w:hAnsiTheme="minorHAnsi" w:cstheme="minorHAnsi"/>
                <w:b/>
                <w:sz w:val="16"/>
                <w:szCs w:val="16"/>
                <w:lang w:val="ro-MD"/>
              </w:rPr>
              <w:t>167,1</w:t>
            </w:r>
          </w:p>
        </w:tc>
        <w:tc>
          <w:tcPr>
            <w:tcW w:w="534" w:type="pct"/>
            <w:tcBorders>
              <w:top w:val="single" w:sz="4" w:space="0" w:color="auto"/>
              <w:left w:val="single" w:sz="4" w:space="0" w:color="auto"/>
              <w:bottom w:val="single" w:sz="4" w:space="0" w:color="auto"/>
              <w:right w:val="single" w:sz="4" w:space="0" w:color="auto"/>
            </w:tcBorders>
          </w:tcPr>
          <w:p w14:paraId="5680B537"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71,5</w:t>
            </w:r>
          </w:p>
        </w:tc>
        <w:tc>
          <w:tcPr>
            <w:tcW w:w="429" w:type="pct"/>
            <w:tcBorders>
              <w:top w:val="single" w:sz="4" w:space="0" w:color="auto"/>
              <w:left w:val="single" w:sz="4" w:space="0" w:color="auto"/>
              <w:bottom w:val="single" w:sz="4" w:space="0" w:color="auto"/>
              <w:right w:val="single" w:sz="4" w:space="0" w:color="auto"/>
            </w:tcBorders>
          </w:tcPr>
          <w:p w14:paraId="22B4DA9F"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89,5</w:t>
            </w:r>
          </w:p>
        </w:tc>
      </w:tr>
      <w:tr w:rsidR="00FD12F8" w:rsidRPr="00192930" w14:paraId="4A1FE744" w14:textId="77777777" w:rsidTr="00000191">
        <w:trPr>
          <w:trHeight w:val="229"/>
          <w:jc w:val="center"/>
        </w:trPr>
        <w:tc>
          <w:tcPr>
            <w:tcW w:w="366" w:type="pct"/>
            <w:tcBorders>
              <w:top w:val="single" w:sz="4" w:space="0" w:color="auto"/>
              <w:left w:val="single" w:sz="4" w:space="0" w:color="auto"/>
              <w:bottom w:val="single" w:sz="4" w:space="0" w:color="auto"/>
              <w:right w:val="single" w:sz="4" w:space="0" w:color="auto"/>
            </w:tcBorders>
          </w:tcPr>
          <w:p w14:paraId="4F2DC122"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29570C92"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inclusiv:</w:t>
            </w:r>
          </w:p>
        </w:tc>
        <w:tc>
          <w:tcPr>
            <w:tcW w:w="458" w:type="pct"/>
            <w:tcBorders>
              <w:top w:val="single" w:sz="4" w:space="0" w:color="auto"/>
              <w:left w:val="single" w:sz="4" w:space="0" w:color="auto"/>
              <w:bottom w:val="single" w:sz="4" w:space="0" w:color="auto"/>
              <w:right w:val="single" w:sz="4" w:space="0" w:color="auto"/>
            </w:tcBorders>
          </w:tcPr>
          <w:p w14:paraId="0B8A0101" w14:textId="77777777" w:rsidR="00FD12F8" w:rsidRPr="00166A39" w:rsidRDefault="00FD12F8" w:rsidP="00000191">
            <w:pPr>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tcPr>
          <w:p w14:paraId="48552D2C" w14:textId="77777777" w:rsidR="00FD12F8" w:rsidRPr="00166A39" w:rsidRDefault="00FD12F8" w:rsidP="00000191">
            <w:pPr>
              <w:jc w:val="center"/>
              <w:rPr>
                <w:rFonts w:asciiTheme="minorHAnsi" w:hAnsiTheme="minorHAnsi" w:cstheme="minorHAnsi"/>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2D877" w14:textId="77777777" w:rsidR="00FD12F8" w:rsidRPr="00166A39" w:rsidRDefault="00FD12F8" w:rsidP="00000191">
            <w:pPr>
              <w:jc w:val="center"/>
              <w:rPr>
                <w:rFonts w:asciiTheme="minorHAnsi" w:hAnsiTheme="minorHAnsi" w:cstheme="minorHAnsi"/>
                <w:sz w:val="16"/>
                <w:szCs w:val="16"/>
              </w:rPr>
            </w:pPr>
          </w:p>
        </w:tc>
        <w:tc>
          <w:tcPr>
            <w:tcW w:w="532" w:type="pct"/>
            <w:tcBorders>
              <w:top w:val="single" w:sz="4" w:space="0" w:color="auto"/>
              <w:left w:val="single" w:sz="4" w:space="0" w:color="auto"/>
              <w:bottom w:val="single" w:sz="4" w:space="0" w:color="auto"/>
              <w:right w:val="single" w:sz="4" w:space="0" w:color="auto"/>
            </w:tcBorders>
          </w:tcPr>
          <w:p w14:paraId="1626FACA" w14:textId="77777777" w:rsidR="00FD12F8" w:rsidRPr="00C6748E" w:rsidRDefault="00FD12F8" w:rsidP="00000191">
            <w:pPr>
              <w:jc w:val="center"/>
              <w:rPr>
                <w:rFonts w:asciiTheme="minorHAnsi" w:hAnsiTheme="minorHAnsi" w:cstheme="minorHAnsi"/>
                <w:sz w:val="16"/>
                <w:szCs w:val="16"/>
              </w:rPr>
            </w:pPr>
          </w:p>
        </w:tc>
        <w:tc>
          <w:tcPr>
            <w:tcW w:w="534" w:type="pct"/>
            <w:tcBorders>
              <w:top w:val="single" w:sz="4" w:space="0" w:color="auto"/>
              <w:left w:val="single" w:sz="4" w:space="0" w:color="auto"/>
              <w:bottom w:val="single" w:sz="4" w:space="0" w:color="auto"/>
              <w:right w:val="single" w:sz="4" w:space="0" w:color="auto"/>
            </w:tcBorders>
          </w:tcPr>
          <w:p w14:paraId="706FDBA4" w14:textId="77777777" w:rsidR="00FD12F8" w:rsidRPr="00166A39" w:rsidRDefault="00FD12F8" w:rsidP="00000191">
            <w:pPr>
              <w:jc w:val="center"/>
              <w:rPr>
                <w:rFonts w:asciiTheme="minorHAnsi" w:hAnsiTheme="minorHAnsi" w:cstheme="minorHAnsi"/>
                <w:sz w:val="16"/>
                <w:szCs w:val="16"/>
              </w:rPr>
            </w:pPr>
          </w:p>
        </w:tc>
        <w:tc>
          <w:tcPr>
            <w:tcW w:w="429" w:type="pct"/>
            <w:tcBorders>
              <w:top w:val="single" w:sz="4" w:space="0" w:color="auto"/>
              <w:left w:val="single" w:sz="4" w:space="0" w:color="auto"/>
              <w:bottom w:val="single" w:sz="4" w:space="0" w:color="auto"/>
              <w:right w:val="single" w:sz="4" w:space="0" w:color="auto"/>
            </w:tcBorders>
          </w:tcPr>
          <w:p w14:paraId="0E4A0EA1" w14:textId="77777777" w:rsidR="00FD12F8" w:rsidRPr="00166A39" w:rsidRDefault="00FD12F8" w:rsidP="00000191">
            <w:pPr>
              <w:jc w:val="center"/>
              <w:rPr>
                <w:rFonts w:asciiTheme="minorHAnsi" w:hAnsiTheme="minorHAnsi" w:cstheme="minorHAnsi"/>
                <w:sz w:val="16"/>
                <w:szCs w:val="16"/>
              </w:rPr>
            </w:pPr>
          </w:p>
        </w:tc>
      </w:tr>
      <w:tr w:rsidR="00FD12F8" w:rsidRPr="00192930" w14:paraId="42718376"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44F7FF0F"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7900B6BE"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defalcări din profitul Î.S.</w:t>
            </w:r>
          </w:p>
        </w:tc>
        <w:tc>
          <w:tcPr>
            <w:tcW w:w="458" w:type="pct"/>
            <w:tcBorders>
              <w:top w:val="single" w:sz="4" w:space="0" w:color="auto"/>
              <w:left w:val="single" w:sz="4" w:space="0" w:color="auto"/>
              <w:bottom w:val="single" w:sz="4" w:space="0" w:color="auto"/>
              <w:right w:val="single" w:sz="4" w:space="0" w:color="auto"/>
            </w:tcBorders>
            <w:hideMark/>
          </w:tcPr>
          <w:p w14:paraId="2B6F7E20"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41,5</w:t>
            </w:r>
          </w:p>
        </w:tc>
        <w:tc>
          <w:tcPr>
            <w:tcW w:w="458" w:type="pct"/>
            <w:tcBorders>
              <w:top w:val="single" w:sz="4" w:space="0" w:color="auto"/>
              <w:left w:val="single" w:sz="4" w:space="0" w:color="auto"/>
              <w:bottom w:val="single" w:sz="4" w:space="0" w:color="auto"/>
              <w:right w:val="single" w:sz="4" w:space="0" w:color="auto"/>
            </w:tcBorders>
            <w:hideMark/>
          </w:tcPr>
          <w:p w14:paraId="6F466910"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63,2</w:t>
            </w:r>
          </w:p>
        </w:tc>
        <w:tc>
          <w:tcPr>
            <w:tcW w:w="459" w:type="pct"/>
            <w:tcBorders>
              <w:top w:val="single" w:sz="4" w:space="0" w:color="auto"/>
              <w:left w:val="single" w:sz="4" w:space="0" w:color="auto"/>
              <w:bottom w:val="single" w:sz="4" w:space="0" w:color="auto"/>
              <w:right w:val="single" w:sz="4" w:space="0" w:color="auto"/>
            </w:tcBorders>
            <w:hideMark/>
          </w:tcPr>
          <w:p w14:paraId="7B398A0A"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48,1</w:t>
            </w:r>
          </w:p>
        </w:tc>
        <w:tc>
          <w:tcPr>
            <w:tcW w:w="532" w:type="pct"/>
            <w:tcBorders>
              <w:top w:val="single" w:sz="4" w:space="0" w:color="auto"/>
              <w:left w:val="single" w:sz="4" w:space="0" w:color="auto"/>
              <w:bottom w:val="single" w:sz="4" w:space="0" w:color="auto"/>
              <w:right w:val="single" w:sz="4" w:space="0" w:color="auto"/>
            </w:tcBorders>
          </w:tcPr>
          <w:p w14:paraId="69718BF4" w14:textId="77777777" w:rsidR="00FD12F8" w:rsidRPr="00C6748E" w:rsidRDefault="00FD12F8" w:rsidP="00000191">
            <w:pPr>
              <w:jc w:val="center"/>
              <w:rPr>
                <w:rFonts w:asciiTheme="minorHAnsi" w:hAnsiTheme="minorHAnsi" w:cstheme="minorHAnsi"/>
                <w:sz w:val="16"/>
                <w:szCs w:val="16"/>
                <w:lang w:val="ro-MD"/>
              </w:rPr>
            </w:pPr>
            <w:r w:rsidRPr="00C6748E">
              <w:rPr>
                <w:rFonts w:asciiTheme="minorHAnsi" w:hAnsiTheme="minorHAnsi" w:cstheme="minorHAnsi"/>
                <w:sz w:val="16"/>
                <w:szCs w:val="16"/>
                <w:lang w:val="ro-MD"/>
              </w:rPr>
              <w:t>44,4</w:t>
            </w:r>
          </w:p>
        </w:tc>
        <w:tc>
          <w:tcPr>
            <w:tcW w:w="534" w:type="pct"/>
            <w:tcBorders>
              <w:top w:val="single" w:sz="4" w:space="0" w:color="auto"/>
              <w:left w:val="single" w:sz="4" w:space="0" w:color="auto"/>
              <w:bottom w:val="single" w:sz="4" w:space="0" w:color="auto"/>
              <w:right w:val="single" w:sz="4" w:space="0" w:color="auto"/>
            </w:tcBorders>
          </w:tcPr>
          <w:p w14:paraId="44130641"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16,5</w:t>
            </w:r>
          </w:p>
        </w:tc>
        <w:tc>
          <w:tcPr>
            <w:tcW w:w="429" w:type="pct"/>
            <w:tcBorders>
              <w:top w:val="single" w:sz="4" w:space="0" w:color="auto"/>
              <w:left w:val="single" w:sz="4" w:space="0" w:color="auto"/>
              <w:bottom w:val="single" w:sz="4" w:space="0" w:color="auto"/>
              <w:right w:val="single" w:sz="4" w:space="0" w:color="auto"/>
            </w:tcBorders>
          </w:tcPr>
          <w:p w14:paraId="28E3B3B2"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13,5</w:t>
            </w:r>
          </w:p>
        </w:tc>
      </w:tr>
      <w:tr w:rsidR="00FD12F8" w:rsidRPr="00192930" w14:paraId="34D2FD09"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17CD30DE"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35D876D0"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dividende aferente cotei statului în S.A.</w:t>
            </w:r>
          </w:p>
        </w:tc>
        <w:tc>
          <w:tcPr>
            <w:tcW w:w="458" w:type="pct"/>
            <w:tcBorders>
              <w:top w:val="single" w:sz="4" w:space="0" w:color="auto"/>
              <w:left w:val="single" w:sz="4" w:space="0" w:color="auto"/>
              <w:bottom w:val="single" w:sz="4" w:space="0" w:color="auto"/>
              <w:right w:val="single" w:sz="4" w:space="0" w:color="auto"/>
            </w:tcBorders>
            <w:hideMark/>
          </w:tcPr>
          <w:p w14:paraId="4C52CBF3"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86,0</w:t>
            </w:r>
          </w:p>
        </w:tc>
        <w:tc>
          <w:tcPr>
            <w:tcW w:w="458" w:type="pct"/>
            <w:tcBorders>
              <w:top w:val="single" w:sz="4" w:space="0" w:color="auto"/>
              <w:left w:val="single" w:sz="4" w:space="0" w:color="auto"/>
              <w:bottom w:val="single" w:sz="4" w:space="0" w:color="auto"/>
              <w:right w:val="single" w:sz="4" w:space="0" w:color="auto"/>
            </w:tcBorders>
            <w:hideMark/>
          </w:tcPr>
          <w:p w14:paraId="1F670092"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70,7</w:t>
            </w:r>
          </w:p>
        </w:tc>
        <w:tc>
          <w:tcPr>
            <w:tcW w:w="459" w:type="pct"/>
            <w:tcBorders>
              <w:top w:val="single" w:sz="4" w:space="0" w:color="auto"/>
              <w:left w:val="single" w:sz="4" w:space="0" w:color="auto"/>
              <w:bottom w:val="single" w:sz="4" w:space="0" w:color="auto"/>
              <w:right w:val="single" w:sz="4" w:space="0" w:color="auto"/>
            </w:tcBorders>
            <w:hideMark/>
          </w:tcPr>
          <w:p w14:paraId="4D8DABF8"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76,3</w:t>
            </w:r>
          </w:p>
        </w:tc>
        <w:tc>
          <w:tcPr>
            <w:tcW w:w="532" w:type="pct"/>
            <w:tcBorders>
              <w:top w:val="single" w:sz="4" w:space="0" w:color="auto"/>
              <w:left w:val="single" w:sz="4" w:space="0" w:color="auto"/>
              <w:bottom w:val="single" w:sz="4" w:space="0" w:color="auto"/>
              <w:right w:val="single" w:sz="4" w:space="0" w:color="auto"/>
            </w:tcBorders>
          </w:tcPr>
          <w:p w14:paraId="4F0B1525" w14:textId="77777777" w:rsidR="00FD12F8" w:rsidRPr="00C6748E" w:rsidRDefault="00FD12F8" w:rsidP="00000191">
            <w:pPr>
              <w:jc w:val="center"/>
              <w:rPr>
                <w:rFonts w:asciiTheme="minorHAnsi" w:hAnsiTheme="minorHAnsi" w:cstheme="minorHAnsi"/>
                <w:sz w:val="16"/>
                <w:szCs w:val="16"/>
                <w:lang w:val="ro-MD"/>
              </w:rPr>
            </w:pPr>
            <w:r w:rsidRPr="00C6748E">
              <w:rPr>
                <w:rFonts w:asciiTheme="minorHAnsi" w:hAnsiTheme="minorHAnsi" w:cstheme="minorHAnsi"/>
                <w:sz w:val="16"/>
                <w:szCs w:val="16"/>
                <w:lang w:val="ro-MD"/>
              </w:rPr>
              <w:t>122,7</w:t>
            </w:r>
          </w:p>
        </w:tc>
        <w:tc>
          <w:tcPr>
            <w:tcW w:w="534" w:type="pct"/>
            <w:tcBorders>
              <w:top w:val="single" w:sz="4" w:space="0" w:color="auto"/>
              <w:left w:val="single" w:sz="4" w:space="0" w:color="auto"/>
              <w:bottom w:val="single" w:sz="4" w:space="0" w:color="auto"/>
              <w:right w:val="single" w:sz="4" w:space="0" w:color="auto"/>
            </w:tcBorders>
          </w:tcPr>
          <w:p w14:paraId="7737144A"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55,0</w:t>
            </w:r>
          </w:p>
        </w:tc>
        <w:tc>
          <w:tcPr>
            <w:tcW w:w="429" w:type="pct"/>
            <w:tcBorders>
              <w:top w:val="single" w:sz="4" w:space="0" w:color="auto"/>
              <w:left w:val="single" w:sz="4" w:space="0" w:color="auto"/>
              <w:bottom w:val="single" w:sz="4" w:space="0" w:color="auto"/>
              <w:right w:val="single" w:sz="4" w:space="0" w:color="auto"/>
            </w:tcBorders>
          </w:tcPr>
          <w:p w14:paraId="171251A6"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76,0</w:t>
            </w:r>
          </w:p>
        </w:tc>
      </w:tr>
      <w:tr w:rsidR="00FD12F8" w:rsidRPr="00192930" w14:paraId="67469D90"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1D4210CC"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II.2</w:t>
            </w:r>
          </w:p>
        </w:tc>
        <w:tc>
          <w:tcPr>
            <w:tcW w:w="1765" w:type="pct"/>
            <w:tcBorders>
              <w:top w:val="single" w:sz="4" w:space="0" w:color="auto"/>
              <w:left w:val="single" w:sz="4" w:space="0" w:color="auto"/>
              <w:bottom w:val="single" w:sz="4" w:space="0" w:color="auto"/>
              <w:right w:val="single" w:sz="4" w:space="0" w:color="auto"/>
            </w:tcBorders>
            <w:hideMark/>
          </w:tcPr>
          <w:p w14:paraId="0A8B2360"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Rambursări de împrumuturi și dob</w:t>
            </w:r>
            <w:r w:rsidRPr="00166A39">
              <w:rPr>
                <w:rFonts w:asciiTheme="minorHAnsi" w:hAnsiTheme="minorHAnsi" w:cstheme="minorHAnsi"/>
                <w:b/>
                <w:sz w:val="16"/>
                <w:szCs w:val="16"/>
                <w:lang w:val="ro-MD"/>
              </w:rPr>
              <w:t>î</w:t>
            </w:r>
            <w:r w:rsidRPr="00166A39">
              <w:rPr>
                <w:rFonts w:asciiTheme="minorHAnsi" w:hAnsiTheme="minorHAnsi" w:cstheme="minorHAnsi"/>
                <w:b/>
                <w:sz w:val="16"/>
                <w:szCs w:val="16"/>
              </w:rPr>
              <w:t>nzi aferente, total (II.2.1+II.2.2)</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16D8D55F"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66,36</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177E5988"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66,29</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653D7CD6"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69,21</w:t>
            </w:r>
          </w:p>
        </w:tc>
        <w:tc>
          <w:tcPr>
            <w:tcW w:w="532" w:type="pct"/>
            <w:tcBorders>
              <w:top w:val="single" w:sz="4" w:space="0" w:color="auto"/>
              <w:left w:val="single" w:sz="4" w:space="0" w:color="auto"/>
              <w:bottom w:val="single" w:sz="4" w:space="0" w:color="auto"/>
              <w:right w:val="single" w:sz="4" w:space="0" w:color="auto"/>
            </w:tcBorders>
          </w:tcPr>
          <w:p w14:paraId="02EB140F"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77,7</w:t>
            </w:r>
          </w:p>
        </w:tc>
        <w:tc>
          <w:tcPr>
            <w:tcW w:w="534" w:type="pct"/>
            <w:tcBorders>
              <w:top w:val="single" w:sz="4" w:space="0" w:color="auto"/>
              <w:left w:val="single" w:sz="4" w:space="0" w:color="auto"/>
              <w:bottom w:val="single" w:sz="4" w:space="0" w:color="auto"/>
              <w:right w:val="single" w:sz="4" w:space="0" w:color="auto"/>
            </w:tcBorders>
          </w:tcPr>
          <w:p w14:paraId="0F6D2FA9"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89,11</w:t>
            </w:r>
          </w:p>
        </w:tc>
        <w:tc>
          <w:tcPr>
            <w:tcW w:w="429" w:type="pct"/>
            <w:tcBorders>
              <w:top w:val="single" w:sz="4" w:space="0" w:color="auto"/>
              <w:left w:val="single" w:sz="4" w:space="0" w:color="auto"/>
              <w:bottom w:val="single" w:sz="4" w:space="0" w:color="auto"/>
              <w:right w:val="single" w:sz="4" w:space="0" w:color="auto"/>
            </w:tcBorders>
          </w:tcPr>
          <w:p w14:paraId="6ACA2050"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132,7</w:t>
            </w:r>
          </w:p>
        </w:tc>
      </w:tr>
      <w:tr w:rsidR="00FD12F8" w:rsidRPr="00192930" w14:paraId="5217D97C"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1B178AEF"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7139C2B2"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din care rambursarea garanțiilor</w:t>
            </w:r>
          </w:p>
        </w:tc>
        <w:tc>
          <w:tcPr>
            <w:tcW w:w="458" w:type="pct"/>
            <w:tcBorders>
              <w:top w:val="single" w:sz="4" w:space="0" w:color="auto"/>
              <w:left w:val="single" w:sz="4" w:space="0" w:color="auto"/>
              <w:bottom w:val="single" w:sz="4" w:space="0" w:color="auto"/>
              <w:right w:val="single" w:sz="4" w:space="0" w:color="auto"/>
            </w:tcBorders>
            <w:hideMark/>
          </w:tcPr>
          <w:p w14:paraId="4FEF18A1"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7,08</w:t>
            </w:r>
          </w:p>
        </w:tc>
        <w:tc>
          <w:tcPr>
            <w:tcW w:w="458" w:type="pct"/>
            <w:tcBorders>
              <w:top w:val="single" w:sz="4" w:space="0" w:color="auto"/>
              <w:left w:val="single" w:sz="4" w:space="0" w:color="auto"/>
              <w:bottom w:val="single" w:sz="4" w:space="0" w:color="auto"/>
              <w:right w:val="single" w:sz="4" w:space="0" w:color="auto"/>
            </w:tcBorders>
            <w:hideMark/>
          </w:tcPr>
          <w:p w14:paraId="2290BCF8"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5,12</w:t>
            </w:r>
          </w:p>
        </w:tc>
        <w:tc>
          <w:tcPr>
            <w:tcW w:w="459" w:type="pct"/>
            <w:tcBorders>
              <w:top w:val="single" w:sz="4" w:space="0" w:color="auto"/>
              <w:left w:val="single" w:sz="4" w:space="0" w:color="auto"/>
              <w:bottom w:val="single" w:sz="4" w:space="0" w:color="auto"/>
              <w:right w:val="single" w:sz="4" w:space="0" w:color="auto"/>
            </w:tcBorders>
            <w:hideMark/>
          </w:tcPr>
          <w:p w14:paraId="25AE3FD3"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0,91</w:t>
            </w:r>
          </w:p>
        </w:tc>
        <w:tc>
          <w:tcPr>
            <w:tcW w:w="532" w:type="pct"/>
            <w:tcBorders>
              <w:top w:val="single" w:sz="4" w:space="0" w:color="auto"/>
              <w:left w:val="single" w:sz="4" w:space="0" w:color="auto"/>
              <w:bottom w:val="single" w:sz="4" w:space="0" w:color="auto"/>
              <w:right w:val="single" w:sz="4" w:space="0" w:color="auto"/>
            </w:tcBorders>
          </w:tcPr>
          <w:p w14:paraId="28D3514E"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w:t>
            </w:r>
          </w:p>
        </w:tc>
        <w:tc>
          <w:tcPr>
            <w:tcW w:w="534" w:type="pct"/>
            <w:tcBorders>
              <w:top w:val="single" w:sz="4" w:space="0" w:color="auto"/>
              <w:left w:val="single" w:sz="4" w:space="0" w:color="auto"/>
              <w:bottom w:val="single" w:sz="4" w:space="0" w:color="auto"/>
              <w:right w:val="single" w:sz="4" w:space="0" w:color="auto"/>
            </w:tcBorders>
          </w:tcPr>
          <w:p w14:paraId="4DE2D408"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2,06</w:t>
            </w:r>
          </w:p>
        </w:tc>
        <w:tc>
          <w:tcPr>
            <w:tcW w:w="429" w:type="pct"/>
            <w:tcBorders>
              <w:top w:val="single" w:sz="4" w:space="0" w:color="auto"/>
              <w:left w:val="single" w:sz="4" w:space="0" w:color="auto"/>
              <w:bottom w:val="single" w:sz="4" w:space="0" w:color="auto"/>
              <w:right w:val="single" w:sz="4" w:space="0" w:color="auto"/>
            </w:tcBorders>
          </w:tcPr>
          <w:p w14:paraId="11ED27AD"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1,34</w:t>
            </w:r>
          </w:p>
        </w:tc>
      </w:tr>
      <w:tr w:rsidR="00FD12F8" w:rsidRPr="00192930" w14:paraId="088AC333"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77FF4861"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II.2.1</w:t>
            </w:r>
          </w:p>
        </w:tc>
        <w:tc>
          <w:tcPr>
            <w:tcW w:w="1765" w:type="pct"/>
            <w:tcBorders>
              <w:top w:val="single" w:sz="4" w:space="0" w:color="auto"/>
              <w:left w:val="single" w:sz="4" w:space="0" w:color="auto"/>
              <w:bottom w:val="single" w:sz="4" w:space="0" w:color="auto"/>
              <w:right w:val="single" w:sz="4" w:space="0" w:color="auto"/>
            </w:tcBorders>
            <w:hideMark/>
          </w:tcPr>
          <w:p w14:paraId="1788A561"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rambursări de dobînzi</w:t>
            </w:r>
          </w:p>
        </w:tc>
        <w:tc>
          <w:tcPr>
            <w:tcW w:w="458" w:type="pct"/>
            <w:tcBorders>
              <w:top w:val="single" w:sz="4" w:space="0" w:color="auto"/>
              <w:left w:val="single" w:sz="4" w:space="0" w:color="auto"/>
              <w:bottom w:val="single" w:sz="4" w:space="0" w:color="auto"/>
              <w:right w:val="single" w:sz="4" w:space="0" w:color="auto"/>
            </w:tcBorders>
            <w:hideMark/>
          </w:tcPr>
          <w:p w14:paraId="703D42B1"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19,65</w:t>
            </w:r>
          </w:p>
        </w:tc>
        <w:tc>
          <w:tcPr>
            <w:tcW w:w="458" w:type="pct"/>
            <w:tcBorders>
              <w:top w:val="single" w:sz="4" w:space="0" w:color="auto"/>
              <w:left w:val="single" w:sz="4" w:space="0" w:color="auto"/>
              <w:bottom w:val="single" w:sz="4" w:space="0" w:color="auto"/>
              <w:right w:val="single" w:sz="4" w:space="0" w:color="auto"/>
            </w:tcBorders>
            <w:hideMark/>
          </w:tcPr>
          <w:p w14:paraId="793472F0"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24,55</w:t>
            </w:r>
          </w:p>
        </w:tc>
        <w:tc>
          <w:tcPr>
            <w:tcW w:w="459" w:type="pct"/>
            <w:tcBorders>
              <w:top w:val="single" w:sz="4" w:space="0" w:color="auto"/>
              <w:left w:val="single" w:sz="4" w:space="0" w:color="auto"/>
              <w:bottom w:val="single" w:sz="4" w:space="0" w:color="auto"/>
              <w:right w:val="single" w:sz="4" w:space="0" w:color="auto"/>
            </w:tcBorders>
            <w:hideMark/>
          </w:tcPr>
          <w:p w14:paraId="6C2A5E17"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29,38</w:t>
            </w:r>
          </w:p>
        </w:tc>
        <w:tc>
          <w:tcPr>
            <w:tcW w:w="532" w:type="pct"/>
            <w:tcBorders>
              <w:top w:val="single" w:sz="4" w:space="0" w:color="auto"/>
              <w:left w:val="single" w:sz="4" w:space="0" w:color="auto"/>
              <w:bottom w:val="single" w:sz="4" w:space="0" w:color="auto"/>
              <w:right w:val="single" w:sz="4" w:space="0" w:color="auto"/>
            </w:tcBorders>
          </w:tcPr>
          <w:p w14:paraId="306890C4"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42,6</w:t>
            </w:r>
          </w:p>
        </w:tc>
        <w:tc>
          <w:tcPr>
            <w:tcW w:w="534" w:type="pct"/>
            <w:tcBorders>
              <w:top w:val="single" w:sz="4" w:space="0" w:color="auto"/>
              <w:left w:val="single" w:sz="4" w:space="0" w:color="auto"/>
              <w:bottom w:val="single" w:sz="4" w:space="0" w:color="auto"/>
              <w:right w:val="single" w:sz="4" w:space="0" w:color="auto"/>
            </w:tcBorders>
          </w:tcPr>
          <w:p w14:paraId="36868526"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47,07</w:t>
            </w:r>
          </w:p>
        </w:tc>
        <w:tc>
          <w:tcPr>
            <w:tcW w:w="429" w:type="pct"/>
            <w:tcBorders>
              <w:top w:val="single" w:sz="4" w:space="0" w:color="auto"/>
              <w:left w:val="single" w:sz="4" w:space="0" w:color="auto"/>
              <w:bottom w:val="single" w:sz="4" w:space="0" w:color="auto"/>
              <w:right w:val="single" w:sz="4" w:space="0" w:color="auto"/>
            </w:tcBorders>
          </w:tcPr>
          <w:p w14:paraId="61AEC364"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57,34</w:t>
            </w:r>
          </w:p>
        </w:tc>
      </w:tr>
      <w:tr w:rsidR="00FD12F8" w:rsidRPr="00192930" w14:paraId="432C3E71"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4E6F3645"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1B81DE7E"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 xml:space="preserve">inclusiv: </w:t>
            </w:r>
          </w:p>
        </w:tc>
        <w:tc>
          <w:tcPr>
            <w:tcW w:w="458" w:type="pct"/>
            <w:tcBorders>
              <w:top w:val="single" w:sz="4" w:space="0" w:color="auto"/>
              <w:left w:val="single" w:sz="4" w:space="0" w:color="auto"/>
              <w:bottom w:val="single" w:sz="4" w:space="0" w:color="auto"/>
              <w:right w:val="single" w:sz="4" w:space="0" w:color="auto"/>
            </w:tcBorders>
          </w:tcPr>
          <w:p w14:paraId="6041510D" w14:textId="77777777" w:rsidR="00FD12F8" w:rsidRPr="00166A39" w:rsidRDefault="00FD12F8" w:rsidP="00000191">
            <w:pPr>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tcPr>
          <w:p w14:paraId="44CF524A" w14:textId="77777777" w:rsidR="00FD12F8" w:rsidRPr="00166A39" w:rsidRDefault="00FD12F8" w:rsidP="00000191">
            <w:pPr>
              <w:jc w:val="center"/>
              <w:rPr>
                <w:rFonts w:asciiTheme="minorHAnsi" w:hAnsiTheme="minorHAnsi" w:cstheme="minorHAnsi"/>
                <w:sz w:val="16"/>
                <w:szCs w:val="16"/>
              </w:rPr>
            </w:pPr>
          </w:p>
        </w:tc>
        <w:tc>
          <w:tcPr>
            <w:tcW w:w="459" w:type="pct"/>
            <w:tcBorders>
              <w:top w:val="single" w:sz="4" w:space="0" w:color="auto"/>
              <w:left w:val="single" w:sz="4" w:space="0" w:color="auto"/>
              <w:bottom w:val="single" w:sz="4" w:space="0" w:color="auto"/>
              <w:right w:val="single" w:sz="4" w:space="0" w:color="auto"/>
            </w:tcBorders>
          </w:tcPr>
          <w:p w14:paraId="6094B04E" w14:textId="77777777" w:rsidR="00FD12F8" w:rsidRPr="00166A39" w:rsidRDefault="00FD12F8" w:rsidP="00000191">
            <w:pPr>
              <w:jc w:val="center"/>
              <w:rPr>
                <w:rFonts w:asciiTheme="minorHAnsi" w:hAnsiTheme="minorHAnsi" w:cstheme="minorHAnsi"/>
                <w:sz w:val="16"/>
                <w:szCs w:val="16"/>
              </w:rPr>
            </w:pPr>
          </w:p>
        </w:tc>
        <w:tc>
          <w:tcPr>
            <w:tcW w:w="532" w:type="pct"/>
            <w:tcBorders>
              <w:top w:val="single" w:sz="4" w:space="0" w:color="auto"/>
              <w:left w:val="single" w:sz="4" w:space="0" w:color="auto"/>
              <w:bottom w:val="single" w:sz="4" w:space="0" w:color="auto"/>
              <w:right w:val="single" w:sz="4" w:space="0" w:color="auto"/>
            </w:tcBorders>
          </w:tcPr>
          <w:p w14:paraId="433C8EDB" w14:textId="77777777" w:rsidR="00FD12F8" w:rsidRPr="00166A39" w:rsidRDefault="00FD12F8" w:rsidP="00000191">
            <w:pPr>
              <w:jc w:val="center"/>
              <w:rPr>
                <w:rFonts w:asciiTheme="minorHAnsi" w:hAnsiTheme="minorHAnsi" w:cstheme="minorHAnsi"/>
                <w:sz w:val="16"/>
                <w:szCs w:val="16"/>
              </w:rPr>
            </w:pPr>
          </w:p>
        </w:tc>
        <w:tc>
          <w:tcPr>
            <w:tcW w:w="534" w:type="pct"/>
            <w:tcBorders>
              <w:top w:val="single" w:sz="4" w:space="0" w:color="auto"/>
              <w:left w:val="single" w:sz="4" w:space="0" w:color="auto"/>
              <w:bottom w:val="single" w:sz="4" w:space="0" w:color="auto"/>
              <w:right w:val="single" w:sz="4" w:space="0" w:color="auto"/>
            </w:tcBorders>
          </w:tcPr>
          <w:p w14:paraId="05413E54" w14:textId="77777777" w:rsidR="00FD12F8" w:rsidRPr="00166A39" w:rsidRDefault="00FD12F8" w:rsidP="00000191">
            <w:pPr>
              <w:jc w:val="center"/>
              <w:rPr>
                <w:rFonts w:asciiTheme="minorHAnsi" w:hAnsiTheme="minorHAnsi" w:cstheme="minorHAnsi"/>
                <w:sz w:val="16"/>
                <w:szCs w:val="16"/>
              </w:rPr>
            </w:pPr>
          </w:p>
        </w:tc>
        <w:tc>
          <w:tcPr>
            <w:tcW w:w="429" w:type="pct"/>
            <w:tcBorders>
              <w:top w:val="single" w:sz="4" w:space="0" w:color="auto"/>
              <w:left w:val="single" w:sz="4" w:space="0" w:color="auto"/>
              <w:bottom w:val="single" w:sz="4" w:space="0" w:color="auto"/>
              <w:right w:val="single" w:sz="4" w:space="0" w:color="auto"/>
            </w:tcBorders>
          </w:tcPr>
          <w:p w14:paraId="3300DD08" w14:textId="77777777" w:rsidR="00FD12F8" w:rsidRPr="00166A39" w:rsidRDefault="00FD12F8" w:rsidP="00000191">
            <w:pPr>
              <w:jc w:val="center"/>
              <w:rPr>
                <w:rFonts w:asciiTheme="minorHAnsi" w:hAnsiTheme="minorHAnsi" w:cstheme="minorHAnsi"/>
                <w:sz w:val="16"/>
                <w:szCs w:val="16"/>
              </w:rPr>
            </w:pPr>
          </w:p>
        </w:tc>
      </w:tr>
      <w:tr w:rsidR="00FD12F8" w:rsidRPr="00192930" w14:paraId="1FACE6BD"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13645A48"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0BE83ED9"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Î.S.</w:t>
            </w:r>
          </w:p>
        </w:tc>
        <w:tc>
          <w:tcPr>
            <w:tcW w:w="458" w:type="pct"/>
            <w:tcBorders>
              <w:top w:val="single" w:sz="4" w:space="0" w:color="auto"/>
              <w:left w:val="single" w:sz="4" w:space="0" w:color="auto"/>
              <w:bottom w:val="single" w:sz="4" w:space="0" w:color="auto"/>
              <w:right w:val="single" w:sz="4" w:space="0" w:color="auto"/>
            </w:tcBorders>
            <w:hideMark/>
          </w:tcPr>
          <w:p w14:paraId="67BFB145"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19,58</w:t>
            </w:r>
          </w:p>
        </w:tc>
        <w:tc>
          <w:tcPr>
            <w:tcW w:w="458" w:type="pct"/>
            <w:tcBorders>
              <w:top w:val="single" w:sz="4" w:space="0" w:color="auto"/>
              <w:left w:val="single" w:sz="4" w:space="0" w:color="auto"/>
              <w:bottom w:val="single" w:sz="4" w:space="0" w:color="auto"/>
              <w:right w:val="single" w:sz="4" w:space="0" w:color="auto"/>
            </w:tcBorders>
            <w:hideMark/>
          </w:tcPr>
          <w:p w14:paraId="400084E0"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24,52</w:t>
            </w:r>
          </w:p>
        </w:tc>
        <w:tc>
          <w:tcPr>
            <w:tcW w:w="459" w:type="pct"/>
            <w:tcBorders>
              <w:top w:val="single" w:sz="4" w:space="0" w:color="auto"/>
              <w:left w:val="single" w:sz="4" w:space="0" w:color="auto"/>
              <w:bottom w:val="single" w:sz="4" w:space="0" w:color="auto"/>
              <w:right w:val="single" w:sz="4" w:space="0" w:color="auto"/>
            </w:tcBorders>
            <w:hideMark/>
          </w:tcPr>
          <w:p w14:paraId="6EF652EC"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28,01</w:t>
            </w:r>
          </w:p>
        </w:tc>
        <w:tc>
          <w:tcPr>
            <w:tcW w:w="532" w:type="pct"/>
            <w:tcBorders>
              <w:top w:val="single" w:sz="4" w:space="0" w:color="auto"/>
              <w:left w:val="single" w:sz="4" w:space="0" w:color="auto"/>
              <w:bottom w:val="single" w:sz="4" w:space="0" w:color="auto"/>
              <w:right w:val="single" w:sz="4" w:space="0" w:color="auto"/>
            </w:tcBorders>
          </w:tcPr>
          <w:p w14:paraId="7AD827DC"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31,5</w:t>
            </w:r>
          </w:p>
        </w:tc>
        <w:tc>
          <w:tcPr>
            <w:tcW w:w="534" w:type="pct"/>
            <w:tcBorders>
              <w:top w:val="single" w:sz="4" w:space="0" w:color="auto"/>
              <w:left w:val="single" w:sz="4" w:space="0" w:color="auto"/>
              <w:bottom w:val="single" w:sz="4" w:space="0" w:color="auto"/>
              <w:right w:val="single" w:sz="4" w:space="0" w:color="auto"/>
            </w:tcBorders>
          </w:tcPr>
          <w:p w14:paraId="517E1423"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30,34</w:t>
            </w:r>
          </w:p>
        </w:tc>
        <w:tc>
          <w:tcPr>
            <w:tcW w:w="429" w:type="pct"/>
            <w:tcBorders>
              <w:top w:val="single" w:sz="4" w:space="0" w:color="auto"/>
              <w:left w:val="single" w:sz="4" w:space="0" w:color="auto"/>
              <w:bottom w:val="single" w:sz="4" w:space="0" w:color="auto"/>
              <w:right w:val="single" w:sz="4" w:space="0" w:color="auto"/>
            </w:tcBorders>
          </w:tcPr>
          <w:p w14:paraId="6CD76E3C"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34,39</w:t>
            </w:r>
          </w:p>
        </w:tc>
      </w:tr>
      <w:tr w:rsidR="00FD12F8" w:rsidRPr="00192930" w14:paraId="3832E420"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471CACB6"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321AA9F8"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 xml:space="preserve">S.A. </w:t>
            </w:r>
          </w:p>
        </w:tc>
        <w:tc>
          <w:tcPr>
            <w:tcW w:w="458" w:type="pct"/>
            <w:tcBorders>
              <w:top w:val="single" w:sz="4" w:space="0" w:color="auto"/>
              <w:left w:val="single" w:sz="4" w:space="0" w:color="auto"/>
              <w:bottom w:val="single" w:sz="4" w:space="0" w:color="auto"/>
              <w:right w:val="single" w:sz="4" w:space="0" w:color="auto"/>
            </w:tcBorders>
            <w:hideMark/>
          </w:tcPr>
          <w:p w14:paraId="43F75F7E"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0,07</w:t>
            </w:r>
          </w:p>
        </w:tc>
        <w:tc>
          <w:tcPr>
            <w:tcW w:w="458" w:type="pct"/>
            <w:tcBorders>
              <w:top w:val="single" w:sz="4" w:space="0" w:color="auto"/>
              <w:left w:val="single" w:sz="4" w:space="0" w:color="auto"/>
              <w:bottom w:val="single" w:sz="4" w:space="0" w:color="auto"/>
              <w:right w:val="single" w:sz="4" w:space="0" w:color="auto"/>
            </w:tcBorders>
            <w:hideMark/>
          </w:tcPr>
          <w:p w14:paraId="04173ACC"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0,03</w:t>
            </w:r>
          </w:p>
        </w:tc>
        <w:tc>
          <w:tcPr>
            <w:tcW w:w="459" w:type="pct"/>
            <w:tcBorders>
              <w:top w:val="single" w:sz="4" w:space="0" w:color="auto"/>
              <w:left w:val="single" w:sz="4" w:space="0" w:color="auto"/>
              <w:bottom w:val="single" w:sz="4" w:space="0" w:color="auto"/>
              <w:right w:val="single" w:sz="4" w:space="0" w:color="auto"/>
            </w:tcBorders>
            <w:hideMark/>
          </w:tcPr>
          <w:p w14:paraId="0A37454E"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1,37</w:t>
            </w:r>
          </w:p>
        </w:tc>
        <w:tc>
          <w:tcPr>
            <w:tcW w:w="532" w:type="pct"/>
            <w:tcBorders>
              <w:top w:val="single" w:sz="4" w:space="0" w:color="auto"/>
              <w:left w:val="single" w:sz="4" w:space="0" w:color="auto"/>
              <w:bottom w:val="single" w:sz="4" w:space="0" w:color="auto"/>
              <w:right w:val="single" w:sz="4" w:space="0" w:color="auto"/>
            </w:tcBorders>
          </w:tcPr>
          <w:p w14:paraId="056A86B9"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11,1</w:t>
            </w:r>
          </w:p>
        </w:tc>
        <w:tc>
          <w:tcPr>
            <w:tcW w:w="534" w:type="pct"/>
            <w:tcBorders>
              <w:top w:val="single" w:sz="4" w:space="0" w:color="auto"/>
              <w:left w:val="single" w:sz="4" w:space="0" w:color="auto"/>
              <w:bottom w:val="single" w:sz="4" w:space="0" w:color="auto"/>
              <w:right w:val="single" w:sz="4" w:space="0" w:color="auto"/>
            </w:tcBorders>
          </w:tcPr>
          <w:p w14:paraId="62BF2253"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16,73</w:t>
            </w:r>
          </w:p>
        </w:tc>
        <w:tc>
          <w:tcPr>
            <w:tcW w:w="429" w:type="pct"/>
            <w:tcBorders>
              <w:top w:val="single" w:sz="4" w:space="0" w:color="auto"/>
              <w:left w:val="single" w:sz="4" w:space="0" w:color="auto"/>
              <w:bottom w:val="single" w:sz="4" w:space="0" w:color="auto"/>
              <w:right w:val="single" w:sz="4" w:space="0" w:color="auto"/>
            </w:tcBorders>
          </w:tcPr>
          <w:p w14:paraId="5994B00E"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22,95</w:t>
            </w:r>
          </w:p>
        </w:tc>
      </w:tr>
      <w:tr w:rsidR="00FD12F8" w:rsidRPr="00192930" w14:paraId="50FE0227"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13666DB4"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II.2.2</w:t>
            </w:r>
          </w:p>
        </w:tc>
        <w:tc>
          <w:tcPr>
            <w:tcW w:w="1765" w:type="pct"/>
            <w:tcBorders>
              <w:top w:val="single" w:sz="4" w:space="0" w:color="auto"/>
              <w:left w:val="single" w:sz="4" w:space="0" w:color="auto"/>
              <w:bottom w:val="single" w:sz="4" w:space="0" w:color="auto"/>
              <w:right w:val="single" w:sz="4" w:space="0" w:color="auto"/>
            </w:tcBorders>
            <w:hideMark/>
          </w:tcPr>
          <w:p w14:paraId="5B8B5035"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rambursări de împrumuturi</w:t>
            </w:r>
          </w:p>
        </w:tc>
        <w:tc>
          <w:tcPr>
            <w:tcW w:w="458" w:type="pct"/>
            <w:tcBorders>
              <w:top w:val="single" w:sz="4" w:space="0" w:color="auto"/>
              <w:left w:val="single" w:sz="4" w:space="0" w:color="auto"/>
              <w:bottom w:val="single" w:sz="4" w:space="0" w:color="auto"/>
              <w:right w:val="single" w:sz="4" w:space="0" w:color="auto"/>
            </w:tcBorders>
            <w:hideMark/>
          </w:tcPr>
          <w:p w14:paraId="0A90D57A"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46,71</w:t>
            </w:r>
          </w:p>
        </w:tc>
        <w:tc>
          <w:tcPr>
            <w:tcW w:w="458" w:type="pct"/>
            <w:tcBorders>
              <w:top w:val="single" w:sz="4" w:space="0" w:color="auto"/>
              <w:left w:val="single" w:sz="4" w:space="0" w:color="auto"/>
              <w:bottom w:val="single" w:sz="4" w:space="0" w:color="auto"/>
              <w:right w:val="single" w:sz="4" w:space="0" w:color="auto"/>
            </w:tcBorders>
            <w:hideMark/>
          </w:tcPr>
          <w:p w14:paraId="715A6316"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41,74</w:t>
            </w:r>
          </w:p>
        </w:tc>
        <w:tc>
          <w:tcPr>
            <w:tcW w:w="459" w:type="pct"/>
            <w:tcBorders>
              <w:top w:val="single" w:sz="4" w:space="0" w:color="auto"/>
              <w:left w:val="single" w:sz="4" w:space="0" w:color="auto"/>
              <w:bottom w:val="single" w:sz="4" w:space="0" w:color="auto"/>
              <w:right w:val="single" w:sz="4" w:space="0" w:color="auto"/>
            </w:tcBorders>
            <w:hideMark/>
          </w:tcPr>
          <w:p w14:paraId="339844EB"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39,83</w:t>
            </w:r>
          </w:p>
        </w:tc>
        <w:tc>
          <w:tcPr>
            <w:tcW w:w="532" w:type="pct"/>
            <w:tcBorders>
              <w:top w:val="single" w:sz="4" w:space="0" w:color="auto"/>
              <w:left w:val="single" w:sz="4" w:space="0" w:color="auto"/>
              <w:bottom w:val="single" w:sz="4" w:space="0" w:color="auto"/>
              <w:right w:val="single" w:sz="4" w:space="0" w:color="auto"/>
            </w:tcBorders>
          </w:tcPr>
          <w:p w14:paraId="7398C402"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35,1</w:t>
            </w:r>
          </w:p>
        </w:tc>
        <w:tc>
          <w:tcPr>
            <w:tcW w:w="534" w:type="pct"/>
            <w:tcBorders>
              <w:top w:val="single" w:sz="4" w:space="0" w:color="auto"/>
              <w:left w:val="single" w:sz="4" w:space="0" w:color="auto"/>
              <w:bottom w:val="single" w:sz="4" w:space="0" w:color="auto"/>
              <w:right w:val="single" w:sz="4" w:space="0" w:color="auto"/>
            </w:tcBorders>
          </w:tcPr>
          <w:p w14:paraId="46A47C5C"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45,</w:t>
            </w:r>
            <w:r>
              <w:rPr>
                <w:rFonts w:asciiTheme="minorHAnsi" w:hAnsiTheme="minorHAnsi" w:cstheme="minorHAnsi"/>
                <w:b/>
                <w:sz w:val="16"/>
                <w:szCs w:val="16"/>
                <w:lang w:val="ro-MD"/>
              </w:rPr>
              <w:t>48</w:t>
            </w:r>
          </w:p>
        </w:tc>
        <w:tc>
          <w:tcPr>
            <w:tcW w:w="429" w:type="pct"/>
            <w:tcBorders>
              <w:top w:val="single" w:sz="4" w:space="0" w:color="auto"/>
              <w:left w:val="single" w:sz="4" w:space="0" w:color="auto"/>
              <w:bottom w:val="single" w:sz="4" w:space="0" w:color="auto"/>
              <w:right w:val="single" w:sz="4" w:space="0" w:color="auto"/>
            </w:tcBorders>
          </w:tcPr>
          <w:p w14:paraId="2F43A42C"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75,36</w:t>
            </w:r>
          </w:p>
        </w:tc>
      </w:tr>
      <w:tr w:rsidR="00FD12F8" w:rsidRPr="00192930" w14:paraId="571D0025"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3BA567A9"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5386A1E6"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 xml:space="preserve">inclusiv: </w:t>
            </w:r>
          </w:p>
        </w:tc>
        <w:tc>
          <w:tcPr>
            <w:tcW w:w="458" w:type="pct"/>
            <w:tcBorders>
              <w:top w:val="single" w:sz="4" w:space="0" w:color="auto"/>
              <w:left w:val="single" w:sz="4" w:space="0" w:color="auto"/>
              <w:bottom w:val="single" w:sz="4" w:space="0" w:color="auto"/>
              <w:right w:val="single" w:sz="4" w:space="0" w:color="auto"/>
            </w:tcBorders>
          </w:tcPr>
          <w:p w14:paraId="6EFDD6C8" w14:textId="77777777" w:rsidR="00FD12F8" w:rsidRPr="00166A39" w:rsidRDefault="00FD12F8" w:rsidP="00000191">
            <w:pPr>
              <w:jc w:val="center"/>
              <w:rPr>
                <w:rFonts w:asciiTheme="minorHAnsi" w:hAnsiTheme="minorHAnsi" w:cstheme="minorHAnsi"/>
                <w:sz w:val="16"/>
                <w:szCs w:val="16"/>
              </w:rPr>
            </w:pPr>
          </w:p>
        </w:tc>
        <w:tc>
          <w:tcPr>
            <w:tcW w:w="458" w:type="pct"/>
            <w:tcBorders>
              <w:top w:val="single" w:sz="4" w:space="0" w:color="auto"/>
              <w:left w:val="single" w:sz="4" w:space="0" w:color="auto"/>
              <w:bottom w:val="single" w:sz="4" w:space="0" w:color="auto"/>
              <w:right w:val="single" w:sz="4" w:space="0" w:color="auto"/>
            </w:tcBorders>
          </w:tcPr>
          <w:p w14:paraId="1B25BBE2" w14:textId="77777777" w:rsidR="00FD12F8" w:rsidRPr="00166A39" w:rsidRDefault="00FD12F8" w:rsidP="00000191">
            <w:pPr>
              <w:jc w:val="center"/>
              <w:rPr>
                <w:rFonts w:asciiTheme="minorHAnsi" w:hAnsiTheme="minorHAnsi" w:cstheme="minorHAnsi"/>
                <w:sz w:val="16"/>
                <w:szCs w:val="16"/>
              </w:rPr>
            </w:pPr>
          </w:p>
        </w:tc>
        <w:tc>
          <w:tcPr>
            <w:tcW w:w="459" w:type="pct"/>
            <w:tcBorders>
              <w:top w:val="single" w:sz="4" w:space="0" w:color="auto"/>
              <w:left w:val="single" w:sz="4" w:space="0" w:color="auto"/>
              <w:bottom w:val="single" w:sz="4" w:space="0" w:color="auto"/>
              <w:right w:val="single" w:sz="4" w:space="0" w:color="auto"/>
            </w:tcBorders>
          </w:tcPr>
          <w:p w14:paraId="11A57F15" w14:textId="77777777" w:rsidR="00FD12F8" w:rsidRPr="00166A39" w:rsidRDefault="00FD12F8" w:rsidP="00000191">
            <w:pPr>
              <w:jc w:val="center"/>
              <w:rPr>
                <w:rFonts w:asciiTheme="minorHAnsi" w:hAnsiTheme="minorHAnsi" w:cstheme="minorHAnsi"/>
                <w:sz w:val="16"/>
                <w:szCs w:val="16"/>
              </w:rPr>
            </w:pPr>
          </w:p>
        </w:tc>
        <w:tc>
          <w:tcPr>
            <w:tcW w:w="532" w:type="pct"/>
            <w:tcBorders>
              <w:top w:val="single" w:sz="4" w:space="0" w:color="auto"/>
              <w:left w:val="single" w:sz="4" w:space="0" w:color="auto"/>
              <w:bottom w:val="single" w:sz="4" w:space="0" w:color="auto"/>
              <w:right w:val="single" w:sz="4" w:space="0" w:color="auto"/>
            </w:tcBorders>
          </w:tcPr>
          <w:p w14:paraId="15090207" w14:textId="77777777" w:rsidR="00FD12F8" w:rsidRPr="00166A39" w:rsidRDefault="00FD12F8" w:rsidP="00000191">
            <w:pPr>
              <w:jc w:val="center"/>
              <w:rPr>
                <w:rFonts w:asciiTheme="minorHAnsi" w:hAnsiTheme="minorHAnsi" w:cstheme="minorHAnsi"/>
                <w:sz w:val="16"/>
                <w:szCs w:val="16"/>
              </w:rPr>
            </w:pPr>
          </w:p>
        </w:tc>
        <w:tc>
          <w:tcPr>
            <w:tcW w:w="534" w:type="pct"/>
            <w:tcBorders>
              <w:top w:val="single" w:sz="4" w:space="0" w:color="auto"/>
              <w:left w:val="single" w:sz="4" w:space="0" w:color="auto"/>
              <w:bottom w:val="single" w:sz="4" w:space="0" w:color="auto"/>
              <w:right w:val="single" w:sz="4" w:space="0" w:color="auto"/>
            </w:tcBorders>
          </w:tcPr>
          <w:p w14:paraId="159F7F44" w14:textId="77777777" w:rsidR="00FD12F8" w:rsidRPr="00166A39" w:rsidRDefault="00FD12F8" w:rsidP="00000191">
            <w:pPr>
              <w:jc w:val="center"/>
              <w:rPr>
                <w:rFonts w:asciiTheme="minorHAnsi" w:hAnsiTheme="minorHAnsi" w:cstheme="minorHAnsi"/>
                <w:sz w:val="16"/>
                <w:szCs w:val="16"/>
              </w:rPr>
            </w:pPr>
          </w:p>
        </w:tc>
        <w:tc>
          <w:tcPr>
            <w:tcW w:w="429" w:type="pct"/>
            <w:tcBorders>
              <w:top w:val="single" w:sz="4" w:space="0" w:color="auto"/>
              <w:left w:val="single" w:sz="4" w:space="0" w:color="auto"/>
              <w:bottom w:val="single" w:sz="4" w:space="0" w:color="auto"/>
              <w:right w:val="single" w:sz="4" w:space="0" w:color="auto"/>
            </w:tcBorders>
          </w:tcPr>
          <w:p w14:paraId="22E21A70" w14:textId="77777777" w:rsidR="00FD12F8" w:rsidRPr="00166A39" w:rsidRDefault="00FD12F8" w:rsidP="00000191">
            <w:pPr>
              <w:jc w:val="center"/>
              <w:rPr>
                <w:rFonts w:asciiTheme="minorHAnsi" w:hAnsiTheme="minorHAnsi" w:cstheme="minorHAnsi"/>
                <w:sz w:val="16"/>
                <w:szCs w:val="16"/>
              </w:rPr>
            </w:pPr>
          </w:p>
        </w:tc>
      </w:tr>
      <w:tr w:rsidR="00FD12F8" w:rsidRPr="00192930" w14:paraId="3EA618A7"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0E9B73E5"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7CB9D39B"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Î.S.</w:t>
            </w:r>
          </w:p>
        </w:tc>
        <w:tc>
          <w:tcPr>
            <w:tcW w:w="458" w:type="pct"/>
            <w:tcBorders>
              <w:top w:val="single" w:sz="4" w:space="0" w:color="auto"/>
              <w:left w:val="single" w:sz="4" w:space="0" w:color="auto"/>
              <w:bottom w:val="single" w:sz="4" w:space="0" w:color="auto"/>
              <w:right w:val="single" w:sz="4" w:space="0" w:color="auto"/>
            </w:tcBorders>
            <w:hideMark/>
          </w:tcPr>
          <w:p w14:paraId="7FF7E315"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41,66</w:t>
            </w:r>
          </w:p>
        </w:tc>
        <w:tc>
          <w:tcPr>
            <w:tcW w:w="458" w:type="pct"/>
            <w:tcBorders>
              <w:top w:val="single" w:sz="4" w:space="0" w:color="auto"/>
              <w:left w:val="single" w:sz="4" w:space="0" w:color="auto"/>
              <w:bottom w:val="single" w:sz="4" w:space="0" w:color="auto"/>
              <w:right w:val="single" w:sz="4" w:space="0" w:color="auto"/>
            </w:tcBorders>
            <w:hideMark/>
          </w:tcPr>
          <w:p w14:paraId="63CF8D8B"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36,02</w:t>
            </w:r>
          </w:p>
        </w:tc>
        <w:tc>
          <w:tcPr>
            <w:tcW w:w="459" w:type="pct"/>
            <w:tcBorders>
              <w:top w:val="single" w:sz="4" w:space="0" w:color="auto"/>
              <w:left w:val="single" w:sz="4" w:space="0" w:color="auto"/>
              <w:bottom w:val="single" w:sz="4" w:space="0" w:color="auto"/>
              <w:right w:val="single" w:sz="4" w:space="0" w:color="auto"/>
            </w:tcBorders>
            <w:hideMark/>
          </w:tcPr>
          <w:p w14:paraId="2C760382"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37,98</w:t>
            </w:r>
          </w:p>
        </w:tc>
        <w:tc>
          <w:tcPr>
            <w:tcW w:w="532" w:type="pct"/>
            <w:tcBorders>
              <w:top w:val="single" w:sz="4" w:space="0" w:color="auto"/>
              <w:left w:val="single" w:sz="4" w:space="0" w:color="auto"/>
              <w:bottom w:val="single" w:sz="4" w:space="0" w:color="auto"/>
              <w:right w:val="single" w:sz="4" w:space="0" w:color="auto"/>
            </w:tcBorders>
          </w:tcPr>
          <w:p w14:paraId="46716F4A"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35,1</w:t>
            </w:r>
          </w:p>
        </w:tc>
        <w:tc>
          <w:tcPr>
            <w:tcW w:w="534" w:type="pct"/>
            <w:tcBorders>
              <w:top w:val="single" w:sz="4" w:space="0" w:color="auto"/>
              <w:left w:val="single" w:sz="4" w:space="0" w:color="auto"/>
              <w:bottom w:val="single" w:sz="4" w:space="0" w:color="auto"/>
              <w:right w:val="single" w:sz="4" w:space="0" w:color="auto"/>
            </w:tcBorders>
          </w:tcPr>
          <w:p w14:paraId="08C7344A"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42,</w:t>
            </w:r>
            <w:r>
              <w:rPr>
                <w:rFonts w:asciiTheme="minorHAnsi" w:hAnsiTheme="minorHAnsi" w:cstheme="minorHAnsi"/>
                <w:sz w:val="16"/>
                <w:szCs w:val="16"/>
                <w:lang w:val="ro-MD"/>
              </w:rPr>
              <w:t>04</w:t>
            </w:r>
          </w:p>
        </w:tc>
        <w:tc>
          <w:tcPr>
            <w:tcW w:w="429" w:type="pct"/>
            <w:tcBorders>
              <w:top w:val="single" w:sz="4" w:space="0" w:color="auto"/>
              <w:left w:val="single" w:sz="4" w:space="0" w:color="auto"/>
              <w:bottom w:val="single" w:sz="4" w:space="0" w:color="auto"/>
              <w:right w:val="single" w:sz="4" w:space="0" w:color="auto"/>
            </w:tcBorders>
          </w:tcPr>
          <w:p w14:paraId="5D2DBC85"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63,10</w:t>
            </w:r>
          </w:p>
        </w:tc>
      </w:tr>
      <w:tr w:rsidR="00FD12F8" w:rsidRPr="00192930" w14:paraId="330838E1"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tcPr>
          <w:p w14:paraId="050C8C73" w14:textId="77777777" w:rsidR="00FD12F8" w:rsidRPr="00166A39" w:rsidRDefault="00FD12F8" w:rsidP="00000191">
            <w:pPr>
              <w:jc w:val="center"/>
              <w:rPr>
                <w:rFonts w:asciiTheme="minorHAnsi" w:hAnsiTheme="minorHAnsi" w:cstheme="minorHAnsi"/>
                <w:b/>
                <w:sz w:val="16"/>
                <w:szCs w:val="16"/>
              </w:rPr>
            </w:pPr>
          </w:p>
        </w:tc>
        <w:tc>
          <w:tcPr>
            <w:tcW w:w="1765" w:type="pct"/>
            <w:tcBorders>
              <w:top w:val="single" w:sz="4" w:space="0" w:color="auto"/>
              <w:left w:val="single" w:sz="4" w:space="0" w:color="auto"/>
              <w:bottom w:val="single" w:sz="4" w:space="0" w:color="auto"/>
              <w:right w:val="single" w:sz="4" w:space="0" w:color="auto"/>
            </w:tcBorders>
            <w:hideMark/>
          </w:tcPr>
          <w:p w14:paraId="4D74B9B8" w14:textId="77777777" w:rsidR="00FD12F8" w:rsidRPr="00166A39" w:rsidRDefault="00FD12F8" w:rsidP="00000191">
            <w:pPr>
              <w:rPr>
                <w:rFonts w:asciiTheme="minorHAnsi" w:hAnsiTheme="minorHAnsi" w:cstheme="minorHAnsi"/>
                <w:sz w:val="16"/>
                <w:szCs w:val="16"/>
              </w:rPr>
            </w:pPr>
            <w:r w:rsidRPr="00166A39">
              <w:rPr>
                <w:rFonts w:asciiTheme="minorHAnsi" w:hAnsiTheme="minorHAnsi" w:cstheme="minorHAnsi"/>
                <w:sz w:val="16"/>
                <w:szCs w:val="16"/>
              </w:rPr>
              <w:t>S.A.</w:t>
            </w:r>
          </w:p>
        </w:tc>
        <w:tc>
          <w:tcPr>
            <w:tcW w:w="458" w:type="pct"/>
            <w:tcBorders>
              <w:top w:val="single" w:sz="4" w:space="0" w:color="auto"/>
              <w:left w:val="single" w:sz="4" w:space="0" w:color="auto"/>
              <w:bottom w:val="single" w:sz="4" w:space="0" w:color="auto"/>
              <w:right w:val="single" w:sz="4" w:space="0" w:color="auto"/>
            </w:tcBorders>
            <w:hideMark/>
          </w:tcPr>
          <w:p w14:paraId="1205AC8D"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5,05</w:t>
            </w:r>
          </w:p>
        </w:tc>
        <w:tc>
          <w:tcPr>
            <w:tcW w:w="458" w:type="pct"/>
            <w:tcBorders>
              <w:top w:val="single" w:sz="4" w:space="0" w:color="auto"/>
              <w:left w:val="single" w:sz="4" w:space="0" w:color="auto"/>
              <w:bottom w:val="single" w:sz="4" w:space="0" w:color="auto"/>
              <w:right w:val="single" w:sz="4" w:space="0" w:color="auto"/>
            </w:tcBorders>
            <w:hideMark/>
          </w:tcPr>
          <w:p w14:paraId="7EB9557E"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5,72</w:t>
            </w:r>
          </w:p>
        </w:tc>
        <w:tc>
          <w:tcPr>
            <w:tcW w:w="459" w:type="pct"/>
            <w:tcBorders>
              <w:top w:val="single" w:sz="4" w:space="0" w:color="auto"/>
              <w:left w:val="single" w:sz="4" w:space="0" w:color="auto"/>
              <w:bottom w:val="single" w:sz="4" w:space="0" w:color="auto"/>
              <w:right w:val="single" w:sz="4" w:space="0" w:color="auto"/>
            </w:tcBorders>
            <w:hideMark/>
          </w:tcPr>
          <w:p w14:paraId="2711AC6D" w14:textId="77777777" w:rsidR="00FD12F8" w:rsidRPr="00166A39" w:rsidRDefault="00FD12F8" w:rsidP="00000191">
            <w:pPr>
              <w:jc w:val="center"/>
              <w:rPr>
                <w:rFonts w:asciiTheme="minorHAnsi" w:hAnsiTheme="minorHAnsi" w:cstheme="minorHAnsi"/>
                <w:sz w:val="16"/>
                <w:szCs w:val="16"/>
              </w:rPr>
            </w:pPr>
            <w:r w:rsidRPr="00166A39">
              <w:rPr>
                <w:rFonts w:asciiTheme="minorHAnsi" w:hAnsiTheme="minorHAnsi" w:cstheme="minorHAnsi"/>
                <w:sz w:val="16"/>
                <w:szCs w:val="16"/>
              </w:rPr>
              <w:t>1,85</w:t>
            </w:r>
          </w:p>
        </w:tc>
        <w:tc>
          <w:tcPr>
            <w:tcW w:w="532" w:type="pct"/>
            <w:tcBorders>
              <w:top w:val="single" w:sz="4" w:space="0" w:color="auto"/>
              <w:left w:val="single" w:sz="4" w:space="0" w:color="auto"/>
              <w:bottom w:val="single" w:sz="4" w:space="0" w:color="auto"/>
              <w:right w:val="single" w:sz="4" w:space="0" w:color="auto"/>
            </w:tcBorders>
          </w:tcPr>
          <w:p w14:paraId="6C108991"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w:t>
            </w:r>
          </w:p>
        </w:tc>
        <w:tc>
          <w:tcPr>
            <w:tcW w:w="534" w:type="pct"/>
            <w:tcBorders>
              <w:top w:val="single" w:sz="4" w:space="0" w:color="auto"/>
              <w:left w:val="single" w:sz="4" w:space="0" w:color="auto"/>
              <w:bottom w:val="single" w:sz="4" w:space="0" w:color="auto"/>
              <w:right w:val="single" w:sz="4" w:space="0" w:color="auto"/>
            </w:tcBorders>
          </w:tcPr>
          <w:p w14:paraId="517A73D0" w14:textId="77777777" w:rsidR="00FD12F8" w:rsidRPr="00166A39" w:rsidRDefault="00FD12F8" w:rsidP="00000191">
            <w:pPr>
              <w:jc w:val="center"/>
              <w:rPr>
                <w:rFonts w:asciiTheme="minorHAnsi" w:hAnsiTheme="minorHAnsi" w:cstheme="minorHAnsi"/>
                <w:sz w:val="16"/>
                <w:szCs w:val="16"/>
                <w:lang w:val="ro-MD"/>
              </w:rPr>
            </w:pPr>
            <w:r w:rsidRPr="00166A39">
              <w:rPr>
                <w:rFonts w:asciiTheme="minorHAnsi" w:hAnsiTheme="minorHAnsi" w:cstheme="minorHAnsi"/>
                <w:sz w:val="16"/>
                <w:szCs w:val="16"/>
                <w:lang w:val="ro-MD"/>
              </w:rPr>
              <w:t>3,4</w:t>
            </w:r>
            <w:r>
              <w:rPr>
                <w:rFonts w:asciiTheme="minorHAnsi" w:hAnsiTheme="minorHAnsi" w:cstheme="minorHAnsi"/>
                <w:sz w:val="16"/>
                <w:szCs w:val="16"/>
                <w:lang w:val="ro-MD"/>
              </w:rPr>
              <w:t>4</w:t>
            </w:r>
          </w:p>
        </w:tc>
        <w:tc>
          <w:tcPr>
            <w:tcW w:w="429" w:type="pct"/>
            <w:tcBorders>
              <w:top w:val="single" w:sz="4" w:space="0" w:color="auto"/>
              <w:left w:val="single" w:sz="4" w:space="0" w:color="auto"/>
              <w:bottom w:val="single" w:sz="4" w:space="0" w:color="auto"/>
              <w:right w:val="single" w:sz="4" w:space="0" w:color="auto"/>
            </w:tcBorders>
          </w:tcPr>
          <w:p w14:paraId="61B9E161" w14:textId="77777777" w:rsidR="00FD12F8" w:rsidRPr="00166A39" w:rsidRDefault="00FD12F8" w:rsidP="00000191">
            <w:pPr>
              <w:jc w:val="center"/>
              <w:rPr>
                <w:rFonts w:asciiTheme="minorHAnsi" w:hAnsiTheme="minorHAnsi" w:cstheme="minorHAnsi"/>
                <w:sz w:val="16"/>
                <w:szCs w:val="16"/>
                <w:lang w:val="ro-MD"/>
              </w:rPr>
            </w:pPr>
            <w:r>
              <w:rPr>
                <w:rFonts w:asciiTheme="minorHAnsi" w:hAnsiTheme="minorHAnsi" w:cstheme="minorHAnsi"/>
                <w:sz w:val="16"/>
                <w:szCs w:val="16"/>
                <w:lang w:val="ro-MD"/>
              </w:rPr>
              <w:t>12,26</w:t>
            </w:r>
          </w:p>
        </w:tc>
      </w:tr>
      <w:tr w:rsidR="00FD12F8" w:rsidRPr="00192930" w14:paraId="2D321FAD"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5D7AE621"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II.3</w:t>
            </w:r>
          </w:p>
        </w:tc>
        <w:tc>
          <w:tcPr>
            <w:tcW w:w="1765" w:type="pct"/>
            <w:tcBorders>
              <w:top w:val="single" w:sz="4" w:space="0" w:color="auto"/>
              <w:left w:val="single" w:sz="4" w:space="0" w:color="auto"/>
              <w:bottom w:val="single" w:sz="4" w:space="0" w:color="auto"/>
              <w:right w:val="single" w:sz="4" w:space="0" w:color="auto"/>
            </w:tcBorders>
            <w:hideMark/>
          </w:tcPr>
          <w:p w14:paraId="4EDB6A63"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TOTAL (II.1+II.2)</w:t>
            </w:r>
          </w:p>
        </w:tc>
        <w:tc>
          <w:tcPr>
            <w:tcW w:w="458" w:type="pct"/>
            <w:tcBorders>
              <w:top w:val="single" w:sz="4" w:space="0" w:color="auto"/>
              <w:left w:val="single" w:sz="4" w:space="0" w:color="auto"/>
              <w:bottom w:val="single" w:sz="4" w:space="0" w:color="auto"/>
              <w:right w:val="single" w:sz="4" w:space="0" w:color="auto"/>
            </w:tcBorders>
            <w:hideMark/>
          </w:tcPr>
          <w:p w14:paraId="528D2F1B"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193,86</w:t>
            </w:r>
          </w:p>
        </w:tc>
        <w:tc>
          <w:tcPr>
            <w:tcW w:w="458" w:type="pct"/>
            <w:tcBorders>
              <w:top w:val="single" w:sz="4" w:space="0" w:color="auto"/>
              <w:left w:val="single" w:sz="4" w:space="0" w:color="auto"/>
              <w:bottom w:val="single" w:sz="4" w:space="0" w:color="auto"/>
              <w:right w:val="single" w:sz="4" w:space="0" w:color="auto"/>
            </w:tcBorders>
            <w:hideMark/>
          </w:tcPr>
          <w:p w14:paraId="0D55022B"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200,19</w:t>
            </w:r>
          </w:p>
        </w:tc>
        <w:tc>
          <w:tcPr>
            <w:tcW w:w="459" w:type="pct"/>
            <w:tcBorders>
              <w:top w:val="single" w:sz="4" w:space="0" w:color="auto"/>
              <w:left w:val="single" w:sz="4" w:space="0" w:color="auto"/>
              <w:bottom w:val="single" w:sz="4" w:space="0" w:color="auto"/>
              <w:right w:val="single" w:sz="4" w:space="0" w:color="auto"/>
            </w:tcBorders>
            <w:hideMark/>
          </w:tcPr>
          <w:p w14:paraId="1140D98E"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193,61</w:t>
            </w:r>
          </w:p>
        </w:tc>
        <w:tc>
          <w:tcPr>
            <w:tcW w:w="532" w:type="pct"/>
            <w:tcBorders>
              <w:top w:val="single" w:sz="4" w:space="0" w:color="auto"/>
              <w:left w:val="single" w:sz="4" w:space="0" w:color="auto"/>
              <w:bottom w:val="single" w:sz="4" w:space="0" w:color="auto"/>
              <w:right w:val="single" w:sz="4" w:space="0" w:color="auto"/>
            </w:tcBorders>
          </w:tcPr>
          <w:p w14:paraId="7FE6DD52"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244,8</w:t>
            </w:r>
          </w:p>
        </w:tc>
        <w:tc>
          <w:tcPr>
            <w:tcW w:w="534" w:type="pct"/>
            <w:tcBorders>
              <w:top w:val="single" w:sz="4" w:space="0" w:color="auto"/>
              <w:left w:val="single" w:sz="4" w:space="0" w:color="auto"/>
              <w:bottom w:val="single" w:sz="4" w:space="0" w:color="auto"/>
              <w:right w:val="single" w:sz="4" w:space="0" w:color="auto"/>
            </w:tcBorders>
          </w:tcPr>
          <w:p w14:paraId="56C59098"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160,61</w:t>
            </w:r>
          </w:p>
        </w:tc>
        <w:tc>
          <w:tcPr>
            <w:tcW w:w="429" w:type="pct"/>
            <w:tcBorders>
              <w:top w:val="single" w:sz="4" w:space="0" w:color="auto"/>
              <w:left w:val="single" w:sz="4" w:space="0" w:color="auto"/>
              <w:bottom w:val="single" w:sz="4" w:space="0" w:color="auto"/>
              <w:right w:val="single" w:sz="4" w:space="0" w:color="auto"/>
            </w:tcBorders>
          </w:tcPr>
          <w:p w14:paraId="7448F028" w14:textId="77777777" w:rsidR="00FD12F8" w:rsidRPr="00166A39" w:rsidRDefault="00FD12F8" w:rsidP="00000191">
            <w:pPr>
              <w:jc w:val="center"/>
              <w:rPr>
                <w:rFonts w:asciiTheme="minorHAnsi" w:hAnsiTheme="minorHAnsi" w:cstheme="minorHAnsi"/>
                <w:b/>
                <w:sz w:val="16"/>
                <w:szCs w:val="16"/>
                <w:lang w:val="ro-MD"/>
              </w:rPr>
            </w:pPr>
            <w:r>
              <w:rPr>
                <w:rFonts w:asciiTheme="minorHAnsi" w:hAnsiTheme="minorHAnsi" w:cstheme="minorHAnsi"/>
                <w:b/>
                <w:sz w:val="16"/>
                <w:szCs w:val="16"/>
                <w:lang w:val="ro-MD"/>
              </w:rPr>
              <w:t>222,2</w:t>
            </w:r>
          </w:p>
        </w:tc>
      </w:tr>
      <w:tr w:rsidR="00FD12F8" w:rsidRPr="00192930" w14:paraId="75C286D1" w14:textId="77777777" w:rsidTr="00000191">
        <w:trPr>
          <w:jc w:val="center"/>
        </w:trPr>
        <w:tc>
          <w:tcPr>
            <w:tcW w:w="366" w:type="pct"/>
            <w:tcBorders>
              <w:top w:val="single" w:sz="4" w:space="0" w:color="auto"/>
              <w:left w:val="single" w:sz="4" w:space="0" w:color="auto"/>
              <w:bottom w:val="single" w:sz="4" w:space="0" w:color="auto"/>
              <w:right w:val="single" w:sz="4" w:space="0" w:color="auto"/>
            </w:tcBorders>
            <w:hideMark/>
          </w:tcPr>
          <w:p w14:paraId="76F5EE1C"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III.</w:t>
            </w:r>
          </w:p>
        </w:tc>
        <w:tc>
          <w:tcPr>
            <w:tcW w:w="1765" w:type="pct"/>
            <w:tcBorders>
              <w:top w:val="single" w:sz="4" w:space="0" w:color="auto"/>
              <w:left w:val="single" w:sz="4" w:space="0" w:color="auto"/>
              <w:bottom w:val="single" w:sz="4" w:space="0" w:color="auto"/>
              <w:right w:val="single" w:sz="4" w:space="0" w:color="auto"/>
            </w:tcBorders>
            <w:hideMark/>
          </w:tcPr>
          <w:p w14:paraId="53BCA633" w14:textId="77777777" w:rsidR="00FD12F8" w:rsidRPr="00166A39" w:rsidRDefault="00FD12F8" w:rsidP="00000191">
            <w:pPr>
              <w:rPr>
                <w:rFonts w:asciiTheme="minorHAnsi" w:hAnsiTheme="minorHAnsi" w:cstheme="minorHAnsi"/>
                <w:b/>
                <w:sz w:val="16"/>
                <w:szCs w:val="16"/>
              </w:rPr>
            </w:pPr>
            <w:r w:rsidRPr="00166A39">
              <w:rPr>
                <w:rFonts w:asciiTheme="minorHAnsi" w:hAnsiTheme="minorHAnsi" w:cstheme="minorHAnsi"/>
                <w:b/>
                <w:sz w:val="16"/>
                <w:szCs w:val="16"/>
              </w:rPr>
              <w:t>Transferuri nete (II.3-I.4)</w:t>
            </w:r>
          </w:p>
        </w:tc>
        <w:tc>
          <w:tcPr>
            <w:tcW w:w="458" w:type="pct"/>
            <w:tcBorders>
              <w:top w:val="single" w:sz="4" w:space="0" w:color="auto"/>
              <w:left w:val="single" w:sz="4" w:space="0" w:color="auto"/>
              <w:bottom w:val="single" w:sz="4" w:space="0" w:color="auto"/>
              <w:right w:val="single" w:sz="4" w:space="0" w:color="auto"/>
            </w:tcBorders>
            <w:hideMark/>
          </w:tcPr>
          <w:p w14:paraId="0740E073"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-34,94</w:t>
            </w:r>
          </w:p>
        </w:tc>
        <w:tc>
          <w:tcPr>
            <w:tcW w:w="458" w:type="pct"/>
            <w:tcBorders>
              <w:top w:val="single" w:sz="4" w:space="0" w:color="auto"/>
              <w:left w:val="single" w:sz="4" w:space="0" w:color="auto"/>
              <w:bottom w:val="single" w:sz="4" w:space="0" w:color="auto"/>
              <w:right w:val="single" w:sz="4" w:space="0" w:color="auto"/>
            </w:tcBorders>
            <w:hideMark/>
          </w:tcPr>
          <w:p w14:paraId="5EEF6129"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-6,21</w:t>
            </w:r>
          </w:p>
        </w:tc>
        <w:tc>
          <w:tcPr>
            <w:tcW w:w="459" w:type="pct"/>
            <w:tcBorders>
              <w:top w:val="single" w:sz="4" w:space="0" w:color="auto"/>
              <w:left w:val="single" w:sz="4" w:space="0" w:color="auto"/>
              <w:bottom w:val="single" w:sz="4" w:space="0" w:color="auto"/>
              <w:right w:val="single" w:sz="4" w:space="0" w:color="auto"/>
            </w:tcBorders>
            <w:hideMark/>
          </w:tcPr>
          <w:p w14:paraId="206F4361" w14:textId="77777777" w:rsidR="00FD12F8" w:rsidRPr="00166A39" w:rsidRDefault="00FD12F8" w:rsidP="00000191">
            <w:pPr>
              <w:jc w:val="center"/>
              <w:rPr>
                <w:rFonts w:asciiTheme="minorHAnsi" w:hAnsiTheme="minorHAnsi" w:cstheme="minorHAnsi"/>
                <w:b/>
                <w:sz w:val="16"/>
                <w:szCs w:val="16"/>
              </w:rPr>
            </w:pPr>
            <w:r w:rsidRPr="00166A39">
              <w:rPr>
                <w:rFonts w:asciiTheme="minorHAnsi" w:hAnsiTheme="minorHAnsi" w:cstheme="minorHAnsi"/>
                <w:b/>
                <w:sz w:val="16"/>
                <w:szCs w:val="16"/>
              </w:rPr>
              <w:t>-309,9</w:t>
            </w:r>
          </w:p>
        </w:tc>
        <w:tc>
          <w:tcPr>
            <w:tcW w:w="532" w:type="pct"/>
            <w:tcBorders>
              <w:top w:val="single" w:sz="4" w:space="0" w:color="auto"/>
              <w:left w:val="single" w:sz="4" w:space="0" w:color="auto"/>
              <w:bottom w:val="single" w:sz="4" w:space="0" w:color="auto"/>
              <w:right w:val="single" w:sz="4" w:space="0" w:color="auto"/>
            </w:tcBorders>
          </w:tcPr>
          <w:p w14:paraId="67789FC7"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-277,5</w:t>
            </w:r>
          </w:p>
        </w:tc>
        <w:tc>
          <w:tcPr>
            <w:tcW w:w="534" w:type="pct"/>
            <w:tcBorders>
              <w:top w:val="single" w:sz="4" w:space="0" w:color="auto"/>
              <w:left w:val="single" w:sz="4" w:space="0" w:color="auto"/>
              <w:bottom w:val="single" w:sz="4" w:space="0" w:color="auto"/>
              <w:right w:val="single" w:sz="4" w:space="0" w:color="auto"/>
            </w:tcBorders>
          </w:tcPr>
          <w:p w14:paraId="19967055"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w:t>
            </w:r>
            <w:r>
              <w:rPr>
                <w:rFonts w:asciiTheme="minorHAnsi" w:hAnsiTheme="minorHAnsi" w:cstheme="minorHAnsi"/>
                <w:b/>
                <w:sz w:val="16"/>
                <w:szCs w:val="16"/>
                <w:lang w:val="ro-MD"/>
              </w:rPr>
              <w:t>794,49</w:t>
            </w:r>
          </w:p>
        </w:tc>
        <w:tc>
          <w:tcPr>
            <w:tcW w:w="429" w:type="pct"/>
            <w:tcBorders>
              <w:top w:val="single" w:sz="4" w:space="0" w:color="auto"/>
              <w:left w:val="single" w:sz="4" w:space="0" w:color="auto"/>
              <w:bottom w:val="single" w:sz="4" w:space="0" w:color="auto"/>
              <w:right w:val="single" w:sz="4" w:space="0" w:color="auto"/>
            </w:tcBorders>
          </w:tcPr>
          <w:p w14:paraId="3B603AF4" w14:textId="77777777" w:rsidR="00FD12F8" w:rsidRPr="00166A39" w:rsidRDefault="00FD12F8" w:rsidP="00000191">
            <w:pPr>
              <w:jc w:val="center"/>
              <w:rPr>
                <w:rFonts w:asciiTheme="minorHAnsi" w:hAnsiTheme="minorHAnsi" w:cstheme="minorHAnsi"/>
                <w:b/>
                <w:sz w:val="16"/>
                <w:szCs w:val="16"/>
                <w:lang w:val="ro-MD"/>
              </w:rPr>
            </w:pPr>
            <w:r w:rsidRPr="00166A39">
              <w:rPr>
                <w:rFonts w:asciiTheme="minorHAnsi" w:hAnsiTheme="minorHAnsi" w:cstheme="minorHAnsi"/>
                <w:b/>
                <w:sz w:val="16"/>
                <w:szCs w:val="16"/>
                <w:lang w:val="ro-MD"/>
              </w:rPr>
              <w:t>-</w:t>
            </w:r>
            <w:r>
              <w:rPr>
                <w:rFonts w:asciiTheme="minorHAnsi" w:hAnsiTheme="minorHAnsi" w:cstheme="minorHAnsi"/>
                <w:b/>
                <w:sz w:val="16"/>
                <w:szCs w:val="16"/>
                <w:lang w:val="ro-MD"/>
              </w:rPr>
              <w:t>949,9</w:t>
            </w:r>
          </w:p>
        </w:tc>
      </w:tr>
    </w:tbl>
    <w:p w14:paraId="4D6D7DE2" w14:textId="77777777" w:rsidR="00BD2435" w:rsidRPr="000E06BB" w:rsidRDefault="00BD2435" w:rsidP="00BD2435">
      <w:pPr>
        <w:jc w:val="both"/>
        <w:rPr>
          <w:i/>
          <w:sz w:val="18"/>
          <w:szCs w:val="18"/>
          <w:lang w:val="ro-MD"/>
        </w:rPr>
      </w:pPr>
    </w:p>
    <w:p w14:paraId="7C832000" w14:textId="2D9077C2" w:rsidR="00BD2435" w:rsidRPr="00166A39" w:rsidRDefault="00BD2435" w:rsidP="00166A39">
      <w:pPr>
        <w:spacing w:after="60"/>
        <w:ind w:firstLine="540"/>
        <w:jc w:val="both"/>
        <w:rPr>
          <w:rFonts w:asciiTheme="minorHAnsi" w:hAnsiTheme="minorHAnsi" w:cstheme="minorHAnsi"/>
        </w:rPr>
      </w:pPr>
      <w:r w:rsidRPr="00166A39">
        <w:rPr>
          <w:rFonts w:asciiTheme="minorHAnsi" w:hAnsiTheme="minorHAnsi" w:cstheme="minorHAnsi"/>
        </w:rPr>
        <w:t xml:space="preserve">În perioada anilor 2014-2018 nu au fost acordate garanții de stat întreprinderilor de stat și societăților pe acțiuni, la contractarea creditelor. La momentul actual, are loc rambursarea garanțiilor pentru împrumuturile contractate </w:t>
      </w:r>
      <w:r w:rsidR="007D4CBC" w:rsidRPr="00166A39">
        <w:rPr>
          <w:rFonts w:asciiTheme="minorHAnsi" w:hAnsiTheme="minorHAnsi" w:cstheme="minorHAnsi"/>
        </w:rPr>
        <w:t>până</w:t>
      </w:r>
      <w:r w:rsidRPr="00166A39">
        <w:rPr>
          <w:rFonts w:asciiTheme="minorHAnsi" w:hAnsiTheme="minorHAnsi" w:cstheme="minorHAnsi"/>
        </w:rPr>
        <w:t xml:space="preserve"> în anul 1999. De asemenea, nu se preconizează oferirea garanțiilor de stat pentru anii viitori. </w:t>
      </w:r>
    </w:p>
    <w:p w14:paraId="4D6FA0E0" w14:textId="11FB4403" w:rsidR="00BD2435" w:rsidRPr="00166A39" w:rsidRDefault="007D4CBC" w:rsidP="00166A39">
      <w:pPr>
        <w:spacing w:after="60"/>
        <w:ind w:firstLine="540"/>
        <w:jc w:val="both"/>
        <w:rPr>
          <w:rFonts w:asciiTheme="minorHAnsi" w:hAnsiTheme="minorHAnsi" w:cstheme="minorHAnsi"/>
          <w:color w:val="FF0000"/>
        </w:rPr>
      </w:pPr>
      <w:r w:rsidRPr="00166A39">
        <w:rPr>
          <w:rFonts w:asciiTheme="minorHAnsi" w:hAnsiTheme="minorHAnsi" w:cstheme="minorHAnsi"/>
        </w:rPr>
        <w:t>Începând</w:t>
      </w:r>
      <w:r w:rsidR="00BD2435" w:rsidRPr="00166A39">
        <w:rPr>
          <w:rFonts w:asciiTheme="minorHAnsi" w:hAnsiTheme="minorHAnsi" w:cstheme="minorHAnsi"/>
        </w:rPr>
        <w:t xml:space="preserve"> cu anul 1992 și </w:t>
      </w:r>
      <w:r w:rsidRPr="00166A39">
        <w:rPr>
          <w:rFonts w:asciiTheme="minorHAnsi" w:hAnsiTheme="minorHAnsi" w:cstheme="minorHAnsi"/>
        </w:rPr>
        <w:t>până</w:t>
      </w:r>
      <w:r w:rsidR="00BD2435" w:rsidRPr="00166A39">
        <w:rPr>
          <w:rFonts w:asciiTheme="minorHAnsi" w:hAnsiTheme="minorHAnsi" w:cstheme="minorHAnsi"/>
        </w:rPr>
        <w:t xml:space="preserve"> în prezent au fost recreditate 6 întreprinderi de stat prin intermediul proiectelor investiționale, finanțate din surse externe. La situația din 30.09.2018, datoriile acestora se cifrează la cca 119,3 mil. lei (0,6% din PIB), dintre care datoriile cu termen de achitare expirat constituie 89,2 mil. lei sau 7,8% (0,05% din PIB). Cei mai mari beneficiari ai creditelor externe, recreditate prin intermediul proiectelor investiționale, în perioada anilor 2015-</w:t>
      </w:r>
      <w:r w:rsidR="002917E1" w:rsidRPr="00166A39">
        <w:rPr>
          <w:rFonts w:asciiTheme="minorHAnsi" w:hAnsiTheme="minorHAnsi" w:cstheme="minorHAnsi"/>
        </w:rPr>
        <w:t>20</w:t>
      </w:r>
      <w:r w:rsidR="002917E1">
        <w:rPr>
          <w:rFonts w:asciiTheme="minorHAnsi" w:hAnsiTheme="minorHAnsi" w:cstheme="minorHAnsi"/>
        </w:rPr>
        <w:t>19</w:t>
      </w:r>
      <w:r w:rsidR="002917E1" w:rsidRPr="00166A39">
        <w:rPr>
          <w:rFonts w:asciiTheme="minorHAnsi" w:hAnsiTheme="minorHAnsi" w:cstheme="minorHAnsi"/>
        </w:rPr>
        <w:t xml:space="preserve"> </w:t>
      </w:r>
      <w:r w:rsidR="00BD2435" w:rsidRPr="00166A39">
        <w:rPr>
          <w:rFonts w:asciiTheme="minorHAnsi" w:hAnsiTheme="minorHAnsi" w:cstheme="minorHAnsi"/>
        </w:rPr>
        <w:t xml:space="preserve">sunt S.A. „Termoelectrica”, S.A. „CET-Nord”, Î.S. „Moldelectrica” - pentru reutilarea și modernizarea utilajului, Î.S. „Calea Ferată din Moldova” - pentru reabilitarea infrastructurii feroviare și procurarea locomotivelor. </w:t>
      </w:r>
    </w:p>
    <w:p w14:paraId="4E7B9B66" w14:textId="7A718D81" w:rsidR="00BD2435" w:rsidRPr="00166A39" w:rsidRDefault="00BD2435" w:rsidP="00166A39">
      <w:pPr>
        <w:spacing w:after="60"/>
        <w:ind w:firstLine="540"/>
        <w:jc w:val="both"/>
        <w:rPr>
          <w:rFonts w:asciiTheme="minorHAnsi" w:hAnsiTheme="minorHAnsi" w:cstheme="minorHAnsi"/>
        </w:rPr>
      </w:pPr>
      <w:r w:rsidRPr="00166A39">
        <w:rPr>
          <w:rFonts w:asciiTheme="minorHAnsi" w:hAnsiTheme="minorHAnsi" w:cstheme="minorHAnsi"/>
        </w:rPr>
        <w:t xml:space="preserve">Neachitarea de către întreprinderile de stat şi </w:t>
      </w:r>
      <w:r w:rsidR="007D4CBC" w:rsidRPr="00166A39">
        <w:rPr>
          <w:rFonts w:asciiTheme="minorHAnsi" w:hAnsiTheme="minorHAnsi" w:cstheme="minorHAnsi"/>
        </w:rPr>
        <w:t>societățile</w:t>
      </w:r>
      <w:r w:rsidRPr="00166A39">
        <w:rPr>
          <w:rFonts w:asciiTheme="minorHAnsi" w:hAnsiTheme="minorHAnsi" w:cstheme="minorHAnsi"/>
        </w:rPr>
        <w:t xml:space="preserve"> pe </w:t>
      </w:r>
      <w:r w:rsidR="007D4CBC" w:rsidRPr="00166A39">
        <w:rPr>
          <w:rFonts w:asciiTheme="minorHAnsi" w:hAnsiTheme="minorHAnsi" w:cstheme="minorHAnsi"/>
        </w:rPr>
        <w:t>acțiuni</w:t>
      </w:r>
      <w:r w:rsidRPr="00166A39">
        <w:rPr>
          <w:rFonts w:asciiTheme="minorHAnsi" w:hAnsiTheme="minorHAnsi" w:cstheme="minorHAnsi"/>
        </w:rPr>
        <w:t xml:space="preserve"> a </w:t>
      </w:r>
      <w:r w:rsidR="007D4CBC" w:rsidRPr="00166A39">
        <w:rPr>
          <w:rFonts w:asciiTheme="minorHAnsi" w:hAnsiTheme="minorHAnsi" w:cstheme="minorHAnsi"/>
        </w:rPr>
        <w:t>obligațiilor</w:t>
      </w:r>
      <w:r w:rsidRPr="00166A39">
        <w:rPr>
          <w:rFonts w:asciiTheme="minorHAnsi" w:hAnsiTheme="minorHAnsi" w:cstheme="minorHAnsi"/>
        </w:rPr>
        <w:t xml:space="preserve"> </w:t>
      </w:r>
      <w:r w:rsidR="007D4CBC" w:rsidRPr="00166A39">
        <w:rPr>
          <w:rFonts w:asciiTheme="minorHAnsi" w:hAnsiTheme="minorHAnsi" w:cstheme="minorHAnsi"/>
        </w:rPr>
        <w:t>față</w:t>
      </w:r>
      <w:r w:rsidRPr="00166A39">
        <w:rPr>
          <w:rFonts w:asciiTheme="minorHAnsi" w:hAnsiTheme="minorHAnsi" w:cstheme="minorHAnsi"/>
        </w:rPr>
        <w:t xml:space="preserve"> de </w:t>
      </w:r>
      <w:r w:rsidR="007D4CBC" w:rsidRPr="00166A39">
        <w:rPr>
          <w:rFonts w:asciiTheme="minorHAnsi" w:hAnsiTheme="minorHAnsi" w:cstheme="minorHAnsi"/>
        </w:rPr>
        <w:t>instituțiile</w:t>
      </w:r>
      <w:r w:rsidRPr="00166A39">
        <w:rPr>
          <w:rFonts w:asciiTheme="minorHAnsi" w:hAnsiTheme="minorHAnsi" w:cstheme="minorHAnsi"/>
        </w:rPr>
        <w:t xml:space="preserve"> financiare pe creditele externe recreditate devine </w:t>
      </w:r>
      <w:r w:rsidR="007D4CBC" w:rsidRPr="00166A39">
        <w:rPr>
          <w:rFonts w:asciiTheme="minorHAnsi" w:hAnsiTheme="minorHAnsi" w:cstheme="minorHAnsi"/>
        </w:rPr>
        <w:t>obligațiune</w:t>
      </w:r>
      <w:r w:rsidRPr="00166A39">
        <w:rPr>
          <w:rFonts w:asciiTheme="minorHAnsi" w:hAnsiTheme="minorHAnsi" w:cstheme="minorHAnsi"/>
        </w:rPr>
        <w:t xml:space="preserve"> </w:t>
      </w:r>
      <w:r w:rsidR="007D4CBC" w:rsidRPr="00166A39">
        <w:rPr>
          <w:rFonts w:asciiTheme="minorHAnsi" w:hAnsiTheme="minorHAnsi" w:cstheme="minorHAnsi"/>
        </w:rPr>
        <w:t>convențională</w:t>
      </w:r>
      <w:r w:rsidRPr="00166A39">
        <w:rPr>
          <w:rFonts w:asciiTheme="minorHAnsi" w:hAnsiTheme="minorHAnsi" w:cstheme="minorHAnsi"/>
        </w:rPr>
        <w:t xml:space="preserve"> de stat, fapt care creează riscul de stingere a obligațiilor date din contul surselor bugetului de stat și prezintă principalul risc pentru buget, asociat acestui sector. Este dificil de estimat </w:t>
      </w:r>
      <w:r w:rsidRPr="00166A39">
        <w:rPr>
          <w:rFonts w:asciiTheme="minorHAnsi" w:hAnsiTheme="minorHAnsi" w:cstheme="minorHAnsi"/>
        </w:rPr>
        <w:lastRenderedPageBreak/>
        <w:t>probabilitatea riscurilor asociate întreprinderilor de stat și societăților pe acțiuni, însă este clar că impactul acestor riscuri asupra bugetului care se poate materializa prin capitalizarea acestor entități, sau prin nerambursarea creditelor acordate, poate fi considerat ca fiind unul ridicat (semnificativ).</w:t>
      </w:r>
    </w:p>
    <w:p w14:paraId="770572B7" w14:textId="77777777" w:rsidR="00BD2435" w:rsidRPr="006E79F1" w:rsidRDefault="00BD2435" w:rsidP="00166A39">
      <w:pPr>
        <w:spacing w:after="60" w:line="276" w:lineRule="auto"/>
        <w:ind w:firstLine="540"/>
        <w:jc w:val="both"/>
      </w:pPr>
    </w:p>
    <w:p w14:paraId="270ECE71" w14:textId="77777777" w:rsidR="00BD2435" w:rsidRPr="00166A39" w:rsidRDefault="00BD2435" w:rsidP="00166A39">
      <w:pPr>
        <w:spacing w:after="60"/>
        <w:ind w:firstLine="540"/>
        <w:jc w:val="both"/>
        <w:rPr>
          <w:rFonts w:asciiTheme="minorHAnsi" w:hAnsiTheme="minorHAnsi" w:cstheme="minorHAnsi"/>
          <w:b/>
        </w:rPr>
      </w:pPr>
      <w:r w:rsidRPr="00166A39">
        <w:rPr>
          <w:rFonts w:asciiTheme="minorHAnsi" w:hAnsiTheme="minorHAnsi" w:cstheme="minorHAnsi"/>
          <w:b/>
        </w:rPr>
        <w:t>Măsuri de atenuare a riscurilor</w:t>
      </w:r>
    </w:p>
    <w:p w14:paraId="7E12978B" w14:textId="77777777" w:rsidR="00BD2435" w:rsidRPr="00166A39" w:rsidRDefault="00BD2435" w:rsidP="00166A39">
      <w:pPr>
        <w:spacing w:after="60"/>
        <w:ind w:firstLine="540"/>
        <w:jc w:val="both"/>
        <w:rPr>
          <w:rFonts w:asciiTheme="minorHAnsi" w:hAnsiTheme="minorHAnsi" w:cstheme="minorHAnsi"/>
        </w:rPr>
      </w:pPr>
      <w:r w:rsidRPr="00166A39">
        <w:rPr>
          <w:rFonts w:asciiTheme="minorHAnsi" w:hAnsiTheme="minorHAnsi" w:cstheme="minorHAnsi"/>
        </w:rPr>
        <w:t>În vederea eficientizării activității întreprinderilor de stat și societăților pe acțiuni cu capital de stat sunt întreprinse următoarele acțiuni:</w:t>
      </w:r>
    </w:p>
    <w:p w14:paraId="2A4CAF2D" w14:textId="77777777" w:rsidR="00BD2435" w:rsidRPr="00166A39" w:rsidRDefault="00BD2435" w:rsidP="00166A39">
      <w:pPr>
        <w:pStyle w:val="ListParagraph"/>
        <w:widowControl w:val="0"/>
        <w:numPr>
          <w:ilvl w:val="0"/>
          <w:numId w:val="42"/>
        </w:numPr>
        <w:suppressAutoHyphens/>
        <w:autoSpaceDN w:val="0"/>
        <w:spacing w:after="60" w:line="240" w:lineRule="auto"/>
        <w:ind w:left="0" w:firstLine="567"/>
        <w:jc w:val="both"/>
        <w:textAlignment w:val="baseline"/>
        <w:rPr>
          <w:rFonts w:asciiTheme="minorHAnsi" w:hAnsiTheme="minorHAnsi" w:cstheme="minorHAnsi"/>
          <w:sz w:val="24"/>
          <w:szCs w:val="24"/>
        </w:rPr>
      </w:pPr>
      <w:r w:rsidRPr="00166A39">
        <w:rPr>
          <w:rFonts w:asciiTheme="minorHAnsi" w:hAnsiTheme="minorHAnsi" w:cstheme="minorHAnsi"/>
          <w:sz w:val="24"/>
          <w:szCs w:val="24"/>
        </w:rPr>
        <w:t>la data de 23.11.2017 a fost adoptată Legea nr. 246 cu privire la întreprinderea de stat și întreprinderea municipală (în vigoare din 22.12.2017). Conform legii vizate:</w:t>
      </w:r>
    </w:p>
    <w:p w14:paraId="5AE9189A" w14:textId="2F51C583" w:rsidR="00BD2435" w:rsidRPr="00166A39" w:rsidRDefault="00BD2435" w:rsidP="00166A39">
      <w:pPr>
        <w:spacing w:after="60"/>
        <w:ind w:firstLine="567"/>
        <w:jc w:val="both"/>
        <w:rPr>
          <w:rFonts w:asciiTheme="minorHAnsi" w:hAnsiTheme="minorHAnsi" w:cstheme="minorHAnsi"/>
        </w:rPr>
      </w:pPr>
      <w:r w:rsidRPr="00166A39">
        <w:rPr>
          <w:rFonts w:asciiTheme="minorHAnsi" w:hAnsiTheme="minorHAnsi" w:cstheme="minorHAnsi"/>
        </w:rPr>
        <w:t xml:space="preserve">- Guvernul şi </w:t>
      </w:r>
      <w:r w:rsidR="007D4CBC" w:rsidRPr="00166A39">
        <w:rPr>
          <w:rFonts w:asciiTheme="minorHAnsi" w:hAnsiTheme="minorHAnsi" w:cstheme="minorHAnsi"/>
        </w:rPr>
        <w:t>autoritățile</w:t>
      </w:r>
      <w:r w:rsidRPr="00166A39">
        <w:rPr>
          <w:rFonts w:asciiTheme="minorHAnsi" w:hAnsiTheme="minorHAnsi" w:cstheme="minorHAnsi"/>
        </w:rPr>
        <w:t xml:space="preserve"> </w:t>
      </w:r>
      <w:r w:rsidR="007D4CBC" w:rsidRPr="00166A39">
        <w:rPr>
          <w:rFonts w:asciiTheme="minorHAnsi" w:hAnsiTheme="minorHAnsi" w:cstheme="minorHAnsi"/>
        </w:rPr>
        <w:t>administrației</w:t>
      </w:r>
      <w:r w:rsidRPr="00166A39">
        <w:rPr>
          <w:rFonts w:asciiTheme="minorHAnsi" w:hAnsiTheme="minorHAnsi" w:cstheme="minorHAnsi"/>
        </w:rPr>
        <w:t xml:space="preserve"> publice locale, în termen de 12 luni de la intrarea în vigoare a legi</w:t>
      </w:r>
      <w:r w:rsidRPr="00166A39">
        <w:rPr>
          <w:rFonts w:asciiTheme="minorHAnsi" w:hAnsiTheme="minorHAnsi" w:cstheme="minorHAnsi"/>
          <w:lang w:val="ro-MD"/>
        </w:rPr>
        <w:t>i</w:t>
      </w:r>
      <w:r w:rsidRPr="00166A39">
        <w:rPr>
          <w:rFonts w:asciiTheme="minorHAnsi" w:hAnsiTheme="minorHAnsi" w:cstheme="minorHAnsi"/>
        </w:rPr>
        <w:t xml:space="preserve">, vor aduce actele sale normative şi actele de constituire a întreprinderilor de stat şi a întreprinderilor municipale în </w:t>
      </w:r>
      <w:r w:rsidR="007D4CBC" w:rsidRPr="00166A39">
        <w:rPr>
          <w:rFonts w:asciiTheme="minorHAnsi" w:hAnsiTheme="minorHAnsi" w:cstheme="minorHAnsi"/>
        </w:rPr>
        <w:t>concordanță</w:t>
      </w:r>
      <w:r w:rsidRPr="00166A39">
        <w:rPr>
          <w:rFonts w:asciiTheme="minorHAnsi" w:hAnsiTheme="minorHAnsi" w:cstheme="minorHAnsi"/>
        </w:rPr>
        <w:t xml:space="preserve"> cu lege</w:t>
      </w:r>
      <w:r w:rsidRPr="00166A39">
        <w:rPr>
          <w:rFonts w:asciiTheme="minorHAnsi" w:hAnsiTheme="minorHAnsi" w:cstheme="minorHAnsi"/>
          <w:lang w:val="ro-MD"/>
        </w:rPr>
        <w:t>a nominalizată</w:t>
      </w:r>
      <w:r w:rsidRPr="00166A39">
        <w:rPr>
          <w:rFonts w:asciiTheme="minorHAnsi" w:hAnsiTheme="minorHAnsi" w:cstheme="minorHAnsi"/>
        </w:rPr>
        <w:t>.</w:t>
      </w:r>
    </w:p>
    <w:p w14:paraId="3B61C22F" w14:textId="77777777" w:rsidR="00BD2435" w:rsidRPr="00166A39" w:rsidRDefault="00BD2435" w:rsidP="00166A39">
      <w:pPr>
        <w:spacing w:after="60"/>
        <w:ind w:firstLine="567"/>
        <w:jc w:val="both"/>
        <w:rPr>
          <w:rFonts w:asciiTheme="minorHAnsi" w:hAnsiTheme="minorHAnsi" w:cstheme="minorHAnsi"/>
          <w:i/>
        </w:rPr>
      </w:pPr>
      <w:r w:rsidRPr="00166A39">
        <w:rPr>
          <w:rFonts w:asciiTheme="minorHAnsi" w:hAnsiTheme="minorHAnsi" w:cstheme="minorHAnsi"/>
          <w:i/>
        </w:rPr>
        <w:t>- Guvernul:</w:t>
      </w:r>
    </w:p>
    <w:p w14:paraId="306350AE" w14:textId="77777777" w:rsidR="00BD2435" w:rsidRPr="00166A39" w:rsidRDefault="00BD2435" w:rsidP="00166A39">
      <w:pPr>
        <w:spacing w:after="60"/>
        <w:ind w:left="1134"/>
        <w:jc w:val="both"/>
        <w:rPr>
          <w:rFonts w:asciiTheme="minorHAnsi" w:hAnsiTheme="minorHAnsi" w:cstheme="minorHAnsi"/>
        </w:rPr>
      </w:pPr>
      <w:r w:rsidRPr="00166A39">
        <w:rPr>
          <w:rFonts w:asciiTheme="minorHAnsi" w:hAnsiTheme="minorHAnsi" w:cstheme="minorHAnsi"/>
        </w:rPr>
        <w:t>a) în termen de 6 luni de la intrarea în vigoare a prezentei legi, va aproba listele întreprinderilor de stat supuse procedurilor de lichidare benevolă;</w:t>
      </w:r>
    </w:p>
    <w:p w14:paraId="6D1AE140" w14:textId="567CF897" w:rsidR="00BD2435" w:rsidRPr="00166A39" w:rsidRDefault="00BD2435" w:rsidP="00166A39">
      <w:pPr>
        <w:spacing w:after="60"/>
        <w:ind w:left="1134"/>
        <w:jc w:val="both"/>
        <w:rPr>
          <w:rFonts w:asciiTheme="minorHAnsi" w:hAnsiTheme="minorHAnsi" w:cstheme="minorHAnsi"/>
        </w:rPr>
      </w:pPr>
      <w:r w:rsidRPr="00166A39">
        <w:rPr>
          <w:rFonts w:asciiTheme="minorHAnsi" w:hAnsiTheme="minorHAnsi" w:cstheme="minorHAnsi"/>
        </w:rPr>
        <w:t xml:space="preserve">b) în termen de pînă la 24 de luni de la intrarea în vigoare a prezentei legi, va </w:t>
      </w:r>
      <w:r w:rsidR="007D4CBC" w:rsidRPr="00166A39">
        <w:rPr>
          <w:rFonts w:asciiTheme="minorHAnsi" w:hAnsiTheme="minorHAnsi" w:cstheme="minorHAnsi"/>
        </w:rPr>
        <w:t>iniția</w:t>
      </w:r>
      <w:r w:rsidRPr="00166A39">
        <w:rPr>
          <w:rFonts w:asciiTheme="minorHAnsi" w:hAnsiTheme="minorHAnsi" w:cstheme="minorHAnsi"/>
        </w:rPr>
        <w:t xml:space="preserve"> reorganizarea întreprinderilor de stat în alte forme juridice de organizare prevăzute de </w:t>
      </w:r>
      <w:r w:rsidR="007D4CBC" w:rsidRPr="00166A39">
        <w:rPr>
          <w:rFonts w:asciiTheme="minorHAnsi" w:hAnsiTheme="minorHAnsi" w:cstheme="minorHAnsi"/>
        </w:rPr>
        <w:t>legislație</w:t>
      </w:r>
      <w:r w:rsidRPr="00166A39">
        <w:rPr>
          <w:rFonts w:asciiTheme="minorHAnsi" w:hAnsiTheme="minorHAnsi" w:cstheme="minorHAnsi"/>
        </w:rPr>
        <w:t>.</w:t>
      </w:r>
    </w:p>
    <w:p w14:paraId="3B403D60" w14:textId="7751EECF" w:rsidR="00BD2435" w:rsidRPr="00166A39" w:rsidRDefault="00BD2435" w:rsidP="00166A39">
      <w:pPr>
        <w:spacing w:after="60"/>
        <w:ind w:firstLine="708"/>
        <w:jc w:val="both"/>
        <w:rPr>
          <w:rFonts w:asciiTheme="minorHAnsi" w:hAnsiTheme="minorHAnsi" w:cstheme="minorHAnsi"/>
          <w:lang w:val="ro-MD"/>
        </w:rPr>
      </w:pPr>
      <w:r w:rsidRPr="00166A39">
        <w:rPr>
          <w:rFonts w:asciiTheme="minorHAnsi" w:hAnsiTheme="minorHAnsi" w:cstheme="minorHAnsi"/>
          <w:i/>
        </w:rPr>
        <w:t xml:space="preserve">- </w:t>
      </w:r>
      <w:r w:rsidR="00B51F3E" w:rsidRPr="00166A39">
        <w:rPr>
          <w:rFonts w:asciiTheme="minorHAnsi" w:hAnsiTheme="minorHAnsi" w:cstheme="minorHAnsi"/>
          <w:i/>
        </w:rPr>
        <w:t>autoritățile</w:t>
      </w:r>
      <w:r w:rsidRPr="00166A39">
        <w:rPr>
          <w:rFonts w:asciiTheme="minorHAnsi" w:hAnsiTheme="minorHAnsi" w:cstheme="minorHAnsi"/>
          <w:i/>
        </w:rPr>
        <w:t xml:space="preserve"> </w:t>
      </w:r>
      <w:r w:rsidR="007D4CBC" w:rsidRPr="00166A39">
        <w:rPr>
          <w:rFonts w:asciiTheme="minorHAnsi" w:hAnsiTheme="minorHAnsi" w:cstheme="minorHAnsi"/>
          <w:i/>
        </w:rPr>
        <w:t>administrației</w:t>
      </w:r>
      <w:r w:rsidRPr="00166A39">
        <w:rPr>
          <w:rFonts w:asciiTheme="minorHAnsi" w:hAnsiTheme="minorHAnsi" w:cstheme="minorHAnsi"/>
          <w:i/>
        </w:rPr>
        <w:t xml:space="preserve"> publice locale,</w:t>
      </w:r>
      <w:r w:rsidRPr="00166A39">
        <w:rPr>
          <w:rFonts w:asciiTheme="minorHAnsi" w:hAnsiTheme="minorHAnsi" w:cstheme="minorHAnsi"/>
        </w:rPr>
        <w:t xml:space="preserve"> cu titlu de recomandare, vor examina oportunitatea reorganizării întreprinderilor municipale în alte forme juridice de organizare prevăzute de </w:t>
      </w:r>
      <w:r w:rsidR="007D4CBC" w:rsidRPr="00166A39">
        <w:rPr>
          <w:rFonts w:asciiTheme="minorHAnsi" w:hAnsiTheme="minorHAnsi" w:cstheme="minorHAnsi"/>
        </w:rPr>
        <w:t>legislație</w:t>
      </w:r>
      <w:r w:rsidRPr="00166A39">
        <w:rPr>
          <w:rFonts w:asciiTheme="minorHAnsi" w:hAnsiTheme="minorHAnsi" w:cstheme="minorHAnsi"/>
        </w:rPr>
        <w:t xml:space="preserve">, </w:t>
      </w:r>
      <w:r w:rsidR="007D4CBC" w:rsidRPr="00166A39">
        <w:rPr>
          <w:rFonts w:asciiTheme="minorHAnsi" w:hAnsiTheme="minorHAnsi" w:cstheme="minorHAnsi"/>
        </w:rPr>
        <w:t>asigurând</w:t>
      </w:r>
      <w:r w:rsidRPr="00166A39">
        <w:rPr>
          <w:rFonts w:asciiTheme="minorHAnsi" w:hAnsiTheme="minorHAnsi" w:cstheme="minorHAnsi"/>
        </w:rPr>
        <w:t xml:space="preserve"> eficientizarea administrării </w:t>
      </w:r>
      <w:r w:rsidR="007D4CBC" w:rsidRPr="00166A39">
        <w:rPr>
          <w:rFonts w:asciiTheme="minorHAnsi" w:hAnsiTheme="minorHAnsi" w:cstheme="minorHAnsi"/>
        </w:rPr>
        <w:t>proprietăți</w:t>
      </w:r>
      <w:r w:rsidRPr="00166A39">
        <w:rPr>
          <w:rFonts w:asciiTheme="minorHAnsi" w:hAnsiTheme="minorHAnsi" w:cstheme="minorHAnsi"/>
        </w:rPr>
        <w:t xml:space="preserve"> transmise acestora în gestiune.</w:t>
      </w:r>
    </w:p>
    <w:p w14:paraId="2A7F5FB9" w14:textId="4B1BE8CB" w:rsidR="00BD2435" w:rsidRPr="00166A39" w:rsidRDefault="00BD2435" w:rsidP="00166A39">
      <w:pPr>
        <w:spacing w:after="60"/>
        <w:ind w:firstLine="708"/>
        <w:jc w:val="both"/>
        <w:rPr>
          <w:rFonts w:asciiTheme="minorHAnsi" w:hAnsiTheme="minorHAnsi" w:cstheme="minorHAnsi"/>
          <w:lang w:val="ro-MD"/>
        </w:rPr>
      </w:pPr>
      <w:r w:rsidRPr="00166A39">
        <w:rPr>
          <w:rFonts w:asciiTheme="minorHAnsi" w:hAnsiTheme="minorHAnsi" w:cstheme="minorHAnsi"/>
          <w:lang w:val="ro-MD"/>
        </w:rPr>
        <w:t xml:space="preserve">În acest sens, Ministerul Economiei și Infrastructurii, care conform art. 7 alin. (1) din Legea nr. 121/2007 privind administrarea și deetatizarea proprietății publice promovează politica statului în domeniul administrării și deetatizării proprietății publice, a elaborat proiectul </w:t>
      </w:r>
      <w:r w:rsidR="007D4CBC" w:rsidRPr="00166A39">
        <w:rPr>
          <w:rFonts w:asciiTheme="minorHAnsi" w:hAnsiTheme="minorHAnsi" w:cstheme="minorHAnsi"/>
          <w:lang w:val="ro-MD"/>
        </w:rPr>
        <w:t>hotărârii</w:t>
      </w:r>
      <w:r w:rsidRPr="00166A39">
        <w:rPr>
          <w:rFonts w:asciiTheme="minorHAnsi" w:hAnsiTheme="minorHAnsi" w:cstheme="minorHAnsi"/>
          <w:lang w:val="ro-MD"/>
        </w:rPr>
        <w:t xml:space="preserve"> Guvernului pentru aprobarea unor acte normative </w:t>
      </w:r>
      <w:r w:rsidR="007D4CBC" w:rsidRPr="00166A39">
        <w:rPr>
          <w:rFonts w:asciiTheme="minorHAnsi" w:hAnsiTheme="minorHAnsi" w:cstheme="minorHAnsi"/>
          <w:lang w:val="ro-MD"/>
        </w:rPr>
        <w:t>vizând</w:t>
      </w:r>
      <w:r w:rsidRPr="00166A39">
        <w:rPr>
          <w:rFonts w:asciiTheme="minorHAnsi" w:hAnsiTheme="minorHAnsi" w:cstheme="minorHAnsi"/>
          <w:lang w:val="ro-MD"/>
        </w:rPr>
        <w:t xml:space="preserve"> funcționarea </w:t>
      </w:r>
      <w:r w:rsidRPr="00166A39">
        <w:rPr>
          <w:rFonts w:asciiTheme="minorHAnsi" w:hAnsiTheme="minorHAnsi" w:cstheme="minorHAnsi"/>
        </w:rPr>
        <w:t>Legii cu privire la întreprinderea de stat și întreprinderea municipală</w:t>
      </w:r>
      <w:r w:rsidRPr="00166A39">
        <w:rPr>
          <w:rFonts w:asciiTheme="minorHAnsi" w:hAnsiTheme="minorHAnsi" w:cstheme="minorHAnsi"/>
          <w:lang w:val="ro-MD"/>
        </w:rPr>
        <w:t>, care include Statutul-model al întreprinderii de stat/ municipale, Regulamentul cu privire la organizarea concursului pentru ocuparea funcției vacante de administrator al întreprinderii de stat, Regulamentul-model privind achiziționarea bunurilor, lucrărilor și serviciilor la întreprinderea de stat/ municipală etc.</w:t>
      </w:r>
    </w:p>
    <w:p w14:paraId="7387F97F" w14:textId="77777777" w:rsidR="00BD2435" w:rsidRPr="00166A39" w:rsidRDefault="00BD2435" w:rsidP="00166A39">
      <w:pPr>
        <w:pStyle w:val="ListParagraph"/>
        <w:widowControl w:val="0"/>
        <w:numPr>
          <w:ilvl w:val="0"/>
          <w:numId w:val="41"/>
        </w:numPr>
        <w:suppressAutoHyphens/>
        <w:autoSpaceDN w:val="0"/>
        <w:spacing w:after="60" w:line="240" w:lineRule="auto"/>
        <w:ind w:left="0" w:firstLine="567"/>
        <w:jc w:val="both"/>
        <w:textAlignment w:val="baseline"/>
        <w:rPr>
          <w:rFonts w:asciiTheme="minorHAnsi" w:hAnsiTheme="minorHAnsi" w:cstheme="minorHAnsi"/>
          <w:sz w:val="24"/>
          <w:szCs w:val="24"/>
          <w:lang w:val="ro-MD"/>
        </w:rPr>
      </w:pPr>
      <w:r w:rsidRPr="00166A39">
        <w:rPr>
          <w:rFonts w:asciiTheme="minorHAnsi" w:hAnsiTheme="minorHAnsi" w:cstheme="minorHAnsi"/>
          <w:sz w:val="24"/>
          <w:szCs w:val="24"/>
          <w:lang w:val="ro-MD"/>
        </w:rPr>
        <w:t>la data de 5.04.2018 a fost adoptată Legea nr. 29 privind delimitarea proprietății publice. Scopul acestei legi este consolidarea cadrului legal în vederea delimitării proprietății publice, asigurării dreptului de proprietate și folosirii eficiente a bunurilor proprietate publică a statului, precum și bunurilor proprietate publică a autorităților publice locale.</w:t>
      </w:r>
    </w:p>
    <w:p w14:paraId="427B6D4E" w14:textId="4CCB59D7" w:rsidR="00BD2435" w:rsidRPr="00166A39" w:rsidRDefault="00BD2435" w:rsidP="00166A39">
      <w:pPr>
        <w:pStyle w:val="ListParagraph"/>
        <w:widowControl w:val="0"/>
        <w:numPr>
          <w:ilvl w:val="0"/>
          <w:numId w:val="41"/>
        </w:numPr>
        <w:suppressAutoHyphens/>
        <w:autoSpaceDN w:val="0"/>
        <w:spacing w:after="60" w:line="240" w:lineRule="auto"/>
        <w:ind w:left="0" w:firstLine="567"/>
        <w:jc w:val="both"/>
        <w:textAlignment w:val="baseline"/>
        <w:rPr>
          <w:rFonts w:asciiTheme="minorHAnsi" w:hAnsiTheme="minorHAnsi" w:cstheme="minorHAnsi"/>
          <w:sz w:val="24"/>
          <w:szCs w:val="24"/>
          <w:lang w:val="ro-MD"/>
        </w:rPr>
      </w:pPr>
      <w:r w:rsidRPr="00166A39">
        <w:rPr>
          <w:rFonts w:asciiTheme="minorHAnsi" w:hAnsiTheme="minorHAnsi" w:cstheme="minorHAnsi"/>
          <w:sz w:val="24"/>
          <w:szCs w:val="24"/>
          <w:lang w:val="ro-MD"/>
        </w:rPr>
        <w:t xml:space="preserve">la data de 18.06.2018 a fost aprobată </w:t>
      </w:r>
      <w:r w:rsidR="007D4CBC" w:rsidRPr="00166A39">
        <w:rPr>
          <w:rFonts w:asciiTheme="minorHAnsi" w:hAnsiTheme="minorHAnsi" w:cstheme="minorHAnsi"/>
          <w:sz w:val="24"/>
          <w:szCs w:val="24"/>
          <w:lang w:val="ro-MD"/>
        </w:rPr>
        <w:t>Hotărârea</w:t>
      </w:r>
      <w:r w:rsidRPr="00166A39">
        <w:rPr>
          <w:rFonts w:asciiTheme="minorHAnsi" w:hAnsiTheme="minorHAnsi" w:cstheme="minorHAnsi"/>
          <w:sz w:val="24"/>
          <w:szCs w:val="24"/>
          <w:lang w:val="ro-MD"/>
        </w:rPr>
        <w:t xml:space="preserve"> Guvernului nr. 554 cu privire la aprobarea Planului sectorial </w:t>
      </w:r>
      <w:r w:rsidR="007D4CBC" w:rsidRPr="00166A39">
        <w:rPr>
          <w:rFonts w:asciiTheme="minorHAnsi" w:hAnsiTheme="minorHAnsi" w:cstheme="minorHAnsi"/>
          <w:sz w:val="24"/>
          <w:szCs w:val="24"/>
          <w:lang w:val="ro-MD"/>
        </w:rPr>
        <w:t>anticorupție</w:t>
      </w:r>
      <w:r w:rsidRPr="00166A39">
        <w:rPr>
          <w:rFonts w:asciiTheme="minorHAnsi" w:hAnsiTheme="minorHAnsi" w:cstheme="minorHAnsi"/>
          <w:sz w:val="24"/>
          <w:szCs w:val="24"/>
          <w:lang w:val="ro-MD"/>
        </w:rPr>
        <w:t xml:space="preserve"> în domeniul administrării şi </w:t>
      </w:r>
      <w:r w:rsidR="007D4CBC" w:rsidRPr="00166A39">
        <w:rPr>
          <w:rFonts w:asciiTheme="minorHAnsi" w:hAnsiTheme="minorHAnsi" w:cstheme="minorHAnsi"/>
          <w:sz w:val="24"/>
          <w:szCs w:val="24"/>
          <w:lang w:val="ro-MD"/>
        </w:rPr>
        <w:t>dezetatizării</w:t>
      </w:r>
      <w:r w:rsidRPr="00166A39">
        <w:rPr>
          <w:rFonts w:asciiTheme="minorHAnsi" w:hAnsiTheme="minorHAnsi" w:cstheme="minorHAnsi"/>
          <w:sz w:val="24"/>
          <w:szCs w:val="24"/>
          <w:lang w:val="ro-MD"/>
        </w:rPr>
        <w:t xml:space="preserve"> </w:t>
      </w:r>
      <w:r w:rsidR="007D4CBC" w:rsidRPr="00166A39">
        <w:rPr>
          <w:rFonts w:asciiTheme="minorHAnsi" w:hAnsiTheme="minorHAnsi" w:cstheme="minorHAnsi"/>
          <w:sz w:val="24"/>
          <w:szCs w:val="24"/>
          <w:lang w:val="ro-MD"/>
        </w:rPr>
        <w:t>proprietății</w:t>
      </w:r>
      <w:r w:rsidRPr="00166A39">
        <w:rPr>
          <w:rFonts w:asciiTheme="minorHAnsi" w:hAnsiTheme="minorHAnsi" w:cstheme="minorHAnsi"/>
          <w:sz w:val="24"/>
          <w:szCs w:val="24"/>
          <w:lang w:val="ro-MD"/>
        </w:rPr>
        <w:t xml:space="preserve"> publice pentru anii 2018-2020. Dat fiind că administrarea şi </w:t>
      </w:r>
      <w:r w:rsidR="007D4CBC" w:rsidRPr="00166A39">
        <w:rPr>
          <w:rFonts w:asciiTheme="minorHAnsi" w:hAnsiTheme="minorHAnsi" w:cstheme="minorHAnsi"/>
          <w:sz w:val="24"/>
          <w:szCs w:val="24"/>
          <w:lang w:val="ro-MD"/>
        </w:rPr>
        <w:t>dezetatizarea</w:t>
      </w:r>
      <w:r w:rsidRPr="00166A39">
        <w:rPr>
          <w:rFonts w:asciiTheme="minorHAnsi" w:hAnsiTheme="minorHAnsi" w:cstheme="minorHAnsi"/>
          <w:sz w:val="24"/>
          <w:szCs w:val="24"/>
          <w:lang w:val="ro-MD"/>
        </w:rPr>
        <w:t xml:space="preserve"> </w:t>
      </w:r>
      <w:r w:rsidR="007D4CBC" w:rsidRPr="00166A39">
        <w:rPr>
          <w:rFonts w:asciiTheme="minorHAnsi" w:hAnsiTheme="minorHAnsi" w:cstheme="minorHAnsi"/>
          <w:sz w:val="24"/>
          <w:szCs w:val="24"/>
          <w:lang w:val="ro-MD"/>
        </w:rPr>
        <w:t>proprietății</w:t>
      </w:r>
      <w:r w:rsidRPr="00166A39">
        <w:rPr>
          <w:rFonts w:asciiTheme="minorHAnsi" w:hAnsiTheme="minorHAnsi" w:cstheme="minorHAnsi"/>
          <w:sz w:val="24"/>
          <w:szCs w:val="24"/>
          <w:lang w:val="ro-MD"/>
        </w:rPr>
        <w:t xml:space="preserve"> publice reprezintă </w:t>
      </w:r>
      <w:r w:rsidR="007D4CBC" w:rsidRPr="00166A39">
        <w:rPr>
          <w:rFonts w:asciiTheme="minorHAnsi" w:hAnsiTheme="minorHAnsi" w:cstheme="minorHAnsi"/>
          <w:sz w:val="24"/>
          <w:szCs w:val="24"/>
          <w:lang w:val="ro-MD"/>
        </w:rPr>
        <w:t>activități</w:t>
      </w:r>
      <w:r w:rsidRPr="00166A39">
        <w:rPr>
          <w:rFonts w:asciiTheme="minorHAnsi" w:hAnsiTheme="minorHAnsi" w:cstheme="minorHAnsi"/>
          <w:sz w:val="24"/>
          <w:szCs w:val="24"/>
          <w:lang w:val="ro-MD"/>
        </w:rPr>
        <w:t xml:space="preserve"> cu risc sporit de </w:t>
      </w:r>
      <w:r w:rsidR="007D4CBC" w:rsidRPr="00166A39">
        <w:rPr>
          <w:rFonts w:asciiTheme="minorHAnsi" w:hAnsiTheme="minorHAnsi" w:cstheme="minorHAnsi"/>
          <w:sz w:val="24"/>
          <w:szCs w:val="24"/>
          <w:lang w:val="ro-MD"/>
        </w:rPr>
        <w:t>corupție</w:t>
      </w:r>
      <w:r w:rsidRPr="00166A39">
        <w:rPr>
          <w:rFonts w:asciiTheme="minorHAnsi" w:hAnsiTheme="minorHAnsi" w:cstheme="minorHAnsi"/>
          <w:sz w:val="24"/>
          <w:szCs w:val="24"/>
          <w:lang w:val="ro-MD"/>
        </w:rPr>
        <w:t xml:space="preserve">, prezentul Plan sectorial </w:t>
      </w:r>
      <w:r w:rsidR="007D4CBC" w:rsidRPr="00166A39">
        <w:rPr>
          <w:rFonts w:asciiTheme="minorHAnsi" w:hAnsiTheme="minorHAnsi" w:cstheme="minorHAnsi"/>
          <w:sz w:val="24"/>
          <w:szCs w:val="24"/>
          <w:lang w:val="ro-MD"/>
        </w:rPr>
        <w:t>urmărește</w:t>
      </w:r>
      <w:r w:rsidRPr="00166A39">
        <w:rPr>
          <w:rFonts w:asciiTheme="minorHAnsi" w:hAnsiTheme="minorHAnsi" w:cstheme="minorHAnsi"/>
          <w:sz w:val="24"/>
          <w:szCs w:val="24"/>
          <w:lang w:val="ro-MD"/>
        </w:rPr>
        <w:t xml:space="preserve"> atingerea unor rezultate tangibile în vederea sporirii </w:t>
      </w:r>
      <w:r w:rsidR="007D4CBC" w:rsidRPr="00166A39">
        <w:rPr>
          <w:rFonts w:asciiTheme="minorHAnsi" w:hAnsiTheme="minorHAnsi" w:cstheme="minorHAnsi"/>
          <w:sz w:val="24"/>
          <w:szCs w:val="24"/>
          <w:lang w:val="ro-MD"/>
        </w:rPr>
        <w:t>integrității</w:t>
      </w:r>
      <w:r w:rsidRPr="00166A39">
        <w:rPr>
          <w:rFonts w:asciiTheme="minorHAnsi" w:hAnsiTheme="minorHAnsi" w:cstheme="minorHAnsi"/>
          <w:sz w:val="24"/>
          <w:szCs w:val="24"/>
          <w:lang w:val="ro-MD"/>
        </w:rPr>
        <w:t xml:space="preserve"> responsabililor prin parcurgerea unor etape distincte de implementare a unor măsuri şi </w:t>
      </w:r>
      <w:r w:rsidR="007D4CBC" w:rsidRPr="00166A39">
        <w:rPr>
          <w:rFonts w:asciiTheme="minorHAnsi" w:hAnsiTheme="minorHAnsi" w:cstheme="minorHAnsi"/>
          <w:sz w:val="24"/>
          <w:szCs w:val="24"/>
          <w:lang w:val="ro-MD"/>
        </w:rPr>
        <w:t>acțiuni</w:t>
      </w:r>
      <w:r w:rsidRPr="00166A39">
        <w:rPr>
          <w:rFonts w:asciiTheme="minorHAnsi" w:hAnsiTheme="minorHAnsi" w:cstheme="minorHAnsi"/>
          <w:sz w:val="24"/>
          <w:szCs w:val="24"/>
          <w:lang w:val="ro-MD"/>
        </w:rPr>
        <w:t xml:space="preserve"> concrete.</w:t>
      </w:r>
    </w:p>
    <w:p w14:paraId="141D2008" w14:textId="77777777" w:rsidR="00BD2435" w:rsidRPr="00166A39" w:rsidRDefault="00BD2435" w:rsidP="00166A39">
      <w:pPr>
        <w:pStyle w:val="ListParagraph"/>
        <w:widowControl w:val="0"/>
        <w:numPr>
          <w:ilvl w:val="0"/>
          <w:numId w:val="41"/>
        </w:numPr>
        <w:suppressAutoHyphens/>
        <w:autoSpaceDN w:val="0"/>
        <w:spacing w:after="60" w:line="240" w:lineRule="auto"/>
        <w:ind w:left="0" w:firstLine="567"/>
        <w:jc w:val="both"/>
        <w:textAlignment w:val="baseline"/>
        <w:rPr>
          <w:rFonts w:asciiTheme="minorHAnsi" w:hAnsiTheme="minorHAnsi" w:cstheme="minorHAnsi"/>
          <w:sz w:val="24"/>
          <w:szCs w:val="24"/>
          <w:lang w:val="ro-MD"/>
        </w:rPr>
      </w:pPr>
      <w:r w:rsidRPr="00166A39">
        <w:rPr>
          <w:rFonts w:asciiTheme="minorHAnsi" w:hAnsiTheme="minorHAnsi" w:cstheme="minorHAnsi"/>
          <w:sz w:val="24"/>
          <w:szCs w:val="24"/>
          <w:lang w:val="ro-MD"/>
        </w:rPr>
        <w:t>de către Ministerul Economiei și Infrastructurii a fost elaborat și se află la etapa avizării noul Cod al transportului feroviar, care prevede subvenționarea de către stat a domeniului transportului de călători și mentenanța infrastructurii feroviare, ceea ce va permite dezvoltarea Î.S. „Calea Ferată din Moldova” și reducerea pierderilor acesteia.</w:t>
      </w:r>
    </w:p>
    <w:p w14:paraId="3C628C74" w14:textId="3F7A5150" w:rsidR="00BD2435" w:rsidRPr="00166A39" w:rsidRDefault="00BD2435" w:rsidP="00166A39">
      <w:pPr>
        <w:pStyle w:val="ListParagraph"/>
        <w:widowControl w:val="0"/>
        <w:numPr>
          <w:ilvl w:val="0"/>
          <w:numId w:val="41"/>
        </w:numPr>
        <w:suppressAutoHyphens/>
        <w:autoSpaceDN w:val="0"/>
        <w:spacing w:after="60" w:line="240" w:lineRule="auto"/>
        <w:ind w:left="0" w:firstLine="567"/>
        <w:jc w:val="both"/>
        <w:textAlignment w:val="baseline"/>
        <w:rPr>
          <w:rFonts w:asciiTheme="minorHAnsi" w:hAnsiTheme="minorHAnsi" w:cstheme="minorHAnsi"/>
          <w:sz w:val="24"/>
          <w:szCs w:val="24"/>
          <w:lang w:val="ro-MD"/>
        </w:rPr>
      </w:pPr>
      <w:r w:rsidRPr="00166A39">
        <w:rPr>
          <w:rFonts w:asciiTheme="minorHAnsi" w:hAnsiTheme="minorHAnsi" w:cstheme="minorHAnsi"/>
          <w:sz w:val="24"/>
          <w:szCs w:val="24"/>
        </w:rPr>
        <w:lastRenderedPageBreak/>
        <w:t xml:space="preserve">prin </w:t>
      </w:r>
      <w:r w:rsidR="007D4CBC" w:rsidRPr="00166A39">
        <w:rPr>
          <w:rFonts w:asciiTheme="minorHAnsi" w:hAnsiTheme="minorHAnsi" w:cstheme="minorHAnsi"/>
          <w:sz w:val="24"/>
          <w:szCs w:val="24"/>
        </w:rPr>
        <w:t>Hotărârea</w:t>
      </w:r>
      <w:r w:rsidRPr="00166A39">
        <w:rPr>
          <w:rFonts w:asciiTheme="minorHAnsi" w:hAnsiTheme="minorHAnsi" w:cstheme="minorHAnsi"/>
          <w:sz w:val="24"/>
          <w:szCs w:val="24"/>
        </w:rPr>
        <w:t xml:space="preserve"> Guvernului nr.806 din 1.08.2018 cu privire la modificarea unor </w:t>
      </w:r>
      <w:r w:rsidR="007D4CBC" w:rsidRPr="00166A39">
        <w:rPr>
          <w:rFonts w:asciiTheme="minorHAnsi" w:hAnsiTheme="minorHAnsi" w:cstheme="minorHAnsi"/>
          <w:sz w:val="24"/>
          <w:szCs w:val="24"/>
        </w:rPr>
        <w:t>hotărâri</w:t>
      </w:r>
      <w:r w:rsidRPr="00166A39">
        <w:rPr>
          <w:rFonts w:asciiTheme="minorHAnsi" w:hAnsiTheme="minorHAnsi" w:cstheme="minorHAnsi"/>
          <w:sz w:val="24"/>
          <w:szCs w:val="24"/>
        </w:rPr>
        <w:t xml:space="preserve"> ale Guvernului, majoritatea întreprinderilor de stat și societăților comerciale cu cota statului au trecut în administrarea Agenției Proprietății Publice, cu excepția unor întreprinderi de stat care urmează a fi reorganizate de autoritățile-fondator în instituții publice;</w:t>
      </w:r>
    </w:p>
    <w:p w14:paraId="2BB304CD" w14:textId="6996774D" w:rsidR="00BD2435" w:rsidRPr="00166A39" w:rsidRDefault="00BD2435" w:rsidP="00166A39">
      <w:pPr>
        <w:pStyle w:val="ListParagraph"/>
        <w:widowControl w:val="0"/>
        <w:numPr>
          <w:ilvl w:val="0"/>
          <w:numId w:val="41"/>
        </w:numPr>
        <w:suppressAutoHyphens/>
        <w:autoSpaceDN w:val="0"/>
        <w:spacing w:after="0" w:line="240" w:lineRule="auto"/>
        <w:ind w:left="0" w:firstLine="567"/>
        <w:jc w:val="both"/>
        <w:textAlignment w:val="baseline"/>
        <w:rPr>
          <w:rFonts w:asciiTheme="minorHAnsi" w:hAnsiTheme="minorHAnsi" w:cstheme="minorHAnsi"/>
          <w:sz w:val="24"/>
          <w:szCs w:val="24"/>
          <w:lang w:val="ro-MD"/>
        </w:rPr>
      </w:pPr>
      <w:r w:rsidRPr="00166A39">
        <w:rPr>
          <w:rFonts w:asciiTheme="minorHAnsi" w:hAnsiTheme="minorHAnsi" w:cstheme="minorHAnsi"/>
          <w:sz w:val="24"/>
          <w:szCs w:val="24"/>
        </w:rPr>
        <w:t xml:space="preserve">derulează procesul de reorganizare a entităților cu capital de stat prin fuziune (comasare) a celor cu gen similar de activitate în vederea optimizării resurselor; de transformare a unor întreprinderi de stat în instituții publice, care preponderent prestează servicii populației; precum și de privatizare/ </w:t>
      </w:r>
      <w:r w:rsidR="007D4CBC" w:rsidRPr="00166A39">
        <w:rPr>
          <w:rFonts w:asciiTheme="minorHAnsi" w:hAnsiTheme="minorHAnsi" w:cstheme="minorHAnsi"/>
          <w:sz w:val="24"/>
          <w:szCs w:val="24"/>
        </w:rPr>
        <w:t>vânzare</w:t>
      </w:r>
      <w:r w:rsidRPr="00166A39">
        <w:rPr>
          <w:rFonts w:asciiTheme="minorHAnsi" w:hAnsiTheme="minorHAnsi" w:cstheme="minorHAnsi"/>
          <w:sz w:val="24"/>
          <w:szCs w:val="24"/>
        </w:rPr>
        <w:t xml:space="preserve"> a unor entități care, potrivit specificului de activitate, nu necesită a fi menținute în proprietatea statului;</w:t>
      </w:r>
    </w:p>
    <w:p w14:paraId="0DCBEAF7" w14:textId="77777777" w:rsidR="00BD2435" w:rsidRPr="00166A39" w:rsidRDefault="00BD2435" w:rsidP="00166A39">
      <w:pPr>
        <w:pStyle w:val="ListParagraph"/>
        <w:widowControl w:val="0"/>
        <w:numPr>
          <w:ilvl w:val="0"/>
          <w:numId w:val="41"/>
        </w:numPr>
        <w:suppressAutoHyphens/>
        <w:autoSpaceDN w:val="0"/>
        <w:spacing w:after="0" w:line="240" w:lineRule="auto"/>
        <w:ind w:left="0" w:firstLine="540"/>
        <w:jc w:val="both"/>
        <w:textAlignment w:val="baseline"/>
        <w:rPr>
          <w:rFonts w:asciiTheme="minorHAnsi" w:hAnsiTheme="minorHAnsi" w:cstheme="minorHAnsi"/>
          <w:sz w:val="24"/>
          <w:szCs w:val="24"/>
        </w:rPr>
      </w:pPr>
      <w:r w:rsidRPr="00166A39">
        <w:rPr>
          <w:rFonts w:asciiTheme="minorHAnsi" w:hAnsiTheme="minorHAnsi" w:cstheme="minorHAnsi"/>
          <w:sz w:val="24"/>
          <w:szCs w:val="24"/>
        </w:rPr>
        <w:t>Agenția Proprietății Publice în calitate de unic fondator al întreprinderilor de stat și deținător de acțiuni/ părți sociale în societățile comerciale, în vederea consolidării, protecției și valorificării competente a proprietății publice de stat, intensifică dialogul cu aceste entități prin convocarea ședințelor corpului administrativ superior al sectorului proprietății publice; solicitarea inventarierii bunurilor imobile administrate de entități, înregistrării bunurilor imobile neînregistrate; solicitarea diverselor informații pentru stabilirea indicatorilor de performanță pentru entități, transparentizării activității prin publicarea obligatorie a informațiilor stabilite de lege etc.</w:t>
      </w:r>
    </w:p>
    <w:p w14:paraId="6301CBF0" w14:textId="77777777" w:rsidR="00BD2435" w:rsidRPr="00166A39" w:rsidRDefault="00BD2435" w:rsidP="00166A39">
      <w:pPr>
        <w:ind w:firstLine="540"/>
        <w:jc w:val="both"/>
        <w:rPr>
          <w:rFonts w:asciiTheme="minorHAnsi" w:hAnsiTheme="minorHAnsi" w:cstheme="minorHAnsi"/>
        </w:rPr>
      </w:pPr>
      <w:r w:rsidRPr="00166A39">
        <w:rPr>
          <w:rFonts w:asciiTheme="minorHAnsi" w:hAnsiTheme="minorHAnsi" w:cstheme="minorHAnsi"/>
        </w:rPr>
        <w:t xml:space="preserve">În ce privește recreditările entităților economice cu capital de stat din contul unor împrumuturi externe, aceste solicitări de împrumut urmează să fie însoțite de: </w:t>
      </w:r>
    </w:p>
    <w:p w14:paraId="56F99798" w14:textId="77777777" w:rsidR="00BD2435" w:rsidRPr="00166A39" w:rsidRDefault="00BD2435" w:rsidP="00166A39">
      <w:pPr>
        <w:pStyle w:val="ListParagraph"/>
        <w:widowControl w:val="0"/>
        <w:numPr>
          <w:ilvl w:val="0"/>
          <w:numId w:val="43"/>
        </w:numPr>
        <w:tabs>
          <w:tab w:val="left" w:pos="993"/>
        </w:tabs>
        <w:suppressAutoHyphens/>
        <w:autoSpaceDN w:val="0"/>
        <w:spacing w:after="0" w:line="240" w:lineRule="auto"/>
        <w:ind w:left="567" w:hanging="27"/>
        <w:jc w:val="both"/>
        <w:textAlignment w:val="baseline"/>
        <w:rPr>
          <w:rFonts w:asciiTheme="minorHAnsi" w:hAnsiTheme="minorHAnsi" w:cstheme="minorHAnsi"/>
          <w:sz w:val="24"/>
          <w:szCs w:val="24"/>
        </w:rPr>
      </w:pPr>
      <w:r w:rsidRPr="00166A39">
        <w:rPr>
          <w:rFonts w:asciiTheme="minorHAnsi" w:hAnsiTheme="minorHAnsi" w:cstheme="minorHAnsi"/>
          <w:sz w:val="24"/>
          <w:szCs w:val="24"/>
        </w:rPr>
        <w:t xml:space="preserve">studii de fezabilitate ample, care au fost supuse unei revizuiri independente, care confirmă viabilitatea economică și financiară a proiectului; </w:t>
      </w:r>
    </w:p>
    <w:p w14:paraId="40398127" w14:textId="77777777" w:rsidR="00BD2435" w:rsidRPr="00166A39" w:rsidRDefault="00BD2435" w:rsidP="00166A39">
      <w:pPr>
        <w:pStyle w:val="ListParagraph"/>
        <w:widowControl w:val="0"/>
        <w:numPr>
          <w:ilvl w:val="0"/>
          <w:numId w:val="43"/>
        </w:numPr>
        <w:tabs>
          <w:tab w:val="left" w:pos="993"/>
        </w:tabs>
        <w:suppressAutoHyphens/>
        <w:autoSpaceDN w:val="0"/>
        <w:spacing w:after="0" w:line="240" w:lineRule="auto"/>
        <w:ind w:left="567" w:hanging="27"/>
        <w:jc w:val="both"/>
        <w:textAlignment w:val="baseline"/>
        <w:rPr>
          <w:rFonts w:asciiTheme="minorHAnsi" w:hAnsiTheme="minorHAnsi" w:cstheme="minorHAnsi"/>
          <w:sz w:val="24"/>
          <w:szCs w:val="24"/>
        </w:rPr>
      </w:pPr>
      <w:r w:rsidRPr="00166A39">
        <w:rPr>
          <w:rFonts w:asciiTheme="minorHAnsi" w:hAnsiTheme="minorHAnsi" w:cstheme="minorHAnsi"/>
          <w:sz w:val="24"/>
          <w:szCs w:val="24"/>
        </w:rPr>
        <w:t xml:space="preserve">un plan de afaceri pe termen mediu al entității, care demonstrează confirmarea viabilității operațiunilor sale de bază; și </w:t>
      </w:r>
    </w:p>
    <w:p w14:paraId="791C9453" w14:textId="77777777" w:rsidR="00BD2435" w:rsidRPr="00166A39" w:rsidRDefault="00BD2435" w:rsidP="00166A39">
      <w:pPr>
        <w:tabs>
          <w:tab w:val="left" w:pos="1134"/>
        </w:tabs>
        <w:ind w:left="567" w:hanging="27"/>
        <w:jc w:val="both"/>
        <w:rPr>
          <w:rFonts w:asciiTheme="minorHAnsi" w:hAnsiTheme="minorHAnsi" w:cstheme="minorHAnsi"/>
        </w:rPr>
      </w:pPr>
      <w:r w:rsidRPr="00166A39">
        <w:rPr>
          <w:rFonts w:asciiTheme="minorHAnsi" w:hAnsiTheme="minorHAnsi" w:cstheme="minorHAnsi"/>
        </w:rPr>
        <w:t>(iii)</w:t>
      </w:r>
      <w:r w:rsidRPr="00166A39">
        <w:rPr>
          <w:rFonts w:asciiTheme="minorHAnsi" w:hAnsiTheme="minorHAnsi" w:cstheme="minorHAnsi"/>
        </w:rPr>
        <w:tab/>
        <w:t>o evaluare independentă a riscului de credit care identifică măsurile necesare pentru consolidarea administrării și gestionării întreprinderii.</w:t>
      </w:r>
    </w:p>
    <w:p w14:paraId="58732837" w14:textId="77777777" w:rsidR="00BD2435" w:rsidRDefault="00BD2435" w:rsidP="00BD2435">
      <w:pPr>
        <w:spacing w:line="276" w:lineRule="auto"/>
        <w:ind w:firstLine="540"/>
        <w:jc w:val="both"/>
        <w:rPr>
          <w:color w:val="FF0000"/>
        </w:rPr>
      </w:pPr>
    </w:p>
    <w:p w14:paraId="32D4F58B" w14:textId="6F2406C5" w:rsidR="000C2B62" w:rsidRDefault="000C2B62" w:rsidP="000C2B62">
      <w:pPr>
        <w:spacing w:line="276" w:lineRule="auto"/>
        <w:ind w:firstLine="540"/>
        <w:jc w:val="both"/>
      </w:pPr>
      <w:r>
        <w:t xml:space="preserve">     </w:t>
      </w:r>
    </w:p>
    <w:p w14:paraId="55DC01E1" w14:textId="77777777" w:rsidR="000552FE" w:rsidRPr="00FB0BE5" w:rsidRDefault="000552FE" w:rsidP="003A55C8">
      <w:pPr>
        <w:pStyle w:val="Heading2"/>
        <w:rPr>
          <w:sz w:val="24"/>
          <w:szCs w:val="24"/>
        </w:rPr>
      </w:pPr>
      <w:bookmarkStart w:id="27" w:name="_Toc498455220"/>
      <w:bookmarkStart w:id="28" w:name="_Toc498612430"/>
      <w:r w:rsidRPr="00FB0BE5">
        <w:rPr>
          <w:sz w:val="24"/>
          <w:szCs w:val="24"/>
        </w:rPr>
        <w:t>2.3 Riscuri,</w:t>
      </w:r>
      <w:r w:rsidR="000A3D5A">
        <w:rPr>
          <w:sz w:val="24"/>
          <w:szCs w:val="24"/>
        </w:rPr>
        <w:t xml:space="preserve"> </w:t>
      </w:r>
      <w:r w:rsidRPr="00FB0BE5">
        <w:rPr>
          <w:sz w:val="24"/>
          <w:szCs w:val="24"/>
        </w:rPr>
        <w:t>asociate sectorului financiar</w:t>
      </w:r>
      <w:bookmarkEnd w:id="27"/>
      <w:bookmarkEnd w:id="28"/>
    </w:p>
    <w:p w14:paraId="7440F1B9" w14:textId="77777777" w:rsidR="00966B5E" w:rsidRPr="00FB0BE5" w:rsidRDefault="00966B5E" w:rsidP="003A55C8"/>
    <w:p w14:paraId="7A863001" w14:textId="77777777" w:rsidR="000D3AF4" w:rsidRPr="00FB0BE5" w:rsidRDefault="005861CE" w:rsidP="003A55C8">
      <w:pPr>
        <w:ind w:firstLine="567"/>
        <w:rPr>
          <w:rFonts w:asciiTheme="minorHAnsi" w:hAnsiTheme="minorHAnsi" w:cstheme="minorHAnsi"/>
          <w:b/>
        </w:rPr>
      </w:pPr>
      <w:r w:rsidRPr="00FB0BE5">
        <w:rPr>
          <w:rFonts w:asciiTheme="minorHAnsi" w:hAnsiTheme="minorHAnsi" w:cstheme="minorHAnsi"/>
          <w:b/>
        </w:rPr>
        <w:t>Tendințe și evoluții recente</w:t>
      </w:r>
    </w:p>
    <w:p w14:paraId="08EC827D" w14:textId="77777777" w:rsidR="00DE28BC" w:rsidRPr="00FB0BE5" w:rsidRDefault="00DE28BC" w:rsidP="003A55C8">
      <w:pPr>
        <w:rPr>
          <w:rFonts w:asciiTheme="minorHAnsi" w:hAnsiTheme="minorHAnsi" w:cstheme="minorHAnsi"/>
          <w:b/>
        </w:rPr>
      </w:pPr>
    </w:p>
    <w:p w14:paraId="17C2ECE3" w14:textId="77777777" w:rsidR="00A90141" w:rsidRDefault="005861CE" w:rsidP="00166A39">
      <w:pPr>
        <w:ind w:firstLine="567"/>
        <w:jc w:val="both"/>
        <w:rPr>
          <w:rFonts w:asciiTheme="minorHAnsi" w:hAnsiTheme="minorHAnsi" w:cstheme="minorHAnsi"/>
          <w:color w:val="000000"/>
        </w:rPr>
      </w:pPr>
      <w:r w:rsidRPr="00FB0BE5">
        <w:rPr>
          <w:rFonts w:asciiTheme="minorHAnsi" w:hAnsiTheme="minorHAnsi" w:cstheme="minorHAnsi"/>
          <w:color w:val="000000"/>
        </w:rPr>
        <w:t xml:space="preserve">Problemele din sectorul financiar pot genera costuri pentru bugetul </w:t>
      </w:r>
      <w:r w:rsidR="00D54156" w:rsidRPr="00FB0BE5">
        <w:rPr>
          <w:rFonts w:asciiTheme="minorHAnsi" w:hAnsiTheme="minorHAnsi" w:cstheme="minorHAnsi"/>
          <w:color w:val="000000"/>
        </w:rPr>
        <w:t>de stat</w:t>
      </w:r>
      <w:r w:rsidRPr="00FB0BE5">
        <w:rPr>
          <w:rFonts w:asciiTheme="minorHAnsi" w:hAnsiTheme="minorHAnsi" w:cstheme="minorHAnsi"/>
          <w:color w:val="000000"/>
        </w:rPr>
        <w:t>. Unele costuri posibile sunt directe: în cazul crizelor, guvernul poate injecta capital în băncile problematice sau proteja creditorii (deponenții) de pierderi pentru a preveni probleme financiare mai grave. Suplimentar, crizele financiare pot rezulta în costuri fiscale indirecte, deoarece reduc producția economică și, prin urmare, veniturile din impozite și taxe, determinarea acestora însă presupune estimări mult mai complexe.</w:t>
      </w:r>
    </w:p>
    <w:p w14:paraId="09F6427E" w14:textId="3A79F7F3" w:rsidR="006749D9" w:rsidRPr="00166A39" w:rsidRDefault="00A90141" w:rsidP="00166A39">
      <w:pPr>
        <w:ind w:firstLine="567"/>
        <w:jc w:val="both"/>
        <w:rPr>
          <w:rFonts w:asciiTheme="minorHAnsi" w:hAnsiTheme="minorHAnsi" w:cstheme="minorHAnsi"/>
          <w:color w:val="000000"/>
        </w:rPr>
      </w:pPr>
      <w:r>
        <w:rPr>
          <w:rFonts w:asciiTheme="minorHAnsi" w:hAnsiTheme="minorHAnsi" w:cstheme="minorHAnsi"/>
          <w:color w:val="000000"/>
        </w:rPr>
        <w:t xml:space="preserve"> </w:t>
      </w:r>
      <w:r w:rsidR="006749D9" w:rsidRPr="00166A39">
        <w:rPr>
          <w:rFonts w:asciiTheme="minorHAnsi" w:hAnsiTheme="minorHAnsi" w:cstheme="minorHAnsi"/>
          <w:color w:val="000000"/>
        </w:rPr>
        <w:t>În perioada de referință, în sectorul bancar a continuat tendința de creștere a activelor, depozitelor, capitalului, băncile fiind capabile să acopere riscurile ce rezultă din activitatea lor. De asemenea, sectorul bancar dispune de lichiditate și profitabilitate înaltă. Cu toate că în sectorul bancar a avut loc descreșterea activității de creditare în perioadele precedente, începând cu martie 2018, au fost înregistrate creșteri lunare ale portofoliului de credite. Ponderea creditelor neperformante în portofoliul de credite pe parcursul perioadei menționate s-a diminuat, dar rămâne a fi înaltă, băncile urmând să continue strategia de diminuare a creditelor neperformante.</w:t>
      </w:r>
    </w:p>
    <w:p w14:paraId="3C3AD6E5" w14:textId="3CAF40DC" w:rsidR="00A60830" w:rsidRPr="00FB0BE5" w:rsidRDefault="005861CE" w:rsidP="00166A39">
      <w:pPr>
        <w:spacing w:after="120"/>
        <w:ind w:firstLine="567"/>
        <w:jc w:val="both"/>
        <w:rPr>
          <w:rFonts w:asciiTheme="minorHAnsi" w:eastAsia="Calibri" w:hAnsiTheme="minorHAnsi" w:cstheme="minorHAnsi"/>
        </w:rPr>
      </w:pPr>
      <w:r w:rsidRPr="00FB0BE5">
        <w:rPr>
          <w:rFonts w:asciiTheme="minorHAnsi" w:eastAsia="Calibri" w:hAnsiTheme="minorHAnsi" w:cstheme="minorHAnsi"/>
        </w:rPr>
        <w:t>Pe parcursul perioadei 2009-2016 au fost retrase licențele de desfășurare a activităților financiare la 5 bănci:</w:t>
      </w:r>
    </w:p>
    <w:p w14:paraId="3852E822" w14:textId="77777777"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t>BC„Investprivatbank” S.A.</w:t>
      </w:r>
    </w:p>
    <w:p w14:paraId="5FA02B21" w14:textId="77777777"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lastRenderedPageBreak/>
        <w:t>BC „Universalbank” S.A.</w:t>
      </w:r>
    </w:p>
    <w:p w14:paraId="1EA37578" w14:textId="77777777"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t>Banca de Economii S.A.</w:t>
      </w:r>
    </w:p>
    <w:p w14:paraId="7FDE4652" w14:textId="77777777" w:rsidR="00A60830" w:rsidRPr="00FB0BE5" w:rsidRDefault="005861CE" w:rsidP="004D3512">
      <w:pPr>
        <w:numPr>
          <w:ilvl w:val="0"/>
          <w:numId w:val="20"/>
        </w:numPr>
        <w:tabs>
          <w:tab w:val="left" w:pos="993"/>
        </w:tabs>
        <w:ind w:left="567" w:firstLine="0"/>
        <w:contextualSpacing/>
        <w:jc w:val="both"/>
        <w:rPr>
          <w:rFonts w:asciiTheme="minorHAnsi" w:eastAsia="Calibri" w:hAnsiTheme="minorHAnsi" w:cstheme="minorHAnsi"/>
        </w:rPr>
      </w:pPr>
      <w:r w:rsidRPr="00FB0BE5">
        <w:rPr>
          <w:rFonts w:asciiTheme="minorHAnsi" w:eastAsia="Calibri" w:hAnsiTheme="minorHAnsi" w:cstheme="minorHAnsi"/>
        </w:rPr>
        <w:t>BC „BANCA SOCIALĂ” S.A.</w:t>
      </w:r>
    </w:p>
    <w:p w14:paraId="0D3CADCE" w14:textId="77777777" w:rsidR="00A60830" w:rsidRPr="00FB0BE5" w:rsidRDefault="005861CE" w:rsidP="004D3512">
      <w:pPr>
        <w:numPr>
          <w:ilvl w:val="0"/>
          <w:numId w:val="20"/>
        </w:numPr>
        <w:tabs>
          <w:tab w:val="left" w:pos="993"/>
        </w:tabs>
        <w:spacing w:after="120"/>
        <w:ind w:left="567" w:firstLine="0"/>
        <w:jc w:val="both"/>
        <w:rPr>
          <w:rFonts w:asciiTheme="minorHAnsi" w:eastAsia="Calibri" w:hAnsiTheme="minorHAnsi" w:cstheme="minorHAnsi"/>
        </w:rPr>
      </w:pPr>
      <w:r w:rsidRPr="00FB0BE5">
        <w:rPr>
          <w:rFonts w:asciiTheme="minorHAnsi" w:eastAsia="Calibri" w:hAnsiTheme="minorHAnsi" w:cstheme="minorHAnsi"/>
        </w:rPr>
        <w:t xml:space="preserve">B.C. „UNIBANK” S.A. </w:t>
      </w:r>
    </w:p>
    <w:p w14:paraId="6BE46E9B" w14:textId="77777777" w:rsidR="00A60830" w:rsidRPr="00FB0BE5" w:rsidRDefault="005861CE" w:rsidP="004D3512">
      <w:pPr>
        <w:ind w:firstLine="567"/>
        <w:jc w:val="both"/>
        <w:rPr>
          <w:rFonts w:asciiTheme="minorHAnsi" w:hAnsiTheme="minorHAnsi" w:cstheme="minorHAnsi"/>
          <w:b/>
          <w:u w:val="single"/>
        </w:rPr>
      </w:pPr>
      <w:r w:rsidRPr="00FB0BE5">
        <w:rPr>
          <w:rFonts w:asciiTheme="minorHAnsi" w:hAnsiTheme="minorHAnsi" w:cstheme="minorHAnsi"/>
          <w:b/>
          <w:u w:val="single"/>
        </w:rPr>
        <w:t xml:space="preserve">BC„Investprivatbank” S.A. </w:t>
      </w:r>
    </w:p>
    <w:p w14:paraId="3574280C" w14:textId="77777777"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Licența băncii a fost retrasă la data de 19.06.2009, urmare a insolvabilității acesteia.</w:t>
      </w:r>
    </w:p>
    <w:p w14:paraId="44311207" w14:textId="70A8274F" w:rsidR="00A60830" w:rsidRPr="00FB0BE5" w:rsidRDefault="005861CE" w:rsidP="004D3512">
      <w:pPr>
        <w:spacing w:after="120"/>
        <w:ind w:firstLine="567"/>
        <w:jc w:val="both"/>
        <w:rPr>
          <w:rFonts w:asciiTheme="minorHAnsi" w:hAnsiTheme="minorHAnsi" w:cstheme="minorHAnsi"/>
        </w:rPr>
      </w:pPr>
      <w:r w:rsidRPr="00FB0BE5">
        <w:rPr>
          <w:rFonts w:asciiTheme="minorHAnsi" w:hAnsiTheme="minorHAnsi" w:cstheme="minorHAnsi"/>
        </w:rPr>
        <w:t xml:space="preserve">În cadrul procesului de lichidare BC„Investprivatbank” S.A. a contractat un împrumut de la Banca de Economii S.A. în valoare de 589,9 mil. lei. Ulterior, la 30.09.2011 (conform Legii </w:t>
      </w:r>
      <w:r w:rsidR="00A65ADD" w:rsidRPr="00FB0BE5">
        <w:rPr>
          <w:rFonts w:asciiTheme="minorHAnsi" w:hAnsiTheme="minorHAnsi" w:cstheme="minorHAnsi"/>
        </w:rPr>
        <w:t xml:space="preserve">nr.190/2011 </w:t>
      </w:r>
      <w:r w:rsidRPr="00FB0BE5">
        <w:rPr>
          <w:rFonts w:asciiTheme="minorHAnsi" w:hAnsiTheme="minorHAnsi" w:cstheme="minorHAnsi"/>
        </w:rPr>
        <w:t>privind unele măsuri suplimentare de asigurare a stabilității financiare, Ministerul Finanțelor a subrogat Banca de Economii S.A. în raporturile legate de creanța respectivă față de BC „Investiprivatbank” S.A., prin emiterea de către Ministerul Finanțelor a obligațiunilor de stat și transmiterea acestora către Banca de Ec</w:t>
      </w:r>
      <w:r w:rsidR="00D54156" w:rsidRPr="00FB0BE5">
        <w:rPr>
          <w:rFonts w:asciiTheme="minorHAnsi" w:hAnsiTheme="minorHAnsi" w:cstheme="minorHAnsi"/>
        </w:rPr>
        <w:t>onomii S.A. în scop de preluare</w:t>
      </w:r>
      <w:r w:rsidRPr="00FB0BE5">
        <w:rPr>
          <w:rFonts w:asciiTheme="minorHAnsi" w:hAnsiTheme="minorHAnsi" w:cstheme="minorHAnsi"/>
        </w:rPr>
        <w:t xml:space="preserve"> a creanței Băncii de Economii S.A. față de BC „Investprivatbank” S.A. în valoare de 428,5 mil. lei. </w:t>
      </w:r>
      <w:r w:rsidRPr="001C5FC7">
        <w:rPr>
          <w:rFonts w:asciiTheme="minorHAnsi" w:hAnsiTheme="minorHAnsi" w:cstheme="minorHAnsi"/>
        </w:rPr>
        <w:t xml:space="preserve">La </w:t>
      </w:r>
      <w:r w:rsidR="008F7087" w:rsidRPr="001C5FC7">
        <w:rPr>
          <w:rFonts w:asciiTheme="minorHAnsi" w:hAnsiTheme="minorHAnsi" w:cstheme="minorHAnsi"/>
        </w:rPr>
        <w:t>30.09.201</w:t>
      </w:r>
      <w:r w:rsidR="00400BEC" w:rsidRPr="001C5FC7">
        <w:rPr>
          <w:rFonts w:asciiTheme="minorHAnsi" w:hAnsiTheme="minorHAnsi" w:cstheme="minorHAnsi"/>
        </w:rPr>
        <w:t>8</w:t>
      </w:r>
      <w:r w:rsidR="008F7087" w:rsidRPr="001C5FC7">
        <w:rPr>
          <w:rFonts w:asciiTheme="minorHAnsi" w:hAnsiTheme="minorHAnsi" w:cstheme="minorHAnsi"/>
        </w:rPr>
        <w:t xml:space="preserve"> </w:t>
      </w:r>
      <w:r w:rsidRPr="001C5FC7">
        <w:rPr>
          <w:rFonts w:asciiTheme="minorHAnsi" w:hAnsiTheme="minorHAnsi" w:cstheme="minorHAnsi"/>
        </w:rPr>
        <w:t>soldul datoriei BC „Investprivatbank” S.A. față de Minist</w:t>
      </w:r>
      <w:r w:rsidR="00400BEC" w:rsidRPr="001C5FC7">
        <w:rPr>
          <w:rFonts w:asciiTheme="minorHAnsi" w:hAnsiTheme="minorHAnsi" w:cstheme="minorHAnsi"/>
        </w:rPr>
        <w:t>erul Finanțelor a constituit 358</w:t>
      </w:r>
      <w:r w:rsidRPr="001C5FC7">
        <w:rPr>
          <w:rFonts w:asciiTheme="minorHAnsi" w:hAnsiTheme="minorHAnsi" w:cstheme="minorHAnsi"/>
        </w:rPr>
        <w:t>,0 mil. lei.</w:t>
      </w:r>
    </w:p>
    <w:p w14:paraId="2F2EF307" w14:textId="77777777" w:rsidR="00A60830" w:rsidRPr="00FB0BE5" w:rsidRDefault="005861CE" w:rsidP="004D3512">
      <w:pPr>
        <w:ind w:firstLine="567"/>
        <w:jc w:val="both"/>
        <w:rPr>
          <w:rFonts w:asciiTheme="minorHAnsi" w:hAnsiTheme="minorHAnsi" w:cstheme="minorHAnsi"/>
          <w:b/>
          <w:u w:val="single"/>
        </w:rPr>
      </w:pPr>
      <w:r w:rsidRPr="00FB0BE5">
        <w:rPr>
          <w:rFonts w:asciiTheme="minorHAnsi" w:hAnsiTheme="minorHAnsi" w:cstheme="minorHAnsi"/>
          <w:b/>
          <w:u w:val="single"/>
        </w:rPr>
        <w:t xml:space="preserve">BC „Universalbank” S.A. </w:t>
      </w:r>
    </w:p>
    <w:p w14:paraId="372E2E5B" w14:textId="77777777"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Licența băncii a fost retrasă la data de 15.02.2012, urmare a insolvabilității acesteia.</w:t>
      </w:r>
    </w:p>
    <w:p w14:paraId="01B53899" w14:textId="77777777" w:rsidR="00A60830" w:rsidRPr="00FB0BE5" w:rsidRDefault="005861CE" w:rsidP="004D3512">
      <w:pPr>
        <w:spacing w:after="120"/>
        <w:ind w:firstLine="567"/>
        <w:jc w:val="both"/>
        <w:rPr>
          <w:rFonts w:asciiTheme="minorHAnsi" w:hAnsiTheme="minorHAnsi" w:cstheme="minorHAnsi"/>
        </w:rPr>
      </w:pPr>
      <w:r w:rsidRPr="00FB0BE5">
        <w:rPr>
          <w:rFonts w:asciiTheme="minorHAnsi" w:hAnsiTheme="minorHAnsi" w:cstheme="minorHAnsi"/>
        </w:rPr>
        <w:t>Banca nu a beneficiat de garanții sau injecții de capital.</w:t>
      </w:r>
    </w:p>
    <w:p w14:paraId="2048E966" w14:textId="77777777" w:rsidR="00A60830" w:rsidRPr="00FB0BE5" w:rsidRDefault="005861CE" w:rsidP="004D3512">
      <w:pPr>
        <w:ind w:firstLine="567"/>
        <w:jc w:val="both"/>
        <w:rPr>
          <w:rFonts w:asciiTheme="minorHAnsi" w:hAnsiTheme="minorHAnsi" w:cstheme="minorHAnsi"/>
          <w:b/>
          <w:u w:val="single"/>
        </w:rPr>
      </w:pPr>
      <w:r w:rsidRPr="00FB0BE5">
        <w:rPr>
          <w:rFonts w:asciiTheme="minorHAnsi" w:hAnsiTheme="minorHAnsi" w:cstheme="minorHAnsi"/>
          <w:b/>
          <w:u w:val="single"/>
        </w:rPr>
        <w:t>Banca de Economii S.A., BC „BANCA SOCIALĂ” S.A., BC „UNIBANK” S.A.</w:t>
      </w:r>
    </w:p>
    <w:p w14:paraId="282EC127" w14:textId="77777777"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Licențele acestor trei bănci au fost retrase la data de 16.10.2016, urmare a insolvabilității lor.</w:t>
      </w:r>
    </w:p>
    <w:p w14:paraId="24B4D082" w14:textId="77777777" w:rsidR="00A60830" w:rsidRPr="00FB0BE5" w:rsidRDefault="005861CE" w:rsidP="004D3512">
      <w:pPr>
        <w:ind w:firstLine="567"/>
        <w:jc w:val="both"/>
        <w:rPr>
          <w:rFonts w:asciiTheme="minorHAnsi" w:hAnsiTheme="minorHAnsi" w:cstheme="minorHAnsi"/>
        </w:rPr>
      </w:pPr>
      <w:r w:rsidRPr="00FB0BE5">
        <w:rPr>
          <w:rFonts w:asciiTheme="minorHAnsi" w:hAnsiTheme="minorHAnsi" w:cstheme="minorHAnsi"/>
        </w:rPr>
        <w:t xml:space="preserve">Anterior retragerii licenței, în perioada noiembrie 2014 – octombrie 2015, BNM a acordat Băncii de Economii S.A., BC „BANCA SOCIALĂ” S.A. și B.C. „UNIBANK” S.A. credite de urgență asigurate cu garanții de stat (prin </w:t>
      </w:r>
      <w:r w:rsidR="00D54156" w:rsidRPr="00FB0BE5">
        <w:rPr>
          <w:rFonts w:asciiTheme="minorHAnsi" w:hAnsiTheme="minorHAnsi" w:cstheme="minorHAnsi"/>
        </w:rPr>
        <w:t>Hotărârile</w:t>
      </w:r>
      <w:r w:rsidRPr="00FB0BE5">
        <w:rPr>
          <w:rFonts w:asciiTheme="minorHAnsi" w:hAnsiTheme="minorHAnsi" w:cstheme="minorHAnsi"/>
        </w:rPr>
        <w:t xml:space="preserve"> de Guvern nr.938 din 13.11.2014 și nr.124 din 30</w:t>
      </w:r>
      <w:r w:rsidR="00D54156" w:rsidRPr="00FB0BE5">
        <w:rPr>
          <w:rFonts w:asciiTheme="minorHAnsi" w:hAnsiTheme="minorHAnsi" w:cstheme="minorHAnsi"/>
        </w:rPr>
        <w:t xml:space="preserve">.03.2015), în sumă totală de 14 </w:t>
      </w:r>
      <w:r w:rsidRPr="00FB0BE5">
        <w:rPr>
          <w:rFonts w:asciiTheme="minorHAnsi" w:hAnsiTheme="minorHAnsi" w:cstheme="minorHAnsi"/>
        </w:rPr>
        <w:t>121,7 mil. lei, după cum urmează:</w:t>
      </w:r>
    </w:p>
    <w:p w14:paraId="47AFCED0" w14:textId="77777777" w:rsidR="00A60830" w:rsidRPr="00FB0BE5" w:rsidRDefault="00D54156" w:rsidP="004D3512">
      <w:pPr>
        <w:ind w:firstLine="567"/>
        <w:jc w:val="both"/>
        <w:rPr>
          <w:rFonts w:asciiTheme="minorHAnsi" w:hAnsiTheme="minorHAnsi" w:cstheme="minorHAnsi"/>
        </w:rPr>
      </w:pPr>
      <w:r w:rsidRPr="00FB0BE5">
        <w:rPr>
          <w:rFonts w:asciiTheme="minorHAnsi" w:hAnsiTheme="minorHAnsi" w:cstheme="minorHAnsi"/>
        </w:rPr>
        <w:t xml:space="preserve">- Banca de Economii S.A. – 9 </w:t>
      </w:r>
      <w:r w:rsidR="005861CE" w:rsidRPr="00FB0BE5">
        <w:rPr>
          <w:rFonts w:asciiTheme="minorHAnsi" w:hAnsiTheme="minorHAnsi" w:cstheme="minorHAnsi"/>
        </w:rPr>
        <w:t>273,2 mil. lei;</w:t>
      </w:r>
    </w:p>
    <w:p w14:paraId="3E9DD542" w14:textId="77777777" w:rsidR="00A60830" w:rsidRPr="00FB0BE5" w:rsidRDefault="00D54156" w:rsidP="004D3512">
      <w:pPr>
        <w:ind w:firstLine="567"/>
        <w:jc w:val="both"/>
        <w:rPr>
          <w:rFonts w:asciiTheme="minorHAnsi" w:hAnsiTheme="minorHAnsi" w:cstheme="minorHAnsi"/>
        </w:rPr>
      </w:pPr>
      <w:r w:rsidRPr="00FB0BE5">
        <w:rPr>
          <w:rFonts w:asciiTheme="minorHAnsi" w:hAnsiTheme="minorHAnsi" w:cstheme="minorHAnsi"/>
        </w:rPr>
        <w:t xml:space="preserve">- BC „BANCA SOCIALĂ” S.A. – 2 </w:t>
      </w:r>
      <w:r w:rsidR="005861CE" w:rsidRPr="00FB0BE5">
        <w:rPr>
          <w:rFonts w:asciiTheme="minorHAnsi" w:hAnsiTheme="minorHAnsi" w:cstheme="minorHAnsi"/>
        </w:rPr>
        <w:t>700,0 mil. lei;</w:t>
      </w:r>
    </w:p>
    <w:p w14:paraId="480B1AB2" w14:textId="77777777" w:rsidR="00A60830" w:rsidRPr="00FB0BE5" w:rsidRDefault="00D54156" w:rsidP="004D3512">
      <w:pPr>
        <w:spacing w:after="120"/>
        <w:ind w:firstLine="567"/>
        <w:jc w:val="both"/>
        <w:rPr>
          <w:rFonts w:asciiTheme="minorHAnsi" w:hAnsiTheme="minorHAnsi" w:cstheme="minorHAnsi"/>
        </w:rPr>
      </w:pPr>
      <w:r w:rsidRPr="00FB0BE5">
        <w:rPr>
          <w:rFonts w:asciiTheme="minorHAnsi" w:hAnsiTheme="minorHAnsi" w:cstheme="minorHAnsi"/>
        </w:rPr>
        <w:t xml:space="preserve">- B.C. „UNIBANK” S.A. – 2 </w:t>
      </w:r>
      <w:r w:rsidR="005861CE" w:rsidRPr="00FB0BE5">
        <w:rPr>
          <w:rFonts w:asciiTheme="minorHAnsi" w:hAnsiTheme="minorHAnsi" w:cstheme="minorHAnsi"/>
        </w:rPr>
        <w:t>148,5 mil. lei.</w:t>
      </w:r>
    </w:p>
    <w:p w14:paraId="6D0BF0B5" w14:textId="243B0331" w:rsidR="00A60830" w:rsidRPr="00FB0BE5" w:rsidRDefault="005861CE" w:rsidP="004D3512">
      <w:pPr>
        <w:spacing w:after="120"/>
        <w:ind w:firstLine="567"/>
        <w:jc w:val="both"/>
        <w:rPr>
          <w:rFonts w:asciiTheme="minorHAnsi" w:hAnsiTheme="minorHAnsi" w:cstheme="minorHAnsi"/>
        </w:rPr>
      </w:pPr>
      <w:r w:rsidRPr="00FB0BE5">
        <w:rPr>
          <w:rFonts w:asciiTheme="minorHAnsi" w:hAnsiTheme="minorHAnsi" w:cstheme="minorHAnsi"/>
        </w:rPr>
        <w:t>În conformitate cu Legea nr.235</w:t>
      </w:r>
      <w:r w:rsidR="00A65ADD" w:rsidRPr="00FB0BE5">
        <w:rPr>
          <w:rFonts w:asciiTheme="minorHAnsi" w:hAnsiTheme="minorHAnsi" w:cstheme="minorHAnsi"/>
        </w:rPr>
        <w:t>/</w:t>
      </w:r>
      <w:r w:rsidRPr="00FB0BE5">
        <w:rPr>
          <w:rFonts w:asciiTheme="minorHAnsi" w:hAnsiTheme="minorHAnsi" w:cstheme="minorHAnsi"/>
        </w:rPr>
        <w:t xml:space="preserve">2016, Ministerul Finanțelor a subrogat Banca </w:t>
      </w:r>
      <w:r w:rsidR="007D4CBC" w:rsidRPr="00FB0BE5">
        <w:rPr>
          <w:rFonts w:asciiTheme="minorHAnsi" w:hAnsiTheme="minorHAnsi" w:cstheme="minorHAnsi"/>
        </w:rPr>
        <w:t>Națională</w:t>
      </w:r>
      <w:r w:rsidRPr="00FB0BE5">
        <w:rPr>
          <w:rFonts w:asciiTheme="minorHAnsi" w:hAnsiTheme="minorHAnsi" w:cstheme="minorHAnsi"/>
        </w:rPr>
        <w:t xml:space="preserve"> a Moldovei în raporturile legate de creanța față de Banca de Economii S.A., BC „BANCA SOCIALĂ” S.A. şi BC „UNIBANK” S.A. prin emiterea obligațiunilor de stat în valoare egală cu creditele neachitate de către Banca de Economii S.A., BC „BANCA SOCIALĂ” S.A. şi BC „UNIBANK” S.A. Astfel, au fost emise obligațiuni de stat în valoare de 13.341,2 mil. lei, care au fost transmise în contul Băncii Naționale. </w:t>
      </w:r>
    </w:p>
    <w:p w14:paraId="138A9C46" w14:textId="77777777" w:rsidR="00985FCF" w:rsidRPr="001C5FC7" w:rsidRDefault="00985FCF" w:rsidP="001C5FC7">
      <w:pPr>
        <w:ind w:firstLine="567"/>
        <w:jc w:val="both"/>
        <w:rPr>
          <w:rFonts w:asciiTheme="minorHAnsi" w:hAnsiTheme="minorHAnsi" w:cstheme="minorHAnsi"/>
        </w:rPr>
      </w:pPr>
      <w:r w:rsidRPr="001C5FC7">
        <w:rPr>
          <w:rFonts w:asciiTheme="minorHAnsi" w:hAnsiTheme="minorHAnsi" w:cstheme="minorHAnsi"/>
        </w:rPr>
        <w:t>La data de 30.09.2018 soldul datoriei celor 3 bănci față de Ministerul Finanțelor a constituit 12 859,3 mil. lei, după cum urmează:</w:t>
      </w:r>
    </w:p>
    <w:p w14:paraId="4799EAFE" w14:textId="77777777" w:rsidR="00985FCF" w:rsidRPr="001C5FC7" w:rsidRDefault="00985FCF" w:rsidP="001C5FC7">
      <w:pPr>
        <w:ind w:firstLine="567"/>
        <w:jc w:val="both"/>
        <w:rPr>
          <w:rFonts w:asciiTheme="minorHAnsi" w:hAnsiTheme="minorHAnsi" w:cstheme="minorHAnsi"/>
        </w:rPr>
      </w:pPr>
      <w:r w:rsidRPr="001C5FC7">
        <w:rPr>
          <w:rFonts w:asciiTheme="minorHAnsi" w:hAnsiTheme="minorHAnsi" w:cstheme="minorHAnsi"/>
        </w:rPr>
        <w:t>- Banca de Economii S.A. – 8 857,0 mil. lei;</w:t>
      </w:r>
    </w:p>
    <w:p w14:paraId="76D8E9A3" w14:textId="77777777" w:rsidR="00985FCF" w:rsidRPr="001C5FC7" w:rsidRDefault="00985FCF" w:rsidP="001C5FC7">
      <w:pPr>
        <w:ind w:firstLine="567"/>
        <w:jc w:val="both"/>
        <w:rPr>
          <w:rFonts w:asciiTheme="minorHAnsi" w:hAnsiTheme="minorHAnsi" w:cstheme="minorHAnsi"/>
        </w:rPr>
      </w:pPr>
      <w:r w:rsidRPr="001C5FC7">
        <w:rPr>
          <w:rFonts w:asciiTheme="minorHAnsi" w:hAnsiTheme="minorHAnsi" w:cstheme="minorHAnsi"/>
        </w:rPr>
        <w:t>- BC „BANCA SOCIALĂ” S.A. – 2 159,0 mil. lei;</w:t>
      </w:r>
    </w:p>
    <w:p w14:paraId="7A880A79" w14:textId="77777777" w:rsidR="00985FCF" w:rsidRPr="001C5FC7" w:rsidRDefault="00985FCF" w:rsidP="001C5FC7">
      <w:pPr>
        <w:ind w:firstLine="567"/>
        <w:jc w:val="both"/>
        <w:rPr>
          <w:rFonts w:asciiTheme="minorHAnsi" w:hAnsiTheme="minorHAnsi" w:cstheme="minorHAnsi"/>
        </w:rPr>
      </w:pPr>
      <w:r w:rsidRPr="001C5FC7">
        <w:rPr>
          <w:rFonts w:asciiTheme="minorHAnsi" w:hAnsiTheme="minorHAnsi" w:cstheme="minorHAnsi"/>
        </w:rPr>
        <w:t>- B.C. „UNIBANK” S.A. – 1 843,3 mil. lei.</w:t>
      </w:r>
    </w:p>
    <w:p w14:paraId="4FF47C54" w14:textId="1BE7DCF2" w:rsidR="00A60830" w:rsidRDefault="005861CE" w:rsidP="004D3512">
      <w:pPr>
        <w:ind w:firstLine="567"/>
        <w:jc w:val="both"/>
        <w:rPr>
          <w:rFonts w:asciiTheme="minorHAnsi" w:hAnsiTheme="minorHAnsi" w:cstheme="minorHAnsi"/>
        </w:rPr>
      </w:pPr>
      <w:r w:rsidRPr="00FB0BE5">
        <w:rPr>
          <w:rFonts w:asciiTheme="minorHAnsi" w:hAnsiTheme="minorHAnsi" w:cstheme="minorHAnsi"/>
        </w:rPr>
        <w:t xml:space="preserve">În același timp, Banca Națională a aplicat unele prevederi ale Legii privind redresarea și rezoluția băncilor </w:t>
      </w:r>
      <w:r w:rsidR="00A65ADD" w:rsidRPr="00FB0BE5">
        <w:rPr>
          <w:rFonts w:asciiTheme="minorHAnsi" w:hAnsiTheme="minorHAnsi" w:cstheme="minorHAnsi"/>
        </w:rPr>
        <w:t xml:space="preserve">nr. 232/2016 </w:t>
      </w:r>
      <w:r w:rsidRPr="00FB0BE5">
        <w:rPr>
          <w:rFonts w:asciiTheme="minorHAnsi" w:hAnsiTheme="minorHAnsi" w:cstheme="minorHAnsi"/>
        </w:rPr>
        <w:t>în vederea asigurării unei activități sănătoase și prudente a băncii în perioada de soluționare a deficiențelor identificate</w:t>
      </w:r>
      <w:r w:rsidR="001E44BB">
        <w:rPr>
          <w:rFonts w:asciiTheme="minorHAnsi" w:hAnsiTheme="minorHAnsi" w:cstheme="minorHAnsi"/>
        </w:rPr>
        <w:t>.</w:t>
      </w:r>
    </w:p>
    <w:p w14:paraId="1458C710" w14:textId="51833388" w:rsidR="00696D33" w:rsidRDefault="00696D33">
      <w:pPr>
        <w:spacing w:after="200" w:line="276" w:lineRule="auto"/>
        <w:rPr>
          <w:rFonts w:asciiTheme="minorHAnsi" w:hAnsiTheme="minorHAnsi" w:cstheme="minorHAnsi"/>
        </w:rPr>
      </w:pPr>
      <w:r>
        <w:rPr>
          <w:rFonts w:asciiTheme="minorHAnsi" w:hAnsiTheme="minorHAnsi" w:cstheme="minorHAnsi"/>
        </w:rPr>
        <w:br w:type="page"/>
      </w:r>
    </w:p>
    <w:p w14:paraId="181D8F22" w14:textId="77777777" w:rsidR="000D3AF4" w:rsidRPr="00166A39" w:rsidRDefault="000E1111" w:rsidP="003A55C8">
      <w:pPr>
        <w:ind w:firstLine="567"/>
        <w:jc w:val="both"/>
        <w:rPr>
          <w:rFonts w:asciiTheme="minorHAnsi" w:hAnsiTheme="minorHAnsi" w:cstheme="minorHAnsi"/>
          <w:b/>
        </w:rPr>
      </w:pPr>
      <w:r w:rsidRPr="00166A39">
        <w:rPr>
          <w:rFonts w:asciiTheme="minorHAnsi" w:hAnsiTheme="minorHAnsi" w:cstheme="minorHAnsi"/>
          <w:b/>
        </w:rPr>
        <w:lastRenderedPageBreak/>
        <w:t>Prognoze bugetare pe termen mediu</w:t>
      </w:r>
    </w:p>
    <w:p w14:paraId="4108BAEE" w14:textId="0F1A114C" w:rsidR="00A60830" w:rsidRDefault="000E1111" w:rsidP="004D3512">
      <w:pPr>
        <w:ind w:firstLine="567"/>
        <w:jc w:val="both"/>
        <w:rPr>
          <w:rFonts w:asciiTheme="minorHAnsi" w:hAnsiTheme="minorHAnsi" w:cstheme="minorHAnsi"/>
        </w:rPr>
      </w:pPr>
      <w:r w:rsidRPr="00166A39">
        <w:rPr>
          <w:rFonts w:asciiTheme="minorHAnsi" w:hAnsiTheme="minorHAnsi" w:cstheme="minorHAnsi"/>
        </w:rPr>
        <w:t>Având în vedere emisiunea obligațiunilor de stat în valoare de 13341,2 mil. lei, pe termen de până la 25 de ani, care au fost transmise în contul Băncii Naționale a Moldovei în scopul executării de către Ministerul Finanțelor a obligațiilor de plată derivate din garanțiile de stat acordate în anii 2014-2015 pentru cele trei bănci, estimările privind plățile ce urmează a se efectua din bugetul de stat în contul deservirii obligațiunilor de stat respective (plata dobânzilor și a sumei principale) se situează sub 0,</w:t>
      </w:r>
      <w:r w:rsidR="002C163C" w:rsidRPr="00166A39">
        <w:rPr>
          <w:rFonts w:asciiTheme="minorHAnsi" w:hAnsiTheme="minorHAnsi" w:cstheme="minorHAnsi"/>
        </w:rPr>
        <w:t>4</w:t>
      </w:r>
      <w:r w:rsidRPr="00166A39">
        <w:rPr>
          <w:rFonts w:asciiTheme="minorHAnsi" w:hAnsiTheme="minorHAnsi" w:cstheme="minorHAnsi"/>
        </w:rPr>
        <w:t>% din PIB în perioada anilor 201</w:t>
      </w:r>
      <w:r w:rsidR="002C163C" w:rsidRPr="00166A39">
        <w:rPr>
          <w:rFonts w:asciiTheme="minorHAnsi" w:hAnsiTheme="minorHAnsi" w:cstheme="minorHAnsi"/>
        </w:rPr>
        <w:t>9</w:t>
      </w:r>
      <w:r w:rsidRPr="00166A39">
        <w:rPr>
          <w:rFonts w:asciiTheme="minorHAnsi" w:hAnsiTheme="minorHAnsi" w:cstheme="minorHAnsi"/>
        </w:rPr>
        <w:t>-202</w:t>
      </w:r>
      <w:r w:rsidR="002C163C" w:rsidRPr="00166A39">
        <w:rPr>
          <w:rFonts w:asciiTheme="minorHAnsi" w:hAnsiTheme="minorHAnsi" w:cstheme="minorHAnsi"/>
        </w:rPr>
        <w:t>1</w:t>
      </w:r>
      <w:r w:rsidRPr="00166A39">
        <w:rPr>
          <w:rFonts w:asciiTheme="minorHAnsi" w:hAnsiTheme="minorHAnsi" w:cstheme="minorHAnsi"/>
        </w:rPr>
        <w:t>.</w:t>
      </w:r>
    </w:p>
    <w:p w14:paraId="7C9BFE15" w14:textId="77777777" w:rsidR="00340494" w:rsidRPr="00166A39" w:rsidRDefault="00340494" w:rsidP="004D3512">
      <w:pPr>
        <w:ind w:firstLine="567"/>
        <w:jc w:val="both"/>
        <w:rPr>
          <w:rFonts w:asciiTheme="minorHAnsi" w:hAnsiTheme="minorHAnsi" w:cstheme="minorHAnsi"/>
        </w:rPr>
      </w:pPr>
    </w:p>
    <w:p w14:paraId="06F8236B" w14:textId="76164189" w:rsidR="00A60830" w:rsidRPr="00166A39" w:rsidRDefault="000E1111" w:rsidP="00166A39">
      <w:pPr>
        <w:ind w:left="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 xml:space="preserve">Tabelul </w:t>
      </w:r>
      <w:r w:rsidR="00366DB3" w:rsidRPr="00166A39">
        <w:rPr>
          <w:rFonts w:asciiTheme="minorHAnsi" w:hAnsiTheme="minorHAnsi" w:cstheme="minorHAnsi"/>
          <w:b/>
          <w:i/>
          <w:color w:val="548DD4" w:themeColor="text2" w:themeTint="99"/>
          <w:sz w:val="22"/>
          <w:szCs w:val="22"/>
        </w:rPr>
        <w:t>8</w:t>
      </w:r>
      <w:r w:rsidRPr="00166A39">
        <w:rPr>
          <w:rFonts w:asciiTheme="minorHAnsi" w:hAnsiTheme="minorHAnsi" w:cstheme="minorHAnsi"/>
          <w:b/>
          <w:i/>
          <w:color w:val="548DD4" w:themeColor="text2" w:themeTint="99"/>
          <w:sz w:val="22"/>
          <w:szCs w:val="22"/>
        </w:rPr>
        <w:t>. Plățile MF pentru deservirea obligațiunilor de stat emise în scopul executării obligațiilor la garanțiile de stat acordate în anii 2014-2015*)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1107"/>
        <w:gridCol w:w="1176"/>
        <w:gridCol w:w="1176"/>
        <w:gridCol w:w="1176"/>
      </w:tblGrid>
      <w:tr w:rsidR="000D3AF4" w:rsidRPr="0040197F" w14:paraId="45761FA6" w14:textId="77777777" w:rsidTr="00166A39">
        <w:trPr>
          <w:jc w:val="center"/>
        </w:trPr>
        <w:tc>
          <w:tcPr>
            <w:tcW w:w="2442" w:type="pct"/>
          </w:tcPr>
          <w:p w14:paraId="78736302" w14:textId="77777777" w:rsidR="000D3AF4" w:rsidRPr="00166A39" w:rsidRDefault="000D3AF4" w:rsidP="003A55C8">
            <w:pPr>
              <w:rPr>
                <w:rFonts w:asciiTheme="minorHAnsi" w:hAnsiTheme="minorHAnsi" w:cstheme="minorHAnsi"/>
                <w:sz w:val="20"/>
                <w:szCs w:val="20"/>
              </w:rPr>
            </w:pPr>
          </w:p>
        </w:tc>
        <w:tc>
          <w:tcPr>
            <w:tcW w:w="611" w:type="pct"/>
          </w:tcPr>
          <w:p w14:paraId="7DAA4B32" w14:textId="4EDD160F" w:rsidR="000D3AF4" w:rsidRPr="00166A39" w:rsidRDefault="000E1111" w:rsidP="003A55C8">
            <w:pPr>
              <w:jc w:val="center"/>
              <w:rPr>
                <w:rFonts w:asciiTheme="minorHAnsi" w:hAnsiTheme="minorHAnsi" w:cstheme="minorHAnsi"/>
                <w:b/>
                <w:sz w:val="20"/>
                <w:szCs w:val="20"/>
              </w:rPr>
            </w:pPr>
            <w:r w:rsidRPr="00166A39">
              <w:rPr>
                <w:rFonts w:asciiTheme="minorHAnsi" w:hAnsiTheme="minorHAnsi" w:cstheme="minorHAnsi"/>
                <w:b/>
                <w:sz w:val="20"/>
                <w:szCs w:val="20"/>
              </w:rPr>
              <w:t>201</w:t>
            </w:r>
            <w:r w:rsidR="002C163C" w:rsidRPr="00166A39">
              <w:rPr>
                <w:rFonts w:asciiTheme="minorHAnsi" w:hAnsiTheme="minorHAnsi" w:cstheme="minorHAnsi"/>
                <w:b/>
                <w:sz w:val="20"/>
                <w:szCs w:val="20"/>
              </w:rPr>
              <w:t>8</w:t>
            </w:r>
          </w:p>
          <w:p w14:paraId="0913A698" w14:textId="77777777" w:rsidR="000D3AF4" w:rsidRPr="00166A39" w:rsidRDefault="000E1111" w:rsidP="003A55C8">
            <w:pPr>
              <w:jc w:val="center"/>
              <w:rPr>
                <w:rFonts w:asciiTheme="minorHAnsi" w:hAnsiTheme="minorHAnsi" w:cstheme="minorHAnsi"/>
                <w:b/>
                <w:sz w:val="20"/>
                <w:szCs w:val="20"/>
              </w:rPr>
            </w:pPr>
            <w:r w:rsidRPr="00166A39">
              <w:rPr>
                <w:rFonts w:asciiTheme="minorHAnsi" w:hAnsiTheme="minorHAnsi" w:cstheme="minorHAnsi"/>
                <w:b/>
                <w:sz w:val="20"/>
                <w:szCs w:val="20"/>
              </w:rPr>
              <w:t>aprobat</w:t>
            </w:r>
          </w:p>
        </w:tc>
        <w:tc>
          <w:tcPr>
            <w:tcW w:w="649" w:type="pct"/>
          </w:tcPr>
          <w:p w14:paraId="51EAB836" w14:textId="12A42FDE" w:rsidR="000D3AF4" w:rsidRPr="00166A39" w:rsidRDefault="000E1111" w:rsidP="003A55C8">
            <w:pPr>
              <w:jc w:val="center"/>
              <w:rPr>
                <w:rFonts w:asciiTheme="minorHAnsi" w:hAnsiTheme="minorHAnsi" w:cstheme="minorHAnsi"/>
                <w:b/>
                <w:sz w:val="20"/>
                <w:szCs w:val="20"/>
              </w:rPr>
            </w:pPr>
            <w:r w:rsidRPr="00166A39">
              <w:rPr>
                <w:rFonts w:asciiTheme="minorHAnsi" w:hAnsiTheme="minorHAnsi" w:cstheme="minorHAnsi"/>
                <w:b/>
                <w:sz w:val="20"/>
                <w:szCs w:val="20"/>
              </w:rPr>
              <w:t>201</w:t>
            </w:r>
            <w:r w:rsidR="002C163C" w:rsidRPr="00166A39">
              <w:rPr>
                <w:rFonts w:asciiTheme="minorHAnsi" w:hAnsiTheme="minorHAnsi" w:cstheme="minorHAnsi"/>
                <w:b/>
                <w:sz w:val="20"/>
                <w:szCs w:val="20"/>
              </w:rPr>
              <w:t>9</w:t>
            </w:r>
          </w:p>
          <w:p w14:paraId="34A9C2CA" w14:textId="77777777" w:rsidR="000D3AF4" w:rsidRPr="00166A39" w:rsidRDefault="000E1111" w:rsidP="003A55C8">
            <w:pPr>
              <w:jc w:val="center"/>
              <w:rPr>
                <w:rFonts w:asciiTheme="minorHAnsi" w:hAnsiTheme="minorHAnsi" w:cstheme="minorHAnsi"/>
                <w:b/>
                <w:i/>
                <w:sz w:val="20"/>
                <w:szCs w:val="20"/>
              </w:rPr>
            </w:pPr>
            <w:r w:rsidRPr="00166A39">
              <w:rPr>
                <w:rFonts w:asciiTheme="minorHAnsi" w:hAnsiTheme="minorHAnsi" w:cstheme="minorHAnsi"/>
                <w:b/>
                <w:i/>
                <w:sz w:val="20"/>
                <w:szCs w:val="20"/>
              </w:rPr>
              <w:t>prognoza</w:t>
            </w:r>
          </w:p>
        </w:tc>
        <w:tc>
          <w:tcPr>
            <w:tcW w:w="649" w:type="pct"/>
          </w:tcPr>
          <w:p w14:paraId="6FA28AAF" w14:textId="3FCD1923" w:rsidR="000D3AF4" w:rsidRPr="00166A39" w:rsidRDefault="000E1111" w:rsidP="003A55C8">
            <w:pPr>
              <w:jc w:val="center"/>
              <w:rPr>
                <w:rFonts w:asciiTheme="minorHAnsi" w:hAnsiTheme="minorHAnsi" w:cstheme="minorHAnsi"/>
                <w:b/>
                <w:sz w:val="20"/>
                <w:szCs w:val="20"/>
              </w:rPr>
            </w:pPr>
            <w:r w:rsidRPr="00166A39">
              <w:rPr>
                <w:rFonts w:asciiTheme="minorHAnsi" w:hAnsiTheme="minorHAnsi" w:cstheme="minorHAnsi"/>
                <w:b/>
                <w:sz w:val="20"/>
                <w:szCs w:val="20"/>
              </w:rPr>
              <w:t>20</w:t>
            </w:r>
            <w:r w:rsidR="002C163C" w:rsidRPr="00166A39">
              <w:rPr>
                <w:rFonts w:asciiTheme="minorHAnsi" w:hAnsiTheme="minorHAnsi" w:cstheme="minorHAnsi"/>
                <w:b/>
                <w:sz w:val="20"/>
                <w:szCs w:val="20"/>
              </w:rPr>
              <w:t>20</w:t>
            </w:r>
          </w:p>
          <w:p w14:paraId="49AF4A78" w14:textId="77777777" w:rsidR="000D3AF4" w:rsidRPr="00166A39" w:rsidRDefault="000E1111" w:rsidP="003A55C8">
            <w:pPr>
              <w:jc w:val="center"/>
              <w:rPr>
                <w:rFonts w:asciiTheme="minorHAnsi" w:hAnsiTheme="minorHAnsi" w:cstheme="minorHAnsi"/>
                <w:b/>
                <w:i/>
                <w:sz w:val="20"/>
                <w:szCs w:val="20"/>
              </w:rPr>
            </w:pPr>
            <w:r w:rsidRPr="00166A39">
              <w:rPr>
                <w:rFonts w:asciiTheme="minorHAnsi" w:hAnsiTheme="minorHAnsi" w:cstheme="minorHAnsi"/>
                <w:b/>
                <w:i/>
                <w:sz w:val="20"/>
                <w:szCs w:val="20"/>
              </w:rPr>
              <w:t>prognoza</w:t>
            </w:r>
          </w:p>
        </w:tc>
        <w:tc>
          <w:tcPr>
            <w:tcW w:w="649" w:type="pct"/>
          </w:tcPr>
          <w:p w14:paraId="64C8B0D6" w14:textId="3A4A241D" w:rsidR="000D3AF4" w:rsidRPr="00166A39" w:rsidRDefault="000E1111" w:rsidP="003A55C8">
            <w:pPr>
              <w:jc w:val="center"/>
              <w:rPr>
                <w:rFonts w:asciiTheme="minorHAnsi" w:hAnsiTheme="minorHAnsi" w:cstheme="minorHAnsi"/>
                <w:b/>
                <w:sz w:val="20"/>
                <w:szCs w:val="20"/>
              </w:rPr>
            </w:pPr>
            <w:r w:rsidRPr="00166A39">
              <w:rPr>
                <w:rFonts w:asciiTheme="minorHAnsi" w:hAnsiTheme="minorHAnsi" w:cstheme="minorHAnsi"/>
                <w:b/>
                <w:sz w:val="20"/>
                <w:szCs w:val="20"/>
              </w:rPr>
              <w:t>202</w:t>
            </w:r>
            <w:r w:rsidR="002C163C" w:rsidRPr="00166A39">
              <w:rPr>
                <w:rFonts w:asciiTheme="minorHAnsi" w:hAnsiTheme="minorHAnsi" w:cstheme="minorHAnsi"/>
                <w:b/>
                <w:sz w:val="20"/>
                <w:szCs w:val="20"/>
              </w:rPr>
              <w:t>1</w:t>
            </w:r>
          </w:p>
          <w:p w14:paraId="0234FA61" w14:textId="77777777" w:rsidR="000D3AF4" w:rsidRPr="00166A39" w:rsidRDefault="000E1111" w:rsidP="003A55C8">
            <w:pPr>
              <w:jc w:val="center"/>
              <w:rPr>
                <w:rFonts w:asciiTheme="minorHAnsi" w:hAnsiTheme="minorHAnsi" w:cstheme="minorHAnsi"/>
                <w:b/>
                <w:i/>
                <w:sz w:val="20"/>
                <w:szCs w:val="20"/>
              </w:rPr>
            </w:pPr>
            <w:r w:rsidRPr="00166A39">
              <w:rPr>
                <w:rFonts w:asciiTheme="minorHAnsi" w:hAnsiTheme="minorHAnsi" w:cstheme="minorHAnsi"/>
                <w:b/>
                <w:i/>
                <w:sz w:val="20"/>
                <w:szCs w:val="20"/>
              </w:rPr>
              <w:t>prognoza</w:t>
            </w:r>
          </w:p>
        </w:tc>
      </w:tr>
      <w:tr w:rsidR="002C163C" w:rsidRPr="0040197F" w14:paraId="62DC7B32" w14:textId="77777777" w:rsidTr="00166A39">
        <w:trPr>
          <w:jc w:val="center"/>
        </w:trPr>
        <w:tc>
          <w:tcPr>
            <w:tcW w:w="2442" w:type="pct"/>
          </w:tcPr>
          <w:p w14:paraId="5FA8F6ED" w14:textId="77777777" w:rsidR="002C163C" w:rsidRPr="00166A39" w:rsidRDefault="000E1111" w:rsidP="002C163C">
            <w:pPr>
              <w:rPr>
                <w:rFonts w:asciiTheme="minorHAnsi" w:hAnsiTheme="minorHAnsi" w:cstheme="minorHAnsi"/>
                <w:sz w:val="20"/>
                <w:szCs w:val="20"/>
              </w:rPr>
            </w:pPr>
            <w:r w:rsidRPr="00166A39">
              <w:rPr>
                <w:rFonts w:asciiTheme="minorHAnsi" w:hAnsiTheme="minorHAnsi" w:cstheme="minorHAnsi"/>
                <w:sz w:val="20"/>
                <w:szCs w:val="20"/>
              </w:rPr>
              <w:t>- mil. lei</w:t>
            </w:r>
          </w:p>
        </w:tc>
        <w:tc>
          <w:tcPr>
            <w:tcW w:w="611" w:type="pct"/>
          </w:tcPr>
          <w:p w14:paraId="7015C7D9" w14:textId="4958428D" w:rsidR="002C163C" w:rsidRPr="00166A39" w:rsidRDefault="002C163C" w:rsidP="002C163C">
            <w:pPr>
              <w:jc w:val="right"/>
              <w:rPr>
                <w:rFonts w:asciiTheme="minorHAnsi" w:hAnsiTheme="minorHAnsi" w:cstheme="minorHAnsi"/>
                <w:sz w:val="20"/>
                <w:szCs w:val="20"/>
              </w:rPr>
            </w:pPr>
            <w:r w:rsidRPr="00166A39">
              <w:rPr>
                <w:rFonts w:asciiTheme="minorHAnsi" w:hAnsiTheme="minorHAnsi" w:cstheme="minorHAnsi"/>
                <w:sz w:val="20"/>
                <w:szCs w:val="20"/>
              </w:rPr>
              <w:t>827,5</w:t>
            </w:r>
          </w:p>
        </w:tc>
        <w:tc>
          <w:tcPr>
            <w:tcW w:w="649" w:type="pct"/>
          </w:tcPr>
          <w:p w14:paraId="0EA0C34D" w14:textId="59FE0924" w:rsidR="002C163C" w:rsidRPr="00166A39" w:rsidRDefault="002C163C" w:rsidP="002C163C">
            <w:pPr>
              <w:jc w:val="right"/>
              <w:rPr>
                <w:rFonts w:asciiTheme="minorHAnsi" w:hAnsiTheme="minorHAnsi" w:cstheme="minorHAnsi"/>
                <w:sz w:val="20"/>
                <w:szCs w:val="20"/>
              </w:rPr>
            </w:pPr>
            <w:r w:rsidRPr="00166A39">
              <w:rPr>
                <w:rFonts w:asciiTheme="minorHAnsi" w:hAnsiTheme="minorHAnsi" w:cstheme="minorHAnsi"/>
                <w:sz w:val="20"/>
                <w:szCs w:val="20"/>
              </w:rPr>
              <w:t>844,5</w:t>
            </w:r>
          </w:p>
        </w:tc>
        <w:tc>
          <w:tcPr>
            <w:tcW w:w="649" w:type="pct"/>
          </w:tcPr>
          <w:p w14:paraId="48711100" w14:textId="01B195D4" w:rsidR="002C163C" w:rsidRPr="00166A39" w:rsidRDefault="002C163C" w:rsidP="002C163C">
            <w:pPr>
              <w:jc w:val="right"/>
              <w:rPr>
                <w:rFonts w:asciiTheme="minorHAnsi" w:hAnsiTheme="minorHAnsi" w:cstheme="minorHAnsi"/>
                <w:sz w:val="20"/>
                <w:szCs w:val="20"/>
              </w:rPr>
            </w:pPr>
            <w:r w:rsidRPr="00166A39">
              <w:rPr>
                <w:rFonts w:asciiTheme="minorHAnsi" w:hAnsiTheme="minorHAnsi" w:cstheme="minorHAnsi"/>
                <w:sz w:val="20"/>
                <w:szCs w:val="20"/>
              </w:rPr>
              <w:t>853,0</w:t>
            </w:r>
          </w:p>
        </w:tc>
        <w:tc>
          <w:tcPr>
            <w:tcW w:w="649" w:type="pct"/>
          </w:tcPr>
          <w:p w14:paraId="34A61766" w14:textId="14CDA123" w:rsidR="002C163C" w:rsidRPr="00166A39" w:rsidRDefault="002C163C" w:rsidP="002C163C">
            <w:pPr>
              <w:jc w:val="right"/>
              <w:rPr>
                <w:rFonts w:asciiTheme="minorHAnsi" w:hAnsiTheme="minorHAnsi" w:cstheme="minorHAnsi"/>
                <w:sz w:val="20"/>
                <w:szCs w:val="20"/>
              </w:rPr>
            </w:pPr>
            <w:r w:rsidRPr="00166A39">
              <w:rPr>
                <w:rFonts w:asciiTheme="minorHAnsi" w:hAnsiTheme="minorHAnsi" w:cstheme="minorHAnsi"/>
                <w:sz w:val="20"/>
                <w:szCs w:val="20"/>
              </w:rPr>
              <w:t>867,9</w:t>
            </w:r>
          </w:p>
        </w:tc>
      </w:tr>
      <w:tr w:rsidR="002C163C" w:rsidRPr="0040197F" w14:paraId="0EB35E0D" w14:textId="77777777" w:rsidTr="00166A39">
        <w:trPr>
          <w:jc w:val="center"/>
        </w:trPr>
        <w:tc>
          <w:tcPr>
            <w:tcW w:w="2442" w:type="pct"/>
          </w:tcPr>
          <w:p w14:paraId="3F6F1085" w14:textId="77777777" w:rsidR="002C163C" w:rsidRPr="00166A39" w:rsidRDefault="000E1111" w:rsidP="002C163C">
            <w:pPr>
              <w:rPr>
                <w:rFonts w:asciiTheme="minorHAnsi" w:hAnsiTheme="minorHAnsi" w:cstheme="minorHAnsi"/>
                <w:i/>
                <w:sz w:val="20"/>
                <w:szCs w:val="20"/>
              </w:rPr>
            </w:pPr>
            <w:r w:rsidRPr="00166A39">
              <w:rPr>
                <w:rFonts w:asciiTheme="minorHAnsi" w:hAnsiTheme="minorHAnsi" w:cstheme="minorHAnsi"/>
                <w:i/>
                <w:sz w:val="20"/>
                <w:szCs w:val="20"/>
              </w:rPr>
              <w:t>- % din PIB</w:t>
            </w:r>
          </w:p>
        </w:tc>
        <w:tc>
          <w:tcPr>
            <w:tcW w:w="611" w:type="pct"/>
          </w:tcPr>
          <w:p w14:paraId="22D9929D" w14:textId="2FAB7B42" w:rsidR="002C163C" w:rsidRPr="00166A39" w:rsidRDefault="000E1111" w:rsidP="002C163C">
            <w:pPr>
              <w:jc w:val="right"/>
              <w:rPr>
                <w:rFonts w:asciiTheme="minorHAnsi" w:hAnsiTheme="minorHAnsi" w:cstheme="minorHAnsi"/>
                <w:i/>
                <w:sz w:val="20"/>
                <w:szCs w:val="20"/>
              </w:rPr>
            </w:pPr>
            <w:r w:rsidRPr="00166A39">
              <w:rPr>
                <w:rFonts w:asciiTheme="minorHAnsi" w:hAnsiTheme="minorHAnsi" w:cstheme="minorHAnsi"/>
                <w:i/>
                <w:sz w:val="20"/>
                <w:szCs w:val="20"/>
              </w:rPr>
              <w:t>0,</w:t>
            </w:r>
            <w:r w:rsidR="002C163C" w:rsidRPr="00166A39">
              <w:rPr>
                <w:rFonts w:asciiTheme="minorHAnsi" w:hAnsiTheme="minorHAnsi" w:cstheme="minorHAnsi"/>
                <w:i/>
                <w:sz w:val="20"/>
                <w:szCs w:val="20"/>
              </w:rPr>
              <w:t>4</w:t>
            </w:r>
          </w:p>
        </w:tc>
        <w:tc>
          <w:tcPr>
            <w:tcW w:w="649" w:type="pct"/>
          </w:tcPr>
          <w:p w14:paraId="0FDA51C7" w14:textId="60A45EA7" w:rsidR="002C163C" w:rsidRPr="00166A39" w:rsidRDefault="000E1111" w:rsidP="002C163C">
            <w:pPr>
              <w:jc w:val="right"/>
              <w:rPr>
                <w:rFonts w:asciiTheme="minorHAnsi" w:hAnsiTheme="minorHAnsi" w:cstheme="minorHAnsi"/>
                <w:i/>
                <w:sz w:val="20"/>
                <w:szCs w:val="20"/>
              </w:rPr>
            </w:pPr>
            <w:r w:rsidRPr="00166A39">
              <w:rPr>
                <w:rFonts w:asciiTheme="minorHAnsi" w:hAnsiTheme="minorHAnsi" w:cstheme="minorHAnsi"/>
                <w:i/>
                <w:sz w:val="20"/>
                <w:szCs w:val="20"/>
              </w:rPr>
              <w:t>0,</w:t>
            </w:r>
            <w:r w:rsidR="002C163C" w:rsidRPr="00166A39">
              <w:rPr>
                <w:rFonts w:asciiTheme="minorHAnsi" w:hAnsiTheme="minorHAnsi" w:cstheme="minorHAnsi"/>
                <w:i/>
                <w:sz w:val="20"/>
                <w:szCs w:val="20"/>
              </w:rPr>
              <w:t>4</w:t>
            </w:r>
          </w:p>
        </w:tc>
        <w:tc>
          <w:tcPr>
            <w:tcW w:w="649" w:type="pct"/>
          </w:tcPr>
          <w:p w14:paraId="457FF05F" w14:textId="1CD0180B" w:rsidR="002C163C" w:rsidRPr="00166A39" w:rsidRDefault="000E1111" w:rsidP="002C163C">
            <w:pPr>
              <w:jc w:val="right"/>
              <w:rPr>
                <w:rFonts w:asciiTheme="minorHAnsi" w:hAnsiTheme="minorHAnsi" w:cstheme="minorHAnsi"/>
                <w:i/>
                <w:sz w:val="20"/>
                <w:szCs w:val="20"/>
              </w:rPr>
            </w:pPr>
            <w:r w:rsidRPr="00166A39">
              <w:rPr>
                <w:rFonts w:asciiTheme="minorHAnsi" w:hAnsiTheme="minorHAnsi" w:cstheme="minorHAnsi"/>
                <w:i/>
                <w:sz w:val="20"/>
                <w:szCs w:val="20"/>
              </w:rPr>
              <w:t>0,</w:t>
            </w:r>
            <w:r w:rsidR="002C163C" w:rsidRPr="00166A39">
              <w:rPr>
                <w:rFonts w:asciiTheme="minorHAnsi" w:hAnsiTheme="minorHAnsi" w:cstheme="minorHAnsi"/>
                <w:i/>
                <w:sz w:val="20"/>
                <w:szCs w:val="20"/>
              </w:rPr>
              <w:t>4</w:t>
            </w:r>
          </w:p>
        </w:tc>
        <w:tc>
          <w:tcPr>
            <w:tcW w:w="649" w:type="pct"/>
          </w:tcPr>
          <w:p w14:paraId="58354560" w14:textId="76371CA2" w:rsidR="002C163C" w:rsidRPr="00166A39" w:rsidRDefault="000E1111" w:rsidP="002C163C">
            <w:pPr>
              <w:jc w:val="right"/>
              <w:rPr>
                <w:rFonts w:asciiTheme="minorHAnsi" w:hAnsiTheme="minorHAnsi" w:cstheme="minorHAnsi"/>
                <w:i/>
                <w:sz w:val="20"/>
                <w:szCs w:val="20"/>
              </w:rPr>
            </w:pPr>
            <w:r w:rsidRPr="00166A39">
              <w:rPr>
                <w:rFonts w:asciiTheme="minorHAnsi" w:hAnsiTheme="minorHAnsi" w:cstheme="minorHAnsi"/>
                <w:i/>
                <w:sz w:val="20"/>
                <w:szCs w:val="20"/>
              </w:rPr>
              <w:t>0,</w:t>
            </w:r>
            <w:r w:rsidR="002C163C" w:rsidRPr="00166A39">
              <w:rPr>
                <w:rFonts w:asciiTheme="minorHAnsi" w:hAnsiTheme="minorHAnsi" w:cstheme="minorHAnsi"/>
                <w:i/>
                <w:sz w:val="20"/>
                <w:szCs w:val="20"/>
              </w:rPr>
              <w:t>3</w:t>
            </w:r>
          </w:p>
        </w:tc>
      </w:tr>
    </w:tbl>
    <w:p w14:paraId="122BDAF6" w14:textId="77777777" w:rsidR="000D3AF4" w:rsidRPr="00FB0BE5" w:rsidRDefault="000E1111" w:rsidP="003A55C8">
      <w:pPr>
        <w:ind w:firstLine="567"/>
        <w:jc w:val="both"/>
        <w:rPr>
          <w:rFonts w:asciiTheme="minorHAnsi" w:hAnsiTheme="minorHAnsi" w:cstheme="minorHAnsi"/>
        </w:rPr>
      </w:pPr>
      <w:r w:rsidRPr="00166A39">
        <w:rPr>
          <w:rFonts w:asciiTheme="minorHAnsi" w:hAnsiTheme="minorHAnsi" w:cstheme="minorHAnsi"/>
        </w:rPr>
        <w:t xml:space="preserve">*) </w:t>
      </w:r>
      <w:r w:rsidRPr="00166A39">
        <w:rPr>
          <w:rFonts w:asciiTheme="minorHAnsi" w:hAnsiTheme="minorHAnsi" w:cstheme="minorHAnsi"/>
          <w:i/>
        </w:rPr>
        <w:t>conform graficului de emisiune și răscumpărare a obligațiunilor de stat</w:t>
      </w:r>
    </w:p>
    <w:p w14:paraId="377BD8B9" w14:textId="77777777" w:rsidR="000D3AF4" w:rsidRPr="00FB0BE5" w:rsidRDefault="000D3AF4" w:rsidP="003A55C8">
      <w:pPr>
        <w:ind w:firstLine="567"/>
        <w:jc w:val="both"/>
        <w:rPr>
          <w:rFonts w:asciiTheme="minorHAnsi" w:hAnsiTheme="minorHAnsi" w:cstheme="minorHAnsi"/>
        </w:rPr>
      </w:pPr>
    </w:p>
    <w:p w14:paraId="07635177" w14:textId="77777777" w:rsidR="001E44BB" w:rsidRPr="00FB0BE5" w:rsidRDefault="001E44BB" w:rsidP="003A55C8">
      <w:pPr>
        <w:ind w:firstLine="567"/>
        <w:jc w:val="both"/>
        <w:rPr>
          <w:rFonts w:asciiTheme="minorHAnsi" w:hAnsiTheme="minorHAnsi" w:cstheme="minorHAnsi"/>
          <w:b/>
        </w:rPr>
      </w:pPr>
    </w:p>
    <w:p w14:paraId="2452C88B" w14:textId="77777777" w:rsidR="0038390D" w:rsidRPr="00FB0BE5" w:rsidRDefault="000552FE" w:rsidP="003A55C8">
      <w:pPr>
        <w:ind w:firstLine="567"/>
        <w:jc w:val="both"/>
        <w:rPr>
          <w:rFonts w:asciiTheme="minorHAnsi" w:hAnsiTheme="minorHAnsi" w:cstheme="minorHAnsi"/>
          <w:b/>
        </w:rPr>
      </w:pPr>
      <w:r w:rsidRPr="00FB0BE5">
        <w:rPr>
          <w:rFonts w:asciiTheme="minorHAnsi" w:hAnsiTheme="minorHAnsi" w:cstheme="minorHAnsi"/>
          <w:b/>
        </w:rPr>
        <w:t>Evaluarea riscurilor viitoare</w:t>
      </w:r>
    </w:p>
    <w:p w14:paraId="16E44508" w14:textId="77777777" w:rsidR="0038390D" w:rsidRPr="00FB0BE5" w:rsidRDefault="0038390D" w:rsidP="003A55C8">
      <w:pPr>
        <w:ind w:firstLine="567"/>
        <w:jc w:val="both"/>
        <w:rPr>
          <w:rFonts w:asciiTheme="minorHAnsi" w:hAnsiTheme="minorHAnsi" w:cstheme="minorHAnsi"/>
        </w:rPr>
      </w:pPr>
    </w:p>
    <w:p w14:paraId="4E38F0CA" w14:textId="40B11270" w:rsidR="00A60830" w:rsidRPr="00FB0BE5" w:rsidRDefault="005861CE" w:rsidP="00166A39">
      <w:pPr>
        <w:ind w:firstLine="567"/>
        <w:jc w:val="both"/>
        <w:rPr>
          <w:rFonts w:asciiTheme="minorHAnsi" w:hAnsiTheme="minorHAnsi" w:cstheme="minorHAnsi"/>
          <w:color w:val="000000"/>
        </w:rPr>
      </w:pPr>
      <w:r w:rsidRPr="00FB0BE5">
        <w:rPr>
          <w:rFonts w:asciiTheme="minorHAnsi" w:hAnsiTheme="minorHAnsi" w:cstheme="minorHAnsi"/>
          <w:color w:val="000000"/>
        </w:rPr>
        <w:t xml:space="preserve">Experiența internațională sugerează că există o probabilitate mai mare de apariție a crizelor financiare după o perioadă în care împrumuturile totale din economie au crescut rapid. În ultimii ani creditarea marchează dinamici inferioare în raport cu evoluția economiei. Suma totală a creditelor acordate de toate instituțiile financiare a descrescut </w:t>
      </w:r>
      <w:r w:rsidR="0040197F" w:rsidRPr="00166A39">
        <w:rPr>
          <w:rFonts w:asciiTheme="minorHAnsi" w:hAnsiTheme="minorHAnsi" w:cstheme="minorHAnsi"/>
          <w:color w:val="000000"/>
        </w:rPr>
        <w:t>considerabil în ultimii ani revenind pe un trend crescător doar în 2108</w:t>
      </w:r>
      <w:r w:rsidRPr="00FB0BE5">
        <w:rPr>
          <w:rFonts w:asciiTheme="minorHAnsi" w:hAnsiTheme="minorHAnsi" w:cstheme="minorHAnsi"/>
          <w:color w:val="000000"/>
        </w:rPr>
        <w:t xml:space="preserve">. Raportul Credite în PIB la situația actuală este sub media pe ultimii </w:t>
      </w:r>
      <w:r w:rsidR="0040197F">
        <w:rPr>
          <w:rFonts w:asciiTheme="minorHAnsi" w:hAnsiTheme="minorHAnsi" w:cstheme="minorHAnsi"/>
          <w:color w:val="000000"/>
        </w:rPr>
        <w:t>2</w:t>
      </w:r>
      <w:r w:rsidRPr="00FB0BE5">
        <w:rPr>
          <w:rFonts w:asciiTheme="minorHAnsi" w:hAnsiTheme="minorHAnsi" w:cstheme="minorHAnsi"/>
          <w:color w:val="000000"/>
        </w:rPr>
        <w:t>0 ani, ceea ce indică asupra lipsei unei creditări excesive în economie</w:t>
      </w:r>
      <w:r w:rsidR="0040197F">
        <w:rPr>
          <w:rFonts w:asciiTheme="minorHAnsi" w:hAnsiTheme="minorHAnsi" w:cstheme="minorHAnsi"/>
          <w:color w:val="000000"/>
        </w:rPr>
        <w:t xml:space="preserve">, </w:t>
      </w:r>
      <w:r w:rsidR="0040197F" w:rsidRPr="00166A39">
        <w:rPr>
          <w:rFonts w:asciiTheme="minorHAnsi" w:hAnsiTheme="minorHAnsi" w:cstheme="minorHAnsi"/>
          <w:color w:val="000000"/>
        </w:rPr>
        <w:t>care ar putea duce la acumularea riscurilor prociclice</w:t>
      </w:r>
      <w:r w:rsidRPr="00FB0BE5">
        <w:rPr>
          <w:rFonts w:asciiTheme="minorHAnsi" w:hAnsiTheme="minorHAnsi" w:cstheme="minorHAnsi"/>
          <w:color w:val="000000"/>
        </w:rPr>
        <w:t>.</w:t>
      </w:r>
    </w:p>
    <w:p w14:paraId="6EF111F5" w14:textId="0843BF92" w:rsidR="00E25E6A" w:rsidRDefault="00BC6227" w:rsidP="00166A39">
      <w:pPr>
        <w:spacing w:after="120"/>
        <w:ind w:firstLine="567"/>
        <w:jc w:val="both"/>
        <w:rPr>
          <w:rFonts w:asciiTheme="minorHAnsi" w:hAnsiTheme="minorHAnsi" w:cstheme="minorHAnsi"/>
          <w:color w:val="000000"/>
        </w:rPr>
      </w:pPr>
      <w:r w:rsidRPr="00166A39">
        <w:rPr>
          <w:rFonts w:asciiTheme="minorHAnsi" w:hAnsiTheme="minorHAnsi" w:cstheme="minorHAnsi"/>
          <w:noProof/>
          <w:color w:val="000000"/>
          <w:lang w:val="ru-RU" w:eastAsia="ru-RU"/>
        </w:rPr>
        <mc:AlternateContent>
          <mc:Choice Requires="wps">
            <w:drawing>
              <wp:anchor distT="0" distB="0" distL="114300" distR="114300" simplePos="0" relativeHeight="251657728" behindDoc="0" locked="0" layoutInCell="1" allowOverlap="1" wp14:anchorId="5A8329C9" wp14:editId="5ADA0014">
                <wp:simplePos x="0" y="0"/>
                <wp:positionH relativeFrom="column">
                  <wp:posOffset>23495</wp:posOffset>
                </wp:positionH>
                <wp:positionV relativeFrom="paragraph">
                  <wp:posOffset>105410</wp:posOffset>
                </wp:positionV>
                <wp:extent cx="3172460" cy="2381250"/>
                <wp:effectExtent l="0" t="0" r="27940" b="1905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2381250"/>
                        </a:xfrm>
                        <a:prstGeom prst="rect">
                          <a:avLst/>
                        </a:prstGeom>
                        <a:solidFill>
                          <a:srgbClr val="FFFFFF"/>
                        </a:solidFill>
                        <a:ln w="9525">
                          <a:solidFill>
                            <a:schemeClr val="bg1">
                              <a:lumMod val="100000"/>
                              <a:lumOff val="0"/>
                            </a:schemeClr>
                          </a:solidFill>
                          <a:miter lim="800000"/>
                          <a:headEnd/>
                          <a:tailEnd/>
                        </a:ln>
                      </wps:spPr>
                      <wps:txbx>
                        <w:txbxContent>
                          <w:tbl>
                            <w:tblPr>
                              <w:tblOverlap w:val="never"/>
                              <w:tblW w:w="0" w:type="auto"/>
                              <w:tblLook w:val="04A0" w:firstRow="1" w:lastRow="0" w:firstColumn="1" w:lastColumn="0" w:noHBand="0" w:noVBand="1"/>
                            </w:tblPr>
                            <w:tblGrid>
                              <w:gridCol w:w="4596"/>
                            </w:tblGrid>
                            <w:tr w:rsidR="00017651" w:rsidRPr="003774BC" w14:paraId="0082D1FF" w14:textId="77777777" w:rsidTr="00EA7B1C">
                              <w:tc>
                                <w:tcPr>
                                  <w:tcW w:w="4451" w:type="dxa"/>
                                </w:tcPr>
                                <w:p w14:paraId="5ABEA529" w14:textId="17203A27" w:rsidR="00017651" w:rsidRDefault="00017651" w:rsidP="00FF1B32">
                                  <w:pPr>
                                    <w:spacing w:line="276" w:lineRule="auto"/>
                                    <w:suppressOverlap/>
                                    <w:rPr>
                                      <w:rFonts w:asciiTheme="minorHAnsi" w:hAnsiTheme="minorHAnsi" w:cstheme="minorHAnsi"/>
                                      <w:b/>
                                      <w:noProof/>
                                      <w:color w:val="365F91" w:themeColor="accent1" w:themeShade="BF"/>
                                      <w:sz w:val="20"/>
                                      <w:szCs w:val="20"/>
                                    </w:rPr>
                                  </w:pPr>
                                  <w:r w:rsidRPr="00FF1B32">
                                    <w:rPr>
                                      <w:rFonts w:asciiTheme="minorHAnsi" w:hAnsiTheme="minorHAnsi" w:cstheme="minorHAnsi"/>
                                      <w:b/>
                                      <w:noProof/>
                                      <w:color w:val="365F91" w:themeColor="accent1" w:themeShade="BF"/>
                                      <w:sz w:val="20"/>
                                      <w:szCs w:val="20"/>
                                    </w:rPr>
                                    <w:t xml:space="preserve">Graficul </w:t>
                                  </w:r>
                                  <w:r>
                                    <w:rPr>
                                      <w:rFonts w:asciiTheme="minorHAnsi" w:hAnsiTheme="minorHAnsi" w:cstheme="minorHAnsi"/>
                                      <w:b/>
                                      <w:noProof/>
                                      <w:color w:val="365F91" w:themeColor="accent1" w:themeShade="BF"/>
                                      <w:sz w:val="20"/>
                                      <w:szCs w:val="20"/>
                                    </w:rPr>
                                    <w:t xml:space="preserve">12. </w:t>
                                  </w:r>
                                  <w:r w:rsidRPr="00FF1B32">
                                    <w:rPr>
                                      <w:rFonts w:asciiTheme="minorHAnsi" w:hAnsiTheme="minorHAnsi" w:cstheme="minorHAnsi"/>
                                      <w:b/>
                                      <w:noProof/>
                                      <w:color w:val="365F91" w:themeColor="accent1" w:themeShade="BF"/>
                                      <w:sz w:val="20"/>
                                      <w:szCs w:val="20"/>
                                    </w:rPr>
                                    <w:t>Indicatorul credite-în-PIB este inferior trendului pe termen lung</w:t>
                                  </w:r>
                                </w:p>
                                <w:p w14:paraId="08174A1C" w14:textId="7096B1A0" w:rsidR="00017651" w:rsidRPr="00FF1B32" w:rsidRDefault="00017651" w:rsidP="00FF1B32">
                                  <w:pPr>
                                    <w:spacing w:line="276" w:lineRule="auto"/>
                                    <w:suppressOverlap/>
                                    <w:rPr>
                                      <w:rFonts w:asciiTheme="minorHAnsi" w:hAnsiTheme="minorHAnsi" w:cstheme="minorHAnsi"/>
                                      <w:b/>
                                      <w:color w:val="365F91" w:themeColor="accent1" w:themeShade="BF"/>
                                      <w:sz w:val="20"/>
                                      <w:szCs w:val="20"/>
                                    </w:rPr>
                                  </w:pPr>
                                  <w:r w:rsidRPr="0040197F">
                                    <w:rPr>
                                      <w:rFonts w:asciiTheme="minorHAnsi" w:hAnsiTheme="minorHAnsi" w:cstheme="minorHAnsi"/>
                                      <w:b/>
                                      <w:noProof/>
                                      <w:color w:val="365F91" w:themeColor="accent1" w:themeShade="BF"/>
                                      <w:sz w:val="20"/>
                                      <w:szCs w:val="20"/>
                                      <w:lang w:val="ru-RU" w:eastAsia="ru-RU"/>
                                    </w:rPr>
                                    <w:drawing>
                                      <wp:inline distT="0" distB="0" distL="0" distR="0" wp14:anchorId="3B28AB01" wp14:editId="4AC75FA7">
                                        <wp:extent cx="2781300" cy="1895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1300" cy="1895475"/>
                                                </a:xfrm>
                                                <a:prstGeom prst="rect">
                                                  <a:avLst/>
                                                </a:prstGeom>
                                                <a:noFill/>
                                                <a:ln>
                                                  <a:noFill/>
                                                </a:ln>
                                              </pic:spPr>
                                            </pic:pic>
                                          </a:graphicData>
                                        </a:graphic>
                                      </wp:inline>
                                    </w:drawing>
                                  </w:r>
                                </w:p>
                              </w:tc>
                            </w:tr>
                            <w:tr w:rsidR="00017651" w:rsidRPr="003774BC" w14:paraId="722A0D6F" w14:textId="77777777" w:rsidTr="00EA7B1C">
                              <w:tc>
                                <w:tcPr>
                                  <w:tcW w:w="4451" w:type="dxa"/>
                                </w:tcPr>
                                <w:p w14:paraId="35BEC220" w14:textId="235A898E" w:rsidR="00017651" w:rsidRPr="003774BC" w:rsidRDefault="00017651" w:rsidP="00EA7B1C">
                                  <w:pPr>
                                    <w:spacing w:line="276" w:lineRule="auto"/>
                                    <w:suppressOverlap/>
                                    <w:rPr>
                                      <w:rFonts w:cstheme="minorHAnsi"/>
                                      <w:color w:val="000000"/>
                                    </w:rPr>
                                  </w:pPr>
                                </w:p>
                              </w:tc>
                            </w:tr>
                            <w:tr w:rsidR="00017651" w:rsidRPr="003774BC" w14:paraId="48EFE483" w14:textId="77777777" w:rsidTr="00EA7B1C">
                              <w:tc>
                                <w:tcPr>
                                  <w:tcW w:w="4451" w:type="dxa"/>
                                </w:tcPr>
                                <w:p w14:paraId="5252487E" w14:textId="77777777" w:rsidR="00017651" w:rsidRPr="003774BC" w:rsidRDefault="00017651" w:rsidP="00EA7B1C">
                                  <w:pPr>
                                    <w:spacing w:line="276" w:lineRule="auto"/>
                                    <w:suppressOverlap/>
                                    <w:rPr>
                                      <w:rFonts w:cstheme="minorHAnsi"/>
                                      <w:i/>
                                      <w:color w:val="000000"/>
                                      <w:sz w:val="16"/>
                                      <w:szCs w:val="16"/>
                                    </w:rPr>
                                  </w:pPr>
                                  <w:r w:rsidRPr="003774BC">
                                    <w:rPr>
                                      <w:rFonts w:cstheme="minorHAnsi"/>
                                      <w:i/>
                                      <w:color w:val="000000"/>
                                      <w:sz w:val="16"/>
                                      <w:szCs w:val="16"/>
                                    </w:rPr>
                                    <w:t>*creditarea nebancară include soldul împrumuturilor acordate de organizațiile de microfinanțare și asociațiile de economii și împrumut</w:t>
                                  </w:r>
                                </w:p>
                                <w:p w14:paraId="39B3FCA4" w14:textId="77777777" w:rsidR="00017651" w:rsidRPr="003774BC" w:rsidRDefault="00017651" w:rsidP="00EA7B1C">
                                  <w:pPr>
                                    <w:spacing w:line="276" w:lineRule="auto"/>
                                    <w:suppressOverlap/>
                                    <w:rPr>
                                      <w:rFonts w:cstheme="minorHAnsi"/>
                                      <w:color w:val="000000"/>
                                    </w:rPr>
                                  </w:pPr>
                                  <w:r w:rsidRPr="003774BC">
                                    <w:rPr>
                                      <w:rFonts w:cstheme="minorHAnsi"/>
                                      <w:color w:val="000000"/>
                                      <w:sz w:val="16"/>
                                      <w:szCs w:val="16"/>
                                    </w:rPr>
                                    <w:t>Sursa: BNM, CNPF</w:t>
                                  </w:r>
                                </w:p>
                              </w:tc>
                            </w:tr>
                          </w:tbl>
                          <w:p w14:paraId="361E53A0" w14:textId="77777777" w:rsidR="00017651" w:rsidRDefault="00017651" w:rsidP="000D3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329C9" id="_x0000_t202" coordsize="21600,21600" o:spt="202" path="m,l,21600r21600,l21600,xe">
                <v:stroke joinstyle="miter"/>
                <v:path gradientshapeok="t" o:connecttype="rect"/>
              </v:shapetype>
              <v:shape id="Text Box 12" o:spid="_x0000_s1037" type="#_x0000_t202" style="position:absolute;left:0;text-align:left;margin-left:1.85pt;margin-top:8.3pt;width:249.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zoRgIAAJEEAAAOAAAAZHJzL2Uyb0RvYy54bWysVNtu3CAQfa/Uf0C8N147u7lY8UZp0lSV&#10;0ouU9gMwxjYqMBTYtdOv7wCbjdu+VfUDYpjhMHPOjK+uZ63IXjgvwTS0PFlRIgyHTpqhod++3r+5&#10;oMQHZjqmwIiGPglPr7evX11NthYVjKA64QiCGF9PtqFjCLYuCs9HoZk/ASsMOntwmgU03VB0jk2I&#10;rlVRrVZnxQSusw648B5P77KTbhN+3wsePve9F4GohmJuIa0urW1ci+0VqwfH7Cj5IQ32D1loJg0+&#10;eoS6Y4GRnZN/QWnJHXjowwkHXUDfSy5SDVhNufqjmseRWZFqQXK8PdLk/x8s/7T/4ojsUDtKDNMo&#10;0VcxB/IWZlJWkZ7J+hqjHi3GhRnPY2gs1dsH4N89MXA7MjOIG+dgGgXrML0y3iwWVzOOjyDt9BE6&#10;fIftAiSguXc6AiIbBNFRpqejNDEXjoen5Xm1PkMXR191elFWmyRewern69b58F6AJnHTUIfaJ3i2&#10;f/AhpsPq55CUPijZ3UulkuGG9lY5smfYJ/fpSxVglcswZcjU0MtNtckMLH2pZcURpB0yS2qnsdwM&#10;XK7il3sOz7Ez8/lzJUeIlOxvL2sZcE6U1A29WKBEut+ZLnVxYFLlPVaqzIH/SHkmP8ztnJVO6kRx&#10;WuieUBEHeS5wjnEzgvtJyYQz0VD/Y8ecoER9MKjqZblexyFKxnpzXqHhlp526WGGI1RDAyV5exvy&#10;4O2sk8OIL2WGDNxgJ/QyafSS1SF/7PvExmFG42At7RT18ifZ/gIAAP//AwBQSwMEFAAGAAgAAAAh&#10;AERgrR7dAAAACAEAAA8AAABkcnMvZG93bnJldi54bWxMj8FOwzAQRO9I/IO1SNyoXQKGhjgVAtEb&#10;QgRUODrxkkTE6yh228DXs5zguDOj2TfFevaD2OMU+0AGlgsFAqkJrqfWwOvLw9k1iJgsOTsEQgNf&#10;GGFdHh8VNnfhQM+4r1IruIRibg10KY25lLHp0Nu4CCMSex9h8jbxObXSTfbA5X6Q50pp6W1P/KGz&#10;I9512HxWO28gNkpvny6q7VstN/i9cu7+ffNozOnJfHsDIuGc/sLwi8/oUDJTHXbkohgMZFccZFlr&#10;EGxfqiwDUbO+WmqQZSH/Dyh/AAAA//8DAFBLAQItABQABgAIAAAAIQC2gziS/gAAAOEBAAATAAAA&#10;AAAAAAAAAAAAAAAAAABbQ29udGVudF9UeXBlc10ueG1sUEsBAi0AFAAGAAgAAAAhADj9If/WAAAA&#10;lAEAAAsAAAAAAAAAAAAAAAAALwEAAF9yZWxzLy5yZWxzUEsBAi0AFAAGAAgAAAAhAPaXLOhGAgAA&#10;kQQAAA4AAAAAAAAAAAAAAAAALgIAAGRycy9lMm9Eb2MueG1sUEsBAi0AFAAGAAgAAAAhAERgrR7d&#10;AAAACAEAAA8AAAAAAAAAAAAAAAAAoAQAAGRycy9kb3ducmV2LnhtbFBLBQYAAAAABAAEAPMAAACq&#10;BQAAAAA=&#10;" strokecolor="white [3212]">
                <v:textbox>
                  <w:txbxContent>
                    <w:tbl>
                      <w:tblPr>
                        <w:tblOverlap w:val="never"/>
                        <w:tblW w:w="0" w:type="auto"/>
                        <w:tblLook w:val="04A0" w:firstRow="1" w:lastRow="0" w:firstColumn="1" w:lastColumn="0" w:noHBand="0" w:noVBand="1"/>
                      </w:tblPr>
                      <w:tblGrid>
                        <w:gridCol w:w="4596"/>
                      </w:tblGrid>
                      <w:tr w:rsidR="00017651" w:rsidRPr="003774BC" w14:paraId="0082D1FF" w14:textId="77777777" w:rsidTr="00EA7B1C">
                        <w:tc>
                          <w:tcPr>
                            <w:tcW w:w="4451" w:type="dxa"/>
                          </w:tcPr>
                          <w:p w14:paraId="5ABEA529" w14:textId="17203A27" w:rsidR="00017651" w:rsidRDefault="00017651" w:rsidP="00FF1B32">
                            <w:pPr>
                              <w:spacing w:line="276" w:lineRule="auto"/>
                              <w:suppressOverlap/>
                              <w:rPr>
                                <w:rFonts w:asciiTheme="minorHAnsi" w:hAnsiTheme="minorHAnsi" w:cstheme="minorHAnsi"/>
                                <w:b/>
                                <w:noProof/>
                                <w:color w:val="365F91" w:themeColor="accent1" w:themeShade="BF"/>
                                <w:sz w:val="20"/>
                                <w:szCs w:val="20"/>
                              </w:rPr>
                            </w:pPr>
                            <w:r w:rsidRPr="00FF1B32">
                              <w:rPr>
                                <w:rFonts w:asciiTheme="minorHAnsi" w:hAnsiTheme="minorHAnsi" w:cstheme="minorHAnsi"/>
                                <w:b/>
                                <w:noProof/>
                                <w:color w:val="365F91" w:themeColor="accent1" w:themeShade="BF"/>
                                <w:sz w:val="20"/>
                                <w:szCs w:val="20"/>
                              </w:rPr>
                              <w:t xml:space="preserve">Graficul </w:t>
                            </w:r>
                            <w:r>
                              <w:rPr>
                                <w:rFonts w:asciiTheme="minorHAnsi" w:hAnsiTheme="minorHAnsi" w:cstheme="minorHAnsi"/>
                                <w:b/>
                                <w:noProof/>
                                <w:color w:val="365F91" w:themeColor="accent1" w:themeShade="BF"/>
                                <w:sz w:val="20"/>
                                <w:szCs w:val="20"/>
                              </w:rPr>
                              <w:t xml:space="preserve">12. </w:t>
                            </w:r>
                            <w:r w:rsidRPr="00FF1B32">
                              <w:rPr>
                                <w:rFonts w:asciiTheme="minorHAnsi" w:hAnsiTheme="minorHAnsi" w:cstheme="minorHAnsi"/>
                                <w:b/>
                                <w:noProof/>
                                <w:color w:val="365F91" w:themeColor="accent1" w:themeShade="BF"/>
                                <w:sz w:val="20"/>
                                <w:szCs w:val="20"/>
                              </w:rPr>
                              <w:t>Indicatorul credite-în-PIB este inferior trendului pe termen lung</w:t>
                            </w:r>
                          </w:p>
                          <w:p w14:paraId="08174A1C" w14:textId="7096B1A0" w:rsidR="00017651" w:rsidRPr="00FF1B32" w:rsidRDefault="00017651" w:rsidP="00FF1B32">
                            <w:pPr>
                              <w:spacing w:line="276" w:lineRule="auto"/>
                              <w:suppressOverlap/>
                              <w:rPr>
                                <w:rFonts w:asciiTheme="minorHAnsi" w:hAnsiTheme="minorHAnsi" w:cstheme="minorHAnsi"/>
                                <w:b/>
                                <w:color w:val="365F91" w:themeColor="accent1" w:themeShade="BF"/>
                                <w:sz w:val="20"/>
                                <w:szCs w:val="20"/>
                              </w:rPr>
                            </w:pPr>
                            <w:r w:rsidRPr="0040197F">
                              <w:rPr>
                                <w:rFonts w:asciiTheme="minorHAnsi" w:hAnsiTheme="minorHAnsi" w:cstheme="minorHAnsi"/>
                                <w:b/>
                                <w:noProof/>
                                <w:color w:val="365F91" w:themeColor="accent1" w:themeShade="BF"/>
                                <w:sz w:val="20"/>
                                <w:szCs w:val="20"/>
                                <w:lang w:val="ru-RU" w:eastAsia="ru-RU"/>
                              </w:rPr>
                              <w:drawing>
                                <wp:inline distT="0" distB="0" distL="0" distR="0" wp14:anchorId="3B28AB01" wp14:editId="4AC75FA7">
                                  <wp:extent cx="2781300" cy="1895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1300" cy="1895475"/>
                                          </a:xfrm>
                                          <a:prstGeom prst="rect">
                                            <a:avLst/>
                                          </a:prstGeom>
                                          <a:noFill/>
                                          <a:ln>
                                            <a:noFill/>
                                          </a:ln>
                                        </pic:spPr>
                                      </pic:pic>
                                    </a:graphicData>
                                  </a:graphic>
                                </wp:inline>
                              </w:drawing>
                            </w:r>
                          </w:p>
                        </w:tc>
                      </w:tr>
                      <w:tr w:rsidR="00017651" w:rsidRPr="003774BC" w14:paraId="722A0D6F" w14:textId="77777777" w:rsidTr="00EA7B1C">
                        <w:tc>
                          <w:tcPr>
                            <w:tcW w:w="4451" w:type="dxa"/>
                          </w:tcPr>
                          <w:p w14:paraId="35BEC220" w14:textId="235A898E" w:rsidR="00017651" w:rsidRPr="003774BC" w:rsidRDefault="00017651" w:rsidP="00EA7B1C">
                            <w:pPr>
                              <w:spacing w:line="276" w:lineRule="auto"/>
                              <w:suppressOverlap/>
                              <w:rPr>
                                <w:rFonts w:cstheme="minorHAnsi"/>
                                <w:color w:val="000000"/>
                              </w:rPr>
                            </w:pPr>
                          </w:p>
                        </w:tc>
                      </w:tr>
                      <w:tr w:rsidR="00017651" w:rsidRPr="003774BC" w14:paraId="48EFE483" w14:textId="77777777" w:rsidTr="00EA7B1C">
                        <w:tc>
                          <w:tcPr>
                            <w:tcW w:w="4451" w:type="dxa"/>
                          </w:tcPr>
                          <w:p w14:paraId="5252487E" w14:textId="77777777" w:rsidR="00017651" w:rsidRPr="003774BC" w:rsidRDefault="00017651" w:rsidP="00EA7B1C">
                            <w:pPr>
                              <w:spacing w:line="276" w:lineRule="auto"/>
                              <w:suppressOverlap/>
                              <w:rPr>
                                <w:rFonts w:cstheme="minorHAnsi"/>
                                <w:i/>
                                <w:color w:val="000000"/>
                                <w:sz w:val="16"/>
                                <w:szCs w:val="16"/>
                              </w:rPr>
                            </w:pPr>
                            <w:r w:rsidRPr="003774BC">
                              <w:rPr>
                                <w:rFonts w:cstheme="minorHAnsi"/>
                                <w:i/>
                                <w:color w:val="000000"/>
                                <w:sz w:val="16"/>
                                <w:szCs w:val="16"/>
                              </w:rPr>
                              <w:t>*creditarea nebancară include soldul împrumuturilor acordate de organizațiile de microfinanțare și asociațiile de economii și împrumut</w:t>
                            </w:r>
                          </w:p>
                          <w:p w14:paraId="39B3FCA4" w14:textId="77777777" w:rsidR="00017651" w:rsidRPr="003774BC" w:rsidRDefault="00017651" w:rsidP="00EA7B1C">
                            <w:pPr>
                              <w:spacing w:line="276" w:lineRule="auto"/>
                              <w:suppressOverlap/>
                              <w:rPr>
                                <w:rFonts w:cstheme="minorHAnsi"/>
                                <w:color w:val="000000"/>
                              </w:rPr>
                            </w:pPr>
                            <w:r w:rsidRPr="003774BC">
                              <w:rPr>
                                <w:rFonts w:cstheme="minorHAnsi"/>
                                <w:color w:val="000000"/>
                                <w:sz w:val="16"/>
                                <w:szCs w:val="16"/>
                              </w:rPr>
                              <w:t>Sursa: BNM, CNPF</w:t>
                            </w:r>
                          </w:p>
                        </w:tc>
                      </w:tr>
                    </w:tbl>
                    <w:p w14:paraId="361E53A0" w14:textId="77777777" w:rsidR="00017651" w:rsidRDefault="00017651" w:rsidP="000D3AF4"/>
                  </w:txbxContent>
                </v:textbox>
                <w10:wrap type="square"/>
              </v:shape>
            </w:pict>
          </mc:Fallback>
        </mc:AlternateContent>
      </w:r>
      <w:r w:rsidR="005861CE" w:rsidRPr="00FB0BE5">
        <w:rPr>
          <w:rFonts w:asciiTheme="minorHAnsi" w:hAnsiTheme="minorHAnsi" w:cstheme="minorHAnsi"/>
          <w:color w:val="000000"/>
        </w:rPr>
        <w:t xml:space="preserve">Expunerea maximală a statului față de sectorul bancar poate fi exprimată prin suma obligațiunilor totale a sectorului bancar (cu excepția capitalului) care la finele </w:t>
      </w:r>
      <w:r w:rsidR="008F7087" w:rsidRPr="00FB0BE5">
        <w:rPr>
          <w:rFonts w:asciiTheme="minorHAnsi" w:hAnsiTheme="minorHAnsi" w:cstheme="minorHAnsi"/>
          <w:color w:val="000000"/>
        </w:rPr>
        <w:t>trimestrului II</w:t>
      </w:r>
      <w:r w:rsidR="005861CE" w:rsidRPr="00FB0BE5">
        <w:rPr>
          <w:rFonts w:asciiTheme="minorHAnsi" w:hAnsiTheme="minorHAnsi" w:cstheme="minorHAnsi"/>
          <w:color w:val="000000"/>
        </w:rPr>
        <w:t>I 201</w:t>
      </w:r>
      <w:r w:rsidR="00E25E6A">
        <w:rPr>
          <w:rFonts w:asciiTheme="minorHAnsi" w:hAnsiTheme="minorHAnsi" w:cstheme="minorHAnsi"/>
          <w:color w:val="000000"/>
        </w:rPr>
        <w:t>8</w:t>
      </w:r>
      <w:r w:rsidR="005861CE" w:rsidRPr="00FB0BE5">
        <w:rPr>
          <w:rFonts w:asciiTheme="minorHAnsi" w:hAnsiTheme="minorHAnsi" w:cstheme="minorHAnsi"/>
          <w:color w:val="000000"/>
        </w:rPr>
        <w:t xml:space="preserve"> însumează </w:t>
      </w:r>
      <w:r w:rsidR="00E25E6A">
        <w:rPr>
          <w:rFonts w:asciiTheme="minorHAnsi" w:hAnsiTheme="minorHAnsi" w:cstheme="minorHAnsi"/>
          <w:color w:val="000000"/>
        </w:rPr>
        <w:t>37,6</w:t>
      </w:r>
      <w:r w:rsidR="005861CE" w:rsidRPr="00FB0BE5">
        <w:rPr>
          <w:rFonts w:asciiTheme="minorHAnsi" w:hAnsiTheme="minorHAnsi" w:cstheme="minorHAnsi"/>
          <w:color w:val="000000"/>
        </w:rPr>
        <w:t xml:space="preserve">% din PIB. Această cifră oferă un indiciu brut al pasivelor maxime posibile pe care guvernul ar putea fi solicitat să le asume într-un scenariu extrem de puțin probabil (cel mai rău caz). Cea mai semnificativă parte a obligațiunilor bancare reprezintă depozitele clienților care la finele </w:t>
      </w:r>
      <w:r w:rsidR="00E25E6A" w:rsidRPr="00166A39">
        <w:rPr>
          <w:rFonts w:asciiTheme="minorHAnsi" w:hAnsiTheme="minorHAnsi" w:cstheme="minorHAnsi"/>
          <w:color w:val="000000"/>
        </w:rPr>
        <w:t>trimestrului II 2018 au constituit 60,9 mlrd. lei</w:t>
      </w:r>
      <w:r w:rsidR="005861CE" w:rsidRPr="00FB0BE5">
        <w:rPr>
          <w:rFonts w:asciiTheme="minorHAnsi" w:hAnsiTheme="minorHAnsi" w:cstheme="minorHAnsi"/>
          <w:color w:val="000000"/>
        </w:rPr>
        <w:t>, dintre care suma depozitelor garantate de Fondului de Garantare a depozitelor în sistemul bancar</w:t>
      </w:r>
      <w:r w:rsidR="00144C6F" w:rsidRPr="00FB0BE5">
        <w:rPr>
          <w:rFonts w:asciiTheme="minorHAnsi" w:hAnsiTheme="minorHAnsi" w:cstheme="minorHAnsi"/>
          <w:color w:val="000000"/>
        </w:rPr>
        <w:t xml:space="preserve"> (FGDSB)</w:t>
      </w:r>
      <w:r w:rsidR="005861CE" w:rsidRPr="00FB0BE5">
        <w:rPr>
          <w:rFonts w:asciiTheme="minorHAnsi" w:hAnsiTheme="minorHAnsi" w:cstheme="minorHAnsi"/>
          <w:color w:val="000000"/>
        </w:rPr>
        <w:t xml:space="preserve">, în limita plafonului actual de </w:t>
      </w:r>
      <w:r w:rsidR="00E25E6A">
        <w:rPr>
          <w:rFonts w:asciiTheme="minorHAnsi" w:hAnsiTheme="minorHAnsi" w:cstheme="minorHAnsi"/>
          <w:color w:val="000000"/>
        </w:rPr>
        <w:t>20</w:t>
      </w:r>
      <w:r w:rsidR="005861CE" w:rsidRPr="00FB0BE5">
        <w:rPr>
          <w:rFonts w:asciiTheme="minorHAnsi" w:hAnsiTheme="minorHAnsi" w:cstheme="minorHAnsi"/>
          <w:color w:val="000000"/>
        </w:rPr>
        <w:t xml:space="preserve"> mii lei, reprezintă </w:t>
      </w:r>
      <w:r w:rsidR="00E25E6A">
        <w:rPr>
          <w:rFonts w:asciiTheme="minorHAnsi" w:hAnsiTheme="minorHAnsi" w:cstheme="minorHAnsi"/>
          <w:color w:val="000000"/>
        </w:rPr>
        <w:t>7,9</w:t>
      </w:r>
      <w:r w:rsidR="005861CE" w:rsidRPr="00FB0BE5">
        <w:rPr>
          <w:rFonts w:asciiTheme="minorHAnsi" w:hAnsiTheme="minorHAnsi" w:cstheme="minorHAnsi"/>
          <w:color w:val="000000"/>
        </w:rPr>
        <w:t xml:space="preserve"> mld. lei. </w:t>
      </w:r>
      <w:r w:rsidR="00E25E6A" w:rsidRPr="00166A39">
        <w:rPr>
          <w:rFonts w:asciiTheme="minorHAnsi" w:hAnsiTheme="minorHAnsi" w:cstheme="minorHAnsi"/>
          <w:color w:val="000000"/>
        </w:rPr>
        <w:t>Reieșind din resursele financiare ale FGDSB la situația 30.06.2018 (465,3 mil. lei) suma depozitelor garantate dar neacoperite de Fond constituie 6,6 mld. lei sau 3,7% din PIB.</w:t>
      </w:r>
    </w:p>
    <w:p w14:paraId="631BBC70" w14:textId="19AB522C" w:rsidR="00A60830" w:rsidRDefault="005861CE" w:rsidP="00166A39">
      <w:pPr>
        <w:spacing w:after="120"/>
        <w:ind w:firstLine="567"/>
        <w:jc w:val="both"/>
        <w:rPr>
          <w:rFonts w:asciiTheme="minorHAnsi" w:hAnsiTheme="minorHAnsi" w:cstheme="minorHAnsi"/>
          <w:color w:val="000000"/>
        </w:rPr>
      </w:pPr>
      <w:r w:rsidRPr="00FB0BE5">
        <w:rPr>
          <w:rFonts w:asciiTheme="minorHAnsi" w:hAnsiTheme="minorHAnsi" w:cstheme="minorHAnsi"/>
          <w:color w:val="000000"/>
        </w:rPr>
        <w:t>Conform datelor raportate de bănci la situația din 3</w:t>
      </w:r>
      <w:r w:rsidR="00E25E6A">
        <w:rPr>
          <w:rFonts w:asciiTheme="minorHAnsi" w:hAnsiTheme="minorHAnsi" w:cstheme="minorHAnsi"/>
          <w:color w:val="000000"/>
        </w:rPr>
        <w:t>1.</w:t>
      </w:r>
      <w:r w:rsidR="008F7087" w:rsidRPr="00FB0BE5">
        <w:rPr>
          <w:rFonts w:asciiTheme="minorHAnsi" w:hAnsiTheme="minorHAnsi" w:cstheme="minorHAnsi"/>
          <w:color w:val="000000"/>
        </w:rPr>
        <w:t>0</w:t>
      </w:r>
      <w:r w:rsidR="00E25E6A">
        <w:rPr>
          <w:rFonts w:asciiTheme="minorHAnsi" w:hAnsiTheme="minorHAnsi" w:cstheme="minorHAnsi"/>
          <w:color w:val="000000"/>
        </w:rPr>
        <w:t>8</w:t>
      </w:r>
      <w:r w:rsidRPr="00FB0BE5">
        <w:rPr>
          <w:rFonts w:asciiTheme="minorHAnsi" w:hAnsiTheme="minorHAnsi" w:cstheme="minorHAnsi"/>
          <w:color w:val="000000"/>
        </w:rPr>
        <w:t>.201</w:t>
      </w:r>
      <w:r w:rsidR="00E25E6A">
        <w:rPr>
          <w:rFonts w:asciiTheme="minorHAnsi" w:hAnsiTheme="minorHAnsi" w:cstheme="minorHAnsi"/>
          <w:color w:val="000000"/>
        </w:rPr>
        <w:t>8</w:t>
      </w:r>
      <w:r w:rsidRPr="00FB0BE5">
        <w:rPr>
          <w:rFonts w:asciiTheme="minorHAnsi" w:hAnsiTheme="minorHAnsi" w:cstheme="minorHAnsi"/>
          <w:color w:val="000000"/>
        </w:rPr>
        <w:t xml:space="preserve">, acestea dispun de capital și lichidități cu mult peste prevederile reglementare și sunt bine protejate de efectele deteriorării calității creditelor și lipsuri temporare de lichiditate. Nivelul înalt al indicatorului suficienței capitalului ponderat la risc (media pe sector – </w:t>
      </w:r>
      <w:r w:rsidR="00E25E6A">
        <w:rPr>
          <w:rFonts w:asciiTheme="minorHAnsi" w:hAnsiTheme="minorHAnsi" w:cstheme="minorHAnsi"/>
          <w:color w:val="000000"/>
        </w:rPr>
        <w:t>28,46</w:t>
      </w:r>
      <w:r w:rsidRPr="00FB0BE5">
        <w:rPr>
          <w:rFonts w:asciiTheme="minorHAnsi" w:hAnsiTheme="minorHAnsi" w:cstheme="minorHAnsi"/>
          <w:color w:val="000000"/>
        </w:rPr>
        <w:t>%, limita reglementată pentru fiecare bancă ≥1</w:t>
      </w:r>
      <w:r w:rsidR="00E25E6A">
        <w:rPr>
          <w:rFonts w:asciiTheme="minorHAnsi" w:hAnsiTheme="minorHAnsi" w:cstheme="minorHAnsi"/>
          <w:color w:val="000000"/>
        </w:rPr>
        <w:t>0</w:t>
      </w:r>
      <w:r w:rsidRPr="00FB0BE5">
        <w:rPr>
          <w:rFonts w:asciiTheme="minorHAnsi" w:hAnsiTheme="minorHAnsi" w:cstheme="minorHAnsi"/>
          <w:color w:val="000000"/>
        </w:rPr>
        <w:t xml:space="preserve">%) a permis băncilor absorbirea pierderilor legate de înrăutățirea calității </w:t>
      </w:r>
      <w:r w:rsidRPr="00FB0BE5">
        <w:rPr>
          <w:rFonts w:asciiTheme="minorHAnsi" w:hAnsiTheme="minorHAnsi" w:cstheme="minorHAnsi"/>
          <w:color w:val="000000"/>
        </w:rPr>
        <w:lastRenderedPageBreak/>
        <w:t>creditelor</w:t>
      </w:r>
      <w:r w:rsidR="00144C6F" w:rsidRPr="00FB0BE5">
        <w:rPr>
          <w:rFonts w:asciiTheme="minorHAnsi" w:hAnsiTheme="minorHAnsi" w:cstheme="minorHAnsi"/>
          <w:color w:val="000000"/>
        </w:rPr>
        <w:t>,</w:t>
      </w:r>
      <w:r w:rsidRPr="00FB0BE5">
        <w:rPr>
          <w:rFonts w:asciiTheme="minorHAnsi" w:hAnsiTheme="minorHAnsi" w:cstheme="minorHAnsi"/>
          <w:color w:val="000000"/>
        </w:rPr>
        <w:t xml:space="preserve"> precum și reprezintă un nivel de capital confortabil pentru pierderile neașteptate. Lichiditatea curentă pe sector (Active lichide/Total active</w:t>
      </w:r>
      <w:r w:rsidR="008F7087" w:rsidRPr="00FB0BE5">
        <w:rPr>
          <w:rFonts w:asciiTheme="minorHAnsi" w:hAnsiTheme="minorHAnsi" w:cstheme="minorHAnsi"/>
          <w:color w:val="000000"/>
        </w:rPr>
        <w:t>≥20%)</w:t>
      </w:r>
      <w:r w:rsidRPr="00FB0BE5">
        <w:rPr>
          <w:rFonts w:asciiTheme="minorHAnsi" w:hAnsiTheme="minorHAnsi" w:cstheme="minorHAnsi"/>
          <w:color w:val="000000"/>
        </w:rPr>
        <w:t xml:space="preserve"> constitui</w:t>
      </w:r>
      <w:r w:rsidR="00E25E6A">
        <w:rPr>
          <w:rFonts w:asciiTheme="minorHAnsi" w:hAnsiTheme="minorHAnsi" w:cstheme="minorHAnsi"/>
          <w:color w:val="000000"/>
        </w:rPr>
        <w:t>e</w:t>
      </w:r>
      <w:r w:rsidRPr="00FB0BE5">
        <w:rPr>
          <w:rFonts w:asciiTheme="minorHAnsi" w:hAnsiTheme="minorHAnsi" w:cstheme="minorHAnsi"/>
          <w:color w:val="000000"/>
        </w:rPr>
        <w:t xml:space="preserve"> 5</w:t>
      </w:r>
      <w:r w:rsidR="00E25E6A">
        <w:rPr>
          <w:rFonts w:asciiTheme="minorHAnsi" w:hAnsiTheme="minorHAnsi" w:cstheme="minorHAnsi"/>
          <w:color w:val="000000"/>
        </w:rPr>
        <w:t>5</w:t>
      </w:r>
      <w:r w:rsidRPr="00FB0BE5">
        <w:rPr>
          <w:rFonts w:asciiTheme="minorHAnsi" w:hAnsiTheme="minorHAnsi" w:cstheme="minorHAnsi"/>
          <w:color w:val="000000"/>
        </w:rPr>
        <w:t>,</w:t>
      </w:r>
      <w:r w:rsidR="00E25E6A">
        <w:rPr>
          <w:rFonts w:asciiTheme="minorHAnsi" w:hAnsiTheme="minorHAnsi" w:cstheme="minorHAnsi"/>
          <w:color w:val="000000"/>
        </w:rPr>
        <w:t>65</w:t>
      </w:r>
      <w:r w:rsidRPr="00FB0BE5">
        <w:rPr>
          <w:rFonts w:asciiTheme="minorHAnsi" w:hAnsiTheme="minorHAnsi" w:cstheme="minorHAnsi"/>
          <w:color w:val="000000"/>
        </w:rPr>
        <w:t>%, astfel mai mult de jumătate din activele sectorului bancar sunt concentrate în active lichide. La nivel agregat, activele lichide totale acoperă în totalitate soldul depozitelor persoanelor fizice – 1</w:t>
      </w:r>
      <w:r w:rsidR="00E25E6A">
        <w:rPr>
          <w:rFonts w:asciiTheme="minorHAnsi" w:hAnsiTheme="minorHAnsi" w:cstheme="minorHAnsi"/>
          <w:color w:val="000000"/>
        </w:rPr>
        <w:t>14</w:t>
      </w:r>
      <w:r w:rsidRPr="00FB0BE5">
        <w:rPr>
          <w:rFonts w:asciiTheme="minorHAnsi" w:hAnsiTheme="minorHAnsi" w:cstheme="minorHAnsi"/>
          <w:color w:val="000000"/>
        </w:rPr>
        <w:t>,</w:t>
      </w:r>
      <w:r w:rsidR="00E25E6A">
        <w:rPr>
          <w:rFonts w:asciiTheme="minorHAnsi" w:hAnsiTheme="minorHAnsi" w:cstheme="minorHAnsi"/>
          <w:color w:val="000000"/>
        </w:rPr>
        <w:t>1</w:t>
      </w:r>
      <w:r w:rsidRPr="00FB0BE5">
        <w:rPr>
          <w:rFonts w:asciiTheme="minorHAnsi" w:hAnsiTheme="minorHAnsi" w:cstheme="minorHAnsi"/>
          <w:color w:val="000000"/>
        </w:rPr>
        <w:t>%.</w:t>
      </w:r>
    </w:p>
    <w:p w14:paraId="6E578B1A" w14:textId="4E7D04EB" w:rsidR="00A60830" w:rsidRDefault="005861CE" w:rsidP="004D3512">
      <w:pPr>
        <w:spacing w:after="120"/>
        <w:ind w:firstLine="567"/>
        <w:jc w:val="both"/>
        <w:rPr>
          <w:rFonts w:asciiTheme="minorHAnsi" w:hAnsiTheme="minorHAnsi" w:cstheme="minorHAnsi"/>
          <w:color w:val="000000"/>
        </w:rPr>
      </w:pPr>
      <w:r w:rsidRPr="00FB0BE5">
        <w:rPr>
          <w:rFonts w:asciiTheme="minorHAnsi" w:hAnsiTheme="minorHAnsi" w:cstheme="minorHAnsi"/>
          <w:color w:val="000000"/>
        </w:rPr>
        <w:t>Mai jos sunt prezentați principalii indicatori pentru aprecierea solidității financiare:</w:t>
      </w:r>
    </w:p>
    <w:p w14:paraId="7533FC73" w14:textId="5C7C2AAA" w:rsidR="00A60830" w:rsidRPr="00166A39" w:rsidRDefault="000552FE" w:rsidP="00166A39">
      <w:pPr>
        <w:ind w:left="284"/>
        <w:rPr>
          <w:rFonts w:asciiTheme="minorHAnsi" w:hAnsiTheme="minorHAnsi" w:cstheme="minorHAnsi"/>
          <w:b/>
          <w:i/>
          <w:color w:val="548DD4" w:themeColor="text2" w:themeTint="99"/>
          <w:sz w:val="22"/>
          <w:szCs w:val="22"/>
        </w:rPr>
      </w:pPr>
      <w:r w:rsidRPr="00166A39">
        <w:rPr>
          <w:rFonts w:asciiTheme="minorHAnsi" w:hAnsiTheme="minorHAnsi" w:cstheme="minorHAnsi"/>
          <w:b/>
          <w:i/>
          <w:color w:val="548DD4" w:themeColor="text2" w:themeTint="99"/>
          <w:sz w:val="22"/>
          <w:szCs w:val="22"/>
        </w:rPr>
        <w:t xml:space="preserve">Tabelul </w:t>
      </w:r>
      <w:r w:rsidR="00366DB3" w:rsidRPr="00166A39">
        <w:rPr>
          <w:rFonts w:asciiTheme="minorHAnsi" w:hAnsiTheme="minorHAnsi" w:cstheme="minorHAnsi"/>
          <w:b/>
          <w:i/>
          <w:color w:val="548DD4" w:themeColor="text2" w:themeTint="99"/>
          <w:sz w:val="22"/>
          <w:szCs w:val="22"/>
        </w:rPr>
        <w:t>9</w:t>
      </w:r>
      <w:r w:rsidRPr="00166A39">
        <w:rPr>
          <w:rFonts w:asciiTheme="minorHAnsi" w:hAnsiTheme="minorHAnsi" w:cstheme="minorHAnsi"/>
          <w:b/>
          <w:i/>
          <w:color w:val="548DD4" w:themeColor="text2" w:themeTint="99"/>
          <w:sz w:val="22"/>
          <w:szCs w:val="22"/>
        </w:rPr>
        <w:t>.Indicatori de soliditate financiară</w:t>
      </w:r>
    </w:p>
    <w:p w14:paraId="542E11B2" w14:textId="77777777" w:rsidR="00764913" w:rsidRDefault="00764913" w:rsidP="004D3512">
      <w:pPr>
        <w:ind w:firstLine="567"/>
        <w:jc w:val="both"/>
        <w:rPr>
          <w:rFonts w:asciiTheme="minorHAnsi" w:hAnsiTheme="minorHAnsi"/>
        </w:rPr>
      </w:pPr>
    </w:p>
    <w:tbl>
      <w:tblPr>
        <w:tblW w:w="5000" w:type="pct"/>
        <w:tblLayout w:type="fixed"/>
        <w:tblLook w:val="04A0" w:firstRow="1" w:lastRow="0" w:firstColumn="1" w:lastColumn="0" w:noHBand="0" w:noVBand="1"/>
      </w:tblPr>
      <w:tblGrid>
        <w:gridCol w:w="4952"/>
        <w:gridCol w:w="1388"/>
        <w:gridCol w:w="1384"/>
        <w:gridCol w:w="1346"/>
      </w:tblGrid>
      <w:tr w:rsidR="00764913" w:rsidRPr="007222CB" w14:paraId="0E3C3788" w14:textId="77777777" w:rsidTr="005021E6">
        <w:trPr>
          <w:trHeight w:val="522"/>
        </w:trPr>
        <w:tc>
          <w:tcPr>
            <w:tcW w:w="2730" w:type="pct"/>
            <w:tcBorders>
              <w:top w:val="single" w:sz="4" w:space="0" w:color="auto"/>
              <w:left w:val="nil"/>
              <w:bottom w:val="single" w:sz="4" w:space="0" w:color="auto"/>
              <w:right w:val="nil"/>
            </w:tcBorders>
            <w:shd w:val="clear" w:color="auto" w:fill="auto"/>
            <w:noWrap/>
            <w:vAlign w:val="center"/>
          </w:tcPr>
          <w:p w14:paraId="192CB753" w14:textId="77777777" w:rsidR="00764913" w:rsidRPr="007222CB" w:rsidRDefault="00764913" w:rsidP="005021E6">
            <w:pPr>
              <w:ind w:firstLineChars="100" w:firstLine="221"/>
              <w:jc w:val="center"/>
              <w:rPr>
                <w:rFonts w:ascii="PermianSerifTypeface" w:hAnsi="PermianSerifTypeface" w:cstheme="minorHAnsi"/>
                <w:b/>
              </w:rPr>
            </w:pPr>
            <w:r w:rsidRPr="007222CB">
              <w:rPr>
                <w:rFonts w:ascii="PermianSerifTypeface" w:hAnsi="PermianSerifTypeface" w:cstheme="minorHAnsi"/>
                <w:b/>
                <w:sz w:val="22"/>
                <w:szCs w:val="22"/>
              </w:rPr>
              <w:t>Indicatorul</w:t>
            </w:r>
          </w:p>
        </w:tc>
        <w:tc>
          <w:tcPr>
            <w:tcW w:w="765" w:type="pct"/>
            <w:tcBorders>
              <w:top w:val="single" w:sz="4" w:space="0" w:color="auto"/>
              <w:left w:val="nil"/>
              <w:bottom w:val="single" w:sz="4" w:space="0" w:color="auto"/>
              <w:right w:val="nil"/>
            </w:tcBorders>
            <w:vAlign w:val="center"/>
          </w:tcPr>
          <w:p w14:paraId="6381AE70" w14:textId="77777777" w:rsidR="00764913" w:rsidRPr="007222CB" w:rsidRDefault="00764913" w:rsidP="005021E6">
            <w:pPr>
              <w:jc w:val="center"/>
              <w:rPr>
                <w:rFonts w:ascii="PermianSerifTypeface" w:hAnsi="PermianSerifTypeface" w:cstheme="minorHAnsi"/>
                <w:b/>
                <w:highlight w:val="green"/>
              </w:rPr>
            </w:pPr>
            <w:r w:rsidRPr="007222CB">
              <w:rPr>
                <w:rFonts w:ascii="PermianSerifTypeface" w:hAnsi="PermianSerifTypeface" w:cstheme="minorHAnsi"/>
                <w:b/>
                <w:sz w:val="22"/>
                <w:szCs w:val="22"/>
              </w:rPr>
              <w:t>31.08.2018</w:t>
            </w:r>
          </w:p>
        </w:tc>
        <w:tc>
          <w:tcPr>
            <w:tcW w:w="763" w:type="pct"/>
            <w:tcBorders>
              <w:top w:val="single" w:sz="4" w:space="0" w:color="auto"/>
              <w:left w:val="nil"/>
              <w:bottom w:val="single" w:sz="4" w:space="0" w:color="auto"/>
              <w:right w:val="nil"/>
            </w:tcBorders>
            <w:vAlign w:val="center"/>
          </w:tcPr>
          <w:p w14:paraId="010DDCE0" w14:textId="77777777" w:rsidR="00764913" w:rsidRPr="007222CB" w:rsidRDefault="00764913" w:rsidP="005021E6">
            <w:pPr>
              <w:jc w:val="center"/>
              <w:rPr>
                <w:rFonts w:ascii="PermianSerifTypeface" w:hAnsi="PermianSerifTypeface" w:cstheme="minorHAnsi"/>
                <w:b/>
              </w:rPr>
            </w:pPr>
            <w:r w:rsidRPr="007222CB">
              <w:rPr>
                <w:rFonts w:ascii="PermianSerifTypeface" w:hAnsi="PermianSerifTypeface" w:cstheme="minorHAnsi"/>
                <w:b/>
                <w:sz w:val="22"/>
                <w:szCs w:val="22"/>
              </w:rPr>
              <w:t>31.12.2017</w:t>
            </w:r>
          </w:p>
        </w:tc>
        <w:tc>
          <w:tcPr>
            <w:tcW w:w="742" w:type="pct"/>
            <w:tcBorders>
              <w:top w:val="single" w:sz="4" w:space="0" w:color="auto"/>
              <w:left w:val="nil"/>
              <w:bottom w:val="single" w:sz="4" w:space="0" w:color="auto"/>
              <w:right w:val="nil"/>
            </w:tcBorders>
            <w:vAlign w:val="center"/>
          </w:tcPr>
          <w:p w14:paraId="0BDF3D38" w14:textId="77777777" w:rsidR="00764913" w:rsidRPr="007222CB" w:rsidRDefault="00764913" w:rsidP="005021E6">
            <w:pPr>
              <w:ind w:right="-57" w:hanging="2"/>
              <w:jc w:val="center"/>
              <w:rPr>
                <w:rFonts w:ascii="PermianSerifTypeface" w:hAnsi="PermianSerifTypeface" w:cstheme="minorHAnsi"/>
                <w:b/>
              </w:rPr>
            </w:pPr>
            <w:r w:rsidRPr="007222CB">
              <w:rPr>
                <w:rFonts w:ascii="PermianSerifTypeface" w:hAnsi="PermianSerifTypeface" w:cstheme="minorHAnsi"/>
                <w:b/>
                <w:sz w:val="22"/>
                <w:szCs w:val="22"/>
              </w:rPr>
              <w:t>Media 5 ani</w:t>
            </w:r>
          </w:p>
        </w:tc>
      </w:tr>
      <w:tr w:rsidR="00764913" w:rsidRPr="007222CB" w14:paraId="4A861F2E" w14:textId="77777777" w:rsidTr="005021E6">
        <w:trPr>
          <w:trHeight w:val="567"/>
        </w:trPr>
        <w:tc>
          <w:tcPr>
            <w:tcW w:w="2730" w:type="pct"/>
            <w:tcBorders>
              <w:top w:val="single" w:sz="4" w:space="0" w:color="auto"/>
              <w:left w:val="nil"/>
              <w:bottom w:val="nil"/>
              <w:right w:val="nil"/>
            </w:tcBorders>
            <w:shd w:val="clear" w:color="auto" w:fill="auto"/>
            <w:noWrap/>
            <w:vAlign w:val="center"/>
            <w:hideMark/>
          </w:tcPr>
          <w:p w14:paraId="372B2580" w14:textId="77777777" w:rsidR="00764913" w:rsidRPr="007222CB" w:rsidRDefault="00764913" w:rsidP="005021E6">
            <w:pPr>
              <w:rPr>
                <w:rFonts w:ascii="PermianSerifTypeface" w:hAnsi="PermianSerifTypeface" w:cstheme="minorHAnsi"/>
              </w:rPr>
            </w:pPr>
            <w:r w:rsidRPr="007222CB">
              <w:rPr>
                <w:rFonts w:ascii="PermianSerifTypeface" w:hAnsi="PermianSerifTypeface" w:cstheme="minorHAnsi"/>
                <w:sz w:val="22"/>
                <w:szCs w:val="22"/>
              </w:rPr>
              <w:t>Fonduri proprii, mil. lei</w:t>
            </w:r>
          </w:p>
        </w:tc>
        <w:tc>
          <w:tcPr>
            <w:tcW w:w="765" w:type="pct"/>
            <w:tcBorders>
              <w:top w:val="single" w:sz="4" w:space="0" w:color="auto"/>
              <w:left w:val="nil"/>
              <w:bottom w:val="nil"/>
              <w:right w:val="nil"/>
            </w:tcBorders>
            <w:vAlign w:val="center"/>
          </w:tcPr>
          <w:p w14:paraId="0D4A6D77"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11 053,8</w:t>
            </w:r>
          </w:p>
        </w:tc>
        <w:tc>
          <w:tcPr>
            <w:tcW w:w="763" w:type="pct"/>
            <w:tcBorders>
              <w:top w:val="single" w:sz="4" w:space="0" w:color="auto"/>
              <w:left w:val="nil"/>
              <w:bottom w:val="nil"/>
              <w:right w:val="nil"/>
            </w:tcBorders>
            <w:vAlign w:val="center"/>
          </w:tcPr>
          <w:p w14:paraId="7B5634CF"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10 586,3</w:t>
            </w:r>
          </w:p>
        </w:tc>
        <w:tc>
          <w:tcPr>
            <w:tcW w:w="742" w:type="pct"/>
            <w:tcBorders>
              <w:top w:val="single" w:sz="4" w:space="0" w:color="auto"/>
              <w:left w:val="nil"/>
              <w:bottom w:val="nil"/>
              <w:right w:val="nil"/>
            </w:tcBorders>
            <w:vAlign w:val="center"/>
          </w:tcPr>
          <w:p w14:paraId="3534ED73"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9 927,9</w:t>
            </w:r>
          </w:p>
        </w:tc>
      </w:tr>
      <w:tr w:rsidR="00764913" w:rsidRPr="007222CB" w14:paraId="0E3155DC" w14:textId="77777777" w:rsidTr="005021E6">
        <w:trPr>
          <w:trHeight w:val="567"/>
        </w:trPr>
        <w:tc>
          <w:tcPr>
            <w:tcW w:w="2730" w:type="pct"/>
            <w:tcBorders>
              <w:top w:val="nil"/>
              <w:left w:val="nil"/>
              <w:bottom w:val="nil"/>
              <w:right w:val="nil"/>
            </w:tcBorders>
            <w:shd w:val="clear" w:color="auto" w:fill="auto"/>
            <w:noWrap/>
            <w:vAlign w:val="center"/>
            <w:hideMark/>
          </w:tcPr>
          <w:p w14:paraId="16670FB7" w14:textId="77777777" w:rsidR="00764913" w:rsidRPr="007222CB" w:rsidRDefault="00764913" w:rsidP="005021E6">
            <w:pPr>
              <w:rPr>
                <w:rFonts w:ascii="PermianSerifTypeface" w:hAnsi="PermianSerifTypeface" w:cstheme="minorHAnsi"/>
              </w:rPr>
            </w:pPr>
            <w:r w:rsidRPr="007222CB">
              <w:rPr>
                <w:rFonts w:ascii="PermianSerifTypeface" w:hAnsi="PermianSerifTypeface" w:cstheme="minorHAnsi"/>
                <w:sz w:val="22"/>
                <w:szCs w:val="22"/>
              </w:rPr>
              <w:t>Rata fondurilor proprii totale</w:t>
            </w:r>
            <w:r w:rsidRPr="007222CB">
              <w:rPr>
                <w:rStyle w:val="FootnoteReference"/>
                <w:rFonts w:ascii="PermianSerifTypeface" w:hAnsi="PermianSerifTypeface" w:cstheme="minorHAnsi"/>
                <w:sz w:val="22"/>
                <w:szCs w:val="22"/>
              </w:rPr>
              <w:footnoteReference w:id="15"/>
            </w:r>
            <w:r w:rsidRPr="007222CB">
              <w:rPr>
                <w:rFonts w:ascii="PermianSerifTypeface" w:hAnsi="PermianSerifTypeface" w:cstheme="minorHAnsi"/>
                <w:sz w:val="22"/>
                <w:szCs w:val="22"/>
              </w:rPr>
              <w:t xml:space="preserve"> </w:t>
            </w:r>
          </w:p>
          <w:p w14:paraId="0AD29775" w14:textId="77777777" w:rsidR="00764913" w:rsidRPr="007222CB" w:rsidRDefault="00764913" w:rsidP="005021E6">
            <w:pPr>
              <w:rPr>
                <w:rFonts w:ascii="PermianSerifTypeface" w:hAnsi="PermianSerifTypeface" w:cstheme="minorHAnsi"/>
              </w:rPr>
            </w:pPr>
            <w:r w:rsidRPr="007222CB">
              <w:rPr>
                <w:rFonts w:ascii="PermianSerifTypeface" w:hAnsi="PermianSerifTypeface" w:cstheme="minorHAnsi"/>
                <w:sz w:val="22"/>
                <w:szCs w:val="22"/>
              </w:rPr>
              <w:t>(limita minimă reglementată ≥ 10%), %</w:t>
            </w:r>
          </w:p>
        </w:tc>
        <w:tc>
          <w:tcPr>
            <w:tcW w:w="765" w:type="pct"/>
            <w:tcBorders>
              <w:top w:val="nil"/>
              <w:left w:val="nil"/>
              <w:bottom w:val="nil"/>
              <w:right w:val="nil"/>
            </w:tcBorders>
            <w:vAlign w:val="center"/>
          </w:tcPr>
          <w:p w14:paraId="4C090AEA"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 xml:space="preserve">28,46 </w:t>
            </w:r>
          </w:p>
        </w:tc>
        <w:tc>
          <w:tcPr>
            <w:tcW w:w="763" w:type="pct"/>
            <w:tcBorders>
              <w:top w:val="nil"/>
              <w:left w:val="nil"/>
              <w:bottom w:val="nil"/>
              <w:right w:val="nil"/>
            </w:tcBorders>
            <w:vAlign w:val="center"/>
          </w:tcPr>
          <w:p w14:paraId="11F4A1AE"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31,32</w:t>
            </w:r>
          </w:p>
        </w:tc>
        <w:tc>
          <w:tcPr>
            <w:tcW w:w="742" w:type="pct"/>
            <w:tcBorders>
              <w:top w:val="nil"/>
              <w:left w:val="nil"/>
              <w:bottom w:val="nil"/>
              <w:right w:val="nil"/>
            </w:tcBorders>
            <w:vAlign w:val="center"/>
          </w:tcPr>
          <w:p w14:paraId="70EB4E8C"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25,96</w:t>
            </w:r>
          </w:p>
        </w:tc>
      </w:tr>
      <w:tr w:rsidR="00764913" w:rsidRPr="007222CB" w14:paraId="019D5234" w14:textId="77777777" w:rsidTr="005021E6">
        <w:trPr>
          <w:trHeight w:val="567"/>
        </w:trPr>
        <w:tc>
          <w:tcPr>
            <w:tcW w:w="2730" w:type="pct"/>
            <w:tcBorders>
              <w:top w:val="nil"/>
              <w:left w:val="nil"/>
              <w:bottom w:val="nil"/>
              <w:right w:val="nil"/>
            </w:tcBorders>
            <w:shd w:val="clear" w:color="auto" w:fill="auto"/>
            <w:noWrap/>
            <w:vAlign w:val="center"/>
            <w:hideMark/>
          </w:tcPr>
          <w:p w14:paraId="15B79C49" w14:textId="77777777" w:rsidR="00764913" w:rsidRPr="007222CB" w:rsidRDefault="00764913" w:rsidP="005021E6">
            <w:pPr>
              <w:rPr>
                <w:rFonts w:ascii="PermianSerifTypeface" w:hAnsi="PermianSerifTypeface" w:cstheme="minorHAnsi"/>
              </w:rPr>
            </w:pPr>
            <w:r w:rsidRPr="007222CB">
              <w:rPr>
                <w:rFonts w:ascii="PermianSerifTypeface" w:hAnsi="PermianSerifTypeface" w:cstheme="minorHAnsi"/>
                <w:sz w:val="22"/>
                <w:szCs w:val="22"/>
              </w:rPr>
              <w:t>Rata creditelor neperformante, %</w:t>
            </w:r>
          </w:p>
        </w:tc>
        <w:tc>
          <w:tcPr>
            <w:tcW w:w="765" w:type="pct"/>
            <w:tcBorders>
              <w:top w:val="nil"/>
              <w:left w:val="nil"/>
              <w:bottom w:val="nil"/>
              <w:right w:val="nil"/>
            </w:tcBorders>
            <w:vAlign w:val="center"/>
          </w:tcPr>
          <w:p w14:paraId="3FF35B4F"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14,16</w:t>
            </w:r>
          </w:p>
        </w:tc>
        <w:tc>
          <w:tcPr>
            <w:tcW w:w="763" w:type="pct"/>
            <w:tcBorders>
              <w:top w:val="nil"/>
              <w:left w:val="nil"/>
              <w:bottom w:val="nil"/>
              <w:right w:val="nil"/>
            </w:tcBorders>
            <w:vAlign w:val="center"/>
          </w:tcPr>
          <w:p w14:paraId="7602C7C7"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18,38</w:t>
            </w:r>
          </w:p>
        </w:tc>
        <w:tc>
          <w:tcPr>
            <w:tcW w:w="742" w:type="pct"/>
            <w:tcBorders>
              <w:top w:val="nil"/>
              <w:left w:val="nil"/>
              <w:bottom w:val="nil"/>
              <w:right w:val="nil"/>
            </w:tcBorders>
            <w:vAlign w:val="center"/>
          </w:tcPr>
          <w:p w14:paraId="63B71494"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14,13</w:t>
            </w:r>
          </w:p>
        </w:tc>
      </w:tr>
      <w:tr w:rsidR="00764913" w:rsidRPr="007222CB" w14:paraId="203A4599" w14:textId="77777777" w:rsidTr="005021E6">
        <w:trPr>
          <w:trHeight w:val="567"/>
        </w:trPr>
        <w:tc>
          <w:tcPr>
            <w:tcW w:w="2730" w:type="pct"/>
            <w:tcBorders>
              <w:top w:val="nil"/>
              <w:left w:val="nil"/>
              <w:bottom w:val="nil"/>
              <w:right w:val="nil"/>
            </w:tcBorders>
            <w:shd w:val="clear" w:color="auto" w:fill="auto"/>
            <w:noWrap/>
            <w:vAlign w:val="center"/>
            <w:hideMark/>
          </w:tcPr>
          <w:p w14:paraId="0B673F9A" w14:textId="77777777" w:rsidR="00764913" w:rsidRPr="007222CB" w:rsidRDefault="00764913" w:rsidP="005021E6">
            <w:pPr>
              <w:rPr>
                <w:rFonts w:ascii="PermianSerifTypeface" w:hAnsi="PermianSerifTypeface" w:cstheme="minorHAnsi"/>
              </w:rPr>
            </w:pPr>
            <w:r w:rsidRPr="007222CB">
              <w:rPr>
                <w:rFonts w:ascii="PermianSerifTypeface" w:hAnsi="PermianSerifTypeface" w:cstheme="minorHAnsi"/>
                <w:sz w:val="22"/>
                <w:szCs w:val="22"/>
              </w:rPr>
              <w:t>Lichiditatea curentă (Active lichide/Total active ≥ 20%), %</w:t>
            </w:r>
          </w:p>
        </w:tc>
        <w:tc>
          <w:tcPr>
            <w:tcW w:w="765" w:type="pct"/>
            <w:tcBorders>
              <w:top w:val="nil"/>
              <w:left w:val="nil"/>
              <w:bottom w:val="nil"/>
              <w:right w:val="nil"/>
            </w:tcBorders>
            <w:vAlign w:val="center"/>
          </w:tcPr>
          <w:p w14:paraId="12FFBEF5"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55,65</w:t>
            </w:r>
          </w:p>
        </w:tc>
        <w:tc>
          <w:tcPr>
            <w:tcW w:w="763" w:type="pct"/>
            <w:tcBorders>
              <w:top w:val="nil"/>
              <w:left w:val="nil"/>
              <w:bottom w:val="nil"/>
              <w:right w:val="nil"/>
            </w:tcBorders>
            <w:vAlign w:val="center"/>
          </w:tcPr>
          <w:p w14:paraId="784D6AF8"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55,46</w:t>
            </w:r>
          </w:p>
        </w:tc>
        <w:tc>
          <w:tcPr>
            <w:tcW w:w="742" w:type="pct"/>
            <w:tcBorders>
              <w:top w:val="nil"/>
              <w:left w:val="nil"/>
              <w:bottom w:val="nil"/>
              <w:right w:val="nil"/>
            </w:tcBorders>
            <w:vAlign w:val="center"/>
          </w:tcPr>
          <w:p w14:paraId="4D0DA9DC"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44,92</w:t>
            </w:r>
          </w:p>
        </w:tc>
      </w:tr>
      <w:tr w:rsidR="00764913" w:rsidRPr="007222CB" w14:paraId="1C6004E7" w14:textId="77777777" w:rsidTr="005021E6">
        <w:trPr>
          <w:trHeight w:val="567"/>
        </w:trPr>
        <w:tc>
          <w:tcPr>
            <w:tcW w:w="2730" w:type="pct"/>
            <w:tcBorders>
              <w:top w:val="nil"/>
              <w:left w:val="nil"/>
              <w:right w:val="nil"/>
            </w:tcBorders>
            <w:shd w:val="clear" w:color="auto" w:fill="auto"/>
            <w:noWrap/>
            <w:vAlign w:val="center"/>
            <w:hideMark/>
          </w:tcPr>
          <w:p w14:paraId="768CCEE7" w14:textId="77777777" w:rsidR="00764913" w:rsidRPr="007222CB" w:rsidRDefault="00764913" w:rsidP="005021E6">
            <w:pPr>
              <w:tabs>
                <w:tab w:val="center" w:pos="4536"/>
                <w:tab w:val="right" w:pos="9072"/>
              </w:tabs>
              <w:rPr>
                <w:rFonts w:ascii="PermianSerifTypeface" w:hAnsi="PermianSerifTypeface" w:cstheme="minorHAnsi"/>
              </w:rPr>
            </w:pPr>
            <w:r w:rsidRPr="007222CB">
              <w:rPr>
                <w:rFonts w:ascii="PermianSerifTypeface" w:hAnsi="PermianSerifTypeface" w:cstheme="minorHAnsi"/>
                <w:sz w:val="22"/>
                <w:szCs w:val="22"/>
              </w:rPr>
              <w:t>Soldul activelor lichide/Soldul depozitelor persoanelor fizice, %</w:t>
            </w:r>
          </w:p>
        </w:tc>
        <w:tc>
          <w:tcPr>
            <w:tcW w:w="765" w:type="pct"/>
            <w:tcBorders>
              <w:top w:val="nil"/>
              <w:left w:val="nil"/>
              <w:right w:val="nil"/>
            </w:tcBorders>
            <w:vAlign w:val="center"/>
          </w:tcPr>
          <w:p w14:paraId="12EA6955"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114,09</w:t>
            </w:r>
          </w:p>
        </w:tc>
        <w:tc>
          <w:tcPr>
            <w:tcW w:w="763" w:type="pct"/>
            <w:tcBorders>
              <w:top w:val="nil"/>
              <w:left w:val="nil"/>
              <w:right w:val="nil"/>
            </w:tcBorders>
            <w:vAlign w:val="center"/>
          </w:tcPr>
          <w:p w14:paraId="45D7ADA2" w14:textId="77777777" w:rsidR="00764913" w:rsidRPr="007222CB" w:rsidRDefault="00764913" w:rsidP="005021E6">
            <w:pPr>
              <w:ind w:firstLineChars="100" w:firstLine="220"/>
              <w:jc w:val="right"/>
              <w:rPr>
                <w:rFonts w:ascii="PermianSerifTypeface" w:hAnsi="PermianSerifTypeface" w:cstheme="minorHAnsi"/>
              </w:rPr>
            </w:pPr>
            <w:r w:rsidRPr="007222CB">
              <w:rPr>
                <w:rFonts w:ascii="PermianSerifTypeface" w:hAnsi="PermianSerifTypeface" w:cstheme="minorHAnsi"/>
                <w:sz w:val="22"/>
                <w:szCs w:val="22"/>
              </w:rPr>
              <w:t>111,23</w:t>
            </w:r>
          </w:p>
        </w:tc>
        <w:tc>
          <w:tcPr>
            <w:tcW w:w="742" w:type="pct"/>
            <w:tcBorders>
              <w:top w:val="nil"/>
              <w:left w:val="nil"/>
              <w:right w:val="nil"/>
            </w:tcBorders>
            <w:vAlign w:val="center"/>
          </w:tcPr>
          <w:p w14:paraId="7E2CEBD3"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92,73</w:t>
            </w:r>
          </w:p>
        </w:tc>
      </w:tr>
      <w:tr w:rsidR="00764913" w:rsidRPr="007222CB" w14:paraId="62AE3553" w14:textId="77777777" w:rsidTr="005021E6">
        <w:trPr>
          <w:trHeight w:val="567"/>
        </w:trPr>
        <w:tc>
          <w:tcPr>
            <w:tcW w:w="2730" w:type="pct"/>
            <w:tcBorders>
              <w:top w:val="nil"/>
              <w:left w:val="nil"/>
              <w:bottom w:val="single" w:sz="4" w:space="0" w:color="auto"/>
              <w:right w:val="nil"/>
            </w:tcBorders>
            <w:shd w:val="clear" w:color="auto" w:fill="auto"/>
            <w:noWrap/>
            <w:vAlign w:val="center"/>
            <w:hideMark/>
          </w:tcPr>
          <w:p w14:paraId="2AA8C026" w14:textId="77777777" w:rsidR="00764913" w:rsidRPr="007222CB" w:rsidRDefault="00764913" w:rsidP="005021E6">
            <w:pPr>
              <w:tabs>
                <w:tab w:val="center" w:pos="4536"/>
                <w:tab w:val="right" w:pos="9072"/>
              </w:tabs>
              <w:rPr>
                <w:rFonts w:ascii="PermianSerifTypeface" w:hAnsi="PermianSerifTypeface" w:cstheme="minorHAnsi"/>
              </w:rPr>
            </w:pPr>
            <w:r w:rsidRPr="007222CB">
              <w:rPr>
                <w:rFonts w:ascii="PermianSerifTypeface" w:hAnsi="PermianSerifTypeface" w:cstheme="minorHAnsi"/>
                <w:sz w:val="22"/>
                <w:szCs w:val="22"/>
              </w:rPr>
              <w:t>Creditele sectorului financiar</w:t>
            </w:r>
            <w:r w:rsidRPr="007222CB">
              <w:rPr>
                <w:rStyle w:val="FootnoteReference"/>
                <w:rFonts w:ascii="PermianSerifTypeface" w:hAnsi="PermianSerifTypeface" w:cstheme="minorHAnsi"/>
                <w:sz w:val="22"/>
                <w:szCs w:val="22"/>
              </w:rPr>
              <w:footnoteReference w:id="16"/>
            </w:r>
            <w:r w:rsidRPr="007222CB">
              <w:rPr>
                <w:rFonts w:ascii="PermianSerifTypeface" w:hAnsi="PermianSerifTypeface" w:cstheme="minorHAnsi"/>
                <w:sz w:val="22"/>
                <w:szCs w:val="22"/>
              </w:rPr>
              <w:t>/PIB*, %</w:t>
            </w:r>
          </w:p>
        </w:tc>
        <w:tc>
          <w:tcPr>
            <w:tcW w:w="765" w:type="pct"/>
            <w:tcBorders>
              <w:top w:val="nil"/>
              <w:left w:val="nil"/>
              <w:bottom w:val="single" w:sz="4" w:space="0" w:color="auto"/>
              <w:right w:val="nil"/>
            </w:tcBorders>
            <w:vAlign w:val="center"/>
          </w:tcPr>
          <w:p w14:paraId="26E04E6B"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25,39</w:t>
            </w:r>
          </w:p>
        </w:tc>
        <w:tc>
          <w:tcPr>
            <w:tcW w:w="763" w:type="pct"/>
            <w:tcBorders>
              <w:top w:val="nil"/>
              <w:left w:val="nil"/>
              <w:bottom w:val="single" w:sz="4" w:space="0" w:color="auto"/>
              <w:right w:val="nil"/>
            </w:tcBorders>
            <w:vAlign w:val="center"/>
          </w:tcPr>
          <w:p w14:paraId="062D25D5"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26,79</w:t>
            </w:r>
          </w:p>
        </w:tc>
        <w:tc>
          <w:tcPr>
            <w:tcW w:w="742" w:type="pct"/>
            <w:tcBorders>
              <w:top w:val="nil"/>
              <w:left w:val="nil"/>
              <w:bottom w:val="single" w:sz="4" w:space="0" w:color="auto"/>
              <w:right w:val="nil"/>
            </w:tcBorders>
            <w:vAlign w:val="center"/>
          </w:tcPr>
          <w:p w14:paraId="0D111062" w14:textId="77777777" w:rsidR="00764913" w:rsidRPr="007222CB" w:rsidRDefault="00764913" w:rsidP="005021E6">
            <w:pPr>
              <w:ind w:firstLineChars="100" w:firstLine="220"/>
              <w:jc w:val="right"/>
              <w:rPr>
                <w:rFonts w:ascii="PermianSerifTypeface" w:hAnsi="PermianSerifTypeface" w:cstheme="minorHAnsi"/>
                <w:sz w:val="22"/>
                <w:szCs w:val="22"/>
              </w:rPr>
            </w:pPr>
            <w:r w:rsidRPr="007222CB">
              <w:rPr>
                <w:rFonts w:ascii="PermianSerifTypeface" w:hAnsi="PermianSerifTypeface" w:cstheme="minorHAnsi"/>
                <w:sz w:val="22"/>
                <w:szCs w:val="22"/>
              </w:rPr>
              <w:t>31,35</w:t>
            </w:r>
          </w:p>
        </w:tc>
      </w:tr>
    </w:tbl>
    <w:p w14:paraId="5040940F" w14:textId="77777777" w:rsidR="00764913" w:rsidRPr="007222CB" w:rsidRDefault="00764913" w:rsidP="00764913">
      <w:pPr>
        <w:rPr>
          <w:rFonts w:ascii="PermianSerifTypeface" w:hAnsi="PermianSerifTypeface" w:cstheme="minorHAnsi"/>
          <w:i/>
          <w:sz w:val="18"/>
          <w:szCs w:val="18"/>
        </w:rPr>
      </w:pPr>
      <w:r w:rsidRPr="007222CB">
        <w:rPr>
          <w:rFonts w:ascii="PermianSerifTypeface" w:hAnsi="PermianSerifTypeface" w:cstheme="minorHAnsi"/>
          <w:i/>
          <w:sz w:val="18"/>
          <w:szCs w:val="18"/>
        </w:rPr>
        <w:t>*</w:t>
      </w:r>
      <w:r w:rsidRPr="007222CB">
        <w:rPr>
          <w:rFonts w:ascii="PermianSerifTypeface" w:hAnsi="PermianSerifTypeface" w:cstheme="minorHAnsi"/>
          <w:i/>
          <w:color w:val="000000"/>
          <w:sz w:val="18"/>
        </w:rPr>
        <w:t>PIB prognozat de Ministerul Economiei și Infrastructurii pentru anul 2018</w:t>
      </w:r>
    </w:p>
    <w:p w14:paraId="587CD44C" w14:textId="77777777" w:rsidR="00764913" w:rsidRPr="007222CB" w:rsidRDefault="00764913" w:rsidP="00764913">
      <w:pPr>
        <w:rPr>
          <w:rFonts w:ascii="PermianSerifTypeface" w:hAnsi="PermianSerifTypeface" w:cstheme="minorHAnsi"/>
          <w:i/>
          <w:sz w:val="18"/>
          <w:szCs w:val="18"/>
        </w:rPr>
      </w:pPr>
      <w:r w:rsidRPr="007222CB">
        <w:rPr>
          <w:rFonts w:ascii="PermianSerifTypeface" w:hAnsi="PermianSerifTypeface" w:cstheme="minorHAnsi"/>
          <w:i/>
          <w:sz w:val="18"/>
          <w:szCs w:val="18"/>
        </w:rPr>
        <w:t>Sursa: BNM, CNPF, BNS, MEI</w:t>
      </w:r>
    </w:p>
    <w:p w14:paraId="3477BC26" w14:textId="77777777" w:rsidR="00764913" w:rsidRDefault="00764913" w:rsidP="004D3512">
      <w:pPr>
        <w:ind w:firstLine="567"/>
        <w:jc w:val="both"/>
        <w:rPr>
          <w:rFonts w:asciiTheme="minorHAnsi" w:hAnsiTheme="minorHAnsi"/>
        </w:rPr>
      </w:pPr>
    </w:p>
    <w:p w14:paraId="56207B31" w14:textId="77777777" w:rsidR="005021E6" w:rsidRPr="00166A39" w:rsidRDefault="005021E6" w:rsidP="00166A39">
      <w:pPr>
        <w:spacing w:before="120" w:after="120" w:line="20" w:lineRule="atLeast"/>
        <w:ind w:firstLine="567"/>
        <w:jc w:val="both"/>
        <w:rPr>
          <w:rFonts w:asciiTheme="minorHAnsi" w:hAnsiTheme="minorHAnsi" w:cstheme="minorHAnsi"/>
          <w:color w:val="000000"/>
        </w:rPr>
      </w:pPr>
      <w:r w:rsidRPr="00166A39">
        <w:rPr>
          <w:rFonts w:asciiTheme="minorHAnsi" w:hAnsiTheme="minorHAnsi" w:cstheme="minorHAnsi"/>
          <w:color w:val="000000"/>
        </w:rPr>
        <w:t>Pe parcursul a 8 luni ale anului 2018 a fost marcată dinamică descendentă a ponderii creditelor neperformante în total credite pe sector. Această tendință favorabilă se datorează reducerii soldului total al creditelor nefavorabile (-22,1%), concomitent cu creșterea stocului total al creditelor acordate de bănci (1,1%) care au rezultat într-o îmbunătățire a ratei creditelor neperformante cu 4,2 p.p.</w:t>
      </w:r>
    </w:p>
    <w:p w14:paraId="5D46069C" w14:textId="77777777" w:rsidR="00A60830" w:rsidRPr="00FB0BE5" w:rsidRDefault="00A60830" w:rsidP="00166A39">
      <w:pPr>
        <w:spacing w:line="20" w:lineRule="atLeast"/>
        <w:rPr>
          <w:rFonts w:asciiTheme="minorHAnsi" w:hAnsiTheme="minorHAnsi" w:cstheme="minorHAnsi"/>
          <w:color w:val="000000"/>
        </w:rPr>
      </w:pPr>
    </w:p>
    <w:p w14:paraId="627874F2" w14:textId="77777777" w:rsidR="00A60830" w:rsidRPr="00FB0BE5" w:rsidRDefault="005861CE" w:rsidP="00166A39">
      <w:pPr>
        <w:spacing w:line="20" w:lineRule="atLeast"/>
        <w:ind w:firstLine="567"/>
        <w:rPr>
          <w:rFonts w:asciiTheme="minorHAnsi" w:hAnsiTheme="minorHAnsi" w:cstheme="minorHAnsi"/>
          <w:b/>
          <w:color w:val="000000"/>
        </w:rPr>
      </w:pPr>
      <w:r w:rsidRPr="00FB0BE5">
        <w:rPr>
          <w:rFonts w:asciiTheme="minorHAnsi" w:hAnsiTheme="minorHAnsi" w:cstheme="minorHAnsi"/>
          <w:b/>
          <w:color w:val="000000"/>
        </w:rPr>
        <w:t>Măsuri de atenuare a riscurilor</w:t>
      </w:r>
    </w:p>
    <w:p w14:paraId="422B65CB" w14:textId="77777777" w:rsidR="00A60830" w:rsidRPr="00FB0BE5" w:rsidRDefault="00A60830" w:rsidP="00166A39">
      <w:pPr>
        <w:spacing w:line="20" w:lineRule="atLeast"/>
        <w:ind w:firstLine="567"/>
        <w:rPr>
          <w:rFonts w:asciiTheme="minorHAnsi" w:hAnsiTheme="minorHAnsi" w:cstheme="minorHAnsi"/>
          <w:b/>
          <w:color w:val="000000"/>
        </w:rPr>
      </w:pPr>
    </w:p>
    <w:p w14:paraId="6C7C46DF" w14:textId="77777777" w:rsidR="00351254" w:rsidRPr="00166A39" w:rsidRDefault="00351254" w:rsidP="00166A39">
      <w:pPr>
        <w:spacing w:line="20" w:lineRule="atLeast"/>
        <w:ind w:firstLine="567"/>
        <w:jc w:val="both"/>
        <w:rPr>
          <w:rFonts w:asciiTheme="minorHAnsi" w:hAnsiTheme="minorHAnsi" w:cstheme="minorHAnsi"/>
          <w:color w:val="000000"/>
        </w:rPr>
      </w:pPr>
      <w:r w:rsidRPr="00166A39">
        <w:rPr>
          <w:rFonts w:asciiTheme="minorHAnsi" w:hAnsiTheme="minorHAnsi" w:cstheme="minorHAnsi"/>
          <w:color w:val="000000"/>
        </w:rPr>
        <w:t>În vederea menținerii stabilității sectorului bancar autohton și asigurării dezvoltării</w:t>
      </w:r>
      <w:r w:rsidRPr="007222CB">
        <w:rPr>
          <w:rFonts w:ascii="PermianSerifTypeface" w:hAnsi="PermianSerifTypeface" w:cstheme="minorHAnsi"/>
          <w:color w:val="000000" w:themeColor="text1"/>
        </w:rPr>
        <w:t xml:space="preserve"> </w:t>
      </w:r>
      <w:r w:rsidRPr="00166A39">
        <w:rPr>
          <w:rFonts w:asciiTheme="minorHAnsi" w:hAnsiTheme="minorHAnsi" w:cstheme="minorHAnsi"/>
          <w:color w:val="000000"/>
        </w:rPr>
        <w:t>acestuia, în perioada recentă au fost întreprinse un șir de măsuri. Acestea măsuri sunt menite, inclusiv, să reducă posibilele necesități de intervenție a Guvernului, și, respectiv, riscurile fiscale, asociate sectorului financiar.</w:t>
      </w:r>
    </w:p>
    <w:p w14:paraId="76B7C235" w14:textId="77777777" w:rsidR="00351254" w:rsidRPr="00166A39" w:rsidRDefault="00351254" w:rsidP="00166A39">
      <w:pPr>
        <w:spacing w:after="60" w:line="20" w:lineRule="atLeast"/>
        <w:ind w:firstLine="567"/>
        <w:jc w:val="both"/>
        <w:rPr>
          <w:rFonts w:asciiTheme="minorHAnsi" w:hAnsiTheme="minorHAnsi" w:cstheme="minorHAnsi"/>
          <w:color w:val="000000"/>
        </w:rPr>
      </w:pPr>
      <w:r w:rsidRPr="00166A39">
        <w:rPr>
          <w:rFonts w:asciiTheme="minorHAnsi" w:hAnsiTheme="minorHAnsi" w:cstheme="minorHAnsi"/>
          <w:color w:val="000000"/>
        </w:rPr>
        <w:t xml:space="preserve">Odată cu intrarea în vigoare la 1 ianuarie 2018  a Legii privind activitatea băncilor, Banca Națională a Moldovei a aprobat  în semestrul I  nouă acte normative care vizează cerințele de fonduri proprii ale băncilor și cerințele de capital, amortizoarele de capital, tratamentul riscurilor de credit pentru bănci potrivit abordării standardizate, tehnicile de diminuare a riscului de credit utilizate de bănci, tratamentul riscului operațional pentru bănci potrivit abordării de bază și abordării standardizate, tratamentul riscului de piață potrivit abordării standardizate, tratamentul riscului de decontare/livrare pentru bănci, calculul de către bănci </w:t>
      </w:r>
      <w:r w:rsidRPr="00166A39">
        <w:rPr>
          <w:rFonts w:asciiTheme="minorHAnsi" w:hAnsiTheme="minorHAnsi" w:cstheme="minorHAnsi"/>
          <w:color w:val="000000"/>
        </w:rPr>
        <w:lastRenderedPageBreak/>
        <w:t>al ajustărilor specifice și al ajustărilor generale pentru riscul de credit, precum și Regulamentul cu privire la auditul extern al băncilor.</w:t>
      </w:r>
    </w:p>
    <w:p w14:paraId="02A26C5C" w14:textId="77777777" w:rsidR="00351254" w:rsidRPr="00166A39" w:rsidRDefault="00351254" w:rsidP="00166A39">
      <w:pPr>
        <w:spacing w:after="60" w:line="20" w:lineRule="atLeast"/>
        <w:ind w:firstLine="567"/>
        <w:jc w:val="both"/>
        <w:rPr>
          <w:rFonts w:asciiTheme="minorHAnsi" w:hAnsiTheme="minorHAnsi" w:cstheme="minorHAnsi"/>
          <w:color w:val="000000"/>
        </w:rPr>
      </w:pPr>
      <w:r w:rsidRPr="00166A39">
        <w:rPr>
          <w:rFonts w:asciiTheme="minorHAnsi" w:hAnsiTheme="minorHAnsi" w:cstheme="minorHAnsi"/>
          <w:color w:val="000000"/>
        </w:rPr>
        <w:t>Totodată, Banca Națională a Moldovei a aprobat Instrucțiunea cu privire la prezentarea de către bănci a rapoartelor COREP în scopuri de supraveghere, prin care se instituie cerințe uniforme în ceea ce privește raportarea în scop de supraveghere și se stabilește formatul și modul de raportare a informației aferente fondurilor proprii și expunerilor la risc.</w:t>
      </w:r>
    </w:p>
    <w:p w14:paraId="2C23B7B3" w14:textId="77777777" w:rsidR="00351254" w:rsidRPr="00166A39" w:rsidRDefault="00351254" w:rsidP="00166A39">
      <w:pPr>
        <w:spacing w:after="60" w:line="20" w:lineRule="atLeast"/>
        <w:ind w:firstLine="567"/>
        <w:jc w:val="both"/>
        <w:rPr>
          <w:rFonts w:asciiTheme="minorHAnsi" w:hAnsiTheme="minorHAnsi" w:cstheme="minorHAnsi"/>
          <w:color w:val="000000"/>
        </w:rPr>
      </w:pPr>
      <w:r w:rsidRPr="00166A39">
        <w:rPr>
          <w:rFonts w:asciiTheme="minorHAnsi" w:hAnsiTheme="minorHAnsi" w:cstheme="minorHAnsi"/>
          <w:color w:val="000000"/>
        </w:rPr>
        <w:t>Banca Națională a Moldovei continuă elaborarea actelor normative, pentru implementarea în totalitate a prevederilor Legii  privind activitatea băncilor nr.202 din 6 octombrie 2017.</w:t>
      </w:r>
    </w:p>
    <w:p w14:paraId="714B234C" w14:textId="77777777" w:rsidR="00351254" w:rsidRPr="00166A39" w:rsidRDefault="00351254" w:rsidP="00166A39">
      <w:pPr>
        <w:spacing w:after="60" w:line="20" w:lineRule="atLeast"/>
        <w:ind w:firstLine="567"/>
        <w:jc w:val="both"/>
        <w:rPr>
          <w:rFonts w:asciiTheme="minorHAnsi" w:hAnsiTheme="minorHAnsi" w:cstheme="minorHAnsi"/>
          <w:color w:val="000000"/>
        </w:rPr>
      </w:pPr>
      <w:r w:rsidRPr="00166A39">
        <w:rPr>
          <w:rFonts w:asciiTheme="minorHAnsi" w:hAnsiTheme="minorHAnsi" w:cstheme="minorHAnsi"/>
          <w:color w:val="000000"/>
        </w:rPr>
        <w:t>Alinierea legislației bancare a Republicii Moldova la standardele internaționale prin perfecționarea mecanismelor cantitative și calitative de administrare a băncilor va contribui la promovarea unui sector bancar sigur și stabil, la creșterea transparenței, încrederii și atractivității sectorului bancar autohton pentru potențiali investitori și creditori ai băncilor, precum și pentru deponenți. Cadrul nou condiționează dezvoltarea noilor produse și servicii financiare, datorită asigurării unui mediu de stabilitate financiară ce permite menținerea solidității financiare a băncilor și a întregului sistem.</w:t>
      </w:r>
    </w:p>
    <w:p w14:paraId="29511889" w14:textId="77777777" w:rsidR="00A60830" w:rsidRPr="00FB0BE5" w:rsidRDefault="00A60830" w:rsidP="004D3512">
      <w:pPr>
        <w:tabs>
          <w:tab w:val="left" w:pos="1096"/>
        </w:tabs>
        <w:spacing w:after="120"/>
        <w:jc w:val="both"/>
        <w:rPr>
          <w:rFonts w:asciiTheme="minorHAnsi" w:hAnsiTheme="minorHAnsi" w:cstheme="minorHAnsi"/>
        </w:rPr>
      </w:pPr>
    </w:p>
    <w:p w14:paraId="2726FBB7" w14:textId="77777777" w:rsidR="000552FE" w:rsidRPr="00FB0BE5" w:rsidRDefault="005861CE" w:rsidP="003A55C8">
      <w:pPr>
        <w:pStyle w:val="Heading2"/>
        <w:numPr>
          <w:ilvl w:val="1"/>
          <w:numId w:val="27"/>
        </w:numPr>
        <w:spacing w:before="0"/>
        <w:rPr>
          <w:sz w:val="24"/>
          <w:szCs w:val="24"/>
        </w:rPr>
      </w:pPr>
      <w:bookmarkStart w:id="29" w:name="_Toc498455221"/>
      <w:bookmarkStart w:id="30" w:name="_Toc498612431"/>
      <w:r w:rsidRPr="00FB0BE5">
        <w:rPr>
          <w:sz w:val="24"/>
          <w:szCs w:val="24"/>
        </w:rPr>
        <w:t>Alte riscuri</w:t>
      </w:r>
      <w:bookmarkEnd w:id="29"/>
      <w:bookmarkEnd w:id="30"/>
    </w:p>
    <w:p w14:paraId="1D935AF2" w14:textId="77777777" w:rsidR="006B396F" w:rsidRPr="00FB0BE5" w:rsidRDefault="006B396F" w:rsidP="003A55C8">
      <w:pPr>
        <w:ind w:firstLine="567"/>
        <w:rPr>
          <w:rFonts w:asciiTheme="minorHAnsi" w:hAnsiTheme="minorHAnsi" w:cstheme="minorHAnsi"/>
          <w:b/>
        </w:rPr>
      </w:pPr>
    </w:p>
    <w:p w14:paraId="3914C9FC" w14:textId="77777777" w:rsidR="006B396F" w:rsidRPr="00FB0BE5" w:rsidRDefault="005861CE" w:rsidP="003A55C8">
      <w:pPr>
        <w:ind w:firstLine="567"/>
      </w:pPr>
      <w:r w:rsidRPr="00FB0BE5">
        <w:rPr>
          <w:rFonts w:asciiTheme="minorHAnsi" w:hAnsiTheme="minorHAnsi" w:cstheme="minorHAnsi"/>
          <w:b/>
        </w:rPr>
        <w:t>Parteneriatul public-privat(PPP)</w:t>
      </w:r>
    </w:p>
    <w:p w14:paraId="6D959ABE" w14:textId="77777777" w:rsidR="006B396F" w:rsidRPr="00FB0BE5" w:rsidRDefault="006B396F" w:rsidP="003A55C8">
      <w:pPr>
        <w:ind w:firstLine="567"/>
        <w:jc w:val="both"/>
        <w:rPr>
          <w:rFonts w:asciiTheme="minorHAnsi" w:hAnsiTheme="minorHAnsi" w:cstheme="minorHAnsi"/>
          <w:b/>
        </w:rPr>
      </w:pPr>
    </w:p>
    <w:p w14:paraId="1F5E4ED5" w14:textId="297B224E" w:rsidR="00F36622" w:rsidRPr="00FB0BE5" w:rsidRDefault="00816238" w:rsidP="003A55C8">
      <w:pPr>
        <w:ind w:firstLine="567"/>
        <w:jc w:val="both"/>
        <w:rPr>
          <w:rFonts w:asciiTheme="minorHAnsi" w:hAnsiTheme="minorHAnsi" w:cstheme="minorHAnsi"/>
        </w:rPr>
      </w:pPr>
      <w:r w:rsidRPr="00FB0BE5">
        <w:rPr>
          <w:rFonts w:asciiTheme="minorHAnsi" w:hAnsiTheme="minorHAnsi" w:cstheme="minorHAnsi"/>
          <w:b/>
        </w:rPr>
        <w:t>Parteneriatul public-privat (PPP)</w:t>
      </w:r>
      <w:r w:rsidRPr="00FB0BE5">
        <w:rPr>
          <w:rFonts w:asciiTheme="minorHAnsi" w:hAnsiTheme="minorHAnsi" w:cstheme="minorHAnsi"/>
        </w:rPr>
        <w:t xml:space="preserve"> reprezintă o formă de cooperare între autoritățile publice și mediul de afaceri ce se instituie în scopul contribuirii la atragerea de </w:t>
      </w:r>
      <w:r w:rsidR="00166EF7" w:rsidRPr="00FB0BE5">
        <w:rPr>
          <w:rFonts w:asciiTheme="minorHAnsi" w:hAnsiTheme="minorHAnsi" w:cstheme="minorHAnsi"/>
        </w:rPr>
        <w:t>investiții</w:t>
      </w:r>
      <w:r w:rsidRPr="00FB0BE5">
        <w:rPr>
          <w:rFonts w:asciiTheme="minorHAnsi" w:hAnsiTheme="minorHAnsi" w:cstheme="minorHAnsi"/>
        </w:rPr>
        <w:t xml:space="preserve"> private pentru realizarea proiectelor de interes public. Cadrul normativ este reglementat prin Legea nr. 179-XVI din 10.07.2008 cu privire la parteneriatul public-privat.</w:t>
      </w:r>
    </w:p>
    <w:p w14:paraId="0002F2C3" w14:textId="77777777" w:rsidR="00F36622" w:rsidRPr="00FB0BE5" w:rsidRDefault="00F36622" w:rsidP="00F36622">
      <w:pPr>
        <w:ind w:firstLine="360"/>
        <w:jc w:val="both"/>
        <w:rPr>
          <w:rFonts w:asciiTheme="minorHAnsi" w:hAnsiTheme="minorHAnsi" w:cstheme="minorHAnsi"/>
        </w:rPr>
      </w:pPr>
    </w:p>
    <w:p w14:paraId="0C27CADB" w14:textId="466C854E" w:rsidR="00F36622" w:rsidRPr="00166A39" w:rsidRDefault="00816238" w:rsidP="00F36622">
      <w:pPr>
        <w:jc w:val="both"/>
        <w:rPr>
          <w:rFonts w:asciiTheme="minorHAnsi" w:hAnsiTheme="minorHAnsi" w:cstheme="minorHAnsi"/>
          <w:b/>
          <w:color w:val="365F91" w:themeColor="accent1" w:themeShade="BF"/>
        </w:rPr>
      </w:pPr>
      <w:r w:rsidRPr="00166A39">
        <w:rPr>
          <w:rFonts w:asciiTheme="minorHAnsi" w:hAnsiTheme="minorHAnsi" w:cstheme="minorHAnsi"/>
          <w:b/>
          <w:color w:val="365F91" w:themeColor="accent1" w:themeShade="BF"/>
        </w:rPr>
        <w:t>Tabelul</w:t>
      </w:r>
      <w:r w:rsidR="00366DB3" w:rsidRPr="00166A39">
        <w:rPr>
          <w:rFonts w:asciiTheme="minorHAnsi" w:hAnsiTheme="minorHAnsi" w:cstheme="minorHAnsi"/>
          <w:b/>
          <w:color w:val="365F91" w:themeColor="accent1" w:themeShade="BF"/>
        </w:rPr>
        <w:t xml:space="preserve"> 10</w:t>
      </w:r>
      <w:r w:rsidRPr="00166A39">
        <w:rPr>
          <w:rFonts w:asciiTheme="minorHAnsi" w:hAnsiTheme="minorHAnsi" w:cstheme="minorHAnsi"/>
          <w:b/>
          <w:color w:val="365F91" w:themeColor="accent1" w:themeShade="BF"/>
        </w:rPr>
        <w:t>. Numărul de contracte PPP înregistrate în Registru PPP pe fiecare an (la nivel central si local)*</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
        <w:gridCol w:w="425"/>
        <w:gridCol w:w="426"/>
        <w:gridCol w:w="425"/>
        <w:gridCol w:w="425"/>
        <w:gridCol w:w="425"/>
        <w:gridCol w:w="284"/>
        <w:gridCol w:w="283"/>
        <w:gridCol w:w="284"/>
        <w:gridCol w:w="425"/>
        <w:gridCol w:w="284"/>
        <w:gridCol w:w="425"/>
        <w:gridCol w:w="425"/>
        <w:gridCol w:w="425"/>
        <w:gridCol w:w="284"/>
        <w:gridCol w:w="425"/>
        <w:gridCol w:w="425"/>
        <w:gridCol w:w="426"/>
        <w:gridCol w:w="425"/>
        <w:gridCol w:w="283"/>
        <w:gridCol w:w="284"/>
        <w:gridCol w:w="425"/>
        <w:gridCol w:w="567"/>
        <w:gridCol w:w="425"/>
      </w:tblGrid>
      <w:tr w:rsidR="001C5FC7" w:rsidRPr="00166A39" w14:paraId="4AA7BBA7" w14:textId="77777777" w:rsidTr="00166EF7">
        <w:tc>
          <w:tcPr>
            <w:tcW w:w="738" w:type="dxa"/>
          </w:tcPr>
          <w:p w14:paraId="6D9DE6E2" w14:textId="77777777" w:rsidR="001C5FC7" w:rsidRPr="00166A39" w:rsidRDefault="001C5FC7" w:rsidP="00A858C2">
            <w:pPr>
              <w:jc w:val="center"/>
              <w:rPr>
                <w:rFonts w:asciiTheme="minorHAnsi" w:hAnsiTheme="minorHAnsi" w:cstheme="minorHAnsi"/>
                <w:b/>
                <w:sz w:val="20"/>
                <w:szCs w:val="20"/>
              </w:rPr>
            </w:pPr>
          </w:p>
        </w:tc>
        <w:tc>
          <w:tcPr>
            <w:tcW w:w="1276" w:type="dxa"/>
            <w:gridSpan w:val="3"/>
          </w:tcPr>
          <w:p w14:paraId="5DAF6408" w14:textId="77777777" w:rsidR="001C5FC7" w:rsidRPr="00166A39" w:rsidRDefault="001C5FC7" w:rsidP="00A858C2">
            <w:pPr>
              <w:jc w:val="center"/>
              <w:rPr>
                <w:rFonts w:asciiTheme="minorHAnsi" w:hAnsiTheme="minorHAnsi" w:cstheme="minorHAnsi"/>
                <w:b/>
                <w:sz w:val="20"/>
                <w:szCs w:val="20"/>
              </w:rPr>
            </w:pPr>
            <w:r w:rsidRPr="00166A39">
              <w:rPr>
                <w:rFonts w:asciiTheme="minorHAnsi" w:hAnsiTheme="minorHAnsi" w:cstheme="minorHAnsi"/>
                <w:b/>
                <w:sz w:val="20"/>
                <w:szCs w:val="20"/>
              </w:rPr>
              <w:t>2011</w:t>
            </w:r>
          </w:p>
        </w:tc>
        <w:tc>
          <w:tcPr>
            <w:tcW w:w="1275" w:type="dxa"/>
            <w:gridSpan w:val="3"/>
          </w:tcPr>
          <w:p w14:paraId="2C9D786D" w14:textId="77777777" w:rsidR="001C5FC7" w:rsidRPr="00166A39" w:rsidRDefault="001C5FC7" w:rsidP="00A858C2">
            <w:pPr>
              <w:jc w:val="center"/>
              <w:rPr>
                <w:rFonts w:asciiTheme="minorHAnsi" w:hAnsiTheme="minorHAnsi" w:cstheme="minorHAnsi"/>
                <w:b/>
                <w:sz w:val="20"/>
                <w:szCs w:val="20"/>
              </w:rPr>
            </w:pPr>
            <w:r w:rsidRPr="00166A39">
              <w:rPr>
                <w:rFonts w:asciiTheme="minorHAnsi" w:hAnsiTheme="minorHAnsi" w:cstheme="minorHAnsi"/>
                <w:b/>
                <w:sz w:val="20"/>
                <w:szCs w:val="20"/>
              </w:rPr>
              <w:t>2012</w:t>
            </w:r>
          </w:p>
        </w:tc>
        <w:tc>
          <w:tcPr>
            <w:tcW w:w="851" w:type="dxa"/>
            <w:gridSpan w:val="3"/>
          </w:tcPr>
          <w:p w14:paraId="3021A831" w14:textId="77777777" w:rsidR="001C5FC7" w:rsidRPr="00166A39" w:rsidRDefault="001C5FC7" w:rsidP="00A858C2">
            <w:pPr>
              <w:jc w:val="center"/>
              <w:rPr>
                <w:rFonts w:asciiTheme="minorHAnsi" w:hAnsiTheme="minorHAnsi" w:cstheme="minorHAnsi"/>
                <w:b/>
                <w:sz w:val="20"/>
                <w:szCs w:val="20"/>
              </w:rPr>
            </w:pPr>
            <w:r w:rsidRPr="00166A39">
              <w:rPr>
                <w:rFonts w:asciiTheme="minorHAnsi" w:hAnsiTheme="minorHAnsi" w:cstheme="minorHAnsi"/>
                <w:b/>
                <w:sz w:val="20"/>
                <w:szCs w:val="20"/>
              </w:rPr>
              <w:t>2013</w:t>
            </w:r>
          </w:p>
        </w:tc>
        <w:tc>
          <w:tcPr>
            <w:tcW w:w="1134" w:type="dxa"/>
            <w:gridSpan w:val="3"/>
          </w:tcPr>
          <w:p w14:paraId="163E3B4B" w14:textId="77777777" w:rsidR="001C5FC7" w:rsidRPr="00166A39" w:rsidRDefault="001C5FC7" w:rsidP="00A858C2">
            <w:pPr>
              <w:jc w:val="center"/>
              <w:rPr>
                <w:rFonts w:asciiTheme="minorHAnsi" w:hAnsiTheme="minorHAnsi" w:cstheme="minorHAnsi"/>
                <w:b/>
                <w:sz w:val="20"/>
                <w:szCs w:val="20"/>
              </w:rPr>
            </w:pPr>
            <w:r w:rsidRPr="00166A39">
              <w:rPr>
                <w:rFonts w:asciiTheme="minorHAnsi" w:hAnsiTheme="minorHAnsi" w:cstheme="minorHAnsi"/>
                <w:b/>
                <w:sz w:val="20"/>
                <w:szCs w:val="20"/>
              </w:rPr>
              <w:t>2014</w:t>
            </w:r>
          </w:p>
        </w:tc>
        <w:tc>
          <w:tcPr>
            <w:tcW w:w="1134" w:type="dxa"/>
            <w:gridSpan w:val="3"/>
          </w:tcPr>
          <w:p w14:paraId="6C755767" w14:textId="77777777" w:rsidR="001C5FC7" w:rsidRPr="00166A39" w:rsidRDefault="001C5FC7" w:rsidP="00A858C2">
            <w:pPr>
              <w:jc w:val="center"/>
              <w:rPr>
                <w:rFonts w:asciiTheme="minorHAnsi" w:hAnsiTheme="minorHAnsi" w:cstheme="minorHAnsi"/>
                <w:b/>
                <w:sz w:val="20"/>
                <w:szCs w:val="20"/>
              </w:rPr>
            </w:pPr>
            <w:r w:rsidRPr="00166A39">
              <w:rPr>
                <w:rFonts w:asciiTheme="minorHAnsi" w:hAnsiTheme="minorHAnsi" w:cstheme="minorHAnsi"/>
                <w:b/>
                <w:sz w:val="20"/>
                <w:szCs w:val="20"/>
              </w:rPr>
              <w:t>2015</w:t>
            </w:r>
          </w:p>
        </w:tc>
        <w:tc>
          <w:tcPr>
            <w:tcW w:w="1276" w:type="dxa"/>
            <w:gridSpan w:val="3"/>
          </w:tcPr>
          <w:p w14:paraId="6CA6FC3B" w14:textId="77777777" w:rsidR="001C5FC7" w:rsidRPr="00166A39" w:rsidRDefault="001C5FC7" w:rsidP="00A858C2">
            <w:pPr>
              <w:jc w:val="center"/>
              <w:rPr>
                <w:rFonts w:asciiTheme="minorHAnsi" w:hAnsiTheme="minorHAnsi" w:cstheme="minorHAnsi"/>
                <w:b/>
                <w:sz w:val="20"/>
                <w:szCs w:val="20"/>
              </w:rPr>
            </w:pPr>
            <w:r w:rsidRPr="00166A39">
              <w:rPr>
                <w:rFonts w:asciiTheme="minorHAnsi" w:hAnsiTheme="minorHAnsi" w:cstheme="minorHAnsi"/>
                <w:b/>
                <w:sz w:val="20"/>
                <w:szCs w:val="20"/>
              </w:rPr>
              <w:t>2016</w:t>
            </w:r>
          </w:p>
        </w:tc>
        <w:tc>
          <w:tcPr>
            <w:tcW w:w="992" w:type="dxa"/>
            <w:gridSpan w:val="3"/>
          </w:tcPr>
          <w:p w14:paraId="06410F5A" w14:textId="24196C77" w:rsidR="001C5FC7" w:rsidRPr="00166A39" w:rsidRDefault="001C5FC7" w:rsidP="00A858C2">
            <w:pPr>
              <w:jc w:val="center"/>
              <w:rPr>
                <w:rFonts w:asciiTheme="minorHAnsi" w:hAnsiTheme="minorHAnsi" w:cstheme="minorHAnsi"/>
                <w:b/>
                <w:sz w:val="20"/>
                <w:szCs w:val="20"/>
              </w:rPr>
            </w:pPr>
            <w:r w:rsidRPr="00166A39">
              <w:rPr>
                <w:rFonts w:asciiTheme="minorHAnsi" w:hAnsiTheme="minorHAnsi" w:cstheme="minorHAnsi"/>
                <w:b/>
                <w:sz w:val="20"/>
                <w:szCs w:val="20"/>
              </w:rPr>
              <w:t>2017</w:t>
            </w:r>
          </w:p>
        </w:tc>
        <w:tc>
          <w:tcPr>
            <w:tcW w:w="1417" w:type="dxa"/>
            <w:gridSpan w:val="3"/>
          </w:tcPr>
          <w:p w14:paraId="5D276056" w14:textId="1FCA44BA" w:rsidR="001C5FC7" w:rsidRPr="00166A39" w:rsidRDefault="001C5FC7" w:rsidP="00A858C2">
            <w:pPr>
              <w:jc w:val="center"/>
              <w:rPr>
                <w:rFonts w:asciiTheme="minorHAnsi" w:hAnsiTheme="minorHAnsi" w:cstheme="minorHAnsi"/>
                <w:b/>
                <w:sz w:val="20"/>
                <w:szCs w:val="20"/>
              </w:rPr>
            </w:pPr>
            <w:r>
              <w:rPr>
                <w:rFonts w:asciiTheme="minorHAnsi" w:hAnsiTheme="minorHAnsi" w:cstheme="minorHAnsi"/>
                <w:b/>
                <w:sz w:val="20"/>
                <w:szCs w:val="20"/>
              </w:rPr>
              <w:t>2018 (30.09.18)</w:t>
            </w:r>
          </w:p>
        </w:tc>
      </w:tr>
      <w:tr w:rsidR="00C57D2E" w:rsidRPr="00166A39" w14:paraId="72FD6E5A" w14:textId="77777777" w:rsidTr="00166EF7">
        <w:trPr>
          <w:cantSplit/>
          <w:trHeight w:val="922"/>
        </w:trPr>
        <w:tc>
          <w:tcPr>
            <w:tcW w:w="738" w:type="dxa"/>
            <w:textDirection w:val="btLr"/>
          </w:tcPr>
          <w:p w14:paraId="1FD6CB8A" w14:textId="77777777" w:rsidR="00C57D2E" w:rsidRPr="00166A39" w:rsidRDefault="00C57D2E" w:rsidP="00C57D2E">
            <w:pPr>
              <w:keepNext/>
              <w:keepLines/>
              <w:spacing w:before="480"/>
              <w:ind w:left="113" w:right="113"/>
              <w:jc w:val="both"/>
              <w:outlineLvl w:val="0"/>
              <w:rPr>
                <w:rFonts w:asciiTheme="minorHAnsi" w:hAnsiTheme="minorHAnsi" w:cstheme="minorHAnsi"/>
                <w:b/>
                <w:sz w:val="16"/>
                <w:szCs w:val="16"/>
              </w:rPr>
            </w:pPr>
          </w:p>
        </w:tc>
        <w:tc>
          <w:tcPr>
            <w:tcW w:w="425" w:type="dxa"/>
            <w:textDirection w:val="btLr"/>
          </w:tcPr>
          <w:p w14:paraId="0E4B26C2"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total</w:t>
            </w:r>
          </w:p>
        </w:tc>
        <w:tc>
          <w:tcPr>
            <w:tcW w:w="425" w:type="dxa"/>
            <w:textDirection w:val="btLr"/>
          </w:tcPr>
          <w:p w14:paraId="741A87BC"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426" w:type="dxa"/>
            <w:textDirection w:val="btLr"/>
          </w:tcPr>
          <w:p w14:paraId="38D63E65"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c>
          <w:tcPr>
            <w:tcW w:w="425" w:type="dxa"/>
            <w:textDirection w:val="btLr"/>
          </w:tcPr>
          <w:p w14:paraId="0E246F5A" w14:textId="77777777" w:rsidR="00C57D2E" w:rsidRPr="001C5FC7" w:rsidRDefault="00C57D2E" w:rsidP="00C57D2E">
            <w:pPr>
              <w:jc w:val="center"/>
              <w:rPr>
                <w:rFonts w:asciiTheme="minorHAnsi" w:hAnsiTheme="minorHAnsi" w:cstheme="minorHAnsi"/>
                <w:b/>
                <w:sz w:val="20"/>
                <w:szCs w:val="20"/>
              </w:rPr>
            </w:pPr>
            <w:r w:rsidRPr="001C5FC7">
              <w:rPr>
                <w:rFonts w:asciiTheme="minorHAnsi" w:hAnsiTheme="minorHAnsi" w:cstheme="minorHAnsi"/>
                <w:b/>
                <w:sz w:val="20"/>
                <w:szCs w:val="20"/>
              </w:rPr>
              <w:t>total</w:t>
            </w:r>
          </w:p>
        </w:tc>
        <w:tc>
          <w:tcPr>
            <w:tcW w:w="425" w:type="dxa"/>
            <w:textDirection w:val="btLr"/>
          </w:tcPr>
          <w:p w14:paraId="26D08E30" w14:textId="77777777" w:rsidR="00C57D2E" w:rsidRPr="001C5FC7" w:rsidRDefault="00C57D2E" w:rsidP="00C57D2E">
            <w:pPr>
              <w:jc w:val="center"/>
              <w:rPr>
                <w:rFonts w:asciiTheme="minorHAnsi" w:hAnsiTheme="minorHAnsi" w:cstheme="minorHAnsi"/>
                <w:b/>
                <w:sz w:val="20"/>
                <w:szCs w:val="20"/>
              </w:rPr>
            </w:pPr>
            <w:r w:rsidRPr="001C5FC7">
              <w:rPr>
                <w:rFonts w:asciiTheme="minorHAnsi" w:hAnsiTheme="minorHAnsi" w:cstheme="minorHAnsi"/>
                <w:b/>
                <w:sz w:val="20"/>
                <w:szCs w:val="20"/>
              </w:rPr>
              <w:t>central</w:t>
            </w:r>
          </w:p>
        </w:tc>
        <w:tc>
          <w:tcPr>
            <w:tcW w:w="425" w:type="dxa"/>
            <w:textDirection w:val="btLr"/>
          </w:tcPr>
          <w:p w14:paraId="29EB8DA6" w14:textId="77777777" w:rsidR="00C57D2E" w:rsidRPr="001C5FC7" w:rsidRDefault="00C57D2E" w:rsidP="00C57D2E">
            <w:pPr>
              <w:jc w:val="center"/>
              <w:rPr>
                <w:rFonts w:asciiTheme="minorHAnsi" w:hAnsiTheme="minorHAnsi" w:cstheme="minorHAnsi"/>
                <w:b/>
                <w:sz w:val="20"/>
                <w:szCs w:val="20"/>
              </w:rPr>
            </w:pPr>
            <w:r w:rsidRPr="001C5FC7">
              <w:rPr>
                <w:rFonts w:asciiTheme="minorHAnsi" w:hAnsiTheme="minorHAnsi" w:cstheme="minorHAnsi"/>
                <w:b/>
                <w:sz w:val="20"/>
                <w:szCs w:val="20"/>
              </w:rPr>
              <w:t>local</w:t>
            </w:r>
          </w:p>
        </w:tc>
        <w:tc>
          <w:tcPr>
            <w:tcW w:w="284" w:type="dxa"/>
            <w:textDirection w:val="btLr"/>
          </w:tcPr>
          <w:p w14:paraId="4CA5D459"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total</w:t>
            </w:r>
          </w:p>
        </w:tc>
        <w:tc>
          <w:tcPr>
            <w:tcW w:w="283" w:type="dxa"/>
            <w:textDirection w:val="btLr"/>
          </w:tcPr>
          <w:p w14:paraId="10D03945"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284" w:type="dxa"/>
            <w:textDirection w:val="btLr"/>
          </w:tcPr>
          <w:p w14:paraId="1F31C4DD"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c>
          <w:tcPr>
            <w:tcW w:w="425" w:type="dxa"/>
            <w:textDirection w:val="btLr"/>
          </w:tcPr>
          <w:p w14:paraId="535A1FFC"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total</w:t>
            </w:r>
          </w:p>
        </w:tc>
        <w:tc>
          <w:tcPr>
            <w:tcW w:w="284" w:type="dxa"/>
            <w:textDirection w:val="btLr"/>
          </w:tcPr>
          <w:p w14:paraId="4389EE3F"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425" w:type="dxa"/>
            <w:textDirection w:val="btLr"/>
          </w:tcPr>
          <w:p w14:paraId="1D85CFB7"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c>
          <w:tcPr>
            <w:tcW w:w="425" w:type="dxa"/>
            <w:textDirection w:val="btLr"/>
          </w:tcPr>
          <w:p w14:paraId="317E5761"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total</w:t>
            </w:r>
          </w:p>
        </w:tc>
        <w:tc>
          <w:tcPr>
            <w:tcW w:w="425" w:type="dxa"/>
            <w:textDirection w:val="btLr"/>
          </w:tcPr>
          <w:p w14:paraId="56EAEB0B"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284" w:type="dxa"/>
            <w:textDirection w:val="btLr"/>
          </w:tcPr>
          <w:p w14:paraId="0D47F7CA"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c>
          <w:tcPr>
            <w:tcW w:w="425" w:type="dxa"/>
            <w:textDirection w:val="btLr"/>
          </w:tcPr>
          <w:p w14:paraId="1CF9BE5A"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total</w:t>
            </w:r>
          </w:p>
        </w:tc>
        <w:tc>
          <w:tcPr>
            <w:tcW w:w="425" w:type="dxa"/>
            <w:textDirection w:val="btLr"/>
          </w:tcPr>
          <w:p w14:paraId="34083E7D"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426" w:type="dxa"/>
            <w:textDirection w:val="btLr"/>
          </w:tcPr>
          <w:p w14:paraId="3B52194D" w14:textId="77777777"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c>
          <w:tcPr>
            <w:tcW w:w="425" w:type="dxa"/>
            <w:textDirection w:val="btLr"/>
          </w:tcPr>
          <w:p w14:paraId="2F8AAD3B" w14:textId="188BE3DF"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total</w:t>
            </w:r>
          </w:p>
        </w:tc>
        <w:tc>
          <w:tcPr>
            <w:tcW w:w="283" w:type="dxa"/>
            <w:textDirection w:val="btLr"/>
          </w:tcPr>
          <w:p w14:paraId="55385299" w14:textId="26BA13DC"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284" w:type="dxa"/>
            <w:textDirection w:val="btLr"/>
          </w:tcPr>
          <w:p w14:paraId="772114B3" w14:textId="05FD183D"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c>
          <w:tcPr>
            <w:tcW w:w="425" w:type="dxa"/>
            <w:textDirection w:val="btLr"/>
          </w:tcPr>
          <w:tbl>
            <w:tblPr>
              <w:tblpPr w:leftFromText="180" w:rightFromText="180" w:vertAnchor="text"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62"/>
              <w:gridCol w:w="3370"/>
            </w:tblGrid>
            <w:tr w:rsidR="00C57D2E" w:rsidRPr="00166A39" w14:paraId="61867AF9" w14:textId="77777777" w:rsidTr="00C57D2E">
              <w:trPr>
                <w:cantSplit/>
                <w:trHeight w:val="922"/>
              </w:trPr>
              <w:tc>
                <w:tcPr>
                  <w:tcW w:w="425" w:type="dxa"/>
                  <w:textDirection w:val="btLr"/>
                </w:tcPr>
                <w:p w14:paraId="623B6987"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total</w:t>
                  </w:r>
                </w:p>
              </w:tc>
              <w:tc>
                <w:tcPr>
                  <w:tcW w:w="425" w:type="dxa"/>
                  <w:textDirection w:val="btLr"/>
                </w:tcPr>
                <w:p w14:paraId="1C4C5588"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426" w:type="dxa"/>
                  <w:textDirection w:val="btLr"/>
                </w:tcPr>
                <w:p w14:paraId="377A150E" w14:textId="77777777"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r>
          </w:tbl>
          <w:p w14:paraId="57A17B48" w14:textId="09164276"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p>
        </w:tc>
        <w:tc>
          <w:tcPr>
            <w:tcW w:w="567" w:type="dxa"/>
            <w:textDirection w:val="btLr"/>
          </w:tcPr>
          <w:tbl>
            <w:tblPr>
              <w:tblpPr w:leftFromText="180" w:rightFromText="180" w:vertAnchor="text"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1"/>
              <w:gridCol w:w="5052"/>
            </w:tblGrid>
            <w:tr w:rsidR="00C57D2E" w:rsidRPr="00166A39" w14:paraId="0EED2804" w14:textId="77777777" w:rsidTr="00C57D2E">
              <w:trPr>
                <w:cantSplit/>
                <w:trHeight w:val="922"/>
              </w:trPr>
              <w:tc>
                <w:tcPr>
                  <w:tcW w:w="425" w:type="dxa"/>
                  <w:textDirection w:val="btLr"/>
                </w:tcPr>
                <w:p w14:paraId="0341FD4C" w14:textId="77777777" w:rsidR="00C57D2E" w:rsidRPr="00166A39" w:rsidRDefault="00C57D2E" w:rsidP="00C57D2E">
                  <w:pPr>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central</w:t>
                  </w:r>
                </w:p>
              </w:tc>
              <w:tc>
                <w:tcPr>
                  <w:tcW w:w="426" w:type="dxa"/>
                  <w:textDirection w:val="btLr"/>
                </w:tcPr>
                <w:p w14:paraId="159EFA18" w14:textId="77777777"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r>
          </w:tbl>
          <w:p w14:paraId="690370F7" w14:textId="421D627F"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p>
        </w:tc>
        <w:tc>
          <w:tcPr>
            <w:tcW w:w="425" w:type="dxa"/>
            <w:textDirection w:val="btLr"/>
          </w:tcPr>
          <w:tbl>
            <w:tblPr>
              <w:tblpPr w:leftFromText="180" w:rightFromText="180" w:vertAnchor="text"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C57D2E" w:rsidRPr="00166A39" w14:paraId="4656F4EC" w14:textId="77777777" w:rsidTr="00C57D2E">
              <w:trPr>
                <w:cantSplit/>
                <w:trHeight w:val="922"/>
              </w:trPr>
              <w:tc>
                <w:tcPr>
                  <w:tcW w:w="426" w:type="dxa"/>
                  <w:textDirection w:val="btLr"/>
                </w:tcPr>
                <w:p w14:paraId="3238C128" w14:textId="77777777"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r w:rsidRPr="00166A39">
                    <w:rPr>
                      <w:rFonts w:asciiTheme="minorHAnsi" w:hAnsiTheme="minorHAnsi" w:cstheme="minorHAnsi"/>
                      <w:b/>
                      <w:sz w:val="16"/>
                      <w:szCs w:val="16"/>
                    </w:rPr>
                    <w:t>local</w:t>
                  </w:r>
                </w:p>
              </w:tc>
            </w:tr>
            <w:tr w:rsidR="00C57D2E" w:rsidRPr="00166A39" w14:paraId="1A7CDC1F" w14:textId="77777777" w:rsidTr="00C57D2E">
              <w:tc>
                <w:tcPr>
                  <w:tcW w:w="426" w:type="dxa"/>
                  <w:shd w:val="clear" w:color="auto" w:fill="auto"/>
                </w:tcPr>
                <w:p w14:paraId="10FECFF6" w14:textId="77777777" w:rsidR="00C57D2E" w:rsidRPr="00166A39" w:rsidRDefault="00C57D2E" w:rsidP="00C57D2E">
                  <w:pPr>
                    <w:jc w:val="center"/>
                    <w:rPr>
                      <w:b/>
                      <w:sz w:val="14"/>
                      <w:szCs w:val="14"/>
                    </w:rPr>
                  </w:pPr>
                  <w:r w:rsidRPr="00166A39">
                    <w:rPr>
                      <w:b/>
                      <w:sz w:val="14"/>
                      <w:szCs w:val="14"/>
                    </w:rPr>
                    <w:t>1</w:t>
                  </w:r>
                </w:p>
              </w:tc>
            </w:tr>
          </w:tbl>
          <w:p w14:paraId="44119E94" w14:textId="380F7181" w:rsidR="00C57D2E" w:rsidRPr="00166A39" w:rsidRDefault="00C57D2E" w:rsidP="00C57D2E">
            <w:pPr>
              <w:tabs>
                <w:tab w:val="center" w:pos="4536"/>
                <w:tab w:val="right" w:pos="9072"/>
              </w:tabs>
              <w:ind w:left="113" w:right="113"/>
              <w:jc w:val="both"/>
              <w:rPr>
                <w:rFonts w:asciiTheme="minorHAnsi" w:hAnsiTheme="minorHAnsi" w:cstheme="minorHAnsi"/>
                <w:b/>
                <w:sz w:val="16"/>
                <w:szCs w:val="16"/>
              </w:rPr>
            </w:pPr>
          </w:p>
        </w:tc>
      </w:tr>
      <w:tr w:rsidR="00C57D2E" w:rsidRPr="00166A39" w14:paraId="566E7A0C" w14:textId="77777777" w:rsidTr="00166EF7">
        <w:tc>
          <w:tcPr>
            <w:tcW w:w="738" w:type="dxa"/>
            <w:shd w:val="clear" w:color="auto" w:fill="auto"/>
          </w:tcPr>
          <w:p w14:paraId="7F7F63AF" w14:textId="77777777" w:rsidR="00C57D2E" w:rsidRPr="0067797F" w:rsidRDefault="00C57D2E" w:rsidP="00C57D2E">
            <w:pPr>
              <w:rPr>
                <w:b/>
                <w:sz w:val="16"/>
                <w:szCs w:val="16"/>
              </w:rPr>
            </w:pPr>
            <w:r w:rsidRPr="0067797F">
              <w:rPr>
                <w:b/>
                <w:sz w:val="16"/>
                <w:szCs w:val="16"/>
              </w:rPr>
              <w:t>Nr. de contracte înregistrate anual</w:t>
            </w:r>
          </w:p>
        </w:tc>
        <w:tc>
          <w:tcPr>
            <w:tcW w:w="425" w:type="dxa"/>
            <w:shd w:val="clear" w:color="auto" w:fill="auto"/>
          </w:tcPr>
          <w:p w14:paraId="55202D7B" w14:textId="77777777" w:rsidR="00C57D2E" w:rsidRPr="00166A39" w:rsidRDefault="00C57D2E" w:rsidP="00C57D2E">
            <w:pPr>
              <w:jc w:val="center"/>
              <w:rPr>
                <w:b/>
                <w:sz w:val="14"/>
                <w:szCs w:val="14"/>
              </w:rPr>
            </w:pPr>
            <w:r w:rsidRPr="00166A39">
              <w:rPr>
                <w:b/>
                <w:sz w:val="14"/>
                <w:szCs w:val="14"/>
              </w:rPr>
              <w:t>12</w:t>
            </w:r>
          </w:p>
        </w:tc>
        <w:tc>
          <w:tcPr>
            <w:tcW w:w="425" w:type="dxa"/>
            <w:shd w:val="clear" w:color="auto" w:fill="auto"/>
          </w:tcPr>
          <w:p w14:paraId="4E7D99BB" w14:textId="77777777" w:rsidR="00C57D2E" w:rsidRPr="00166A39" w:rsidRDefault="00C57D2E" w:rsidP="00C57D2E">
            <w:pPr>
              <w:jc w:val="center"/>
              <w:rPr>
                <w:b/>
                <w:sz w:val="14"/>
                <w:szCs w:val="14"/>
              </w:rPr>
            </w:pPr>
            <w:r w:rsidRPr="00166A39">
              <w:rPr>
                <w:b/>
                <w:sz w:val="14"/>
                <w:szCs w:val="14"/>
              </w:rPr>
              <w:t>1</w:t>
            </w:r>
          </w:p>
        </w:tc>
        <w:tc>
          <w:tcPr>
            <w:tcW w:w="426" w:type="dxa"/>
            <w:shd w:val="clear" w:color="auto" w:fill="auto"/>
          </w:tcPr>
          <w:p w14:paraId="437F70CD" w14:textId="77777777" w:rsidR="00C57D2E" w:rsidRPr="00166A39" w:rsidRDefault="00C57D2E" w:rsidP="00C57D2E">
            <w:pPr>
              <w:jc w:val="center"/>
              <w:rPr>
                <w:b/>
                <w:sz w:val="14"/>
                <w:szCs w:val="14"/>
              </w:rPr>
            </w:pPr>
            <w:r w:rsidRPr="00166A39">
              <w:rPr>
                <w:b/>
                <w:sz w:val="14"/>
                <w:szCs w:val="14"/>
              </w:rPr>
              <w:t>11</w:t>
            </w:r>
          </w:p>
        </w:tc>
        <w:tc>
          <w:tcPr>
            <w:tcW w:w="425" w:type="dxa"/>
            <w:shd w:val="clear" w:color="auto" w:fill="auto"/>
          </w:tcPr>
          <w:p w14:paraId="0B174876" w14:textId="77777777" w:rsidR="00C57D2E" w:rsidRPr="001C5FC7" w:rsidRDefault="00C57D2E" w:rsidP="00C57D2E">
            <w:pPr>
              <w:jc w:val="center"/>
              <w:rPr>
                <w:rFonts w:asciiTheme="minorHAnsi" w:hAnsiTheme="minorHAnsi" w:cstheme="minorHAnsi"/>
                <w:b/>
                <w:sz w:val="20"/>
                <w:szCs w:val="20"/>
              </w:rPr>
            </w:pPr>
            <w:r w:rsidRPr="001C5FC7">
              <w:rPr>
                <w:rFonts w:asciiTheme="minorHAnsi" w:hAnsiTheme="minorHAnsi" w:cstheme="minorHAnsi"/>
                <w:b/>
                <w:sz w:val="20"/>
                <w:szCs w:val="20"/>
              </w:rPr>
              <w:t>34</w:t>
            </w:r>
          </w:p>
        </w:tc>
        <w:tc>
          <w:tcPr>
            <w:tcW w:w="425" w:type="dxa"/>
            <w:shd w:val="clear" w:color="auto" w:fill="auto"/>
          </w:tcPr>
          <w:p w14:paraId="17437E22" w14:textId="77777777" w:rsidR="00C57D2E" w:rsidRPr="001C5FC7" w:rsidRDefault="00C57D2E" w:rsidP="00C57D2E">
            <w:pPr>
              <w:jc w:val="center"/>
              <w:rPr>
                <w:rFonts w:asciiTheme="minorHAnsi" w:hAnsiTheme="minorHAnsi" w:cstheme="minorHAnsi"/>
                <w:b/>
                <w:sz w:val="20"/>
                <w:szCs w:val="20"/>
              </w:rPr>
            </w:pPr>
            <w:r w:rsidRPr="001C5FC7">
              <w:rPr>
                <w:rFonts w:asciiTheme="minorHAnsi" w:hAnsiTheme="minorHAnsi" w:cstheme="minorHAnsi"/>
                <w:b/>
                <w:sz w:val="20"/>
                <w:szCs w:val="20"/>
              </w:rPr>
              <w:t>0</w:t>
            </w:r>
          </w:p>
        </w:tc>
        <w:tc>
          <w:tcPr>
            <w:tcW w:w="425" w:type="dxa"/>
            <w:shd w:val="clear" w:color="auto" w:fill="auto"/>
          </w:tcPr>
          <w:p w14:paraId="134A98B9" w14:textId="77777777" w:rsidR="00C57D2E" w:rsidRPr="001C5FC7" w:rsidRDefault="00C57D2E" w:rsidP="00C57D2E">
            <w:pPr>
              <w:jc w:val="center"/>
              <w:rPr>
                <w:rFonts w:asciiTheme="minorHAnsi" w:hAnsiTheme="minorHAnsi" w:cstheme="minorHAnsi"/>
                <w:b/>
                <w:sz w:val="20"/>
                <w:szCs w:val="20"/>
              </w:rPr>
            </w:pPr>
            <w:r w:rsidRPr="001C5FC7">
              <w:rPr>
                <w:rFonts w:asciiTheme="minorHAnsi" w:hAnsiTheme="minorHAnsi" w:cstheme="minorHAnsi"/>
                <w:b/>
                <w:sz w:val="20"/>
                <w:szCs w:val="20"/>
              </w:rPr>
              <w:t>34</w:t>
            </w:r>
          </w:p>
        </w:tc>
        <w:tc>
          <w:tcPr>
            <w:tcW w:w="284" w:type="dxa"/>
            <w:shd w:val="clear" w:color="auto" w:fill="auto"/>
          </w:tcPr>
          <w:p w14:paraId="2FD1B7CA" w14:textId="77777777" w:rsidR="00C57D2E" w:rsidRPr="00166A39" w:rsidRDefault="00C57D2E" w:rsidP="00C57D2E">
            <w:pPr>
              <w:jc w:val="center"/>
              <w:rPr>
                <w:b/>
                <w:sz w:val="14"/>
                <w:szCs w:val="14"/>
              </w:rPr>
            </w:pPr>
            <w:r w:rsidRPr="00166A39">
              <w:rPr>
                <w:b/>
                <w:sz w:val="14"/>
                <w:szCs w:val="14"/>
              </w:rPr>
              <w:t>5</w:t>
            </w:r>
          </w:p>
        </w:tc>
        <w:tc>
          <w:tcPr>
            <w:tcW w:w="283" w:type="dxa"/>
            <w:shd w:val="clear" w:color="auto" w:fill="auto"/>
          </w:tcPr>
          <w:p w14:paraId="1B849E45" w14:textId="77777777" w:rsidR="00C57D2E" w:rsidRPr="00166A39" w:rsidRDefault="00C57D2E" w:rsidP="00C57D2E">
            <w:pPr>
              <w:jc w:val="center"/>
              <w:rPr>
                <w:b/>
                <w:sz w:val="14"/>
                <w:szCs w:val="14"/>
              </w:rPr>
            </w:pPr>
            <w:r w:rsidRPr="00166A39">
              <w:rPr>
                <w:b/>
                <w:sz w:val="14"/>
                <w:szCs w:val="14"/>
              </w:rPr>
              <w:t>1</w:t>
            </w:r>
          </w:p>
        </w:tc>
        <w:tc>
          <w:tcPr>
            <w:tcW w:w="284" w:type="dxa"/>
            <w:shd w:val="clear" w:color="auto" w:fill="auto"/>
          </w:tcPr>
          <w:p w14:paraId="49B88765" w14:textId="77777777" w:rsidR="00C57D2E" w:rsidRPr="00166A39" w:rsidRDefault="00C57D2E" w:rsidP="00C57D2E">
            <w:pPr>
              <w:jc w:val="center"/>
              <w:rPr>
                <w:b/>
                <w:sz w:val="14"/>
                <w:szCs w:val="14"/>
              </w:rPr>
            </w:pPr>
            <w:r w:rsidRPr="00166A39">
              <w:rPr>
                <w:b/>
                <w:sz w:val="14"/>
                <w:szCs w:val="14"/>
              </w:rPr>
              <w:t>4</w:t>
            </w:r>
          </w:p>
        </w:tc>
        <w:tc>
          <w:tcPr>
            <w:tcW w:w="425" w:type="dxa"/>
            <w:shd w:val="clear" w:color="auto" w:fill="auto"/>
          </w:tcPr>
          <w:p w14:paraId="472F0EB9" w14:textId="77777777" w:rsidR="00C57D2E" w:rsidRPr="00166A39" w:rsidRDefault="00C57D2E" w:rsidP="00C57D2E">
            <w:pPr>
              <w:jc w:val="center"/>
              <w:rPr>
                <w:b/>
                <w:sz w:val="14"/>
                <w:szCs w:val="14"/>
              </w:rPr>
            </w:pPr>
            <w:r w:rsidRPr="00166A39">
              <w:rPr>
                <w:b/>
                <w:sz w:val="14"/>
                <w:szCs w:val="14"/>
              </w:rPr>
              <w:t>15</w:t>
            </w:r>
          </w:p>
        </w:tc>
        <w:tc>
          <w:tcPr>
            <w:tcW w:w="284" w:type="dxa"/>
            <w:shd w:val="clear" w:color="auto" w:fill="auto"/>
          </w:tcPr>
          <w:p w14:paraId="7354B1A9" w14:textId="77777777" w:rsidR="00C57D2E" w:rsidRPr="00166A39" w:rsidRDefault="00C57D2E" w:rsidP="00C57D2E">
            <w:pPr>
              <w:jc w:val="center"/>
              <w:rPr>
                <w:b/>
                <w:sz w:val="14"/>
                <w:szCs w:val="14"/>
              </w:rPr>
            </w:pPr>
            <w:r w:rsidRPr="00166A39">
              <w:rPr>
                <w:b/>
                <w:sz w:val="14"/>
                <w:szCs w:val="14"/>
              </w:rPr>
              <w:t>4</w:t>
            </w:r>
          </w:p>
        </w:tc>
        <w:tc>
          <w:tcPr>
            <w:tcW w:w="425" w:type="dxa"/>
            <w:shd w:val="clear" w:color="auto" w:fill="auto"/>
          </w:tcPr>
          <w:p w14:paraId="13309429" w14:textId="77777777" w:rsidR="00C57D2E" w:rsidRPr="00166A39" w:rsidRDefault="00C57D2E" w:rsidP="00C57D2E">
            <w:pPr>
              <w:jc w:val="center"/>
              <w:rPr>
                <w:b/>
                <w:sz w:val="14"/>
                <w:szCs w:val="14"/>
              </w:rPr>
            </w:pPr>
            <w:r w:rsidRPr="00166A39">
              <w:rPr>
                <w:b/>
                <w:sz w:val="14"/>
                <w:szCs w:val="14"/>
              </w:rPr>
              <w:t>11</w:t>
            </w:r>
          </w:p>
        </w:tc>
        <w:tc>
          <w:tcPr>
            <w:tcW w:w="425" w:type="dxa"/>
            <w:shd w:val="clear" w:color="auto" w:fill="auto"/>
          </w:tcPr>
          <w:p w14:paraId="49B0B4CC" w14:textId="77777777" w:rsidR="00C57D2E" w:rsidRPr="00166A39" w:rsidRDefault="00C57D2E" w:rsidP="00C57D2E">
            <w:pPr>
              <w:jc w:val="center"/>
              <w:rPr>
                <w:b/>
                <w:sz w:val="14"/>
                <w:szCs w:val="14"/>
              </w:rPr>
            </w:pPr>
            <w:r w:rsidRPr="00166A39">
              <w:rPr>
                <w:b/>
                <w:sz w:val="14"/>
                <w:szCs w:val="14"/>
              </w:rPr>
              <w:t>4</w:t>
            </w:r>
          </w:p>
        </w:tc>
        <w:tc>
          <w:tcPr>
            <w:tcW w:w="425" w:type="dxa"/>
            <w:shd w:val="clear" w:color="auto" w:fill="auto"/>
          </w:tcPr>
          <w:p w14:paraId="1B14D007" w14:textId="77777777" w:rsidR="00C57D2E" w:rsidRPr="00166A39" w:rsidRDefault="00C57D2E" w:rsidP="00C57D2E">
            <w:pPr>
              <w:jc w:val="center"/>
              <w:rPr>
                <w:b/>
                <w:sz w:val="14"/>
                <w:szCs w:val="14"/>
              </w:rPr>
            </w:pPr>
            <w:r w:rsidRPr="00166A39">
              <w:rPr>
                <w:b/>
                <w:sz w:val="14"/>
                <w:szCs w:val="14"/>
              </w:rPr>
              <w:t>1</w:t>
            </w:r>
          </w:p>
        </w:tc>
        <w:tc>
          <w:tcPr>
            <w:tcW w:w="284" w:type="dxa"/>
            <w:shd w:val="clear" w:color="auto" w:fill="auto"/>
          </w:tcPr>
          <w:p w14:paraId="087D4ED3" w14:textId="77777777" w:rsidR="00C57D2E" w:rsidRPr="00166A39" w:rsidRDefault="00C57D2E" w:rsidP="00C57D2E">
            <w:pPr>
              <w:jc w:val="center"/>
              <w:rPr>
                <w:b/>
                <w:sz w:val="14"/>
                <w:szCs w:val="14"/>
              </w:rPr>
            </w:pPr>
            <w:r w:rsidRPr="00166A39">
              <w:rPr>
                <w:b/>
                <w:sz w:val="14"/>
                <w:szCs w:val="14"/>
              </w:rPr>
              <w:t>3</w:t>
            </w:r>
          </w:p>
        </w:tc>
        <w:tc>
          <w:tcPr>
            <w:tcW w:w="425" w:type="dxa"/>
            <w:shd w:val="clear" w:color="auto" w:fill="auto"/>
          </w:tcPr>
          <w:p w14:paraId="4A45A38F" w14:textId="77777777" w:rsidR="00C57D2E" w:rsidRPr="00166A39" w:rsidRDefault="00C57D2E" w:rsidP="00C57D2E">
            <w:pPr>
              <w:jc w:val="center"/>
              <w:rPr>
                <w:b/>
                <w:sz w:val="14"/>
                <w:szCs w:val="14"/>
              </w:rPr>
            </w:pPr>
            <w:r w:rsidRPr="00166A39">
              <w:rPr>
                <w:b/>
                <w:sz w:val="14"/>
                <w:szCs w:val="14"/>
              </w:rPr>
              <w:t>2</w:t>
            </w:r>
          </w:p>
        </w:tc>
        <w:tc>
          <w:tcPr>
            <w:tcW w:w="425" w:type="dxa"/>
            <w:shd w:val="clear" w:color="auto" w:fill="auto"/>
          </w:tcPr>
          <w:p w14:paraId="6CA0738C" w14:textId="77777777" w:rsidR="00C57D2E" w:rsidRPr="00166A39" w:rsidRDefault="00C57D2E" w:rsidP="00C57D2E">
            <w:pPr>
              <w:jc w:val="center"/>
              <w:rPr>
                <w:b/>
                <w:sz w:val="14"/>
                <w:szCs w:val="14"/>
              </w:rPr>
            </w:pPr>
            <w:r w:rsidRPr="00166A39">
              <w:rPr>
                <w:b/>
                <w:sz w:val="14"/>
                <w:szCs w:val="14"/>
              </w:rPr>
              <w:t>1</w:t>
            </w:r>
          </w:p>
        </w:tc>
        <w:tc>
          <w:tcPr>
            <w:tcW w:w="426" w:type="dxa"/>
            <w:shd w:val="clear" w:color="auto" w:fill="auto"/>
          </w:tcPr>
          <w:p w14:paraId="627DB074" w14:textId="77777777" w:rsidR="00C57D2E" w:rsidRPr="00166A39" w:rsidRDefault="00C57D2E" w:rsidP="00C57D2E">
            <w:pPr>
              <w:jc w:val="center"/>
              <w:rPr>
                <w:b/>
                <w:sz w:val="14"/>
                <w:szCs w:val="14"/>
              </w:rPr>
            </w:pPr>
            <w:r w:rsidRPr="00166A39">
              <w:rPr>
                <w:b/>
                <w:sz w:val="14"/>
                <w:szCs w:val="14"/>
              </w:rPr>
              <w:t>1</w:t>
            </w:r>
          </w:p>
        </w:tc>
        <w:tc>
          <w:tcPr>
            <w:tcW w:w="425" w:type="dxa"/>
          </w:tcPr>
          <w:p w14:paraId="70B469CD" w14:textId="49B1B28F" w:rsidR="00C57D2E" w:rsidRPr="00166A39" w:rsidRDefault="00C57D2E" w:rsidP="00C57D2E">
            <w:pPr>
              <w:jc w:val="center"/>
              <w:rPr>
                <w:b/>
                <w:sz w:val="14"/>
                <w:szCs w:val="14"/>
              </w:rPr>
            </w:pPr>
            <w:r w:rsidRPr="00166A39">
              <w:rPr>
                <w:b/>
                <w:sz w:val="14"/>
                <w:szCs w:val="14"/>
              </w:rPr>
              <w:t>4</w:t>
            </w:r>
          </w:p>
        </w:tc>
        <w:tc>
          <w:tcPr>
            <w:tcW w:w="283" w:type="dxa"/>
          </w:tcPr>
          <w:p w14:paraId="74657703" w14:textId="4B98ABDF" w:rsidR="00C57D2E" w:rsidRPr="00166A39" w:rsidRDefault="00C57D2E" w:rsidP="00C57D2E">
            <w:pPr>
              <w:jc w:val="center"/>
              <w:rPr>
                <w:b/>
                <w:sz w:val="14"/>
                <w:szCs w:val="14"/>
              </w:rPr>
            </w:pPr>
            <w:r w:rsidRPr="00166A39">
              <w:rPr>
                <w:b/>
                <w:sz w:val="14"/>
                <w:szCs w:val="14"/>
              </w:rPr>
              <w:t>1</w:t>
            </w:r>
          </w:p>
        </w:tc>
        <w:tc>
          <w:tcPr>
            <w:tcW w:w="284" w:type="dxa"/>
          </w:tcPr>
          <w:p w14:paraId="40883C2E" w14:textId="59979315" w:rsidR="00C57D2E" w:rsidRPr="00166A39" w:rsidRDefault="00C57D2E" w:rsidP="00C57D2E">
            <w:pPr>
              <w:jc w:val="center"/>
              <w:rPr>
                <w:b/>
                <w:sz w:val="14"/>
                <w:szCs w:val="14"/>
              </w:rPr>
            </w:pPr>
            <w:r w:rsidRPr="00166A39">
              <w:rPr>
                <w:b/>
                <w:sz w:val="14"/>
                <w:szCs w:val="14"/>
              </w:rPr>
              <w:t>3</w:t>
            </w:r>
          </w:p>
        </w:tc>
        <w:tc>
          <w:tcPr>
            <w:tcW w:w="425" w:type="dxa"/>
            <w:shd w:val="clear" w:color="auto" w:fill="auto"/>
          </w:tcPr>
          <w:p w14:paraId="0AE72FE1" w14:textId="40B02CAE" w:rsidR="00C57D2E" w:rsidRPr="00166A39" w:rsidRDefault="00C57D2E" w:rsidP="00C57D2E">
            <w:pPr>
              <w:jc w:val="center"/>
              <w:rPr>
                <w:b/>
                <w:sz w:val="14"/>
                <w:szCs w:val="14"/>
              </w:rPr>
            </w:pPr>
            <w:r>
              <w:rPr>
                <w:b/>
                <w:sz w:val="14"/>
                <w:szCs w:val="14"/>
              </w:rPr>
              <w:t>6</w:t>
            </w:r>
          </w:p>
        </w:tc>
        <w:tc>
          <w:tcPr>
            <w:tcW w:w="567" w:type="dxa"/>
            <w:shd w:val="clear" w:color="auto" w:fill="auto"/>
          </w:tcPr>
          <w:p w14:paraId="62248721" w14:textId="455E5F60" w:rsidR="00C57D2E" w:rsidRPr="00166A39" w:rsidRDefault="00C57D2E" w:rsidP="00C57D2E">
            <w:pPr>
              <w:jc w:val="center"/>
              <w:rPr>
                <w:b/>
                <w:sz w:val="14"/>
                <w:szCs w:val="14"/>
              </w:rPr>
            </w:pPr>
            <w:r>
              <w:rPr>
                <w:b/>
                <w:sz w:val="14"/>
                <w:szCs w:val="14"/>
              </w:rPr>
              <w:t>4</w:t>
            </w:r>
          </w:p>
        </w:tc>
        <w:tc>
          <w:tcPr>
            <w:tcW w:w="425" w:type="dxa"/>
            <w:shd w:val="clear" w:color="auto" w:fill="auto"/>
          </w:tcPr>
          <w:p w14:paraId="2E60E644" w14:textId="369C9C90" w:rsidR="00C57D2E" w:rsidRPr="00166A39" w:rsidRDefault="00C57D2E" w:rsidP="00C57D2E">
            <w:pPr>
              <w:rPr>
                <w:b/>
                <w:sz w:val="14"/>
                <w:szCs w:val="14"/>
              </w:rPr>
            </w:pPr>
            <w:r>
              <w:rPr>
                <w:b/>
                <w:sz w:val="14"/>
                <w:szCs w:val="14"/>
              </w:rPr>
              <w:t>2</w:t>
            </w:r>
          </w:p>
        </w:tc>
      </w:tr>
    </w:tbl>
    <w:p w14:paraId="674CF2CD" w14:textId="4A39C460" w:rsidR="00F36622" w:rsidRPr="00FB0BE5" w:rsidRDefault="00816238" w:rsidP="00F36622">
      <w:pPr>
        <w:ind w:firstLine="360"/>
        <w:jc w:val="both"/>
        <w:rPr>
          <w:rFonts w:asciiTheme="minorHAnsi" w:hAnsiTheme="minorHAnsi" w:cstheme="minorHAnsi"/>
          <w:i/>
          <w:sz w:val="16"/>
          <w:szCs w:val="16"/>
        </w:rPr>
      </w:pPr>
      <w:r w:rsidRPr="00166A39">
        <w:rPr>
          <w:rFonts w:asciiTheme="minorHAnsi" w:hAnsiTheme="minorHAnsi" w:cstheme="minorHAnsi"/>
          <w:i/>
          <w:sz w:val="16"/>
          <w:szCs w:val="16"/>
        </w:rPr>
        <w:t xml:space="preserve">*sursa: </w:t>
      </w:r>
      <w:r w:rsidR="00ED74E9" w:rsidRPr="00166A39">
        <w:rPr>
          <w:rFonts w:asciiTheme="minorHAnsi" w:hAnsiTheme="minorHAnsi" w:cstheme="minorHAnsi"/>
          <w:i/>
          <w:sz w:val="16"/>
          <w:szCs w:val="16"/>
        </w:rPr>
        <w:t>Agenția</w:t>
      </w:r>
      <w:r w:rsidR="007D4CBC">
        <w:rPr>
          <w:rFonts w:asciiTheme="minorHAnsi" w:hAnsiTheme="minorHAnsi" w:cstheme="minorHAnsi"/>
          <w:i/>
          <w:sz w:val="16"/>
          <w:szCs w:val="16"/>
        </w:rPr>
        <w:t xml:space="preserve"> </w:t>
      </w:r>
      <w:r w:rsidRPr="00166A39">
        <w:rPr>
          <w:rFonts w:asciiTheme="minorHAnsi" w:hAnsiTheme="minorHAnsi" w:cstheme="minorHAnsi"/>
          <w:i/>
          <w:sz w:val="16"/>
          <w:szCs w:val="16"/>
        </w:rPr>
        <w:t>Propriet</w:t>
      </w:r>
      <w:r w:rsidR="00ED74E9" w:rsidRPr="00166A39">
        <w:rPr>
          <w:rFonts w:asciiTheme="minorHAnsi" w:hAnsiTheme="minorHAnsi" w:cstheme="minorHAnsi"/>
          <w:i/>
          <w:sz w:val="16"/>
          <w:szCs w:val="16"/>
        </w:rPr>
        <w:t>ății</w:t>
      </w:r>
      <w:r w:rsidRPr="00166A39">
        <w:rPr>
          <w:rFonts w:asciiTheme="minorHAnsi" w:hAnsiTheme="minorHAnsi" w:cstheme="minorHAnsi"/>
          <w:i/>
          <w:sz w:val="16"/>
          <w:szCs w:val="16"/>
        </w:rPr>
        <w:t xml:space="preserve"> Publice</w:t>
      </w:r>
    </w:p>
    <w:p w14:paraId="6DC04BC9" w14:textId="77777777" w:rsidR="00F36622" w:rsidRPr="00FB0BE5" w:rsidRDefault="00F36622" w:rsidP="00F36622">
      <w:pPr>
        <w:ind w:firstLine="360"/>
        <w:jc w:val="both"/>
        <w:rPr>
          <w:rFonts w:asciiTheme="minorHAnsi" w:hAnsiTheme="minorHAnsi" w:cstheme="minorHAnsi"/>
          <w:i/>
          <w:sz w:val="16"/>
          <w:szCs w:val="16"/>
        </w:rPr>
      </w:pPr>
    </w:p>
    <w:p w14:paraId="05285E00" w14:textId="77777777" w:rsidR="000C55B9" w:rsidRPr="00FB0BE5" w:rsidRDefault="000552FE" w:rsidP="003A55C8">
      <w:pPr>
        <w:ind w:firstLine="567"/>
        <w:jc w:val="both"/>
        <w:rPr>
          <w:rFonts w:asciiTheme="minorHAnsi" w:hAnsiTheme="minorHAnsi" w:cstheme="minorHAnsi"/>
        </w:rPr>
      </w:pPr>
      <w:r w:rsidRPr="00FB0BE5">
        <w:rPr>
          <w:rFonts w:asciiTheme="minorHAnsi" w:hAnsiTheme="minorHAnsi" w:cstheme="minorHAnsi"/>
        </w:rPr>
        <w:t>Parteneriatele public-private au devenit tot mai populare în ultimii ani, mai ales cele încheiate la nivel local</w:t>
      </w:r>
      <w:r w:rsidR="000C55B9" w:rsidRPr="00FB0BE5">
        <w:rPr>
          <w:rFonts w:asciiTheme="minorHAnsi" w:hAnsiTheme="minorHAnsi" w:cstheme="minorHAnsi"/>
        </w:rPr>
        <w:t>.</w:t>
      </w:r>
    </w:p>
    <w:p w14:paraId="78AAE2C4" w14:textId="57CC3CBB" w:rsidR="0038390D" w:rsidRPr="00FB0BE5" w:rsidRDefault="00816238" w:rsidP="003A55C8">
      <w:pPr>
        <w:ind w:firstLine="567"/>
        <w:jc w:val="both"/>
        <w:rPr>
          <w:rFonts w:asciiTheme="minorHAnsi" w:hAnsiTheme="minorHAnsi" w:cstheme="minorHAnsi"/>
        </w:rPr>
      </w:pPr>
      <w:r w:rsidRPr="00166A39">
        <w:rPr>
          <w:rFonts w:asciiTheme="minorHAnsi" w:hAnsiTheme="minorHAnsi" w:cstheme="minorHAnsi"/>
        </w:rPr>
        <w:t>La momentul actual</w:t>
      </w:r>
      <w:r w:rsidR="00861423" w:rsidRPr="00166A39">
        <w:rPr>
          <w:rFonts w:asciiTheme="minorHAnsi" w:hAnsiTheme="minorHAnsi" w:cstheme="minorHAnsi"/>
        </w:rPr>
        <w:t>,</w:t>
      </w:r>
      <w:r w:rsidRPr="00166A39">
        <w:rPr>
          <w:rFonts w:asciiTheme="minorHAnsi" w:hAnsiTheme="minorHAnsi" w:cstheme="minorHAnsi"/>
        </w:rPr>
        <w:t xml:space="preserve"> de către Agenția Proprietăți</w:t>
      </w:r>
      <w:r w:rsidR="00861423" w:rsidRPr="00166A39">
        <w:rPr>
          <w:rFonts w:asciiTheme="minorHAnsi" w:hAnsiTheme="minorHAnsi" w:cstheme="minorHAnsi"/>
        </w:rPr>
        <w:t>i</w:t>
      </w:r>
      <w:r w:rsidRPr="00166A39">
        <w:rPr>
          <w:rFonts w:asciiTheme="minorHAnsi" w:hAnsiTheme="minorHAnsi" w:cstheme="minorHAnsi"/>
        </w:rPr>
        <w:t xml:space="preserve"> Publice sunt monitorizare </w:t>
      </w:r>
      <w:r w:rsidR="007A1824" w:rsidRPr="00166A39">
        <w:rPr>
          <w:rFonts w:asciiTheme="minorHAnsi" w:hAnsiTheme="minorHAnsi" w:cstheme="minorHAnsi"/>
        </w:rPr>
        <w:t xml:space="preserve">82 </w:t>
      </w:r>
      <w:r w:rsidRPr="00166A39">
        <w:rPr>
          <w:rFonts w:asciiTheme="minorHAnsi" w:hAnsiTheme="minorHAnsi" w:cstheme="minorHAnsi"/>
        </w:rPr>
        <w:t xml:space="preserve">de contracte PPP, dintre care </w:t>
      </w:r>
      <w:r w:rsidR="007A1824" w:rsidRPr="00166A39">
        <w:rPr>
          <w:rFonts w:asciiTheme="minorHAnsi" w:hAnsiTheme="minorHAnsi" w:cstheme="minorHAnsi"/>
        </w:rPr>
        <w:t>13</w:t>
      </w:r>
      <w:r w:rsidRPr="00166A39">
        <w:rPr>
          <w:rFonts w:asciiTheme="minorHAnsi" w:hAnsiTheme="minorHAnsi" w:cstheme="minorHAnsi"/>
        </w:rPr>
        <w:t xml:space="preserve"> la nivel central și </w:t>
      </w:r>
      <w:r w:rsidR="007A1824" w:rsidRPr="00166A39">
        <w:rPr>
          <w:rFonts w:asciiTheme="minorHAnsi" w:hAnsiTheme="minorHAnsi" w:cstheme="minorHAnsi"/>
        </w:rPr>
        <w:t xml:space="preserve">69 </w:t>
      </w:r>
      <w:r w:rsidRPr="00166A39">
        <w:rPr>
          <w:rFonts w:asciiTheme="minorHAnsi" w:hAnsiTheme="minorHAnsi" w:cstheme="minorHAnsi"/>
        </w:rPr>
        <w:t>la nivel local, o parte de contracte fiind suspendate</w:t>
      </w:r>
      <w:r w:rsidR="0038390D" w:rsidRPr="00166A39">
        <w:rPr>
          <w:rFonts w:asciiTheme="minorHAnsi" w:hAnsiTheme="minorHAnsi" w:cstheme="minorHAnsi"/>
        </w:rPr>
        <w:t>.</w:t>
      </w:r>
      <w:r w:rsidR="0038390D" w:rsidRPr="00FB0BE5">
        <w:rPr>
          <w:rFonts w:asciiTheme="minorHAnsi" w:hAnsiTheme="minorHAnsi" w:cstheme="minorHAnsi"/>
        </w:rPr>
        <w:t xml:space="preserve"> </w:t>
      </w:r>
    </w:p>
    <w:p w14:paraId="4ECA5EF5" w14:textId="3EBBC3C9" w:rsidR="00F36622" w:rsidRPr="00FB0BE5" w:rsidRDefault="00861423" w:rsidP="003A55C8">
      <w:pPr>
        <w:ind w:firstLine="567"/>
        <w:jc w:val="both"/>
        <w:rPr>
          <w:rFonts w:asciiTheme="minorHAnsi" w:hAnsiTheme="minorHAnsi" w:cstheme="minorHAnsi"/>
        </w:rPr>
      </w:pPr>
      <w:r w:rsidRPr="00FB0BE5">
        <w:rPr>
          <w:rFonts w:asciiTheme="minorHAnsi" w:hAnsiTheme="minorHAnsi" w:cstheme="minorHAnsi"/>
        </w:rPr>
        <w:t>La nivelul central domeniile î</w:t>
      </w:r>
      <w:r w:rsidR="00816238" w:rsidRPr="00FB0BE5">
        <w:rPr>
          <w:rFonts w:asciiTheme="minorHAnsi" w:hAnsiTheme="minorHAnsi" w:cstheme="minorHAnsi"/>
        </w:rPr>
        <w:t xml:space="preserve">n care au fost încheiate contractele PPP </w:t>
      </w:r>
      <w:r w:rsidRPr="00FB0BE5">
        <w:rPr>
          <w:rFonts w:asciiTheme="minorHAnsi" w:hAnsiTheme="minorHAnsi" w:cstheme="minorHAnsi"/>
        </w:rPr>
        <w:t>sunt următoarele</w:t>
      </w:r>
      <w:r w:rsidR="00816238" w:rsidRPr="00FB0BE5">
        <w:rPr>
          <w:rFonts w:asciiTheme="minorHAnsi" w:hAnsiTheme="minorHAnsi" w:cstheme="minorHAnsi"/>
        </w:rPr>
        <w:t xml:space="preserve">: construcțiile sociale pentru </w:t>
      </w:r>
      <w:r w:rsidR="0056137A" w:rsidRPr="00FB0BE5">
        <w:rPr>
          <w:rFonts w:asciiTheme="minorHAnsi" w:hAnsiTheme="minorHAnsi" w:cstheme="minorHAnsi"/>
        </w:rPr>
        <w:t xml:space="preserve">angajații din </w:t>
      </w:r>
      <w:r w:rsidR="00816238" w:rsidRPr="00FB0BE5">
        <w:rPr>
          <w:rFonts w:asciiTheme="minorHAnsi" w:hAnsiTheme="minorHAnsi" w:cstheme="minorHAnsi"/>
        </w:rPr>
        <w:t>sectorul bugetar,</w:t>
      </w:r>
      <w:r w:rsidR="001E461A">
        <w:rPr>
          <w:rFonts w:asciiTheme="minorHAnsi" w:hAnsiTheme="minorHAnsi" w:cstheme="minorHAnsi"/>
        </w:rPr>
        <w:t xml:space="preserve"> </w:t>
      </w:r>
      <w:r w:rsidR="00816238" w:rsidRPr="00FB0BE5">
        <w:rPr>
          <w:rFonts w:asciiTheme="minorHAnsi" w:hAnsiTheme="minorHAnsi" w:cstheme="minorHAnsi"/>
        </w:rPr>
        <w:t xml:space="preserve">ocrotirea </w:t>
      </w:r>
      <w:r w:rsidRPr="00FB0BE5">
        <w:rPr>
          <w:rFonts w:asciiTheme="minorHAnsi" w:hAnsiTheme="minorHAnsi" w:cstheme="minorHAnsi"/>
        </w:rPr>
        <w:t>sănătății</w:t>
      </w:r>
      <w:r w:rsidR="00816238" w:rsidRPr="00FB0BE5">
        <w:rPr>
          <w:rFonts w:asciiTheme="minorHAnsi" w:hAnsiTheme="minorHAnsi" w:cstheme="minorHAnsi"/>
        </w:rPr>
        <w:t xml:space="preserve"> (prestare a serviciilor de radiologie și diagnostică imagistică, </w:t>
      </w:r>
      <w:r w:rsidR="00816238" w:rsidRPr="00166A39">
        <w:rPr>
          <w:rFonts w:asciiTheme="minorHAnsi" w:hAnsiTheme="minorHAnsi" w:cstheme="minorHAnsi"/>
        </w:rPr>
        <w:t>serviciilor</w:t>
      </w:r>
      <w:r w:rsidR="001E461A" w:rsidRPr="00166A39">
        <w:rPr>
          <w:rFonts w:asciiTheme="minorHAnsi" w:hAnsiTheme="minorHAnsi" w:cstheme="minorHAnsi"/>
        </w:rPr>
        <w:t xml:space="preserve"> </w:t>
      </w:r>
      <w:r w:rsidR="00816238" w:rsidRPr="00166A39">
        <w:rPr>
          <w:rFonts w:asciiTheme="minorHAnsi" w:hAnsiTheme="minorHAnsi" w:cstheme="minorHAnsi"/>
        </w:rPr>
        <w:t>calitative de hemodializă</w:t>
      </w:r>
      <w:r w:rsidR="00816238" w:rsidRPr="00FB0BE5">
        <w:rPr>
          <w:rFonts w:asciiTheme="minorHAnsi" w:hAnsiTheme="minorHAnsi" w:cstheme="minorHAnsi"/>
        </w:rPr>
        <w:t xml:space="preserve"> </w:t>
      </w:r>
      <w:r w:rsidR="007D4CBC" w:rsidRPr="00FB0BE5">
        <w:rPr>
          <w:rFonts w:asciiTheme="minorHAnsi" w:hAnsiTheme="minorHAnsi" w:cstheme="minorHAnsi"/>
        </w:rPr>
        <w:t>convențională</w:t>
      </w:r>
      <w:r w:rsidR="00816238" w:rsidRPr="00FB0BE5">
        <w:rPr>
          <w:rFonts w:asciiTheme="minorHAnsi" w:hAnsiTheme="minorHAnsi" w:cstheme="minorHAnsi"/>
        </w:rPr>
        <w:t xml:space="preserve"> şi hemofiltrare; </w:t>
      </w:r>
      <w:r w:rsidR="007A1824">
        <w:rPr>
          <w:rFonts w:asciiTheme="minorHAnsi" w:hAnsiTheme="minorHAnsi" w:cstheme="minorHAnsi"/>
        </w:rPr>
        <w:t xml:space="preserve">sport și agrement </w:t>
      </w:r>
      <w:r w:rsidR="00C90433">
        <w:rPr>
          <w:rFonts w:asciiTheme="minorHAnsi" w:hAnsiTheme="minorHAnsi" w:cstheme="minorHAnsi"/>
        </w:rPr>
        <w:t>(</w:t>
      </w:r>
      <w:r w:rsidR="00C90433" w:rsidRPr="00166A39">
        <w:rPr>
          <w:rFonts w:asciiTheme="minorHAnsi" w:hAnsiTheme="minorHAnsi" w:cstheme="minorHAnsi"/>
        </w:rPr>
        <w:t>construcția arenei polivalente de interes național</w:t>
      </w:r>
      <w:r w:rsidR="007A1824">
        <w:rPr>
          <w:rFonts w:asciiTheme="minorHAnsi" w:hAnsiTheme="minorHAnsi" w:cstheme="minorHAnsi"/>
        </w:rPr>
        <w:t xml:space="preserve">), jocuri de noroc, </w:t>
      </w:r>
      <w:r w:rsidR="00816238" w:rsidRPr="00FB0BE5">
        <w:rPr>
          <w:rFonts w:asciiTheme="minorHAnsi" w:hAnsiTheme="minorHAnsi" w:cstheme="minorHAnsi"/>
        </w:rPr>
        <w:t xml:space="preserve">concesiune a activelor aflate în gestiunea Î.S. „Aeroportul </w:t>
      </w:r>
      <w:r w:rsidR="00816238" w:rsidRPr="00FB0BE5">
        <w:rPr>
          <w:rFonts w:asciiTheme="minorHAnsi" w:hAnsiTheme="minorHAnsi" w:cstheme="minorHAnsi"/>
        </w:rPr>
        <w:lastRenderedPageBreak/>
        <w:t xml:space="preserve">Internațional Chișinău” și a terenului aferent acestora; </w:t>
      </w:r>
      <w:r w:rsidR="00816238" w:rsidRPr="00FB0BE5">
        <w:rPr>
          <w:rFonts w:asciiTheme="minorHAnsi" w:hAnsiTheme="minorHAnsi" w:cstheme="minorHAnsi"/>
          <w:bCs/>
        </w:rPr>
        <w:t xml:space="preserve">concesionare </w:t>
      </w:r>
      <w:r w:rsidR="00816238" w:rsidRPr="00FB0BE5">
        <w:rPr>
          <w:rFonts w:asciiTheme="minorHAnsi" w:hAnsiTheme="minorHAnsi" w:cstheme="minorHAnsi"/>
        </w:rPr>
        <w:t>a lucrărilor de explorare geologică a hidrocarburilor pe teritoriul Republicii Moldova.</w:t>
      </w:r>
    </w:p>
    <w:p w14:paraId="44A9AA41" w14:textId="77777777" w:rsidR="00F36622" w:rsidRPr="00FB0BE5" w:rsidRDefault="00816238" w:rsidP="003A55C8">
      <w:pPr>
        <w:ind w:firstLine="567"/>
        <w:jc w:val="both"/>
        <w:rPr>
          <w:rFonts w:asciiTheme="minorHAnsi" w:hAnsiTheme="minorHAnsi" w:cstheme="minorHAnsi"/>
        </w:rPr>
      </w:pPr>
      <w:r w:rsidRPr="00FB0BE5">
        <w:rPr>
          <w:rFonts w:asciiTheme="minorHAnsi" w:hAnsiTheme="minorHAnsi" w:cstheme="minorHAnsi"/>
        </w:rPr>
        <w:t>La nivelul local aceste domenii se refera la servicii de salubritate, aprovizionare cu ap</w:t>
      </w:r>
      <w:r w:rsidR="00861423" w:rsidRPr="00FB0BE5">
        <w:rPr>
          <w:rFonts w:asciiTheme="minorHAnsi" w:hAnsiTheme="minorHAnsi" w:cstheme="minorHAnsi"/>
        </w:rPr>
        <w:t>ă</w:t>
      </w:r>
      <w:r w:rsidRPr="00FB0BE5">
        <w:rPr>
          <w:rFonts w:asciiTheme="minorHAnsi" w:hAnsiTheme="minorHAnsi" w:cstheme="minorHAnsi"/>
        </w:rPr>
        <w:t xml:space="preserve">, </w:t>
      </w:r>
      <w:r w:rsidR="00F36622" w:rsidRPr="00FB0BE5">
        <w:rPr>
          <w:rFonts w:asciiTheme="minorHAnsi" w:hAnsiTheme="minorHAnsi" w:cstheme="minorHAnsi"/>
        </w:rPr>
        <w:t>construcții</w:t>
      </w:r>
      <w:r w:rsidRPr="00FB0BE5">
        <w:rPr>
          <w:rFonts w:asciiTheme="minorHAnsi" w:hAnsiTheme="minorHAnsi" w:cstheme="minorHAnsi"/>
        </w:rPr>
        <w:t xml:space="preserve"> /infrastructur</w:t>
      </w:r>
      <w:r w:rsidR="00861423" w:rsidRPr="00FB0BE5">
        <w:rPr>
          <w:rFonts w:asciiTheme="minorHAnsi" w:hAnsiTheme="minorHAnsi" w:cstheme="minorHAnsi"/>
        </w:rPr>
        <w:t>ă</w:t>
      </w:r>
      <w:r w:rsidRPr="00FB0BE5">
        <w:rPr>
          <w:rFonts w:asciiTheme="minorHAnsi" w:hAnsiTheme="minorHAnsi" w:cstheme="minorHAnsi"/>
        </w:rPr>
        <w:t xml:space="preserve"> social</w:t>
      </w:r>
      <w:r w:rsidR="00861423" w:rsidRPr="00FB0BE5">
        <w:rPr>
          <w:rFonts w:asciiTheme="minorHAnsi" w:hAnsiTheme="minorHAnsi" w:cstheme="minorHAnsi"/>
        </w:rPr>
        <w:t>ă</w:t>
      </w:r>
      <w:r w:rsidRPr="00FB0BE5">
        <w:rPr>
          <w:rFonts w:asciiTheme="minorHAnsi" w:hAnsiTheme="minorHAnsi" w:cstheme="minorHAnsi"/>
        </w:rPr>
        <w:t xml:space="preserve">, ocrotirea </w:t>
      </w:r>
      <w:r w:rsidR="00861423" w:rsidRPr="00FB0BE5">
        <w:rPr>
          <w:rFonts w:asciiTheme="minorHAnsi" w:hAnsiTheme="minorHAnsi" w:cstheme="minorHAnsi"/>
        </w:rPr>
        <w:t>sănătății</w:t>
      </w:r>
      <w:r w:rsidRPr="00FB0BE5">
        <w:rPr>
          <w:rFonts w:asciiTheme="minorHAnsi" w:hAnsiTheme="minorHAnsi" w:cstheme="minorHAnsi"/>
        </w:rPr>
        <w:t>, serviciu de videomonitorizare a traficului</w:t>
      </w:r>
      <w:r w:rsidR="0055462C">
        <w:rPr>
          <w:rFonts w:asciiTheme="minorHAnsi" w:hAnsiTheme="minorHAnsi" w:cstheme="minorHAnsi"/>
        </w:rPr>
        <w:t xml:space="preserve"> </w:t>
      </w:r>
      <w:r w:rsidRPr="00FB0BE5">
        <w:rPr>
          <w:rFonts w:asciiTheme="minorHAnsi" w:hAnsiTheme="minorHAnsi" w:cstheme="minorHAnsi"/>
        </w:rPr>
        <w:t>rutier(suspendate/reziliate) s.a.</w:t>
      </w:r>
    </w:p>
    <w:p w14:paraId="3BF563DE" w14:textId="77777777" w:rsidR="00F36622" w:rsidRPr="00FB0BE5" w:rsidRDefault="00816238" w:rsidP="003A55C8">
      <w:pPr>
        <w:ind w:firstLine="567"/>
        <w:jc w:val="both"/>
        <w:rPr>
          <w:rFonts w:asciiTheme="minorHAnsi" w:hAnsiTheme="minorHAnsi" w:cstheme="minorHAnsi"/>
        </w:rPr>
      </w:pPr>
      <w:r w:rsidRPr="00FB0BE5">
        <w:rPr>
          <w:rFonts w:asciiTheme="minorHAnsi" w:hAnsiTheme="minorHAnsi" w:cstheme="minorHAnsi"/>
        </w:rPr>
        <w:t xml:space="preserve">Pentru fiecare contract PPP/concesiune, au fost analizate și partajate între parteneri riscuri aferente proiectelor în cauză. Astfel, fiecare contract este individual, iar riscurile sunt monitorizate de partenerii publici care au încheiat contractele de parteneriat public-privat. </w:t>
      </w:r>
      <w:r w:rsidR="008C5E9B" w:rsidRPr="00FB0BE5">
        <w:rPr>
          <w:rFonts w:asciiTheme="minorHAnsi" w:hAnsiTheme="minorHAnsi" w:cstheme="minorHAnsi"/>
        </w:rPr>
        <w:t xml:space="preserve">La moment, nici APP, nici Ministerul Finanțelor nu sunt </w:t>
      </w:r>
      <w:r w:rsidR="00B32CF7" w:rsidRPr="00FB0BE5">
        <w:rPr>
          <w:rFonts w:asciiTheme="minorHAnsi" w:hAnsiTheme="minorHAnsi" w:cstheme="minorHAnsi"/>
        </w:rPr>
        <w:t>i</w:t>
      </w:r>
      <w:r w:rsidR="008C5E9B" w:rsidRPr="00FB0BE5">
        <w:rPr>
          <w:rFonts w:asciiTheme="minorHAnsi" w:hAnsiTheme="minorHAnsi" w:cstheme="minorHAnsi"/>
        </w:rPr>
        <w:t>mplicate în monitorizarea acestor riscuri, din care motiv nu există informație generalizatoare referitor la aceste riscuri.</w:t>
      </w:r>
    </w:p>
    <w:p w14:paraId="500516D6" w14:textId="77777777" w:rsidR="00F36622" w:rsidRPr="00FB0BE5" w:rsidRDefault="00F36622" w:rsidP="003A55C8">
      <w:pPr>
        <w:ind w:firstLine="567"/>
        <w:jc w:val="both"/>
        <w:rPr>
          <w:rFonts w:asciiTheme="minorHAnsi" w:hAnsiTheme="minorHAnsi" w:cstheme="minorHAnsi"/>
        </w:rPr>
      </w:pPr>
      <w:r w:rsidRPr="00FB0BE5">
        <w:rPr>
          <w:rFonts w:asciiTheme="minorHAnsi" w:hAnsiTheme="minorHAnsi" w:cstheme="minorHAnsi"/>
        </w:rPr>
        <w:t>Informația</w:t>
      </w:r>
      <w:r w:rsidR="00816238" w:rsidRPr="00FB0BE5">
        <w:rPr>
          <w:rFonts w:asciiTheme="minorHAnsi" w:hAnsiTheme="minorHAnsi" w:cstheme="minorHAnsi"/>
        </w:rPr>
        <w:t xml:space="preserve"> mai ampl</w:t>
      </w:r>
      <w:r w:rsidR="000C55B9" w:rsidRPr="00FB0BE5">
        <w:rPr>
          <w:rFonts w:asciiTheme="minorHAnsi" w:hAnsiTheme="minorHAnsi" w:cstheme="minorHAnsi"/>
        </w:rPr>
        <w:t>ă</w:t>
      </w:r>
      <w:r w:rsidR="00816238" w:rsidRPr="00FB0BE5">
        <w:rPr>
          <w:rFonts w:asciiTheme="minorHAnsi" w:hAnsiTheme="minorHAnsi" w:cstheme="minorHAnsi"/>
        </w:rPr>
        <w:t xml:space="preserve"> privind PPP in Moldova va fi prezentat</w:t>
      </w:r>
      <w:r w:rsidR="000C55B9" w:rsidRPr="00FB0BE5">
        <w:rPr>
          <w:rFonts w:asciiTheme="minorHAnsi" w:hAnsiTheme="minorHAnsi" w:cstheme="minorHAnsi"/>
        </w:rPr>
        <w:t>ă</w:t>
      </w:r>
      <w:r w:rsidR="00B15EC8">
        <w:rPr>
          <w:rFonts w:asciiTheme="minorHAnsi" w:hAnsiTheme="minorHAnsi" w:cstheme="minorHAnsi"/>
        </w:rPr>
        <w:t xml:space="preserve"> </w:t>
      </w:r>
      <w:r w:rsidR="00861423" w:rsidRPr="00FB0BE5">
        <w:rPr>
          <w:rFonts w:asciiTheme="minorHAnsi" w:hAnsiTheme="minorHAnsi" w:cstheme="minorHAnsi"/>
        </w:rPr>
        <w:t>ș</w:t>
      </w:r>
      <w:r w:rsidR="00816238" w:rsidRPr="00FB0BE5">
        <w:rPr>
          <w:rFonts w:asciiTheme="minorHAnsi" w:hAnsiTheme="minorHAnsi" w:cstheme="minorHAnsi"/>
        </w:rPr>
        <w:t>i analizat</w:t>
      </w:r>
      <w:r w:rsidR="000C55B9" w:rsidRPr="00FB0BE5">
        <w:rPr>
          <w:rFonts w:asciiTheme="minorHAnsi" w:hAnsiTheme="minorHAnsi" w:cstheme="minorHAnsi"/>
        </w:rPr>
        <w:t>ă</w:t>
      </w:r>
      <w:r w:rsidR="00816238" w:rsidRPr="00FB0BE5">
        <w:rPr>
          <w:rFonts w:asciiTheme="minorHAnsi" w:hAnsiTheme="minorHAnsi" w:cstheme="minorHAnsi"/>
        </w:rPr>
        <w:t xml:space="preserve"> sub aspectul riscurilor bugetar-fiscale </w:t>
      </w:r>
      <w:r w:rsidR="00861423" w:rsidRPr="00FB0BE5">
        <w:rPr>
          <w:rFonts w:asciiTheme="minorHAnsi" w:hAnsiTheme="minorHAnsi" w:cstheme="minorHAnsi"/>
        </w:rPr>
        <w:t>î</w:t>
      </w:r>
      <w:r w:rsidR="00816238" w:rsidRPr="00FB0BE5">
        <w:rPr>
          <w:rFonts w:asciiTheme="minorHAnsi" w:hAnsiTheme="minorHAnsi" w:cstheme="minorHAnsi"/>
        </w:rPr>
        <w:t xml:space="preserve">n </w:t>
      </w:r>
      <w:r w:rsidRPr="00FB0BE5">
        <w:rPr>
          <w:rFonts w:asciiTheme="minorHAnsi" w:hAnsiTheme="minorHAnsi" w:cstheme="minorHAnsi"/>
        </w:rPr>
        <w:t>următorul</w:t>
      </w:r>
      <w:r w:rsidR="00816238" w:rsidRPr="00FB0BE5">
        <w:rPr>
          <w:rFonts w:asciiTheme="minorHAnsi" w:hAnsiTheme="minorHAnsi" w:cstheme="minorHAnsi"/>
        </w:rPr>
        <w:t xml:space="preserve"> ciclu bugetar.</w:t>
      </w:r>
    </w:p>
    <w:p w14:paraId="6E49EBC0" w14:textId="77777777" w:rsidR="004018D2" w:rsidRPr="00FB0BE5" w:rsidRDefault="004018D2" w:rsidP="003A55C8">
      <w:pPr>
        <w:ind w:firstLine="567"/>
        <w:jc w:val="both"/>
        <w:rPr>
          <w:rFonts w:ascii="Calibri" w:hAnsi="Calibri" w:cs="Calibri"/>
          <w:b/>
          <w:bCs/>
        </w:rPr>
      </w:pPr>
    </w:p>
    <w:p w14:paraId="24E6270D" w14:textId="77777777" w:rsidR="0070799E" w:rsidRPr="00166A39" w:rsidRDefault="000E1111" w:rsidP="003A55C8">
      <w:pPr>
        <w:ind w:firstLine="567"/>
        <w:jc w:val="both"/>
        <w:rPr>
          <w:rFonts w:ascii="Calibri" w:hAnsi="Calibri" w:cs="Calibri"/>
          <w:b/>
          <w:bCs/>
        </w:rPr>
      </w:pPr>
      <w:r w:rsidRPr="00166A39">
        <w:rPr>
          <w:rFonts w:ascii="Calibri" w:hAnsi="Calibri" w:cs="Calibri"/>
          <w:b/>
          <w:bCs/>
        </w:rPr>
        <w:t xml:space="preserve">Garanțiile de stat emise și plățile </w:t>
      </w:r>
    </w:p>
    <w:p w14:paraId="2C74F2C5" w14:textId="77777777" w:rsidR="008060AF" w:rsidRPr="00166A39" w:rsidRDefault="000E1111" w:rsidP="003A55C8">
      <w:pPr>
        <w:ind w:firstLine="567"/>
        <w:jc w:val="both"/>
        <w:rPr>
          <w:rFonts w:ascii="Calibri" w:hAnsi="Calibri" w:cs="Calibri"/>
          <w:b/>
          <w:bCs/>
        </w:rPr>
      </w:pPr>
      <w:r w:rsidRPr="00166A39">
        <w:rPr>
          <w:rFonts w:ascii="Calibri" w:hAnsi="Calibri" w:cs="Calibri"/>
          <w:b/>
          <w:bCs/>
        </w:rPr>
        <w:t xml:space="preserve">ce ar putea fi efectuate de Ministerul Finanțelor, în calitate de garant </w:t>
      </w:r>
    </w:p>
    <w:p w14:paraId="1D922943" w14:textId="77777777" w:rsidR="008060AF" w:rsidRPr="00166A39" w:rsidRDefault="008060AF" w:rsidP="003A55C8">
      <w:pPr>
        <w:ind w:firstLine="567"/>
        <w:jc w:val="both"/>
        <w:rPr>
          <w:rFonts w:ascii="Calibri" w:hAnsi="Calibri" w:cs="Calibri"/>
        </w:rPr>
      </w:pPr>
    </w:p>
    <w:p w14:paraId="0B45C3F0" w14:textId="5ADECEDD" w:rsidR="008060AF" w:rsidRPr="00166A39" w:rsidRDefault="000E1111" w:rsidP="003A55C8">
      <w:pPr>
        <w:ind w:firstLine="567"/>
        <w:jc w:val="both"/>
        <w:rPr>
          <w:rFonts w:ascii="Calibri" w:hAnsi="Calibri" w:cs="Calibri"/>
        </w:rPr>
      </w:pPr>
      <w:r w:rsidRPr="00166A39">
        <w:rPr>
          <w:rFonts w:ascii="Calibri" w:hAnsi="Calibri" w:cs="Calibri"/>
        </w:rPr>
        <w:t>Având în vedere că garanții de stat pentru împrumuturile interne și externe contractate de către agenții economici</w:t>
      </w:r>
      <w:r w:rsidR="001E461A" w:rsidRPr="00166A39">
        <w:rPr>
          <w:rFonts w:ascii="Calibri" w:hAnsi="Calibri" w:cs="Calibri"/>
        </w:rPr>
        <w:t xml:space="preserve"> </w:t>
      </w:r>
      <w:r w:rsidRPr="00166A39">
        <w:rPr>
          <w:rFonts w:ascii="Calibri" w:hAnsi="Calibri" w:cs="Calibri"/>
        </w:rPr>
        <w:t>nu au fost emise în ultimii 18 ani, cu excepția garanțiilor de stat emise în anii 2014-2015 pentru asigurarea stabilității sistemului financiar național, precum și soldul garanțiilor de stat ce ar putea fi emise în cadrul Programului de stat ”Prima casă”, estimările privind plățile ce urmează a se efectua din bugetul de stat în contul acestor garanții se situează sub 0,0</w:t>
      </w:r>
      <w:r w:rsidR="00253DF7" w:rsidRPr="00166A39">
        <w:rPr>
          <w:rFonts w:ascii="Calibri" w:hAnsi="Calibri" w:cs="Calibri"/>
        </w:rPr>
        <w:t>2</w:t>
      </w:r>
      <w:r w:rsidRPr="00166A39">
        <w:rPr>
          <w:rFonts w:ascii="Calibri" w:hAnsi="Calibri" w:cs="Calibri"/>
        </w:rPr>
        <w:t>% din PIB în perioada anilor 201</w:t>
      </w:r>
      <w:r w:rsidR="00253DF7" w:rsidRPr="00166A39">
        <w:rPr>
          <w:rFonts w:ascii="Calibri" w:hAnsi="Calibri" w:cs="Calibri"/>
        </w:rPr>
        <w:t>9</w:t>
      </w:r>
      <w:r w:rsidRPr="00166A39">
        <w:rPr>
          <w:rFonts w:ascii="Calibri" w:hAnsi="Calibri" w:cs="Calibri"/>
        </w:rPr>
        <w:t>-202</w:t>
      </w:r>
      <w:r w:rsidR="00253DF7" w:rsidRPr="00166A39">
        <w:rPr>
          <w:rFonts w:ascii="Calibri" w:hAnsi="Calibri" w:cs="Calibri"/>
        </w:rPr>
        <w:t>1</w:t>
      </w:r>
      <w:r w:rsidRPr="00166A39">
        <w:rPr>
          <w:rFonts w:ascii="Calibri" w:hAnsi="Calibri" w:cs="Calibri"/>
        </w:rPr>
        <w:t>.</w:t>
      </w:r>
    </w:p>
    <w:p w14:paraId="0E7A8470" w14:textId="77777777" w:rsidR="008060AF" w:rsidRPr="00166A39" w:rsidRDefault="000E1111" w:rsidP="003A55C8">
      <w:pPr>
        <w:ind w:firstLine="567"/>
        <w:jc w:val="both"/>
        <w:rPr>
          <w:rFonts w:ascii="Calibri" w:hAnsi="Calibri" w:cs="Calibri"/>
        </w:rPr>
      </w:pPr>
      <w:r w:rsidRPr="00166A39">
        <w:rPr>
          <w:rFonts w:ascii="Calibri" w:hAnsi="Calibri" w:cs="Calibri"/>
        </w:rPr>
        <w:t>Programul de stat ”Prima casă” are drept scop facilitarea accesului persoanelor fizice la achiziția unei locuințe prin contractarea de credite garantate parțial de stat (50 la sută din soldul creditului acordat), în special pentru familii tinere. Implementarea Programului respectiv va avea loc prin intermediul Organizației pentru Dezvoltarea Sectorului Întreprinderilor Mici și Mijlocii.</w:t>
      </w:r>
    </w:p>
    <w:p w14:paraId="0D3783A6" w14:textId="77777777" w:rsidR="00F36622" w:rsidRPr="00166A39" w:rsidRDefault="00F36622" w:rsidP="008060AF">
      <w:pPr>
        <w:ind w:firstLine="567"/>
        <w:rPr>
          <w:rFonts w:ascii="Calibri" w:hAnsi="Calibri" w:cs="Calibri"/>
          <w:b/>
          <w:color w:val="548DD4" w:themeColor="text2" w:themeTint="99"/>
          <w:highlight w:val="cyan"/>
        </w:rPr>
      </w:pPr>
    </w:p>
    <w:p w14:paraId="25C22B4F" w14:textId="30B2E3A1" w:rsidR="008060AF" w:rsidRPr="00166A39" w:rsidRDefault="000E1111" w:rsidP="008060AF">
      <w:pPr>
        <w:ind w:firstLine="567"/>
        <w:rPr>
          <w:rFonts w:ascii="Calibri" w:hAnsi="Calibri" w:cs="Calibri"/>
          <w:b/>
          <w:color w:val="548DD4" w:themeColor="text2" w:themeTint="99"/>
        </w:rPr>
      </w:pPr>
      <w:r w:rsidRPr="00166A39">
        <w:rPr>
          <w:rFonts w:ascii="Calibri" w:hAnsi="Calibri" w:cs="Calibri"/>
          <w:b/>
          <w:color w:val="548DD4" w:themeColor="text2" w:themeTint="99"/>
        </w:rPr>
        <w:t>Tabelul 1</w:t>
      </w:r>
      <w:r w:rsidR="00366DB3" w:rsidRPr="00166A39">
        <w:rPr>
          <w:rFonts w:ascii="Calibri" w:hAnsi="Calibri" w:cs="Calibri"/>
          <w:b/>
          <w:color w:val="548DD4" w:themeColor="text2" w:themeTint="99"/>
        </w:rPr>
        <w:t>1</w:t>
      </w:r>
      <w:r w:rsidRPr="00166A39">
        <w:rPr>
          <w:rFonts w:ascii="Calibri" w:hAnsi="Calibri" w:cs="Calibri"/>
          <w:b/>
          <w:color w:val="548DD4" w:themeColor="text2" w:themeTint="99"/>
        </w:rPr>
        <w:t>. Prognoza soldului garanțiilor de stat</w:t>
      </w:r>
      <w:r w:rsidR="003A400A" w:rsidRPr="00166A39">
        <w:rPr>
          <w:rFonts w:ascii="Calibri" w:hAnsi="Calibri" w:cs="Calibri"/>
          <w:b/>
          <w:color w:val="548DD4" w:themeColor="text2" w:themeTint="99"/>
        </w:rPr>
        <w:t xml:space="preserve"> </w:t>
      </w:r>
      <w:r w:rsidRPr="00166A39">
        <w:rPr>
          <w:rFonts w:ascii="Calibri" w:hAnsi="Calibri" w:cs="Calibri"/>
          <w:b/>
          <w:color w:val="548DD4" w:themeColor="text2" w:themeTint="99"/>
        </w:rPr>
        <w:t xml:space="preserve">și a plăților contingente aferente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999"/>
        <w:gridCol w:w="999"/>
        <w:gridCol w:w="997"/>
        <w:gridCol w:w="998"/>
        <w:gridCol w:w="1156"/>
        <w:gridCol w:w="1156"/>
        <w:gridCol w:w="1156"/>
      </w:tblGrid>
      <w:tr w:rsidR="008060AF" w:rsidRPr="00A90141" w14:paraId="6CF0AF37" w14:textId="77777777" w:rsidTr="00166A39">
        <w:tc>
          <w:tcPr>
            <w:tcW w:w="915" w:type="pct"/>
          </w:tcPr>
          <w:p w14:paraId="25042B6D" w14:textId="77777777" w:rsidR="008060AF" w:rsidRPr="00166A39" w:rsidRDefault="008060AF" w:rsidP="006B396F">
            <w:pPr>
              <w:rPr>
                <w:rFonts w:ascii="Calibri" w:hAnsi="Calibri" w:cs="Calibri"/>
              </w:rPr>
            </w:pPr>
          </w:p>
        </w:tc>
        <w:tc>
          <w:tcPr>
            <w:tcW w:w="584" w:type="pct"/>
          </w:tcPr>
          <w:p w14:paraId="2C02B124" w14:textId="59D36E2E" w:rsidR="008060AF" w:rsidRPr="00166A39" w:rsidRDefault="000E1111" w:rsidP="00253DF7">
            <w:pPr>
              <w:jc w:val="center"/>
              <w:rPr>
                <w:rFonts w:ascii="Calibri" w:hAnsi="Calibri" w:cs="Calibri"/>
                <w:b/>
              </w:rPr>
            </w:pPr>
            <w:r w:rsidRPr="00166A39">
              <w:rPr>
                <w:rFonts w:ascii="Calibri" w:hAnsi="Calibri" w:cs="Calibri"/>
                <w:b/>
              </w:rPr>
              <w:t>201</w:t>
            </w:r>
            <w:r w:rsidR="00253DF7" w:rsidRPr="00166A39">
              <w:rPr>
                <w:rFonts w:ascii="Calibri" w:hAnsi="Calibri" w:cs="Calibri"/>
                <w:b/>
              </w:rPr>
              <w:t>5</w:t>
            </w:r>
          </w:p>
        </w:tc>
        <w:tc>
          <w:tcPr>
            <w:tcW w:w="584" w:type="pct"/>
          </w:tcPr>
          <w:p w14:paraId="7E5282EC" w14:textId="1F36BA9F" w:rsidR="008060AF" w:rsidRPr="00166A39" w:rsidRDefault="000E1111" w:rsidP="00253DF7">
            <w:pPr>
              <w:jc w:val="center"/>
              <w:rPr>
                <w:rFonts w:ascii="Calibri" w:hAnsi="Calibri" w:cs="Calibri"/>
                <w:b/>
              </w:rPr>
            </w:pPr>
            <w:r w:rsidRPr="00166A39">
              <w:rPr>
                <w:rFonts w:ascii="Calibri" w:hAnsi="Calibri" w:cs="Calibri"/>
                <w:b/>
              </w:rPr>
              <w:t>201</w:t>
            </w:r>
            <w:r w:rsidR="00253DF7" w:rsidRPr="00166A39">
              <w:rPr>
                <w:rFonts w:ascii="Calibri" w:hAnsi="Calibri" w:cs="Calibri"/>
                <w:b/>
              </w:rPr>
              <w:t>6</w:t>
            </w:r>
          </w:p>
        </w:tc>
        <w:tc>
          <w:tcPr>
            <w:tcW w:w="583" w:type="pct"/>
          </w:tcPr>
          <w:p w14:paraId="3E759790" w14:textId="11A22C6C" w:rsidR="008060AF" w:rsidRPr="00166A39" w:rsidRDefault="000E1111" w:rsidP="00253DF7">
            <w:pPr>
              <w:jc w:val="center"/>
              <w:rPr>
                <w:rFonts w:ascii="Calibri" w:hAnsi="Calibri" w:cs="Calibri"/>
                <w:b/>
              </w:rPr>
            </w:pPr>
            <w:r w:rsidRPr="00166A39">
              <w:rPr>
                <w:rFonts w:ascii="Calibri" w:hAnsi="Calibri" w:cs="Calibri"/>
                <w:b/>
              </w:rPr>
              <w:t>201</w:t>
            </w:r>
            <w:r w:rsidR="00253DF7" w:rsidRPr="00166A39">
              <w:rPr>
                <w:rFonts w:ascii="Calibri" w:hAnsi="Calibri" w:cs="Calibri"/>
                <w:b/>
              </w:rPr>
              <w:t>7</w:t>
            </w:r>
          </w:p>
        </w:tc>
        <w:tc>
          <w:tcPr>
            <w:tcW w:w="583" w:type="pct"/>
          </w:tcPr>
          <w:p w14:paraId="404444A8" w14:textId="158EE9BA" w:rsidR="008060AF" w:rsidRPr="00166A39" w:rsidRDefault="000E1111" w:rsidP="00253DF7">
            <w:pPr>
              <w:jc w:val="center"/>
              <w:rPr>
                <w:rFonts w:ascii="Calibri" w:hAnsi="Calibri" w:cs="Calibri"/>
                <w:b/>
              </w:rPr>
            </w:pPr>
            <w:r w:rsidRPr="00166A39">
              <w:rPr>
                <w:rFonts w:ascii="Calibri" w:hAnsi="Calibri" w:cs="Calibri"/>
                <w:b/>
              </w:rPr>
              <w:t>201</w:t>
            </w:r>
            <w:r w:rsidR="00253DF7" w:rsidRPr="00166A39">
              <w:rPr>
                <w:rFonts w:ascii="Calibri" w:hAnsi="Calibri" w:cs="Calibri"/>
                <w:b/>
              </w:rPr>
              <w:t>8</w:t>
            </w:r>
          </w:p>
        </w:tc>
        <w:tc>
          <w:tcPr>
            <w:tcW w:w="583" w:type="pct"/>
          </w:tcPr>
          <w:p w14:paraId="160AB69A" w14:textId="26A94AC8" w:rsidR="008060AF" w:rsidRPr="00166A39" w:rsidRDefault="000E1111" w:rsidP="006B396F">
            <w:pPr>
              <w:jc w:val="center"/>
              <w:rPr>
                <w:rFonts w:ascii="Calibri" w:hAnsi="Calibri" w:cs="Calibri"/>
                <w:b/>
              </w:rPr>
            </w:pPr>
            <w:r w:rsidRPr="00166A39">
              <w:rPr>
                <w:rFonts w:ascii="Calibri" w:hAnsi="Calibri" w:cs="Calibri"/>
                <w:b/>
              </w:rPr>
              <w:t>201</w:t>
            </w:r>
            <w:r w:rsidR="00253DF7" w:rsidRPr="00166A39">
              <w:rPr>
                <w:rFonts w:ascii="Calibri" w:hAnsi="Calibri" w:cs="Calibri"/>
                <w:b/>
              </w:rPr>
              <w:t>9</w:t>
            </w:r>
          </w:p>
          <w:p w14:paraId="340BF60E" w14:textId="77777777" w:rsidR="008060AF" w:rsidRPr="00166A39" w:rsidRDefault="000E1111" w:rsidP="00923F36">
            <w:pPr>
              <w:jc w:val="center"/>
              <w:rPr>
                <w:rFonts w:ascii="Calibri" w:hAnsi="Calibri" w:cs="Calibri"/>
                <w:b/>
                <w:i/>
              </w:rPr>
            </w:pPr>
            <w:r w:rsidRPr="00166A39">
              <w:rPr>
                <w:rFonts w:ascii="Calibri" w:hAnsi="Calibri" w:cs="Calibri"/>
                <w:b/>
                <w:i/>
              </w:rPr>
              <w:t>prognoză</w:t>
            </w:r>
          </w:p>
        </w:tc>
        <w:tc>
          <w:tcPr>
            <w:tcW w:w="583" w:type="pct"/>
          </w:tcPr>
          <w:p w14:paraId="49EB5532" w14:textId="47A695B3" w:rsidR="008060AF" w:rsidRPr="00166A39" w:rsidRDefault="000E1111" w:rsidP="006B396F">
            <w:pPr>
              <w:jc w:val="center"/>
              <w:rPr>
                <w:rFonts w:ascii="Calibri" w:hAnsi="Calibri" w:cs="Calibri"/>
                <w:b/>
              </w:rPr>
            </w:pPr>
            <w:r w:rsidRPr="00166A39">
              <w:rPr>
                <w:rFonts w:ascii="Calibri" w:hAnsi="Calibri" w:cs="Calibri"/>
                <w:b/>
              </w:rPr>
              <w:t>20</w:t>
            </w:r>
            <w:r w:rsidR="00253DF7" w:rsidRPr="00166A39">
              <w:rPr>
                <w:rFonts w:ascii="Calibri" w:hAnsi="Calibri" w:cs="Calibri"/>
                <w:b/>
              </w:rPr>
              <w:t>20</w:t>
            </w:r>
          </w:p>
          <w:p w14:paraId="64303E65" w14:textId="77777777" w:rsidR="008060AF" w:rsidRPr="00166A39" w:rsidRDefault="000E1111" w:rsidP="00923F36">
            <w:pPr>
              <w:jc w:val="center"/>
              <w:rPr>
                <w:rFonts w:ascii="Calibri" w:hAnsi="Calibri" w:cs="Calibri"/>
                <w:b/>
                <w:i/>
              </w:rPr>
            </w:pPr>
            <w:r w:rsidRPr="00166A39">
              <w:rPr>
                <w:rFonts w:ascii="Calibri" w:hAnsi="Calibri" w:cs="Calibri"/>
                <w:b/>
                <w:i/>
              </w:rPr>
              <w:t>prognoză</w:t>
            </w:r>
          </w:p>
        </w:tc>
        <w:tc>
          <w:tcPr>
            <w:tcW w:w="583" w:type="pct"/>
          </w:tcPr>
          <w:p w14:paraId="29D6A3BA" w14:textId="5CC9D2F6" w:rsidR="008060AF" w:rsidRPr="00166A39" w:rsidRDefault="000E1111" w:rsidP="006B396F">
            <w:pPr>
              <w:jc w:val="center"/>
              <w:rPr>
                <w:rFonts w:ascii="Calibri" w:hAnsi="Calibri" w:cs="Calibri"/>
                <w:b/>
              </w:rPr>
            </w:pPr>
            <w:r w:rsidRPr="00166A39">
              <w:rPr>
                <w:rFonts w:ascii="Calibri" w:hAnsi="Calibri" w:cs="Calibri"/>
                <w:b/>
              </w:rPr>
              <w:t>202</w:t>
            </w:r>
            <w:r w:rsidR="00253DF7" w:rsidRPr="00166A39">
              <w:rPr>
                <w:rFonts w:ascii="Calibri" w:hAnsi="Calibri" w:cs="Calibri"/>
                <w:b/>
              </w:rPr>
              <w:t>1</w:t>
            </w:r>
          </w:p>
          <w:p w14:paraId="2A53D3CA" w14:textId="77777777" w:rsidR="008060AF" w:rsidRPr="00166A39" w:rsidRDefault="000E1111" w:rsidP="00923F36">
            <w:pPr>
              <w:jc w:val="center"/>
              <w:rPr>
                <w:rFonts w:ascii="Calibri" w:hAnsi="Calibri" w:cs="Calibri"/>
                <w:b/>
                <w:i/>
              </w:rPr>
            </w:pPr>
            <w:r w:rsidRPr="00166A39">
              <w:rPr>
                <w:rFonts w:ascii="Calibri" w:hAnsi="Calibri" w:cs="Calibri"/>
                <w:b/>
                <w:i/>
              </w:rPr>
              <w:t>prognoză</w:t>
            </w:r>
          </w:p>
        </w:tc>
      </w:tr>
      <w:tr w:rsidR="008060AF" w:rsidRPr="00A90141" w14:paraId="644E4844" w14:textId="77777777" w:rsidTr="00166A39">
        <w:tc>
          <w:tcPr>
            <w:tcW w:w="5000" w:type="pct"/>
            <w:gridSpan w:val="8"/>
          </w:tcPr>
          <w:p w14:paraId="687ED214" w14:textId="77777777" w:rsidR="00017F77" w:rsidRPr="00166A39" w:rsidRDefault="000E1111">
            <w:pPr>
              <w:rPr>
                <w:rFonts w:ascii="Calibri" w:hAnsi="Calibri" w:cs="Calibri"/>
                <w:b/>
                <w:i/>
              </w:rPr>
            </w:pPr>
            <w:r w:rsidRPr="00166A39">
              <w:rPr>
                <w:rFonts w:ascii="Calibri" w:hAnsi="Calibri" w:cs="Calibri"/>
                <w:b/>
                <w:i/>
              </w:rPr>
              <w:t>Soldul garanțiilor de stat la sfârșit de perioadă</w:t>
            </w:r>
            <w:r w:rsidRPr="00A90141">
              <w:rPr>
                <w:rStyle w:val="FootnoteReference"/>
                <w:rFonts w:ascii="Calibri" w:hAnsi="Calibri" w:cs="Calibri"/>
                <w:b/>
                <w:i/>
              </w:rPr>
              <w:footnoteReference w:id="17"/>
            </w:r>
            <w:r w:rsidRPr="00166A39">
              <w:rPr>
                <w:rFonts w:ascii="Calibri" w:hAnsi="Calibri" w:cs="Calibri"/>
                <w:b/>
                <w:i/>
                <w:vertAlign w:val="superscript"/>
              </w:rPr>
              <w:t>)</w:t>
            </w:r>
          </w:p>
        </w:tc>
      </w:tr>
      <w:tr w:rsidR="008060AF" w:rsidRPr="00A90141" w14:paraId="67038408" w14:textId="77777777" w:rsidTr="00166A39">
        <w:tc>
          <w:tcPr>
            <w:tcW w:w="915" w:type="pct"/>
          </w:tcPr>
          <w:p w14:paraId="2A375456" w14:textId="77777777" w:rsidR="008060AF" w:rsidRPr="00166A39" w:rsidRDefault="000E1111" w:rsidP="006B396F">
            <w:pPr>
              <w:rPr>
                <w:rFonts w:ascii="Calibri" w:hAnsi="Calibri" w:cs="Calibri"/>
              </w:rPr>
            </w:pPr>
            <w:r w:rsidRPr="00166A39">
              <w:rPr>
                <w:rFonts w:ascii="Calibri" w:hAnsi="Calibri" w:cs="Calibri"/>
              </w:rPr>
              <w:t>- mil. lei</w:t>
            </w:r>
          </w:p>
        </w:tc>
        <w:tc>
          <w:tcPr>
            <w:tcW w:w="584" w:type="pct"/>
          </w:tcPr>
          <w:p w14:paraId="27AB35D8" w14:textId="77777777" w:rsidR="008060AF" w:rsidRPr="00166A39" w:rsidRDefault="000E1111" w:rsidP="006B396F">
            <w:pPr>
              <w:jc w:val="right"/>
              <w:rPr>
                <w:rFonts w:ascii="Calibri" w:hAnsi="Calibri" w:cs="Calibri"/>
              </w:rPr>
            </w:pPr>
            <w:r w:rsidRPr="00166A39">
              <w:rPr>
                <w:rFonts w:ascii="Calibri" w:hAnsi="Calibri" w:cs="Calibri"/>
              </w:rPr>
              <w:t>0,0</w:t>
            </w:r>
          </w:p>
        </w:tc>
        <w:tc>
          <w:tcPr>
            <w:tcW w:w="584" w:type="pct"/>
          </w:tcPr>
          <w:p w14:paraId="6E3D67B2" w14:textId="77777777" w:rsidR="008060AF" w:rsidRPr="00166A39" w:rsidRDefault="000E1111" w:rsidP="006B396F">
            <w:pPr>
              <w:jc w:val="right"/>
              <w:rPr>
                <w:rFonts w:ascii="Calibri" w:hAnsi="Calibri" w:cs="Calibri"/>
              </w:rPr>
            </w:pPr>
            <w:r w:rsidRPr="00166A39">
              <w:rPr>
                <w:rFonts w:ascii="Calibri" w:hAnsi="Calibri" w:cs="Calibri"/>
              </w:rPr>
              <w:t>0,0</w:t>
            </w:r>
          </w:p>
        </w:tc>
        <w:tc>
          <w:tcPr>
            <w:tcW w:w="583" w:type="pct"/>
          </w:tcPr>
          <w:p w14:paraId="44C01BC3" w14:textId="77777777" w:rsidR="008060AF" w:rsidRPr="00166A39" w:rsidRDefault="000E1111" w:rsidP="006B396F">
            <w:pPr>
              <w:jc w:val="right"/>
              <w:rPr>
                <w:rFonts w:ascii="Calibri" w:hAnsi="Calibri" w:cs="Calibri"/>
              </w:rPr>
            </w:pPr>
            <w:r w:rsidRPr="00166A39">
              <w:rPr>
                <w:rFonts w:ascii="Calibri" w:hAnsi="Calibri" w:cs="Calibri"/>
              </w:rPr>
              <w:t>0,0</w:t>
            </w:r>
          </w:p>
        </w:tc>
        <w:tc>
          <w:tcPr>
            <w:tcW w:w="583" w:type="pct"/>
          </w:tcPr>
          <w:p w14:paraId="18F5EAAC" w14:textId="77777777" w:rsidR="008060AF" w:rsidRPr="00166A39" w:rsidRDefault="003A400A" w:rsidP="006B396F">
            <w:pPr>
              <w:jc w:val="right"/>
              <w:rPr>
                <w:rFonts w:ascii="Calibri" w:hAnsi="Calibri" w:cs="Calibri"/>
              </w:rPr>
            </w:pPr>
            <w:r w:rsidRPr="00166A39">
              <w:rPr>
                <w:rFonts w:ascii="Calibri" w:hAnsi="Calibri" w:cs="Calibri"/>
              </w:rPr>
              <w:t>100</w:t>
            </w:r>
            <w:r w:rsidR="000E1111" w:rsidRPr="00166A39">
              <w:rPr>
                <w:rFonts w:ascii="Calibri" w:hAnsi="Calibri" w:cs="Calibri"/>
              </w:rPr>
              <w:t>0,0</w:t>
            </w:r>
          </w:p>
        </w:tc>
        <w:tc>
          <w:tcPr>
            <w:tcW w:w="583" w:type="pct"/>
          </w:tcPr>
          <w:p w14:paraId="2D38925D" w14:textId="77777777" w:rsidR="008060AF" w:rsidRPr="00166A39" w:rsidRDefault="000E1111" w:rsidP="004121CD">
            <w:pPr>
              <w:jc w:val="right"/>
              <w:rPr>
                <w:rFonts w:ascii="Calibri" w:hAnsi="Calibri" w:cs="Calibri"/>
              </w:rPr>
            </w:pPr>
            <w:r w:rsidRPr="00166A39">
              <w:rPr>
                <w:rFonts w:ascii="Calibri" w:hAnsi="Calibri" w:cs="Calibri"/>
              </w:rPr>
              <w:t>1000,0</w:t>
            </w:r>
          </w:p>
        </w:tc>
        <w:tc>
          <w:tcPr>
            <w:tcW w:w="583" w:type="pct"/>
          </w:tcPr>
          <w:p w14:paraId="6E53D75E" w14:textId="45AF0687" w:rsidR="008060AF" w:rsidRPr="00166A39" w:rsidRDefault="00771D99" w:rsidP="00771D99">
            <w:pPr>
              <w:jc w:val="right"/>
              <w:rPr>
                <w:rFonts w:ascii="Calibri" w:hAnsi="Calibri" w:cs="Calibri"/>
              </w:rPr>
            </w:pPr>
            <w:r w:rsidRPr="00166A39">
              <w:rPr>
                <w:rFonts w:ascii="Calibri" w:hAnsi="Calibri" w:cs="Calibri"/>
              </w:rPr>
              <w:t>15</w:t>
            </w:r>
            <w:r w:rsidR="000E1111" w:rsidRPr="00166A39">
              <w:rPr>
                <w:rFonts w:ascii="Calibri" w:hAnsi="Calibri" w:cs="Calibri"/>
              </w:rPr>
              <w:t>00,0</w:t>
            </w:r>
          </w:p>
        </w:tc>
        <w:tc>
          <w:tcPr>
            <w:tcW w:w="583" w:type="pct"/>
          </w:tcPr>
          <w:p w14:paraId="217A2C55" w14:textId="669A36BE" w:rsidR="008060AF" w:rsidRPr="00166A39" w:rsidRDefault="00771D99">
            <w:pPr>
              <w:jc w:val="right"/>
              <w:rPr>
                <w:rFonts w:ascii="Calibri" w:hAnsi="Calibri" w:cs="Calibri"/>
              </w:rPr>
            </w:pPr>
            <w:r w:rsidRPr="00166A39">
              <w:rPr>
                <w:rFonts w:ascii="Calibri" w:hAnsi="Calibri" w:cs="Calibri"/>
              </w:rPr>
              <w:t>2</w:t>
            </w:r>
            <w:r w:rsidR="000E1111" w:rsidRPr="00166A39">
              <w:rPr>
                <w:rFonts w:ascii="Calibri" w:hAnsi="Calibri" w:cs="Calibri"/>
              </w:rPr>
              <w:t>000,0</w:t>
            </w:r>
          </w:p>
        </w:tc>
      </w:tr>
      <w:tr w:rsidR="008060AF" w:rsidRPr="00A90141" w14:paraId="7599AB56" w14:textId="77777777" w:rsidTr="00166A39">
        <w:tc>
          <w:tcPr>
            <w:tcW w:w="915" w:type="pct"/>
          </w:tcPr>
          <w:p w14:paraId="0CED07DE" w14:textId="77777777" w:rsidR="008060AF" w:rsidRPr="00166A39" w:rsidRDefault="000E1111" w:rsidP="006B396F">
            <w:pPr>
              <w:rPr>
                <w:rFonts w:ascii="Calibri" w:hAnsi="Calibri" w:cs="Calibri"/>
              </w:rPr>
            </w:pPr>
            <w:r w:rsidRPr="00166A39">
              <w:rPr>
                <w:rFonts w:ascii="Calibri" w:hAnsi="Calibri" w:cs="Calibri"/>
              </w:rPr>
              <w:t>- % din PIB</w:t>
            </w:r>
          </w:p>
        </w:tc>
        <w:tc>
          <w:tcPr>
            <w:tcW w:w="584" w:type="pct"/>
          </w:tcPr>
          <w:p w14:paraId="7C5384C5" w14:textId="77777777" w:rsidR="008060AF" w:rsidRPr="00166A39" w:rsidRDefault="000E1111" w:rsidP="006B396F">
            <w:pPr>
              <w:jc w:val="right"/>
              <w:rPr>
                <w:rFonts w:ascii="Calibri" w:hAnsi="Calibri" w:cs="Calibri"/>
              </w:rPr>
            </w:pPr>
            <w:r w:rsidRPr="00166A39">
              <w:rPr>
                <w:rFonts w:ascii="Calibri" w:hAnsi="Calibri" w:cs="Calibri"/>
              </w:rPr>
              <w:t>0,0</w:t>
            </w:r>
          </w:p>
        </w:tc>
        <w:tc>
          <w:tcPr>
            <w:tcW w:w="584" w:type="pct"/>
          </w:tcPr>
          <w:p w14:paraId="2B197174" w14:textId="77777777" w:rsidR="008060AF" w:rsidRPr="00166A39" w:rsidRDefault="000E1111" w:rsidP="006B396F">
            <w:pPr>
              <w:jc w:val="right"/>
              <w:rPr>
                <w:rFonts w:ascii="Calibri" w:hAnsi="Calibri" w:cs="Calibri"/>
              </w:rPr>
            </w:pPr>
            <w:r w:rsidRPr="00166A39">
              <w:rPr>
                <w:rFonts w:ascii="Calibri" w:hAnsi="Calibri" w:cs="Calibri"/>
              </w:rPr>
              <w:t>0,0</w:t>
            </w:r>
          </w:p>
        </w:tc>
        <w:tc>
          <w:tcPr>
            <w:tcW w:w="583" w:type="pct"/>
          </w:tcPr>
          <w:p w14:paraId="0A223A99" w14:textId="77777777" w:rsidR="008060AF" w:rsidRPr="00166A39" w:rsidRDefault="000E1111" w:rsidP="006B396F">
            <w:pPr>
              <w:jc w:val="right"/>
              <w:rPr>
                <w:rFonts w:ascii="Calibri" w:hAnsi="Calibri" w:cs="Calibri"/>
              </w:rPr>
            </w:pPr>
            <w:r w:rsidRPr="00166A39">
              <w:rPr>
                <w:rFonts w:ascii="Calibri" w:hAnsi="Calibri" w:cs="Calibri"/>
              </w:rPr>
              <w:t>0,0</w:t>
            </w:r>
          </w:p>
        </w:tc>
        <w:tc>
          <w:tcPr>
            <w:tcW w:w="583" w:type="pct"/>
          </w:tcPr>
          <w:p w14:paraId="5E2EAFAF" w14:textId="4532FEB9" w:rsidR="008060AF" w:rsidRPr="00166A39" w:rsidRDefault="000E1111">
            <w:pPr>
              <w:jc w:val="right"/>
              <w:rPr>
                <w:rFonts w:ascii="Calibri" w:hAnsi="Calibri" w:cs="Calibri"/>
              </w:rPr>
            </w:pPr>
            <w:r w:rsidRPr="00166A39">
              <w:rPr>
                <w:rFonts w:ascii="Calibri" w:hAnsi="Calibri" w:cs="Calibri"/>
              </w:rPr>
              <w:t>0,</w:t>
            </w:r>
            <w:r w:rsidR="003A400A" w:rsidRPr="00166A39">
              <w:rPr>
                <w:rFonts w:ascii="Calibri" w:hAnsi="Calibri" w:cs="Calibri"/>
              </w:rPr>
              <w:t>5</w:t>
            </w:r>
          </w:p>
        </w:tc>
        <w:tc>
          <w:tcPr>
            <w:tcW w:w="583" w:type="pct"/>
          </w:tcPr>
          <w:p w14:paraId="4016BDF1" w14:textId="5062E808" w:rsidR="008060AF" w:rsidRPr="00166A39" w:rsidRDefault="000E1111" w:rsidP="00771D99">
            <w:pPr>
              <w:jc w:val="right"/>
              <w:rPr>
                <w:rFonts w:ascii="Calibri" w:hAnsi="Calibri" w:cs="Calibri"/>
              </w:rPr>
            </w:pPr>
            <w:r w:rsidRPr="00166A39">
              <w:rPr>
                <w:rFonts w:ascii="Calibri" w:hAnsi="Calibri" w:cs="Calibri"/>
              </w:rPr>
              <w:t>0,</w:t>
            </w:r>
            <w:r w:rsidR="00771D99" w:rsidRPr="00166A39">
              <w:rPr>
                <w:rFonts w:ascii="Calibri" w:hAnsi="Calibri" w:cs="Calibri"/>
              </w:rPr>
              <w:t>5</w:t>
            </w:r>
          </w:p>
        </w:tc>
        <w:tc>
          <w:tcPr>
            <w:tcW w:w="583" w:type="pct"/>
          </w:tcPr>
          <w:p w14:paraId="43819992" w14:textId="7D6C592A" w:rsidR="008060AF" w:rsidRPr="00166A39" w:rsidRDefault="000E1111" w:rsidP="00771D99">
            <w:pPr>
              <w:jc w:val="right"/>
              <w:rPr>
                <w:rFonts w:ascii="Calibri" w:hAnsi="Calibri" w:cs="Calibri"/>
              </w:rPr>
            </w:pPr>
            <w:r w:rsidRPr="00166A39">
              <w:rPr>
                <w:rFonts w:ascii="Calibri" w:hAnsi="Calibri" w:cs="Calibri"/>
              </w:rPr>
              <w:t>0,</w:t>
            </w:r>
            <w:r w:rsidR="00771D99" w:rsidRPr="00166A39">
              <w:rPr>
                <w:rFonts w:ascii="Calibri" w:hAnsi="Calibri" w:cs="Calibri"/>
              </w:rPr>
              <w:t>7</w:t>
            </w:r>
          </w:p>
        </w:tc>
        <w:tc>
          <w:tcPr>
            <w:tcW w:w="583" w:type="pct"/>
          </w:tcPr>
          <w:p w14:paraId="5DED59C4" w14:textId="40A58D6E" w:rsidR="008060AF" w:rsidRPr="00166A39" w:rsidRDefault="000E1111" w:rsidP="00771D99">
            <w:pPr>
              <w:jc w:val="right"/>
              <w:rPr>
                <w:rFonts w:ascii="Calibri" w:hAnsi="Calibri" w:cs="Calibri"/>
              </w:rPr>
            </w:pPr>
            <w:r w:rsidRPr="00166A39">
              <w:rPr>
                <w:rFonts w:ascii="Calibri" w:hAnsi="Calibri" w:cs="Calibri"/>
              </w:rPr>
              <w:t>0,</w:t>
            </w:r>
            <w:r w:rsidR="00771D99" w:rsidRPr="00166A39">
              <w:rPr>
                <w:rFonts w:ascii="Calibri" w:hAnsi="Calibri" w:cs="Calibri"/>
              </w:rPr>
              <w:t>8</w:t>
            </w:r>
          </w:p>
        </w:tc>
      </w:tr>
      <w:tr w:rsidR="00A74265" w:rsidRPr="00A90141" w14:paraId="2803EDD6" w14:textId="77777777" w:rsidTr="00166A39">
        <w:tc>
          <w:tcPr>
            <w:tcW w:w="5000" w:type="pct"/>
            <w:gridSpan w:val="8"/>
          </w:tcPr>
          <w:p w14:paraId="234EFB1B" w14:textId="77777777" w:rsidR="00A74265" w:rsidRPr="00166A39" w:rsidRDefault="000E1111" w:rsidP="006B396F">
            <w:pPr>
              <w:rPr>
                <w:rFonts w:ascii="Calibri" w:hAnsi="Calibri" w:cs="Calibri"/>
                <w:b/>
                <w:i/>
              </w:rPr>
            </w:pPr>
            <w:r w:rsidRPr="00166A39">
              <w:rPr>
                <w:rFonts w:ascii="Calibri" w:hAnsi="Calibri" w:cs="Calibri"/>
                <w:b/>
                <w:i/>
              </w:rPr>
              <w:t>Plăți MF în calitate de garant pentru garanțiile de stat emise</w:t>
            </w:r>
          </w:p>
        </w:tc>
      </w:tr>
      <w:tr w:rsidR="00A74265" w:rsidRPr="00A90141" w14:paraId="752E6309" w14:textId="77777777" w:rsidTr="00166A39">
        <w:tc>
          <w:tcPr>
            <w:tcW w:w="915" w:type="pct"/>
          </w:tcPr>
          <w:p w14:paraId="39C7F8F8" w14:textId="77777777" w:rsidR="00A74265" w:rsidRPr="00166A39" w:rsidRDefault="000E1111" w:rsidP="006B396F">
            <w:pPr>
              <w:rPr>
                <w:rFonts w:ascii="Calibri" w:hAnsi="Calibri" w:cs="Calibri"/>
              </w:rPr>
            </w:pPr>
            <w:r w:rsidRPr="00166A39">
              <w:rPr>
                <w:rFonts w:ascii="Calibri" w:hAnsi="Calibri" w:cs="Calibri"/>
              </w:rPr>
              <w:t>- mil. lei</w:t>
            </w:r>
          </w:p>
        </w:tc>
        <w:tc>
          <w:tcPr>
            <w:tcW w:w="584" w:type="pct"/>
          </w:tcPr>
          <w:p w14:paraId="47A70DD9" w14:textId="77777777" w:rsidR="00A74265" w:rsidRPr="00166A39" w:rsidRDefault="000E1111" w:rsidP="006B396F">
            <w:pPr>
              <w:jc w:val="right"/>
              <w:rPr>
                <w:rFonts w:ascii="Calibri" w:hAnsi="Calibri" w:cs="Calibri"/>
              </w:rPr>
            </w:pPr>
            <w:r w:rsidRPr="00166A39">
              <w:rPr>
                <w:rFonts w:ascii="Calibri" w:hAnsi="Calibri" w:cs="Calibri"/>
              </w:rPr>
              <w:t>0,0</w:t>
            </w:r>
          </w:p>
        </w:tc>
        <w:tc>
          <w:tcPr>
            <w:tcW w:w="584" w:type="pct"/>
          </w:tcPr>
          <w:p w14:paraId="6ECB09CF" w14:textId="77777777" w:rsidR="00A74265" w:rsidRPr="00166A39" w:rsidRDefault="000E1111" w:rsidP="006B396F">
            <w:pPr>
              <w:jc w:val="right"/>
              <w:rPr>
                <w:rFonts w:ascii="Calibri" w:hAnsi="Calibri" w:cs="Calibri"/>
              </w:rPr>
            </w:pPr>
            <w:r w:rsidRPr="00166A39">
              <w:rPr>
                <w:rFonts w:ascii="Calibri" w:hAnsi="Calibri" w:cs="Calibri"/>
              </w:rPr>
              <w:t>0,0</w:t>
            </w:r>
          </w:p>
        </w:tc>
        <w:tc>
          <w:tcPr>
            <w:tcW w:w="583" w:type="pct"/>
          </w:tcPr>
          <w:p w14:paraId="7E442B14" w14:textId="77777777" w:rsidR="00A74265" w:rsidRPr="00166A39" w:rsidRDefault="000E1111" w:rsidP="006B396F">
            <w:pPr>
              <w:jc w:val="right"/>
              <w:rPr>
                <w:rFonts w:ascii="Calibri" w:hAnsi="Calibri" w:cs="Calibri"/>
              </w:rPr>
            </w:pPr>
            <w:r w:rsidRPr="00166A39">
              <w:rPr>
                <w:rFonts w:ascii="Calibri" w:hAnsi="Calibri" w:cs="Calibri"/>
              </w:rPr>
              <w:t>0,0</w:t>
            </w:r>
          </w:p>
        </w:tc>
        <w:tc>
          <w:tcPr>
            <w:tcW w:w="583" w:type="pct"/>
          </w:tcPr>
          <w:p w14:paraId="1835993A" w14:textId="2A2F8177" w:rsidR="00A74265" w:rsidRPr="00166A39" w:rsidRDefault="00253DF7" w:rsidP="006B396F">
            <w:pPr>
              <w:jc w:val="right"/>
              <w:rPr>
                <w:rFonts w:ascii="Calibri" w:hAnsi="Calibri" w:cs="Calibri"/>
              </w:rPr>
            </w:pPr>
            <w:r w:rsidRPr="00166A39">
              <w:rPr>
                <w:rFonts w:ascii="Calibri" w:hAnsi="Calibri" w:cs="Calibri"/>
              </w:rPr>
              <w:t>50,0</w:t>
            </w:r>
          </w:p>
        </w:tc>
        <w:tc>
          <w:tcPr>
            <w:tcW w:w="583" w:type="pct"/>
          </w:tcPr>
          <w:p w14:paraId="5B43FC64" w14:textId="77777777" w:rsidR="00A74265" w:rsidRPr="00166A39" w:rsidRDefault="000E1111" w:rsidP="00203DA8">
            <w:pPr>
              <w:jc w:val="right"/>
              <w:rPr>
                <w:rFonts w:ascii="Calibri" w:hAnsi="Calibri" w:cs="Calibri"/>
              </w:rPr>
            </w:pPr>
            <w:r w:rsidRPr="00166A39">
              <w:rPr>
                <w:rFonts w:ascii="Calibri" w:hAnsi="Calibri" w:cs="Calibri"/>
              </w:rPr>
              <w:t>50,0</w:t>
            </w:r>
          </w:p>
        </w:tc>
        <w:tc>
          <w:tcPr>
            <w:tcW w:w="583" w:type="pct"/>
          </w:tcPr>
          <w:p w14:paraId="5A367C9E" w14:textId="77777777" w:rsidR="00A74265" w:rsidRPr="00166A39" w:rsidRDefault="000E1111">
            <w:pPr>
              <w:jc w:val="right"/>
              <w:rPr>
                <w:rFonts w:ascii="Calibri" w:hAnsi="Calibri" w:cs="Calibri"/>
              </w:rPr>
            </w:pPr>
            <w:r w:rsidRPr="00166A39">
              <w:rPr>
                <w:rFonts w:ascii="Calibri" w:hAnsi="Calibri" w:cs="Calibri"/>
              </w:rPr>
              <w:t>50,0</w:t>
            </w:r>
          </w:p>
        </w:tc>
        <w:tc>
          <w:tcPr>
            <w:tcW w:w="583" w:type="pct"/>
          </w:tcPr>
          <w:p w14:paraId="77578FA3" w14:textId="77777777" w:rsidR="00A74265" w:rsidRPr="00166A39" w:rsidRDefault="000E1111">
            <w:pPr>
              <w:jc w:val="right"/>
              <w:rPr>
                <w:rFonts w:ascii="Calibri" w:hAnsi="Calibri" w:cs="Calibri"/>
              </w:rPr>
            </w:pPr>
            <w:r w:rsidRPr="00166A39">
              <w:rPr>
                <w:rFonts w:ascii="Calibri" w:hAnsi="Calibri" w:cs="Calibri"/>
              </w:rPr>
              <w:t>50,0</w:t>
            </w:r>
          </w:p>
        </w:tc>
      </w:tr>
      <w:tr w:rsidR="00A74265" w:rsidRPr="00A858C2" w14:paraId="19B25E15" w14:textId="77777777" w:rsidTr="00166A39">
        <w:tc>
          <w:tcPr>
            <w:tcW w:w="915" w:type="pct"/>
          </w:tcPr>
          <w:p w14:paraId="0F9A562B" w14:textId="77777777" w:rsidR="00A74265" w:rsidRPr="00166A39" w:rsidRDefault="000E1111" w:rsidP="006B396F">
            <w:pPr>
              <w:rPr>
                <w:rFonts w:ascii="Calibri" w:hAnsi="Calibri" w:cs="Calibri"/>
              </w:rPr>
            </w:pPr>
            <w:r w:rsidRPr="00166A39">
              <w:rPr>
                <w:rFonts w:ascii="Calibri" w:hAnsi="Calibri" w:cs="Calibri"/>
              </w:rPr>
              <w:t>- % din PIB</w:t>
            </w:r>
          </w:p>
        </w:tc>
        <w:tc>
          <w:tcPr>
            <w:tcW w:w="584" w:type="pct"/>
          </w:tcPr>
          <w:p w14:paraId="2EE879E0" w14:textId="77777777" w:rsidR="00A74265" w:rsidRPr="00166A39" w:rsidRDefault="000E1111" w:rsidP="006B396F">
            <w:pPr>
              <w:jc w:val="right"/>
              <w:rPr>
                <w:rFonts w:ascii="Calibri" w:hAnsi="Calibri" w:cs="Calibri"/>
              </w:rPr>
            </w:pPr>
            <w:r w:rsidRPr="00166A39">
              <w:rPr>
                <w:rFonts w:ascii="Calibri" w:hAnsi="Calibri" w:cs="Calibri"/>
              </w:rPr>
              <w:t>0,0</w:t>
            </w:r>
          </w:p>
        </w:tc>
        <w:tc>
          <w:tcPr>
            <w:tcW w:w="584" w:type="pct"/>
          </w:tcPr>
          <w:p w14:paraId="27986071" w14:textId="77777777" w:rsidR="00A74265" w:rsidRPr="00166A39" w:rsidRDefault="000E1111" w:rsidP="006B396F">
            <w:pPr>
              <w:jc w:val="right"/>
              <w:rPr>
                <w:rFonts w:ascii="Calibri" w:hAnsi="Calibri" w:cs="Calibri"/>
              </w:rPr>
            </w:pPr>
            <w:r w:rsidRPr="00166A39">
              <w:rPr>
                <w:rFonts w:ascii="Calibri" w:hAnsi="Calibri" w:cs="Calibri"/>
              </w:rPr>
              <w:t>0,0</w:t>
            </w:r>
          </w:p>
        </w:tc>
        <w:tc>
          <w:tcPr>
            <w:tcW w:w="583" w:type="pct"/>
          </w:tcPr>
          <w:p w14:paraId="1BB88F44" w14:textId="77777777" w:rsidR="00A74265" w:rsidRPr="00166A39" w:rsidRDefault="000E1111" w:rsidP="006B396F">
            <w:pPr>
              <w:jc w:val="right"/>
              <w:rPr>
                <w:rFonts w:ascii="Calibri" w:hAnsi="Calibri" w:cs="Calibri"/>
              </w:rPr>
            </w:pPr>
            <w:r w:rsidRPr="00166A39">
              <w:rPr>
                <w:rFonts w:ascii="Calibri" w:hAnsi="Calibri" w:cs="Calibri"/>
              </w:rPr>
              <w:t>0,0</w:t>
            </w:r>
          </w:p>
        </w:tc>
        <w:tc>
          <w:tcPr>
            <w:tcW w:w="583" w:type="pct"/>
          </w:tcPr>
          <w:p w14:paraId="125CF0BC" w14:textId="7B867729" w:rsidR="00A74265" w:rsidRPr="00166A39" w:rsidRDefault="00253DF7" w:rsidP="006B396F">
            <w:pPr>
              <w:jc w:val="right"/>
              <w:rPr>
                <w:rFonts w:ascii="Calibri" w:hAnsi="Calibri" w:cs="Calibri"/>
              </w:rPr>
            </w:pPr>
            <w:r w:rsidRPr="00166A39">
              <w:rPr>
                <w:rFonts w:ascii="Calibri" w:hAnsi="Calibri" w:cs="Calibri"/>
              </w:rPr>
              <w:t>0,03</w:t>
            </w:r>
          </w:p>
        </w:tc>
        <w:tc>
          <w:tcPr>
            <w:tcW w:w="583" w:type="pct"/>
          </w:tcPr>
          <w:p w14:paraId="128C0549" w14:textId="7096644A" w:rsidR="00A74265" w:rsidRPr="00166A39" w:rsidRDefault="00253DF7" w:rsidP="00ED74E9">
            <w:pPr>
              <w:jc w:val="right"/>
              <w:rPr>
                <w:rFonts w:ascii="Calibri" w:hAnsi="Calibri" w:cs="Calibri"/>
              </w:rPr>
            </w:pPr>
            <w:r w:rsidRPr="00166A39">
              <w:rPr>
                <w:rFonts w:ascii="Calibri" w:hAnsi="Calibri" w:cs="Calibri"/>
              </w:rPr>
              <w:t>0,02</w:t>
            </w:r>
          </w:p>
        </w:tc>
        <w:tc>
          <w:tcPr>
            <w:tcW w:w="583" w:type="pct"/>
          </w:tcPr>
          <w:p w14:paraId="20B382B6" w14:textId="54926996" w:rsidR="00A74265" w:rsidRPr="00166A39" w:rsidRDefault="00253DF7" w:rsidP="00ED74E9">
            <w:pPr>
              <w:jc w:val="right"/>
              <w:rPr>
                <w:rFonts w:ascii="Calibri" w:hAnsi="Calibri" w:cs="Calibri"/>
              </w:rPr>
            </w:pPr>
            <w:r w:rsidRPr="00166A39">
              <w:rPr>
                <w:rFonts w:ascii="Calibri" w:hAnsi="Calibri" w:cs="Calibri"/>
              </w:rPr>
              <w:t>0,02</w:t>
            </w:r>
          </w:p>
        </w:tc>
        <w:tc>
          <w:tcPr>
            <w:tcW w:w="583" w:type="pct"/>
          </w:tcPr>
          <w:p w14:paraId="21AA34A5" w14:textId="0FE97F54" w:rsidR="00A74265" w:rsidRPr="00A858C2" w:rsidRDefault="000E1111" w:rsidP="00ED74E9">
            <w:pPr>
              <w:jc w:val="right"/>
              <w:rPr>
                <w:rFonts w:ascii="Calibri" w:hAnsi="Calibri" w:cs="Calibri"/>
              </w:rPr>
            </w:pPr>
            <w:r w:rsidRPr="00166A39">
              <w:rPr>
                <w:rFonts w:ascii="Calibri" w:hAnsi="Calibri" w:cs="Calibri"/>
              </w:rPr>
              <w:t>0,02</w:t>
            </w:r>
          </w:p>
        </w:tc>
      </w:tr>
    </w:tbl>
    <w:p w14:paraId="4B436068" w14:textId="77777777" w:rsidR="008060AF" w:rsidRPr="00A858C2" w:rsidRDefault="008060AF" w:rsidP="00166A39">
      <w:pPr>
        <w:pStyle w:val="ParagraphNumbering"/>
        <w:numPr>
          <w:ilvl w:val="0"/>
          <w:numId w:val="0"/>
        </w:numPr>
        <w:jc w:val="center"/>
        <w:rPr>
          <w:rStyle w:val="IntenseEmphasis"/>
          <w:rFonts w:asciiTheme="minorHAnsi" w:hAnsiTheme="minorHAnsi"/>
          <w:color w:val="auto"/>
          <w:sz w:val="24"/>
          <w:lang w:val="ro-RO"/>
        </w:rPr>
      </w:pPr>
    </w:p>
    <w:sectPr w:rsidR="008060AF" w:rsidRPr="00A858C2" w:rsidSect="00EB464E">
      <w:footerReference w:type="default" r:id="rId46"/>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1B07" w14:textId="77777777" w:rsidR="00362A46" w:rsidRDefault="00362A46" w:rsidP="00647379">
      <w:r>
        <w:separator/>
      </w:r>
    </w:p>
  </w:endnote>
  <w:endnote w:type="continuationSeparator" w:id="0">
    <w:p w14:paraId="1C8C211D" w14:textId="77777777" w:rsidR="00362A46" w:rsidRDefault="00362A46" w:rsidP="0064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ermianSerifTypeface">
    <w:altName w:val="Times New Roman"/>
    <w:panose1 w:val="00000000000000000000"/>
    <w:charset w:val="00"/>
    <w:family w:val="modern"/>
    <w:notTrueType/>
    <w:pitch w:val="variable"/>
    <w:sig w:usb0="00000001" w:usb1="4000A46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236"/>
      <w:docPartObj>
        <w:docPartGallery w:val="Page Numbers (Bottom of Page)"/>
        <w:docPartUnique/>
      </w:docPartObj>
    </w:sdtPr>
    <w:sdtEndPr/>
    <w:sdtContent>
      <w:p w14:paraId="23DB666F" w14:textId="0643A269" w:rsidR="00017651" w:rsidRDefault="00017651">
        <w:pPr>
          <w:pStyle w:val="Footer"/>
          <w:jc w:val="right"/>
        </w:pPr>
        <w:r>
          <w:fldChar w:fldCharType="begin"/>
        </w:r>
        <w:r>
          <w:instrText xml:space="preserve"> PAGE   \* MERGEFORMAT </w:instrText>
        </w:r>
        <w:r>
          <w:fldChar w:fldCharType="separate"/>
        </w:r>
        <w:r w:rsidR="002B6699">
          <w:rPr>
            <w:noProof/>
          </w:rPr>
          <w:t>2</w:t>
        </w:r>
        <w:r>
          <w:rPr>
            <w:noProof/>
          </w:rPr>
          <w:fldChar w:fldCharType="end"/>
        </w:r>
      </w:p>
    </w:sdtContent>
  </w:sdt>
  <w:p w14:paraId="32F57988" w14:textId="77777777" w:rsidR="00017651" w:rsidRDefault="0001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0FF9" w14:textId="77777777" w:rsidR="00362A46" w:rsidRDefault="00362A46" w:rsidP="00647379">
      <w:r>
        <w:separator/>
      </w:r>
    </w:p>
  </w:footnote>
  <w:footnote w:type="continuationSeparator" w:id="0">
    <w:p w14:paraId="62E0C42D" w14:textId="77777777" w:rsidR="00362A46" w:rsidRDefault="00362A46" w:rsidP="00647379">
      <w:r>
        <w:continuationSeparator/>
      </w:r>
    </w:p>
  </w:footnote>
  <w:footnote w:id="1">
    <w:p w14:paraId="10263D13" w14:textId="77777777" w:rsidR="00017651" w:rsidRDefault="00017651" w:rsidP="004846F3">
      <w:pPr>
        <w:pStyle w:val="FootnoteText"/>
      </w:pPr>
      <w:r w:rsidRPr="0007189F">
        <w:rPr>
          <w:rStyle w:val="FootnoteReference"/>
        </w:rPr>
        <w:footnoteRef/>
      </w:r>
      <w:r w:rsidRPr="0007189F">
        <w:t>PEFA –Evaluarea performantei finanțelor publice, 2008-2011, 2012-2014.</w:t>
      </w:r>
    </w:p>
  </w:footnote>
  <w:footnote w:id="2">
    <w:p w14:paraId="2601B0A9" w14:textId="00661F36" w:rsidR="00017651" w:rsidRDefault="00017651">
      <w:pPr>
        <w:pStyle w:val="FootnoteText"/>
      </w:pPr>
      <w:r>
        <w:rPr>
          <w:rStyle w:val="FootnoteReference"/>
        </w:rPr>
        <w:footnoteRef/>
      </w:r>
      <w:r>
        <w:t xml:space="preserve"> Datele pentru 2019-21 sunt raportate la PIB, calculat in condițiile metodologiei noi SN 2008, ce explica reducerea de cir ca 5p.p. a veniturilor în PIB.</w:t>
      </w:r>
    </w:p>
  </w:footnote>
  <w:footnote w:id="3">
    <w:p w14:paraId="29E3040F" w14:textId="5824A8DD" w:rsidR="00017651" w:rsidRPr="003A49C1" w:rsidRDefault="00017651" w:rsidP="009A6DD5">
      <w:pPr>
        <w:ind w:firstLine="567"/>
        <w:jc w:val="both"/>
        <w:rPr>
          <w:rFonts w:ascii="Arial" w:hAnsi="Arial" w:cs="Arial"/>
        </w:rPr>
      </w:pPr>
      <w:r>
        <w:rPr>
          <w:rStyle w:val="FootnoteReference"/>
        </w:rPr>
        <w:footnoteRef/>
      </w:r>
      <w:r w:rsidRPr="000552FE">
        <w:rPr>
          <w:rFonts w:ascii="Arial" w:hAnsi="Arial" w:cs="Arial"/>
          <w:b/>
          <w:bCs/>
          <w:i/>
          <w:sz w:val="16"/>
          <w:szCs w:val="16"/>
        </w:rPr>
        <w:t>Arierat - datorie cu termen de achitare expirat</w:t>
      </w:r>
      <w:r w:rsidRPr="000552FE">
        <w:rPr>
          <w:rFonts w:ascii="Arial" w:hAnsi="Arial" w:cs="Arial"/>
          <w:i/>
          <w:sz w:val="16"/>
          <w:szCs w:val="16"/>
        </w:rPr>
        <w:t>– obligație de plată, ce nu mai poate fi contestată, asumată de către autoritatea/instituția bugetară în baza actelor legislative, normative şi juridice în vigoare, termenul de achitare a căreia a expirat şi care a devenit restantă.</w:t>
      </w:r>
    </w:p>
    <w:p w14:paraId="051F83ED" w14:textId="77777777" w:rsidR="00017651" w:rsidRDefault="00017651">
      <w:pPr>
        <w:pStyle w:val="FootnoteText"/>
      </w:pPr>
    </w:p>
  </w:footnote>
  <w:footnote w:id="4">
    <w:p w14:paraId="2514D1B9" w14:textId="77777777" w:rsidR="00017651" w:rsidRPr="00CF0C1E" w:rsidRDefault="00017651" w:rsidP="00DC25F1">
      <w:pPr>
        <w:pStyle w:val="FootnoteText"/>
      </w:pPr>
      <w:r>
        <w:rPr>
          <w:rStyle w:val="FootnoteReference"/>
        </w:rPr>
        <w:footnoteRef/>
      </w:r>
      <w:r>
        <w:t xml:space="preserve"> Datele pentru 2019-21 sunt raportate la PIB, calculat in condițiile metodologiei noi SN 2008, ce explica reducerea de circa 5p.p. a cheltuielilor în PIB.</w:t>
      </w:r>
    </w:p>
  </w:footnote>
  <w:footnote w:id="5">
    <w:p w14:paraId="2ABE69A5" w14:textId="77777777" w:rsidR="00017651" w:rsidRPr="00B658A2" w:rsidRDefault="00017651">
      <w:pPr>
        <w:pStyle w:val="FootnoteText"/>
        <w:rPr>
          <w:sz w:val="16"/>
          <w:szCs w:val="16"/>
        </w:rPr>
      </w:pPr>
      <w:r w:rsidRPr="000552FE">
        <w:rPr>
          <w:rStyle w:val="FootnoteReference"/>
          <w:sz w:val="16"/>
          <w:szCs w:val="16"/>
        </w:rPr>
        <w:footnoteRef/>
      </w:r>
      <w:r w:rsidRPr="000552FE">
        <w:rPr>
          <w:sz w:val="16"/>
          <w:szCs w:val="16"/>
        </w:rPr>
        <w:t>În vederea executării obligațiilor de plată derivate din garanțiile de stat acordate în anii 2014 și 2015, Ministerul Finanțelor în temeiul Legii nr.235 din 3 octombrie 2016, a emis și a transmis la 4 octombrie 2016 Băncii Naționale a Moldovei obligațiuni de stat în suma creditelor neachitate Băncii Naționale a Moldovei de către „Banca de Economii” S.A., BC ”Banca Socială” S.A. și BC ”Unibank” S.A. la data emiterii acestora.</w:t>
      </w:r>
    </w:p>
  </w:footnote>
  <w:footnote w:id="6">
    <w:p w14:paraId="65E7A4B3" w14:textId="77777777" w:rsidR="00017651" w:rsidRPr="00166A39" w:rsidRDefault="00017651" w:rsidP="00166A39">
      <w:pPr>
        <w:pStyle w:val="FootnoteText"/>
        <w:jc w:val="both"/>
        <w:rPr>
          <w:sz w:val="16"/>
          <w:szCs w:val="16"/>
        </w:rPr>
      </w:pPr>
      <w:r>
        <w:rPr>
          <w:rStyle w:val="FootnoteReference"/>
        </w:rPr>
        <w:footnoteRef/>
      </w:r>
      <w:r>
        <w:t xml:space="preserve"> </w:t>
      </w:r>
      <w:r w:rsidRPr="00166A39">
        <w:rPr>
          <w:sz w:val="16"/>
          <w:szCs w:val="16"/>
        </w:rPr>
        <w:t>Diminuarea ponderii datoriei de stat raportat la PIB cu aproximativ 8 p.p. în anul 2017</w:t>
      </w:r>
      <w:r>
        <w:rPr>
          <w:sz w:val="16"/>
          <w:szCs w:val="16"/>
        </w:rPr>
        <w:t>,</w:t>
      </w:r>
      <w:r w:rsidRPr="00166A39">
        <w:rPr>
          <w:sz w:val="16"/>
          <w:szCs w:val="16"/>
        </w:rPr>
        <w:t xml:space="preserve"> comparativ cu anul precedent</w:t>
      </w:r>
      <w:r>
        <w:rPr>
          <w:sz w:val="16"/>
          <w:szCs w:val="16"/>
        </w:rPr>
        <w:t>,</w:t>
      </w:r>
      <w:r w:rsidRPr="00166A39">
        <w:rPr>
          <w:sz w:val="16"/>
          <w:szCs w:val="16"/>
        </w:rPr>
        <w:t xml:space="preserve"> se datorează </w:t>
      </w:r>
      <w:r>
        <w:rPr>
          <w:sz w:val="16"/>
          <w:szCs w:val="16"/>
        </w:rPr>
        <w:t>revizuirii pe parcursul anului 2018 a valorii indicatorului PIB pentru anul 2017, conform noii metodologii de estimare SCN 2008/2010.</w:t>
      </w:r>
    </w:p>
  </w:footnote>
  <w:footnote w:id="7">
    <w:p w14:paraId="6C9C03D7" w14:textId="4F479CF2" w:rsidR="00017651" w:rsidRPr="00166A39" w:rsidRDefault="00017651" w:rsidP="000C2B62">
      <w:pPr>
        <w:pStyle w:val="FootnoteText"/>
        <w:jc w:val="both"/>
        <w:rPr>
          <w:rFonts w:asciiTheme="minorHAnsi" w:hAnsiTheme="minorHAnsi" w:cstheme="minorHAnsi"/>
          <w:sz w:val="16"/>
          <w:szCs w:val="16"/>
          <w:lang w:val="ro-MD"/>
        </w:rPr>
      </w:pPr>
      <w:r w:rsidRPr="00166A39">
        <w:rPr>
          <w:rStyle w:val="FootnoteReference"/>
          <w:rFonts w:asciiTheme="minorHAnsi" w:hAnsiTheme="minorHAnsi" w:cstheme="minorHAnsi"/>
          <w:sz w:val="16"/>
          <w:szCs w:val="16"/>
        </w:rPr>
        <w:footnoteRef/>
      </w:r>
      <w:r w:rsidRPr="00166A39">
        <w:rPr>
          <w:rFonts w:asciiTheme="minorHAnsi" w:hAnsiTheme="minorHAnsi" w:cstheme="minorHAnsi"/>
          <w:sz w:val="16"/>
          <w:szCs w:val="16"/>
          <w:lang w:val="en-US"/>
        </w:rPr>
        <w:t xml:space="preserve"> Diminuarea capitalului propriu a fost influențată în mare parte de micșorarea considerabilă a rezervelor Î.S. „Administrația de Stat a Drumurilor” cu 482,0 mil. lei, ca rezultat al transmiterii, pe parcursul anului 2017, autorităților publice locale de nivelul doi a circa 3500 km drumuri locale aflate în gestiunea întreprinderii, în temeiul Hotărîrii Guvernului nr. 1468</w:t>
      </w:r>
      <w:r>
        <w:rPr>
          <w:rFonts w:asciiTheme="minorHAnsi" w:hAnsiTheme="minorHAnsi" w:cstheme="minorHAnsi"/>
          <w:sz w:val="16"/>
          <w:szCs w:val="16"/>
          <w:lang w:val="en-US"/>
        </w:rPr>
        <w:t>/</w:t>
      </w:r>
      <w:r w:rsidRPr="00166A39">
        <w:rPr>
          <w:rFonts w:asciiTheme="minorHAnsi" w:hAnsiTheme="minorHAnsi" w:cstheme="minorHAnsi"/>
          <w:sz w:val="16"/>
          <w:szCs w:val="16"/>
          <w:lang w:val="en-US"/>
        </w:rPr>
        <w:t xml:space="preserve"> 2016 cu privire la aprobarea listelor drumurilor naționale și locale din Republica Moldova.</w:t>
      </w:r>
    </w:p>
  </w:footnote>
  <w:footnote w:id="8">
    <w:p w14:paraId="384C35C2" w14:textId="77777777" w:rsidR="00017651" w:rsidRPr="00D36231" w:rsidRDefault="00017651" w:rsidP="000C2B62">
      <w:pPr>
        <w:pStyle w:val="FootnoteText"/>
        <w:jc w:val="both"/>
        <w:rPr>
          <w:lang w:val="en-US"/>
        </w:rPr>
      </w:pPr>
      <w:r w:rsidRPr="00166A39">
        <w:rPr>
          <w:rStyle w:val="FootnoteReference"/>
          <w:rFonts w:asciiTheme="minorHAnsi" w:hAnsiTheme="minorHAnsi" w:cstheme="minorHAnsi"/>
          <w:sz w:val="16"/>
          <w:szCs w:val="16"/>
        </w:rPr>
        <w:footnoteRef/>
      </w:r>
      <w:r w:rsidRPr="00166A39">
        <w:rPr>
          <w:rFonts w:asciiTheme="minorHAnsi" w:hAnsiTheme="minorHAnsi" w:cstheme="minorHAnsi"/>
          <w:sz w:val="16"/>
          <w:szCs w:val="16"/>
          <w:lang w:val="en-US"/>
        </w:rPr>
        <w:t xml:space="preserve"> </w:t>
      </w:r>
      <w:r w:rsidRPr="00166A39">
        <w:rPr>
          <w:rFonts w:asciiTheme="minorHAnsi" w:hAnsiTheme="minorHAnsi" w:cstheme="minorHAnsi"/>
          <w:sz w:val="16"/>
          <w:szCs w:val="16"/>
          <w:lang w:val="ro-MD"/>
        </w:rPr>
        <w:t>2134,8 mil. lei sau 31.0% reprezintă alte datorii pe termen lung înregistrate de Î.S. „Administrația de Stat a Drumurilor”, care sunt în mare parte finanțări și încasări cu destinație specială pe termen lung în cadrul Proiectului de susținere al Programului în sectorul drumurilor.</w:t>
      </w:r>
    </w:p>
  </w:footnote>
  <w:footnote w:id="9">
    <w:p w14:paraId="4761B98A" w14:textId="77777777" w:rsidR="00017651" w:rsidRPr="007F4AEE" w:rsidRDefault="00017651" w:rsidP="000C2B62">
      <w:pPr>
        <w:pStyle w:val="FootnoteText"/>
        <w:rPr>
          <w:sz w:val="16"/>
          <w:szCs w:val="16"/>
          <w:lang w:val="ro-MD"/>
        </w:rPr>
      </w:pPr>
      <w:r w:rsidRPr="007F4AEE">
        <w:rPr>
          <w:rStyle w:val="FootnoteReference"/>
          <w:sz w:val="16"/>
          <w:szCs w:val="16"/>
        </w:rPr>
        <w:footnoteRef/>
      </w:r>
      <w:r w:rsidRPr="007F4AEE">
        <w:rPr>
          <w:sz w:val="16"/>
          <w:szCs w:val="16"/>
        </w:rPr>
        <w:t xml:space="preserve"> Se calculează ca raport dintre activele curente și datoriile curente ale întreprinderii. Nivelul acestui indicator trebuie să fie mai mare de 1.</w:t>
      </w:r>
    </w:p>
  </w:footnote>
  <w:footnote w:id="10">
    <w:p w14:paraId="0B17CA3D" w14:textId="48EE14B0" w:rsidR="00017651" w:rsidRPr="007F4AEE" w:rsidRDefault="00017651" w:rsidP="000C2B62">
      <w:pPr>
        <w:pStyle w:val="FootnoteText"/>
        <w:jc w:val="both"/>
        <w:rPr>
          <w:sz w:val="16"/>
          <w:szCs w:val="16"/>
        </w:rPr>
      </w:pPr>
      <w:r w:rsidRPr="007F4AEE">
        <w:rPr>
          <w:rStyle w:val="FootnoteReference"/>
          <w:sz w:val="16"/>
          <w:szCs w:val="16"/>
        </w:rPr>
        <w:footnoteRef/>
      </w:r>
      <w:r w:rsidRPr="007F4AEE">
        <w:rPr>
          <w:sz w:val="16"/>
          <w:szCs w:val="16"/>
        </w:rPr>
        <w:t xml:space="preserve"> Se calculează ca raport dintre rezultatul din activitatea operațională și veniturile din vânzări ale întreprinderii. Nivelul acestui indicator trebuie să depășească rata dobânzii pentru creditele contractate.</w:t>
      </w:r>
    </w:p>
  </w:footnote>
  <w:footnote w:id="11">
    <w:p w14:paraId="2AB6373D" w14:textId="77777777" w:rsidR="00017651" w:rsidRPr="007F4AEE" w:rsidRDefault="00017651" w:rsidP="000C2B62">
      <w:pPr>
        <w:pStyle w:val="FootnoteText"/>
        <w:rPr>
          <w:sz w:val="16"/>
          <w:szCs w:val="16"/>
          <w:lang w:val="ro-MD"/>
        </w:rPr>
      </w:pPr>
      <w:r w:rsidRPr="007F4AEE">
        <w:rPr>
          <w:rStyle w:val="FootnoteReference"/>
          <w:sz w:val="16"/>
          <w:szCs w:val="16"/>
        </w:rPr>
        <w:footnoteRef/>
      </w:r>
      <w:r w:rsidRPr="007F4AEE">
        <w:rPr>
          <w:sz w:val="16"/>
          <w:szCs w:val="16"/>
        </w:rPr>
        <w:t xml:space="preserve"> Se calculează ca raport dintre activele totale și capitalul propriu al întreprinderii. Nivelul acestui indicator trebuie să fie mai mic ca 2.</w:t>
      </w:r>
    </w:p>
  </w:footnote>
  <w:footnote w:id="12">
    <w:p w14:paraId="2B71F807" w14:textId="77777777" w:rsidR="00017651" w:rsidRPr="007F4AEE" w:rsidRDefault="00017651" w:rsidP="000C2B62">
      <w:pPr>
        <w:pStyle w:val="FootnoteText"/>
        <w:jc w:val="both"/>
        <w:rPr>
          <w:lang w:val="ro-MD"/>
        </w:rPr>
      </w:pPr>
      <w:r w:rsidRPr="007F4AEE">
        <w:rPr>
          <w:rStyle w:val="FootnoteReference"/>
          <w:sz w:val="16"/>
          <w:szCs w:val="16"/>
        </w:rPr>
        <w:footnoteRef/>
      </w:r>
      <w:r w:rsidRPr="007F4AEE">
        <w:rPr>
          <w:sz w:val="16"/>
          <w:szCs w:val="16"/>
        </w:rPr>
        <w:t xml:space="preserve"> </w:t>
      </w:r>
      <w:r w:rsidRPr="007F4AEE">
        <w:rPr>
          <w:sz w:val="16"/>
          <w:szCs w:val="16"/>
          <w:lang w:val="ro-MD"/>
        </w:rPr>
        <w:t>2134,8 mil. lei sau 87,5% reprezintă alte datorii pe termen lung înregistrate de Î.S. „Administrația de Stat a Drumurilor”, care sunt în mare parte finanțări și încasări cu destinație specială pe termen lung în cadrul Proiectului de susținere al Programului în sectorul drumurilor.</w:t>
      </w:r>
    </w:p>
  </w:footnote>
  <w:footnote w:id="13">
    <w:p w14:paraId="6578E1DA" w14:textId="26A20691" w:rsidR="006808E0" w:rsidRPr="006808E0" w:rsidRDefault="006808E0">
      <w:pPr>
        <w:pStyle w:val="FootnoteText"/>
        <w:rPr>
          <w:rFonts w:asciiTheme="minorHAnsi" w:hAnsiTheme="minorHAnsi" w:cstheme="minorHAnsi"/>
          <w:sz w:val="18"/>
          <w:szCs w:val="18"/>
        </w:rPr>
      </w:pPr>
      <w:r>
        <w:rPr>
          <w:rStyle w:val="FootnoteReference"/>
        </w:rPr>
        <w:footnoteRef/>
      </w:r>
      <w:r>
        <w:t xml:space="preserve"> </w:t>
      </w:r>
      <w:r w:rsidRPr="006808E0">
        <w:rPr>
          <w:rFonts w:asciiTheme="minorHAnsi" w:hAnsiTheme="minorHAnsi" w:cstheme="minorHAnsi"/>
          <w:sz w:val="18"/>
          <w:szCs w:val="18"/>
        </w:rPr>
        <w:t>În septembrie 2018  Î.S. Compania Aeriană „AIR Moldova” a fost vândută prin concurs comercial de către Agenția Proprietăți Publice</w:t>
      </w:r>
      <w:r>
        <w:rPr>
          <w:rFonts w:asciiTheme="minorHAnsi" w:hAnsiTheme="minorHAnsi" w:cstheme="minorHAnsi"/>
          <w:sz w:val="18"/>
          <w:szCs w:val="18"/>
        </w:rPr>
        <w:t>.</w:t>
      </w:r>
      <w:r w:rsidRPr="006808E0">
        <w:rPr>
          <w:rFonts w:asciiTheme="minorHAnsi" w:hAnsiTheme="minorHAnsi" w:cstheme="minorHAnsi"/>
          <w:sz w:val="18"/>
          <w:szCs w:val="18"/>
        </w:rPr>
        <w:t xml:space="preserve"> </w:t>
      </w:r>
    </w:p>
  </w:footnote>
  <w:footnote w:id="14">
    <w:p w14:paraId="42BAFA82" w14:textId="408CC9BF" w:rsidR="00FD12F8" w:rsidRPr="00000191" w:rsidRDefault="00FD12F8" w:rsidP="00FD12F8">
      <w:pPr>
        <w:pStyle w:val="FootnoteText"/>
        <w:jc w:val="both"/>
        <w:rPr>
          <w:rFonts w:asciiTheme="minorHAnsi" w:hAnsiTheme="minorHAnsi" w:cstheme="minorHAnsi"/>
          <w:sz w:val="16"/>
          <w:szCs w:val="16"/>
          <w:lang w:val="ro-MD"/>
        </w:rPr>
      </w:pPr>
      <w:r w:rsidRPr="00000191">
        <w:rPr>
          <w:rStyle w:val="FootnoteReference"/>
          <w:rFonts w:asciiTheme="minorHAnsi" w:hAnsiTheme="minorHAnsi" w:cstheme="minorHAnsi"/>
          <w:sz w:val="16"/>
          <w:szCs w:val="16"/>
        </w:rPr>
        <w:footnoteRef/>
      </w:r>
      <w:r w:rsidRPr="00000191">
        <w:rPr>
          <w:rFonts w:asciiTheme="minorHAnsi" w:hAnsiTheme="minorHAnsi" w:cstheme="minorHAnsi"/>
          <w:sz w:val="16"/>
          <w:szCs w:val="16"/>
        </w:rPr>
        <w:t xml:space="preserve"> </w:t>
      </w:r>
      <w:r w:rsidRPr="00000191">
        <w:rPr>
          <w:rFonts w:asciiTheme="minorHAnsi" w:hAnsiTheme="minorHAnsi" w:cstheme="minorHAnsi"/>
          <w:sz w:val="16"/>
          <w:szCs w:val="16"/>
          <w:lang w:val="ro-MD"/>
        </w:rPr>
        <w:t>Întreprinderile de stat urmează a fi reorganizate fie în instituții publice fie în societăți comerciale. Pentru unele din întreprinderi deja au fost elaborate proiectele de hotărâri ale Guvernului de reorganizare a acestora în instituții publice. Din acest motiv, sumele planificate pentru 2019 pot devia semnificativ față de executare.</w:t>
      </w:r>
    </w:p>
  </w:footnote>
  <w:footnote w:id="15">
    <w:p w14:paraId="47E94113" w14:textId="77777777" w:rsidR="00017651" w:rsidRPr="001A5CC0" w:rsidRDefault="00017651" w:rsidP="00764913">
      <w:pPr>
        <w:pStyle w:val="FootnoteText"/>
        <w:rPr>
          <w:rFonts w:asciiTheme="minorHAnsi" w:hAnsiTheme="minorHAnsi"/>
          <w:sz w:val="18"/>
        </w:rPr>
      </w:pPr>
      <w:r w:rsidRPr="00F300DD">
        <w:rPr>
          <w:rStyle w:val="FootnoteReference"/>
          <w:rFonts w:asciiTheme="minorHAnsi" w:hAnsiTheme="minorHAnsi"/>
          <w:sz w:val="18"/>
        </w:rPr>
        <w:footnoteRef/>
      </w:r>
      <w:r w:rsidRPr="001A5CC0">
        <w:rPr>
          <w:rFonts w:asciiTheme="minorHAnsi" w:hAnsiTheme="minorHAnsi"/>
          <w:sz w:val="16"/>
        </w:rPr>
        <w:t xml:space="preserve"> Începând cu 30.07.2018 a intrat în vigoare Regulamentul privind fondurile proprii care a înlocuit Regulamentul privind s</w:t>
      </w:r>
      <w:r>
        <w:rPr>
          <w:rFonts w:asciiTheme="minorHAnsi" w:hAnsiTheme="minorHAnsi"/>
          <w:sz w:val="16"/>
        </w:rPr>
        <w:t>u</w:t>
      </w:r>
      <w:r w:rsidRPr="001A5CC0">
        <w:rPr>
          <w:rFonts w:asciiTheme="minorHAnsi" w:hAnsiTheme="minorHAnsi"/>
          <w:sz w:val="16"/>
        </w:rPr>
        <w:t>ficiența capitalului ponderat la risc</w:t>
      </w:r>
    </w:p>
  </w:footnote>
  <w:footnote w:id="16">
    <w:p w14:paraId="5A724B18" w14:textId="77777777" w:rsidR="00017651" w:rsidRPr="00C04733" w:rsidRDefault="00017651" w:rsidP="00764913">
      <w:pPr>
        <w:pStyle w:val="FootnoteText"/>
        <w:rPr>
          <w:rFonts w:ascii="PermianSerifTypeface" w:hAnsi="PermianSerifTypeface"/>
        </w:rPr>
      </w:pPr>
      <w:r w:rsidRPr="00C04733">
        <w:rPr>
          <w:rStyle w:val="FootnoteReference"/>
          <w:rFonts w:ascii="PermianSerifTypeface" w:hAnsi="PermianSerifTypeface"/>
          <w:sz w:val="18"/>
        </w:rPr>
        <w:footnoteRef/>
      </w:r>
      <w:r>
        <w:rPr>
          <w:rFonts w:asciiTheme="minorHAnsi" w:hAnsiTheme="minorHAnsi" w:cstheme="minorHAnsi"/>
          <w:sz w:val="16"/>
        </w:rPr>
        <w:t xml:space="preserve"> </w:t>
      </w:r>
      <w:r w:rsidRPr="000552FE">
        <w:rPr>
          <w:rFonts w:asciiTheme="minorHAnsi" w:hAnsiTheme="minorHAnsi" w:cstheme="minorHAnsi"/>
          <w:sz w:val="16"/>
        </w:rPr>
        <w:t>Soldul total al creditelor acordate de bănci și instituțiile financiare nebancare</w:t>
      </w:r>
    </w:p>
  </w:footnote>
  <w:footnote w:id="17">
    <w:p w14:paraId="57C27116" w14:textId="77777777" w:rsidR="00017651" w:rsidRPr="00A858C2" w:rsidRDefault="00017651" w:rsidP="00B32CF7">
      <w:pPr>
        <w:ind w:firstLine="284"/>
        <w:jc w:val="both"/>
        <w:rPr>
          <w:rFonts w:ascii="Calibri" w:hAnsi="Calibri" w:cs="Calibri"/>
        </w:rPr>
      </w:pPr>
      <w:r>
        <w:rPr>
          <w:rStyle w:val="FootnoteReference"/>
        </w:rPr>
        <w:footnoteRef/>
      </w:r>
      <w:r w:rsidRPr="000552FE">
        <w:rPr>
          <w:rFonts w:ascii="Calibri" w:hAnsi="Calibri" w:cs="Calibri"/>
          <w:sz w:val="16"/>
          <w:szCs w:val="16"/>
        </w:rPr>
        <w:t xml:space="preserve">cu </w:t>
      </w:r>
      <w:r w:rsidRPr="000552FE">
        <w:rPr>
          <w:rFonts w:ascii="Calibri" w:hAnsi="Calibri" w:cs="Calibri"/>
          <w:i/>
          <w:sz w:val="16"/>
          <w:szCs w:val="16"/>
        </w:rPr>
        <w:t>excepția garanțiilor de stat emise în anii 2014-2015 pentru asigurarea stabilității sistemului financiar național, care au fost convertite în anul 2016 în datorie de stat</w:t>
      </w:r>
    </w:p>
    <w:p w14:paraId="59792D23" w14:textId="77777777" w:rsidR="00017651" w:rsidRDefault="000176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647"/>
    <w:multiLevelType w:val="hybridMultilevel"/>
    <w:tmpl w:val="E7A0819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15:restartNumberingAfterBreak="0">
    <w:nsid w:val="06BB5F25"/>
    <w:multiLevelType w:val="hybridMultilevel"/>
    <w:tmpl w:val="4FB8D9FE"/>
    <w:lvl w:ilvl="0" w:tplc="68F28BDA">
      <w:start w:val="1"/>
      <w:numFmt w:val="bullet"/>
      <w:lvlText w:val=""/>
      <w:lvlJc w:val="left"/>
      <w:pPr>
        <w:ind w:left="720" w:hanging="360"/>
      </w:pPr>
      <w:rPr>
        <w:rFonts w:ascii="Symbol" w:hAnsi="Symbol" w:hint="default"/>
      </w:rPr>
    </w:lvl>
    <w:lvl w:ilvl="1" w:tplc="C16E3C14">
      <w:start w:val="1"/>
      <w:numFmt w:val="bullet"/>
      <w:lvlText w:val="o"/>
      <w:lvlJc w:val="left"/>
      <w:pPr>
        <w:ind w:left="1440" w:hanging="360"/>
      </w:pPr>
      <w:rPr>
        <w:rFonts w:ascii="Courier New" w:hAnsi="Courier New" w:cs="Courier New" w:hint="default"/>
      </w:rPr>
    </w:lvl>
    <w:lvl w:ilvl="2" w:tplc="1D0A6AF8" w:tentative="1">
      <w:start w:val="1"/>
      <w:numFmt w:val="bullet"/>
      <w:lvlText w:val=""/>
      <w:lvlJc w:val="left"/>
      <w:pPr>
        <w:ind w:left="2160" w:hanging="360"/>
      </w:pPr>
      <w:rPr>
        <w:rFonts w:ascii="Wingdings" w:hAnsi="Wingdings" w:hint="default"/>
      </w:rPr>
    </w:lvl>
    <w:lvl w:ilvl="3" w:tplc="4D02A226" w:tentative="1">
      <w:start w:val="1"/>
      <w:numFmt w:val="bullet"/>
      <w:lvlText w:val=""/>
      <w:lvlJc w:val="left"/>
      <w:pPr>
        <w:ind w:left="2880" w:hanging="360"/>
      </w:pPr>
      <w:rPr>
        <w:rFonts w:ascii="Symbol" w:hAnsi="Symbol" w:hint="default"/>
      </w:rPr>
    </w:lvl>
    <w:lvl w:ilvl="4" w:tplc="0A3C0438" w:tentative="1">
      <w:start w:val="1"/>
      <w:numFmt w:val="bullet"/>
      <w:lvlText w:val="o"/>
      <w:lvlJc w:val="left"/>
      <w:pPr>
        <w:ind w:left="3600" w:hanging="360"/>
      </w:pPr>
      <w:rPr>
        <w:rFonts w:ascii="Courier New" w:hAnsi="Courier New" w:cs="Courier New" w:hint="default"/>
      </w:rPr>
    </w:lvl>
    <w:lvl w:ilvl="5" w:tplc="12C2F636" w:tentative="1">
      <w:start w:val="1"/>
      <w:numFmt w:val="bullet"/>
      <w:lvlText w:val=""/>
      <w:lvlJc w:val="left"/>
      <w:pPr>
        <w:ind w:left="4320" w:hanging="360"/>
      </w:pPr>
      <w:rPr>
        <w:rFonts w:ascii="Wingdings" w:hAnsi="Wingdings" w:hint="default"/>
      </w:rPr>
    </w:lvl>
    <w:lvl w:ilvl="6" w:tplc="23889114" w:tentative="1">
      <w:start w:val="1"/>
      <w:numFmt w:val="bullet"/>
      <w:lvlText w:val=""/>
      <w:lvlJc w:val="left"/>
      <w:pPr>
        <w:ind w:left="5040" w:hanging="360"/>
      </w:pPr>
      <w:rPr>
        <w:rFonts w:ascii="Symbol" w:hAnsi="Symbol" w:hint="default"/>
      </w:rPr>
    </w:lvl>
    <w:lvl w:ilvl="7" w:tplc="1D3A89B0" w:tentative="1">
      <w:start w:val="1"/>
      <w:numFmt w:val="bullet"/>
      <w:lvlText w:val="o"/>
      <w:lvlJc w:val="left"/>
      <w:pPr>
        <w:ind w:left="5760" w:hanging="360"/>
      </w:pPr>
      <w:rPr>
        <w:rFonts w:ascii="Courier New" w:hAnsi="Courier New" w:cs="Courier New" w:hint="default"/>
      </w:rPr>
    </w:lvl>
    <w:lvl w:ilvl="8" w:tplc="BC16340C" w:tentative="1">
      <w:start w:val="1"/>
      <w:numFmt w:val="bullet"/>
      <w:lvlText w:val=""/>
      <w:lvlJc w:val="left"/>
      <w:pPr>
        <w:ind w:left="6480" w:hanging="360"/>
      </w:pPr>
      <w:rPr>
        <w:rFonts w:ascii="Wingdings" w:hAnsi="Wingdings" w:hint="default"/>
      </w:rPr>
    </w:lvl>
  </w:abstractNum>
  <w:abstractNum w:abstractNumId="2" w15:restartNumberingAfterBreak="0">
    <w:nsid w:val="06F2249B"/>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A6CA5"/>
    <w:multiLevelType w:val="hybridMultilevel"/>
    <w:tmpl w:val="47CCAAF6"/>
    <w:lvl w:ilvl="0" w:tplc="5596C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A049A"/>
    <w:multiLevelType w:val="hybridMultilevel"/>
    <w:tmpl w:val="326E22B4"/>
    <w:lvl w:ilvl="0" w:tplc="5FC462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05CA9"/>
    <w:multiLevelType w:val="hybridMultilevel"/>
    <w:tmpl w:val="2DD25A20"/>
    <w:lvl w:ilvl="0" w:tplc="5DA86640">
      <w:start w:val="2"/>
      <w:numFmt w:val="decimal"/>
      <w:pStyle w:val="ParagraphNumbering"/>
      <w:lvlText w:val="%1.     "/>
      <w:lvlJc w:val="left"/>
      <w:pPr>
        <w:tabs>
          <w:tab w:val="num" w:pos="72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314AE"/>
    <w:multiLevelType w:val="hybridMultilevel"/>
    <w:tmpl w:val="52EC8D56"/>
    <w:lvl w:ilvl="0" w:tplc="555C3512">
      <w:start w:val="2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CC1D7B"/>
    <w:multiLevelType w:val="hybridMultilevel"/>
    <w:tmpl w:val="6E00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D549F"/>
    <w:multiLevelType w:val="hybridMultilevel"/>
    <w:tmpl w:val="B202AC9E"/>
    <w:lvl w:ilvl="0" w:tplc="957EAF3A">
      <w:numFmt w:val="bullet"/>
      <w:lvlText w:val="-"/>
      <w:lvlJc w:val="left"/>
      <w:pPr>
        <w:tabs>
          <w:tab w:val="num" w:pos="810"/>
        </w:tabs>
        <w:ind w:left="810" w:hanging="360"/>
      </w:pPr>
      <w:rPr>
        <w:rFonts w:ascii="Times New Roman" w:eastAsia="SimSun" w:hAnsi="Times New Roman" w:cs="Times New Roman" w:hint="default"/>
        <w:color w:val="auto"/>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9" w15:restartNumberingAfterBreak="0">
    <w:nsid w:val="18C32224"/>
    <w:multiLevelType w:val="hybridMultilevel"/>
    <w:tmpl w:val="0BC6EA9A"/>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0" w15:restartNumberingAfterBreak="0">
    <w:nsid w:val="1D270E5F"/>
    <w:multiLevelType w:val="hybridMultilevel"/>
    <w:tmpl w:val="DF22B58A"/>
    <w:lvl w:ilvl="0" w:tplc="ABE4F7EC">
      <w:start w:val="1"/>
      <w:numFmt w:val="low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4C4060"/>
    <w:multiLevelType w:val="hybridMultilevel"/>
    <w:tmpl w:val="E0EC558A"/>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2" w15:restartNumberingAfterBreak="0">
    <w:nsid w:val="2412087F"/>
    <w:multiLevelType w:val="hybridMultilevel"/>
    <w:tmpl w:val="F86CD1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AD017E0"/>
    <w:multiLevelType w:val="hybridMultilevel"/>
    <w:tmpl w:val="A94C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A4776"/>
    <w:multiLevelType w:val="hybridMultilevel"/>
    <w:tmpl w:val="9C7A732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5" w15:restartNumberingAfterBreak="0">
    <w:nsid w:val="2B255449"/>
    <w:multiLevelType w:val="hybridMultilevel"/>
    <w:tmpl w:val="782C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E00DCB"/>
    <w:multiLevelType w:val="multilevel"/>
    <w:tmpl w:val="8A8458F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341C76"/>
    <w:multiLevelType w:val="hybridMultilevel"/>
    <w:tmpl w:val="07B02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704AD5"/>
    <w:multiLevelType w:val="hybridMultilevel"/>
    <w:tmpl w:val="16A054EE"/>
    <w:lvl w:ilvl="0" w:tplc="39605F72">
      <w:numFmt w:val="bullet"/>
      <w:lvlText w:val="-"/>
      <w:lvlJc w:val="left"/>
      <w:pPr>
        <w:tabs>
          <w:tab w:val="num" w:pos="900"/>
        </w:tabs>
        <w:ind w:left="900" w:hanging="360"/>
      </w:pPr>
      <w:rPr>
        <w:rFonts w:ascii="Times New Roman" w:eastAsia="SimSun" w:hAnsi="Times New Roman" w:cs="Times New Roman"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19" w15:restartNumberingAfterBreak="0">
    <w:nsid w:val="3C6075AC"/>
    <w:multiLevelType w:val="hybridMultilevel"/>
    <w:tmpl w:val="0EC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92BBE"/>
    <w:multiLevelType w:val="multilevel"/>
    <w:tmpl w:val="915CD9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FDC1483"/>
    <w:multiLevelType w:val="hybridMultilevel"/>
    <w:tmpl w:val="0F06BD1A"/>
    <w:lvl w:ilvl="0" w:tplc="39605F72">
      <w:numFmt w:val="bullet"/>
      <w:lvlText w:val="-"/>
      <w:lvlJc w:val="left"/>
      <w:pPr>
        <w:tabs>
          <w:tab w:val="num" w:pos="800"/>
        </w:tabs>
        <w:ind w:left="80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B464E"/>
    <w:multiLevelType w:val="hybridMultilevel"/>
    <w:tmpl w:val="3A4AA8CA"/>
    <w:lvl w:ilvl="0" w:tplc="230E3E88">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EC71CC"/>
    <w:multiLevelType w:val="hybridMultilevel"/>
    <w:tmpl w:val="24F40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E2C61"/>
    <w:multiLevelType w:val="hybridMultilevel"/>
    <w:tmpl w:val="D7AEDEE0"/>
    <w:lvl w:ilvl="0" w:tplc="9202D5F0">
      <w:start w:val="19"/>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48C97EE4"/>
    <w:multiLevelType w:val="hybridMultilevel"/>
    <w:tmpl w:val="68669FC8"/>
    <w:lvl w:ilvl="0" w:tplc="39605F72">
      <w:numFmt w:val="bullet"/>
      <w:lvlText w:val="-"/>
      <w:lvlJc w:val="left"/>
      <w:pPr>
        <w:tabs>
          <w:tab w:val="num" w:pos="800"/>
        </w:tabs>
        <w:ind w:left="80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B07EC"/>
    <w:multiLevelType w:val="hybridMultilevel"/>
    <w:tmpl w:val="315A96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4F467E7"/>
    <w:multiLevelType w:val="hybridMultilevel"/>
    <w:tmpl w:val="A33E33F0"/>
    <w:lvl w:ilvl="0" w:tplc="1A3A6A7C">
      <w:start w:val="1"/>
      <w:numFmt w:val="bullet"/>
      <w:lvlText w:val=""/>
      <w:lvlJc w:val="left"/>
      <w:pPr>
        <w:ind w:left="927" w:hanging="360"/>
      </w:pPr>
      <w:rPr>
        <w:rFonts w:ascii="Symbol" w:eastAsia="SimSun" w:hAnsi="Symbol"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8" w15:restartNumberingAfterBreak="0">
    <w:nsid w:val="571B7461"/>
    <w:multiLevelType w:val="hybridMultilevel"/>
    <w:tmpl w:val="AD727742"/>
    <w:lvl w:ilvl="0" w:tplc="350A28D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9" w15:restartNumberingAfterBreak="0">
    <w:nsid w:val="5CCF456D"/>
    <w:multiLevelType w:val="hybridMultilevel"/>
    <w:tmpl w:val="507636D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CD40D37"/>
    <w:multiLevelType w:val="multilevel"/>
    <w:tmpl w:val="B78023C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4096972"/>
    <w:multiLevelType w:val="hybridMultilevel"/>
    <w:tmpl w:val="2772896C"/>
    <w:lvl w:ilvl="0" w:tplc="39605F72">
      <w:numFmt w:val="bullet"/>
      <w:lvlText w:val="-"/>
      <w:lvlJc w:val="left"/>
      <w:pPr>
        <w:tabs>
          <w:tab w:val="num" w:pos="800"/>
        </w:tabs>
        <w:ind w:left="80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12029"/>
    <w:multiLevelType w:val="hybridMultilevel"/>
    <w:tmpl w:val="E53E2CA6"/>
    <w:lvl w:ilvl="0" w:tplc="4156EACC">
      <w:start w:val="1"/>
      <w:numFmt w:val="bullet"/>
      <w:lvlText w:val=""/>
      <w:lvlJc w:val="left"/>
      <w:pPr>
        <w:tabs>
          <w:tab w:val="num" w:pos="720"/>
        </w:tabs>
        <w:ind w:left="720" w:hanging="360"/>
      </w:pPr>
      <w:rPr>
        <w:rFonts w:ascii="Symbol" w:hAnsi="Symbol" w:hint="default"/>
      </w:rPr>
    </w:lvl>
    <w:lvl w:ilvl="1" w:tplc="5A5ABDFE" w:tentative="1">
      <w:start w:val="1"/>
      <w:numFmt w:val="bullet"/>
      <w:lvlText w:val=""/>
      <w:lvlJc w:val="left"/>
      <w:pPr>
        <w:tabs>
          <w:tab w:val="num" w:pos="1440"/>
        </w:tabs>
        <w:ind w:left="1440" w:hanging="360"/>
      </w:pPr>
      <w:rPr>
        <w:rFonts w:ascii="Symbol" w:hAnsi="Symbol" w:hint="default"/>
      </w:rPr>
    </w:lvl>
    <w:lvl w:ilvl="2" w:tplc="4EBCE0FC" w:tentative="1">
      <w:start w:val="1"/>
      <w:numFmt w:val="bullet"/>
      <w:lvlText w:val=""/>
      <w:lvlJc w:val="left"/>
      <w:pPr>
        <w:tabs>
          <w:tab w:val="num" w:pos="2160"/>
        </w:tabs>
        <w:ind w:left="2160" w:hanging="360"/>
      </w:pPr>
      <w:rPr>
        <w:rFonts w:ascii="Symbol" w:hAnsi="Symbol" w:hint="default"/>
      </w:rPr>
    </w:lvl>
    <w:lvl w:ilvl="3" w:tplc="D28CBBF8" w:tentative="1">
      <w:start w:val="1"/>
      <w:numFmt w:val="bullet"/>
      <w:lvlText w:val=""/>
      <w:lvlJc w:val="left"/>
      <w:pPr>
        <w:tabs>
          <w:tab w:val="num" w:pos="2880"/>
        </w:tabs>
        <w:ind w:left="2880" w:hanging="360"/>
      </w:pPr>
      <w:rPr>
        <w:rFonts w:ascii="Symbol" w:hAnsi="Symbol" w:hint="default"/>
      </w:rPr>
    </w:lvl>
    <w:lvl w:ilvl="4" w:tplc="C226B024" w:tentative="1">
      <w:start w:val="1"/>
      <w:numFmt w:val="bullet"/>
      <w:lvlText w:val=""/>
      <w:lvlJc w:val="left"/>
      <w:pPr>
        <w:tabs>
          <w:tab w:val="num" w:pos="3600"/>
        </w:tabs>
        <w:ind w:left="3600" w:hanging="360"/>
      </w:pPr>
      <w:rPr>
        <w:rFonts w:ascii="Symbol" w:hAnsi="Symbol" w:hint="default"/>
      </w:rPr>
    </w:lvl>
    <w:lvl w:ilvl="5" w:tplc="E5EAD484" w:tentative="1">
      <w:start w:val="1"/>
      <w:numFmt w:val="bullet"/>
      <w:lvlText w:val=""/>
      <w:lvlJc w:val="left"/>
      <w:pPr>
        <w:tabs>
          <w:tab w:val="num" w:pos="4320"/>
        </w:tabs>
        <w:ind w:left="4320" w:hanging="360"/>
      </w:pPr>
      <w:rPr>
        <w:rFonts w:ascii="Symbol" w:hAnsi="Symbol" w:hint="default"/>
      </w:rPr>
    </w:lvl>
    <w:lvl w:ilvl="6" w:tplc="5E125918" w:tentative="1">
      <w:start w:val="1"/>
      <w:numFmt w:val="bullet"/>
      <w:lvlText w:val=""/>
      <w:lvlJc w:val="left"/>
      <w:pPr>
        <w:tabs>
          <w:tab w:val="num" w:pos="5040"/>
        </w:tabs>
        <w:ind w:left="5040" w:hanging="360"/>
      </w:pPr>
      <w:rPr>
        <w:rFonts w:ascii="Symbol" w:hAnsi="Symbol" w:hint="default"/>
      </w:rPr>
    </w:lvl>
    <w:lvl w:ilvl="7" w:tplc="7D348FB6" w:tentative="1">
      <w:start w:val="1"/>
      <w:numFmt w:val="bullet"/>
      <w:lvlText w:val=""/>
      <w:lvlJc w:val="left"/>
      <w:pPr>
        <w:tabs>
          <w:tab w:val="num" w:pos="5760"/>
        </w:tabs>
        <w:ind w:left="5760" w:hanging="360"/>
      </w:pPr>
      <w:rPr>
        <w:rFonts w:ascii="Symbol" w:hAnsi="Symbol" w:hint="default"/>
      </w:rPr>
    </w:lvl>
    <w:lvl w:ilvl="8" w:tplc="DAC2EAD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F0A2A46"/>
    <w:multiLevelType w:val="hybridMultilevel"/>
    <w:tmpl w:val="2240413A"/>
    <w:lvl w:ilvl="0" w:tplc="39605F72">
      <w:numFmt w:val="bullet"/>
      <w:lvlText w:val="-"/>
      <w:lvlJc w:val="left"/>
      <w:pPr>
        <w:ind w:left="630" w:hanging="360"/>
      </w:pPr>
      <w:rPr>
        <w:rFonts w:ascii="Times New Roman" w:eastAsia="SimSu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69B60A6"/>
    <w:multiLevelType w:val="hybridMultilevel"/>
    <w:tmpl w:val="2032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1A6CD8"/>
    <w:multiLevelType w:val="hybridMultilevel"/>
    <w:tmpl w:val="4FD404B6"/>
    <w:lvl w:ilvl="0" w:tplc="B002C1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44B6E"/>
    <w:multiLevelType w:val="hybridMultilevel"/>
    <w:tmpl w:val="E4CAB7F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7" w15:restartNumberingAfterBreak="0">
    <w:nsid w:val="781348FE"/>
    <w:multiLevelType w:val="hybridMultilevel"/>
    <w:tmpl w:val="F1585E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32"/>
  </w:num>
  <w:num w:numId="3">
    <w:abstractNumId w:val="27"/>
  </w:num>
  <w:num w:numId="4">
    <w:abstractNumId w:val="5"/>
  </w:num>
  <w:num w:numId="5">
    <w:abstractNumId w:val="5"/>
  </w:num>
  <w:num w:numId="6">
    <w:abstractNumId w:val="5"/>
  </w:num>
  <w:num w:numId="7">
    <w:abstractNumId w:val="29"/>
  </w:num>
  <w:num w:numId="8">
    <w:abstractNumId w:val="1"/>
  </w:num>
  <w:num w:numId="9">
    <w:abstractNumId w:val="2"/>
  </w:num>
  <w:num w:numId="10">
    <w:abstractNumId w:val="30"/>
  </w:num>
  <w:num w:numId="11">
    <w:abstractNumId w:val="26"/>
  </w:num>
  <w:num w:numId="12">
    <w:abstractNumId w:val="20"/>
  </w:num>
  <w:num w:numId="13">
    <w:abstractNumId w:val="11"/>
  </w:num>
  <w:num w:numId="14">
    <w:abstractNumId w:val="35"/>
  </w:num>
  <w:num w:numId="15">
    <w:abstractNumId w:val="11"/>
  </w:num>
  <w:num w:numId="16">
    <w:abstractNumId w:val="35"/>
  </w:num>
  <w:num w:numId="17">
    <w:abstractNumId w:val="17"/>
  </w:num>
  <w:num w:numId="18">
    <w:abstractNumId w:val="3"/>
  </w:num>
  <w:num w:numId="19">
    <w:abstractNumId w:val="6"/>
  </w:num>
  <w:num w:numId="20">
    <w:abstractNumId w:val="23"/>
  </w:num>
  <w:num w:numId="21">
    <w:abstractNumId w:val="19"/>
  </w:num>
  <w:num w:numId="22">
    <w:abstractNumId w:val="12"/>
  </w:num>
  <w:num w:numId="23">
    <w:abstractNumId w:val="24"/>
  </w:num>
  <w:num w:numId="24">
    <w:abstractNumId w:val="0"/>
  </w:num>
  <w:num w:numId="25">
    <w:abstractNumId w:val="14"/>
  </w:num>
  <w:num w:numId="26">
    <w:abstractNumId w:val="37"/>
  </w:num>
  <w:num w:numId="27">
    <w:abstractNumId w:val="16"/>
  </w:num>
  <w:num w:numId="28">
    <w:abstractNumId w:val="25"/>
  </w:num>
  <w:num w:numId="29">
    <w:abstractNumId w:val="8"/>
  </w:num>
  <w:num w:numId="30">
    <w:abstractNumId w:val="18"/>
  </w:num>
  <w:num w:numId="31">
    <w:abstractNumId w:val="21"/>
  </w:num>
  <w:num w:numId="32">
    <w:abstractNumId w:val="31"/>
  </w:num>
  <w:num w:numId="33">
    <w:abstractNumId w:val="22"/>
  </w:num>
  <w:num w:numId="34">
    <w:abstractNumId w:val="15"/>
  </w:num>
  <w:num w:numId="35">
    <w:abstractNumId w:val="13"/>
  </w:num>
  <w:num w:numId="36">
    <w:abstractNumId w:val="36"/>
  </w:num>
  <w:num w:numId="37">
    <w:abstractNumId w:val="33"/>
  </w:num>
  <w:num w:numId="38">
    <w:abstractNumId w:val="9"/>
  </w:num>
  <w:num w:numId="39">
    <w:abstractNumId w:val="4"/>
  </w:num>
  <w:num w:numId="40">
    <w:abstractNumId w:val="28"/>
  </w:num>
  <w:num w:numId="41">
    <w:abstractNumId w:val="7"/>
  </w:num>
  <w:num w:numId="42">
    <w:abstractNumId w:val="3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A1"/>
    <w:rsid w:val="0000188D"/>
    <w:rsid w:val="0000717E"/>
    <w:rsid w:val="00007838"/>
    <w:rsid w:val="000129A4"/>
    <w:rsid w:val="00012A52"/>
    <w:rsid w:val="00013E25"/>
    <w:rsid w:val="0001493B"/>
    <w:rsid w:val="00015AE7"/>
    <w:rsid w:val="00017651"/>
    <w:rsid w:val="00017CD7"/>
    <w:rsid w:val="00017F77"/>
    <w:rsid w:val="000235A5"/>
    <w:rsid w:val="000303D7"/>
    <w:rsid w:val="0003058E"/>
    <w:rsid w:val="0003760B"/>
    <w:rsid w:val="00037B4D"/>
    <w:rsid w:val="00037FEA"/>
    <w:rsid w:val="00043782"/>
    <w:rsid w:val="00045229"/>
    <w:rsid w:val="00045DF0"/>
    <w:rsid w:val="000552FE"/>
    <w:rsid w:val="00055AB4"/>
    <w:rsid w:val="000600AE"/>
    <w:rsid w:val="00061C66"/>
    <w:rsid w:val="0007189F"/>
    <w:rsid w:val="00082D4A"/>
    <w:rsid w:val="00091E2B"/>
    <w:rsid w:val="00092112"/>
    <w:rsid w:val="000A15E9"/>
    <w:rsid w:val="000A3D5A"/>
    <w:rsid w:val="000B3632"/>
    <w:rsid w:val="000B3A46"/>
    <w:rsid w:val="000B5E43"/>
    <w:rsid w:val="000B694E"/>
    <w:rsid w:val="000B6B24"/>
    <w:rsid w:val="000C0364"/>
    <w:rsid w:val="000C2B62"/>
    <w:rsid w:val="000C47DE"/>
    <w:rsid w:val="000C55B9"/>
    <w:rsid w:val="000C5E53"/>
    <w:rsid w:val="000C5FC1"/>
    <w:rsid w:val="000D038F"/>
    <w:rsid w:val="000D3AF4"/>
    <w:rsid w:val="000E1111"/>
    <w:rsid w:val="000E45A8"/>
    <w:rsid w:val="000E6A32"/>
    <w:rsid w:val="000F0FE9"/>
    <w:rsid w:val="001010E4"/>
    <w:rsid w:val="00104FB1"/>
    <w:rsid w:val="00106B28"/>
    <w:rsid w:val="00107AD8"/>
    <w:rsid w:val="001140B7"/>
    <w:rsid w:val="001141AC"/>
    <w:rsid w:val="001144F8"/>
    <w:rsid w:val="00114A25"/>
    <w:rsid w:val="00115544"/>
    <w:rsid w:val="001162B2"/>
    <w:rsid w:val="0011665E"/>
    <w:rsid w:val="00117ACE"/>
    <w:rsid w:val="0012062C"/>
    <w:rsid w:val="00121A43"/>
    <w:rsid w:val="001240EC"/>
    <w:rsid w:val="00130D8C"/>
    <w:rsid w:val="001331DF"/>
    <w:rsid w:val="00144C6F"/>
    <w:rsid w:val="001479EC"/>
    <w:rsid w:val="0015520C"/>
    <w:rsid w:val="00155AE8"/>
    <w:rsid w:val="00156C5D"/>
    <w:rsid w:val="001605EC"/>
    <w:rsid w:val="00160966"/>
    <w:rsid w:val="00163731"/>
    <w:rsid w:val="00164876"/>
    <w:rsid w:val="00164C33"/>
    <w:rsid w:val="00166A39"/>
    <w:rsid w:val="00166EF7"/>
    <w:rsid w:val="0017312F"/>
    <w:rsid w:val="00173A94"/>
    <w:rsid w:val="00181F3E"/>
    <w:rsid w:val="00191828"/>
    <w:rsid w:val="00192930"/>
    <w:rsid w:val="00193C31"/>
    <w:rsid w:val="001953D2"/>
    <w:rsid w:val="001A62CA"/>
    <w:rsid w:val="001B3F93"/>
    <w:rsid w:val="001C06AD"/>
    <w:rsid w:val="001C2DBD"/>
    <w:rsid w:val="001C3818"/>
    <w:rsid w:val="001C4784"/>
    <w:rsid w:val="001C4B28"/>
    <w:rsid w:val="001C5FC7"/>
    <w:rsid w:val="001D03C3"/>
    <w:rsid w:val="001E2C8B"/>
    <w:rsid w:val="001E44BB"/>
    <w:rsid w:val="001E461A"/>
    <w:rsid w:val="001F3874"/>
    <w:rsid w:val="001F460F"/>
    <w:rsid w:val="001F723E"/>
    <w:rsid w:val="00203C46"/>
    <w:rsid w:val="00203DA8"/>
    <w:rsid w:val="00205E4B"/>
    <w:rsid w:val="00222592"/>
    <w:rsid w:val="00226C0C"/>
    <w:rsid w:val="00230254"/>
    <w:rsid w:val="00233A7D"/>
    <w:rsid w:val="0024409F"/>
    <w:rsid w:val="00253DF7"/>
    <w:rsid w:val="00261698"/>
    <w:rsid w:val="00261C41"/>
    <w:rsid w:val="00267570"/>
    <w:rsid w:val="0027341C"/>
    <w:rsid w:val="0028101A"/>
    <w:rsid w:val="00287287"/>
    <w:rsid w:val="002917E1"/>
    <w:rsid w:val="002A40EA"/>
    <w:rsid w:val="002A7E09"/>
    <w:rsid w:val="002B0694"/>
    <w:rsid w:val="002B6699"/>
    <w:rsid w:val="002C163C"/>
    <w:rsid w:val="002D295E"/>
    <w:rsid w:val="002D3714"/>
    <w:rsid w:val="002E181C"/>
    <w:rsid w:val="002F0AC4"/>
    <w:rsid w:val="002F1E38"/>
    <w:rsid w:val="002F4994"/>
    <w:rsid w:val="002F7287"/>
    <w:rsid w:val="003011D8"/>
    <w:rsid w:val="0030278D"/>
    <w:rsid w:val="00302E4F"/>
    <w:rsid w:val="003044D4"/>
    <w:rsid w:val="00306E29"/>
    <w:rsid w:val="00307970"/>
    <w:rsid w:val="0031025F"/>
    <w:rsid w:val="00315CCB"/>
    <w:rsid w:val="00331C91"/>
    <w:rsid w:val="00332979"/>
    <w:rsid w:val="00335812"/>
    <w:rsid w:val="00337D8A"/>
    <w:rsid w:val="00340494"/>
    <w:rsid w:val="00344EAF"/>
    <w:rsid w:val="00345DB7"/>
    <w:rsid w:val="003466DD"/>
    <w:rsid w:val="00351254"/>
    <w:rsid w:val="003519DF"/>
    <w:rsid w:val="00352CFE"/>
    <w:rsid w:val="0035545B"/>
    <w:rsid w:val="00356246"/>
    <w:rsid w:val="00357FE1"/>
    <w:rsid w:val="00362A46"/>
    <w:rsid w:val="00366DB3"/>
    <w:rsid w:val="00370CE0"/>
    <w:rsid w:val="003742B2"/>
    <w:rsid w:val="00374E25"/>
    <w:rsid w:val="0038024D"/>
    <w:rsid w:val="0038390D"/>
    <w:rsid w:val="00387883"/>
    <w:rsid w:val="0039219A"/>
    <w:rsid w:val="00395FCB"/>
    <w:rsid w:val="003A0A0E"/>
    <w:rsid w:val="003A400A"/>
    <w:rsid w:val="003A55C8"/>
    <w:rsid w:val="003A6D04"/>
    <w:rsid w:val="003B33FF"/>
    <w:rsid w:val="003B489D"/>
    <w:rsid w:val="003C3D0C"/>
    <w:rsid w:val="003C3DC0"/>
    <w:rsid w:val="003C6529"/>
    <w:rsid w:val="003D057A"/>
    <w:rsid w:val="003D1DF5"/>
    <w:rsid w:val="003D44F5"/>
    <w:rsid w:val="003D67B1"/>
    <w:rsid w:val="003E6B40"/>
    <w:rsid w:val="003F326B"/>
    <w:rsid w:val="003F7026"/>
    <w:rsid w:val="00400BEC"/>
    <w:rsid w:val="004018D2"/>
    <w:rsid w:val="0040197F"/>
    <w:rsid w:val="00402783"/>
    <w:rsid w:val="004031B5"/>
    <w:rsid w:val="0040598F"/>
    <w:rsid w:val="004121CD"/>
    <w:rsid w:val="00412B80"/>
    <w:rsid w:val="004149DD"/>
    <w:rsid w:val="00414EEB"/>
    <w:rsid w:val="0042290E"/>
    <w:rsid w:val="00422CCE"/>
    <w:rsid w:val="00422EA6"/>
    <w:rsid w:val="00424AC9"/>
    <w:rsid w:val="00430699"/>
    <w:rsid w:val="00433F3E"/>
    <w:rsid w:val="00441944"/>
    <w:rsid w:val="00443DDF"/>
    <w:rsid w:val="004469D9"/>
    <w:rsid w:val="00455067"/>
    <w:rsid w:val="00464F74"/>
    <w:rsid w:val="0047338C"/>
    <w:rsid w:val="004846F3"/>
    <w:rsid w:val="004949E1"/>
    <w:rsid w:val="00494D8C"/>
    <w:rsid w:val="004A58E1"/>
    <w:rsid w:val="004A5A35"/>
    <w:rsid w:val="004B19A6"/>
    <w:rsid w:val="004B3F56"/>
    <w:rsid w:val="004C2190"/>
    <w:rsid w:val="004D12C2"/>
    <w:rsid w:val="004D158B"/>
    <w:rsid w:val="004D3512"/>
    <w:rsid w:val="004E67CB"/>
    <w:rsid w:val="004F7B16"/>
    <w:rsid w:val="005021E6"/>
    <w:rsid w:val="00502F64"/>
    <w:rsid w:val="0051388B"/>
    <w:rsid w:val="00513FC5"/>
    <w:rsid w:val="00516F6C"/>
    <w:rsid w:val="0052655F"/>
    <w:rsid w:val="00537DEE"/>
    <w:rsid w:val="0055462C"/>
    <w:rsid w:val="0056137A"/>
    <w:rsid w:val="00562A81"/>
    <w:rsid w:val="00562DDC"/>
    <w:rsid w:val="00570B27"/>
    <w:rsid w:val="00572D34"/>
    <w:rsid w:val="005861CE"/>
    <w:rsid w:val="0059598B"/>
    <w:rsid w:val="005A1438"/>
    <w:rsid w:val="005A41EE"/>
    <w:rsid w:val="005B40C9"/>
    <w:rsid w:val="005C451F"/>
    <w:rsid w:val="005C74EB"/>
    <w:rsid w:val="005D101F"/>
    <w:rsid w:val="005E4153"/>
    <w:rsid w:val="005E4672"/>
    <w:rsid w:val="005E4735"/>
    <w:rsid w:val="005E6243"/>
    <w:rsid w:val="005F28E0"/>
    <w:rsid w:val="005F4DFE"/>
    <w:rsid w:val="005F6B5D"/>
    <w:rsid w:val="00600CE7"/>
    <w:rsid w:val="00603246"/>
    <w:rsid w:val="00610029"/>
    <w:rsid w:val="0061710B"/>
    <w:rsid w:val="00623D3F"/>
    <w:rsid w:val="00627226"/>
    <w:rsid w:val="006356ED"/>
    <w:rsid w:val="006418FA"/>
    <w:rsid w:val="00644C94"/>
    <w:rsid w:val="00647379"/>
    <w:rsid w:val="006538EE"/>
    <w:rsid w:val="00654F79"/>
    <w:rsid w:val="00656629"/>
    <w:rsid w:val="006568FE"/>
    <w:rsid w:val="0066726B"/>
    <w:rsid w:val="00672BFC"/>
    <w:rsid w:val="00673A3E"/>
    <w:rsid w:val="006749D9"/>
    <w:rsid w:val="00674AA5"/>
    <w:rsid w:val="0067797F"/>
    <w:rsid w:val="006808E0"/>
    <w:rsid w:val="00680F8C"/>
    <w:rsid w:val="00684826"/>
    <w:rsid w:val="006931CE"/>
    <w:rsid w:val="00693C7B"/>
    <w:rsid w:val="006968A2"/>
    <w:rsid w:val="00696D33"/>
    <w:rsid w:val="006A6820"/>
    <w:rsid w:val="006B297C"/>
    <w:rsid w:val="006B396F"/>
    <w:rsid w:val="006B4045"/>
    <w:rsid w:val="006C15F6"/>
    <w:rsid w:val="006C3068"/>
    <w:rsid w:val="006C5D27"/>
    <w:rsid w:val="006C7A75"/>
    <w:rsid w:val="006D08AE"/>
    <w:rsid w:val="006D3862"/>
    <w:rsid w:val="006D710B"/>
    <w:rsid w:val="006E1E26"/>
    <w:rsid w:val="006E579E"/>
    <w:rsid w:val="006E6536"/>
    <w:rsid w:val="006E719A"/>
    <w:rsid w:val="006F05EA"/>
    <w:rsid w:val="006F103E"/>
    <w:rsid w:val="006F1726"/>
    <w:rsid w:val="0070799E"/>
    <w:rsid w:val="007151C4"/>
    <w:rsid w:val="0072011B"/>
    <w:rsid w:val="007256DA"/>
    <w:rsid w:val="0073342D"/>
    <w:rsid w:val="00734D60"/>
    <w:rsid w:val="007421AB"/>
    <w:rsid w:val="00753DCC"/>
    <w:rsid w:val="0075439B"/>
    <w:rsid w:val="007565B5"/>
    <w:rsid w:val="00764913"/>
    <w:rsid w:val="00771D99"/>
    <w:rsid w:val="00783363"/>
    <w:rsid w:val="007835DC"/>
    <w:rsid w:val="00783A80"/>
    <w:rsid w:val="00783F52"/>
    <w:rsid w:val="007874F6"/>
    <w:rsid w:val="00787573"/>
    <w:rsid w:val="00794B9F"/>
    <w:rsid w:val="00795400"/>
    <w:rsid w:val="007A1824"/>
    <w:rsid w:val="007A4721"/>
    <w:rsid w:val="007A5AC3"/>
    <w:rsid w:val="007B00A7"/>
    <w:rsid w:val="007B5D84"/>
    <w:rsid w:val="007C1ABA"/>
    <w:rsid w:val="007C723B"/>
    <w:rsid w:val="007D2339"/>
    <w:rsid w:val="007D2CF0"/>
    <w:rsid w:val="007D4CBC"/>
    <w:rsid w:val="007D6E9D"/>
    <w:rsid w:val="007E3C39"/>
    <w:rsid w:val="007E6243"/>
    <w:rsid w:val="00801FAE"/>
    <w:rsid w:val="008060AF"/>
    <w:rsid w:val="00811335"/>
    <w:rsid w:val="00814FC6"/>
    <w:rsid w:val="00816238"/>
    <w:rsid w:val="00816B69"/>
    <w:rsid w:val="00816E70"/>
    <w:rsid w:val="00817CA1"/>
    <w:rsid w:val="00826DB3"/>
    <w:rsid w:val="00833916"/>
    <w:rsid w:val="008370B5"/>
    <w:rsid w:val="008370E5"/>
    <w:rsid w:val="008429F1"/>
    <w:rsid w:val="00845688"/>
    <w:rsid w:val="0084725A"/>
    <w:rsid w:val="0085049D"/>
    <w:rsid w:val="008548D6"/>
    <w:rsid w:val="00857030"/>
    <w:rsid w:val="00861423"/>
    <w:rsid w:val="008618E2"/>
    <w:rsid w:val="00863A90"/>
    <w:rsid w:val="00863E65"/>
    <w:rsid w:val="008851A1"/>
    <w:rsid w:val="00886E99"/>
    <w:rsid w:val="00891B1D"/>
    <w:rsid w:val="0089205B"/>
    <w:rsid w:val="008949BF"/>
    <w:rsid w:val="00895D32"/>
    <w:rsid w:val="00896BB1"/>
    <w:rsid w:val="008A5FAE"/>
    <w:rsid w:val="008C4CAB"/>
    <w:rsid w:val="008C5E9B"/>
    <w:rsid w:val="008C7E2B"/>
    <w:rsid w:val="008D5DF6"/>
    <w:rsid w:val="008E2D26"/>
    <w:rsid w:val="008E721C"/>
    <w:rsid w:val="008F4350"/>
    <w:rsid w:val="008F5E40"/>
    <w:rsid w:val="008F60A5"/>
    <w:rsid w:val="008F7087"/>
    <w:rsid w:val="00901E74"/>
    <w:rsid w:val="00904AF9"/>
    <w:rsid w:val="00906A13"/>
    <w:rsid w:val="00906F31"/>
    <w:rsid w:val="009115DF"/>
    <w:rsid w:val="00912DF9"/>
    <w:rsid w:val="00920C9B"/>
    <w:rsid w:val="009233F0"/>
    <w:rsid w:val="00923F36"/>
    <w:rsid w:val="00924DA1"/>
    <w:rsid w:val="009304A2"/>
    <w:rsid w:val="0093351A"/>
    <w:rsid w:val="00935936"/>
    <w:rsid w:val="00941389"/>
    <w:rsid w:val="00941A35"/>
    <w:rsid w:val="00944352"/>
    <w:rsid w:val="00945700"/>
    <w:rsid w:val="0095081B"/>
    <w:rsid w:val="0095206D"/>
    <w:rsid w:val="009538EA"/>
    <w:rsid w:val="00961682"/>
    <w:rsid w:val="009655BC"/>
    <w:rsid w:val="00966B5E"/>
    <w:rsid w:val="00973ABE"/>
    <w:rsid w:val="00982A72"/>
    <w:rsid w:val="00985FCF"/>
    <w:rsid w:val="009914F8"/>
    <w:rsid w:val="00992818"/>
    <w:rsid w:val="009A268A"/>
    <w:rsid w:val="009A3437"/>
    <w:rsid w:val="009A3FAF"/>
    <w:rsid w:val="009A6DD5"/>
    <w:rsid w:val="009B0B1A"/>
    <w:rsid w:val="009B16E2"/>
    <w:rsid w:val="009B3752"/>
    <w:rsid w:val="009C0BFA"/>
    <w:rsid w:val="009C0D11"/>
    <w:rsid w:val="009C17BC"/>
    <w:rsid w:val="009D305C"/>
    <w:rsid w:val="009D7605"/>
    <w:rsid w:val="009E29FE"/>
    <w:rsid w:val="009E3052"/>
    <w:rsid w:val="009E7B7A"/>
    <w:rsid w:val="009F3C0D"/>
    <w:rsid w:val="009F591F"/>
    <w:rsid w:val="009F6AC7"/>
    <w:rsid w:val="00A0612D"/>
    <w:rsid w:val="00A13033"/>
    <w:rsid w:val="00A164EC"/>
    <w:rsid w:val="00A32F6E"/>
    <w:rsid w:val="00A3312B"/>
    <w:rsid w:val="00A36DF5"/>
    <w:rsid w:val="00A41E52"/>
    <w:rsid w:val="00A42257"/>
    <w:rsid w:val="00A441DC"/>
    <w:rsid w:val="00A519BF"/>
    <w:rsid w:val="00A53BAB"/>
    <w:rsid w:val="00A54B60"/>
    <w:rsid w:val="00A5503E"/>
    <w:rsid w:val="00A55BB5"/>
    <w:rsid w:val="00A60830"/>
    <w:rsid w:val="00A6291E"/>
    <w:rsid w:val="00A65ADD"/>
    <w:rsid w:val="00A712BA"/>
    <w:rsid w:val="00A73423"/>
    <w:rsid w:val="00A73C48"/>
    <w:rsid w:val="00A74265"/>
    <w:rsid w:val="00A74E73"/>
    <w:rsid w:val="00A801E0"/>
    <w:rsid w:val="00A858C2"/>
    <w:rsid w:val="00A90141"/>
    <w:rsid w:val="00A901E4"/>
    <w:rsid w:val="00A92572"/>
    <w:rsid w:val="00AA260C"/>
    <w:rsid w:val="00AC0C0B"/>
    <w:rsid w:val="00AC3A62"/>
    <w:rsid w:val="00AC55DB"/>
    <w:rsid w:val="00AD24C7"/>
    <w:rsid w:val="00AE148B"/>
    <w:rsid w:val="00AE6B8D"/>
    <w:rsid w:val="00AE77B7"/>
    <w:rsid w:val="00B129DC"/>
    <w:rsid w:val="00B136F8"/>
    <w:rsid w:val="00B13C26"/>
    <w:rsid w:val="00B14D2E"/>
    <w:rsid w:val="00B15EC8"/>
    <w:rsid w:val="00B20111"/>
    <w:rsid w:val="00B31682"/>
    <w:rsid w:val="00B32CF7"/>
    <w:rsid w:val="00B32DD3"/>
    <w:rsid w:val="00B35F79"/>
    <w:rsid w:val="00B47DE1"/>
    <w:rsid w:val="00B505CC"/>
    <w:rsid w:val="00B51F3E"/>
    <w:rsid w:val="00B52638"/>
    <w:rsid w:val="00B569C2"/>
    <w:rsid w:val="00B6030F"/>
    <w:rsid w:val="00B658A2"/>
    <w:rsid w:val="00B65A00"/>
    <w:rsid w:val="00B74B04"/>
    <w:rsid w:val="00B7794E"/>
    <w:rsid w:val="00B80D5D"/>
    <w:rsid w:val="00B83A91"/>
    <w:rsid w:val="00B855DA"/>
    <w:rsid w:val="00B85746"/>
    <w:rsid w:val="00B9602A"/>
    <w:rsid w:val="00BB2178"/>
    <w:rsid w:val="00BB269C"/>
    <w:rsid w:val="00BB5769"/>
    <w:rsid w:val="00BC07DC"/>
    <w:rsid w:val="00BC2BD1"/>
    <w:rsid w:val="00BC6227"/>
    <w:rsid w:val="00BC6336"/>
    <w:rsid w:val="00BD2435"/>
    <w:rsid w:val="00BE0D2A"/>
    <w:rsid w:val="00BE2AF2"/>
    <w:rsid w:val="00BE5582"/>
    <w:rsid w:val="00BE70BE"/>
    <w:rsid w:val="00BE74AA"/>
    <w:rsid w:val="00BF2003"/>
    <w:rsid w:val="00BF2C2D"/>
    <w:rsid w:val="00BF3219"/>
    <w:rsid w:val="00C010B7"/>
    <w:rsid w:val="00C064A8"/>
    <w:rsid w:val="00C07791"/>
    <w:rsid w:val="00C120E1"/>
    <w:rsid w:val="00C1445E"/>
    <w:rsid w:val="00C20F68"/>
    <w:rsid w:val="00C22B5B"/>
    <w:rsid w:val="00C23248"/>
    <w:rsid w:val="00C244A1"/>
    <w:rsid w:val="00C24EDF"/>
    <w:rsid w:val="00C27176"/>
    <w:rsid w:val="00C37EA7"/>
    <w:rsid w:val="00C4033B"/>
    <w:rsid w:val="00C44FE8"/>
    <w:rsid w:val="00C54539"/>
    <w:rsid w:val="00C571A1"/>
    <w:rsid w:val="00C57D2E"/>
    <w:rsid w:val="00C616C2"/>
    <w:rsid w:val="00C63A3A"/>
    <w:rsid w:val="00C64252"/>
    <w:rsid w:val="00C742BE"/>
    <w:rsid w:val="00C74969"/>
    <w:rsid w:val="00C80B34"/>
    <w:rsid w:val="00C839C4"/>
    <w:rsid w:val="00C86B2D"/>
    <w:rsid w:val="00C90433"/>
    <w:rsid w:val="00CA268B"/>
    <w:rsid w:val="00CA2B8D"/>
    <w:rsid w:val="00CB41B5"/>
    <w:rsid w:val="00CC1B9F"/>
    <w:rsid w:val="00CC4764"/>
    <w:rsid w:val="00CC63F0"/>
    <w:rsid w:val="00CC65F9"/>
    <w:rsid w:val="00CD34E6"/>
    <w:rsid w:val="00CE15B2"/>
    <w:rsid w:val="00CF0C1E"/>
    <w:rsid w:val="00CF2FA9"/>
    <w:rsid w:val="00CF6394"/>
    <w:rsid w:val="00CF75C6"/>
    <w:rsid w:val="00CF7F16"/>
    <w:rsid w:val="00D03296"/>
    <w:rsid w:val="00D068FA"/>
    <w:rsid w:val="00D11B25"/>
    <w:rsid w:val="00D12C27"/>
    <w:rsid w:val="00D1546E"/>
    <w:rsid w:val="00D336A3"/>
    <w:rsid w:val="00D33A27"/>
    <w:rsid w:val="00D356F3"/>
    <w:rsid w:val="00D4659E"/>
    <w:rsid w:val="00D54156"/>
    <w:rsid w:val="00D6140C"/>
    <w:rsid w:val="00D67C35"/>
    <w:rsid w:val="00D70A41"/>
    <w:rsid w:val="00D74C3B"/>
    <w:rsid w:val="00D768D3"/>
    <w:rsid w:val="00D773B3"/>
    <w:rsid w:val="00D77677"/>
    <w:rsid w:val="00D77CB6"/>
    <w:rsid w:val="00D82A78"/>
    <w:rsid w:val="00D84C50"/>
    <w:rsid w:val="00D9143C"/>
    <w:rsid w:val="00D97659"/>
    <w:rsid w:val="00DB4D5C"/>
    <w:rsid w:val="00DB5BEA"/>
    <w:rsid w:val="00DB739C"/>
    <w:rsid w:val="00DC25F1"/>
    <w:rsid w:val="00DC3C5C"/>
    <w:rsid w:val="00DC40E1"/>
    <w:rsid w:val="00DC46CE"/>
    <w:rsid w:val="00DD08C3"/>
    <w:rsid w:val="00DD2B65"/>
    <w:rsid w:val="00DD7BEE"/>
    <w:rsid w:val="00DE28BC"/>
    <w:rsid w:val="00DF3FDB"/>
    <w:rsid w:val="00DF4D2C"/>
    <w:rsid w:val="00E02853"/>
    <w:rsid w:val="00E04A35"/>
    <w:rsid w:val="00E14D29"/>
    <w:rsid w:val="00E14EB8"/>
    <w:rsid w:val="00E25E6A"/>
    <w:rsid w:val="00E269A6"/>
    <w:rsid w:val="00E30195"/>
    <w:rsid w:val="00E31ACB"/>
    <w:rsid w:val="00E321DC"/>
    <w:rsid w:val="00E35BE0"/>
    <w:rsid w:val="00E507AB"/>
    <w:rsid w:val="00E50930"/>
    <w:rsid w:val="00E53B5C"/>
    <w:rsid w:val="00E66FB7"/>
    <w:rsid w:val="00E70C54"/>
    <w:rsid w:val="00E74DBB"/>
    <w:rsid w:val="00E7748F"/>
    <w:rsid w:val="00E80B2F"/>
    <w:rsid w:val="00E911CB"/>
    <w:rsid w:val="00E95051"/>
    <w:rsid w:val="00E958F2"/>
    <w:rsid w:val="00EA67A3"/>
    <w:rsid w:val="00EA7B1C"/>
    <w:rsid w:val="00EA7E5F"/>
    <w:rsid w:val="00EB1214"/>
    <w:rsid w:val="00EB336C"/>
    <w:rsid w:val="00EB464E"/>
    <w:rsid w:val="00EB620E"/>
    <w:rsid w:val="00EB685F"/>
    <w:rsid w:val="00EB68DC"/>
    <w:rsid w:val="00EC0E8D"/>
    <w:rsid w:val="00EC1C2F"/>
    <w:rsid w:val="00EC70A4"/>
    <w:rsid w:val="00EC7DA1"/>
    <w:rsid w:val="00ED4885"/>
    <w:rsid w:val="00ED74E9"/>
    <w:rsid w:val="00EE1381"/>
    <w:rsid w:val="00EF106D"/>
    <w:rsid w:val="00EF1174"/>
    <w:rsid w:val="00F01474"/>
    <w:rsid w:val="00F01848"/>
    <w:rsid w:val="00F10AA4"/>
    <w:rsid w:val="00F20B07"/>
    <w:rsid w:val="00F2299D"/>
    <w:rsid w:val="00F22BA0"/>
    <w:rsid w:val="00F24836"/>
    <w:rsid w:val="00F25F93"/>
    <w:rsid w:val="00F30416"/>
    <w:rsid w:val="00F36622"/>
    <w:rsid w:val="00F40E80"/>
    <w:rsid w:val="00F42B0C"/>
    <w:rsid w:val="00F47662"/>
    <w:rsid w:val="00F5391B"/>
    <w:rsid w:val="00F543DC"/>
    <w:rsid w:val="00F5545E"/>
    <w:rsid w:val="00F60F10"/>
    <w:rsid w:val="00F65012"/>
    <w:rsid w:val="00F67814"/>
    <w:rsid w:val="00F74129"/>
    <w:rsid w:val="00F83BC8"/>
    <w:rsid w:val="00F872B9"/>
    <w:rsid w:val="00F90037"/>
    <w:rsid w:val="00F90D60"/>
    <w:rsid w:val="00F940AC"/>
    <w:rsid w:val="00F96260"/>
    <w:rsid w:val="00FA169F"/>
    <w:rsid w:val="00FB09A5"/>
    <w:rsid w:val="00FB0BE5"/>
    <w:rsid w:val="00FB4EB3"/>
    <w:rsid w:val="00FB70EC"/>
    <w:rsid w:val="00FB75FD"/>
    <w:rsid w:val="00FB7E49"/>
    <w:rsid w:val="00FC2A25"/>
    <w:rsid w:val="00FC7F98"/>
    <w:rsid w:val="00FC7FBF"/>
    <w:rsid w:val="00FD12F8"/>
    <w:rsid w:val="00FD218D"/>
    <w:rsid w:val="00FD5B83"/>
    <w:rsid w:val="00FE4C72"/>
    <w:rsid w:val="00FF1B32"/>
    <w:rsid w:val="00FF6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7221"/>
  <w15:docId w15:val="{A34BDF00-1459-4EFC-A8B6-B0C918C9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CA1"/>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446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565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8482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75439B"/>
    <w:pPr>
      <w:keepNext/>
      <w:jc w:val="both"/>
      <w:outlineLvl w:val="5"/>
    </w:pPr>
    <w:rPr>
      <w:b/>
      <w:sz w:val="18"/>
      <w:lang w:eastAsia="ru-RU"/>
    </w:rPr>
  </w:style>
  <w:style w:type="paragraph" w:styleId="Heading7">
    <w:name w:val="heading 7"/>
    <w:basedOn w:val="Normal"/>
    <w:next w:val="Normal"/>
    <w:link w:val="Heading7Char"/>
    <w:qFormat/>
    <w:rsid w:val="0075439B"/>
    <w:pPr>
      <w:keepNext/>
      <w:jc w:val="center"/>
      <w:outlineLvl w:val="6"/>
    </w:pPr>
    <w:rPr>
      <w:b/>
      <w:bCs/>
      <w:sz w:val="18"/>
      <w:lang w:eastAsia="ru-RU"/>
    </w:rPr>
  </w:style>
  <w:style w:type="paragraph" w:styleId="Heading8">
    <w:name w:val="heading 8"/>
    <w:basedOn w:val="Normal"/>
    <w:next w:val="Normal"/>
    <w:link w:val="Heading8Char"/>
    <w:qFormat/>
    <w:rsid w:val="0075439B"/>
    <w:pPr>
      <w:keepNext/>
      <w:ind w:firstLine="708"/>
      <w:jc w:val="center"/>
      <w:outlineLvl w:val="7"/>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9D9"/>
    <w:rPr>
      <w:rFonts w:asciiTheme="majorHAnsi" w:eastAsiaTheme="majorEastAsia" w:hAnsiTheme="majorHAnsi" w:cstheme="majorBidi"/>
      <w:b/>
      <w:bCs/>
      <w:color w:val="365F91" w:themeColor="accent1" w:themeShade="BF"/>
      <w:sz w:val="28"/>
      <w:szCs w:val="28"/>
      <w:lang w:eastAsia="ro-RO"/>
    </w:rPr>
  </w:style>
  <w:style w:type="character" w:customStyle="1" w:styleId="Heading2Char">
    <w:name w:val="Heading 2 Char"/>
    <w:basedOn w:val="DefaultParagraphFont"/>
    <w:link w:val="Heading2"/>
    <w:rsid w:val="007565B5"/>
    <w:rPr>
      <w:rFonts w:asciiTheme="majorHAnsi" w:eastAsiaTheme="majorEastAsia" w:hAnsiTheme="majorHAnsi" w:cstheme="majorBidi"/>
      <w:b/>
      <w:bCs/>
      <w:color w:val="4F81BD" w:themeColor="accent1"/>
      <w:sz w:val="26"/>
      <w:szCs w:val="26"/>
      <w:lang w:eastAsia="ro-RO"/>
    </w:rPr>
  </w:style>
  <w:style w:type="character" w:customStyle="1" w:styleId="Heading3Char">
    <w:name w:val="Heading 3 Char"/>
    <w:basedOn w:val="DefaultParagraphFont"/>
    <w:link w:val="Heading3"/>
    <w:rsid w:val="00684826"/>
    <w:rPr>
      <w:rFonts w:asciiTheme="majorHAnsi" w:eastAsiaTheme="majorEastAsia" w:hAnsiTheme="majorHAnsi" w:cstheme="majorBidi"/>
      <w:b/>
      <w:bCs/>
      <w:color w:val="4F81BD" w:themeColor="accent1"/>
      <w:sz w:val="24"/>
      <w:szCs w:val="24"/>
      <w:lang w:eastAsia="ro-RO"/>
    </w:rPr>
  </w:style>
  <w:style w:type="character" w:customStyle="1" w:styleId="Heading6Char">
    <w:name w:val="Heading 6 Char"/>
    <w:basedOn w:val="DefaultParagraphFont"/>
    <w:link w:val="Heading6"/>
    <w:rsid w:val="0075439B"/>
    <w:rPr>
      <w:rFonts w:ascii="Times New Roman" w:eastAsia="Times New Roman" w:hAnsi="Times New Roman" w:cs="Times New Roman"/>
      <w:b/>
      <w:sz w:val="18"/>
      <w:szCs w:val="24"/>
      <w:lang w:eastAsia="ru-RU"/>
    </w:rPr>
  </w:style>
  <w:style w:type="character" w:customStyle="1" w:styleId="Heading7Char">
    <w:name w:val="Heading 7 Char"/>
    <w:basedOn w:val="DefaultParagraphFont"/>
    <w:link w:val="Heading7"/>
    <w:rsid w:val="0075439B"/>
    <w:rPr>
      <w:rFonts w:ascii="Times New Roman" w:eastAsia="Times New Roman" w:hAnsi="Times New Roman" w:cs="Times New Roman"/>
      <w:b/>
      <w:bCs/>
      <w:sz w:val="18"/>
      <w:szCs w:val="24"/>
      <w:lang w:eastAsia="ru-RU"/>
    </w:rPr>
  </w:style>
  <w:style w:type="character" w:customStyle="1" w:styleId="Heading8Char">
    <w:name w:val="Heading 8 Char"/>
    <w:basedOn w:val="DefaultParagraphFont"/>
    <w:link w:val="Heading8"/>
    <w:rsid w:val="0075439B"/>
    <w:rPr>
      <w:rFonts w:ascii="Times New Roman" w:eastAsia="Times New Roman" w:hAnsi="Times New Roman" w:cs="Times New Roman"/>
      <w:sz w:val="28"/>
      <w:szCs w:val="20"/>
      <w:lang w:eastAsia="ru-RU"/>
    </w:rPr>
  </w:style>
  <w:style w:type="paragraph" w:customStyle="1" w:styleId="ParagraphNumbering">
    <w:name w:val="Paragraph Numbering"/>
    <w:basedOn w:val="Normal"/>
    <w:link w:val="ParagraphNumberingChar"/>
    <w:qFormat/>
    <w:rsid w:val="001479EC"/>
    <w:pPr>
      <w:numPr>
        <w:numId w:val="1"/>
      </w:numPr>
      <w:spacing w:after="240" w:line="264" w:lineRule="auto"/>
    </w:pPr>
    <w:rPr>
      <w:rFonts w:ascii="Segoe UI" w:eastAsia="SimSun" w:hAnsi="Segoe UI"/>
      <w:sz w:val="21"/>
      <w:lang w:val="en-US" w:eastAsia="en-US"/>
    </w:rPr>
  </w:style>
  <w:style w:type="character" w:customStyle="1" w:styleId="ParagraphNumberingChar">
    <w:name w:val="Paragraph Numbering Char"/>
    <w:basedOn w:val="DefaultParagraphFont"/>
    <w:link w:val="ParagraphNumbering"/>
    <w:rsid w:val="001479EC"/>
    <w:rPr>
      <w:rFonts w:ascii="Segoe UI" w:eastAsia="SimSun" w:hAnsi="Segoe UI" w:cs="Times New Roman"/>
      <w:sz w:val="21"/>
      <w:szCs w:val="24"/>
      <w:lang w:val="en-US"/>
    </w:rPr>
  </w:style>
  <w:style w:type="table" w:styleId="TableGrid">
    <w:name w:val="Table Grid"/>
    <w:basedOn w:val="TableNormal"/>
    <w:rsid w:val="00E911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47379"/>
    <w:pPr>
      <w:tabs>
        <w:tab w:val="center" w:pos="4536"/>
        <w:tab w:val="right" w:pos="9072"/>
      </w:tabs>
    </w:pPr>
  </w:style>
  <w:style w:type="character" w:customStyle="1" w:styleId="HeaderChar">
    <w:name w:val="Header Char"/>
    <w:basedOn w:val="DefaultParagraphFont"/>
    <w:link w:val="Header"/>
    <w:rsid w:val="0064737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647379"/>
    <w:pPr>
      <w:tabs>
        <w:tab w:val="center" w:pos="4536"/>
        <w:tab w:val="right" w:pos="9072"/>
      </w:tabs>
    </w:pPr>
  </w:style>
  <w:style w:type="character" w:customStyle="1" w:styleId="FooterChar">
    <w:name w:val="Footer Char"/>
    <w:basedOn w:val="DefaultParagraphFont"/>
    <w:link w:val="Footer"/>
    <w:uiPriority w:val="99"/>
    <w:rsid w:val="00647379"/>
    <w:rPr>
      <w:rFonts w:ascii="Times New Roman" w:eastAsia="Times New Roman" w:hAnsi="Times New Roman" w:cs="Times New Roman"/>
      <w:sz w:val="24"/>
      <w:szCs w:val="24"/>
      <w:lang w:eastAsia="ro-RO"/>
    </w:rPr>
  </w:style>
  <w:style w:type="paragraph" w:styleId="BalloonText">
    <w:name w:val="Balloon Text"/>
    <w:basedOn w:val="Normal"/>
    <w:link w:val="BalloonTextChar"/>
    <w:semiHidden/>
    <w:unhideWhenUsed/>
    <w:rsid w:val="00F60F10"/>
    <w:rPr>
      <w:rFonts w:ascii="Tahoma" w:hAnsi="Tahoma" w:cs="Tahoma"/>
      <w:sz w:val="16"/>
      <w:szCs w:val="16"/>
    </w:rPr>
  </w:style>
  <w:style w:type="character" w:customStyle="1" w:styleId="BalloonTextChar">
    <w:name w:val="Balloon Text Char"/>
    <w:basedOn w:val="DefaultParagraphFont"/>
    <w:link w:val="BalloonText"/>
    <w:semiHidden/>
    <w:rsid w:val="00F60F10"/>
    <w:rPr>
      <w:rFonts w:ascii="Tahoma" w:eastAsia="Times New Roman" w:hAnsi="Tahoma" w:cs="Tahoma"/>
      <w:sz w:val="16"/>
      <w:szCs w:val="16"/>
      <w:lang w:eastAsia="ro-RO"/>
    </w:rPr>
  </w:style>
  <w:style w:type="character" w:styleId="IntenseEmphasis">
    <w:name w:val="Intense Emphasis"/>
    <w:basedOn w:val="DefaultParagraphFont"/>
    <w:uiPriority w:val="21"/>
    <w:qFormat/>
    <w:rsid w:val="007565B5"/>
    <w:rPr>
      <w:b/>
      <w:bCs/>
      <w:i/>
      <w:iCs/>
      <w:color w:val="4F81BD" w:themeColor="accent1"/>
    </w:rPr>
  </w:style>
  <w:style w:type="paragraph" w:styleId="ListParagraph">
    <w:name w:val="List Paragraph"/>
    <w:aliases w:val="List Paragraph 1,Scriptoria bullet points"/>
    <w:basedOn w:val="Normal"/>
    <w:link w:val="ListParagraphChar"/>
    <w:uiPriority w:val="34"/>
    <w:qFormat/>
    <w:rsid w:val="00863E6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 1 Char,Scriptoria bullet points Char"/>
    <w:link w:val="ListParagraph"/>
    <w:uiPriority w:val="34"/>
    <w:locked/>
    <w:rsid w:val="00155AE8"/>
    <w:rPr>
      <w:rFonts w:ascii="Calibri" w:eastAsia="Calibri" w:hAnsi="Calibri" w:cs="Times New Roman"/>
      <w:lang w:eastAsia="ro-RO"/>
    </w:rPr>
  </w:style>
  <w:style w:type="character" w:styleId="CommentReference">
    <w:name w:val="annotation reference"/>
    <w:basedOn w:val="DefaultParagraphFont"/>
    <w:unhideWhenUsed/>
    <w:rsid w:val="00863E65"/>
    <w:rPr>
      <w:sz w:val="16"/>
      <w:szCs w:val="16"/>
    </w:rPr>
  </w:style>
  <w:style w:type="paragraph" w:styleId="CommentText">
    <w:name w:val="annotation text"/>
    <w:basedOn w:val="Normal"/>
    <w:link w:val="CommentTextChar"/>
    <w:unhideWhenUsed/>
    <w:rsid w:val="00863E65"/>
    <w:rPr>
      <w:sz w:val="20"/>
      <w:szCs w:val="20"/>
    </w:rPr>
  </w:style>
  <w:style w:type="character" w:customStyle="1" w:styleId="CommentTextChar">
    <w:name w:val="Comment Text Char"/>
    <w:basedOn w:val="DefaultParagraphFont"/>
    <w:link w:val="CommentText"/>
    <w:rsid w:val="00863E65"/>
    <w:rPr>
      <w:rFonts w:ascii="Times New Roman" w:eastAsia="Times New Roman" w:hAnsi="Times New Roman" w:cs="Times New Roman"/>
      <w:sz w:val="20"/>
      <w:szCs w:val="20"/>
      <w:lang w:eastAsia="ro-RO"/>
    </w:rPr>
  </w:style>
  <w:style w:type="paragraph" w:styleId="FootnoteText">
    <w:name w:val="footnote text"/>
    <w:basedOn w:val="Normal"/>
    <w:link w:val="FootnoteTextChar"/>
    <w:unhideWhenUsed/>
    <w:rsid w:val="00863E65"/>
    <w:rPr>
      <w:sz w:val="20"/>
      <w:szCs w:val="20"/>
    </w:rPr>
  </w:style>
  <w:style w:type="character" w:customStyle="1" w:styleId="FootnoteTextChar">
    <w:name w:val="Footnote Text Char"/>
    <w:basedOn w:val="DefaultParagraphFont"/>
    <w:link w:val="FootnoteText"/>
    <w:rsid w:val="00863E65"/>
    <w:rPr>
      <w:rFonts w:ascii="Times New Roman" w:eastAsia="Times New Roman" w:hAnsi="Times New Roman" w:cs="Times New Roman"/>
      <w:sz w:val="20"/>
      <w:szCs w:val="20"/>
      <w:lang w:eastAsia="ro-RO"/>
    </w:rPr>
  </w:style>
  <w:style w:type="character" w:styleId="FootnoteReference">
    <w:name w:val="footnote reference"/>
    <w:basedOn w:val="DefaultParagraphFont"/>
    <w:unhideWhenUsed/>
    <w:rsid w:val="00863E65"/>
    <w:rPr>
      <w:vertAlign w:val="superscript"/>
    </w:rPr>
  </w:style>
  <w:style w:type="paragraph" w:styleId="NoSpacing">
    <w:name w:val="No Spacing"/>
    <w:uiPriority w:val="1"/>
    <w:qFormat/>
    <w:rsid w:val="00C064A8"/>
    <w:pPr>
      <w:spacing w:after="0"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rsid w:val="00C064A8"/>
    <w:pPr>
      <w:ind w:firstLine="708"/>
      <w:jc w:val="both"/>
    </w:pPr>
    <w:rPr>
      <w:sz w:val="28"/>
      <w:szCs w:val="20"/>
      <w:lang w:eastAsia="ru-RU"/>
    </w:rPr>
  </w:style>
  <w:style w:type="character" w:customStyle="1" w:styleId="BodyTextIndent2Char">
    <w:name w:val="Body Text Indent 2 Char"/>
    <w:basedOn w:val="DefaultParagraphFont"/>
    <w:link w:val="BodyTextIndent2"/>
    <w:uiPriority w:val="99"/>
    <w:rsid w:val="00C064A8"/>
    <w:rPr>
      <w:rFonts w:ascii="Times New Roman" w:eastAsia="Times New Roman" w:hAnsi="Times New Roman" w:cs="Times New Roman"/>
      <w:sz w:val="28"/>
      <w:szCs w:val="20"/>
      <w:lang w:eastAsia="ru-RU"/>
    </w:rPr>
  </w:style>
  <w:style w:type="paragraph" w:customStyle="1" w:styleId="Numberedtex">
    <w:name w:val="Numbered tex"/>
    <w:basedOn w:val="Normal"/>
    <w:autoRedefine/>
    <w:qFormat/>
    <w:rsid w:val="00FF6948"/>
    <w:pPr>
      <w:tabs>
        <w:tab w:val="left" w:pos="403"/>
      </w:tabs>
      <w:spacing w:before="120" w:after="120" w:line="276" w:lineRule="auto"/>
      <w:jc w:val="both"/>
    </w:pPr>
    <w:rPr>
      <w:rFonts w:eastAsiaTheme="minorHAnsi"/>
      <w:sz w:val="28"/>
      <w:szCs w:val="28"/>
      <w:lang w:val="en-GB" w:eastAsia="en-US"/>
    </w:rPr>
  </w:style>
  <w:style w:type="paragraph" w:styleId="CommentSubject">
    <w:name w:val="annotation subject"/>
    <w:basedOn w:val="CommentText"/>
    <w:next w:val="CommentText"/>
    <w:link w:val="CommentSubjectChar"/>
    <w:unhideWhenUsed/>
    <w:rsid w:val="00370CE0"/>
    <w:rPr>
      <w:b/>
      <w:bCs/>
    </w:rPr>
  </w:style>
  <w:style w:type="character" w:customStyle="1" w:styleId="CommentSubjectChar">
    <w:name w:val="Comment Subject Char"/>
    <w:basedOn w:val="CommentTextChar"/>
    <w:link w:val="CommentSubject"/>
    <w:rsid w:val="00370CE0"/>
    <w:rPr>
      <w:rFonts w:ascii="Times New Roman" w:eastAsia="Times New Roman" w:hAnsi="Times New Roman" w:cs="Times New Roman"/>
      <w:b/>
      <w:bCs/>
      <w:sz w:val="20"/>
      <w:szCs w:val="20"/>
      <w:lang w:eastAsia="ro-RO"/>
    </w:rPr>
  </w:style>
  <w:style w:type="paragraph" w:styleId="EndnoteText">
    <w:name w:val="endnote text"/>
    <w:basedOn w:val="Normal"/>
    <w:link w:val="EndnoteTextChar"/>
    <w:uiPriority w:val="99"/>
    <w:semiHidden/>
    <w:unhideWhenUsed/>
    <w:rsid w:val="00CC1B9F"/>
    <w:rPr>
      <w:sz w:val="20"/>
      <w:szCs w:val="20"/>
    </w:rPr>
  </w:style>
  <w:style w:type="character" w:customStyle="1" w:styleId="EndnoteTextChar">
    <w:name w:val="Endnote Text Char"/>
    <w:basedOn w:val="DefaultParagraphFont"/>
    <w:link w:val="EndnoteText"/>
    <w:uiPriority w:val="99"/>
    <w:semiHidden/>
    <w:rsid w:val="00CC1B9F"/>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semiHidden/>
    <w:unhideWhenUsed/>
    <w:rsid w:val="00CC1B9F"/>
    <w:rPr>
      <w:vertAlign w:val="superscript"/>
    </w:rPr>
  </w:style>
  <w:style w:type="paragraph" w:styleId="TOC1">
    <w:name w:val="toc 1"/>
    <w:basedOn w:val="Heading1"/>
    <w:next w:val="Heading2"/>
    <w:link w:val="TOC1Char"/>
    <w:autoRedefine/>
    <w:uiPriority w:val="39"/>
    <w:unhideWhenUsed/>
    <w:rsid w:val="00CA268B"/>
    <w:pPr>
      <w:spacing w:after="100"/>
    </w:pPr>
    <w:rPr>
      <w:rFonts w:asciiTheme="minorHAnsi" w:hAnsiTheme="minorHAnsi"/>
    </w:rPr>
  </w:style>
  <w:style w:type="character" w:customStyle="1" w:styleId="TOC1Char">
    <w:name w:val="TOC 1 Char"/>
    <w:basedOn w:val="Heading1Char"/>
    <w:link w:val="TOC1"/>
    <w:uiPriority w:val="39"/>
    <w:rsid w:val="00CA268B"/>
    <w:rPr>
      <w:rFonts w:asciiTheme="majorHAnsi" w:eastAsiaTheme="majorEastAsia" w:hAnsiTheme="majorHAnsi" w:cstheme="majorBidi"/>
      <w:b/>
      <w:bCs/>
      <w:color w:val="365F91" w:themeColor="accent1" w:themeShade="BF"/>
      <w:sz w:val="28"/>
      <w:szCs w:val="28"/>
      <w:lang w:eastAsia="ro-RO"/>
    </w:rPr>
  </w:style>
  <w:style w:type="paragraph" w:styleId="TOC2">
    <w:name w:val="toc 2"/>
    <w:basedOn w:val="Normal"/>
    <w:next w:val="Normal"/>
    <w:autoRedefine/>
    <w:uiPriority w:val="39"/>
    <w:unhideWhenUsed/>
    <w:rsid w:val="000A15E9"/>
    <w:pPr>
      <w:tabs>
        <w:tab w:val="left" w:pos="709"/>
        <w:tab w:val="right" w:leader="dot" w:pos="9061"/>
      </w:tabs>
      <w:spacing w:after="100"/>
      <w:ind w:left="240"/>
    </w:pPr>
  </w:style>
  <w:style w:type="paragraph" w:styleId="TOC3">
    <w:name w:val="toc 3"/>
    <w:basedOn w:val="Normal"/>
    <w:next w:val="Normal"/>
    <w:autoRedefine/>
    <w:uiPriority w:val="39"/>
    <w:unhideWhenUsed/>
    <w:rsid w:val="00A164EC"/>
    <w:pPr>
      <w:spacing w:after="100"/>
      <w:ind w:left="480"/>
    </w:pPr>
  </w:style>
  <w:style w:type="character" w:styleId="Hyperlink">
    <w:name w:val="Hyperlink"/>
    <w:basedOn w:val="DefaultParagraphFont"/>
    <w:uiPriority w:val="99"/>
    <w:unhideWhenUsed/>
    <w:rsid w:val="00A164EC"/>
    <w:rPr>
      <w:color w:val="0000FF" w:themeColor="hyperlink"/>
      <w:u w:val="single"/>
    </w:rPr>
  </w:style>
  <w:style w:type="paragraph" w:styleId="TOCHeading">
    <w:name w:val="TOC Heading"/>
    <w:basedOn w:val="Heading1"/>
    <w:next w:val="Normal"/>
    <w:uiPriority w:val="39"/>
    <w:semiHidden/>
    <w:unhideWhenUsed/>
    <w:qFormat/>
    <w:rsid w:val="00A164EC"/>
    <w:pPr>
      <w:spacing w:line="276" w:lineRule="auto"/>
      <w:outlineLvl w:val="9"/>
    </w:pPr>
    <w:rPr>
      <w:lang w:val="en-US" w:eastAsia="ja-JP"/>
    </w:rPr>
  </w:style>
  <w:style w:type="paragraph" w:styleId="Revision">
    <w:name w:val="Revision"/>
    <w:hidden/>
    <w:uiPriority w:val="99"/>
    <w:semiHidden/>
    <w:rsid w:val="008548D6"/>
    <w:pPr>
      <w:spacing w:after="0" w:line="240" w:lineRule="auto"/>
    </w:pPr>
    <w:rPr>
      <w:rFonts w:ascii="Times New Roman" w:eastAsia="Times New Roman" w:hAnsi="Times New Roman" w:cs="Times New Roman"/>
      <w:sz w:val="24"/>
      <w:szCs w:val="24"/>
      <w:lang w:eastAsia="ro-RO"/>
    </w:rPr>
  </w:style>
  <w:style w:type="paragraph" w:styleId="BodyTextIndent">
    <w:name w:val="Body Text Indent"/>
    <w:basedOn w:val="Normal"/>
    <w:link w:val="BodyTextIndentChar"/>
    <w:unhideWhenUsed/>
    <w:rsid w:val="0075439B"/>
    <w:pPr>
      <w:spacing w:after="120"/>
      <w:ind w:left="283"/>
    </w:pPr>
  </w:style>
  <w:style w:type="character" w:customStyle="1" w:styleId="BodyTextIndentChar">
    <w:name w:val="Body Text Indent Char"/>
    <w:basedOn w:val="DefaultParagraphFont"/>
    <w:link w:val="BodyTextIndent"/>
    <w:rsid w:val="0075439B"/>
    <w:rPr>
      <w:rFonts w:ascii="Times New Roman" w:eastAsia="Times New Roman" w:hAnsi="Times New Roman" w:cs="Times New Roman"/>
      <w:sz w:val="24"/>
      <w:szCs w:val="24"/>
      <w:lang w:eastAsia="ro-RO"/>
    </w:rPr>
  </w:style>
  <w:style w:type="paragraph" w:styleId="NormalWeb">
    <w:name w:val="Normal (Web)"/>
    <w:basedOn w:val="Normal"/>
    <w:uiPriority w:val="99"/>
    <w:unhideWhenUsed/>
    <w:rsid w:val="0075439B"/>
    <w:pPr>
      <w:ind w:firstLine="567"/>
      <w:jc w:val="both"/>
    </w:pPr>
    <w:rPr>
      <w:lang w:val="ru-RU" w:eastAsia="ru-RU"/>
    </w:rPr>
  </w:style>
  <w:style w:type="paragraph" w:customStyle="1" w:styleId="tt">
    <w:name w:val="tt"/>
    <w:basedOn w:val="Normal"/>
    <w:rsid w:val="0075439B"/>
    <w:pPr>
      <w:jc w:val="center"/>
    </w:pPr>
    <w:rPr>
      <w:b/>
      <w:bCs/>
      <w:lang w:val="en-US" w:eastAsia="en-US"/>
    </w:rPr>
  </w:style>
  <w:style w:type="character" w:styleId="PageNumber">
    <w:name w:val="page number"/>
    <w:basedOn w:val="DefaultParagraphFont"/>
    <w:rsid w:val="0075439B"/>
    <w:rPr>
      <w:rFonts w:cs="Times New Roman"/>
      <w:b/>
    </w:rPr>
  </w:style>
  <w:style w:type="paragraph" w:customStyle="1" w:styleId="Titolo1Intestazione">
    <w:name w:val="Titolo 1 Intestazione"/>
    <w:basedOn w:val="Header"/>
    <w:uiPriority w:val="99"/>
    <w:rsid w:val="0075439B"/>
    <w:pPr>
      <w:tabs>
        <w:tab w:val="clear" w:pos="4536"/>
        <w:tab w:val="clear" w:pos="9072"/>
        <w:tab w:val="center" w:pos="4819"/>
        <w:tab w:val="right" w:pos="9638"/>
      </w:tabs>
      <w:jc w:val="center"/>
    </w:pPr>
    <w:rPr>
      <w:rFonts w:ascii="Arial" w:hAnsi="Arial"/>
      <w:b/>
      <w:caps/>
      <w:sz w:val="28"/>
      <w:szCs w:val="20"/>
      <w:lang w:val="it-IT" w:eastAsia="en-US"/>
    </w:rPr>
  </w:style>
  <w:style w:type="paragraph" w:customStyle="1" w:styleId="PaginaIntestazione">
    <w:name w:val="Pagina Intestazione"/>
    <w:basedOn w:val="Header"/>
    <w:uiPriority w:val="99"/>
    <w:rsid w:val="0075439B"/>
    <w:pPr>
      <w:tabs>
        <w:tab w:val="clear" w:pos="4536"/>
        <w:tab w:val="clear" w:pos="9072"/>
        <w:tab w:val="center" w:pos="4819"/>
        <w:tab w:val="right" w:pos="9638"/>
      </w:tabs>
      <w:jc w:val="center"/>
    </w:pPr>
    <w:rPr>
      <w:b/>
      <w:caps/>
      <w:sz w:val="20"/>
      <w:szCs w:val="20"/>
      <w:lang w:val="it-IT" w:eastAsia="it-IT"/>
    </w:rPr>
  </w:style>
  <w:style w:type="paragraph" w:customStyle="1" w:styleId="news">
    <w:name w:val="news"/>
    <w:basedOn w:val="Normal"/>
    <w:rsid w:val="0075439B"/>
    <w:rPr>
      <w:rFonts w:ascii="Arial" w:hAnsi="Arial" w:cs="Arial"/>
      <w:sz w:val="20"/>
      <w:szCs w:val="20"/>
      <w:lang w:eastAsia="ru-RU"/>
    </w:rPr>
  </w:style>
  <w:style w:type="paragraph" w:customStyle="1" w:styleId="Textbody">
    <w:name w:val="Text body"/>
    <w:basedOn w:val="Normal"/>
    <w:uiPriority w:val="99"/>
    <w:rsid w:val="0075439B"/>
    <w:pPr>
      <w:suppressAutoHyphens/>
      <w:autoSpaceDN w:val="0"/>
      <w:spacing w:after="120"/>
      <w:textAlignment w:val="baseline"/>
    </w:pPr>
    <w:rPr>
      <w:rFonts w:eastAsia="Calibri"/>
      <w:kern w:val="3"/>
      <w:lang w:val="en-US" w:eastAsia="en-US"/>
    </w:rPr>
  </w:style>
  <w:style w:type="character" w:styleId="Strong">
    <w:name w:val="Strong"/>
    <w:basedOn w:val="DefaultParagraphFont"/>
    <w:uiPriority w:val="22"/>
    <w:qFormat/>
    <w:rsid w:val="0075439B"/>
    <w:rPr>
      <w:b/>
      <w:bCs/>
    </w:rPr>
  </w:style>
  <w:style w:type="character" w:customStyle="1" w:styleId="field-content">
    <w:name w:val="field-content"/>
    <w:basedOn w:val="DefaultParagraphFont"/>
    <w:rsid w:val="0075439B"/>
  </w:style>
  <w:style w:type="character" w:styleId="Emphasis">
    <w:name w:val="Emphasis"/>
    <w:basedOn w:val="DefaultParagraphFont"/>
    <w:uiPriority w:val="20"/>
    <w:qFormat/>
    <w:rsid w:val="0075439B"/>
    <w:rPr>
      <w:i/>
      <w:iCs/>
    </w:rPr>
  </w:style>
  <w:style w:type="paragraph" w:customStyle="1" w:styleId="Huisstijl-Gegevenskop">
    <w:name w:val="Huisstijl - Gegevens kop"/>
    <w:basedOn w:val="Normal"/>
    <w:rsid w:val="0075439B"/>
    <w:pPr>
      <w:autoSpaceDN w:val="0"/>
      <w:spacing w:after="200" w:line="240" w:lineRule="exact"/>
    </w:pPr>
    <w:rPr>
      <w:rFonts w:ascii="Verdana" w:eastAsiaTheme="minorHAnsi" w:hAnsi="Verdana"/>
      <w:sz w:val="13"/>
      <w:szCs w:val="13"/>
      <w:lang w:val="ru-RU" w:eastAsia="ru-RU"/>
    </w:rPr>
  </w:style>
  <w:style w:type="character" w:customStyle="1" w:styleId="hps">
    <w:name w:val="hps"/>
    <w:basedOn w:val="DefaultParagraphFont"/>
    <w:rsid w:val="0075439B"/>
  </w:style>
  <w:style w:type="character" w:customStyle="1" w:styleId="atn">
    <w:name w:val="atn"/>
    <w:basedOn w:val="DefaultParagraphFont"/>
    <w:rsid w:val="0075439B"/>
  </w:style>
  <w:style w:type="paragraph" w:styleId="Title">
    <w:name w:val="Title"/>
    <w:basedOn w:val="Normal"/>
    <w:link w:val="TitleChar"/>
    <w:qFormat/>
    <w:rsid w:val="0075439B"/>
    <w:pPr>
      <w:jc w:val="center"/>
    </w:pPr>
    <w:rPr>
      <w:sz w:val="32"/>
      <w:lang w:val="en-US" w:eastAsia="ru-RU"/>
    </w:rPr>
  </w:style>
  <w:style w:type="character" w:customStyle="1" w:styleId="TitleChar">
    <w:name w:val="Title Char"/>
    <w:basedOn w:val="DefaultParagraphFont"/>
    <w:link w:val="Title"/>
    <w:rsid w:val="0075439B"/>
    <w:rPr>
      <w:rFonts w:ascii="Times New Roman" w:eastAsia="Times New Roman" w:hAnsi="Times New Roman" w:cs="Times New Roman"/>
      <w:sz w:val="32"/>
      <w:szCs w:val="24"/>
      <w:lang w:val="en-US" w:eastAsia="ru-RU"/>
    </w:rPr>
  </w:style>
  <w:style w:type="paragraph" w:styleId="BodyText">
    <w:name w:val="Body Text"/>
    <w:basedOn w:val="Normal"/>
    <w:link w:val="BodyTextChar"/>
    <w:rsid w:val="0075439B"/>
    <w:pPr>
      <w:jc w:val="both"/>
    </w:pPr>
    <w:rPr>
      <w:sz w:val="28"/>
      <w:szCs w:val="20"/>
      <w:lang w:eastAsia="ru-RU"/>
    </w:rPr>
  </w:style>
  <w:style w:type="character" w:customStyle="1" w:styleId="BodyTextChar">
    <w:name w:val="Body Text Char"/>
    <w:basedOn w:val="DefaultParagraphFont"/>
    <w:link w:val="BodyText"/>
    <w:rsid w:val="0075439B"/>
    <w:rPr>
      <w:rFonts w:ascii="Times New Roman" w:eastAsia="Times New Roman" w:hAnsi="Times New Roman" w:cs="Times New Roman"/>
      <w:sz w:val="28"/>
      <w:szCs w:val="20"/>
      <w:lang w:eastAsia="ru-RU"/>
    </w:rPr>
  </w:style>
  <w:style w:type="paragraph" w:styleId="BodyText2">
    <w:name w:val="Body Text 2"/>
    <w:basedOn w:val="Normal"/>
    <w:link w:val="BodyText2Char"/>
    <w:rsid w:val="0075439B"/>
    <w:pPr>
      <w:tabs>
        <w:tab w:val="left" w:pos="2311"/>
      </w:tabs>
      <w:jc w:val="both"/>
    </w:pPr>
    <w:rPr>
      <w:lang w:eastAsia="ru-RU"/>
    </w:rPr>
  </w:style>
  <w:style w:type="character" w:customStyle="1" w:styleId="BodyText2Char">
    <w:name w:val="Body Text 2 Char"/>
    <w:basedOn w:val="DefaultParagraphFont"/>
    <w:link w:val="BodyText2"/>
    <w:rsid w:val="0075439B"/>
    <w:rPr>
      <w:rFonts w:ascii="Times New Roman" w:eastAsia="Times New Roman" w:hAnsi="Times New Roman" w:cs="Times New Roman"/>
      <w:sz w:val="24"/>
      <w:szCs w:val="24"/>
      <w:lang w:eastAsia="ru-RU"/>
    </w:rPr>
  </w:style>
  <w:style w:type="paragraph" w:customStyle="1" w:styleId="cn">
    <w:name w:val="cn"/>
    <w:basedOn w:val="Normal"/>
    <w:rsid w:val="0075439B"/>
    <w:pPr>
      <w:jc w:val="center"/>
    </w:pPr>
    <w:rPr>
      <w:lang w:val="ru-RU" w:eastAsia="ru-RU"/>
    </w:rPr>
  </w:style>
  <w:style w:type="paragraph" w:customStyle="1" w:styleId="cb">
    <w:name w:val="cb"/>
    <w:basedOn w:val="Normal"/>
    <w:rsid w:val="0075439B"/>
    <w:pPr>
      <w:jc w:val="center"/>
    </w:pPr>
    <w:rPr>
      <w:b/>
      <w:bCs/>
      <w:lang w:val="ru-RU" w:eastAsia="zh-CN"/>
    </w:rPr>
  </w:style>
  <w:style w:type="paragraph" w:customStyle="1" w:styleId="Style9">
    <w:name w:val="Style9"/>
    <w:basedOn w:val="Normal"/>
    <w:rsid w:val="0075439B"/>
    <w:rPr>
      <w:sz w:val="20"/>
      <w:szCs w:val="20"/>
      <w:lang w:val="ru-RU" w:eastAsia="ru-RU"/>
    </w:rPr>
  </w:style>
  <w:style w:type="paragraph" w:customStyle="1" w:styleId="Style19">
    <w:name w:val="Style19"/>
    <w:basedOn w:val="Normal"/>
    <w:rsid w:val="0075439B"/>
    <w:rPr>
      <w:sz w:val="20"/>
      <w:szCs w:val="20"/>
      <w:lang w:val="ru-RU" w:eastAsia="ru-RU"/>
    </w:rPr>
  </w:style>
  <w:style w:type="character" w:customStyle="1" w:styleId="CharStyle5">
    <w:name w:val="CharStyle5"/>
    <w:basedOn w:val="DefaultParagraphFont"/>
    <w:rsid w:val="0075439B"/>
    <w:rPr>
      <w:rFonts w:ascii="Times New Roman" w:eastAsia="Times New Roman" w:hAnsi="Times New Roman" w:cs="Times New Roman"/>
      <w:b/>
      <w:bCs/>
      <w:i/>
      <w:iCs/>
      <w:smallCaps w:val="0"/>
      <w:sz w:val="20"/>
      <w:szCs w:val="20"/>
    </w:rPr>
  </w:style>
  <w:style w:type="character" w:customStyle="1" w:styleId="CharStyle15">
    <w:name w:val="CharStyle15"/>
    <w:basedOn w:val="DefaultParagraphFont"/>
    <w:rsid w:val="0075439B"/>
    <w:rPr>
      <w:rFonts w:ascii="Times New Roman" w:eastAsia="Times New Roman" w:hAnsi="Times New Roman" w:cs="Times New Roman"/>
      <w:b w:val="0"/>
      <w:bCs w:val="0"/>
      <w:i w:val="0"/>
      <w:iCs w:val="0"/>
      <w:smallCaps w:val="0"/>
      <w:sz w:val="22"/>
      <w:szCs w:val="22"/>
    </w:rPr>
  </w:style>
  <w:style w:type="paragraph" w:styleId="Caption">
    <w:name w:val="caption"/>
    <w:basedOn w:val="Normal"/>
    <w:next w:val="Normal"/>
    <w:uiPriority w:val="35"/>
    <w:semiHidden/>
    <w:unhideWhenUsed/>
    <w:qFormat/>
    <w:rsid w:val="0075439B"/>
    <w:pPr>
      <w:spacing w:after="200"/>
    </w:pPr>
    <w:rPr>
      <w:i/>
      <w:iCs/>
      <w:color w:val="1F497D" w:themeColor="text2"/>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3295">
      <w:bodyDiv w:val="1"/>
      <w:marLeft w:val="0"/>
      <w:marRight w:val="0"/>
      <w:marTop w:val="0"/>
      <w:marBottom w:val="0"/>
      <w:divBdr>
        <w:top w:val="none" w:sz="0" w:space="0" w:color="auto"/>
        <w:left w:val="none" w:sz="0" w:space="0" w:color="auto"/>
        <w:bottom w:val="none" w:sz="0" w:space="0" w:color="auto"/>
        <w:right w:val="none" w:sz="0" w:space="0" w:color="auto"/>
      </w:divBdr>
    </w:div>
    <w:div w:id="445390410">
      <w:bodyDiv w:val="1"/>
      <w:marLeft w:val="0"/>
      <w:marRight w:val="0"/>
      <w:marTop w:val="0"/>
      <w:marBottom w:val="0"/>
      <w:divBdr>
        <w:top w:val="none" w:sz="0" w:space="0" w:color="auto"/>
        <w:left w:val="none" w:sz="0" w:space="0" w:color="auto"/>
        <w:bottom w:val="none" w:sz="0" w:space="0" w:color="auto"/>
        <w:right w:val="none" w:sz="0" w:space="0" w:color="auto"/>
      </w:divBdr>
    </w:div>
    <w:div w:id="544222783">
      <w:bodyDiv w:val="1"/>
      <w:marLeft w:val="0"/>
      <w:marRight w:val="0"/>
      <w:marTop w:val="0"/>
      <w:marBottom w:val="0"/>
      <w:divBdr>
        <w:top w:val="none" w:sz="0" w:space="0" w:color="auto"/>
        <w:left w:val="none" w:sz="0" w:space="0" w:color="auto"/>
        <w:bottom w:val="none" w:sz="0" w:space="0" w:color="auto"/>
        <w:right w:val="none" w:sz="0" w:space="0" w:color="auto"/>
      </w:divBdr>
    </w:div>
    <w:div w:id="1599561742">
      <w:bodyDiv w:val="1"/>
      <w:marLeft w:val="0"/>
      <w:marRight w:val="0"/>
      <w:marTop w:val="0"/>
      <w:marBottom w:val="0"/>
      <w:divBdr>
        <w:top w:val="none" w:sz="0" w:space="0" w:color="auto"/>
        <w:left w:val="none" w:sz="0" w:space="0" w:color="auto"/>
        <w:bottom w:val="none" w:sz="0" w:space="0" w:color="auto"/>
        <w:right w:val="none" w:sz="0" w:space="0" w:color="auto"/>
      </w:divBdr>
      <w:divsChild>
        <w:div w:id="788083491">
          <w:marLeft w:val="547"/>
          <w:marRight w:val="0"/>
          <w:marTop w:val="134"/>
          <w:marBottom w:val="0"/>
          <w:divBdr>
            <w:top w:val="none" w:sz="0" w:space="0" w:color="auto"/>
            <w:left w:val="none" w:sz="0" w:space="0" w:color="auto"/>
            <w:bottom w:val="none" w:sz="0" w:space="0" w:color="auto"/>
            <w:right w:val="none" w:sz="0" w:space="0" w:color="auto"/>
          </w:divBdr>
        </w:div>
        <w:div w:id="1516649418">
          <w:marLeft w:val="547"/>
          <w:marRight w:val="0"/>
          <w:marTop w:val="134"/>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0.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chart" Target="charts/chart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0.w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image" Target="media/image9.wmf"/><Relationship Id="rId32" Type="http://schemas.openxmlformats.org/officeDocument/2006/relationships/image" Target="media/image120.emf"/><Relationship Id="rId37" Type="http://schemas.openxmlformats.org/officeDocument/2006/relationships/image" Target="media/image150.wmf"/><Relationship Id="rId40" Type="http://schemas.openxmlformats.org/officeDocument/2006/relationships/image" Target="media/image17.wmf"/><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0.wmf"/><Relationship Id="rId28" Type="http://schemas.openxmlformats.org/officeDocument/2006/relationships/image" Target="media/image12.emf"/><Relationship Id="rId36" Type="http://schemas.openxmlformats.org/officeDocument/2006/relationships/image" Target="media/image140.wmf"/><Relationship Id="rId10" Type="http://schemas.openxmlformats.org/officeDocument/2006/relationships/image" Target="media/image12.wmf"/><Relationship Id="rId19" Type="http://schemas.openxmlformats.org/officeDocument/2006/relationships/image" Target="media/image60.wmf"/><Relationship Id="rId31" Type="http://schemas.openxmlformats.org/officeDocument/2006/relationships/image" Target="media/image110.wmf"/><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0.wmf"/><Relationship Id="rId27" Type="http://schemas.openxmlformats.org/officeDocument/2006/relationships/image" Target="media/image11.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chart" Target="charts/chart2.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0.wmf"/><Relationship Id="rId25" Type="http://schemas.openxmlformats.org/officeDocument/2006/relationships/image" Target="media/image90.wmf"/><Relationship Id="rId33" Type="http://schemas.openxmlformats.org/officeDocument/2006/relationships/image" Target="media/image130.emf"/><Relationship Id="rId38" Type="http://schemas.openxmlformats.org/officeDocument/2006/relationships/image" Target="media/image16.wmf"/><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0.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3022551792676404"/>
          <c:y val="2.6677033017931583E-2"/>
          <c:w val="0.69154651785031718"/>
          <c:h val="0.48160226295242509"/>
        </c:manualLayout>
      </c:layout>
      <c:pie3D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explosion val="13"/>
          <c:dPt>
            <c:idx val="0"/>
            <c:bubble3D val="0"/>
            <c:extLst>
              <c:ext xmlns:c16="http://schemas.microsoft.com/office/drawing/2014/chart" uri="{C3380CC4-5D6E-409C-BE32-E72D297353CC}">
                <c16:uniqueId val="{00000000-F137-4847-8155-1A4D33B5CBFB}"/>
              </c:ext>
            </c:extLst>
          </c:dPt>
          <c:dPt>
            <c:idx val="1"/>
            <c:bubble3D val="0"/>
            <c:spPr>
              <a:pattFill prst="wdUpDiag">
                <a:fgClr>
                  <a:srgbClr xmlns:mc="http://schemas.openxmlformats.org/markup-compatibility/2006" xmlns:a14="http://schemas.microsoft.com/office/drawing/2010/main" val="FF9900" mc:Ignorable="a14" a14:legacySpreadsheetColorIndex="52"/>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extLst>
              <c:ext xmlns:c16="http://schemas.microsoft.com/office/drawing/2014/chart" uri="{C3380CC4-5D6E-409C-BE32-E72D297353CC}">
                <c16:uniqueId val="{00000002-F137-4847-8155-1A4D33B5CBFB}"/>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04-F137-4847-8155-1A4D33B5CBFB}"/>
              </c:ext>
            </c:extLst>
          </c:dPt>
          <c:dPt>
            <c:idx val="3"/>
            <c:bubble3D val="0"/>
            <c:spPr>
              <a:solidFill>
                <a:srgbClr val="CCFFFF"/>
              </a:solidFill>
              <a:ln w="12699">
                <a:solidFill>
                  <a:srgbClr val="000000"/>
                </a:solidFill>
                <a:prstDash val="solid"/>
              </a:ln>
            </c:spPr>
            <c:extLst>
              <c:ext xmlns:c16="http://schemas.microsoft.com/office/drawing/2014/chart" uri="{C3380CC4-5D6E-409C-BE32-E72D297353CC}">
                <c16:uniqueId val="{00000006-F137-4847-8155-1A4D33B5CBFB}"/>
              </c:ext>
            </c:extLst>
          </c:dPt>
          <c:dPt>
            <c:idx val="4"/>
            <c:bubble3D val="0"/>
            <c:spPr>
              <a:solidFill>
                <a:srgbClr val="660066"/>
              </a:solidFill>
              <a:ln w="12699">
                <a:solidFill>
                  <a:srgbClr val="000000"/>
                </a:solidFill>
                <a:prstDash val="solid"/>
              </a:ln>
            </c:spPr>
            <c:extLst>
              <c:ext xmlns:c16="http://schemas.microsoft.com/office/drawing/2014/chart" uri="{C3380CC4-5D6E-409C-BE32-E72D297353CC}">
                <c16:uniqueId val="{00000008-F137-4847-8155-1A4D33B5CBFB}"/>
              </c:ext>
            </c:extLst>
          </c:dPt>
          <c:dPt>
            <c:idx val="6"/>
            <c:bubble3D val="0"/>
            <c:spPr>
              <a:solidFill>
                <a:schemeClr val="accent6">
                  <a:lumMod val="60000"/>
                  <a:lumOff val="40000"/>
                </a:schemeClr>
              </a:solidFill>
              <a:ln w="12699">
                <a:solidFill>
                  <a:srgbClr val="000000"/>
                </a:solidFill>
                <a:prstDash val="solid"/>
              </a:ln>
            </c:spPr>
            <c:extLst>
              <c:ext xmlns:c16="http://schemas.microsoft.com/office/drawing/2014/chart" uri="{C3380CC4-5D6E-409C-BE32-E72D297353CC}">
                <c16:uniqueId val="{0000000A-F137-4847-8155-1A4D33B5CBFB}"/>
              </c:ext>
            </c:extLst>
          </c:dPt>
          <c:dPt>
            <c:idx val="7"/>
            <c:bubble3D val="0"/>
            <c:spPr>
              <a:solidFill>
                <a:srgbClr val="FF0000"/>
              </a:solidFill>
              <a:ln w="12699">
                <a:solidFill>
                  <a:srgbClr val="000000"/>
                </a:solidFill>
                <a:prstDash val="solid"/>
              </a:ln>
            </c:spPr>
            <c:extLst>
              <c:ext xmlns:c16="http://schemas.microsoft.com/office/drawing/2014/chart" uri="{C3380CC4-5D6E-409C-BE32-E72D297353CC}">
                <c16:uniqueId val="{0000000C-F137-4847-8155-1A4D33B5CBFB}"/>
              </c:ext>
            </c:extLst>
          </c:dPt>
          <c:dPt>
            <c:idx val="8"/>
            <c:bubble3D val="0"/>
            <c:spPr>
              <a:solidFill>
                <a:srgbClr val="00B0F0"/>
              </a:solidFill>
              <a:ln w="12699">
                <a:solidFill>
                  <a:srgbClr val="000000"/>
                </a:solidFill>
                <a:prstDash val="solid"/>
              </a:ln>
            </c:spPr>
            <c:extLst>
              <c:ext xmlns:c16="http://schemas.microsoft.com/office/drawing/2014/chart" uri="{C3380CC4-5D6E-409C-BE32-E72D297353CC}">
                <c16:uniqueId val="{0000000E-F137-4847-8155-1A4D33B5CBFB}"/>
              </c:ext>
            </c:extLst>
          </c:dPt>
          <c:dPt>
            <c:idx val="9"/>
            <c:bubble3D val="0"/>
            <c:spPr>
              <a:solidFill>
                <a:srgbClr val="C00000"/>
              </a:solidFill>
              <a:ln w="12699">
                <a:solidFill>
                  <a:srgbClr val="000000"/>
                </a:solidFill>
                <a:prstDash val="solid"/>
              </a:ln>
            </c:spPr>
            <c:extLst>
              <c:ext xmlns:c16="http://schemas.microsoft.com/office/drawing/2014/chart" uri="{C3380CC4-5D6E-409C-BE32-E72D297353CC}">
                <c16:uniqueId val="{00000010-F137-4847-8155-1A4D33B5CBFB}"/>
              </c:ext>
            </c:extLst>
          </c:dPt>
          <c:dLbls>
            <c:dLbl>
              <c:idx val="0"/>
              <c:layout>
                <c:manualLayout>
                  <c:x val="3.2146709816612731E-2"/>
                  <c:y val="-2.6357109773043074E-2"/>
                </c:manualLayout>
              </c:layout>
              <c:tx>
                <c:rich>
                  <a:bodyPr/>
                  <a:lstStyle/>
                  <a:p>
                    <a:fld id="{893F12EC-2436-4234-B4B4-7BD375112020}"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137-4847-8155-1A4D33B5CBFB}"/>
                </c:ext>
              </c:extLst>
            </c:dLbl>
            <c:dLbl>
              <c:idx val="1"/>
              <c:layout>
                <c:manualLayout>
                  <c:x val="3.6326478607649773E-2"/>
                  <c:y val="2.126811354463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37-4847-8155-1A4D33B5CBFB}"/>
                </c:ext>
              </c:extLst>
            </c:dLbl>
            <c:dLbl>
              <c:idx val="2"/>
              <c:layout>
                <c:manualLayout>
                  <c:x val="-8.9517790858666943E-2"/>
                  <c:y val="5.76424270495599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37-4847-8155-1A4D33B5CBFB}"/>
                </c:ext>
              </c:extLst>
            </c:dLbl>
            <c:dLbl>
              <c:idx val="3"/>
              <c:layout>
                <c:manualLayout>
                  <c:x val="-3.6152010124947974E-2"/>
                  <c:y val="1.0722887580228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37-4847-8155-1A4D33B5CBFB}"/>
                </c:ext>
              </c:extLst>
            </c:dLbl>
            <c:dLbl>
              <c:idx val="4"/>
              <c:layout>
                <c:manualLayout>
                  <c:x val="-9.350100654893867E-2"/>
                  <c:y val="-4.9188777873354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37-4847-8155-1A4D33B5CBFB}"/>
                </c:ext>
              </c:extLst>
            </c:dLbl>
            <c:dLbl>
              <c:idx val="5"/>
              <c:layout>
                <c:manualLayout>
                  <c:x val="-3.5300053512728385E-2"/>
                  <c:y val="-4.2638456957586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37-4847-8155-1A4D33B5CBFB}"/>
                </c:ext>
              </c:extLst>
            </c:dLbl>
            <c:dLbl>
              <c:idx val="7"/>
              <c:layout>
                <c:manualLayout>
                  <c:x val="2.4189452046649507E-2"/>
                  <c:y val="-3.0494607291735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37-4847-8155-1A4D33B5CBFB}"/>
                </c:ext>
              </c:extLst>
            </c:dLbl>
            <c:dLbl>
              <c:idx val="8"/>
              <c:layout>
                <c:manualLayout>
                  <c:x val="3.2313873387185825E-2"/>
                  <c:y val="-5.952689737312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137-4847-8155-1A4D33B5CBFB}"/>
                </c:ext>
              </c:extLst>
            </c:dLbl>
            <c:dLbl>
              <c:idx val="9"/>
              <c:layout>
                <c:manualLayout>
                  <c:x val="8.9937738365228614E-2"/>
                  <c:y val="-4.0619334347912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137-4847-8155-1A4D33B5CBFB}"/>
                </c:ext>
              </c:extLst>
            </c:dLbl>
            <c:spPr>
              <a:noFill/>
              <a:ln>
                <a:noFill/>
              </a:ln>
              <a:effectLst/>
            </c:spPr>
            <c:txPr>
              <a:bodyPr wrap="square" lIns="38100" tIns="19050" rIns="38100" bIns="19050" anchor="ctr">
                <a:spAutoFit/>
              </a:bodyPr>
              <a:lstStyle/>
              <a:p>
                <a:pPr>
                  <a:defRPr sz="10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Sheet1!$B$1:$K$1</c:f>
              <c:strCache>
                <c:ptCount val="10"/>
                <c:pt idx="0">
                  <c:v>S.A. „Termoelectrica” - 26,8%</c:v>
                </c:pt>
                <c:pt idx="1">
                  <c:v>Î.S. „Calea Ferată din Moldova” - 19,8%</c:v>
                </c:pt>
                <c:pt idx="2">
                  <c:v>S.A. „CET-Nord” - 19,7%</c:v>
                </c:pt>
                <c:pt idx="3">
                  <c:v>Altele - 17,3%</c:v>
                </c:pt>
                <c:pt idx="4">
                  <c:v>Î.S. „Fabrica de Sticlă din Chișinău” - 5,1%</c:v>
                </c:pt>
                <c:pt idx="5">
                  <c:v>Î.S. „Moldtranselectro” - 3,4%</c:v>
                </c:pt>
                <c:pt idx="6">
                  <c:v>S.A. „Răut” - 2,9%</c:v>
                </c:pt>
                <c:pt idx="7">
                  <c:v>Î.S. „Aeroportul Internațional Chișinău” - 2,3%</c:v>
                </c:pt>
                <c:pt idx="8">
                  <c:v>Î.S. „Moldsuinhibrid” - 1,5%</c:v>
                </c:pt>
                <c:pt idx="9">
                  <c:v>Î.S. „VetsMoldTransGaz” - 1,2%</c:v>
                </c:pt>
              </c:strCache>
            </c:strRef>
          </c:cat>
          <c:val>
            <c:numRef>
              <c:f>Sheet1!$B$2:$K$2</c:f>
              <c:numCache>
                <c:formatCode>General</c:formatCode>
                <c:ptCount val="10"/>
                <c:pt idx="0">
                  <c:v>72</c:v>
                </c:pt>
                <c:pt idx="1">
                  <c:v>53.2</c:v>
                </c:pt>
                <c:pt idx="2">
                  <c:v>52.9</c:v>
                </c:pt>
                <c:pt idx="3">
                  <c:v>46.4</c:v>
                </c:pt>
                <c:pt idx="4">
                  <c:v>13.6</c:v>
                </c:pt>
                <c:pt idx="5">
                  <c:v>9.1</c:v>
                </c:pt>
                <c:pt idx="6">
                  <c:v>7.8</c:v>
                </c:pt>
                <c:pt idx="7">
                  <c:v>6.3</c:v>
                </c:pt>
                <c:pt idx="8">
                  <c:v>3.9</c:v>
                </c:pt>
                <c:pt idx="9">
                  <c:v>3.3</c:v>
                </c:pt>
              </c:numCache>
            </c:numRef>
          </c:val>
          <c:extLst>
            <c:ext xmlns:c16="http://schemas.microsoft.com/office/drawing/2014/chart" uri="{C3380CC4-5D6E-409C-BE32-E72D297353CC}">
              <c16:uniqueId val="{00000012-F137-4847-8155-1A4D33B5CBFB}"/>
            </c:ext>
          </c:extLst>
        </c:ser>
        <c:ser>
          <c:idx val="1"/>
          <c:order val="1"/>
          <c:tx>
            <c:strRef>
              <c:f>Sheet1!$A$3</c:f>
              <c:strCache>
                <c:ptCount val="1"/>
              </c:strCache>
            </c:strRef>
          </c:tx>
          <c:spPr>
            <a:solidFill>
              <a:srgbClr val="993366"/>
            </a:solidFill>
            <a:ln w="12699">
              <a:solidFill>
                <a:srgbClr val="000000"/>
              </a:solidFill>
              <a:prstDash val="solid"/>
            </a:ln>
          </c:spPr>
          <c:explosion val="13"/>
          <c:dPt>
            <c:idx val="0"/>
            <c:bubble3D val="0"/>
            <c:spPr>
              <a:solidFill>
                <a:srgbClr val="9999FF"/>
              </a:solidFill>
              <a:ln w="12699">
                <a:solidFill>
                  <a:srgbClr val="000000"/>
                </a:solidFill>
                <a:prstDash val="solid"/>
              </a:ln>
            </c:spPr>
            <c:extLst>
              <c:ext xmlns:c16="http://schemas.microsoft.com/office/drawing/2014/chart" uri="{C3380CC4-5D6E-409C-BE32-E72D297353CC}">
                <c16:uniqueId val="{00000014-F137-4847-8155-1A4D33B5CBFB}"/>
              </c:ext>
            </c:extLst>
          </c:dPt>
          <c:dPt>
            <c:idx val="1"/>
            <c:bubble3D val="0"/>
            <c:extLst>
              <c:ext xmlns:c16="http://schemas.microsoft.com/office/drawing/2014/chart" uri="{C3380CC4-5D6E-409C-BE32-E72D297353CC}">
                <c16:uniqueId val="{00000015-F137-4847-8155-1A4D33B5CBFB}"/>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17-F137-4847-8155-1A4D33B5CBFB}"/>
              </c:ext>
            </c:extLst>
          </c:dPt>
          <c:dPt>
            <c:idx val="3"/>
            <c:bubble3D val="0"/>
            <c:spPr>
              <a:solidFill>
                <a:srgbClr val="CCFFFF"/>
              </a:solidFill>
              <a:ln w="12699">
                <a:solidFill>
                  <a:srgbClr val="000000"/>
                </a:solidFill>
                <a:prstDash val="solid"/>
              </a:ln>
            </c:spPr>
            <c:extLst>
              <c:ext xmlns:c16="http://schemas.microsoft.com/office/drawing/2014/chart" uri="{C3380CC4-5D6E-409C-BE32-E72D297353CC}">
                <c16:uniqueId val="{00000019-F137-4847-8155-1A4D33B5CBFB}"/>
              </c:ext>
            </c:extLst>
          </c:dPt>
          <c:dPt>
            <c:idx val="4"/>
            <c:bubble3D val="0"/>
            <c:spPr>
              <a:solidFill>
                <a:srgbClr val="660066"/>
              </a:solidFill>
              <a:ln w="12699">
                <a:solidFill>
                  <a:srgbClr val="000000"/>
                </a:solidFill>
                <a:prstDash val="solid"/>
              </a:ln>
            </c:spPr>
            <c:extLst>
              <c:ext xmlns:c16="http://schemas.microsoft.com/office/drawing/2014/chart" uri="{C3380CC4-5D6E-409C-BE32-E72D297353CC}">
                <c16:uniqueId val="{0000001B-F137-4847-8155-1A4D33B5CBFB}"/>
              </c:ext>
            </c:extLst>
          </c:dPt>
          <c:dLbls>
            <c:numFmt formatCode="0%" sourceLinked="0"/>
            <c:spPr>
              <a:noFill/>
              <a:ln w="25399">
                <a:noFill/>
              </a:ln>
            </c:spPr>
            <c:txPr>
              <a:bodyPr wrap="square" lIns="38100" tIns="19050" rIns="38100" bIns="19050" anchor="ctr">
                <a:spAutoFit/>
              </a:bodyPr>
              <a:lstStyle/>
              <a:p>
                <a:pPr>
                  <a:defRPr sz="95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Sheet1!$B$1:$K$1</c:f>
              <c:strCache>
                <c:ptCount val="10"/>
                <c:pt idx="0">
                  <c:v>S.A. „Termoelectrica” - 26,8%</c:v>
                </c:pt>
                <c:pt idx="1">
                  <c:v>Î.S. „Calea Ferată din Moldova” - 19,8%</c:v>
                </c:pt>
                <c:pt idx="2">
                  <c:v>S.A. „CET-Nord” - 19,7%</c:v>
                </c:pt>
                <c:pt idx="3">
                  <c:v>Altele - 17,3%</c:v>
                </c:pt>
                <c:pt idx="4">
                  <c:v>Î.S. „Fabrica de Sticlă din Chișinău” - 5,1%</c:v>
                </c:pt>
                <c:pt idx="5">
                  <c:v>Î.S. „Moldtranselectro” - 3,4%</c:v>
                </c:pt>
                <c:pt idx="6">
                  <c:v>S.A. „Răut” - 2,9%</c:v>
                </c:pt>
                <c:pt idx="7">
                  <c:v>Î.S. „Aeroportul Internațional Chișinău” - 2,3%</c:v>
                </c:pt>
                <c:pt idx="8">
                  <c:v>Î.S. „Moldsuinhibrid” - 1,5%</c:v>
                </c:pt>
                <c:pt idx="9">
                  <c:v>Î.S. „VetsMoldTransGaz” - 1,2%</c:v>
                </c:pt>
              </c:strCache>
            </c:strRef>
          </c:cat>
          <c:val>
            <c:numRef>
              <c:f>Sheet1!$B$3:$K$3</c:f>
              <c:numCache>
                <c:formatCode>General</c:formatCode>
                <c:ptCount val="10"/>
              </c:numCache>
            </c:numRef>
          </c:val>
          <c:extLst>
            <c:ext xmlns:c16="http://schemas.microsoft.com/office/drawing/2014/chart" uri="{C3380CC4-5D6E-409C-BE32-E72D297353CC}">
              <c16:uniqueId val="{0000001C-F137-4847-8155-1A4D33B5CBFB}"/>
            </c:ext>
          </c:extLst>
        </c:ser>
        <c:ser>
          <c:idx val="2"/>
          <c:order val="2"/>
          <c:tx>
            <c:strRef>
              <c:f>Sheet1!$A$4</c:f>
              <c:strCache>
                <c:ptCount val="1"/>
              </c:strCache>
            </c:strRef>
          </c:tx>
          <c:spPr>
            <a:solidFill>
              <a:srgbClr val="FFFFCC"/>
            </a:solidFill>
            <a:ln w="12699">
              <a:solidFill>
                <a:srgbClr val="000000"/>
              </a:solidFill>
              <a:prstDash val="solid"/>
            </a:ln>
          </c:spPr>
          <c:explosion val="13"/>
          <c:dPt>
            <c:idx val="0"/>
            <c:bubble3D val="0"/>
            <c:spPr>
              <a:solidFill>
                <a:srgbClr val="9999FF"/>
              </a:solidFill>
              <a:ln w="12699">
                <a:solidFill>
                  <a:srgbClr val="000000"/>
                </a:solidFill>
                <a:prstDash val="solid"/>
              </a:ln>
            </c:spPr>
            <c:extLst>
              <c:ext xmlns:c16="http://schemas.microsoft.com/office/drawing/2014/chart" uri="{C3380CC4-5D6E-409C-BE32-E72D297353CC}">
                <c16:uniqueId val="{0000001E-F137-4847-8155-1A4D33B5CBFB}"/>
              </c:ext>
            </c:extLst>
          </c:dPt>
          <c:dPt>
            <c:idx val="1"/>
            <c:bubble3D val="0"/>
            <c:spPr>
              <a:solidFill>
                <a:srgbClr val="993366"/>
              </a:solidFill>
              <a:ln w="12699">
                <a:solidFill>
                  <a:srgbClr val="000000"/>
                </a:solidFill>
                <a:prstDash val="solid"/>
              </a:ln>
            </c:spPr>
            <c:extLst>
              <c:ext xmlns:c16="http://schemas.microsoft.com/office/drawing/2014/chart" uri="{C3380CC4-5D6E-409C-BE32-E72D297353CC}">
                <c16:uniqueId val="{00000020-F137-4847-8155-1A4D33B5CBFB}"/>
              </c:ext>
            </c:extLst>
          </c:dPt>
          <c:dPt>
            <c:idx val="2"/>
            <c:bubble3D val="0"/>
            <c:extLst>
              <c:ext xmlns:c16="http://schemas.microsoft.com/office/drawing/2014/chart" uri="{C3380CC4-5D6E-409C-BE32-E72D297353CC}">
                <c16:uniqueId val="{00000021-F137-4847-8155-1A4D33B5CBFB}"/>
              </c:ext>
            </c:extLst>
          </c:dPt>
          <c:dPt>
            <c:idx val="3"/>
            <c:bubble3D val="0"/>
            <c:spPr>
              <a:solidFill>
                <a:srgbClr val="CCFFFF"/>
              </a:solidFill>
              <a:ln w="12699">
                <a:solidFill>
                  <a:srgbClr val="000000"/>
                </a:solidFill>
                <a:prstDash val="solid"/>
              </a:ln>
            </c:spPr>
            <c:extLst>
              <c:ext xmlns:c16="http://schemas.microsoft.com/office/drawing/2014/chart" uri="{C3380CC4-5D6E-409C-BE32-E72D297353CC}">
                <c16:uniqueId val="{00000023-F137-4847-8155-1A4D33B5CBFB}"/>
              </c:ext>
            </c:extLst>
          </c:dPt>
          <c:dPt>
            <c:idx val="4"/>
            <c:bubble3D val="0"/>
            <c:spPr>
              <a:solidFill>
                <a:srgbClr val="660066"/>
              </a:solidFill>
              <a:ln w="12699">
                <a:solidFill>
                  <a:srgbClr val="000000"/>
                </a:solidFill>
                <a:prstDash val="solid"/>
              </a:ln>
            </c:spPr>
            <c:extLst>
              <c:ext xmlns:c16="http://schemas.microsoft.com/office/drawing/2014/chart" uri="{C3380CC4-5D6E-409C-BE32-E72D297353CC}">
                <c16:uniqueId val="{00000025-F137-4847-8155-1A4D33B5CBFB}"/>
              </c:ext>
            </c:extLst>
          </c:dPt>
          <c:dLbls>
            <c:numFmt formatCode="0%" sourceLinked="0"/>
            <c:spPr>
              <a:noFill/>
              <a:ln w="25399">
                <a:noFill/>
              </a:ln>
            </c:spPr>
            <c:txPr>
              <a:bodyPr wrap="square" lIns="38100" tIns="19050" rIns="38100" bIns="19050" anchor="ctr">
                <a:spAutoFit/>
              </a:bodyPr>
              <a:lstStyle/>
              <a:p>
                <a:pPr>
                  <a:defRPr sz="95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Sheet1!$B$1:$K$1</c:f>
              <c:strCache>
                <c:ptCount val="10"/>
                <c:pt idx="0">
                  <c:v>S.A. „Termoelectrica” - 26,8%</c:v>
                </c:pt>
                <c:pt idx="1">
                  <c:v>Î.S. „Calea Ferată din Moldova” - 19,8%</c:v>
                </c:pt>
                <c:pt idx="2">
                  <c:v>S.A. „CET-Nord” - 19,7%</c:v>
                </c:pt>
                <c:pt idx="3">
                  <c:v>Altele - 17,3%</c:v>
                </c:pt>
                <c:pt idx="4">
                  <c:v>Î.S. „Fabrica de Sticlă din Chișinău” - 5,1%</c:v>
                </c:pt>
                <c:pt idx="5">
                  <c:v>Î.S. „Moldtranselectro” - 3,4%</c:v>
                </c:pt>
                <c:pt idx="6">
                  <c:v>S.A. „Răut” - 2,9%</c:v>
                </c:pt>
                <c:pt idx="7">
                  <c:v>Î.S. „Aeroportul Internațional Chișinău” - 2,3%</c:v>
                </c:pt>
                <c:pt idx="8">
                  <c:v>Î.S. „Moldsuinhibrid” - 1,5%</c:v>
                </c:pt>
                <c:pt idx="9">
                  <c:v>Î.S. „VetsMoldTransGaz” - 1,2%</c:v>
                </c:pt>
              </c:strCache>
            </c:strRef>
          </c:cat>
          <c:val>
            <c:numRef>
              <c:f>Sheet1!$B$4:$K$4</c:f>
              <c:numCache>
                <c:formatCode>General</c:formatCode>
                <c:ptCount val="10"/>
              </c:numCache>
            </c:numRef>
          </c:val>
          <c:extLst>
            <c:ext xmlns:c16="http://schemas.microsoft.com/office/drawing/2014/chart" uri="{C3380CC4-5D6E-409C-BE32-E72D297353CC}">
              <c16:uniqueId val="{00000026-F137-4847-8155-1A4D33B5CBFB}"/>
            </c:ext>
          </c:extLst>
        </c:ser>
        <c:dLbls>
          <c:showLegendKey val="0"/>
          <c:showVal val="0"/>
          <c:showCatName val="0"/>
          <c:showSerName val="0"/>
          <c:showPercent val="1"/>
          <c:showBubbleSize val="0"/>
          <c:showLeaderLines val="1"/>
        </c:dLbls>
      </c:pie3DChart>
      <c:spPr>
        <a:solidFill>
          <a:srgbClr val="FFFFFF"/>
        </a:solidFill>
        <a:ln w="25399">
          <a:noFill/>
        </a:ln>
      </c:spPr>
    </c:plotArea>
    <c:legend>
      <c:legendPos val="b"/>
      <c:layout>
        <c:manualLayout>
          <c:xMode val="edge"/>
          <c:yMode val="edge"/>
          <c:x val="6.0200668896321072E-2"/>
          <c:y val="0.49353602858466222"/>
          <c:w val="0.90505584860144905"/>
          <c:h val="0.47705220670945542"/>
        </c:manualLayout>
      </c:layout>
      <c:overlay val="0"/>
      <c:spPr>
        <a:noFill/>
        <a:ln w="3175">
          <a:solidFill>
            <a:srgbClr val="000000"/>
          </a:solidFill>
          <a:prstDash val="solid"/>
        </a:ln>
      </c:spPr>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3022551792676404"/>
          <c:y val="2.6677033017931583E-2"/>
          <c:w val="0.69154651785031718"/>
          <c:h val="0.48160226295242509"/>
        </c:manualLayout>
      </c:layout>
      <c:pie3D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explosion val="13"/>
          <c:dPt>
            <c:idx val="0"/>
            <c:bubble3D val="0"/>
            <c:extLst>
              <c:ext xmlns:c16="http://schemas.microsoft.com/office/drawing/2014/chart" uri="{C3380CC4-5D6E-409C-BE32-E72D297353CC}">
                <c16:uniqueId val="{00000000-3CB2-49AC-A82E-0C0F1D69BEAA}"/>
              </c:ext>
            </c:extLst>
          </c:dPt>
          <c:dPt>
            <c:idx val="1"/>
            <c:bubble3D val="0"/>
            <c:spPr>
              <a:pattFill prst="wdUpDiag">
                <a:fgClr>
                  <a:srgbClr xmlns:mc="http://schemas.openxmlformats.org/markup-compatibility/2006" xmlns:a14="http://schemas.microsoft.com/office/drawing/2010/main" val="FF9900" mc:Ignorable="a14" a14:legacySpreadsheetColorIndex="52"/>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extLst>
              <c:ext xmlns:c16="http://schemas.microsoft.com/office/drawing/2014/chart" uri="{C3380CC4-5D6E-409C-BE32-E72D297353CC}">
                <c16:uniqueId val="{00000002-3CB2-49AC-A82E-0C0F1D69BEAA}"/>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04-3CB2-49AC-A82E-0C0F1D69BEAA}"/>
              </c:ext>
            </c:extLst>
          </c:dPt>
          <c:dPt>
            <c:idx val="3"/>
            <c:bubble3D val="0"/>
            <c:spPr>
              <a:solidFill>
                <a:srgbClr val="CCFFFF"/>
              </a:solidFill>
              <a:ln w="12699">
                <a:solidFill>
                  <a:srgbClr val="000000"/>
                </a:solidFill>
                <a:prstDash val="solid"/>
              </a:ln>
            </c:spPr>
            <c:extLst>
              <c:ext xmlns:c16="http://schemas.microsoft.com/office/drawing/2014/chart" uri="{C3380CC4-5D6E-409C-BE32-E72D297353CC}">
                <c16:uniqueId val="{00000006-3CB2-49AC-A82E-0C0F1D69BEAA}"/>
              </c:ext>
            </c:extLst>
          </c:dPt>
          <c:dPt>
            <c:idx val="4"/>
            <c:bubble3D val="0"/>
            <c:spPr>
              <a:solidFill>
                <a:srgbClr val="660066"/>
              </a:solidFill>
              <a:ln w="12699">
                <a:solidFill>
                  <a:srgbClr val="000000"/>
                </a:solidFill>
                <a:prstDash val="solid"/>
              </a:ln>
            </c:spPr>
            <c:extLst>
              <c:ext xmlns:c16="http://schemas.microsoft.com/office/drawing/2014/chart" uri="{C3380CC4-5D6E-409C-BE32-E72D297353CC}">
                <c16:uniqueId val="{00000008-3CB2-49AC-A82E-0C0F1D69BEAA}"/>
              </c:ext>
            </c:extLst>
          </c:dPt>
          <c:dPt>
            <c:idx val="6"/>
            <c:bubble3D val="0"/>
            <c:spPr>
              <a:solidFill>
                <a:schemeClr val="accent6">
                  <a:lumMod val="60000"/>
                  <a:lumOff val="40000"/>
                </a:schemeClr>
              </a:solidFill>
              <a:ln w="12699">
                <a:solidFill>
                  <a:srgbClr val="000000"/>
                </a:solidFill>
                <a:prstDash val="solid"/>
              </a:ln>
            </c:spPr>
            <c:extLst>
              <c:ext xmlns:c16="http://schemas.microsoft.com/office/drawing/2014/chart" uri="{C3380CC4-5D6E-409C-BE32-E72D297353CC}">
                <c16:uniqueId val="{0000000A-3CB2-49AC-A82E-0C0F1D69BEAA}"/>
              </c:ext>
            </c:extLst>
          </c:dPt>
          <c:dPt>
            <c:idx val="7"/>
            <c:bubble3D val="0"/>
            <c:spPr>
              <a:solidFill>
                <a:srgbClr val="FF0000"/>
              </a:solidFill>
              <a:ln w="12699">
                <a:solidFill>
                  <a:srgbClr val="000000"/>
                </a:solidFill>
                <a:prstDash val="solid"/>
              </a:ln>
            </c:spPr>
            <c:extLst>
              <c:ext xmlns:c16="http://schemas.microsoft.com/office/drawing/2014/chart" uri="{C3380CC4-5D6E-409C-BE32-E72D297353CC}">
                <c16:uniqueId val="{0000000C-3CB2-49AC-A82E-0C0F1D69BEAA}"/>
              </c:ext>
            </c:extLst>
          </c:dPt>
          <c:dPt>
            <c:idx val="8"/>
            <c:bubble3D val="0"/>
            <c:spPr>
              <a:solidFill>
                <a:srgbClr val="00B0F0"/>
              </a:solidFill>
              <a:ln w="12699">
                <a:solidFill>
                  <a:srgbClr val="000000"/>
                </a:solidFill>
                <a:prstDash val="solid"/>
              </a:ln>
            </c:spPr>
            <c:extLst>
              <c:ext xmlns:c16="http://schemas.microsoft.com/office/drawing/2014/chart" uri="{C3380CC4-5D6E-409C-BE32-E72D297353CC}">
                <c16:uniqueId val="{0000000E-3CB2-49AC-A82E-0C0F1D69BEAA}"/>
              </c:ext>
            </c:extLst>
          </c:dPt>
          <c:dPt>
            <c:idx val="9"/>
            <c:bubble3D val="0"/>
            <c:spPr>
              <a:solidFill>
                <a:srgbClr val="C00000"/>
              </a:solidFill>
              <a:ln w="12699">
                <a:solidFill>
                  <a:srgbClr val="000000"/>
                </a:solidFill>
                <a:prstDash val="solid"/>
              </a:ln>
            </c:spPr>
            <c:extLst>
              <c:ext xmlns:c16="http://schemas.microsoft.com/office/drawing/2014/chart" uri="{C3380CC4-5D6E-409C-BE32-E72D297353CC}">
                <c16:uniqueId val="{00000010-3CB2-49AC-A82E-0C0F1D69BEAA}"/>
              </c:ext>
            </c:extLst>
          </c:dPt>
          <c:dLbls>
            <c:dLbl>
              <c:idx val="0"/>
              <c:layout>
                <c:manualLayout>
                  <c:x val="6.8091973940150683E-3"/>
                  <c:y val="3.6558922781711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B2-49AC-A82E-0C0F1D69BEAA}"/>
                </c:ext>
              </c:extLst>
            </c:dLbl>
            <c:dLbl>
              <c:idx val="1"/>
              <c:layout>
                <c:manualLayout>
                  <c:x val="-6.2124030612678268E-3"/>
                  <c:y val="5.3613445378151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B2-49AC-A82E-0C0F1D69BEAA}"/>
                </c:ext>
              </c:extLst>
            </c:dLbl>
            <c:dLbl>
              <c:idx val="2"/>
              <c:layout>
                <c:manualLayout>
                  <c:x val="-1.6214696463912884E-2"/>
                  <c:y val="3.4127903129755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B2-49AC-A82E-0C0F1D69BEAA}"/>
                </c:ext>
              </c:extLst>
            </c:dLbl>
            <c:dLbl>
              <c:idx val="3"/>
              <c:layout>
                <c:manualLayout>
                  <c:x val="-2.3256971519336783E-2"/>
                  <c:y val="9.4977833653146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B2-49AC-A82E-0C0F1D69BEAA}"/>
                </c:ext>
              </c:extLst>
            </c:dLbl>
            <c:dLbl>
              <c:idx val="4"/>
              <c:layout>
                <c:manualLayout>
                  <c:x val="-1.2362799310280389E-2"/>
                  <c:y val="-4.4187454509362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B2-49AC-A82E-0C0F1D69BEAA}"/>
                </c:ext>
              </c:extLst>
            </c:dLbl>
            <c:dLbl>
              <c:idx val="5"/>
              <c:layout>
                <c:manualLayout>
                  <c:x val="-2.5093392452157071E-2"/>
                  <c:y val="-5.8358036127836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CB2-49AC-A82E-0C0F1D69BEAA}"/>
                </c:ext>
              </c:extLst>
            </c:dLbl>
            <c:dLbl>
              <c:idx val="6"/>
              <c:layout>
                <c:manualLayout>
                  <c:x val="-1.5894469501991863E-2"/>
                  <c:y val="-3.83841725666644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CB2-49AC-A82E-0C0F1D69BEAA}"/>
                </c:ext>
              </c:extLst>
            </c:dLbl>
            <c:dLbl>
              <c:idx val="8"/>
              <c:layout>
                <c:manualLayout>
                  <c:x val="4.3634448606545542E-2"/>
                  <c:y val="-5.294514656256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CB2-49AC-A82E-0C0F1D69BEAA}"/>
                </c:ext>
              </c:extLst>
            </c:dLbl>
            <c:dLbl>
              <c:idx val="9"/>
              <c:layout>
                <c:manualLayout>
                  <c:x val="8.4458714505347032E-2"/>
                  <c:y val="-9.87791967180572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CB2-49AC-A82E-0C0F1D69BEAA}"/>
                </c:ext>
              </c:extLst>
            </c:dLbl>
            <c:spPr>
              <a:noFill/>
              <a:ln>
                <a:noFill/>
              </a:ln>
              <a:effectLst/>
            </c:spPr>
            <c:txPr>
              <a:bodyPr wrap="square" lIns="38100" tIns="19050" rIns="38100" bIns="19050" anchor="ctr">
                <a:spAutoFit/>
              </a:bodyPr>
              <a:lstStyle/>
              <a:p>
                <a:pPr>
                  <a:defRPr sz="10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Sheet1!$B$1:$K$1</c:f>
              <c:strCache>
                <c:ptCount val="10"/>
                <c:pt idx="0">
                  <c:v>Î.S. Compania Aeriană „Air Moldova” - 55,0%</c:v>
                </c:pt>
                <c:pt idx="1">
                  <c:v>S.A. „CET-Nord” - 11,7%</c:v>
                </c:pt>
                <c:pt idx="2">
                  <c:v>Altele - 9,8%</c:v>
                </c:pt>
                <c:pt idx="3">
                  <c:v>Î.S. „VetsMoldTransGaz” - 7,5%</c:v>
                </c:pt>
                <c:pt idx="4">
                  <c:v>Î.S. „Fabrica de Sticlă din Chișinău” - 5,7%</c:v>
                </c:pt>
                <c:pt idx="5">
                  <c:v>Î.S. „Colegiul Național de Viticultură și Vinificație” - 5,5%</c:v>
                </c:pt>
                <c:pt idx="6">
                  <c:v>S.A. „Răut” - 1,6%</c:v>
                </c:pt>
                <c:pt idx="7">
                  <c:v>Î.S. Editura „Universul” - 1,1%</c:v>
                </c:pt>
                <c:pt idx="8">
                  <c:v>Î.S. „Servicii Pază” - 1,1%</c:v>
                </c:pt>
                <c:pt idx="9">
                  <c:v>Î.S. „Moldsuinhibrid” - 1,0%</c:v>
                </c:pt>
              </c:strCache>
            </c:strRef>
          </c:cat>
          <c:val>
            <c:numRef>
              <c:f>Sheet1!$B$2:$K$2</c:f>
              <c:numCache>
                <c:formatCode>General</c:formatCode>
                <c:ptCount val="10"/>
                <c:pt idx="0">
                  <c:v>190.4</c:v>
                </c:pt>
                <c:pt idx="1">
                  <c:v>40.4</c:v>
                </c:pt>
                <c:pt idx="2">
                  <c:v>34.200000000000003</c:v>
                </c:pt>
                <c:pt idx="3" formatCode="0.0">
                  <c:v>26</c:v>
                </c:pt>
                <c:pt idx="4">
                  <c:v>19.7</c:v>
                </c:pt>
                <c:pt idx="5">
                  <c:v>18.899999999999999</c:v>
                </c:pt>
                <c:pt idx="6">
                  <c:v>5.6</c:v>
                </c:pt>
                <c:pt idx="7">
                  <c:v>3.9</c:v>
                </c:pt>
                <c:pt idx="8">
                  <c:v>3.8</c:v>
                </c:pt>
                <c:pt idx="9">
                  <c:v>3.3</c:v>
                </c:pt>
              </c:numCache>
            </c:numRef>
          </c:val>
          <c:extLst>
            <c:ext xmlns:c16="http://schemas.microsoft.com/office/drawing/2014/chart" uri="{C3380CC4-5D6E-409C-BE32-E72D297353CC}">
              <c16:uniqueId val="{00000012-3CB2-49AC-A82E-0C0F1D69BEAA}"/>
            </c:ext>
          </c:extLst>
        </c:ser>
        <c:ser>
          <c:idx val="1"/>
          <c:order val="1"/>
          <c:tx>
            <c:strRef>
              <c:f>Sheet1!$A$3</c:f>
              <c:strCache>
                <c:ptCount val="1"/>
              </c:strCache>
            </c:strRef>
          </c:tx>
          <c:spPr>
            <a:solidFill>
              <a:srgbClr val="993366"/>
            </a:solidFill>
            <a:ln w="12699">
              <a:solidFill>
                <a:srgbClr val="000000"/>
              </a:solidFill>
              <a:prstDash val="solid"/>
            </a:ln>
          </c:spPr>
          <c:explosion val="13"/>
          <c:dPt>
            <c:idx val="0"/>
            <c:bubble3D val="0"/>
            <c:spPr>
              <a:solidFill>
                <a:srgbClr val="9999FF"/>
              </a:solidFill>
              <a:ln w="12699">
                <a:solidFill>
                  <a:srgbClr val="000000"/>
                </a:solidFill>
                <a:prstDash val="solid"/>
              </a:ln>
            </c:spPr>
            <c:extLst>
              <c:ext xmlns:c16="http://schemas.microsoft.com/office/drawing/2014/chart" uri="{C3380CC4-5D6E-409C-BE32-E72D297353CC}">
                <c16:uniqueId val="{00000014-3CB2-49AC-A82E-0C0F1D69BEAA}"/>
              </c:ext>
            </c:extLst>
          </c:dPt>
          <c:dPt>
            <c:idx val="1"/>
            <c:bubble3D val="0"/>
            <c:extLst>
              <c:ext xmlns:c16="http://schemas.microsoft.com/office/drawing/2014/chart" uri="{C3380CC4-5D6E-409C-BE32-E72D297353CC}">
                <c16:uniqueId val="{00000015-3CB2-49AC-A82E-0C0F1D69BEAA}"/>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17-3CB2-49AC-A82E-0C0F1D69BEAA}"/>
              </c:ext>
            </c:extLst>
          </c:dPt>
          <c:dPt>
            <c:idx val="3"/>
            <c:bubble3D val="0"/>
            <c:spPr>
              <a:solidFill>
                <a:srgbClr val="CCFFFF"/>
              </a:solidFill>
              <a:ln w="12699">
                <a:solidFill>
                  <a:srgbClr val="000000"/>
                </a:solidFill>
                <a:prstDash val="solid"/>
              </a:ln>
            </c:spPr>
            <c:extLst>
              <c:ext xmlns:c16="http://schemas.microsoft.com/office/drawing/2014/chart" uri="{C3380CC4-5D6E-409C-BE32-E72D297353CC}">
                <c16:uniqueId val="{00000019-3CB2-49AC-A82E-0C0F1D69BEAA}"/>
              </c:ext>
            </c:extLst>
          </c:dPt>
          <c:dPt>
            <c:idx val="4"/>
            <c:bubble3D val="0"/>
            <c:spPr>
              <a:solidFill>
                <a:srgbClr val="660066"/>
              </a:solidFill>
              <a:ln w="12699">
                <a:solidFill>
                  <a:srgbClr val="000000"/>
                </a:solidFill>
                <a:prstDash val="solid"/>
              </a:ln>
            </c:spPr>
            <c:extLst>
              <c:ext xmlns:c16="http://schemas.microsoft.com/office/drawing/2014/chart" uri="{C3380CC4-5D6E-409C-BE32-E72D297353CC}">
                <c16:uniqueId val="{0000001B-3CB2-49AC-A82E-0C0F1D69BEAA}"/>
              </c:ext>
            </c:extLst>
          </c:dPt>
          <c:dLbls>
            <c:numFmt formatCode="0%" sourceLinked="0"/>
            <c:spPr>
              <a:noFill/>
              <a:ln w="25399">
                <a:noFill/>
              </a:ln>
            </c:spPr>
            <c:txPr>
              <a:bodyPr wrap="square" lIns="38100" tIns="19050" rIns="38100" bIns="19050" anchor="ctr">
                <a:spAutoFit/>
              </a:bodyPr>
              <a:lstStyle/>
              <a:p>
                <a:pPr>
                  <a:defRPr sz="95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Sheet1!$B$1:$K$1</c:f>
              <c:strCache>
                <c:ptCount val="10"/>
                <c:pt idx="0">
                  <c:v>Î.S. Compania Aeriană „Air Moldova” - 55,0%</c:v>
                </c:pt>
                <c:pt idx="1">
                  <c:v>S.A. „CET-Nord” - 11,7%</c:v>
                </c:pt>
                <c:pt idx="2">
                  <c:v>Altele - 9,8%</c:v>
                </c:pt>
                <c:pt idx="3">
                  <c:v>Î.S. „VetsMoldTransGaz” - 7,5%</c:v>
                </c:pt>
                <c:pt idx="4">
                  <c:v>Î.S. „Fabrica de Sticlă din Chișinău” - 5,7%</c:v>
                </c:pt>
                <c:pt idx="5">
                  <c:v>Î.S. „Colegiul Național de Viticultură și Vinificație” - 5,5%</c:v>
                </c:pt>
                <c:pt idx="6">
                  <c:v>S.A. „Răut” - 1,6%</c:v>
                </c:pt>
                <c:pt idx="7">
                  <c:v>Î.S. Editura „Universul” - 1,1%</c:v>
                </c:pt>
                <c:pt idx="8">
                  <c:v>Î.S. „Servicii Pază” - 1,1%</c:v>
                </c:pt>
                <c:pt idx="9">
                  <c:v>Î.S. „Moldsuinhibrid” - 1,0%</c:v>
                </c:pt>
              </c:strCache>
            </c:strRef>
          </c:cat>
          <c:val>
            <c:numRef>
              <c:f>Sheet1!$B$3:$K$3</c:f>
              <c:numCache>
                <c:formatCode>General</c:formatCode>
                <c:ptCount val="10"/>
              </c:numCache>
            </c:numRef>
          </c:val>
          <c:extLst>
            <c:ext xmlns:c16="http://schemas.microsoft.com/office/drawing/2014/chart" uri="{C3380CC4-5D6E-409C-BE32-E72D297353CC}">
              <c16:uniqueId val="{0000001C-3CB2-49AC-A82E-0C0F1D69BEAA}"/>
            </c:ext>
          </c:extLst>
        </c:ser>
        <c:ser>
          <c:idx val="2"/>
          <c:order val="2"/>
          <c:tx>
            <c:strRef>
              <c:f>Sheet1!$A$4</c:f>
              <c:strCache>
                <c:ptCount val="1"/>
              </c:strCache>
            </c:strRef>
          </c:tx>
          <c:spPr>
            <a:solidFill>
              <a:srgbClr val="FFFFCC"/>
            </a:solidFill>
            <a:ln w="12699">
              <a:solidFill>
                <a:srgbClr val="000000"/>
              </a:solidFill>
              <a:prstDash val="solid"/>
            </a:ln>
          </c:spPr>
          <c:explosion val="13"/>
          <c:dPt>
            <c:idx val="0"/>
            <c:bubble3D val="0"/>
            <c:spPr>
              <a:solidFill>
                <a:srgbClr val="9999FF"/>
              </a:solidFill>
              <a:ln w="12699">
                <a:solidFill>
                  <a:srgbClr val="000000"/>
                </a:solidFill>
                <a:prstDash val="solid"/>
              </a:ln>
            </c:spPr>
            <c:extLst>
              <c:ext xmlns:c16="http://schemas.microsoft.com/office/drawing/2014/chart" uri="{C3380CC4-5D6E-409C-BE32-E72D297353CC}">
                <c16:uniqueId val="{0000001E-3CB2-49AC-A82E-0C0F1D69BEAA}"/>
              </c:ext>
            </c:extLst>
          </c:dPt>
          <c:dPt>
            <c:idx val="1"/>
            <c:bubble3D val="0"/>
            <c:spPr>
              <a:solidFill>
                <a:srgbClr val="993366"/>
              </a:solidFill>
              <a:ln w="12699">
                <a:solidFill>
                  <a:srgbClr val="000000"/>
                </a:solidFill>
                <a:prstDash val="solid"/>
              </a:ln>
            </c:spPr>
            <c:extLst>
              <c:ext xmlns:c16="http://schemas.microsoft.com/office/drawing/2014/chart" uri="{C3380CC4-5D6E-409C-BE32-E72D297353CC}">
                <c16:uniqueId val="{00000020-3CB2-49AC-A82E-0C0F1D69BEAA}"/>
              </c:ext>
            </c:extLst>
          </c:dPt>
          <c:dPt>
            <c:idx val="2"/>
            <c:bubble3D val="0"/>
            <c:extLst>
              <c:ext xmlns:c16="http://schemas.microsoft.com/office/drawing/2014/chart" uri="{C3380CC4-5D6E-409C-BE32-E72D297353CC}">
                <c16:uniqueId val="{00000021-3CB2-49AC-A82E-0C0F1D69BEAA}"/>
              </c:ext>
            </c:extLst>
          </c:dPt>
          <c:dPt>
            <c:idx val="3"/>
            <c:bubble3D val="0"/>
            <c:spPr>
              <a:solidFill>
                <a:srgbClr val="CCFFFF"/>
              </a:solidFill>
              <a:ln w="12699">
                <a:solidFill>
                  <a:srgbClr val="000000"/>
                </a:solidFill>
                <a:prstDash val="solid"/>
              </a:ln>
            </c:spPr>
            <c:extLst>
              <c:ext xmlns:c16="http://schemas.microsoft.com/office/drawing/2014/chart" uri="{C3380CC4-5D6E-409C-BE32-E72D297353CC}">
                <c16:uniqueId val="{00000023-3CB2-49AC-A82E-0C0F1D69BEAA}"/>
              </c:ext>
            </c:extLst>
          </c:dPt>
          <c:dPt>
            <c:idx val="4"/>
            <c:bubble3D val="0"/>
            <c:spPr>
              <a:solidFill>
                <a:srgbClr val="660066"/>
              </a:solidFill>
              <a:ln w="12699">
                <a:solidFill>
                  <a:srgbClr val="000000"/>
                </a:solidFill>
                <a:prstDash val="solid"/>
              </a:ln>
            </c:spPr>
            <c:extLst>
              <c:ext xmlns:c16="http://schemas.microsoft.com/office/drawing/2014/chart" uri="{C3380CC4-5D6E-409C-BE32-E72D297353CC}">
                <c16:uniqueId val="{00000025-3CB2-49AC-A82E-0C0F1D69BEAA}"/>
              </c:ext>
            </c:extLst>
          </c:dPt>
          <c:dLbls>
            <c:numFmt formatCode="0%" sourceLinked="0"/>
            <c:spPr>
              <a:noFill/>
              <a:ln w="25399">
                <a:noFill/>
              </a:ln>
            </c:spPr>
            <c:txPr>
              <a:bodyPr wrap="square" lIns="38100" tIns="19050" rIns="38100" bIns="19050" anchor="ctr">
                <a:spAutoFit/>
              </a:bodyPr>
              <a:lstStyle/>
              <a:p>
                <a:pPr>
                  <a:defRPr sz="95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Sheet1!$B$1:$K$1</c:f>
              <c:strCache>
                <c:ptCount val="10"/>
                <c:pt idx="0">
                  <c:v>Î.S. Compania Aeriană „Air Moldova” - 55,0%</c:v>
                </c:pt>
                <c:pt idx="1">
                  <c:v>S.A. „CET-Nord” - 11,7%</c:v>
                </c:pt>
                <c:pt idx="2">
                  <c:v>Altele - 9,8%</c:v>
                </c:pt>
                <c:pt idx="3">
                  <c:v>Î.S. „VetsMoldTransGaz” - 7,5%</c:v>
                </c:pt>
                <c:pt idx="4">
                  <c:v>Î.S. „Fabrica de Sticlă din Chișinău” - 5,7%</c:v>
                </c:pt>
                <c:pt idx="5">
                  <c:v>Î.S. „Colegiul Național de Viticultură și Vinificație” - 5,5%</c:v>
                </c:pt>
                <c:pt idx="6">
                  <c:v>S.A. „Răut” - 1,6%</c:v>
                </c:pt>
                <c:pt idx="7">
                  <c:v>Î.S. Editura „Universul” - 1,1%</c:v>
                </c:pt>
                <c:pt idx="8">
                  <c:v>Î.S. „Servicii Pază” - 1,1%</c:v>
                </c:pt>
                <c:pt idx="9">
                  <c:v>Î.S. „Moldsuinhibrid” - 1,0%</c:v>
                </c:pt>
              </c:strCache>
            </c:strRef>
          </c:cat>
          <c:val>
            <c:numRef>
              <c:f>Sheet1!$B$4:$K$4</c:f>
              <c:numCache>
                <c:formatCode>General</c:formatCode>
                <c:ptCount val="10"/>
              </c:numCache>
            </c:numRef>
          </c:val>
          <c:extLst>
            <c:ext xmlns:c16="http://schemas.microsoft.com/office/drawing/2014/chart" uri="{C3380CC4-5D6E-409C-BE32-E72D297353CC}">
              <c16:uniqueId val="{00000026-3CB2-49AC-A82E-0C0F1D69BEAA}"/>
            </c:ext>
          </c:extLst>
        </c:ser>
        <c:dLbls>
          <c:showLegendKey val="0"/>
          <c:showVal val="0"/>
          <c:showCatName val="0"/>
          <c:showSerName val="0"/>
          <c:showPercent val="1"/>
          <c:showBubbleSize val="0"/>
          <c:showLeaderLines val="1"/>
        </c:dLbls>
      </c:pie3DChart>
      <c:spPr>
        <a:solidFill>
          <a:srgbClr val="FFFFFF"/>
        </a:solidFill>
        <a:ln w="25399">
          <a:noFill/>
        </a:ln>
      </c:spPr>
    </c:plotArea>
    <c:legend>
      <c:legendPos val="b"/>
      <c:layout>
        <c:manualLayout>
          <c:xMode val="edge"/>
          <c:yMode val="edge"/>
          <c:x val="1.7050684198455776E-2"/>
          <c:y val="0.49353602858466222"/>
          <c:w val="0.96546577308904347"/>
          <c:h val="0.47705220670945542"/>
        </c:manualLayout>
      </c:layout>
      <c:overlay val="0"/>
      <c:spPr>
        <a:noFill/>
        <a:ln w="3175">
          <a:solidFill>
            <a:srgbClr val="000000"/>
          </a:solidFill>
          <a:prstDash val="solid"/>
        </a:ln>
      </c:spPr>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0.73571</cdr:x>
      <cdr:y>0.01681</cdr:y>
    </cdr:from>
    <cdr:to>
      <cdr:x>0.99461</cdr:x>
      <cdr:y>0.10189</cdr:y>
    </cdr:to>
    <cdr:sp macro="" textlink="">
      <cdr:nvSpPr>
        <cdr:cNvPr id="3" name="Прямоугольник 2"/>
        <cdr:cNvSpPr/>
      </cdr:nvSpPr>
      <cdr:spPr>
        <a:xfrm xmlns:a="http://schemas.openxmlformats.org/drawingml/2006/main">
          <a:off x="2165351" y="50800"/>
          <a:ext cx="762000" cy="257175"/>
        </a:xfrm>
        <a:prstGeom xmlns:a="http://schemas.openxmlformats.org/drawingml/2006/main" prst="rect">
          <a:avLst/>
        </a:prstGeom>
        <a:ln xmlns:a="http://schemas.openxmlformats.org/drawingml/2006/main" w="3175">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b="1">
              <a:latin typeface="Times New Roman" panose="02020603050405020304" pitchFamily="18" charset="0"/>
              <a:cs typeface="Times New Roman" panose="02020603050405020304" pitchFamily="18" charset="0"/>
            </a:rPr>
            <a:t>Anul 2016</a:t>
          </a:r>
          <a:endParaRPr lang="ru-RU" sz="1000" b="1">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0.73571</cdr:x>
      <cdr:y>0.01681</cdr:y>
    </cdr:from>
    <cdr:to>
      <cdr:x>0.99461</cdr:x>
      <cdr:y>0.10189</cdr:y>
    </cdr:to>
    <cdr:sp macro="" textlink="">
      <cdr:nvSpPr>
        <cdr:cNvPr id="3" name="Прямоугольник 2"/>
        <cdr:cNvSpPr/>
      </cdr:nvSpPr>
      <cdr:spPr>
        <a:xfrm xmlns:a="http://schemas.openxmlformats.org/drawingml/2006/main">
          <a:off x="2165351" y="50800"/>
          <a:ext cx="762000" cy="257175"/>
        </a:xfrm>
        <a:prstGeom xmlns:a="http://schemas.openxmlformats.org/drawingml/2006/main" prst="rect">
          <a:avLst/>
        </a:prstGeom>
        <a:ln xmlns:a="http://schemas.openxmlformats.org/drawingml/2006/main" w="3175">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b="1">
              <a:latin typeface="Times New Roman" panose="02020603050405020304" pitchFamily="18" charset="0"/>
              <a:cs typeface="Times New Roman" panose="02020603050405020304" pitchFamily="18" charset="0"/>
            </a:rPr>
            <a:t>Anul 201</a:t>
          </a:r>
          <a:r>
            <a:rPr lang="ro-RO" sz="1000" b="1">
              <a:latin typeface="Times New Roman" panose="02020603050405020304" pitchFamily="18" charset="0"/>
              <a:cs typeface="Times New Roman" panose="02020603050405020304" pitchFamily="18" charset="0"/>
            </a:rPr>
            <a:t>7</a:t>
          </a:r>
          <a:endParaRPr lang="ru-RU"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24B4-124B-4C99-9603-D191F1BC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11371</Words>
  <Characters>64816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Sclearuc</dc:creator>
  <cp:lastModifiedBy>Chirila Veronica</cp:lastModifiedBy>
  <cp:revision>2</cp:revision>
  <cp:lastPrinted>2017-11-21T08:43:00Z</cp:lastPrinted>
  <dcterms:created xsi:type="dcterms:W3CDTF">2018-11-06T11:41:00Z</dcterms:created>
  <dcterms:modified xsi:type="dcterms:W3CDTF">2018-11-06T11:41:00Z</dcterms:modified>
</cp:coreProperties>
</file>