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1E" w:rsidRPr="0053751E" w:rsidRDefault="0053751E" w:rsidP="00CF12F3">
      <w:pPr>
        <w:spacing w:after="240"/>
        <w:jc w:val="center"/>
        <w:rPr>
          <w:sz w:val="28"/>
          <w:szCs w:val="28"/>
        </w:rPr>
      </w:pPr>
      <w:bookmarkStart w:id="0" w:name="_GoBack"/>
      <w:bookmarkEnd w:id="0"/>
      <w:r>
        <w:rPr>
          <w:sz w:val="28"/>
          <w:szCs w:val="28"/>
        </w:rPr>
        <w:t>Ministerul Finanțelor</w:t>
      </w: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Pr="0053751E" w:rsidRDefault="00AA1D4F" w:rsidP="0053751E">
      <w:pPr>
        <w:pStyle w:val="1"/>
        <w:rPr>
          <w:rFonts w:ascii="Times New Roman" w:hAnsi="Times New Roman"/>
          <w:b/>
        </w:rPr>
      </w:pPr>
      <w:r w:rsidRPr="0053751E">
        <w:rPr>
          <w:rFonts w:ascii="Times New Roman" w:hAnsi="Times New Roman"/>
          <w:b/>
        </w:rPr>
        <w:t xml:space="preserve">Sinteza </w:t>
      </w:r>
      <w:r w:rsidR="00E81E81" w:rsidRPr="0053751E">
        <w:rPr>
          <w:rFonts w:ascii="Times New Roman" w:hAnsi="Times New Roman"/>
          <w:b/>
        </w:rPr>
        <w:t>rezultatel</w:t>
      </w:r>
      <w:r w:rsidRPr="0053751E">
        <w:rPr>
          <w:rFonts w:ascii="Times New Roman" w:hAnsi="Times New Roman"/>
          <w:b/>
        </w:rPr>
        <w:t>or</w:t>
      </w:r>
      <w:r w:rsidR="00E81E81" w:rsidRPr="0053751E">
        <w:rPr>
          <w:rFonts w:ascii="Times New Roman" w:hAnsi="Times New Roman"/>
          <w:b/>
        </w:rPr>
        <w:t xml:space="preserve"> monitoringului financiar </w:t>
      </w:r>
    </w:p>
    <w:p w:rsidR="0053751E" w:rsidRDefault="00E81E81" w:rsidP="0053751E">
      <w:pPr>
        <w:pStyle w:val="1"/>
        <w:rPr>
          <w:rFonts w:ascii="Times New Roman" w:hAnsi="Times New Roman"/>
          <w:b/>
        </w:rPr>
      </w:pPr>
      <w:r w:rsidRPr="0053751E">
        <w:rPr>
          <w:rFonts w:ascii="Times New Roman" w:hAnsi="Times New Roman"/>
          <w:b/>
        </w:rPr>
        <w:t>al activită</w:t>
      </w:r>
      <w:r w:rsidR="000873E3" w:rsidRPr="0053751E">
        <w:rPr>
          <w:rFonts w:ascii="Times New Roman" w:hAnsi="Times New Roman"/>
          <w:b/>
        </w:rPr>
        <w:t>ț</w:t>
      </w:r>
      <w:r w:rsidRPr="0053751E">
        <w:rPr>
          <w:rFonts w:ascii="Times New Roman" w:hAnsi="Times New Roman"/>
          <w:b/>
        </w:rPr>
        <w:t xml:space="preserve">ii economico-financiare în anul 2017 și semestrul I, 2018 </w:t>
      </w:r>
    </w:p>
    <w:p w:rsidR="00E81E81" w:rsidRPr="0053751E" w:rsidRDefault="00E81E81" w:rsidP="0053751E">
      <w:pPr>
        <w:pStyle w:val="1"/>
        <w:rPr>
          <w:rFonts w:ascii="Times New Roman" w:hAnsi="Times New Roman"/>
          <w:b/>
        </w:rPr>
      </w:pPr>
      <w:r w:rsidRPr="0053751E">
        <w:rPr>
          <w:rFonts w:ascii="Times New Roman" w:hAnsi="Times New Roman"/>
          <w:b/>
        </w:rPr>
        <w:t>a întreprinderilor de stat și societă</w:t>
      </w:r>
      <w:r w:rsidR="000873E3" w:rsidRPr="0053751E">
        <w:rPr>
          <w:rFonts w:ascii="Times New Roman" w:hAnsi="Times New Roman"/>
          <w:b/>
        </w:rPr>
        <w:t>ț</w:t>
      </w:r>
      <w:r w:rsidRPr="0053751E">
        <w:rPr>
          <w:rFonts w:ascii="Times New Roman" w:hAnsi="Times New Roman"/>
          <w:b/>
        </w:rPr>
        <w:t>ilor comerciale cu capital integral sau majoritar de stat</w:t>
      </w: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Default="0053751E" w:rsidP="00CF12F3">
      <w:pPr>
        <w:spacing w:after="240"/>
        <w:jc w:val="center"/>
        <w:rPr>
          <w:b/>
          <w:i/>
          <w:sz w:val="28"/>
          <w:szCs w:val="28"/>
        </w:rPr>
      </w:pPr>
    </w:p>
    <w:p w:rsidR="0053751E" w:rsidRPr="0053751E" w:rsidRDefault="0053751E" w:rsidP="0053751E">
      <w:pPr>
        <w:spacing w:after="240"/>
        <w:jc w:val="center"/>
        <w:rPr>
          <w:sz w:val="28"/>
          <w:szCs w:val="28"/>
        </w:rPr>
      </w:pPr>
      <w:r>
        <w:rPr>
          <w:sz w:val="28"/>
          <w:szCs w:val="28"/>
        </w:rPr>
        <w:t>Chișinău, 2018</w:t>
      </w:r>
    </w:p>
    <w:p w:rsidR="0053751E" w:rsidRDefault="0053751E" w:rsidP="00611074">
      <w:pPr>
        <w:spacing w:line="276" w:lineRule="auto"/>
        <w:jc w:val="both"/>
        <w:rPr>
          <w:sz w:val="28"/>
          <w:szCs w:val="28"/>
        </w:rPr>
      </w:pPr>
    </w:p>
    <w:p w:rsidR="0053751E" w:rsidRDefault="0053751E" w:rsidP="0018219A">
      <w:pPr>
        <w:spacing w:line="276" w:lineRule="auto"/>
        <w:ind w:firstLine="567"/>
        <w:jc w:val="both"/>
        <w:rPr>
          <w:sz w:val="28"/>
          <w:szCs w:val="28"/>
        </w:rPr>
      </w:pPr>
    </w:p>
    <w:p w:rsidR="0018219A" w:rsidRPr="0097156A" w:rsidRDefault="0018219A" w:rsidP="0018219A">
      <w:pPr>
        <w:spacing w:line="276" w:lineRule="auto"/>
        <w:ind w:firstLine="567"/>
        <w:jc w:val="both"/>
        <w:rPr>
          <w:sz w:val="28"/>
          <w:szCs w:val="28"/>
        </w:rPr>
      </w:pPr>
      <w:r w:rsidRPr="0097156A">
        <w:rPr>
          <w:sz w:val="28"/>
          <w:szCs w:val="28"/>
        </w:rPr>
        <w:t>Întru executarea prevederilor art. 76 alin. (1) al Legii finan</w:t>
      </w:r>
      <w:r w:rsidR="000873E3" w:rsidRPr="0097156A">
        <w:rPr>
          <w:sz w:val="28"/>
          <w:szCs w:val="28"/>
        </w:rPr>
        <w:t>ț</w:t>
      </w:r>
      <w:r w:rsidRPr="0097156A">
        <w:rPr>
          <w:sz w:val="28"/>
          <w:szCs w:val="28"/>
        </w:rPr>
        <w:t>elor publice și responsabilită</w:t>
      </w:r>
      <w:r w:rsidR="000873E3" w:rsidRPr="0097156A">
        <w:rPr>
          <w:sz w:val="28"/>
          <w:szCs w:val="28"/>
        </w:rPr>
        <w:t>ț</w:t>
      </w:r>
      <w:r w:rsidRPr="0097156A">
        <w:rPr>
          <w:sz w:val="28"/>
          <w:szCs w:val="28"/>
        </w:rPr>
        <w:t>ii bugetar-fiscale nr. 181</w:t>
      </w:r>
      <w:r w:rsidR="00AA1D4F" w:rsidRPr="0097156A">
        <w:rPr>
          <w:sz w:val="28"/>
          <w:szCs w:val="28"/>
        </w:rPr>
        <w:t>/</w:t>
      </w:r>
      <w:r w:rsidRPr="0097156A">
        <w:rPr>
          <w:sz w:val="28"/>
          <w:szCs w:val="28"/>
        </w:rPr>
        <w:t>2014, art.21 al Legii nr.121</w:t>
      </w:r>
      <w:r w:rsidR="00AA1D4F" w:rsidRPr="0097156A">
        <w:rPr>
          <w:sz w:val="28"/>
          <w:szCs w:val="28"/>
        </w:rPr>
        <w:t>/</w:t>
      </w:r>
      <w:r w:rsidRPr="0097156A">
        <w:rPr>
          <w:sz w:val="28"/>
          <w:szCs w:val="28"/>
        </w:rPr>
        <w:t>2007 privind administrarea și deetatizarea proprietă</w:t>
      </w:r>
      <w:r w:rsidR="000873E3" w:rsidRPr="0097156A">
        <w:rPr>
          <w:sz w:val="28"/>
          <w:szCs w:val="28"/>
        </w:rPr>
        <w:t>ț</w:t>
      </w:r>
      <w:r w:rsidRPr="0097156A">
        <w:rPr>
          <w:sz w:val="28"/>
          <w:szCs w:val="28"/>
        </w:rPr>
        <w:t>ii publice, Ministerul Finan</w:t>
      </w:r>
      <w:r w:rsidR="000873E3" w:rsidRPr="0097156A">
        <w:rPr>
          <w:sz w:val="28"/>
          <w:szCs w:val="28"/>
        </w:rPr>
        <w:t>ț</w:t>
      </w:r>
      <w:r w:rsidRPr="0097156A">
        <w:rPr>
          <w:sz w:val="28"/>
          <w:szCs w:val="28"/>
        </w:rPr>
        <w:t>elor efectuează monitoringul financiar al activită</w:t>
      </w:r>
      <w:r w:rsidR="000873E3" w:rsidRPr="0097156A">
        <w:rPr>
          <w:sz w:val="28"/>
          <w:szCs w:val="28"/>
        </w:rPr>
        <w:t>ț</w:t>
      </w:r>
      <w:r w:rsidRPr="0097156A">
        <w:rPr>
          <w:sz w:val="28"/>
          <w:szCs w:val="28"/>
        </w:rPr>
        <w:t>ii economico-financiare a întreprinderilor de stat și societă</w:t>
      </w:r>
      <w:r w:rsidR="000873E3" w:rsidRPr="0097156A">
        <w:rPr>
          <w:sz w:val="28"/>
          <w:szCs w:val="28"/>
        </w:rPr>
        <w:t>ț</w:t>
      </w:r>
      <w:r w:rsidRPr="0097156A">
        <w:rPr>
          <w:sz w:val="28"/>
          <w:szCs w:val="28"/>
        </w:rPr>
        <w:t>ilor comerciale cu capital integral sau majoritar de stat, în vederea ob</w:t>
      </w:r>
      <w:r w:rsidR="000873E3" w:rsidRPr="0097156A">
        <w:rPr>
          <w:sz w:val="28"/>
          <w:szCs w:val="28"/>
        </w:rPr>
        <w:t>ț</w:t>
      </w:r>
      <w:r w:rsidRPr="0097156A">
        <w:rPr>
          <w:sz w:val="28"/>
          <w:szCs w:val="28"/>
        </w:rPr>
        <w:t>inerii unei imagini pertinente cu privire la situa</w:t>
      </w:r>
      <w:r w:rsidR="000873E3" w:rsidRPr="0097156A">
        <w:rPr>
          <w:sz w:val="28"/>
          <w:szCs w:val="28"/>
        </w:rPr>
        <w:t>ț</w:t>
      </w:r>
      <w:r w:rsidRPr="0097156A">
        <w:rPr>
          <w:sz w:val="28"/>
          <w:szCs w:val="28"/>
        </w:rPr>
        <w:t>ia economico-financiară a entită</w:t>
      </w:r>
      <w:r w:rsidR="000873E3" w:rsidRPr="0097156A">
        <w:rPr>
          <w:sz w:val="28"/>
          <w:szCs w:val="28"/>
        </w:rPr>
        <w:t>ț</w:t>
      </w:r>
      <w:r w:rsidRPr="0097156A">
        <w:rPr>
          <w:sz w:val="28"/>
          <w:szCs w:val="28"/>
        </w:rPr>
        <w:t>ilor cu capital de stat. Potrivit</w:t>
      </w:r>
      <w:r w:rsidR="002551E3" w:rsidRPr="0097156A">
        <w:rPr>
          <w:sz w:val="28"/>
          <w:szCs w:val="28"/>
        </w:rPr>
        <w:t xml:space="preserve"> </w:t>
      </w:r>
      <w:r w:rsidR="002551E3" w:rsidRPr="0097156A">
        <w:rPr>
          <w:bCs/>
          <w:sz w:val="28"/>
          <w:szCs w:val="28"/>
        </w:rPr>
        <w:t>Regulamentului privind monitoringul financiar al autorită</w:t>
      </w:r>
      <w:r w:rsidR="000873E3" w:rsidRPr="0097156A">
        <w:rPr>
          <w:bCs/>
          <w:sz w:val="28"/>
          <w:szCs w:val="28"/>
        </w:rPr>
        <w:t>ț</w:t>
      </w:r>
      <w:r w:rsidR="002551E3" w:rsidRPr="0097156A">
        <w:rPr>
          <w:bCs/>
          <w:sz w:val="28"/>
          <w:szCs w:val="28"/>
        </w:rPr>
        <w:t>ilor publice la autogestiune, al întreprinderilor de stat/ municipale şi al societă</w:t>
      </w:r>
      <w:r w:rsidR="000873E3" w:rsidRPr="0097156A">
        <w:rPr>
          <w:bCs/>
          <w:sz w:val="28"/>
          <w:szCs w:val="28"/>
        </w:rPr>
        <w:t>ț</w:t>
      </w:r>
      <w:r w:rsidR="002551E3" w:rsidRPr="0097156A">
        <w:rPr>
          <w:bCs/>
          <w:sz w:val="28"/>
          <w:szCs w:val="28"/>
        </w:rPr>
        <w:t xml:space="preserve">ilor comerciale cu capital integral sau majoritar public, </w:t>
      </w:r>
      <w:r w:rsidR="00AA1D4F" w:rsidRPr="0097156A">
        <w:rPr>
          <w:bCs/>
          <w:sz w:val="28"/>
          <w:szCs w:val="28"/>
        </w:rPr>
        <w:t>expus în redacție nouă</w:t>
      </w:r>
      <w:r w:rsidR="002551E3" w:rsidRPr="0097156A">
        <w:rPr>
          <w:bCs/>
          <w:sz w:val="28"/>
          <w:szCs w:val="28"/>
        </w:rPr>
        <w:t xml:space="preserve"> prin </w:t>
      </w:r>
      <w:r w:rsidR="002551E3" w:rsidRPr="0097156A">
        <w:rPr>
          <w:sz w:val="28"/>
          <w:szCs w:val="28"/>
        </w:rPr>
        <w:t>Hotărîrea Guvernului nr. 56</w:t>
      </w:r>
      <w:r w:rsidR="00AA1D4F" w:rsidRPr="0097156A">
        <w:rPr>
          <w:sz w:val="28"/>
          <w:szCs w:val="28"/>
        </w:rPr>
        <w:t>/</w:t>
      </w:r>
      <w:r w:rsidR="002551E3" w:rsidRPr="0097156A">
        <w:rPr>
          <w:sz w:val="28"/>
          <w:szCs w:val="28"/>
        </w:rPr>
        <w:t>2018</w:t>
      </w:r>
      <w:r w:rsidRPr="0097156A">
        <w:rPr>
          <w:sz w:val="28"/>
          <w:szCs w:val="28"/>
        </w:rPr>
        <w:t xml:space="preserve">, </w:t>
      </w:r>
      <w:r w:rsidRPr="0097156A">
        <w:rPr>
          <w:iCs/>
          <w:sz w:val="28"/>
          <w:szCs w:val="28"/>
        </w:rPr>
        <w:t>monitoringul financiar</w:t>
      </w:r>
      <w:r w:rsidRPr="0097156A">
        <w:rPr>
          <w:sz w:val="28"/>
          <w:szCs w:val="28"/>
        </w:rPr>
        <w:t xml:space="preserve"> este procesul de </w:t>
      </w:r>
      <w:r w:rsidR="002551E3" w:rsidRPr="0097156A">
        <w:rPr>
          <w:sz w:val="28"/>
          <w:szCs w:val="28"/>
        </w:rPr>
        <w:t>selectare, prelucrare şi analiză a indicatorilor activită</w:t>
      </w:r>
      <w:r w:rsidR="000873E3" w:rsidRPr="0097156A">
        <w:rPr>
          <w:sz w:val="28"/>
          <w:szCs w:val="28"/>
        </w:rPr>
        <w:t>ț</w:t>
      </w:r>
      <w:r w:rsidR="002551E3" w:rsidRPr="0097156A">
        <w:rPr>
          <w:sz w:val="28"/>
          <w:szCs w:val="28"/>
        </w:rPr>
        <w:t>ii economico-financiare a entită</w:t>
      </w:r>
      <w:r w:rsidR="000873E3" w:rsidRPr="0097156A">
        <w:rPr>
          <w:sz w:val="28"/>
          <w:szCs w:val="28"/>
        </w:rPr>
        <w:t>ț</w:t>
      </w:r>
      <w:r w:rsidR="002551E3" w:rsidRPr="0097156A">
        <w:rPr>
          <w:sz w:val="28"/>
          <w:szCs w:val="28"/>
        </w:rPr>
        <w:t>ilor</w:t>
      </w:r>
      <w:r w:rsidR="00AA1D4F" w:rsidRPr="0097156A">
        <w:rPr>
          <w:sz w:val="28"/>
          <w:szCs w:val="28"/>
        </w:rPr>
        <w:t>, în scopul evaluării și analizei riscurilor bugetar-fiscale aferente.</w:t>
      </w:r>
    </w:p>
    <w:p w:rsidR="00AA1D4F" w:rsidRPr="0097156A" w:rsidRDefault="00AA1D4F" w:rsidP="00AA1D4F">
      <w:pPr>
        <w:spacing w:line="276" w:lineRule="auto"/>
        <w:ind w:firstLine="567"/>
        <w:jc w:val="both"/>
        <w:rPr>
          <w:sz w:val="28"/>
          <w:szCs w:val="28"/>
        </w:rPr>
      </w:pPr>
      <w:r w:rsidRPr="0097156A">
        <w:rPr>
          <w:sz w:val="28"/>
          <w:szCs w:val="28"/>
        </w:rPr>
        <w:t xml:space="preserve">De asemenea, se menționează că pe parcursul semestrului I al anului 2018 au fost aprobate o serie de hotărîri de Guvern cu privire la reorganizarea întreprinderilor de stat/ societăților </w:t>
      </w:r>
      <w:r w:rsidR="00D81951" w:rsidRPr="0097156A">
        <w:rPr>
          <w:sz w:val="28"/>
          <w:szCs w:val="28"/>
        </w:rPr>
        <w:t>comerciale</w:t>
      </w:r>
      <w:r w:rsidRPr="0097156A">
        <w:rPr>
          <w:sz w:val="28"/>
          <w:szCs w:val="28"/>
        </w:rPr>
        <w:t xml:space="preserve"> în alte forme juridice de organizare. Dat fiind faptul că la situația din 30 iunie 2018, nu toate din entități au finisat procedura de reorganizare, acestea au fost supuse monitorizării financiare pentru perioada de referință, întrucît au prezentat rapoartele statistice în modul stabilit în calitate de întreprinderi de stat/ societăți </w:t>
      </w:r>
      <w:r w:rsidR="00D81951" w:rsidRPr="0097156A">
        <w:rPr>
          <w:sz w:val="28"/>
          <w:szCs w:val="28"/>
        </w:rPr>
        <w:t>comerciale</w:t>
      </w:r>
      <w:r w:rsidRPr="0097156A">
        <w:rPr>
          <w:sz w:val="28"/>
          <w:szCs w:val="28"/>
        </w:rPr>
        <w:t>, nefiind excluse din Registrul patrimoniului public.</w:t>
      </w:r>
    </w:p>
    <w:p w:rsidR="00AA1D4F" w:rsidRPr="00AA1D4F" w:rsidRDefault="00D81951" w:rsidP="00AA1D4F">
      <w:pPr>
        <w:spacing w:line="276" w:lineRule="auto"/>
        <w:ind w:firstLine="567"/>
        <w:jc w:val="both"/>
        <w:rPr>
          <w:sz w:val="28"/>
          <w:szCs w:val="28"/>
          <w:lang w:val="en-US"/>
        </w:rPr>
      </w:pPr>
      <w:r w:rsidRPr="0097156A">
        <w:rPr>
          <w:sz w:val="28"/>
          <w:szCs w:val="28"/>
        </w:rPr>
        <w:t>Totodată, a</w:t>
      </w:r>
      <w:r w:rsidR="00AA1D4F" w:rsidRPr="0097156A">
        <w:rPr>
          <w:sz w:val="28"/>
          <w:szCs w:val="28"/>
        </w:rPr>
        <w:t>vînd în vedere că majoritatea entităților economice cu capital de stat nu au fost transmise în termenii stabiliți în administrarea Agenției Proprietății Publice sau au fost transmise către finele semestrului I, s-a considerat oportună menținerea clasificării entităților pe ministere/ autorități de ramură, întrucît în</w:t>
      </w:r>
      <w:r w:rsidR="00AA1D4F" w:rsidRPr="00AA1D4F">
        <w:rPr>
          <w:sz w:val="28"/>
          <w:szCs w:val="28"/>
          <w:lang w:val="en-US"/>
        </w:rPr>
        <w:t xml:space="preserve"> perioada</w:t>
      </w:r>
      <w:r w:rsidR="00AA1D4F">
        <w:rPr>
          <w:sz w:val="28"/>
          <w:szCs w:val="28"/>
          <w:lang w:val="en-US"/>
        </w:rPr>
        <w:t xml:space="preserve"> anului 2017 și semestrului I, 2018</w:t>
      </w:r>
      <w:r w:rsidR="00AA1D4F" w:rsidRPr="00AA1D4F">
        <w:rPr>
          <w:sz w:val="28"/>
          <w:szCs w:val="28"/>
          <w:lang w:val="en-US"/>
        </w:rPr>
        <w:t>, acestea în mare parte au fost administrare de autoritățile respective.</w:t>
      </w:r>
    </w:p>
    <w:p w:rsidR="00A10EE4" w:rsidRDefault="00A10EE4" w:rsidP="00A17B91">
      <w:pPr>
        <w:spacing w:line="276" w:lineRule="auto"/>
        <w:ind w:firstLine="567"/>
        <w:jc w:val="both"/>
        <w:rPr>
          <w:sz w:val="28"/>
          <w:szCs w:val="28"/>
        </w:rPr>
      </w:pPr>
    </w:p>
    <w:p w:rsidR="00E81E81" w:rsidRPr="00E81E81" w:rsidRDefault="000F073D" w:rsidP="00CF12F3">
      <w:pPr>
        <w:spacing w:after="240"/>
        <w:jc w:val="both"/>
        <w:rPr>
          <w:b/>
          <w:i/>
          <w:sz w:val="28"/>
          <w:szCs w:val="28"/>
        </w:rPr>
      </w:pPr>
      <w:r>
        <w:rPr>
          <w:b/>
          <w:i/>
          <w:sz w:val="28"/>
          <w:szCs w:val="28"/>
        </w:rPr>
        <w:t xml:space="preserve"> </w:t>
      </w:r>
      <w:r w:rsidR="003C4E7C">
        <w:rPr>
          <w:b/>
          <w:i/>
          <w:sz w:val="28"/>
          <w:szCs w:val="28"/>
        </w:rPr>
        <w:t xml:space="preserve">I. </w:t>
      </w:r>
      <w:r w:rsidR="00AA1D4F">
        <w:rPr>
          <w:b/>
          <w:i/>
          <w:sz w:val="28"/>
          <w:szCs w:val="28"/>
        </w:rPr>
        <w:t>Sinteza r</w:t>
      </w:r>
      <w:r w:rsidR="00E81E81" w:rsidRPr="00E81E81">
        <w:rPr>
          <w:b/>
          <w:i/>
          <w:sz w:val="28"/>
          <w:szCs w:val="28"/>
        </w:rPr>
        <w:t>ezultatelor monitoringului financiar al activită</w:t>
      </w:r>
      <w:r w:rsidR="000873E3">
        <w:rPr>
          <w:b/>
          <w:i/>
          <w:sz w:val="28"/>
          <w:szCs w:val="28"/>
        </w:rPr>
        <w:t>ț</w:t>
      </w:r>
      <w:r w:rsidR="00E81E81" w:rsidRPr="00E81E81">
        <w:rPr>
          <w:b/>
          <w:i/>
          <w:sz w:val="28"/>
          <w:szCs w:val="28"/>
        </w:rPr>
        <w:t>ii economico-financiare în anul 2017 a întreprinderilor de stat și societă</w:t>
      </w:r>
      <w:r w:rsidR="000873E3">
        <w:rPr>
          <w:b/>
          <w:i/>
          <w:sz w:val="28"/>
          <w:szCs w:val="28"/>
        </w:rPr>
        <w:t>ț</w:t>
      </w:r>
      <w:r w:rsidR="00E81E81" w:rsidRPr="00E81E81">
        <w:rPr>
          <w:b/>
          <w:i/>
          <w:sz w:val="28"/>
          <w:szCs w:val="28"/>
        </w:rPr>
        <w:t>ilor comerciale cu capital integral sau majoritar de stat</w:t>
      </w:r>
      <w:r w:rsidR="00AA1D4F">
        <w:rPr>
          <w:b/>
          <w:i/>
          <w:sz w:val="28"/>
          <w:szCs w:val="28"/>
        </w:rPr>
        <w:t xml:space="preserve"> </w:t>
      </w:r>
      <w:r w:rsidR="00AA1D4F" w:rsidRPr="00AA1D4F">
        <w:t>(adițional la informația prezentată în Nota privind riscurile bugetar-fiscale)</w:t>
      </w:r>
    </w:p>
    <w:p w:rsidR="009A1EA7" w:rsidRDefault="00A17B91" w:rsidP="00A17B91">
      <w:pPr>
        <w:spacing w:line="276" w:lineRule="auto"/>
        <w:ind w:firstLine="567"/>
        <w:jc w:val="both"/>
        <w:rPr>
          <w:sz w:val="28"/>
          <w:szCs w:val="28"/>
        </w:rPr>
      </w:pPr>
      <w:r w:rsidRPr="00870FB6">
        <w:rPr>
          <w:sz w:val="28"/>
          <w:szCs w:val="28"/>
        </w:rPr>
        <w:t>La situa</w:t>
      </w:r>
      <w:r w:rsidR="000873E3">
        <w:rPr>
          <w:sz w:val="28"/>
          <w:szCs w:val="28"/>
        </w:rPr>
        <w:t>ț</w:t>
      </w:r>
      <w:r w:rsidRPr="00870FB6">
        <w:rPr>
          <w:sz w:val="28"/>
          <w:szCs w:val="28"/>
        </w:rPr>
        <w:t xml:space="preserve">ia din </w:t>
      </w:r>
      <w:r w:rsidR="00903134" w:rsidRPr="00870FB6">
        <w:rPr>
          <w:sz w:val="28"/>
          <w:szCs w:val="28"/>
        </w:rPr>
        <w:t>1 ianuarie 2018</w:t>
      </w:r>
      <w:r w:rsidRPr="00870FB6">
        <w:rPr>
          <w:sz w:val="28"/>
          <w:szCs w:val="28"/>
        </w:rPr>
        <w:t xml:space="preserve">, în Registrul patrimoniului public </w:t>
      </w:r>
      <w:r w:rsidR="000873E3">
        <w:rPr>
          <w:sz w:val="28"/>
          <w:szCs w:val="28"/>
        </w:rPr>
        <w:t>ț</w:t>
      </w:r>
      <w:r w:rsidRPr="00870FB6">
        <w:rPr>
          <w:sz w:val="28"/>
          <w:szCs w:val="28"/>
        </w:rPr>
        <w:t>inut de către Agen</w:t>
      </w:r>
      <w:r w:rsidR="000873E3">
        <w:rPr>
          <w:sz w:val="28"/>
          <w:szCs w:val="28"/>
        </w:rPr>
        <w:t>ț</w:t>
      </w:r>
      <w:r w:rsidRPr="00870FB6">
        <w:rPr>
          <w:sz w:val="28"/>
          <w:szCs w:val="28"/>
        </w:rPr>
        <w:t>ia Proprietă</w:t>
      </w:r>
      <w:r w:rsidR="000873E3">
        <w:rPr>
          <w:sz w:val="28"/>
          <w:szCs w:val="28"/>
        </w:rPr>
        <w:t>ț</w:t>
      </w:r>
      <w:r w:rsidRPr="00870FB6">
        <w:rPr>
          <w:sz w:val="28"/>
          <w:szCs w:val="28"/>
        </w:rPr>
        <w:t>ii Publice sunt incluse</w:t>
      </w:r>
      <w:r w:rsidR="009A1EA7">
        <w:rPr>
          <w:sz w:val="28"/>
          <w:szCs w:val="28"/>
        </w:rPr>
        <w:t>:</w:t>
      </w:r>
    </w:p>
    <w:p w:rsidR="009A1EA7" w:rsidRDefault="009A1EA7" w:rsidP="00A17B91">
      <w:pPr>
        <w:spacing w:line="276" w:lineRule="auto"/>
        <w:ind w:firstLine="567"/>
        <w:jc w:val="both"/>
        <w:rPr>
          <w:sz w:val="28"/>
          <w:szCs w:val="28"/>
        </w:rPr>
      </w:pPr>
      <w:r>
        <w:rPr>
          <w:sz w:val="28"/>
          <w:szCs w:val="28"/>
        </w:rPr>
        <w:t>-</w:t>
      </w:r>
      <w:r w:rsidR="00A17B91" w:rsidRPr="00870FB6">
        <w:rPr>
          <w:sz w:val="28"/>
          <w:szCs w:val="28"/>
        </w:rPr>
        <w:t xml:space="preserve"> 233 întreprinderi de stat, cu capital social în mărime de 6472,3 mil. lei</w:t>
      </w:r>
      <w:r>
        <w:rPr>
          <w:sz w:val="28"/>
          <w:szCs w:val="28"/>
        </w:rPr>
        <w:t>;</w:t>
      </w:r>
    </w:p>
    <w:p w:rsidR="007839AE" w:rsidRDefault="009A1EA7" w:rsidP="007839AE">
      <w:pPr>
        <w:spacing w:line="276" w:lineRule="auto"/>
        <w:ind w:firstLine="567"/>
        <w:jc w:val="both"/>
        <w:rPr>
          <w:sz w:val="28"/>
          <w:szCs w:val="28"/>
        </w:rPr>
      </w:pPr>
      <w:r>
        <w:rPr>
          <w:sz w:val="28"/>
          <w:szCs w:val="28"/>
        </w:rPr>
        <w:t>-</w:t>
      </w:r>
      <w:r w:rsidR="00A17B91" w:rsidRPr="00870FB6">
        <w:rPr>
          <w:sz w:val="28"/>
          <w:szCs w:val="28"/>
        </w:rPr>
        <w:t xml:space="preserve"> 90 societă</w:t>
      </w:r>
      <w:r w:rsidR="000873E3">
        <w:rPr>
          <w:sz w:val="28"/>
          <w:szCs w:val="28"/>
        </w:rPr>
        <w:t>ț</w:t>
      </w:r>
      <w:r w:rsidR="00A17B91" w:rsidRPr="00870FB6">
        <w:rPr>
          <w:sz w:val="28"/>
          <w:szCs w:val="28"/>
        </w:rPr>
        <w:t xml:space="preserve">i comerciale cu capital de stat, capitalul social </w:t>
      </w:r>
      <w:r w:rsidR="00AA1D4F">
        <w:rPr>
          <w:sz w:val="28"/>
          <w:szCs w:val="28"/>
        </w:rPr>
        <w:t xml:space="preserve">al cărora este </w:t>
      </w:r>
      <w:r w:rsidR="00A17B91" w:rsidRPr="00870FB6">
        <w:rPr>
          <w:sz w:val="28"/>
          <w:szCs w:val="28"/>
        </w:rPr>
        <w:t>în mărime de 4912,0 mil. lei, din care proprietate</w:t>
      </w:r>
      <w:r>
        <w:rPr>
          <w:sz w:val="28"/>
          <w:szCs w:val="28"/>
        </w:rPr>
        <w:t>a statului – 3721,5 mil. lei (</w:t>
      </w:r>
      <w:r w:rsidR="00A17B91" w:rsidRPr="00870FB6">
        <w:rPr>
          <w:sz w:val="28"/>
          <w:szCs w:val="28"/>
        </w:rPr>
        <w:t>75,8</w:t>
      </w:r>
      <w:r>
        <w:rPr>
          <w:sz w:val="28"/>
          <w:szCs w:val="28"/>
        </w:rPr>
        <w:t>%)</w:t>
      </w:r>
      <w:r w:rsidR="00A17B91" w:rsidRPr="00870FB6">
        <w:rPr>
          <w:sz w:val="28"/>
          <w:szCs w:val="28"/>
        </w:rPr>
        <w:t xml:space="preserve">. Din numărul total al </w:t>
      </w:r>
      <w:r w:rsidR="00AA1D4F">
        <w:rPr>
          <w:sz w:val="28"/>
          <w:szCs w:val="28"/>
        </w:rPr>
        <w:t>societăților comerciale</w:t>
      </w:r>
      <w:r w:rsidR="00A17B91" w:rsidRPr="00870FB6">
        <w:rPr>
          <w:sz w:val="28"/>
          <w:szCs w:val="28"/>
        </w:rPr>
        <w:t xml:space="preserve">, 65 </w:t>
      </w:r>
      <w:r w:rsidR="00AA1D4F">
        <w:rPr>
          <w:sz w:val="28"/>
          <w:szCs w:val="28"/>
        </w:rPr>
        <w:t>societăți</w:t>
      </w:r>
      <w:r w:rsidR="00A17B91" w:rsidRPr="00870FB6">
        <w:rPr>
          <w:sz w:val="28"/>
          <w:szCs w:val="28"/>
        </w:rPr>
        <w:t xml:space="preserve"> de</w:t>
      </w:r>
      <w:r w:rsidR="000873E3">
        <w:rPr>
          <w:sz w:val="28"/>
          <w:szCs w:val="28"/>
        </w:rPr>
        <w:t>ț</w:t>
      </w:r>
      <w:r w:rsidR="00A17B91" w:rsidRPr="00870FB6">
        <w:rPr>
          <w:sz w:val="28"/>
          <w:szCs w:val="28"/>
        </w:rPr>
        <w:t>in capital integral sau majoritar de stat, capitalul social al cărora este în mărime de</w:t>
      </w:r>
      <w:r>
        <w:rPr>
          <w:sz w:val="28"/>
          <w:szCs w:val="28"/>
        </w:rPr>
        <w:t xml:space="preserve"> </w:t>
      </w:r>
      <w:r w:rsidR="00A17B91" w:rsidRPr="00870FB6">
        <w:rPr>
          <w:sz w:val="28"/>
          <w:szCs w:val="28"/>
        </w:rPr>
        <w:t xml:space="preserve">3372,1 mil. lei, din care proprietatea statului – 3214,0 mil. lei </w:t>
      </w:r>
      <w:r>
        <w:rPr>
          <w:sz w:val="28"/>
          <w:szCs w:val="28"/>
        </w:rPr>
        <w:t>(</w:t>
      </w:r>
      <w:r w:rsidR="00A17B91" w:rsidRPr="00870FB6">
        <w:rPr>
          <w:sz w:val="28"/>
          <w:szCs w:val="28"/>
        </w:rPr>
        <w:t>95,3</w:t>
      </w:r>
      <w:r>
        <w:rPr>
          <w:sz w:val="28"/>
          <w:szCs w:val="28"/>
        </w:rPr>
        <w:t>%)</w:t>
      </w:r>
      <w:r w:rsidR="007839AE">
        <w:rPr>
          <w:sz w:val="28"/>
          <w:szCs w:val="28"/>
        </w:rPr>
        <w:t>.</w:t>
      </w:r>
    </w:p>
    <w:p w:rsidR="0053751E" w:rsidRDefault="0053751E" w:rsidP="007839AE">
      <w:pPr>
        <w:spacing w:line="276" w:lineRule="auto"/>
        <w:ind w:firstLine="567"/>
        <w:jc w:val="both"/>
        <w:rPr>
          <w:sz w:val="28"/>
          <w:szCs w:val="28"/>
        </w:rPr>
      </w:pPr>
    </w:p>
    <w:p w:rsidR="0053751E" w:rsidRDefault="0053751E" w:rsidP="007839AE">
      <w:pPr>
        <w:spacing w:line="276" w:lineRule="auto"/>
        <w:ind w:firstLine="567"/>
        <w:jc w:val="both"/>
        <w:rPr>
          <w:sz w:val="28"/>
          <w:szCs w:val="28"/>
        </w:rPr>
      </w:pPr>
    </w:p>
    <w:p w:rsidR="00924587" w:rsidRPr="00924587" w:rsidRDefault="00924587" w:rsidP="00D43CBB">
      <w:pPr>
        <w:pStyle w:val="NoSpacing"/>
        <w:jc w:val="center"/>
        <w:rPr>
          <w:sz w:val="20"/>
          <w:szCs w:val="20"/>
        </w:rPr>
      </w:pPr>
      <w:r>
        <w:rPr>
          <w:b/>
          <w:sz w:val="20"/>
          <w:szCs w:val="20"/>
        </w:rPr>
        <w:t xml:space="preserve">                                                                                                                                                                   </w:t>
      </w:r>
      <w:r w:rsidR="00AA1D4F">
        <w:rPr>
          <w:sz w:val="20"/>
          <w:szCs w:val="20"/>
        </w:rPr>
        <w:t>Tabelul 1.</w:t>
      </w:r>
    </w:p>
    <w:p w:rsidR="009052D0" w:rsidRPr="00AA1D4F" w:rsidRDefault="00A17B91" w:rsidP="00D43CBB">
      <w:pPr>
        <w:pStyle w:val="NoSpacing"/>
        <w:jc w:val="center"/>
        <w:rPr>
          <w:b/>
          <w:i/>
          <w:sz w:val="20"/>
          <w:szCs w:val="20"/>
        </w:rPr>
      </w:pPr>
      <w:r w:rsidRPr="00AA1D4F">
        <w:rPr>
          <w:b/>
          <w:i/>
          <w:sz w:val="20"/>
          <w:szCs w:val="20"/>
        </w:rPr>
        <w:t>Informa</w:t>
      </w:r>
      <w:r w:rsidR="000873E3" w:rsidRPr="00AA1D4F">
        <w:rPr>
          <w:b/>
          <w:i/>
          <w:sz w:val="20"/>
          <w:szCs w:val="20"/>
        </w:rPr>
        <w:t>ț</w:t>
      </w:r>
      <w:r w:rsidRPr="00AA1D4F">
        <w:rPr>
          <w:b/>
          <w:i/>
          <w:sz w:val="20"/>
          <w:szCs w:val="20"/>
        </w:rPr>
        <w:t>ia consolidată privind numărul întreprinderilor de stat</w:t>
      </w:r>
      <w:r w:rsidR="007839AE" w:rsidRPr="00AA1D4F">
        <w:rPr>
          <w:b/>
          <w:i/>
          <w:sz w:val="20"/>
          <w:szCs w:val="20"/>
        </w:rPr>
        <w:t xml:space="preserve"> </w:t>
      </w:r>
      <w:r w:rsidRPr="00AA1D4F">
        <w:rPr>
          <w:b/>
          <w:i/>
          <w:sz w:val="20"/>
          <w:szCs w:val="20"/>
        </w:rPr>
        <w:t>și societă</w:t>
      </w:r>
      <w:r w:rsidR="000873E3" w:rsidRPr="00AA1D4F">
        <w:rPr>
          <w:b/>
          <w:i/>
          <w:sz w:val="20"/>
          <w:szCs w:val="20"/>
        </w:rPr>
        <w:t>ț</w:t>
      </w:r>
      <w:r w:rsidRPr="00AA1D4F">
        <w:rPr>
          <w:b/>
          <w:i/>
          <w:sz w:val="20"/>
          <w:szCs w:val="20"/>
        </w:rPr>
        <w:t xml:space="preserve">ilor comerciale </w:t>
      </w:r>
    </w:p>
    <w:p w:rsidR="00D43CBB" w:rsidRPr="00AA1D4F" w:rsidRDefault="00A17B91" w:rsidP="00D43CBB">
      <w:pPr>
        <w:pStyle w:val="NoSpacing"/>
        <w:jc w:val="center"/>
        <w:rPr>
          <w:b/>
          <w:bCs/>
          <w:i/>
        </w:rPr>
      </w:pPr>
      <w:r w:rsidRPr="00AA1D4F">
        <w:rPr>
          <w:b/>
          <w:i/>
          <w:sz w:val="20"/>
          <w:szCs w:val="20"/>
        </w:rPr>
        <w:t>cu capital de stat conform Registrului patrimoniului public</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361"/>
        <w:gridCol w:w="928"/>
        <w:gridCol w:w="908"/>
        <w:gridCol w:w="1361"/>
        <w:gridCol w:w="955"/>
        <w:gridCol w:w="997"/>
      </w:tblGrid>
      <w:tr w:rsidR="00F84220" w:rsidRPr="009431BC" w:rsidTr="00AA1D4F">
        <w:trPr>
          <w:jc w:val="center"/>
        </w:trPr>
        <w:tc>
          <w:tcPr>
            <w:tcW w:w="3095" w:type="dxa"/>
            <w:vMerge w:val="restart"/>
          </w:tcPr>
          <w:p w:rsidR="00F84220" w:rsidRPr="009431BC" w:rsidRDefault="00F84220" w:rsidP="0013268A">
            <w:pPr>
              <w:jc w:val="both"/>
              <w:rPr>
                <w:sz w:val="20"/>
                <w:szCs w:val="20"/>
                <w:lang w:eastAsia="en-US"/>
              </w:rPr>
            </w:pPr>
          </w:p>
        </w:tc>
        <w:tc>
          <w:tcPr>
            <w:tcW w:w="3186" w:type="dxa"/>
            <w:gridSpan w:val="3"/>
          </w:tcPr>
          <w:p w:rsidR="00F84220" w:rsidRPr="009431BC" w:rsidRDefault="00F84220" w:rsidP="0013268A">
            <w:pPr>
              <w:jc w:val="center"/>
              <w:rPr>
                <w:b/>
                <w:sz w:val="20"/>
                <w:szCs w:val="20"/>
                <w:lang w:eastAsia="en-US"/>
              </w:rPr>
            </w:pPr>
            <w:r w:rsidRPr="009431BC">
              <w:rPr>
                <w:b/>
                <w:sz w:val="20"/>
                <w:szCs w:val="20"/>
                <w:lang w:eastAsia="en-US"/>
              </w:rPr>
              <w:t>La situa</w:t>
            </w:r>
            <w:r w:rsidR="000873E3">
              <w:rPr>
                <w:b/>
                <w:sz w:val="20"/>
                <w:szCs w:val="20"/>
                <w:lang w:eastAsia="en-US"/>
              </w:rPr>
              <w:t>ț</w:t>
            </w:r>
            <w:r w:rsidRPr="009431BC">
              <w:rPr>
                <w:b/>
                <w:sz w:val="20"/>
                <w:szCs w:val="20"/>
                <w:lang w:eastAsia="en-US"/>
              </w:rPr>
              <w:t>ia din 01.01.2017</w:t>
            </w:r>
          </w:p>
        </w:tc>
        <w:tc>
          <w:tcPr>
            <w:tcW w:w="3238" w:type="dxa"/>
            <w:gridSpan w:val="3"/>
          </w:tcPr>
          <w:p w:rsidR="00F84220" w:rsidRPr="009431BC" w:rsidRDefault="00F84220" w:rsidP="0011406C">
            <w:pPr>
              <w:ind w:right="-85"/>
              <w:jc w:val="center"/>
              <w:rPr>
                <w:b/>
                <w:sz w:val="20"/>
                <w:szCs w:val="20"/>
                <w:lang w:eastAsia="en-US"/>
              </w:rPr>
            </w:pPr>
            <w:r w:rsidRPr="009431BC">
              <w:rPr>
                <w:b/>
                <w:sz w:val="20"/>
                <w:szCs w:val="20"/>
                <w:lang w:eastAsia="en-US"/>
              </w:rPr>
              <w:t>La situa</w:t>
            </w:r>
            <w:r w:rsidR="000873E3">
              <w:rPr>
                <w:b/>
                <w:sz w:val="20"/>
                <w:szCs w:val="20"/>
                <w:lang w:eastAsia="en-US"/>
              </w:rPr>
              <w:t>ț</w:t>
            </w:r>
            <w:r w:rsidRPr="009431BC">
              <w:rPr>
                <w:b/>
                <w:sz w:val="20"/>
                <w:szCs w:val="20"/>
                <w:lang w:eastAsia="en-US"/>
              </w:rPr>
              <w:t>ia din 01.01.2018</w:t>
            </w:r>
          </w:p>
        </w:tc>
      </w:tr>
      <w:tr w:rsidR="00F84220" w:rsidRPr="009431BC" w:rsidTr="00AA1D4F">
        <w:trPr>
          <w:jc w:val="center"/>
        </w:trPr>
        <w:tc>
          <w:tcPr>
            <w:tcW w:w="3095" w:type="dxa"/>
            <w:vMerge/>
          </w:tcPr>
          <w:p w:rsidR="00F84220" w:rsidRPr="009431BC" w:rsidRDefault="00F84220" w:rsidP="00CE346F">
            <w:pPr>
              <w:ind w:right="-205"/>
              <w:jc w:val="both"/>
              <w:rPr>
                <w:sz w:val="20"/>
                <w:szCs w:val="20"/>
                <w:lang w:eastAsia="en-US"/>
              </w:rPr>
            </w:pPr>
          </w:p>
        </w:tc>
        <w:tc>
          <w:tcPr>
            <w:tcW w:w="1337" w:type="dxa"/>
          </w:tcPr>
          <w:p w:rsidR="00F84220" w:rsidRPr="009431BC" w:rsidRDefault="00F84220" w:rsidP="00466BAC">
            <w:pPr>
              <w:ind w:right="-63"/>
              <w:jc w:val="center"/>
              <w:rPr>
                <w:b/>
                <w:sz w:val="20"/>
                <w:szCs w:val="20"/>
                <w:lang w:eastAsia="en-US"/>
              </w:rPr>
            </w:pPr>
            <w:r w:rsidRPr="009431BC">
              <w:rPr>
                <w:b/>
                <w:sz w:val="20"/>
                <w:szCs w:val="20"/>
                <w:lang w:eastAsia="en-US"/>
              </w:rPr>
              <w:t>Întreprinderi de stat</w:t>
            </w:r>
          </w:p>
        </w:tc>
        <w:tc>
          <w:tcPr>
            <w:tcW w:w="1849" w:type="dxa"/>
            <w:gridSpan w:val="2"/>
          </w:tcPr>
          <w:p w:rsidR="00F84220" w:rsidRPr="009431BC" w:rsidRDefault="00F84220" w:rsidP="0013268A">
            <w:pPr>
              <w:jc w:val="center"/>
              <w:rPr>
                <w:b/>
                <w:sz w:val="20"/>
                <w:szCs w:val="20"/>
                <w:lang w:eastAsia="en-US"/>
              </w:rPr>
            </w:pPr>
            <w:r w:rsidRPr="009431BC">
              <w:rPr>
                <w:b/>
                <w:sz w:val="20"/>
                <w:szCs w:val="20"/>
                <w:lang w:eastAsia="en-US"/>
              </w:rPr>
              <w:t>Societă</w:t>
            </w:r>
            <w:r w:rsidR="000873E3">
              <w:rPr>
                <w:b/>
                <w:sz w:val="20"/>
                <w:szCs w:val="20"/>
                <w:lang w:eastAsia="en-US"/>
              </w:rPr>
              <w:t>ț</w:t>
            </w:r>
            <w:r w:rsidRPr="009431BC">
              <w:rPr>
                <w:b/>
                <w:sz w:val="20"/>
                <w:szCs w:val="20"/>
                <w:lang w:eastAsia="en-US"/>
              </w:rPr>
              <w:t>i pe ac</w:t>
            </w:r>
            <w:r w:rsidR="000873E3">
              <w:rPr>
                <w:b/>
                <w:sz w:val="20"/>
                <w:szCs w:val="20"/>
                <w:lang w:eastAsia="en-US"/>
              </w:rPr>
              <w:t>ț</w:t>
            </w:r>
            <w:r w:rsidRPr="009431BC">
              <w:rPr>
                <w:b/>
                <w:sz w:val="20"/>
                <w:szCs w:val="20"/>
                <w:lang w:eastAsia="en-US"/>
              </w:rPr>
              <w:t>iuni</w:t>
            </w:r>
          </w:p>
        </w:tc>
        <w:tc>
          <w:tcPr>
            <w:tcW w:w="1267" w:type="dxa"/>
          </w:tcPr>
          <w:p w:rsidR="00F84220" w:rsidRPr="000F073D" w:rsidRDefault="00F84220" w:rsidP="0013268A">
            <w:pPr>
              <w:ind w:right="-94"/>
              <w:jc w:val="center"/>
              <w:rPr>
                <w:b/>
                <w:sz w:val="20"/>
                <w:szCs w:val="20"/>
                <w:lang w:eastAsia="en-US"/>
              </w:rPr>
            </w:pPr>
            <w:r w:rsidRPr="000F073D">
              <w:rPr>
                <w:b/>
                <w:sz w:val="20"/>
                <w:szCs w:val="20"/>
                <w:lang w:eastAsia="en-US"/>
              </w:rPr>
              <w:t>Întreprinderi de stat</w:t>
            </w:r>
          </w:p>
        </w:tc>
        <w:tc>
          <w:tcPr>
            <w:tcW w:w="1971" w:type="dxa"/>
            <w:gridSpan w:val="2"/>
          </w:tcPr>
          <w:p w:rsidR="00F84220" w:rsidRPr="009431BC" w:rsidRDefault="00F84220" w:rsidP="000F073D">
            <w:pPr>
              <w:ind w:right="-50"/>
              <w:jc w:val="center"/>
              <w:rPr>
                <w:b/>
                <w:sz w:val="20"/>
                <w:szCs w:val="20"/>
                <w:lang w:eastAsia="en-US"/>
              </w:rPr>
            </w:pPr>
            <w:r w:rsidRPr="009431BC">
              <w:rPr>
                <w:b/>
                <w:sz w:val="20"/>
                <w:szCs w:val="20"/>
                <w:lang w:eastAsia="en-US"/>
              </w:rPr>
              <w:t>Societă</w:t>
            </w:r>
            <w:r w:rsidR="000873E3">
              <w:rPr>
                <w:b/>
                <w:sz w:val="20"/>
                <w:szCs w:val="20"/>
                <w:lang w:eastAsia="en-US"/>
              </w:rPr>
              <w:t>ț</w:t>
            </w:r>
            <w:r w:rsidRPr="009431BC">
              <w:rPr>
                <w:b/>
                <w:sz w:val="20"/>
                <w:szCs w:val="20"/>
                <w:lang w:eastAsia="en-US"/>
              </w:rPr>
              <w:t>i pe ac</w:t>
            </w:r>
            <w:r w:rsidR="000873E3">
              <w:rPr>
                <w:b/>
                <w:sz w:val="20"/>
                <w:szCs w:val="20"/>
                <w:lang w:eastAsia="en-US"/>
              </w:rPr>
              <w:t>ț</w:t>
            </w:r>
            <w:r w:rsidRPr="009431BC">
              <w:rPr>
                <w:b/>
                <w:sz w:val="20"/>
                <w:szCs w:val="20"/>
                <w:lang w:eastAsia="en-US"/>
              </w:rPr>
              <w:t>iuni</w:t>
            </w:r>
          </w:p>
        </w:tc>
      </w:tr>
      <w:tr w:rsidR="00F84220" w:rsidRPr="009431BC" w:rsidTr="00AA1D4F">
        <w:trPr>
          <w:jc w:val="center"/>
        </w:trPr>
        <w:tc>
          <w:tcPr>
            <w:tcW w:w="3095" w:type="dxa"/>
            <w:vMerge/>
          </w:tcPr>
          <w:p w:rsidR="00F84220" w:rsidRPr="009431BC" w:rsidRDefault="00F84220" w:rsidP="0013268A">
            <w:pPr>
              <w:jc w:val="both"/>
              <w:rPr>
                <w:sz w:val="20"/>
                <w:szCs w:val="20"/>
                <w:lang w:eastAsia="en-US"/>
              </w:rPr>
            </w:pPr>
          </w:p>
        </w:tc>
        <w:tc>
          <w:tcPr>
            <w:tcW w:w="1337" w:type="dxa"/>
          </w:tcPr>
          <w:p w:rsidR="00F84220" w:rsidRPr="009431BC" w:rsidRDefault="00F84220" w:rsidP="0013268A">
            <w:pPr>
              <w:jc w:val="center"/>
              <w:rPr>
                <w:b/>
                <w:sz w:val="20"/>
                <w:szCs w:val="20"/>
                <w:lang w:eastAsia="en-US"/>
              </w:rPr>
            </w:pPr>
          </w:p>
        </w:tc>
        <w:tc>
          <w:tcPr>
            <w:tcW w:w="931" w:type="dxa"/>
          </w:tcPr>
          <w:p w:rsidR="00F84220" w:rsidRPr="009431BC" w:rsidRDefault="00F84220" w:rsidP="00CE346F">
            <w:pPr>
              <w:ind w:left="-77" w:right="-115"/>
              <w:jc w:val="center"/>
              <w:rPr>
                <w:b/>
                <w:sz w:val="20"/>
                <w:szCs w:val="20"/>
                <w:lang w:eastAsia="en-US"/>
              </w:rPr>
            </w:pPr>
            <w:r w:rsidRPr="009431BC">
              <w:rPr>
                <w:b/>
                <w:sz w:val="20"/>
                <w:szCs w:val="20"/>
                <w:lang w:eastAsia="en-US"/>
              </w:rPr>
              <w:t>Cu cota statului în capitalul social</w:t>
            </w:r>
          </w:p>
        </w:tc>
        <w:tc>
          <w:tcPr>
            <w:tcW w:w="918" w:type="dxa"/>
          </w:tcPr>
          <w:p w:rsidR="00F84220" w:rsidRPr="009431BC" w:rsidRDefault="00F84220" w:rsidP="00CE346F">
            <w:pPr>
              <w:ind w:left="-77" w:right="-63"/>
              <w:jc w:val="center"/>
              <w:rPr>
                <w:i/>
                <w:sz w:val="20"/>
                <w:szCs w:val="20"/>
                <w:lang w:eastAsia="en-US"/>
              </w:rPr>
            </w:pPr>
            <w:r>
              <w:rPr>
                <w:i/>
                <w:sz w:val="20"/>
                <w:szCs w:val="20"/>
                <w:lang w:eastAsia="en-US"/>
              </w:rPr>
              <w:t>d</w:t>
            </w:r>
            <w:r w:rsidRPr="009431BC">
              <w:rPr>
                <w:i/>
                <w:sz w:val="20"/>
                <w:szCs w:val="20"/>
                <w:lang w:eastAsia="en-US"/>
              </w:rPr>
              <w:t>in</w:t>
            </w:r>
            <w:r>
              <w:rPr>
                <w:i/>
                <w:sz w:val="20"/>
                <w:szCs w:val="20"/>
                <w:lang w:eastAsia="en-US"/>
              </w:rPr>
              <w:t xml:space="preserve"> </w:t>
            </w:r>
            <w:r w:rsidRPr="009431BC">
              <w:rPr>
                <w:i/>
                <w:sz w:val="20"/>
                <w:szCs w:val="20"/>
                <w:lang w:eastAsia="en-US"/>
              </w:rPr>
              <w:t xml:space="preserve">care: </w:t>
            </w:r>
          </w:p>
          <w:p w:rsidR="00F84220" w:rsidRPr="009431BC" w:rsidRDefault="00F84220" w:rsidP="00CE346F">
            <w:pPr>
              <w:ind w:left="-77" w:right="-63"/>
              <w:jc w:val="center"/>
              <w:rPr>
                <w:i/>
                <w:sz w:val="20"/>
                <w:szCs w:val="20"/>
                <w:lang w:eastAsia="en-US"/>
              </w:rPr>
            </w:pPr>
            <w:r w:rsidRPr="009431BC">
              <w:rPr>
                <w:i/>
                <w:sz w:val="20"/>
                <w:szCs w:val="20"/>
                <w:lang w:eastAsia="en-US"/>
              </w:rPr>
              <w:t>cu cota statului mai mare de 50%</w:t>
            </w:r>
          </w:p>
        </w:tc>
        <w:tc>
          <w:tcPr>
            <w:tcW w:w="1267" w:type="dxa"/>
          </w:tcPr>
          <w:p w:rsidR="00F84220" w:rsidRPr="009431BC" w:rsidRDefault="00F84220" w:rsidP="00CE346F">
            <w:pPr>
              <w:ind w:left="-77" w:right="-160"/>
              <w:jc w:val="center"/>
              <w:rPr>
                <w:i/>
                <w:sz w:val="20"/>
                <w:szCs w:val="20"/>
                <w:lang w:eastAsia="en-US"/>
              </w:rPr>
            </w:pPr>
          </w:p>
        </w:tc>
        <w:tc>
          <w:tcPr>
            <w:tcW w:w="959" w:type="dxa"/>
          </w:tcPr>
          <w:p w:rsidR="00F84220" w:rsidRPr="009431BC" w:rsidRDefault="00F84220" w:rsidP="00CE346F">
            <w:pPr>
              <w:ind w:left="-77" w:right="-76"/>
              <w:jc w:val="center"/>
              <w:rPr>
                <w:i/>
                <w:sz w:val="20"/>
                <w:szCs w:val="20"/>
                <w:lang w:eastAsia="en-US"/>
              </w:rPr>
            </w:pPr>
            <w:r w:rsidRPr="009431BC">
              <w:rPr>
                <w:b/>
                <w:sz w:val="20"/>
                <w:szCs w:val="20"/>
                <w:lang w:eastAsia="en-US"/>
              </w:rPr>
              <w:t>Cu cota statului în capitalul social</w:t>
            </w:r>
          </w:p>
        </w:tc>
        <w:tc>
          <w:tcPr>
            <w:tcW w:w="1012" w:type="dxa"/>
          </w:tcPr>
          <w:p w:rsidR="00F84220" w:rsidRPr="009431BC" w:rsidRDefault="00F84220" w:rsidP="000F073D">
            <w:pPr>
              <w:ind w:left="-77" w:right="-60"/>
              <w:jc w:val="center"/>
              <w:rPr>
                <w:i/>
                <w:sz w:val="20"/>
                <w:szCs w:val="20"/>
                <w:lang w:eastAsia="en-US"/>
              </w:rPr>
            </w:pPr>
            <w:r w:rsidRPr="009431BC">
              <w:rPr>
                <w:i/>
                <w:sz w:val="20"/>
                <w:szCs w:val="20"/>
                <w:lang w:eastAsia="en-US"/>
              </w:rPr>
              <w:t xml:space="preserve">din care: </w:t>
            </w:r>
          </w:p>
          <w:p w:rsidR="00F84220" w:rsidRPr="009431BC" w:rsidRDefault="00F84220" w:rsidP="000F073D">
            <w:pPr>
              <w:ind w:left="-77" w:right="-60"/>
              <w:jc w:val="center"/>
              <w:rPr>
                <w:i/>
                <w:sz w:val="20"/>
                <w:szCs w:val="20"/>
                <w:lang w:eastAsia="en-US"/>
              </w:rPr>
            </w:pPr>
            <w:r w:rsidRPr="009431BC">
              <w:rPr>
                <w:i/>
                <w:sz w:val="20"/>
                <w:szCs w:val="20"/>
                <w:lang w:eastAsia="en-US"/>
              </w:rPr>
              <w:t>cu cota statului mai mare de 50%</w:t>
            </w:r>
          </w:p>
        </w:tc>
      </w:tr>
      <w:tr w:rsidR="00466BAC" w:rsidRPr="009431BC" w:rsidTr="00AA1D4F">
        <w:trPr>
          <w:jc w:val="center"/>
        </w:trPr>
        <w:tc>
          <w:tcPr>
            <w:tcW w:w="3095" w:type="dxa"/>
          </w:tcPr>
          <w:p w:rsidR="00D43CBB" w:rsidRPr="009431BC" w:rsidRDefault="00D43CBB" w:rsidP="0013268A">
            <w:pPr>
              <w:jc w:val="both"/>
              <w:rPr>
                <w:b/>
                <w:sz w:val="20"/>
                <w:szCs w:val="20"/>
                <w:lang w:eastAsia="en-US"/>
              </w:rPr>
            </w:pPr>
            <w:r w:rsidRPr="009431BC">
              <w:rPr>
                <w:b/>
                <w:sz w:val="20"/>
                <w:szCs w:val="20"/>
                <w:lang w:eastAsia="en-US"/>
              </w:rPr>
              <w:t>Total conform Registrului patrimoniului public</w:t>
            </w:r>
          </w:p>
        </w:tc>
        <w:tc>
          <w:tcPr>
            <w:tcW w:w="1337" w:type="dxa"/>
          </w:tcPr>
          <w:p w:rsidR="00D43CBB" w:rsidRPr="009431BC" w:rsidRDefault="00D43CBB" w:rsidP="0013268A">
            <w:pPr>
              <w:jc w:val="center"/>
              <w:rPr>
                <w:b/>
                <w:sz w:val="20"/>
                <w:szCs w:val="20"/>
                <w:lang w:eastAsia="en-US"/>
              </w:rPr>
            </w:pPr>
            <w:r w:rsidRPr="009431BC">
              <w:rPr>
                <w:b/>
                <w:sz w:val="20"/>
                <w:szCs w:val="20"/>
                <w:lang w:eastAsia="en-US"/>
              </w:rPr>
              <w:t xml:space="preserve">242 </w:t>
            </w:r>
          </w:p>
        </w:tc>
        <w:tc>
          <w:tcPr>
            <w:tcW w:w="931" w:type="dxa"/>
          </w:tcPr>
          <w:p w:rsidR="00D43CBB" w:rsidRPr="009431BC" w:rsidRDefault="00D43CBB" w:rsidP="0013268A">
            <w:pPr>
              <w:jc w:val="center"/>
              <w:rPr>
                <w:b/>
                <w:sz w:val="20"/>
                <w:szCs w:val="20"/>
                <w:lang w:eastAsia="en-US"/>
              </w:rPr>
            </w:pPr>
            <w:r w:rsidRPr="009431BC">
              <w:rPr>
                <w:b/>
                <w:sz w:val="20"/>
                <w:szCs w:val="20"/>
                <w:lang w:eastAsia="en-US"/>
              </w:rPr>
              <w:t xml:space="preserve">103 </w:t>
            </w:r>
          </w:p>
        </w:tc>
        <w:tc>
          <w:tcPr>
            <w:tcW w:w="918" w:type="dxa"/>
          </w:tcPr>
          <w:p w:rsidR="00D43CBB" w:rsidRPr="009431BC" w:rsidRDefault="00D43CBB" w:rsidP="0013268A">
            <w:pPr>
              <w:jc w:val="center"/>
              <w:rPr>
                <w:i/>
                <w:sz w:val="20"/>
                <w:szCs w:val="20"/>
                <w:lang w:eastAsia="en-US"/>
              </w:rPr>
            </w:pPr>
            <w:r w:rsidRPr="009431BC">
              <w:rPr>
                <w:i/>
                <w:sz w:val="20"/>
                <w:szCs w:val="20"/>
                <w:lang w:eastAsia="en-US"/>
              </w:rPr>
              <w:t xml:space="preserve">70 </w:t>
            </w:r>
          </w:p>
        </w:tc>
        <w:tc>
          <w:tcPr>
            <w:tcW w:w="1267" w:type="dxa"/>
          </w:tcPr>
          <w:p w:rsidR="00D43CBB" w:rsidRPr="009431BC" w:rsidRDefault="00D43CBB" w:rsidP="0013268A">
            <w:pPr>
              <w:jc w:val="center"/>
              <w:rPr>
                <w:i/>
                <w:sz w:val="20"/>
                <w:szCs w:val="20"/>
                <w:lang w:eastAsia="en-US"/>
              </w:rPr>
            </w:pPr>
            <w:r w:rsidRPr="009431BC">
              <w:rPr>
                <w:b/>
                <w:sz w:val="20"/>
                <w:szCs w:val="20"/>
                <w:lang w:eastAsia="en-US"/>
              </w:rPr>
              <w:t>233</w:t>
            </w:r>
          </w:p>
        </w:tc>
        <w:tc>
          <w:tcPr>
            <w:tcW w:w="959" w:type="dxa"/>
          </w:tcPr>
          <w:p w:rsidR="00D43CBB" w:rsidRPr="009431BC" w:rsidRDefault="00D43CBB" w:rsidP="0013268A">
            <w:pPr>
              <w:jc w:val="center"/>
              <w:rPr>
                <w:i/>
                <w:sz w:val="20"/>
                <w:szCs w:val="20"/>
                <w:lang w:eastAsia="en-US"/>
              </w:rPr>
            </w:pPr>
            <w:r w:rsidRPr="009431BC">
              <w:rPr>
                <w:b/>
                <w:sz w:val="20"/>
                <w:szCs w:val="20"/>
                <w:lang w:eastAsia="en-US"/>
              </w:rPr>
              <w:t>90</w:t>
            </w:r>
          </w:p>
        </w:tc>
        <w:tc>
          <w:tcPr>
            <w:tcW w:w="1012" w:type="dxa"/>
            <w:tcBorders>
              <w:bottom w:val="single" w:sz="4" w:space="0" w:color="auto"/>
            </w:tcBorders>
          </w:tcPr>
          <w:p w:rsidR="00D43CBB" w:rsidRPr="009431BC" w:rsidRDefault="00D43CBB" w:rsidP="0013268A">
            <w:pPr>
              <w:jc w:val="center"/>
              <w:rPr>
                <w:i/>
                <w:sz w:val="20"/>
                <w:szCs w:val="20"/>
                <w:lang w:eastAsia="en-US"/>
              </w:rPr>
            </w:pPr>
            <w:r w:rsidRPr="009431BC">
              <w:rPr>
                <w:i/>
                <w:sz w:val="20"/>
                <w:szCs w:val="20"/>
                <w:lang w:eastAsia="en-US"/>
              </w:rPr>
              <w:t>65</w:t>
            </w:r>
          </w:p>
        </w:tc>
      </w:tr>
      <w:tr w:rsidR="00466BAC" w:rsidRPr="009431BC" w:rsidTr="00AA1D4F">
        <w:trPr>
          <w:jc w:val="center"/>
        </w:trPr>
        <w:tc>
          <w:tcPr>
            <w:tcW w:w="3095" w:type="dxa"/>
          </w:tcPr>
          <w:p w:rsidR="00D43CBB" w:rsidRPr="009431BC" w:rsidRDefault="00D43CBB" w:rsidP="0013268A">
            <w:pPr>
              <w:jc w:val="both"/>
              <w:rPr>
                <w:i/>
                <w:sz w:val="20"/>
                <w:szCs w:val="20"/>
                <w:lang w:eastAsia="en-US"/>
              </w:rPr>
            </w:pPr>
            <w:r w:rsidRPr="009431BC">
              <w:rPr>
                <w:i/>
                <w:sz w:val="20"/>
                <w:szCs w:val="20"/>
                <w:lang w:eastAsia="en-US"/>
              </w:rPr>
              <w:t>din care:</w:t>
            </w:r>
          </w:p>
        </w:tc>
        <w:tc>
          <w:tcPr>
            <w:tcW w:w="1337" w:type="dxa"/>
          </w:tcPr>
          <w:p w:rsidR="00D43CBB" w:rsidRPr="009431BC" w:rsidRDefault="00D43CBB" w:rsidP="0013268A">
            <w:pPr>
              <w:jc w:val="center"/>
              <w:rPr>
                <w:i/>
                <w:sz w:val="20"/>
                <w:szCs w:val="20"/>
                <w:lang w:eastAsia="en-US"/>
              </w:rPr>
            </w:pPr>
          </w:p>
        </w:tc>
        <w:tc>
          <w:tcPr>
            <w:tcW w:w="931" w:type="dxa"/>
          </w:tcPr>
          <w:p w:rsidR="00D43CBB" w:rsidRPr="009431BC" w:rsidRDefault="00D43CBB" w:rsidP="0013268A">
            <w:pPr>
              <w:jc w:val="center"/>
              <w:rPr>
                <w:i/>
                <w:sz w:val="20"/>
                <w:szCs w:val="20"/>
                <w:lang w:eastAsia="en-US"/>
              </w:rPr>
            </w:pPr>
          </w:p>
        </w:tc>
        <w:tc>
          <w:tcPr>
            <w:tcW w:w="918" w:type="dxa"/>
          </w:tcPr>
          <w:p w:rsidR="00D43CBB" w:rsidRPr="009431BC" w:rsidRDefault="00D43CBB" w:rsidP="0013268A">
            <w:pPr>
              <w:jc w:val="center"/>
              <w:rPr>
                <w:i/>
                <w:sz w:val="20"/>
                <w:szCs w:val="20"/>
                <w:lang w:eastAsia="en-US"/>
              </w:rPr>
            </w:pPr>
          </w:p>
        </w:tc>
        <w:tc>
          <w:tcPr>
            <w:tcW w:w="1267" w:type="dxa"/>
          </w:tcPr>
          <w:p w:rsidR="00D43CBB" w:rsidRPr="009431BC" w:rsidRDefault="00D43CBB" w:rsidP="0013268A">
            <w:pPr>
              <w:jc w:val="center"/>
              <w:rPr>
                <w:i/>
                <w:sz w:val="20"/>
                <w:szCs w:val="20"/>
                <w:lang w:eastAsia="en-US"/>
              </w:rPr>
            </w:pPr>
          </w:p>
        </w:tc>
        <w:tc>
          <w:tcPr>
            <w:tcW w:w="959" w:type="dxa"/>
          </w:tcPr>
          <w:p w:rsidR="00D43CBB" w:rsidRPr="009431BC" w:rsidRDefault="00D43CBB" w:rsidP="0013268A">
            <w:pPr>
              <w:jc w:val="center"/>
              <w:rPr>
                <w:i/>
                <w:sz w:val="20"/>
                <w:szCs w:val="20"/>
                <w:lang w:eastAsia="en-US"/>
              </w:rPr>
            </w:pPr>
          </w:p>
        </w:tc>
        <w:tc>
          <w:tcPr>
            <w:tcW w:w="1012" w:type="dxa"/>
            <w:tcBorders>
              <w:top w:val="single" w:sz="4" w:space="0" w:color="auto"/>
            </w:tcBorders>
          </w:tcPr>
          <w:p w:rsidR="00D43CBB" w:rsidRPr="009431BC" w:rsidRDefault="00D43CBB" w:rsidP="0013268A">
            <w:pPr>
              <w:jc w:val="center"/>
              <w:rPr>
                <w:i/>
                <w:sz w:val="20"/>
                <w:szCs w:val="20"/>
                <w:lang w:eastAsia="en-US"/>
              </w:rPr>
            </w:pPr>
          </w:p>
        </w:tc>
      </w:tr>
      <w:tr w:rsidR="00466BAC" w:rsidRPr="009431BC" w:rsidTr="00AA1D4F">
        <w:trPr>
          <w:jc w:val="center"/>
        </w:trPr>
        <w:tc>
          <w:tcPr>
            <w:tcW w:w="3095" w:type="dxa"/>
          </w:tcPr>
          <w:p w:rsidR="00D43CBB" w:rsidRPr="009431BC" w:rsidRDefault="00D43CBB" w:rsidP="00FF3911">
            <w:pPr>
              <w:widowControl w:val="0"/>
              <w:numPr>
                <w:ilvl w:val="0"/>
                <w:numId w:val="6"/>
              </w:numPr>
              <w:tabs>
                <w:tab w:val="left" w:pos="166"/>
              </w:tabs>
              <w:suppressAutoHyphens/>
              <w:autoSpaceDN w:val="0"/>
              <w:ind w:left="24" w:firstLine="0"/>
              <w:contextualSpacing/>
              <w:jc w:val="both"/>
              <w:textAlignment w:val="baseline"/>
              <w:rPr>
                <w:rFonts w:eastAsia="Calibri"/>
                <w:i/>
                <w:kern w:val="3"/>
                <w:sz w:val="20"/>
                <w:szCs w:val="20"/>
                <w:lang w:eastAsia="en-US"/>
              </w:rPr>
            </w:pPr>
            <w:r w:rsidRPr="009431BC">
              <w:rPr>
                <w:rFonts w:eastAsia="Calibri"/>
                <w:i/>
                <w:kern w:val="3"/>
                <w:sz w:val="20"/>
                <w:szCs w:val="20"/>
                <w:lang w:eastAsia="en-US"/>
              </w:rPr>
              <w:t xml:space="preserve">pe teritoriul Ucrainei </w:t>
            </w:r>
          </w:p>
        </w:tc>
        <w:tc>
          <w:tcPr>
            <w:tcW w:w="1337" w:type="dxa"/>
          </w:tcPr>
          <w:p w:rsidR="00D43CBB" w:rsidRPr="009431BC" w:rsidRDefault="00D43CBB" w:rsidP="0013268A">
            <w:pPr>
              <w:jc w:val="center"/>
              <w:rPr>
                <w:i/>
                <w:sz w:val="20"/>
                <w:szCs w:val="20"/>
                <w:lang w:eastAsia="en-US"/>
              </w:rPr>
            </w:pPr>
            <w:r w:rsidRPr="009431BC">
              <w:rPr>
                <w:i/>
                <w:sz w:val="20"/>
                <w:szCs w:val="20"/>
                <w:lang w:eastAsia="en-US"/>
              </w:rPr>
              <w:t xml:space="preserve">6 </w:t>
            </w:r>
          </w:p>
        </w:tc>
        <w:tc>
          <w:tcPr>
            <w:tcW w:w="931" w:type="dxa"/>
          </w:tcPr>
          <w:p w:rsidR="00D43CBB" w:rsidRPr="009431BC" w:rsidRDefault="00D43CBB" w:rsidP="0013268A">
            <w:pPr>
              <w:jc w:val="center"/>
              <w:rPr>
                <w:i/>
                <w:sz w:val="20"/>
                <w:szCs w:val="20"/>
                <w:lang w:eastAsia="en-US"/>
              </w:rPr>
            </w:pPr>
          </w:p>
        </w:tc>
        <w:tc>
          <w:tcPr>
            <w:tcW w:w="918" w:type="dxa"/>
          </w:tcPr>
          <w:p w:rsidR="00D43CBB" w:rsidRPr="009431BC" w:rsidRDefault="00D43CBB" w:rsidP="0013268A">
            <w:pPr>
              <w:jc w:val="center"/>
              <w:rPr>
                <w:i/>
                <w:sz w:val="20"/>
                <w:szCs w:val="20"/>
                <w:lang w:eastAsia="en-US"/>
              </w:rPr>
            </w:pPr>
          </w:p>
        </w:tc>
        <w:tc>
          <w:tcPr>
            <w:tcW w:w="1267" w:type="dxa"/>
          </w:tcPr>
          <w:p w:rsidR="00D43CBB" w:rsidRPr="009431BC" w:rsidRDefault="00D43CBB" w:rsidP="0013268A">
            <w:pPr>
              <w:jc w:val="center"/>
              <w:rPr>
                <w:i/>
                <w:sz w:val="20"/>
                <w:szCs w:val="20"/>
                <w:lang w:eastAsia="en-US"/>
              </w:rPr>
            </w:pPr>
            <w:r w:rsidRPr="009431BC">
              <w:rPr>
                <w:i/>
                <w:sz w:val="20"/>
                <w:szCs w:val="20"/>
                <w:lang w:eastAsia="en-US"/>
              </w:rPr>
              <w:t>6</w:t>
            </w:r>
          </w:p>
        </w:tc>
        <w:tc>
          <w:tcPr>
            <w:tcW w:w="959" w:type="dxa"/>
          </w:tcPr>
          <w:p w:rsidR="00D43CBB" w:rsidRPr="009431BC" w:rsidRDefault="00D43CBB" w:rsidP="0013268A">
            <w:pPr>
              <w:jc w:val="center"/>
              <w:rPr>
                <w:i/>
                <w:sz w:val="20"/>
                <w:szCs w:val="20"/>
                <w:lang w:eastAsia="en-US"/>
              </w:rPr>
            </w:pPr>
            <w:r w:rsidRPr="009431BC">
              <w:rPr>
                <w:i/>
                <w:sz w:val="20"/>
                <w:szCs w:val="20"/>
                <w:lang w:eastAsia="en-US"/>
              </w:rPr>
              <w:t>-</w:t>
            </w:r>
          </w:p>
        </w:tc>
        <w:tc>
          <w:tcPr>
            <w:tcW w:w="1012" w:type="dxa"/>
          </w:tcPr>
          <w:p w:rsidR="00D43CBB" w:rsidRPr="009431BC" w:rsidRDefault="00D43CBB" w:rsidP="0013268A">
            <w:pPr>
              <w:jc w:val="center"/>
              <w:rPr>
                <w:i/>
                <w:sz w:val="20"/>
                <w:szCs w:val="20"/>
                <w:lang w:eastAsia="en-US"/>
              </w:rPr>
            </w:pPr>
            <w:r w:rsidRPr="009431BC">
              <w:rPr>
                <w:i/>
                <w:sz w:val="20"/>
                <w:szCs w:val="20"/>
                <w:lang w:eastAsia="en-US"/>
              </w:rPr>
              <w:t>-</w:t>
            </w:r>
          </w:p>
        </w:tc>
      </w:tr>
      <w:tr w:rsidR="00466BAC" w:rsidRPr="009431BC" w:rsidTr="00AA1D4F">
        <w:trPr>
          <w:jc w:val="center"/>
        </w:trPr>
        <w:tc>
          <w:tcPr>
            <w:tcW w:w="3095" w:type="dxa"/>
          </w:tcPr>
          <w:p w:rsidR="00D43CBB" w:rsidRPr="009431BC" w:rsidRDefault="00D43CBB" w:rsidP="00FF3911">
            <w:pPr>
              <w:widowControl w:val="0"/>
              <w:numPr>
                <w:ilvl w:val="0"/>
                <w:numId w:val="6"/>
              </w:numPr>
              <w:tabs>
                <w:tab w:val="left" w:pos="166"/>
              </w:tabs>
              <w:suppressAutoHyphens/>
              <w:autoSpaceDN w:val="0"/>
              <w:ind w:left="24" w:firstLine="0"/>
              <w:contextualSpacing/>
              <w:jc w:val="both"/>
              <w:textAlignment w:val="baseline"/>
              <w:rPr>
                <w:rFonts w:eastAsia="Calibri"/>
                <w:i/>
                <w:kern w:val="3"/>
                <w:sz w:val="20"/>
                <w:szCs w:val="20"/>
                <w:lang w:eastAsia="en-US"/>
              </w:rPr>
            </w:pPr>
            <w:r w:rsidRPr="009431BC">
              <w:rPr>
                <w:rFonts w:eastAsia="Calibri"/>
                <w:i/>
                <w:kern w:val="3"/>
                <w:sz w:val="20"/>
                <w:szCs w:val="20"/>
                <w:lang w:eastAsia="en-US"/>
              </w:rPr>
              <w:t>în procedura lichidării, reorganizării sau insolvabilită</w:t>
            </w:r>
            <w:r w:rsidR="000873E3">
              <w:rPr>
                <w:rFonts w:eastAsia="Calibri"/>
                <w:i/>
                <w:kern w:val="3"/>
                <w:sz w:val="20"/>
                <w:szCs w:val="20"/>
                <w:lang w:eastAsia="en-US"/>
              </w:rPr>
              <w:t>ț</w:t>
            </w:r>
            <w:r w:rsidRPr="009431BC">
              <w:rPr>
                <w:rFonts w:eastAsia="Calibri"/>
                <w:i/>
                <w:kern w:val="3"/>
                <w:sz w:val="20"/>
                <w:szCs w:val="20"/>
                <w:lang w:eastAsia="en-US"/>
              </w:rPr>
              <w:t>ii</w:t>
            </w:r>
          </w:p>
        </w:tc>
        <w:tc>
          <w:tcPr>
            <w:tcW w:w="1337" w:type="dxa"/>
          </w:tcPr>
          <w:p w:rsidR="00D43CBB" w:rsidRPr="009431BC" w:rsidRDefault="00D43CBB" w:rsidP="0013268A">
            <w:pPr>
              <w:jc w:val="center"/>
              <w:rPr>
                <w:i/>
                <w:sz w:val="20"/>
                <w:szCs w:val="20"/>
                <w:lang w:eastAsia="en-US"/>
              </w:rPr>
            </w:pPr>
            <w:r w:rsidRPr="009431BC">
              <w:rPr>
                <w:i/>
                <w:sz w:val="20"/>
                <w:szCs w:val="20"/>
                <w:lang w:eastAsia="en-US"/>
              </w:rPr>
              <w:t xml:space="preserve">28 </w:t>
            </w:r>
          </w:p>
        </w:tc>
        <w:tc>
          <w:tcPr>
            <w:tcW w:w="931" w:type="dxa"/>
          </w:tcPr>
          <w:p w:rsidR="00D43CBB" w:rsidRPr="009431BC" w:rsidRDefault="00D43CBB" w:rsidP="0013268A">
            <w:pPr>
              <w:jc w:val="center"/>
              <w:rPr>
                <w:i/>
                <w:sz w:val="20"/>
                <w:szCs w:val="20"/>
                <w:lang w:eastAsia="en-US"/>
              </w:rPr>
            </w:pPr>
            <w:r w:rsidRPr="009431BC">
              <w:rPr>
                <w:i/>
                <w:sz w:val="20"/>
                <w:szCs w:val="20"/>
                <w:lang w:eastAsia="en-US"/>
              </w:rPr>
              <w:t xml:space="preserve">36 </w:t>
            </w:r>
          </w:p>
        </w:tc>
        <w:tc>
          <w:tcPr>
            <w:tcW w:w="918" w:type="dxa"/>
          </w:tcPr>
          <w:p w:rsidR="00D43CBB" w:rsidRPr="009431BC" w:rsidRDefault="00D43CBB" w:rsidP="0013268A">
            <w:pPr>
              <w:jc w:val="center"/>
              <w:rPr>
                <w:i/>
                <w:sz w:val="20"/>
                <w:szCs w:val="20"/>
                <w:lang w:eastAsia="en-US"/>
              </w:rPr>
            </w:pPr>
            <w:r w:rsidRPr="009431BC">
              <w:rPr>
                <w:i/>
                <w:sz w:val="20"/>
                <w:szCs w:val="20"/>
                <w:lang w:eastAsia="en-US"/>
              </w:rPr>
              <w:t xml:space="preserve">22 </w:t>
            </w:r>
          </w:p>
        </w:tc>
        <w:tc>
          <w:tcPr>
            <w:tcW w:w="1267" w:type="dxa"/>
          </w:tcPr>
          <w:p w:rsidR="00D43CBB" w:rsidRPr="009431BC" w:rsidRDefault="00D43CBB" w:rsidP="0013268A">
            <w:pPr>
              <w:jc w:val="center"/>
              <w:rPr>
                <w:i/>
                <w:sz w:val="20"/>
                <w:szCs w:val="20"/>
                <w:lang w:eastAsia="en-US"/>
              </w:rPr>
            </w:pPr>
            <w:r w:rsidRPr="009431BC">
              <w:rPr>
                <w:i/>
                <w:sz w:val="20"/>
                <w:szCs w:val="20"/>
                <w:lang w:eastAsia="en-US"/>
              </w:rPr>
              <w:t>30</w:t>
            </w:r>
          </w:p>
        </w:tc>
        <w:tc>
          <w:tcPr>
            <w:tcW w:w="959" w:type="dxa"/>
          </w:tcPr>
          <w:p w:rsidR="00D43CBB" w:rsidRPr="009431BC" w:rsidRDefault="00D43CBB" w:rsidP="0013268A">
            <w:pPr>
              <w:jc w:val="center"/>
              <w:rPr>
                <w:i/>
                <w:sz w:val="20"/>
                <w:szCs w:val="20"/>
                <w:lang w:eastAsia="en-US"/>
              </w:rPr>
            </w:pPr>
            <w:r w:rsidRPr="009431BC">
              <w:rPr>
                <w:i/>
                <w:sz w:val="20"/>
                <w:szCs w:val="20"/>
                <w:lang w:eastAsia="en-US"/>
              </w:rPr>
              <w:t>35</w:t>
            </w:r>
          </w:p>
        </w:tc>
        <w:tc>
          <w:tcPr>
            <w:tcW w:w="1012" w:type="dxa"/>
          </w:tcPr>
          <w:p w:rsidR="00D43CBB" w:rsidRPr="009431BC" w:rsidRDefault="00D43CBB" w:rsidP="0013268A">
            <w:pPr>
              <w:jc w:val="center"/>
              <w:rPr>
                <w:i/>
                <w:sz w:val="20"/>
                <w:szCs w:val="20"/>
                <w:lang w:eastAsia="en-US"/>
              </w:rPr>
            </w:pPr>
            <w:r w:rsidRPr="009431BC">
              <w:rPr>
                <w:i/>
                <w:sz w:val="20"/>
                <w:szCs w:val="20"/>
                <w:lang w:eastAsia="en-US"/>
              </w:rPr>
              <w:t>20</w:t>
            </w:r>
          </w:p>
        </w:tc>
      </w:tr>
      <w:tr w:rsidR="00466BAC" w:rsidRPr="009431BC" w:rsidTr="00AA1D4F">
        <w:trPr>
          <w:jc w:val="center"/>
        </w:trPr>
        <w:tc>
          <w:tcPr>
            <w:tcW w:w="3095" w:type="dxa"/>
          </w:tcPr>
          <w:p w:rsidR="00D43CBB" w:rsidRPr="009431BC" w:rsidRDefault="00D43CBB" w:rsidP="00FF3911">
            <w:pPr>
              <w:widowControl w:val="0"/>
              <w:numPr>
                <w:ilvl w:val="0"/>
                <w:numId w:val="6"/>
              </w:numPr>
              <w:tabs>
                <w:tab w:val="left" w:pos="166"/>
              </w:tabs>
              <w:suppressAutoHyphens/>
              <w:autoSpaceDN w:val="0"/>
              <w:ind w:left="24" w:firstLine="0"/>
              <w:contextualSpacing/>
              <w:jc w:val="both"/>
              <w:textAlignment w:val="baseline"/>
              <w:rPr>
                <w:rFonts w:eastAsia="Calibri"/>
                <w:i/>
                <w:kern w:val="3"/>
                <w:sz w:val="20"/>
                <w:szCs w:val="20"/>
                <w:lang w:eastAsia="en-US"/>
              </w:rPr>
            </w:pPr>
            <w:r w:rsidRPr="009431BC">
              <w:rPr>
                <w:rFonts w:eastAsia="Calibri"/>
                <w:i/>
                <w:kern w:val="3"/>
                <w:sz w:val="20"/>
                <w:szCs w:val="20"/>
                <w:lang w:eastAsia="en-US"/>
              </w:rPr>
              <w:t>nu desfășoară activitate dar sunt înregistrate la I.P. „ASP”</w:t>
            </w:r>
          </w:p>
        </w:tc>
        <w:tc>
          <w:tcPr>
            <w:tcW w:w="1337" w:type="dxa"/>
          </w:tcPr>
          <w:p w:rsidR="00D43CBB" w:rsidRPr="009431BC" w:rsidRDefault="00D43CBB" w:rsidP="0013268A">
            <w:pPr>
              <w:jc w:val="center"/>
              <w:rPr>
                <w:i/>
                <w:sz w:val="20"/>
                <w:szCs w:val="20"/>
                <w:lang w:eastAsia="en-US"/>
              </w:rPr>
            </w:pPr>
            <w:r w:rsidRPr="009431BC">
              <w:rPr>
                <w:i/>
                <w:sz w:val="20"/>
                <w:szCs w:val="20"/>
                <w:lang w:eastAsia="en-US"/>
              </w:rPr>
              <w:t xml:space="preserve">20 </w:t>
            </w:r>
          </w:p>
        </w:tc>
        <w:tc>
          <w:tcPr>
            <w:tcW w:w="931" w:type="dxa"/>
          </w:tcPr>
          <w:p w:rsidR="00D43CBB" w:rsidRPr="009431BC" w:rsidRDefault="00D43CBB" w:rsidP="0013268A">
            <w:pPr>
              <w:jc w:val="center"/>
              <w:rPr>
                <w:i/>
                <w:sz w:val="20"/>
                <w:szCs w:val="20"/>
                <w:lang w:eastAsia="en-US"/>
              </w:rPr>
            </w:pPr>
            <w:r w:rsidRPr="009431BC">
              <w:rPr>
                <w:i/>
                <w:sz w:val="20"/>
                <w:szCs w:val="20"/>
                <w:lang w:eastAsia="en-US"/>
              </w:rPr>
              <w:t xml:space="preserve">14 </w:t>
            </w:r>
          </w:p>
        </w:tc>
        <w:tc>
          <w:tcPr>
            <w:tcW w:w="918" w:type="dxa"/>
          </w:tcPr>
          <w:p w:rsidR="00D43CBB" w:rsidRPr="009431BC" w:rsidRDefault="00D43CBB" w:rsidP="0013268A">
            <w:pPr>
              <w:jc w:val="center"/>
              <w:rPr>
                <w:i/>
                <w:sz w:val="20"/>
                <w:szCs w:val="20"/>
                <w:lang w:eastAsia="en-US"/>
              </w:rPr>
            </w:pPr>
            <w:r w:rsidRPr="009431BC">
              <w:rPr>
                <w:i/>
                <w:sz w:val="20"/>
                <w:szCs w:val="20"/>
                <w:lang w:eastAsia="en-US"/>
              </w:rPr>
              <w:t xml:space="preserve">11 </w:t>
            </w:r>
          </w:p>
        </w:tc>
        <w:tc>
          <w:tcPr>
            <w:tcW w:w="1267" w:type="dxa"/>
          </w:tcPr>
          <w:p w:rsidR="00D43CBB" w:rsidRPr="009431BC" w:rsidRDefault="00D43CBB" w:rsidP="0013268A">
            <w:pPr>
              <w:jc w:val="center"/>
              <w:rPr>
                <w:i/>
                <w:sz w:val="20"/>
                <w:szCs w:val="20"/>
                <w:lang w:eastAsia="en-US"/>
              </w:rPr>
            </w:pPr>
            <w:r w:rsidRPr="009431BC">
              <w:rPr>
                <w:i/>
                <w:sz w:val="20"/>
                <w:szCs w:val="20"/>
                <w:lang w:eastAsia="en-US"/>
              </w:rPr>
              <w:t>21</w:t>
            </w:r>
          </w:p>
        </w:tc>
        <w:tc>
          <w:tcPr>
            <w:tcW w:w="959" w:type="dxa"/>
          </w:tcPr>
          <w:p w:rsidR="00D43CBB" w:rsidRPr="009431BC" w:rsidRDefault="00D43CBB" w:rsidP="0013268A">
            <w:pPr>
              <w:jc w:val="center"/>
              <w:rPr>
                <w:i/>
                <w:sz w:val="20"/>
                <w:szCs w:val="20"/>
                <w:lang w:eastAsia="en-US"/>
              </w:rPr>
            </w:pPr>
            <w:r w:rsidRPr="009431BC">
              <w:rPr>
                <w:i/>
                <w:sz w:val="20"/>
                <w:szCs w:val="20"/>
                <w:lang w:eastAsia="en-US"/>
              </w:rPr>
              <w:t>12</w:t>
            </w:r>
          </w:p>
        </w:tc>
        <w:tc>
          <w:tcPr>
            <w:tcW w:w="1012" w:type="dxa"/>
          </w:tcPr>
          <w:p w:rsidR="00D43CBB" w:rsidRPr="009431BC" w:rsidRDefault="00D43CBB" w:rsidP="0013268A">
            <w:pPr>
              <w:jc w:val="center"/>
              <w:rPr>
                <w:i/>
                <w:sz w:val="20"/>
                <w:szCs w:val="20"/>
                <w:lang w:eastAsia="en-US"/>
              </w:rPr>
            </w:pPr>
            <w:r w:rsidRPr="009431BC">
              <w:rPr>
                <w:i/>
                <w:sz w:val="20"/>
                <w:szCs w:val="20"/>
                <w:lang w:eastAsia="en-US"/>
              </w:rPr>
              <w:t>10</w:t>
            </w:r>
          </w:p>
        </w:tc>
      </w:tr>
      <w:tr w:rsidR="00466BAC" w:rsidRPr="009431BC" w:rsidTr="00AA1D4F">
        <w:trPr>
          <w:jc w:val="center"/>
        </w:trPr>
        <w:tc>
          <w:tcPr>
            <w:tcW w:w="3095" w:type="dxa"/>
          </w:tcPr>
          <w:p w:rsidR="00D43CBB" w:rsidRPr="009431BC" w:rsidRDefault="00D43CBB" w:rsidP="0013268A">
            <w:pPr>
              <w:jc w:val="both"/>
              <w:rPr>
                <w:sz w:val="20"/>
                <w:szCs w:val="20"/>
                <w:lang w:eastAsia="en-US"/>
              </w:rPr>
            </w:pPr>
            <w:r w:rsidRPr="009431BC">
              <w:rPr>
                <w:sz w:val="20"/>
                <w:szCs w:val="20"/>
                <w:lang w:eastAsia="en-US"/>
              </w:rPr>
              <w:t>Incluse în Lista monitorizată de MF pentru 2017, din care:</w:t>
            </w:r>
          </w:p>
        </w:tc>
        <w:tc>
          <w:tcPr>
            <w:tcW w:w="1337" w:type="dxa"/>
          </w:tcPr>
          <w:p w:rsidR="00D43CBB" w:rsidRPr="009431BC" w:rsidRDefault="00D43CBB" w:rsidP="0013268A">
            <w:pPr>
              <w:jc w:val="center"/>
              <w:rPr>
                <w:sz w:val="20"/>
                <w:szCs w:val="20"/>
                <w:lang w:eastAsia="en-US"/>
              </w:rPr>
            </w:pPr>
            <w:r w:rsidRPr="009431BC">
              <w:rPr>
                <w:sz w:val="20"/>
                <w:szCs w:val="20"/>
                <w:lang w:eastAsia="en-US"/>
              </w:rPr>
              <w:t xml:space="preserve">188 </w:t>
            </w:r>
          </w:p>
        </w:tc>
        <w:tc>
          <w:tcPr>
            <w:tcW w:w="931" w:type="dxa"/>
          </w:tcPr>
          <w:p w:rsidR="00D43CBB" w:rsidRPr="009431BC" w:rsidRDefault="00D81951" w:rsidP="0013268A">
            <w:pPr>
              <w:jc w:val="center"/>
              <w:rPr>
                <w:i/>
                <w:sz w:val="20"/>
                <w:szCs w:val="20"/>
                <w:lang w:eastAsia="en-US"/>
              </w:rPr>
            </w:pPr>
            <w:r>
              <w:rPr>
                <w:i/>
                <w:sz w:val="20"/>
                <w:szCs w:val="20"/>
                <w:lang w:eastAsia="en-US"/>
              </w:rPr>
              <w:t>-</w:t>
            </w:r>
          </w:p>
        </w:tc>
        <w:tc>
          <w:tcPr>
            <w:tcW w:w="918" w:type="dxa"/>
          </w:tcPr>
          <w:p w:rsidR="00D43CBB" w:rsidRPr="009431BC" w:rsidRDefault="00D43CBB" w:rsidP="0013268A">
            <w:pPr>
              <w:jc w:val="center"/>
              <w:rPr>
                <w:i/>
                <w:sz w:val="20"/>
                <w:szCs w:val="20"/>
                <w:lang w:eastAsia="en-US"/>
              </w:rPr>
            </w:pPr>
            <w:r w:rsidRPr="009431BC">
              <w:rPr>
                <w:i/>
                <w:sz w:val="20"/>
                <w:szCs w:val="20"/>
                <w:lang w:eastAsia="en-US"/>
              </w:rPr>
              <w:t xml:space="preserve">37 </w:t>
            </w:r>
          </w:p>
        </w:tc>
        <w:tc>
          <w:tcPr>
            <w:tcW w:w="1267" w:type="dxa"/>
          </w:tcPr>
          <w:p w:rsidR="00D43CBB" w:rsidRPr="009431BC" w:rsidRDefault="00D43CBB" w:rsidP="0013268A">
            <w:pPr>
              <w:jc w:val="center"/>
              <w:rPr>
                <w:i/>
                <w:sz w:val="20"/>
                <w:szCs w:val="20"/>
                <w:lang w:eastAsia="en-US"/>
              </w:rPr>
            </w:pPr>
            <w:r w:rsidRPr="009431BC">
              <w:rPr>
                <w:sz w:val="20"/>
                <w:szCs w:val="20"/>
                <w:lang w:eastAsia="en-US"/>
              </w:rPr>
              <w:t>176</w:t>
            </w:r>
          </w:p>
        </w:tc>
        <w:tc>
          <w:tcPr>
            <w:tcW w:w="959" w:type="dxa"/>
          </w:tcPr>
          <w:p w:rsidR="00D43CBB" w:rsidRPr="009431BC" w:rsidRDefault="00D43CBB" w:rsidP="0013268A">
            <w:pPr>
              <w:jc w:val="center"/>
              <w:rPr>
                <w:i/>
                <w:sz w:val="20"/>
                <w:szCs w:val="20"/>
                <w:lang w:eastAsia="en-US"/>
              </w:rPr>
            </w:pPr>
            <w:r w:rsidRPr="009431BC">
              <w:rPr>
                <w:i/>
                <w:sz w:val="20"/>
                <w:szCs w:val="20"/>
                <w:lang w:eastAsia="en-US"/>
              </w:rPr>
              <w:t>-</w:t>
            </w:r>
          </w:p>
        </w:tc>
        <w:tc>
          <w:tcPr>
            <w:tcW w:w="1012" w:type="dxa"/>
          </w:tcPr>
          <w:p w:rsidR="00D43CBB" w:rsidRPr="009431BC" w:rsidRDefault="00D43CBB" w:rsidP="0013268A">
            <w:pPr>
              <w:jc w:val="center"/>
              <w:rPr>
                <w:i/>
                <w:sz w:val="20"/>
                <w:szCs w:val="20"/>
                <w:lang w:eastAsia="en-US"/>
              </w:rPr>
            </w:pPr>
            <w:r w:rsidRPr="009431BC">
              <w:rPr>
                <w:i/>
                <w:sz w:val="20"/>
                <w:szCs w:val="20"/>
                <w:lang w:eastAsia="en-US"/>
              </w:rPr>
              <w:t>35</w:t>
            </w:r>
          </w:p>
        </w:tc>
      </w:tr>
      <w:tr w:rsidR="00466BAC" w:rsidRPr="009431BC" w:rsidTr="00AA1D4F">
        <w:trPr>
          <w:jc w:val="center"/>
        </w:trPr>
        <w:tc>
          <w:tcPr>
            <w:tcW w:w="3095" w:type="dxa"/>
          </w:tcPr>
          <w:p w:rsidR="00D43CBB" w:rsidRPr="009431BC" w:rsidRDefault="00D43CBB" w:rsidP="0013268A">
            <w:pPr>
              <w:jc w:val="both"/>
              <w:rPr>
                <w:i/>
                <w:sz w:val="20"/>
                <w:szCs w:val="20"/>
                <w:lang w:eastAsia="en-US"/>
              </w:rPr>
            </w:pPr>
            <w:r w:rsidRPr="009431BC">
              <w:rPr>
                <w:i/>
                <w:sz w:val="20"/>
                <w:szCs w:val="20"/>
                <w:lang w:eastAsia="en-US"/>
              </w:rPr>
              <w:t>- nu au prezentat situa</w:t>
            </w:r>
            <w:r w:rsidR="000873E3">
              <w:rPr>
                <w:i/>
                <w:sz w:val="20"/>
                <w:szCs w:val="20"/>
                <w:lang w:eastAsia="en-US"/>
              </w:rPr>
              <w:t>ț</w:t>
            </w:r>
            <w:r w:rsidRPr="009431BC">
              <w:rPr>
                <w:i/>
                <w:sz w:val="20"/>
                <w:szCs w:val="20"/>
                <w:lang w:eastAsia="en-US"/>
              </w:rPr>
              <w:t>iile financiare pentru anul 2017 la BNS</w:t>
            </w:r>
          </w:p>
        </w:tc>
        <w:tc>
          <w:tcPr>
            <w:tcW w:w="1337" w:type="dxa"/>
          </w:tcPr>
          <w:p w:rsidR="00D43CBB" w:rsidRPr="009431BC" w:rsidRDefault="00D43CBB" w:rsidP="0013268A">
            <w:pPr>
              <w:jc w:val="center"/>
              <w:rPr>
                <w:i/>
                <w:sz w:val="20"/>
                <w:szCs w:val="20"/>
                <w:lang w:eastAsia="en-US"/>
              </w:rPr>
            </w:pPr>
            <w:r w:rsidRPr="009431BC">
              <w:rPr>
                <w:i/>
                <w:sz w:val="20"/>
                <w:szCs w:val="20"/>
                <w:lang w:eastAsia="en-US"/>
              </w:rPr>
              <w:t xml:space="preserve">7 </w:t>
            </w:r>
          </w:p>
        </w:tc>
        <w:tc>
          <w:tcPr>
            <w:tcW w:w="931" w:type="dxa"/>
          </w:tcPr>
          <w:p w:rsidR="00D43CBB" w:rsidRPr="009431BC" w:rsidRDefault="00D81951" w:rsidP="0013268A">
            <w:pPr>
              <w:jc w:val="center"/>
              <w:rPr>
                <w:i/>
                <w:sz w:val="20"/>
                <w:szCs w:val="20"/>
                <w:lang w:eastAsia="en-US"/>
              </w:rPr>
            </w:pPr>
            <w:r>
              <w:rPr>
                <w:i/>
                <w:sz w:val="20"/>
                <w:szCs w:val="20"/>
                <w:lang w:eastAsia="en-US"/>
              </w:rPr>
              <w:t>-</w:t>
            </w:r>
          </w:p>
        </w:tc>
        <w:tc>
          <w:tcPr>
            <w:tcW w:w="918" w:type="dxa"/>
          </w:tcPr>
          <w:p w:rsidR="00D43CBB" w:rsidRPr="009431BC" w:rsidRDefault="00D43CBB" w:rsidP="0013268A">
            <w:pPr>
              <w:jc w:val="center"/>
              <w:rPr>
                <w:i/>
                <w:sz w:val="20"/>
                <w:szCs w:val="20"/>
                <w:lang w:eastAsia="en-US"/>
              </w:rPr>
            </w:pPr>
          </w:p>
        </w:tc>
        <w:tc>
          <w:tcPr>
            <w:tcW w:w="1267" w:type="dxa"/>
          </w:tcPr>
          <w:p w:rsidR="00D43CBB" w:rsidRPr="009431BC" w:rsidRDefault="00D43CBB" w:rsidP="0013268A">
            <w:pPr>
              <w:jc w:val="center"/>
              <w:rPr>
                <w:i/>
                <w:sz w:val="20"/>
                <w:szCs w:val="20"/>
                <w:lang w:eastAsia="en-US"/>
              </w:rPr>
            </w:pPr>
            <w:r w:rsidRPr="009431BC">
              <w:rPr>
                <w:i/>
                <w:sz w:val="20"/>
                <w:szCs w:val="20"/>
                <w:lang w:eastAsia="en-US"/>
              </w:rPr>
              <w:t>7</w:t>
            </w:r>
          </w:p>
        </w:tc>
        <w:tc>
          <w:tcPr>
            <w:tcW w:w="959" w:type="dxa"/>
          </w:tcPr>
          <w:p w:rsidR="00D43CBB" w:rsidRPr="009431BC" w:rsidRDefault="00D43CBB" w:rsidP="0013268A">
            <w:pPr>
              <w:jc w:val="center"/>
              <w:rPr>
                <w:i/>
                <w:sz w:val="20"/>
                <w:szCs w:val="20"/>
                <w:lang w:eastAsia="en-US"/>
              </w:rPr>
            </w:pPr>
            <w:r w:rsidRPr="009431BC">
              <w:rPr>
                <w:i/>
                <w:sz w:val="20"/>
                <w:szCs w:val="20"/>
                <w:lang w:eastAsia="en-US"/>
              </w:rPr>
              <w:t>-</w:t>
            </w:r>
          </w:p>
        </w:tc>
        <w:tc>
          <w:tcPr>
            <w:tcW w:w="1012" w:type="dxa"/>
          </w:tcPr>
          <w:p w:rsidR="00D43CBB" w:rsidRPr="009431BC" w:rsidRDefault="00D43CBB" w:rsidP="0013268A">
            <w:pPr>
              <w:jc w:val="center"/>
              <w:rPr>
                <w:i/>
                <w:sz w:val="20"/>
                <w:szCs w:val="20"/>
                <w:lang w:eastAsia="en-US"/>
              </w:rPr>
            </w:pPr>
            <w:r w:rsidRPr="009431BC">
              <w:rPr>
                <w:i/>
                <w:sz w:val="20"/>
                <w:szCs w:val="20"/>
                <w:lang w:eastAsia="en-US"/>
              </w:rPr>
              <w:t>-</w:t>
            </w:r>
          </w:p>
        </w:tc>
      </w:tr>
      <w:tr w:rsidR="00466BAC" w:rsidRPr="009431BC" w:rsidTr="00AA1D4F">
        <w:trPr>
          <w:jc w:val="center"/>
        </w:trPr>
        <w:tc>
          <w:tcPr>
            <w:tcW w:w="3095" w:type="dxa"/>
          </w:tcPr>
          <w:p w:rsidR="00D43CBB" w:rsidRPr="009431BC" w:rsidRDefault="00D43CBB" w:rsidP="0013268A">
            <w:pPr>
              <w:jc w:val="both"/>
              <w:rPr>
                <w:b/>
                <w:sz w:val="20"/>
                <w:szCs w:val="20"/>
                <w:lang w:eastAsia="en-US"/>
              </w:rPr>
            </w:pPr>
            <w:r w:rsidRPr="009431BC">
              <w:rPr>
                <w:b/>
                <w:sz w:val="20"/>
                <w:szCs w:val="20"/>
                <w:lang w:eastAsia="en-US"/>
              </w:rPr>
              <w:t>Total supuse monitoringului financiar pentru anul 2017</w:t>
            </w:r>
          </w:p>
        </w:tc>
        <w:tc>
          <w:tcPr>
            <w:tcW w:w="1337" w:type="dxa"/>
          </w:tcPr>
          <w:p w:rsidR="00D43CBB" w:rsidRPr="009431BC" w:rsidRDefault="00D43CBB" w:rsidP="0013268A">
            <w:pPr>
              <w:jc w:val="center"/>
              <w:rPr>
                <w:b/>
                <w:sz w:val="20"/>
                <w:szCs w:val="20"/>
                <w:lang w:eastAsia="en-US"/>
              </w:rPr>
            </w:pPr>
            <w:r w:rsidRPr="009431BC">
              <w:rPr>
                <w:b/>
                <w:sz w:val="20"/>
                <w:szCs w:val="20"/>
                <w:lang w:eastAsia="en-US"/>
              </w:rPr>
              <w:t xml:space="preserve">181 </w:t>
            </w:r>
          </w:p>
        </w:tc>
        <w:tc>
          <w:tcPr>
            <w:tcW w:w="931" w:type="dxa"/>
          </w:tcPr>
          <w:p w:rsidR="00D43CBB" w:rsidRPr="009431BC" w:rsidRDefault="00D81951" w:rsidP="0013268A">
            <w:pPr>
              <w:jc w:val="center"/>
              <w:rPr>
                <w:b/>
                <w:sz w:val="20"/>
                <w:szCs w:val="20"/>
                <w:lang w:eastAsia="en-US"/>
              </w:rPr>
            </w:pPr>
            <w:r>
              <w:rPr>
                <w:b/>
                <w:sz w:val="20"/>
                <w:szCs w:val="20"/>
                <w:lang w:eastAsia="en-US"/>
              </w:rPr>
              <w:t>-</w:t>
            </w:r>
          </w:p>
        </w:tc>
        <w:tc>
          <w:tcPr>
            <w:tcW w:w="918" w:type="dxa"/>
          </w:tcPr>
          <w:p w:rsidR="00D43CBB" w:rsidRPr="009431BC" w:rsidRDefault="00D43CBB" w:rsidP="0013268A">
            <w:pPr>
              <w:jc w:val="center"/>
              <w:rPr>
                <w:b/>
                <w:i/>
                <w:sz w:val="20"/>
                <w:szCs w:val="20"/>
                <w:lang w:eastAsia="en-US"/>
              </w:rPr>
            </w:pPr>
            <w:r w:rsidRPr="009431BC">
              <w:rPr>
                <w:b/>
                <w:i/>
                <w:sz w:val="20"/>
                <w:szCs w:val="20"/>
                <w:lang w:eastAsia="en-US"/>
              </w:rPr>
              <w:t xml:space="preserve">37 </w:t>
            </w:r>
          </w:p>
        </w:tc>
        <w:tc>
          <w:tcPr>
            <w:tcW w:w="1267" w:type="dxa"/>
          </w:tcPr>
          <w:p w:rsidR="00D43CBB" w:rsidRPr="009431BC" w:rsidRDefault="00D43CBB" w:rsidP="0013268A">
            <w:pPr>
              <w:jc w:val="center"/>
              <w:rPr>
                <w:b/>
                <w:i/>
                <w:sz w:val="20"/>
                <w:szCs w:val="20"/>
                <w:lang w:eastAsia="en-US"/>
              </w:rPr>
            </w:pPr>
            <w:r w:rsidRPr="009431BC">
              <w:rPr>
                <w:b/>
                <w:sz w:val="20"/>
                <w:szCs w:val="20"/>
                <w:lang w:eastAsia="en-US"/>
              </w:rPr>
              <w:t>169</w:t>
            </w:r>
          </w:p>
        </w:tc>
        <w:tc>
          <w:tcPr>
            <w:tcW w:w="959" w:type="dxa"/>
          </w:tcPr>
          <w:p w:rsidR="00D43CBB" w:rsidRPr="009431BC" w:rsidRDefault="00D43CBB" w:rsidP="0013268A">
            <w:pPr>
              <w:jc w:val="center"/>
              <w:rPr>
                <w:b/>
                <w:i/>
                <w:sz w:val="20"/>
                <w:szCs w:val="20"/>
                <w:lang w:eastAsia="en-US"/>
              </w:rPr>
            </w:pPr>
            <w:r w:rsidRPr="009431BC">
              <w:rPr>
                <w:b/>
                <w:sz w:val="20"/>
                <w:szCs w:val="20"/>
                <w:lang w:eastAsia="en-US"/>
              </w:rPr>
              <w:t>-</w:t>
            </w:r>
          </w:p>
        </w:tc>
        <w:tc>
          <w:tcPr>
            <w:tcW w:w="1012" w:type="dxa"/>
          </w:tcPr>
          <w:p w:rsidR="00D43CBB" w:rsidRPr="009431BC" w:rsidRDefault="00D43CBB" w:rsidP="0013268A">
            <w:pPr>
              <w:jc w:val="center"/>
              <w:rPr>
                <w:b/>
                <w:i/>
                <w:sz w:val="20"/>
                <w:szCs w:val="20"/>
                <w:lang w:eastAsia="en-US"/>
              </w:rPr>
            </w:pPr>
            <w:r w:rsidRPr="009431BC">
              <w:rPr>
                <w:b/>
                <w:i/>
                <w:sz w:val="20"/>
                <w:szCs w:val="20"/>
                <w:lang w:eastAsia="en-US"/>
              </w:rPr>
              <w:t>35</w:t>
            </w:r>
          </w:p>
        </w:tc>
      </w:tr>
    </w:tbl>
    <w:p w:rsidR="00D43CBB" w:rsidRPr="00870FB6" w:rsidRDefault="00D43CBB" w:rsidP="00D43CBB">
      <w:pPr>
        <w:spacing w:line="276" w:lineRule="auto"/>
        <w:ind w:firstLine="539"/>
        <w:jc w:val="both"/>
        <w:rPr>
          <w:sz w:val="28"/>
          <w:szCs w:val="28"/>
        </w:rPr>
      </w:pPr>
    </w:p>
    <w:p w:rsidR="00D43CBB" w:rsidRPr="00B01B60" w:rsidRDefault="00D43CBB" w:rsidP="00B01B60">
      <w:pPr>
        <w:pStyle w:val="NoSpacing"/>
        <w:spacing w:line="276" w:lineRule="auto"/>
        <w:ind w:firstLine="567"/>
        <w:jc w:val="both"/>
        <w:rPr>
          <w:sz w:val="28"/>
          <w:szCs w:val="28"/>
        </w:rPr>
      </w:pPr>
      <w:r w:rsidRPr="00B01B60">
        <w:rPr>
          <w:sz w:val="28"/>
          <w:szCs w:val="28"/>
          <w:lang w:eastAsia="en-US"/>
        </w:rPr>
        <w:t>Î</w:t>
      </w:r>
      <w:r w:rsidRPr="00B01B60">
        <w:rPr>
          <w:sz w:val="28"/>
          <w:szCs w:val="28"/>
        </w:rPr>
        <w:t>n perioada analizată, au fost supuse monitorizării financiare 169 întreprinderi de stat și 35 societă</w:t>
      </w:r>
      <w:r w:rsidR="000873E3">
        <w:rPr>
          <w:sz w:val="28"/>
          <w:szCs w:val="28"/>
        </w:rPr>
        <w:t>ț</w:t>
      </w:r>
      <w:r w:rsidRPr="00B01B60">
        <w:rPr>
          <w:sz w:val="28"/>
          <w:szCs w:val="28"/>
        </w:rPr>
        <w:t xml:space="preserve">i comerciale cu capital integral sau majoritar de stat, inclusiv </w:t>
      </w:r>
      <w:r w:rsidR="00CF12F3">
        <w:rPr>
          <w:sz w:val="28"/>
          <w:szCs w:val="28"/>
        </w:rPr>
        <w:t xml:space="preserve">                   </w:t>
      </w:r>
      <w:r w:rsidRPr="00B01B60">
        <w:rPr>
          <w:sz w:val="28"/>
          <w:szCs w:val="28"/>
        </w:rPr>
        <w:t>13 societă</w:t>
      </w:r>
      <w:r w:rsidR="000873E3">
        <w:rPr>
          <w:sz w:val="28"/>
          <w:szCs w:val="28"/>
        </w:rPr>
        <w:t>ț</w:t>
      </w:r>
      <w:r w:rsidRPr="00B01B60">
        <w:rPr>
          <w:sz w:val="28"/>
          <w:szCs w:val="28"/>
        </w:rPr>
        <w:t>i comerci</w:t>
      </w:r>
      <w:r w:rsidR="00CF12F3">
        <w:rPr>
          <w:sz w:val="28"/>
          <w:szCs w:val="28"/>
        </w:rPr>
        <w:t>ale cu capital integral de stat</w:t>
      </w:r>
      <w:r w:rsidR="007C77F3">
        <w:rPr>
          <w:sz w:val="28"/>
          <w:szCs w:val="28"/>
        </w:rPr>
        <w:t xml:space="preserve"> (în continuare – societăți pe acțiuni)</w:t>
      </w:r>
      <w:r w:rsidR="00CF12F3">
        <w:rPr>
          <w:sz w:val="28"/>
          <w:szCs w:val="28"/>
        </w:rPr>
        <w:t xml:space="preserve">, în baza situațiilor financiare anuale prezentate Biroului Național de Statistică (BNS). </w:t>
      </w:r>
      <w:r w:rsidRPr="00B01B60">
        <w:rPr>
          <w:sz w:val="28"/>
          <w:szCs w:val="28"/>
        </w:rPr>
        <w:t xml:space="preserve"> </w:t>
      </w:r>
    </w:p>
    <w:p w:rsidR="00D21506" w:rsidRPr="00D21506" w:rsidRDefault="00D21506" w:rsidP="00D43CBB">
      <w:pPr>
        <w:spacing w:line="276" w:lineRule="auto"/>
        <w:ind w:firstLine="539"/>
        <w:jc w:val="both"/>
        <w:rPr>
          <w:b/>
          <w:i/>
          <w:sz w:val="28"/>
          <w:szCs w:val="28"/>
        </w:rPr>
      </w:pPr>
    </w:p>
    <w:p w:rsidR="00D21506" w:rsidRDefault="00D81951" w:rsidP="00CF12F3">
      <w:pPr>
        <w:spacing w:after="240" w:line="276" w:lineRule="auto"/>
        <w:jc w:val="both"/>
        <w:rPr>
          <w:b/>
          <w:i/>
          <w:sz w:val="28"/>
          <w:szCs w:val="28"/>
        </w:rPr>
      </w:pPr>
      <w:r>
        <w:rPr>
          <w:b/>
          <w:i/>
          <w:sz w:val="28"/>
          <w:szCs w:val="28"/>
        </w:rPr>
        <w:t>I</w:t>
      </w:r>
      <w:r w:rsidR="00CF12F3">
        <w:rPr>
          <w:b/>
          <w:i/>
          <w:sz w:val="28"/>
          <w:szCs w:val="28"/>
        </w:rPr>
        <w:t>.1 Sinteza r</w:t>
      </w:r>
      <w:r w:rsidR="00CF12F3" w:rsidRPr="00E81E81">
        <w:rPr>
          <w:b/>
          <w:i/>
          <w:sz w:val="28"/>
          <w:szCs w:val="28"/>
        </w:rPr>
        <w:t>ezultatelor monitoringului financiar al activită</w:t>
      </w:r>
      <w:r w:rsidR="00CF12F3">
        <w:rPr>
          <w:b/>
          <w:i/>
          <w:sz w:val="28"/>
          <w:szCs w:val="28"/>
        </w:rPr>
        <w:t>ț</w:t>
      </w:r>
      <w:r w:rsidR="00CF12F3" w:rsidRPr="00E81E81">
        <w:rPr>
          <w:b/>
          <w:i/>
          <w:sz w:val="28"/>
          <w:szCs w:val="28"/>
        </w:rPr>
        <w:t>ii economico-financiare în anul 2017 a întreprinderilor de stat</w:t>
      </w:r>
    </w:p>
    <w:p w:rsidR="00D94426" w:rsidRPr="00870FB6" w:rsidRDefault="00A71241" w:rsidP="00BD567B">
      <w:pPr>
        <w:pStyle w:val="BodyTextIndent"/>
        <w:spacing w:line="276" w:lineRule="auto"/>
        <w:ind w:firstLine="539"/>
        <w:jc w:val="both"/>
        <w:rPr>
          <w:b w:val="0"/>
          <w:i w:val="0"/>
          <w:sz w:val="28"/>
          <w:szCs w:val="28"/>
        </w:rPr>
      </w:pPr>
      <w:r w:rsidRPr="00E3412E">
        <w:rPr>
          <w:b w:val="0"/>
          <w:i w:val="0"/>
          <w:sz w:val="28"/>
          <w:szCs w:val="28"/>
        </w:rPr>
        <w:t>P</w:t>
      </w:r>
      <w:r w:rsidR="00F33AF7" w:rsidRPr="00E3412E">
        <w:rPr>
          <w:b w:val="0"/>
          <w:i w:val="0"/>
          <w:sz w:val="28"/>
          <w:szCs w:val="28"/>
        </w:rPr>
        <w:t>otrivit datelor bilan</w:t>
      </w:r>
      <w:r w:rsidR="000873E3">
        <w:rPr>
          <w:b w:val="0"/>
          <w:i w:val="0"/>
          <w:sz w:val="28"/>
          <w:szCs w:val="28"/>
        </w:rPr>
        <w:t>ț</w:t>
      </w:r>
      <w:r w:rsidR="00F33AF7" w:rsidRPr="00E3412E">
        <w:rPr>
          <w:b w:val="0"/>
          <w:i w:val="0"/>
          <w:sz w:val="28"/>
          <w:szCs w:val="28"/>
        </w:rPr>
        <w:t>ului generalizat,</w:t>
      </w:r>
      <w:r w:rsidRPr="00E3412E">
        <w:rPr>
          <w:b w:val="0"/>
          <w:i w:val="0"/>
          <w:sz w:val="28"/>
          <w:szCs w:val="28"/>
        </w:rPr>
        <w:t xml:space="preserve"> se atestă că la situa</w:t>
      </w:r>
      <w:r w:rsidR="000873E3">
        <w:rPr>
          <w:b w:val="0"/>
          <w:i w:val="0"/>
          <w:sz w:val="28"/>
          <w:szCs w:val="28"/>
        </w:rPr>
        <w:t>ț</w:t>
      </w:r>
      <w:r w:rsidRPr="00E3412E">
        <w:rPr>
          <w:b w:val="0"/>
          <w:i w:val="0"/>
          <w:sz w:val="28"/>
          <w:szCs w:val="28"/>
        </w:rPr>
        <w:t>ia din 31</w:t>
      </w:r>
      <w:r w:rsidR="00D81951">
        <w:rPr>
          <w:b w:val="0"/>
          <w:i w:val="0"/>
          <w:sz w:val="28"/>
          <w:szCs w:val="28"/>
        </w:rPr>
        <w:t>.12.</w:t>
      </w:r>
      <w:r w:rsidRPr="00E3412E">
        <w:rPr>
          <w:b w:val="0"/>
          <w:i w:val="0"/>
          <w:sz w:val="28"/>
          <w:szCs w:val="28"/>
        </w:rPr>
        <w:t xml:space="preserve">2017, </w:t>
      </w:r>
      <w:r w:rsidR="00F33AF7" w:rsidRPr="00E3412E">
        <w:rPr>
          <w:b w:val="0"/>
          <w:sz w:val="28"/>
          <w:szCs w:val="28"/>
        </w:rPr>
        <w:t>valoarea totală a activelor</w:t>
      </w:r>
      <w:r w:rsidR="00F33AF7" w:rsidRPr="00E3412E">
        <w:rPr>
          <w:b w:val="0"/>
          <w:i w:val="0"/>
          <w:sz w:val="28"/>
          <w:szCs w:val="28"/>
        </w:rPr>
        <w:t xml:space="preserve"> întreprinderilor de stat constituie </w:t>
      </w:r>
      <w:r w:rsidR="00B10259" w:rsidRPr="00E3412E">
        <w:rPr>
          <w:b w:val="0"/>
          <w:i w:val="0"/>
          <w:sz w:val="28"/>
          <w:szCs w:val="28"/>
        </w:rPr>
        <w:t>22099,0</w:t>
      </w:r>
      <w:r w:rsidR="00F33AF7" w:rsidRPr="00E3412E">
        <w:rPr>
          <w:b w:val="0"/>
          <w:i w:val="0"/>
          <w:sz w:val="28"/>
          <w:szCs w:val="28"/>
        </w:rPr>
        <w:t xml:space="preserve"> mil. lei şi</w:t>
      </w:r>
      <w:r w:rsidR="00EA28A6" w:rsidRPr="00E3412E">
        <w:rPr>
          <w:b w:val="0"/>
          <w:i w:val="0"/>
          <w:sz w:val="28"/>
          <w:szCs w:val="28"/>
        </w:rPr>
        <w:t>,</w:t>
      </w:r>
      <w:r w:rsidR="00F33AF7" w:rsidRPr="00E3412E">
        <w:rPr>
          <w:b w:val="0"/>
          <w:i w:val="0"/>
          <w:sz w:val="28"/>
          <w:szCs w:val="28"/>
        </w:rPr>
        <w:t xml:space="preserve"> în perioada de gestiune</w:t>
      </w:r>
      <w:r w:rsidR="00EA28A6" w:rsidRPr="00E3412E">
        <w:rPr>
          <w:b w:val="0"/>
          <w:i w:val="0"/>
          <w:sz w:val="28"/>
          <w:szCs w:val="28"/>
        </w:rPr>
        <w:t>,</w:t>
      </w:r>
      <w:r w:rsidR="00F33AF7" w:rsidRPr="00E3412E">
        <w:rPr>
          <w:b w:val="0"/>
          <w:i w:val="0"/>
          <w:sz w:val="28"/>
          <w:szCs w:val="28"/>
        </w:rPr>
        <w:t xml:space="preserve"> s-a </w:t>
      </w:r>
      <w:r w:rsidR="00B10259" w:rsidRPr="00E3412E">
        <w:rPr>
          <w:b w:val="0"/>
          <w:i w:val="0"/>
          <w:sz w:val="28"/>
          <w:szCs w:val="28"/>
        </w:rPr>
        <w:t>diminuat</w:t>
      </w:r>
      <w:r w:rsidR="00F33AF7" w:rsidRPr="00E3412E">
        <w:rPr>
          <w:b w:val="0"/>
          <w:i w:val="0"/>
          <w:sz w:val="28"/>
          <w:szCs w:val="28"/>
        </w:rPr>
        <w:t xml:space="preserve"> cu </w:t>
      </w:r>
      <w:r w:rsidR="00B10259" w:rsidRPr="00E3412E">
        <w:rPr>
          <w:b w:val="0"/>
          <w:i w:val="0"/>
          <w:sz w:val="28"/>
          <w:szCs w:val="28"/>
        </w:rPr>
        <w:t>135,2</w:t>
      </w:r>
      <w:r w:rsidR="00F33AF7" w:rsidRPr="00E3412E">
        <w:rPr>
          <w:b w:val="0"/>
          <w:i w:val="0"/>
          <w:sz w:val="28"/>
          <w:szCs w:val="28"/>
        </w:rPr>
        <w:t xml:space="preserve"> mil. lei.</w:t>
      </w:r>
      <w:r w:rsidR="0006246A" w:rsidRPr="00E3412E">
        <w:rPr>
          <w:b w:val="0"/>
          <w:i w:val="0"/>
          <w:color w:val="FF0000"/>
          <w:sz w:val="28"/>
          <w:szCs w:val="28"/>
        </w:rPr>
        <w:t xml:space="preserve"> </w:t>
      </w:r>
      <w:r w:rsidR="00F33AF7" w:rsidRPr="00E3412E">
        <w:rPr>
          <w:b w:val="0"/>
          <w:i w:val="0"/>
          <w:sz w:val="28"/>
          <w:szCs w:val="28"/>
        </w:rPr>
        <w:t xml:space="preserve">La baza acestei </w:t>
      </w:r>
      <w:r w:rsidR="00B10259" w:rsidRPr="00E3412E">
        <w:rPr>
          <w:b w:val="0"/>
          <w:i w:val="0"/>
          <w:sz w:val="28"/>
          <w:szCs w:val="28"/>
        </w:rPr>
        <w:t>micșorări</w:t>
      </w:r>
      <w:r w:rsidR="00F33AF7" w:rsidRPr="00E3412E">
        <w:rPr>
          <w:b w:val="0"/>
          <w:i w:val="0"/>
          <w:sz w:val="28"/>
          <w:szCs w:val="28"/>
        </w:rPr>
        <w:t xml:space="preserve"> a stat </w:t>
      </w:r>
      <w:r w:rsidR="00B10259" w:rsidRPr="00E3412E">
        <w:rPr>
          <w:b w:val="0"/>
          <w:i w:val="0"/>
          <w:sz w:val="28"/>
          <w:szCs w:val="28"/>
        </w:rPr>
        <w:t>diminuarea</w:t>
      </w:r>
      <w:r w:rsidR="00F33AF7" w:rsidRPr="00870FB6">
        <w:rPr>
          <w:b w:val="0"/>
          <w:i w:val="0"/>
          <w:sz w:val="28"/>
          <w:szCs w:val="28"/>
        </w:rPr>
        <w:t xml:space="preserve"> </w:t>
      </w:r>
      <w:r w:rsidR="00973F36" w:rsidRPr="00870FB6">
        <w:rPr>
          <w:b w:val="0"/>
          <w:i w:val="0"/>
          <w:sz w:val="28"/>
          <w:szCs w:val="28"/>
        </w:rPr>
        <w:t xml:space="preserve">valorică a </w:t>
      </w:r>
      <w:r w:rsidR="0006246A" w:rsidRPr="00870FB6">
        <w:rPr>
          <w:b w:val="0"/>
          <w:i w:val="0"/>
          <w:sz w:val="28"/>
          <w:szCs w:val="28"/>
        </w:rPr>
        <w:t>activelo</w:t>
      </w:r>
      <w:r w:rsidR="005560CC" w:rsidRPr="00870FB6">
        <w:rPr>
          <w:b w:val="0"/>
          <w:i w:val="0"/>
          <w:sz w:val="28"/>
          <w:szCs w:val="28"/>
        </w:rPr>
        <w:t xml:space="preserve">r </w:t>
      </w:r>
      <w:r w:rsidR="00B10259" w:rsidRPr="00870FB6">
        <w:rPr>
          <w:b w:val="0"/>
          <w:i w:val="0"/>
          <w:sz w:val="28"/>
          <w:szCs w:val="28"/>
        </w:rPr>
        <w:t>circulante</w:t>
      </w:r>
      <w:r w:rsidR="005560CC" w:rsidRPr="00870FB6">
        <w:rPr>
          <w:b w:val="0"/>
          <w:i w:val="0"/>
          <w:sz w:val="28"/>
          <w:szCs w:val="28"/>
        </w:rPr>
        <w:t xml:space="preserve"> ale întreprinderilor</w:t>
      </w:r>
      <w:r w:rsidR="0006246A" w:rsidRPr="00870FB6">
        <w:rPr>
          <w:b w:val="0"/>
          <w:i w:val="0"/>
          <w:sz w:val="28"/>
          <w:szCs w:val="28"/>
        </w:rPr>
        <w:t xml:space="preserve"> </w:t>
      </w:r>
      <w:r w:rsidR="0065265B" w:rsidRPr="00870FB6">
        <w:rPr>
          <w:b w:val="0"/>
          <w:i w:val="0"/>
          <w:sz w:val="28"/>
          <w:szCs w:val="28"/>
        </w:rPr>
        <w:t xml:space="preserve">cu </w:t>
      </w:r>
      <w:r w:rsidR="00B10259" w:rsidRPr="00870FB6">
        <w:rPr>
          <w:b w:val="0"/>
          <w:i w:val="0"/>
          <w:sz w:val="28"/>
          <w:szCs w:val="28"/>
        </w:rPr>
        <w:t>160,6</w:t>
      </w:r>
      <w:r w:rsidR="0006246A" w:rsidRPr="00870FB6">
        <w:rPr>
          <w:b w:val="0"/>
          <w:i w:val="0"/>
          <w:sz w:val="28"/>
          <w:szCs w:val="28"/>
        </w:rPr>
        <w:t xml:space="preserve"> mil. lei</w:t>
      </w:r>
      <w:r w:rsidR="00B10259" w:rsidRPr="00870FB6">
        <w:rPr>
          <w:b w:val="0"/>
          <w:i w:val="0"/>
          <w:sz w:val="28"/>
          <w:szCs w:val="28"/>
        </w:rPr>
        <w:t>, în timp ce activele imobilizate ale întreprinderilor s-au majorat per total cu 25,4 mil. lei.</w:t>
      </w:r>
      <w:r w:rsidR="0006246A" w:rsidRPr="00870FB6">
        <w:rPr>
          <w:b w:val="0"/>
          <w:i w:val="0"/>
          <w:color w:val="FF0000"/>
          <w:sz w:val="28"/>
          <w:szCs w:val="28"/>
        </w:rPr>
        <w:t xml:space="preserve"> </w:t>
      </w:r>
      <w:r w:rsidR="00D94426" w:rsidRPr="00870FB6">
        <w:rPr>
          <w:b w:val="0"/>
          <w:i w:val="0"/>
          <w:sz w:val="28"/>
          <w:szCs w:val="28"/>
        </w:rPr>
        <w:t xml:space="preserve">Efectuînd o analiză detaliată a activelor întreprinderilor de stat, se constată că </w:t>
      </w:r>
      <w:r w:rsidR="00B10259" w:rsidRPr="00870FB6">
        <w:rPr>
          <w:b w:val="0"/>
          <w:i w:val="0"/>
          <w:sz w:val="28"/>
          <w:szCs w:val="28"/>
        </w:rPr>
        <w:t>micșorarea</w:t>
      </w:r>
      <w:r w:rsidR="00D94426" w:rsidRPr="00870FB6">
        <w:rPr>
          <w:b w:val="0"/>
          <w:i w:val="0"/>
          <w:sz w:val="28"/>
          <w:szCs w:val="28"/>
        </w:rPr>
        <w:t xml:space="preserve"> acestora a fost generată în special de </w:t>
      </w:r>
      <w:r w:rsidR="00B10259" w:rsidRPr="00870FB6">
        <w:rPr>
          <w:b w:val="0"/>
          <w:i w:val="0"/>
          <w:sz w:val="28"/>
          <w:szCs w:val="28"/>
        </w:rPr>
        <w:t xml:space="preserve">diminuarea </w:t>
      </w:r>
      <w:r w:rsidR="00D94426" w:rsidRPr="00870FB6">
        <w:rPr>
          <w:b w:val="0"/>
          <w:i w:val="0"/>
          <w:sz w:val="28"/>
          <w:szCs w:val="28"/>
        </w:rPr>
        <w:t xml:space="preserve">semnificativă a </w:t>
      </w:r>
      <w:r w:rsidR="00BD567B" w:rsidRPr="00870FB6">
        <w:rPr>
          <w:b w:val="0"/>
          <w:i w:val="0"/>
          <w:sz w:val="28"/>
          <w:szCs w:val="28"/>
        </w:rPr>
        <w:t xml:space="preserve">valorii mijloacelor fixe cu 504,6 mil. lei, a </w:t>
      </w:r>
      <w:r w:rsidR="00B10259" w:rsidRPr="00870FB6">
        <w:rPr>
          <w:b w:val="0"/>
          <w:i w:val="0"/>
          <w:sz w:val="28"/>
          <w:szCs w:val="28"/>
        </w:rPr>
        <w:t>altor crean</w:t>
      </w:r>
      <w:r w:rsidR="000873E3">
        <w:rPr>
          <w:b w:val="0"/>
          <w:i w:val="0"/>
          <w:sz w:val="28"/>
          <w:szCs w:val="28"/>
        </w:rPr>
        <w:t>ț</w:t>
      </w:r>
      <w:r w:rsidR="00B10259" w:rsidRPr="00870FB6">
        <w:rPr>
          <w:b w:val="0"/>
          <w:i w:val="0"/>
          <w:sz w:val="28"/>
          <w:szCs w:val="28"/>
        </w:rPr>
        <w:t xml:space="preserve">e curente </w:t>
      </w:r>
      <w:r w:rsidR="00BD567B" w:rsidRPr="00870FB6">
        <w:rPr>
          <w:b w:val="0"/>
          <w:i w:val="0"/>
          <w:sz w:val="28"/>
          <w:szCs w:val="28"/>
        </w:rPr>
        <w:t xml:space="preserve">– </w:t>
      </w:r>
      <w:r w:rsidR="00B10259" w:rsidRPr="00870FB6">
        <w:rPr>
          <w:b w:val="0"/>
          <w:i w:val="0"/>
          <w:sz w:val="28"/>
          <w:szCs w:val="28"/>
        </w:rPr>
        <w:t>cu 262,4</w:t>
      </w:r>
      <w:r w:rsidR="00D94426" w:rsidRPr="00870FB6">
        <w:rPr>
          <w:b w:val="0"/>
          <w:i w:val="0"/>
          <w:sz w:val="28"/>
          <w:szCs w:val="28"/>
        </w:rPr>
        <w:t xml:space="preserve"> mil. lei, </w:t>
      </w:r>
      <w:r w:rsidR="00BD567B" w:rsidRPr="00870FB6">
        <w:rPr>
          <w:b w:val="0"/>
          <w:i w:val="0"/>
          <w:sz w:val="28"/>
          <w:szCs w:val="28"/>
        </w:rPr>
        <w:t xml:space="preserve">a avansurilor acordate pe termen lung – cu 85,6 mil. lei, a altor active imobilizate – cu 46,5 mil. lei, a avansurilor acordate curente – cu 28,2 mil. lei etc. </w:t>
      </w:r>
    </w:p>
    <w:p w:rsidR="00D94426" w:rsidRDefault="00D94426" w:rsidP="00D94426">
      <w:pPr>
        <w:spacing w:line="276" w:lineRule="auto"/>
        <w:ind w:firstLine="540"/>
        <w:jc w:val="both"/>
        <w:rPr>
          <w:sz w:val="28"/>
          <w:szCs w:val="28"/>
        </w:rPr>
      </w:pPr>
      <w:r w:rsidRPr="00870FB6">
        <w:rPr>
          <w:sz w:val="28"/>
          <w:szCs w:val="28"/>
        </w:rPr>
        <w:t>Totodată, în componen</w:t>
      </w:r>
      <w:r w:rsidR="000873E3">
        <w:rPr>
          <w:sz w:val="28"/>
          <w:szCs w:val="28"/>
        </w:rPr>
        <w:t>ț</w:t>
      </w:r>
      <w:r w:rsidRPr="00870FB6">
        <w:rPr>
          <w:sz w:val="28"/>
          <w:szCs w:val="28"/>
        </w:rPr>
        <w:t xml:space="preserve">a activelor întreprinderilor de stat au fost înregistrate şi </w:t>
      </w:r>
      <w:r w:rsidR="00BD567B" w:rsidRPr="00870FB6">
        <w:rPr>
          <w:sz w:val="28"/>
          <w:szCs w:val="28"/>
        </w:rPr>
        <w:t>majorări</w:t>
      </w:r>
      <w:r w:rsidRPr="00870FB6">
        <w:rPr>
          <w:sz w:val="28"/>
          <w:szCs w:val="28"/>
        </w:rPr>
        <w:t xml:space="preserve">, cele mai semnificative atestîndu-se la imobilizările corporale în curs de </w:t>
      </w:r>
      <w:r w:rsidRPr="00870FB6">
        <w:rPr>
          <w:sz w:val="28"/>
          <w:szCs w:val="28"/>
        </w:rPr>
        <w:lastRenderedPageBreak/>
        <w:t>execu</w:t>
      </w:r>
      <w:r w:rsidR="000873E3">
        <w:rPr>
          <w:sz w:val="28"/>
          <w:szCs w:val="28"/>
        </w:rPr>
        <w:t>ț</w:t>
      </w:r>
      <w:r w:rsidRPr="00870FB6">
        <w:rPr>
          <w:sz w:val="28"/>
          <w:szCs w:val="28"/>
        </w:rPr>
        <w:t xml:space="preserve">ie – cu </w:t>
      </w:r>
      <w:r w:rsidR="00BD567B" w:rsidRPr="00870FB6">
        <w:rPr>
          <w:sz w:val="28"/>
          <w:szCs w:val="28"/>
        </w:rPr>
        <w:t>527,2</w:t>
      </w:r>
      <w:r w:rsidRPr="00870FB6">
        <w:rPr>
          <w:sz w:val="28"/>
          <w:szCs w:val="28"/>
        </w:rPr>
        <w:t xml:space="preserve"> mil. lei, </w:t>
      </w:r>
      <w:r w:rsidR="00BD567B" w:rsidRPr="00870FB6">
        <w:rPr>
          <w:sz w:val="28"/>
          <w:szCs w:val="28"/>
        </w:rPr>
        <w:t>terenuri – cu 108,4 mil. lei, materiale – cu 79,1 mil. lei, investi</w:t>
      </w:r>
      <w:r w:rsidR="000873E3">
        <w:rPr>
          <w:sz w:val="28"/>
          <w:szCs w:val="28"/>
        </w:rPr>
        <w:t>ț</w:t>
      </w:r>
      <w:r w:rsidR="00BD567B" w:rsidRPr="00870FB6">
        <w:rPr>
          <w:sz w:val="28"/>
          <w:szCs w:val="28"/>
        </w:rPr>
        <w:t xml:space="preserve">ii imobiliare – cu 38,9 mil. lei, </w:t>
      </w:r>
      <w:r w:rsidRPr="00870FB6">
        <w:rPr>
          <w:sz w:val="28"/>
          <w:szCs w:val="28"/>
        </w:rPr>
        <w:t>numerarul în casierie şi la conturi curente</w:t>
      </w:r>
      <w:r w:rsidR="00BD567B" w:rsidRPr="00870FB6">
        <w:rPr>
          <w:sz w:val="28"/>
          <w:szCs w:val="28"/>
        </w:rPr>
        <w:t xml:space="preserve"> și alte active circulante</w:t>
      </w:r>
      <w:r w:rsidRPr="00870FB6">
        <w:rPr>
          <w:sz w:val="28"/>
          <w:szCs w:val="28"/>
        </w:rPr>
        <w:t xml:space="preserve"> – </w:t>
      </w:r>
      <w:r w:rsidR="00BD567B" w:rsidRPr="00870FB6">
        <w:rPr>
          <w:sz w:val="28"/>
          <w:szCs w:val="28"/>
        </w:rPr>
        <w:t>a cîte 24,9</w:t>
      </w:r>
      <w:r w:rsidRPr="00870FB6">
        <w:rPr>
          <w:sz w:val="28"/>
          <w:szCs w:val="28"/>
        </w:rPr>
        <w:t xml:space="preserve"> mil. lei</w:t>
      </w:r>
      <w:r w:rsidR="00BD567B" w:rsidRPr="00870FB6">
        <w:rPr>
          <w:sz w:val="28"/>
          <w:szCs w:val="28"/>
        </w:rPr>
        <w:t>, crean</w:t>
      </w:r>
      <w:r w:rsidR="000873E3">
        <w:rPr>
          <w:sz w:val="28"/>
          <w:szCs w:val="28"/>
        </w:rPr>
        <w:t>ț</w:t>
      </w:r>
      <w:r w:rsidR="00BD567B" w:rsidRPr="00870FB6">
        <w:rPr>
          <w:sz w:val="28"/>
          <w:szCs w:val="28"/>
        </w:rPr>
        <w:t>e</w:t>
      </w:r>
      <w:r w:rsidR="00A71241" w:rsidRPr="00870FB6">
        <w:rPr>
          <w:sz w:val="28"/>
          <w:szCs w:val="28"/>
        </w:rPr>
        <w:t>le</w:t>
      </w:r>
      <w:r w:rsidR="00BD567B" w:rsidRPr="00870FB6">
        <w:rPr>
          <w:sz w:val="28"/>
          <w:szCs w:val="28"/>
        </w:rPr>
        <w:t xml:space="preserve"> comerciale – cu 22,5 mil. lei</w:t>
      </w:r>
      <w:r w:rsidRPr="00870FB6">
        <w:rPr>
          <w:sz w:val="28"/>
          <w:szCs w:val="28"/>
        </w:rPr>
        <w:t>.</w:t>
      </w:r>
    </w:p>
    <w:p w:rsidR="00CF12F3" w:rsidRPr="00870FB6" w:rsidRDefault="00CF12F3" w:rsidP="00CF12F3">
      <w:pPr>
        <w:spacing w:line="276" w:lineRule="auto"/>
        <w:ind w:firstLine="539"/>
        <w:jc w:val="both"/>
        <w:rPr>
          <w:sz w:val="28"/>
          <w:szCs w:val="28"/>
        </w:rPr>
      </w:pPr>
      <w:r>
        <w:rPr>
          <w:sz w:val="28"/>
          <w:szCs w:val="28"/>
        </w:rPr>
        <w:t>P</w:t>
      </w:r>
      <w:r w:rsidRPr="00870FB6">
        <w:rPr>
          <w:sz w:val="28"/>
          <w:szCs w:val="28"/>
        </w:rPr>
        <w:t xml:space="preserve">onderi semnificative în totalul activelor au revenit mijloacelor fixe – 53,8% (sau 11886,5 mil. lei) și imobilizărilor corporale în curs de execuție – 13,4% (sau 2971,2 mil. lei), urmate de ponderea terenurilor – 6,1% (1356,0 mil. lei), creanțelor pe termen lung – 5,9% (sau 1313,3 mil. lei, care includ și avansurile acordate pe termen lung) și numerarului în casierie şi la conturi curente – 3,3% (723,2 mil. lei). </w:t>
      </w:r>
    </w:p>
    <w:p w:rsidR="00F33AF7" w:rsidRPr="00870FB6" w:rsidRDefault="00F33AF7" w:rsidP="00F33AF7">
      <w:pPr>
        <w:spacing w:line="26" w:lineRule="atLeast"/>
        <w:jc w:val="right"/>
        <w:rPr>
          <w:sz w:val="20"/>
          <w:szCs w:val="20"/>
        </w:rPr>
      </w:pPr>
      <w:r w:rsidRPr="00870FB6">
        <w:rPr>
          <w:sz w:val="20"/>
          <w:szCs w:val="20"/>
        </w:rPr>
        <w:t xml:space="preserve">Tabelul </w:t>
      </w:r>
      <w:r w:rsidR="00924587">
        <w:rPr>
          <w:sz w:val="20"/>
          <w:szCs w:val="20"/>
        </w:rPr>
        <w:t>2</w:t>
      </w:r>
      <w:r w:rsidR="00CF12F3">
        <w:rPr>
          <w:sz w:val="20"/>
          <w:szCs w:val="20"/>
        </w:rPr>
        <w:t>.</w:t>
      </w:r>
    </w:p>
    <w:p w:rsidR="00223771" w:rsidRPr="00825763" w:rsidRDefault="00F33AF7" w:rsidP="009E39C2">
      <w:pPr>
        <w:spacing w:line="26" w:lineRule="atLeast"/>
        <w:jc w:val="center"/>
        <w:rPr>
          <w:b/>
          <w:i/>
          <w:sz w:val="20"/>
          <w:szCs w:val="20"/>
        </w:rPr>
      </w:pPr>
      <w:r w:rsidRPr="00825763">
        <w:rPr>
          <w:b/>
          <w:i/>
          <w:sz w:val="20"/>
          <w:szCs w:val="20"/>
        </w:rPr>
        <w:t>Analiza structurii patrimoniului</w:t>
      </w:r>
      <w:r w:rsidR="0031418C" w:rsidRPr="00825763">
        <w:rPr>
          <w:b/>
          <w:i/>
          <w:sz w:val="20"/>
          <w:szCs w:val="20"/>
        </w:rPr>
        <w:t xml:space="preserve"> (activelor)</w:t>
      </w:r>
      <w:r w:rsidRPr="00825763">
        <w:rPr>
          <w:b/>
          <w:i/>
          <w:sz w:val="20"/>
          <w:szCs w:val="20"/>
        </w:rPr>
        <w:t xml:space="preserve"> întreprinderilor de stat</w:t>
      </w:r>
      <w:r w:rsidR="009E39C2" w:rsidRPr="00825763">
        <w:rPr>
          <w:b/>
          <w:i/>
          <w:sz w:val="20"/>
          <w:szCs w:val="20"/>
        </w:rPr>
        <w:t>, în dinamică</w:t>
      </w:r>
    </w:p>
    <w:p w:rsidR="00F33AF7" w:rsidRPr="00870FB6" w:rsidRDefault="00F33AF7" w:rsidP="00F33AF7">
      <w:pPr>
        <w:spacing w:line="60" w:lineRule="auto"/>
        <w:jc w:val="center"/>
        <w:rPr>
          <w:b/>
          <w:i/>
          <w:sz w:val="28"/>
          <w:szCs w:val="28"/>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85"/>
        <w:gridCol w:w="1275"/>
        <w:gridCol w:w="1134"/>
        <w:gridCol w:w="1134"/>
        <w:gridCol w:w="1276"/>
        <w:gridCol w:w="1134"/>
      </w:tblGrid>
      <w:tr w:rsidR="00F33AF7" w:rsidRPr="00870FB6" w:rsidTr="00CF12F3">
        <w:trPr>
          <w:jc w:val="center"/>
        </w:trPr>
        <w:tc>
          <w:tcPr>
            <w:tcW w:w="568" w:type="dxa"/>
            <w:vMerge w:val="restart"/>
            <w:vAlign w:val="center"/>
          </w:tcPr>
          <w:p w:rsidR="00F33AF7" w:rsidRPr="00870FB6" w:rsidRDefault="006737C0" w:rsidP="0031418C">
            <w:pPr>
              <w:spacing w:line="26" w:lineRule="atLeast"/>
              <w:jc w:val="center"/>
              <w:rPr>
                <w:b/>
                <w:i/>
                <w:iCs/>
                <w:sz w:val="20"/>
                <w:szCs w:val="20"/>
              </w:rPr>
            </w:pPr>
            <w:r w:rsidRPr="00870FB6">
              <w:rPr>
                <w:b/>
                <w:i/>
                <w:iCs/>
                <w:sz w:val="20"/>
                <w:szCs w:val="20"/>
              </w:rPr>
              <w:t>Nr.</w:t>
            </w:r>
          </w:p>
          <w:p w:rsidR="008A2B6D" w:rsidRPr="00870FB6" w:rsidRDefault="008A2B6D" w:rsidP="0031418C">
            <w:pPr>
              <w:spacing w:line="26" w:lineRule="atLeast"/>
              <w:jc w:val="center"/>
              <w:rPr>
                <w:b/>
                <w:i/>
                <w:iCs/>
                <w:sz w:val="20"/>
                <w:szCs w:val="20"/>
              </w:rPr>
            </w:pPr>
            <w:r w:rsidRPr="00870FB6">
              <w:rPr>
                <w:b/>
                <w:i/>
                <w:iCs/>
                <w:sz w:val="20"/>
                <w:szCs w:val="20"/>
              </w:rPr>
              <w:t>d/o</w:t>
            </w:r>
          </w:p>
        </w:tc>
        <w:tc>
          <w:tcPr>
            <w:tcW w:w="3185" w:type="dxa"/>
            <w:vMerge w:val="restart"/>
            <w:vAlign w:val="center"/>
          </w:tcPr>
          <w:p w:rsidR="00F33AF7" w:rsidRPr="00870FB6" w:rsidRDefault="00F33AF7" w:rsidP="0031418C">
            <w:pPr>
              <w:spacing w:line="26" w:lineRule="atLeast"/>
              <w:jc w:val="center"/>
              <w:rPr>
                <w:b/>
                <w:i/>
                <w:iCs/>
                <w:sz w:val="20"/>
                <w:szCs w:val="20"/>
              </w:rPr>
            </w:pPr>
            <w:r w:rsidRPr="00870FB6">
              <w:rPr>
                <w:b/>
                <w:i/>
                <w:iCs/>
                <w:sz w:val="20"/>
                <w:szCs w:val="20"/>
              </w:rPr>
              <w:t>Indicatori</w:t>
            </w:r>
          </w:p>
        </w:tc>
        <w:tc>
          <w:tcPr>
            <w:tcW w:w="2409" w:type="dxa"/>
            <w:gridSpan w:val="2"/>
          </w:tcPr>
          <w:p w:rsidR="00F33AF7" w:rsidRPr="00870FB6" w:rsidRDefault="00B80AE1" w:rsidP="002755E9">
            <w:pPr>
              <w:spacing w:line="26" w:lineRule="atLeast"/>
              <w:jc w:val="center"/>
              <w:rPr>
                <w:b/>
                <w:i/>
                <w:iCs/>
                <w:sz w:val="20"/>
                <w:szCs w:val="20"/>
              </w:rPr>
            </w:pPr>
            <w:r w:rsidRPr="00870FB6">
              <w:rPr>
                <w:b/>
                <w:i/>
                <w:iCs/>
                <w:sz w:val="20"/>
                <w:szCs w:val="20"/>
              </w:rPr>
              <w:t>La situa</w:t>
            </w:r>
            <w:r w:rsidR="000873E3">
              <w:rPr>
                <w:b/>
                <w:i/>
                <w:iCs/>
                <w:sz w:val="20"/>
                <w:szCs w:val="20"/>
              </w:rPr>
              <w:t>ț</w:t>
            </w:r>
            <w:r w:rsidRPr="00870FB6">
              <w:rPr>
                <w:b/>
                <w:i/>
                <w:iCs/>
                <w:sz w:val="20"/>
                <w:szCs w:val="20"/>
              </w:rPr>
              <w:t xml:space="preserve">ia din </w:t>
            </w:r>
            <w:r w:rsidR="0006246A" w:rsidRPr="00870FB6">
              <w:rPr>
                <w:b/>
                <w:i/>
                <w:iCs/>
                <w:sz w:val="20"/>
                <w:szCs w:val="20"/>
              </w:rPr>
              <w:t>01.01.201</w:t>
            </w:r>
            <w:r w:rsidR="002755E9" w:rsidRPr="00870FB6">
              <w:rPr>
                <w:b/>
                <w:i/>
                <w:iCs/>
                <w:sz w:val="20"/>
                <w:szCs w:val="20"/>
              </w:rPr>
              <w:t>7</w:t>
            </w:r>
          </w:p>
        </w:tc>
        <w:tc>
          <w:tcPr>
            <w:tcW w:w="2410" w:type="dxa"/>
            <w:gridSpan w:val="2"/>
          </w:tcPr>
          <w:p w:rsidR="00F33AF7" w:rsidRPr="00870FB6" w:rsidRDefault="00B80AE1" w:rsidP="002755E9">
            <w:pPr>
              <w:spacing w:line="26" w:lineRule="atLeast"/>
              <w:jc w:val="center"/>
              <w:rPr>
                <w:b/>
                <w:i/>
                <w:iCs/>
                <w:sz w:val="20"/>
                <w:szCs w:val="20"/>
              </w:rPr>
            </w:pPr>
            <w:r w:rsidRPr="00870FB6">
              <w:rPr>
                <w:b/>
                <w:i/>
                <w:iCs/>
                <w:sz w:val="20"/>
                <w:szCs w:val="20"/>
              </w:rPr>
              <w:t>La situa</w:t>
            </w:r>
            <w:r w:rsidR="000873E3">
              <w:rPr>
                <w:b/>
                <w:i/>
                <w:iCs/>
                <w:sz w:val="20"/>
                <w:szCs w:val="20"/>
              </w:rPr>
              <w:t>ț</w:t>
            </w:r>
            <w:r w:rsidRPr="00870FB6">
              <w:rPr>
                <w:b/>
                <w:i/>
                <w:iCs/>
                <w:sz w:val="20"/>
                <w:szCs w:val="20"/>
              </w:rPr>
              <w:t>ia din 31.12.201</w:t>
            </w:r>
            <w:r w:rsidR="002755E9" w:rsidRPr="00870FB6">
              <w:rPr>
                <w:b/>
                <w:i/>
                <w:iCs/>
                <w:sz w:val="20"/>
                <w:szCs w:val="20"/>
              </w:rPr>
              <w:t>7</w:t>
            </w:r>
          </w:p>
        </w:tc>
        <w:tc>
          <w:tcPr>
            <w:tcW w:w="1134" w:type="dxa"/>
            <w:vMerge w:val="restart"/>
            <w:vAlign w:val="center"/>
          </w:tcPr>
          <w:p w:rsidR="00F33AF7" w:rsidRPr="00CF12F3" w:rsidRDefault="00F33AF7" w:rsidP="00CF12F3">
            <w:pPr>
              <w:spacing w:line="26" w:lineRule="atLeast"/>
              <w:ind w:right="-41"/>
              <w:rPr>
                <w:bCs/>
                <w:sz w:val="20"/>
                <w:szCs w:val="20"/>
              </w:rPr>
            </w:pPr>
            <w:r w:rsidRPr="00CF12F3">
              <w:rPr>
                <w:b/>
                <w:bCs/>
                <w:i/>
                <w:sz w:val="20"/>
                <w:szCs w:val="20"/>
              </w:rPr>
              <w:t>Devierea</w:t>
            </w:r>
            <w:r w:rsidRPr="00870FB6">
              <w:rPr>
                <w:b/>
                <w:bCs/>
                <w:sz w:val="20"/>
                <w:szCs w:val="20"/>
              </w:rPr>
              <w:t xml:space="preserve"> </w:t>
            </w:r>
            <w:r w:rsidRPr="00870FB6">
              <w:rPr>
                <w:bCs/>
                <w:sz w:val="20"/>
                <w:szCs w:val="20"/>
              </w:rPr>
              <w:t>+/-</w:t>
            </w:r>
            <w:r w:rsidR="00CF12F3">
              <w:rPr>
                <w:bCs/>
                <w:sz w:val="20"/>
                <w:szCs w:val="20"/>
              </w:rPr>
              <w:t xml:space="preserve">, </w:t>
            </w:r>
            <w:r w:rsidRPr="00870FB6">
              <w:rPr>
                <w:bCs/>
                <w:sz w:val="20"/>
                <w:szCs w:val="20"/>
              </w:rPr>
              <w:t>mil. lei</w:t>
            </w:r>
          </w:p>
        </w:tc>
      </w:tr>
      <w:tr w:rsidR="00F33AF7" w:rsidRPr="00870FB6" w:rsidTr="00CF12F3">
        <w:trPr>
          <w:jc w:val="center"/>
        </w:trPr>
        <w:tc>
          <w:tcPr>
            <w:tcW w:w="568" w:type="dxa"/>
            <w:vMerge/>
          </w:tcPr>
          <w:p w:rsidR="00F33AF7" w:rsidRPr="00870FB6" w:rsidRDefault="00F33AF7" w:rsidP="00361B4F">
            <w:pPr>
              <w:spacing w:line="26" w:lineRule="atLeast"/>
              <w:jc w:val="both"/>
              <w:rPr>
                <w:sz w:val="20"/>
                <w:szCs w:val="20"/>
              </w:rPr>
            </w:pPr>
          </w:p>
        </w:tc>
        <w:tc>
          <w:tcPr>
            <w:tcW w:w="3185" w:type="dxa"/>
            <w:vMerge/>
          </w:tcPr>
          <w:p w:rsidR="00F33AF7" w:rsidRPr="00870FB6" w:rsidRDefault="00F33AF7" w:rsidP="00361B4F">
            <w:pPr>
              <w:spacing w:line="26" w:lineRule="atLeast"/>
              <w:jc w:val="both"/>
              <w:rPr>
                <w:sz w:val="20"/>
                <w:szCs w:val="20"/>
              </w:rPr>
            </w:pPr>
          </w:p>
        </w:tc>
        <w:tc>
          <w:tcPr>
            <w:tcW w:w="1275" w:type="dxa"/>
          </w:tcPr>
          <w:p w:rsidR="00F33AF7" w:rsidRPr="00870FB6" w:rsidRDefault="00F33AF7" w:rsidP="009052D0">
            <w:pPr>
              <w:spacing w:line="26" w:lineRule="atLeast"/>
              <w:ind w:left="-106" w:right="-109"/>
              <w:jc w:val="center"/>
              <w:rPr>
                <w:sz w:val="20"/>
                <w:szCs w:val="20"/>
              </w:rPr>
            </w:pPr>
            <w:r w:rsidRPr="00870FB6">
              <w:rPr>
                <w:sz w:val="20"/>
                <w:szCs w:val="20"/>
              </w:rPr>
              <w:t>suma,</w:t>
            </w:r>
            <w:r w:rsidR="009052D0">
              <w:rPr>
                <w:sz w:val="20"/>
                <w:szCs w:val="20"/>
              </w:rPr>
              <w:t xml:space="preserve"> </w:t>
            </w:r>
            <w:r w:rsidRPr="00870FB6">
              <w:rPr>
                <w:sz w:val="20"/>
                <w:szCs w:val="20"/>
              </w:rPr>
              <w:t>mil. lei</w:t>
            </w:r>
          </w:p>
        </w:tc>
        <w:tc>
          <w:tcPr>
            <w:tcW w:w="1134" w:type="dxa"/>
          </w:tcPr>
          <w:p w:rsidR="00F33AF7" w:rsidRPr="00870FB6" w:rsidRDefault="00F33AF7" w:rsidP="009052D0">
            <w:pPr>
              <w:spacing w:line="26" w:lineRule="atLeast"/>
              <w:ind w:left="-106" w:right="-109"/>
              <w:jc w:val="center"/>
              <w:rPr>
                <w:sz w:val="20"/>
                <w:szCs w:val="20"/>
              </w:rPr>
            </w:pPr>
            <w:r w:rsidRPr="00870FB6">
              <w:rPr>
                <w:sz w:val="20"/>
                <w:szCs w:val="20"/>
              </w:rPr>
              <w:t>ponderea, %</w:t>
            </w:r>
          </w:p>
        </w:tc>
        <w:tc>
          <w:tcPr>
            <w:tcW w:w="1134" w:type="dxa"/>
          </w:tcPr>
          <w:p w:rsidR="00F33AF7" w:rsidRPr="00870FB6" w:rsidRDefault="00F33AF7" w:rsidP="009052D0">
            <w:pPr>
              <w:spacing w:line="26" w:lineRule="atLeast"/>
              <w:ind w:left="-106" w:right="-109"/>
              <w:jc w:val="center"/>
              <w:rPr>
                <w:sz w:val="20"/>
                <w:szCs w:val="20"/>
              </w:rPr>
            </w:pPr>
            <w:r w:rsidRPr="00870FB6">
              <w:rPr>
                <w:sz w:val="20"/>
                <w:szCs w:val="20"/>
              </w:rPr>
              <w:t>suma,</w:t>
            </w:r>
            <w:r w:rsidR="009052D0">
              <w:rPr>
                <w:sz w:val="20"/>
                <w:szCs w:val="20"/>
              </w:rPr>
              <w:t xml:space="preserve"> </w:t>
            </w:r>
            <w:r w:rsidRPr="00870FB6">
              <w:rPr>
                <w:sz w:val="20"/>
                <w:szCs w:val="20"/>
              </w:rPr>
              <w:t>mil. lei</w:t>
            </w:r>
          </w:p>
        </w:tc>
        <w:tc>
          <w:tcPr>
            <w:tcW w:w="1276" w:type="dxa"/>
          </w:tcPr>
          <w:p w:rsidR="00F33AF7" w:rsidRPr="00870FB6" w:rsidRDefault="00F33AF7" w:rsidP="009052D0">
            <w:pPr>
              <w:spacing w:line="26" w:lineRule="atLeast"/>
              <w:ind w:left="-106" w:right="-109"/>
              <w:jc w:val="center"/>
              <w:rPr>
                <w:sz w:val="20"/>
                <w:szCs w:val="20"/>
              </w:rPr>
            </w:pPr>
            <w:r w:rsidRPr="00870FB6">
              <w:rPr>
                <w:sz w:val="20"/>
                <w:szCs w:val="20"/>
              </w:rPr>
              <w:t>ponderea, %</w:t>
            </w:r>
          </w:p>
        </w:tc>
        <w:tc>
          <w:tcPr>
            <w:tcW w:w="1134" w:type="dxa"/>
            <w:vMerge/>
          </w:tcPr>
          <w:p w:rsidR="00F33AF7" w:rsidRPr="00870FB6" w:rsidRDefault="00F33AF7" w:rsidP="00361B4F">
            <w:pPr>
              <w:spacing w:line="26" w:lineRule="atLeast"/>
              <w:jc w:val="both"/>
              <w:rPr>
                <w:b/>
                <w:bCs/>
                <w:sz w:val="20"/>
                <w:szCs w:val="20"/>
              </w:rPr>
            </w:pPr>
          </w:p>
        </w:tc>
      </w:tr>
      <w:tr w:rsidR="00F33AF7" w:rsidRPr="00870FB6" w:rsidTr="00CF12F3">
        <w:trPr>
          <w:jc w:val="center"/>
        </w:trPr>
        <w:tc>
          <w:tcPr>
            <w:tcW w:w="568" w:type="dxa"/>
          </w:tcPr>
          <w:p w:rsidR="00F33AF7" w:rsidRPr="00870FB6" w:rsidRDefault="0006246A" w:rsidP="00A71241">
            <w:pPr>
              <w:spacing w:line="26" w:lineRule="atLeast"/>
              <w:jc w:val="center"/>
              <w:rPr>
                <w:sz w:val="20"/>
                <w:szCs w:val="20"/>
              </w:rPr>
            </w:pPr>
            <w:r w:rsidRPr="00870FB6">
              <w:rPr>
                <w:sz w:val="20"/>
                <w:szCs w:val="20"/>
              </w:rPr>
              <w:t>1.</w:t>
            </w:r>
          </w:p>
        </w:tc>
        <w:tc>
          <w:tcPr>
            <w:tcW w:w="3185" w:type="dxa"/>
          </w:tcPr>
          <w:p w:rsidR="00F33AF7" w:rsidRPr="00870FB6" w:rsidRDefault="0006246A" w:rsidP="00361B4F">
            <w:pPr>
              <w:spacing w:line="26" w:lineRule="atLeast"/>
              <w:rPr>
                <w:sz w:val="20"/>
                <w:szCs w:val="20"/>
              </w:rPr>
            </w:pPr>
            <w:r w:rsidRPr="00870FB6">
              <w:rPr>
                <w:sz w:val="20"/>
                <w:szCs w:val="20"/>
              </w:rPr>
              <w:t>A</w:t>
            </w:r>
            <w:r w:rsidR="00F33AF7" w:rsidRPr="00870FB6">
              <w:rPr>
                <w:sz w:val="20"/>
                <w:szCs w:val="20"/>
              </w:rPr>
              <w:t xml:space="preserve">ctive </w:t>
            </w:r>
            <w:r w:rsidR="00B80AE1" w:rsidRPr="00870FB6">
              <w:rPr>
                <w:sz w:val="20"/>
                <w:szCs w:val="20"/>
              </w:rPr>
              <w:t>imobilizate</w:t>
            </w:r>
          </w:p>
        </w:tc>
        <w:tc>
          <w:tcPr>
            <w:tcW w:w="1275" w:type="dxa"/>
            <w:vAlign w:val="center"/>
          </w:tcPr>
          <w:p w:rsidR="00F33AF7" w:rsidRPr="00870FB6" w:rsidRDefault="002755E9" w:rsidP="0003395E">
            <w:pPr>
              <w:spacing w:line="26" w:lineRule="atLeast"/>
              <w:jc w:val="center"/>
              <w:rPr>
                <w:sz w:val="20"/>
                <w:szCs w:val="20"/>
              </w:rPr>
            </w:pPr>
            <w:r w:rsidRPr="00870FB6">
              <w:rPr>
                <w:sz w:val="20"/>
                <w:szCs w:val="20"/>
              </w:rPr>
              <w:t>18238,1</w:t>
            </w:r>
          </w:p>
        </w:tc>
        <w:tc>
          <w:tcPr>
            <w:tcW w:w="1134" w:type="dxa"/>
            <w:vAlign w:val="center"/>
          </w:tcPr>
          <w:p w:rsidR="00F33AF7" w:rsidRPr="00870FB6" w:rsidRDefault="002755E9" w:rsidP="00361B4F">
            <w:pPr>
              <w:spacing w:line="26" w:lineRule="atLeast"/>
              <w:jc w:val="center"/>
              <w:rPr>
                <w:sz w:val="20"/>
                <w:szCs w:val="20"/>
              </w:rPr>
            </w:pPr>
            <w:r w:rsidRPr="00870FB6">
              <w:rPr>
                <w:sz w:val="20"/>
                <w:szCs w:val="20"/>
              </w:rPr>
              <w:t>82,0</w:t>
            </w:r>
          </w:p>
        </w:tc>
        <w:tc>
          <w:tcPr>
            <w:tcW w:w="1134" w:type="dxa"/>
            <w:vAlign w:val="center"/>
          </w:tcPr>
          <w:p w:rsidR="00F33AF7" w:rsidRPr="00870FB6" w:rsidRDefault="002755E9" w:rsidP="008F4160">
            <w:pPr>
              <w:spacing w:line="26" w:lineRule="atLeast"/>
              <w:jc w:val="center"/>
              <w:rPr>
                <w:sz w:val="20"/>
                <w:szCs w:val="20"/>
              </w:rPr>
            </w:pPr>
            <w:r w:rsidRPr="00870FB6">
              <w:rPr>
                <w:sz w:val="20"/>
                <w:szCs w:val="20"/>
              </w:rPr>
              <w:t>18263,5</w:t>
            </w:r>
          </w:p>
        </w:tc>
        <w:tc>
          <w:tcPr>
            <w:tcW w:w="1276" w:type="dxa"/>
            <w:vAlign w:val="center"/>
          </w:tcPr>
          <w:p w:rsidR="00F33AF7" w:rsidRPr="00870FB6" w:rsidRDefault="002755E9" w:rsidP="00361B4F">
            <w:pPr>
              <w:spacing w:line="26" w:lineRule="atLeast"/>
              <w:jc w:val="center"/>
              <w:rPr>
                <w:sz w:val="20"/>
                <w:szCs w:val="20"/>
              </w:rPr>
            </w:pPr>
            <w:r w:rsidRPr="00870FB6">
              <w:rPr>
                <w:sz w:val="20"/>
                <w:szCs w:val="20"/>
              </w:rPr>
              <w:t>82,6</w:t>
            </w:r>
          </w:p>
        </w:tc>
        <w:tc>
          <w:tcPr>
            <w:tcW w:w="1134" w:type="dxa"/>
            <w:vAlign w:val="center"/>
          </w:tcPr>
          <w:p w:rsidR="00F33AF7" w:rsidRPr="00870FB6" w:rsidRDefault="002755E9" w:rsidP="00361B4F">
            <w:pPr>
              <w:spacing w:line="26" w:lineRule="atLeast"/>
              <w:jc w:val="center"/>
              <w:rPr>
                <w:bCs/>
                <w:sz w:val="20"/>
                <w:szCs w:val="20"/>
              </w:rPr>
            </w:pPr>
            <w:r w:rsidRPr="00870FB6">
              <w:rPr>
                <w:bCs/>
                <w:sz w:val="20"/>
                <w:szCs w:val="20"/>
              </w:rPr>
              <w:t>+25,4</w:t>
            </w:r>
          </w:p>
        </w:tc>
      </w:tr>
      <w:tr w:rsidR="00C14B25" w:rsidRPr="00870FB6" w:rsidTr="00CF12F3">
        <w:trPr>
          <w:jc w:val="center"/>
        </w:trPr>
        <w:tc>
          <w:tcPr>
            <w:tcW w:w="568" w:type="dxa"/>
          </w:tcPr>
          <w:p w:rsidR="00C14B25" w:rsidRPr="00870FB6" w:rsidRDefault="0006246A" w:rsidP="00A71241">
            <w:pPr>
              <w:spacing w:line="26" w:lineRule="atLeast"/>
              <w:jc w:val="center"/>
              <w:rPr>
                <w:sz w:val="20"/>
                <w:szCs w:val="20"/>
              </w:rPr>
            </w:pPr>
            <w:r w:rsidRPr="00870FB6">
              <w:rPr>
                <w:sz w:val="20"/>
                <w:szCs w:val="20"/>
              </w:rPr>
              <w:t>2.</w:t>
            </w:r>
          </w:p>
        </w:tc>
        <w:tc>
          <w:tcPr>
            <w:tcW w:w="3185" w:type="dxa"/>
          </w:tcPr>
          <w:p w:rsidR="00C14B25" w:rsidRPr="00870FB6" w:rsidRDefault="0006246A" w:rsidP="00361B4F">
            <w:pPr>
              <w:spacing w:line="26" w:lineRule="atLeast"/>
              <w:rPr>
                <w:sz w:val="20"/>
                <w:szCs w:val="20"/>
              </w:rPr>
            </w:pPr>
            <w:r w:rsidRPr="00870FB6">
              <w:rPr>
                <w:sz w:val="20"/>
                <w:szCs w:val="20"/>
              </w:rPr>
              <w:t>A</w:t>
            </w:r>
            <w:r w:rsidR="00C14B25" w:rsidRPr="00870FB6">
              <w:rPr>
                <w:sz w:val="20"/>
                <w:szCs w:val="20"/>
              </w:rPr>
              <w:t>ctive circulante</w:t>
            </w:r>
          </w:p>
        </w:tc>
        <w:tc>
          <w:tcPr>
            <w:tcW w:w="1275" w:type="dxa"/>
            <w:vAlign w:val="center"/>
          </w:tcPr>
          <w:p w:rsidR="00C14B25" w:rsidRPr="00870FB6" w:rsidRDefault="002755E9" w:rsidP="008F4160">
            <w:pPr>
              <w:spacing w:line="26" w:lineRule="atLeast"/>
              <w:jc w:val="center"/>
              <w:rPr>
                <w:sz w:val="20"/>
                <w:szCs w:val="20"/>
              </w:rPr>
            </w:pPr>
            <w:r w:rsidRPr="00870FB6">
              <w:rPr>
                <w:sz w:val="20"/>
                <w:szCs w:val="20"/>
              </w:rPr>
              <w:t>3996,1</w:t>
            </w:r>
          </w:p>
        </w:tc>
        <w:tc>
          <w:tcPr>
            <w:tcW w:w="1134" w:type="dxa"/>
            <w:vAlign w:val="center"/>
          </w:tcPr>
          <w:p w:rsidR="00C14B25" w:rsidRPr="00870FB6" w:rsidRDefault="002755E9" w:rsidP="00361B4F">
            <w:pPr>
              <w:spacing w:line="26" w:lineRule="atLeast"/>
              <w:jc w:val="center"/>
              <w:rPr>
                <w:sz w:val="20"/>
                <w:szCs w:val="20"/>
              </w:rPr>
            </w:pPr>
            <w:r w:rsidRPr="00870FB6">
              <w:rPr>
                <w:sz w:val="20"/>
                <w:szCs w:val="20"/>
              </w:rPr>
              <w:t>18,0</w:t>
            </w:r>
          </w:p>
        </w:tc>
        <w:tc>
          <w:tcPr>
            <w:tcW w:w="1134" w:type="dxa"/>
            <w:vAlign w:val="center"/>
          </w:tcPr>
          <w:p w:rsidR="00C14B25" w:rsidRPr="00870FB6" w:rsidRDefault="002755E9" w:rsidP="0003395E">
            <w:pPr>
              <w:spacing w:line="26" w:lineRule="atLeast"/>
              <w:jc w:val="center"/>
              <w:rPr>
                <w:sz w:val="20"/>
                <w:szCs w:val="20"/>
              </w:rPr>
            </w:pPr>
            <w:r w:rsidRPr="00870FB6">
              <w:rPr>
                <w:sz w:val="20"/>
                <w:szCs w:val="20"/>
              </w:rPr>
              <w:t>3835,5</w:t>
            </w:r>
          </w:p>
        </w:tc>
        <w:tc>
          <w:tcPr>
            <w:tcW w:w="1276" w:type="dxa"/>
            <w:vAlign w:val="center"/>
          </w:tcPr>
          <w:p w:rsidR="00C14B25" w:rsidRPr="00870FB6" w:rsidRDefault="002755E9" w:rsidP="00361B4F">
            <w:pPr>
              <w:spacing w:line="26" w:lineRule="atLeast"/>
              <w:jc w:val="center"/>
              <w:rPr>
                <w:sz w:val="20"/>
                <w:szCs w:val="20"/>
              </w:rPr>
            </w:pPr>
            <w:r w:rsidRPr="00870FB6">
              <w:rPr>
                <w:sz w:val="20"/>
                <w:szCs w:val="20"/>
              </w:rPr>
              <w:t>17,4</w:t>
            </w:r>
          </w:p>
        </w:tc>
        <w:tc>
          <w:tcPr>
            <w:tcW w:w="1134" w:type="dxa"/>
            <w:vAlign w:val="center"/>
          </w:tcPr>
          <w:p w:rsidR="00C14B25" w:rsidRPr="00870FB6" w:rsidRDefault="002755E9" w:rsidP="0003395E">
            <w:pPr>
              <w:spacing w:line="26" w:lineRule="atLeast"/>
              <w:jc w:val="center"/>
              <w:rPr>
                <w:bCs/>
                <w:sz w:val="20"/>
                <w:szCs w:val="20"/>
              </w:rPr>
            </w:pPr>
            <w:r w:rsidRPr="00870FB6">
              <w:rPr>
                <w:bCs/>
                <w:sz w:val="20"/>
                <w:szCs w:val="20"/>
              </w:rPr>
              <w:t>-160,6</w:t>
            </w:r>
          </w:p>
        </w:tc>
      </w:tr>
      <w:tr w:rsidR="00F33AF7" w:rsidRPr="00870FB6" w:rsidTr="00CF12F3">
        <w:trPr>
          <w:jc w:val="center"/>
        </w:trPr>
        <w:tc>
          <w:tcPr>
            <w:tcW w:w="568" w:type="dxa"/>
          </w:tcPr>
          <w:p w:rsidR="00F33AF7" w:rsidRPr="00870FB6" w:rsidRDefault="00F33AF7" w:rsidP="00361B4F">
            <w:pPr>
              <w:spacing w:line="26" w:lineRule="atLeast"/>
              <w:jc w:val="both"/>
              <w:rPr>
                <w:b/>
                <w:bCs/>
                <w:sz w:val="20"/>
                <w:szCs w:val="20"/>
              </w:rPr>
            </w:pPr>
          </w:p>
        </w:tc>
        <w:tc>
          <w:tcPr>
            <w:tcW w:w="3185" w:type="dxa"/>
          </w:tcPr>
          <w:p w:rsidR="00F33AF7" w:rsidRPr="00870FB6" w:rsidRDefault="00F33AF7" w:rsidP="00361B4F">
            <w:pPr>
              <w:spacing w:line="26" w:lineRule="atLeast"/>
              <w:rPr>
                <w:b/>
                <w:bCs/>
                <w:sz w:val="20"/>
                <w:szCs w:val="20"/>
              </w:rPr>
            </w:pPr>
            <w:r w:rsidRPr="00870FB6">
              <w:rPr>
                <w:b/>
                <w:bCs/>
                <w:sz w:val="20"/>
                <w:szCs w:val="20"/>
              </w:rPr>
              <w:t>Total active</w:t>
            </w:r>
          </w:p>
        </w:tc>
        <w:tc>
          <w:tcPr>
            <w:tcW w:w="1275" w:type="dxa"/>
            <w:vAlign w:val="center"/>
          </w:tcPr>
          <w:p w:rsidR="00F33AF7" w:rsidRPr="00870FB6" w:rsidRDefault="002755E9" w:rsidP="0003395E">
            <w:pPr>
              <w:spacing w:line="26" w:lineRule="atLeast"/>
              <w:jc w:val="center"/>
              <w:rPr>
                <w:b/>
                <w:bCs/>
                <w:sz w:val="20"/>
                <w:szCs w:val="20"/>
              </w:rPr>
            </w:pPr>
            <w:r w:rsidRPr="00870FB6">
              <w:rPr>
                <w:b/>
                <w:bCs/>
                <w:sz w:val="20"/>
                <w:szCs w:val="20"/>
              </w:rPr>
              <w:t>22234,2</w:t>
            </w:r>
          </w:p>
        </w:tc>
        <w:tc>
          <w:tcPr>
            <w:tcW w:w="1134" w:type="dxa"/>
            <w:vAlign w:val="center"/>
          </w:tcPr>
          <w:p w:rsidR="00F33AF7" w:rsidRPr="00870FB6" w:rsidRDefault="002755E9" w:rsidP="00361B4F">
            <w:pPr>
              <w:spacing w:line="26" w:lineRule="atLeast"/>
              <w:jc w:val="center"/>
              <w:rPr>
                <w:b/>
                <w:bCs/>
                <w:sz w:val="20"/>
                <w:szCs w:val="20"/>
              </w:rPr>
            </w:pPr>
            <w:r w:rsidRPr="00870FB6">
              <w:rPr>
                <w:b/>
                <w:bCs/>
                <w:sz w:val="20"/>
                <w:szCs w:val="20"/>
              </w:rPr>
              <w:t>100</w:t>
            </w:r>
          </w:p>
        </w:tc>
        <w:tc>
          <w:tcPr>
            <w:tcW w:w="1134" w:type="dxa"/>
            <w:vAlign w:val="center"/>
          </w:tcPr>
          <w:p w:rsidR="00F33AF7" w:rsidRPr="00870FB6" w:rsidRDefault="002755E9" w:rsidP="0003395E">
            <w:pPr>
              <w:spacing w:line="26" w:lineRule="atLeast"/>
              <w:jc w:val="center"/>
              <w:rPr>
                <w:b/>
                <w:bCs/>
                <w:sz w:val="20"/>
                <w:szCs w:val="20"/>
              </w:rPr>
            </w:pPr>
            <w:r w:rsidRPr="00870FB6">
              <w:rPr>
                <w:b/>
                <w:bCs/>
                <w:sz w:val="20"/>
                <w:szCs w:val="20"/>
              </w:rPr>
              <w:t>22099,0</w:t>
            </w:r>
          </w:p>
        </w:tc>
        <w:tc>
          <w:tcPr>
            <w:tcW w:w="1276" w:type="dxa"/>
            <w:vAlign w:val="center"/>
          </w:tcPr>
          <w:p w:rsidR="00F33AF7" w:rsidRPr="00870FB6" w:rsidRDefault="002755E9" w:rsidP="00361B4F">
            <w:pPr>
              <w:spacing w:line="26" w:lineRule="atLeast"/>
              <w:jc w:val="center"/>
              <w:rPr>
                <w:b/>
                <w:bCs/>
                <w:sz w:val="20"/>
                <w:szCs w:val="20"/>
              </w:rPr>
            </w:pPr>
            <w:r w:rsidRPr="00870FB6">
              <w:rPr>
                <w:b/>
                <w:bCs/>
                <w:sz w:val="20"/>
                <w:szCs w:val="20"/>
              </w:rPr>
              <w:t>100</w:t>
            </w:r>
          </w:p>
        </w:tc>
        <w:tc>
          <w:tcPr>
            <w:tcW w:w="1134" w:type="dxa"/>
            <w:vAlign w:val="center"/>
          </w:tcPr>
          <w:p w:rsidR="00F33AF7" w:rsidRPr="00870FB6" w:rsidRDefault="002755E9" w:rsidP="0003395E">
            <w:pPr>
              <w:spacing w:line="26" w:lineRule="atLeast"/>
              <w:jc w:val="center"/>
              <w:rPr>
                <w:b/>
                <w:bCs/>
                <w:sz w:val="20"/>
                <w:szCs w:val="20"/>
              </w:rPr>
            </w:pPr>
            <w:r w:rsidRPr="00870FB6">
              <w:rPr>
                <w:b/>
                <w:bCs/>
                <w:sz w:val="20"/>
                <w:szCs w:val="20"/>
              </w:rPr>
              <w:t>-135,2</w:t>
            </w:r>
          </w:p>
        </w:tc>
      </w:tr>
    </w:tbl>
    <w:p w:rsidR="00E27FE2" w:rsidRDefault="00E27FE2" w:rsidP="009F73A3">
      <w:pPr>
        <w:spacing w:line="276" w:lineRule="auto"/>
        <w:ind w:firstLine="567"/>
        <w:jc w:val="both"/>
        <w:rPr>
          <w:sz w:val="28"/>
          <w:szCs w:val="28"/>
        </w:rPr>
      </w:pPr>
    </w:p>
    <w:p w:rsidR="00055312" w:rsidRPr="009F73A3" w:rsidRDefault="00CF12F3" w:rsidP="009F73A3">
      <w:pPr>
        <w:spacing w:line="276" w:lineRule="auto"/>
        <w:ind w:firstLine="567"/>
        <w:jc w:val="both"/>
        <w:rPr>
          <w:sz w:val="28"/>
          <w:szCs w:val="28"/>
          <w:lang w:val="en-US"/>
        </w:rPr>
      </w:pPr>
      <w:r>
        <w:rPr>
          <w:sz w:val="28"/>
          <w:szCs w:val="28"/>
        </w:rPr>
        <w:t>C</w:t>
      </w:r>
      <w:r w:rsidR="00F33AF7" w:rsidRPr="00870FB6">
        <w:rPr>
          <w:sz w:val="28"/>
          <w:szCs w:val="28"/>
        </w:rPr>
        <w:t xml:space="preserve">ele mai mari </w:t>
      </w:r>
      <w:r w:rsidR="00B14817" w:rsidRPr="00870FB6">
        <w:rPr>
          <w:sz w:val="28"/>
          <w:szCs w:val="28"/>
        </w:rPr>
        <w:t>diminuări</w:t>
      </w:r>
      <w:r w:rsidR="009F73A3">
        <w:rPr>
          <w:sz w:val="28"/>
          <w:szCs w:val="28"/>
        </w:rPr>
        <w:t xml:space="preserve"> și majorări </w:t>
      </w:r>
      <w:r w:rsidR="00F33AF7" w:rsidRPr="00870FB6">
        <w:rPr>
          <w:sz w:val="28"/>
          <w:szCs w:val="28"/>
        </w:rPr>
        <w:t>a</w:t>
      </w:r>
      <w:r w:rsidR="00FF050C" w:rsidRPr="00870FB6">
        <w:rPr>
          <w:sz w:val="28"/>
          <w:szCs w:val="28"/>
        </w:rPr>
        <w:t>le</w:t>
      </w:r>
      <w:r w:rsidR="004260BE" w:rsidRPr="00870FB6">
        <w:rPr>
          <w:sz w:val="28"/>
          <w:szCs w:val="28"/>
        </w:rPr>
        <w:t xml:space="preserve"> activelor</w:t>
      </w:r>
      <w:r>
        <w:rPr>
          <w:sz w:val="28"/>
          <w:szCs w:val="28"/>
        </w:rPr>
        <w:t xml:space="preserve"> întreprinderilor de stat</w:t>
      </w:r>
      <w:r w:rsidR="007F3CD0" w:rsidRPr="00870FB6">
        <w:rPr>
          <w:sz w:val="28"/>
          <w:szCs w:val="28"/>
        </w:rPr>
        <w:t>,</w:t>
      </w:r>
      <w:r w:rsidR="004260BE" w:rsidRPr="00870FB6">
        <w:rPr>
          <w:sz w:val="28"/>
          <w:szCs w:val="28"/>
        </w:rPr>
        <w:t xml:space="preserve"> </w:t>
      </w:r>
      <w:r>
        <w:rPr>
          <w:sz w:val="28"/>
          <w:szCs w:val="28"/>
        </w:rPr>
        <w:t>per total autoritate de administrare (fondator),</w:t>
      </w:r>
      <w:r w:rsidR="009F73A3">
        <w:rPr>
          <w:sz w:val="28"/>
          <w:szCs w:val="28"/>
        </w:rPr>
        <w:t xml:space="preserve"> sunt reflec</w:t>
      </w:r>
      <w:r w:rsidR="000873E3">
        <w:rPr>
          <w:sz w:val="28"/>
          <w:szCs w:val="28"/>
        </w:rPr>
        <w:t>t</w:t>
      </w:r>
      <w:r w:rsidR="009F73A3">
        <w:rPr>
          <w:sz w:val="28"/>
          <w:szCs w:val="28"/>
        </w:rPr>
        <w:t xml:space="preserve">ate în tabelul </w:t>
      </w:r>
      <w:r>
        <w:rPr>
          <w:sz w:val="28"/>
          <w:szCs w:val="28"/>
        </w:rPr>
        <w:t>3</w:t>
      </w:r>
      <w:r w:rsidR="00B01B60">
        <w:rPr>
          <w:sz w:val="28"/>
          <w:szCs w:val="28"/>
        </w:rPr>
        <w:t>.</w:t>
      </w:r>
    </w:p>
    <w:p w:rsidR="00F33AF7" w:rsidRPr="00870FB6" w:rsidRDefault="00F33AF7" w:rsidP="00F33AF7">
      <w:pPr>
        <w:spacing w:line="360" w:lineRule="auto"/>
        <w:ind w:firstLine="539"/>
        <w:jc w:val="right"/>
        <w:rPr>
          <w:sz w:val="20"/>
          <w:szCs w:val="20"/>
        </w:rPr>
      </w:pPr>
      <w:r w:rsidRPr="00870FB6">
        <w:rPr>
          <w:sz w:val="20"/>
          <w:szCs w:val="20"/>
        </w:rPr>
        <w:t xml:space="preserve">Tabelul </w:t>
      </w:r>
      <w:r w:rsidR="00924587">
        <w:rPr>
          <w:sz w:val="20"/>
          <w:szCs w:val="20"/>
        </w:rPr>
        <w:t>3</w:t>
      </w:r>
      <w:r w:rsidR="00CF12F3">
        <w:rPr>
          <w:sz w:val="20"/>
          <w:szCs w:val="20"/>
        </w:rPr>
        <w:t>.</w:t>
      </w:r>
    </w:p>
    <w:p w:rsidR="00223771" w:rsidRPr="00CF12F3" w:rsidRDefault="00037D37" w:rsidP="00F54795">
      <w:pPr>
        <w:ind w:firstLine="539"/>
        <w:jc w:val="center"/>
        <w:rPr>
          <w:b/>
          <w:i/>
          <w:sz w:val="20"/>
          <w:szCs w:val="20"/>
        </w:rPr>
      </w:pPr>
      <w:r w:rsidRPr="00CF12F3">
        <w:rPr>
          <w:b/>
          <w:i/>
          <w:sz w:val="20"/>
          <w:szCs w:val="20"/>
        </w:rPr>
        <w:t>Cele mai considerabile</w:t>
      </w:r>
      <w:r w:rsidR="00F33AF7" w:rsidRPr="00CF12F3">
        <w:rPr>
          <w:b/>
          <w:i/>
          <w:sz w:val="20"/>
          <w:szCs w:val="20"/>
        </w:rPr>
        <w:t xml:space="preserve"> majorări şi diminuări a</w:t>
      </w:r>
      <w:r w:rsidR="00223771" w:rsidRPr="00CF12F3">
        <w:rPr>
          <w:b/>
          <w:i/>
          <w:sz w:val="20"/>
          <w:szCs w:val="20"/>
        </w:rPr>
        <w:t>le</w:t>
      </w:r>
      <w:r w:rsidR="00F33AF7" w:rsidRPr="00CF12F3">
        <w:rPr>
          <w:b/>
          <w:i/>
          <w:sz w:val="20"/>
          <w:szCs w:val="20"/>
        </w:rPr>
        <w:t xml:space="preserve"> activelor </w:t>
      </w:r>
      <w:r w:rsidR="00223771" w:rsidRPr="00CF12F3">
        <w:rPr>
          <w:b/>
          <w:i/>
          <w:sz w:val="20"/>
          <w:szCs w:val="20"/>
        </w:rPr>
        <w:t>totale,</w:t>
      </w:r>
    </w:p>
    <w:p w:rsidR="00F33AF7" w:rsidRPr="00CF12F3" w:rsidRDefault="00223771" w:rsidP="009E5F77">
      <w:pPr>
        <w:spacing w:line="276" w:lineRule="auto"/>
        <w:ind w:firstLine="539"/>
        <w:jc w:val="center"/>
        <w:rPr>
          <w:i/>
          <w:sz w:val="20"/>
          <w:szCs w:val="20"/>
        </w:rPr>
      </w:pPr>
      <w:r w:rsidRPr="00CF12F3">
        <w:rPr>
          <w:b/>
          <w:i/>
          <w:sz w:val="20"/>
          <w:szCs w:val="20"/>
        </w:rPr>
        <w:t>clasificate pe autorită</w:t>
      </w:r>
      <w:r w:rsidR="000873E3" w:rsidRPr="00CF12F3">
        <w:rPr>
          <w:b/>
          <w:i/>
          <w:sz w:val="20"/>
          <w:szCs w:val="20"/>
        </w:rPr>
        <w:t>ț</w:t>
      </w:r>
      <w:r w:rsidRPr="00CF12F3">
        <w:rPr>
          <w:b/>
          <w:i/>
          <w:sz w:val="20"/>
          <w:szCs w:val="20"/>
        </w:rPr>
        <w:t xml:space="preserve">i </w:t>
      </w:r>
      <w:r w:rsidR="008A2B6D" w:rsidRPr="00CF12F3">
        <w:rPr>
          <w:b/>
          <w:i/>
          <w:sz w:val="20"/>
          <w:szCs w:val="20"/>
        </w:rPr>
        <w:t xml:space="preserve">ale </w:t>
      </w:r>
      <w:r w:rsidRPr="00CF12F3">
        <w:rPr>
          <w:b/>
          <w:i/>
          <w:sz w:val="20"/>
          <w:szCs w:val="20"/>
        </w:rPr>
        <w:t>administra</w:t>
      </w:r>
      <w:r w:rsidR="000873E3" w:rsidRPr="00CF12F3">
        <w:rPr>
          <w:b/>
          <w:i/>
          <w:sz w:val="20"/>
          <w:szCs w:val="20"/>
        </w:rPr>
        <w:t>ț</w:t>
      </w:r>
      <w:r w:rsidR="008A2B6D" w:rsidRPr="00CF12F3">
        <w:rPr>
          <w:b/>
          <w:i/>
          <w:sz w:val="20"/>
          <w:szCs w:val="20"/>
        </w:rPr>
        <w:t>iei publice</w:t>
      </w:r>
      <w:r w:rsidR="009E5F77" w:rsidRPr="00CF12F3">
        <w:rPr>
          <w:b/>
          <w:i/>
          <w:sz w:val="20"/>
          <w:szCs w:val="20"/>
        </w:rPr>
        <w:t>, mil. lei</w:t>
      </w:r>
      <w:r w:rsidR="00843094" w:rsidRPr="00CF12F3">
        <w:rPr>
          <w:i/>
          <w:sz w:val="20"/>
          <w:szCs w:val="20"/>
        </w:rPr>
        <w:t xml:space="preserve">                                                                                                                                                                                                                                    </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10"/>
        <w:gridCol w:w="1220"/>
        <w:gridCol w:w="625"/>
        <w:gridCol w:w="3559"/>
        <w:gridCol w:w="1128"/>
      </w:tblGrid>
      <w:tr w:rsidR="00143B34" w:rsidRPr="00870FB6" w:rsidTr="009C08BF">
        <w:trPr>
          <w:jc w:val="center"/>
        </w:trPr>
        <w:tc>
          <w:tcPr>
            <w:tcW w:w="510" w:type="dxa"/>
            <w:vMerge w:val="restart"/>
          </w:tcPr>
          <w:p w:rsidR="00223771" w:rsidRPr="00870FB6" w:rsidRDefault="00223771" w:rsidP="00B30BD2">
            <w:pPr>
              <w:jc w:val="center"/>
              <w:rPr>
                <w:b/>
                <w:i/>
                <w:iCs/>
                <w:sz w:val="20"/>
                <w:szCs w:val="20"/>
              </w:rPr>
            </w:pPr>
            <w:r w:rsidRPr="00870FB6">
              <w:rPr>
                <w:b/>
                <w:i/>
                <w:iCs/>
                <w:sz w:val="20"/>
                <w:szCs w:val="20"/>
              </w:rPr>
              <w:t>Nr.</w:t>
            </w:r>
          </w:p>
          <w:p w:rsidR="008A2B6D" w:rsidRPr="00870FB6" w:rsidRDefault="008A2B6D" w:rsidP="00B30BD2">
            <w:pPr>
              <w:jc w:val="center"/>
              <w:rPr>
                <w:b/>
                <w:i/>
                <w:iCs/>
                <w:sz w:val="20"/>
                <w:szCs w:val="20"/>
              </w:rPr>
            </w:pPr>
            <w:r w:rsidRPr="00870FB6">
              <w:rPr>
                <w:b/>
                <w:i/>
                <w:iCs/>
                <w:sz w:val="20"/>
                <w:szCs w:val="20"/>
              </w:rPr>
              <w:t>d/o</w:t>
            </w:r>
          </w:p>
        </w:tc>
        <w:tc>
          <w:tcPr>
            <w:tcW w:w="3730" w:type="dxa"/>
            <w:gridSpan w:val="2"/>
          </w:tcPr>
          <w:p w:rsidR="00223771" w:rsidRPr="00870FB6" w:rsidRDefault="00223771" w:rsidP="00B30BD2">
            <w:pPr>
              <w:jc w:val="center"/>
              <w:rPr>
                <w:b/>
                <w:i/>
                <w:iCs/>
                <w:sz w:val="20"/>
                <w:szCs w:val="20"/>
              </w:rPr>
            </w:pPr>
            <w:r w:rsidRPr="00870FB6">
              <w:rPr>
                <w:b/>
                <w:i/>
                <w:iCs/>
                <w:sz w:val="20"/>
                <w:szCs w:val="20"/>
              </w:rPr>
              <w:t>Majorări ale activelor</w:t>
            </w:r>
          </w:p>
          <w:p w:rsidR="00223771" w:rsidRPr="00870FB6" w:rsidRDefault="004260BE" w:rsidP="00B30BD2">
            <w:pPr>
              <w:jc w:val="center"/>
              <w:rPr>
                <w:b/>
                <w:i/>
                <w:iCs/>
                <w:sz w:val="20"/>
                <w:szCs w:val="20"/>
              </w:rPr>
            </w:pPr>
            <w:r w:rsidRPr="00870FB6">
              <w:rPr>
                <w:b/>
                <w:i/>
                <w:iCs/>
                <w:sz w:val="20"/>
                <w:szCs w:val="20"/>
              </w:rPr>
              <w:t xml:space="preserve">comparativ cu </w:t>
            </w:r>
            <w:r w:rsidR="007F3CD0" w:rsidRPr="00870FB6">
              <w:rPr>
                <w:b/>
                <w:i/>
                <w:iCs/>
                <w:sz w:val="20"/>
                <w:szCs w:val="20"/>
              </w:rPr>
              <w:t>01.01.201</w:t>
            </w:r>
            <w:r w:rsidR="00DF17D3" w:rsidRPr="00870FB6">
              <w:rPr>
                <w:b/>
                <w:i/>
                <w:iCs/>
                <w:sz w:val="20"/>
                <w:szCs w:val="20"/>
              </w:rPr>
              <w:t>7</w:t>
            </w:r>
          </w:p>
        </w:tc>
        <w:tc>
          <w:tcPr>
            <w:tcW w:w="625" w:type="dxa"/>
            <w:vMerge w:val="restart"/>
          </w:tcPr>
          <w:p w:rsidR="00223771" w:rsidRPr="00870FB6" w:rsidRDefault="00223771" w:rsidP="00B30BD2">
            <w:pPr>
              <w:jc w:val="center"/>
              <w:rPr>
                <w:b/>
                <w:i/>
                <w:iCs/>
                <w:sz w:val="20"/>
                <w:szCs w:val="20"/>
              </w:rPr>
            </w:pPr>
            <w:r w:rsidRPr="00870FB6">
              <w:rPr>
                <w:b/>
                <w:i/>
                <w:iCs/>
                <w:sz w:val="20"/>
                <w:szCs w:val="20"/>
              </w:rPr>
              <w:t>Nr.</w:t>
            </w:r>
          </w:p>
          <w:p w:rsidR="008A2B6D" w:rsidRPr="00870FB6" w:rsidRDefault="008A2B6D" w:rsidP="00B30BD2">
            <w:pPr>
              <w:jc w:val="center"/>
              <w:rPr>
                <w:b/>
                <w:i/>
                <w:iCs/>
                <w:sz w:val="20"/>
                <w:szCs w:val="20"/>
              </w:rPr>
            </w:pPr>
            <w:r w:rsidRPr="00870FB6">
              <w:rPr>
                <w:b/>
                <w:i/>
                <w:iCs/>
                <w:sz w:val="20"/>
                <w:szCs w:val="20"/>
              </w:rPr>
              <w:t>d/o</w:t>
            </w:r>
          </w:p>
        </w:tc>
        <w:tc>
          <w:tcPr>
            <w:tcW w:w="4687" w:type="dxa"/>
            <w:gridSpan w:val="2"/>
          </w:tcPr>
          <w:p w:rsidR="00223771" w:rsidRPr="00870FB6" w:rsidRDefault="00223771" w:rsidP="00B30BD2">
            <w:pPr>
              <w:jc w:val="center"/>
              <w:rPr>
                <w:b/>
                <w:i/>
                <w:iCs/>
                <w:sz w:val="20"/>
                <w:szCs w:val="20"/>
              </w:rPr>
            </w:pPr>
            <w:r w:rsidRPr="00870FB6">
              <w:rPr>
                <w:b/>
                <w:i/>
                <w:iCs/>
                <w:sz w:val="20"/>
                <w:szCs w:val="20"/>
              </w:rPr>
              <w:t>Diminuări ale activelor</w:t>
            </w:r>
          </w:p>
          <w:p w:rsidR="00223771" w:rsidRPr="00870FB6" w:rsidRDefault="009B4AC6" w:rsidP="00B30BD2">
            <w:pPr>
              <w:jc w:val="center"/>
              <w:rPr>
                <w:b/>
                <w:i/>
                <w:iCs/>
                <w:sz w:val="20"/>
                <w:szCs w:val="20"/>
              </w:rPr>
            </w:pPr>
            <w:r w:rsidRPr="00870FB6">
              <w:rPr>
                <w:b/>
                <w:i/>
                <w:iCs/>
                <w:sz w:val="20"/>
                <w:szCs w:val="20"/>
              </w:rPr>
              <w:t xml:space="preserve">comparativ cu </w:t>
            </w:r>
            <w:r w:rsidR="007F3CD0" w:rsidRPr="00870FB6">
              <w:rPr>
                <w:b/>
                <w:i/>
                <w:iCs/>
                <w:sz w:val="20"/>
                <w:szCs w:val="20"/>
              </w:rPr>
              <w:t>01.01.201</w:t>
            </w:r>
            <w:r w:rsidR="00DF17D3" w:rsidRPr="00870FB6">
              <w:rPr>
                <w:b/>
                <w:i/>
                <w:iCs/>
                <w:sz w:val="20"/>
                <w:szCs w:val="20"/>
              </w:rPr>
              <w:t>7</w:t>
            </w:r>
          </w:p>
        </w:tc>
      </w:tr>
      <w:tr w:rsidR="00143B34" w:rsidRPr="00870FB6" w:rsidTr="009C08BF">
        <w:trPr>
          <w:jc w:val="center"/>
        </w:trPr>
        <w:tc>
          <w:tcPr>
            <w:tcW w:w="510" w:type="dxa"/>
            <w:vMerge/>
          </w:tcPr>
          <w:p w:rsidR="00223771" w:rsidRPr="00870FB6" w:rsidRDefault="00223771" w:rsidP="00B30BD2">
            <w:pPr>
              <w:jc w:val="center"/>
              <w:rPr>
                <w:sz w:val="20"/>
                <w:szCs w:val="20"/>
              </w:rPr>
            </w:pPr>
          </w:p>
        </w:tc>
        <w:tc>
          <w:tcPr>
            <w:tcW w:w="2510" w:type="dxa"/>
          </w:tcPr>
          <w:p w:rsidR="00223771" w:rsidRPr="00870FB6" w:rsidRDefault="00223771" w:rsidP="00B30BD2">
            <w:pPr>
              <w:jc w:val="center"/>
              <w:rPr>
                <w:b/>
                <w:sz w:val="20"/>
                <w:szCs w:val="20"/>
              </w:rPr>
            </w:pPr>
            <w:r w:rsidRPr="00870FB6">
              <w:rPr>
                <w:b/>
                <w:sz w:val="20"/>
                <w:szCs w:val="20"/>
              </w:rPr>
              <w:t>Fondator</w:t>
            </w:r>
          </w:p>
        </w:tc>
        <w:tc>
          <w:tcPr>
            <w:tcW w:w="1220" w:type="dxa"/>
          </w:tcPr>
          <w:p w:rsidR="00223771" w:rsidRPr="00870FB6" w:rsidRDefault="00223771" w:rsidP="00B30BD2">
            <w:pPr>
              <w:jc w:val="center"/>
              <w:rPr>
                <w:b/>
                <w:sz w:val="20"/>
                <w:szCs w:val="20"/>
              </w:rPr>
            </w:pPr>
            <w:r w:rsidRPr="00870FB6">
              <w:rPr>
                <w:b/>
                <w:sz w:val="20"/>
                <w:szCs w:val="20"/>
              </w:rPr>
              <w:t>Valoarea</w:t>
            </w:r>
          </w:p>
          <w:p w:rsidR="00223771" w:rsidRPr="00870FB6" w:rsidRDefault="00223771" w:rsidP="00B30BD2">
            <w:pPr>
              <w:jc w:val="center"/>
              <w:rPr>
                <w:b/>
                <w:sz w:val="20"/>
                <w:szCs w:val="20"/>
              </w:rPr>
            </w:pPr>
            <w:r w:rsidRPr="00870FB6">
              <w:rPr>
                <w:b/>
                <w:sz w:val="20"/>
                <w:szCs w:val="20"/>
              </w:rPr>
              <w:t xml:space="preserve">majorării </w:t>
            </w:r>
          </w:p>
        </w:tc>
        <w:tc>
          <w:tcPr>
            <w:tcW w:w="625" w:type="dxa"/>
            <w:vMerge/>
          </w:tcPr>
          <w:p w:rsidR="00223771" w:rsidRPr="00870FB6" w:rsidRDefault="00223771" w:rsidP="00B30BD2">
            <w:pPr>
              <w:jc w:val="center"/>
              <w:rPr>
                <w:b/>
                <w:sz w:val="20"/>
                <w:szCs w:val="20"/>
              </w:rPr>
            </w:pPr>
          </w:p>
        </w:tc>
        <w:tc>
          <w:tcPr>
            <w:tcW w:w="3559" w:type="dxa"/>
          </w:tcPr>
          <w:p w:rsidR="00223771" w:rsidRPr="00870FB6" w:rsidRDefault="00223771" w:rsidP="00B30BD2">
            <w:pPr>
              <w:jc w:val="center"/>
              <w:rPr>
                <w:b/>
                <w:sz w:val="20"/>
                <w:szCs w:val="20"/>
              </w:rPr>
            </w:pPr>
            <w:r w:rsidRPr="00870FB6">
              <w:rPr>
                <w:b/>
                <w:sz w:val="20"/>
                <w:szCs w:val="20"/>
              </w:rPr>
              <w:t>Fondator</w:t>
            </w:r>
          </w:p>
        </w:tc>
        <w:tc>
          <w:tcPr>
            <w:tcW w:w="1128" w:type="dxa"/>
          </w:tcPr>
          <w:p w:rsidR="00223771" w:rsidRPr="00870FB6" w:rsidRDefault="00223771" w:rsidP="00B30BD2">
            <w:pPr>
              <w:jc w:val="center"/>
              <w:rPr>
                <w:b/>
                <w:sz w:val="20"/>
                <w:szCs w:val="20"/>
              </w:rPr>
            </w:pPr>
            <w:r w:rsidRPr="00870FB6">
              <w:rPr>
                <w:b/>
                <w:sz w:val="20"/>
                <w:szCs w:val="20"/>
              </w:rPr>
              <w:t xml:space="preserve">Valoarea diminuării </w:t>
            </w:r>
          </w:p>
        </w:tc>
      </w:tr>
      <w:tr w:rsidR="00143B34" w:rsidRPr="00870FB6" w:rsidTr="009C08BF">
        <w:trPr>
          <w:jc w:val="center"/>
        </w:trPr>
        <w:tc>
          <w:tcPr>
            <w:tcW w:w="510" w:type="dxa"/>
          </w:tcPr>
          <w:p w:rsidR="00223771" w:rsidRPr="00870FB6" w:rsidRDefault="00223771" w:rsidP="00927137">
            <w:pPr>
              <w:jc w:val="center"/>
              <w:rPr>
                <w:sz w:val="20"/>
                <w:szCs w:val="20"/>
              </w:rPr>
            </w:pPr>
            <w:r w:rsidRPr="00870FB6">
              <w:rPr>
                <w:sz w:val="20"/>
                <w:szCs w:val="20"/>
              </w:rPr>
              <w:t>1</w:t>
            </w:r>
            <w:r w:rsidR="008A2B6D" w:rsidRPr="00870FB6">
              <w:rPr>
                <w:sz w:val="20"/>
                <w:szCs w:val="20"/>
              </w:rPr>
              <w:t>.</w:t>
            </w:r>
          </w:p>
        </w:tc>
        <w:tc>
          <w:tcPr>
            <w:tcW w:w="2510" w:type="dxa"/>
          </w:tcPr>
          <w:p w:rsidR="00223771" w:rsidRPr="00870FB6" w:rsidRDefault="00223771" w:rsidP="00B30BD2">
            <w:pPr>
              <w:rPr>
                <w:sz w:val="20"/>
                <w:szCs w:val="20"/>
              </w:rPr>
            </w:pPr>
            <w:r w:rsidRPr="00870FB6">
              <w:rPr>
                <w:sz w:val="20"/>
                <w:szCs w:val="20"/>
              </w:rPr>
              <w:t xml:space="preserve">Ministerul </w:t>
            </w:r>
            <w:r w:rsidR="00DF17D3" w:rsidRPr="00870FB6">
              <w:rPr>
                <w:sz w:val="20"/>
                <w:szCs w:val="20"/>
              </w:rPr>
              <w:t>Educa</w:t>
            </w:r>
            <w:r w:rsidR="000873E3">
              <w:rPr>
                <w:sz w:val="20"/>
                <w:szCs w:val="20"/>
              </w:rPr>
              <w:t>ț</w:t>
            </w:r>
            <w:r w:rsidR="00DF17D3" w:rsidRPr="00870FB6">
              <w:rPr>
                <w:sz w:val="20"/>
                <w:szCs w:val="20"/>
              </w:rPr>
              <w:t>iei, Culturii și Cercetării</w:t>
            </w:r>
          </w:p>
        </w:tc>
        <w:tc>
          <w:tcPr>
            <w:tcW w:w="1220" w:type="dxa"/>
          </w:tcPr>
          <w:p w:rsidR="00223771" w:rsidRPr="00870FB6" w:rsidRDefault="00DF17D3" w:rsidP="00B30BD2">
            <w:pPr>
              <w:jc w:val="center"/>
              <w:rPr>
                <w:sz w:val="20"/>
                <w:szCs w:val="20"/>
              </w:rPr>
            </w:pPr>
            <w:r w:rsidRPr="00870FB6">
              <w:rPr>
                <w:sz w:val="20"/>
                <w:szCs w:val="20"/>
              </w:rPr>
              <w:t>130,0</w:t>
            </w:r>
          </w:p>
        </w:tc>
        <w:tc>
          <w:tcPr>
            <w:tcW w:w="625" w:type="dxa"/>
          </w:tcPr>
          <w:p w:rsidR="00223771" w:rsidRPr="00870FB6" w:rsidRDefault="00223771" w:rsidP="00927137">
            <w:pPr>
              <w:jc w:val="center"/>
              <w:rPr>
                <w:sz w:val="20"/>
                <w:szCs w:val="20"/>
              </w:rPr>
            </w:pPr>
            <w:r w:rsidRPr="00870FB6">
              <w:rPr>
                <w:sz w:val="20"/>
                <w:szCs w:val="20"/>
              </w:rPr>
              <w:t>1</w:t>
            </w:r>
            <w:r w:rsidR="008A2B6D" w:rsidRPr="00870FB6">
              <w:rPr>
                <w:sz w:val="20"/>
                <w:szCs w:val="20"/>
              </w:rPr>
              <w:t>.</w:t>
            </w:r>
          </w:p>
        </w:tc>
        <w:tc>
          <w:tcPr>
            <w:tcW w:w="3559" w:type="dxa"/>
          </w:tcPr>
          <w:p w:rsidR="005060F1" w:rsidRPr="00870FB6" w:rsidRDefault="00DF17D3" w:rsidP="00B30BD2">
            <w:pPr>
              <w:rPr>
                <w:sz w:val="20"/>
                <w:szCs w:val="20"/>
              </w:rPr>
            </w:pPr>
            <w:r w:rsidRPr="00870FB6">
              <w:rPr>
                <w:sz w:val="20"/>
                <w:szCs w:val="20"/>
              </w:rPr>
              <w:t>Ministerul Agriculturii, Dezvoltării Regionale și Mediului</w:t>
            </w:r>
            <w:r w:rsidR="001B4C33">
              <w:rPr>
                <w:sz w:val="20"/>
                <w:szCs w:val="20"/>
              </w:rPr>
              <w:t xml:space="preserve"> </w:t>
            </w:r>
            <w:r w:rsidR="001B4C33" w:rsidRPr="001B4C33">
              <w:rPr>
                <w:i/>
                <w:sz w:val="16"/>
                <w:szCs w:val="16"/>
              </w:rPr>
              <w:t>(dat fiind diminuarea considerabilă a activelor Î.S. „Colegiul Național de Viticultură și Vinificație din Chișinău” – cu 252,5 mil. lei</w:t>
            </w:r>
            <w:r w:rsidR="001B4C33">
              <w:rPr>
                <w:rStyle w:val="FootnoteReference"/>
                <w:i/>
                <w:sz w:val="16"/>
                <w:szCs w:val="16"/>
              </w:rPr>
              <w:footnoteReference w:id="1"/>
            </w:r>
            <w:r w:rsidR="001B4C33" w:rsidRPr="001B4C33">
              <w:rPr>
                <w:i/>
                <w:sz w:val="16"/>
                <w:szCs w:val="16"/>
              </w:rPr>
              <w:t>)</w:t>
            </w:r>
          </w:p>
        </w:tc>
        <w:tc>
          <w:tcPr>
            <w:tcW w:w="1128" w:type="dxa"/>
          </w:tcPr>
          <w:p w:rsidR="00223771" w:rsidRPr="00870FB6" w:rsidRDefault="00DF17D3" w:rsidP="00B30BD2">
            <w:pPr>
              <w:jc w:val="center"/>
              <w:rPr>
                <w:sz w:val="20"/>
                <w:szCs w:val="20"/>
              </w:rPr>
            </w:pPr>
            <w:r w:rsidRPr="00870FB6">
              <w:rPr>
                <w:sz w:val="20"/>
                <w:szCs w:val="20"/>
              </w:rPr>
              <w:t>205,8</w:t>
            </w:r>
          </w:p>
        </w:tc>
      </w:tr>
      <w:tr w:rsidR="00143B34" w:rsidRPr="00870FB6" w:rsidTr="009C08BF">
        <w:trPr>
          <w:trHeight w:val="456"/>
          <w:jc w:val="center"/>
        </w:trPr>
        <w:tc>
          <w:tcPr>
            <w:tcW w:w="510" w:type="dxa"/>
          </w:tcPr>
          <w:p w:rsidR="00223771" w:rsidRPr="00870FB6" w:rsidRDefault="00223771" w:rsidP="00927137">
            <w:pPr>
              <w:jc w:val="center"/>
              <w:rPr>
                <w:sz w:val="20"/>
                <w:szCs w:val="20"/>
              </w:rPr>
            </w:pPr>
            <w:r w:rsidRPr="00870FB6">
              <w:rPr>
                <w:sz w:val="20"/>
                <w:szCs w:val="20"/>
              </w:rPr>
              <w:t>2</w:t>
            </w:r>
            <w:r w:rsidR="008A2B6D" w:rsidRPr="00870FB6">
              <w:rPr>
                <w:sz w:val="20"/>
                <w:szCs w:val="20"/>
              </w:rPr>
              <w:t>.</w:t>
            </w:r>
          </w:p>
          <w:p w:rsidR="0014603D" w:rsidRPr="00870FB6" w:rsidRDefault="0014603D" w:rsidP="00927137">
            <w:pPr>
              <w:jc w:val="center"/>
              <w:rPr>
                <w:sz w:val="20"/>
                <w:szCs w:val="20"/>
              </w:rPr>
            </w:pPr>
          </w:p>
        </w:tc>
        <w:tc>
          <w:tcPr>
            <w:tcW w:w="2510" w:type="dxa"/>
          </w:tcPr>
          <w:p w:rsidR="006A5A34" w:rsidRPr="00870FB6" w:rsidRDefault="00DF17D3" w:rsidP="00B30BD2">
            <w:pPr>
              <w:rPr>
                <w:sz w:val="20"/>
                <w:szCs w:val="20"/>
              </w:rPr>
            </w:pPr>
            <w:r w:rsidRPr="00870FB6">
              <w:rPr>
                <w:sz w:val="20"/>
                <w:szCs w:val="20"/>
              </w:rPr>
              <w:t>Agen</w:t>
            </w:r>
            <w:r w:rsidR="000873E3">
              <w:rPr>
                <w:sz w:val="20"/>
                <w:szCs w:val="20"/>
              </w:rPr>
              <w:t>ț</w:t>
            </w:r>
            <w:r w:rsidRPr="00870FB6">
              <w:rPr>
                <w:sz w:val="20"/>
                <w:szCs w:val="20"/>
              </w:rPr>
              <w:t>ia „Moldsilva”</w:t>
            </w:r>
          </w:p>
        </w:tc>
        <w:tc>
          <w:tcPr>
            <w:tcW w:w="1220" w:type="dxa"/>
          </w:tcPr>
          <w:p w:rsidR="006A5A34" w:rsidRPr="00870FB6" w:rsidRDefault="00DF17D3" w:rsidP="00B30BD2">
            <w:pPr>
              <w:jc w:val="center"/>
              <w:rPr>
                <w:sz w:val="20"/>
                <w:szCs w:val="20"/>
              </w:rPr>
            </w:pPr>
            <w:r w:rsidRPr="00870FB6">
              <w:rPr>
                <w:sz w:val="20"/>
                <w:szCs w:val="20"/>
              </w:rPr>
              <w:t>12,4</w:t>
            </w:r>
          </w:p>
        </w:tc>
        <w:tc>
          <w:tcPr>
            <w:tcW w:w="625" w:type="dxa"/>
          </w:tcPr>
          <w:p w:rsidR="00223771" w:rsidRPr="00870FB6" w:rsidRDefault="00223771" w:rsidP="00927137">
            <w:pPr>
              <w:jc w:val="center"/>
              <w:rPr>
                <w:sz w:val="20"/>
                <w:szCs w:val="20"/>
              </w:rPr>
            </w:pPr>
            <w:r w:rsidRPr="00870FB6">
              <w:rPr>
                <w:sz w:val="20"/>
                <w:szCs w:val="20"/>
              </w:rPr>
              <w:t>2</w:t>
            </w:r>
            <w:r w:rsidR="008A2B6D" w:rsidRPr="00870FB6">
              <w:rPr>
                <w:sz w:val="20"/>
                <w:szCs w:val="20"/>
              </w:rPr>
              <w:t>.</w:t>
            </w:r>
          </w:p>
        </w:tc>
        <w:tc>
          <w:tcPr>
            <w:tcW w:w="3559" w:type="dxa"/>
          </w:tcPr>
          <w:p w:rsidR="00223771" w:rsidRPr="00870FB6" w:rsidRDefault="005060F1" w:rsidP="00B30BD2">
            <w:pPr>
              <w:rPr>
                <w:sz w:val="20"/>
                <w:szCs w:val="20"/>
              </w:rPr>
            </w:pPr>
            <w:r w:rsidRPr="00870FB6">
              <w:rPr>
                <w:sz w:val="20"/>
                <w:szCs w:val="20"/>
              </w:rPr>
              <w:t>Ministerul Economiei</w:t>
            </w:r>
            <w:r w:rsidR="00DF17D3" w:rsidRPr="00870FB6">
              <w:rPr>
                <w:sz w:val="20"/>
                <w:szCs w:val="20"/>
              </w:rPr>
              <w:t xml:space="preserve"> și Infrastructurii</w:t>
            </w:r>
            <w:r w:rsidR="009C08BF">
              <w:rPr>
                <w:sz w:val="20"/>
                <w:szCs w:val="20"/>
              </w:rPr>
              <w:t xml:space="preserve"> </w:t>
            </w:r>
            <w:r w:rsidR="009C08BF" w:rsidRPr="009C08BF">
              <w:rPr>
                <w:i/>
                <w:sz w:val="16"/>
                <w:szCs w:val="16"/>
              </w:rPr>
              <w:t>(cele mai mari diminuări atestîndu-se la Î.S. „Calea Ferată din Moldova” – cu 139,6 mil. lei, Î.S. „Administrația de Stat a Drumurilor” – cu 127,5 mil. lei</w:t>
            </w:r>
            <w:r w:rsidR="009C08BF">
              <w:rPr>
                <w:rStyle w:val="FootnoteReference"/>
                <w:i/>
                <w:sz w:val="16"/>
                <w:szCs w:val="16"/>
              </w:rPr>
              <w:footnoteReference w:id="2"/>
            </w:r>
            <w:r w:rsidR="009C08BF" w:rsidRPr="009C08BF">
              <w:rPr>
                <w:i/>
                <w:sz w:val="16"/>
                <w:szCs w:val="16"/>
              </w:rPr>
              <w:t xml:space="preserve"> , Î.S. Compania Aeriană „Air Moldova” – cu 91,4 mil. lei)</w:t>
            </w:r>
          </w:p>
        </w:tc>
        <w:tc>
          <w:tcPr>
            <w:tcW w:w="1128" w:type="dxa"/>
          </w:tcPr>
          <w:p w:rsidR="00223771" w:rsidRPr="00870FB6" w:rsidRDefault="00DF17D3" w:rsidP="00B30BD2">
            <w:pPr>
              <w:jc w:val="center"/>
              <w:rPr>
                <w:sz w:val="20"/>
                <w:szCs w:val="20"/>
              </w:rPr>
            </w:pPr>
            <w:r w:rsidRPr="00870FB6">
              <w:rPr>
                <w:sz w:val="20"/>
                <w:szCs w:val="20"/>
              </w:rPr>
              <w:t>55,0</w:t>
            </w:r>
          </w:p>
        </w:tc>
      </w:tr>
      <w:tr w:rsidR="00143B34" w:rsidRPr="00870FB6" w:rsidTr="009C08BF">
        <w:trPr>
          <w:jc w:val="center"/>
        </w:trPr>
        <w:tc>
          <w:tcPr>
            <w:tcW w:w="510" w:type="dxa"/>
          </w:tcPr>
          <w:p w:rsidR="0014603D" w:rsidRPr="00870FB6" w:rsidRDefault="0014603D" w:rsidP="00927137">
            <w:pPr>
              <w:jc w:val="center"/>
              <w:rPr>
                <w:sz w:val="20"/>
                <w:szCs w:val="20"/>
              </w:rPr>
            </w:pPr>
            <w:r w:rsidRPr="00870FB6">
              <w:rPr>
                <w:sz w:val="20"/>
                <w:szCs w:val="20"/>
              </w:rPr>
              <w:t>3.</w:t>
            </w:r>
          </w:p>
        </w:tc>
        <w:tc>
          <w:tcPr>
            <w:tcW w:w="2510" w:type="dxa"/>
          </w:tcPr>
          <w:p w:rsidR="00DF17D3" w:rsidRPr="00870FB6" w:rsidRDefault="00DF17D3" w:rsidP="00B30BD2">
            <w:pPr>
              <w:rPr>
                <w:sz w:val="20"/>
                <w:szCs w:val="20"/>
              </w:rPr>
            </w:pPr>
            <w:r w:rsidRPr="00870FB6">
              <w:rPr>
                <w:sz w:val="20"/>
                <w:szCs w:val="20"/>
              </w:rPr>
              <w:t>Agen</w:t>
            </w:r>
            <w:r w:rsidR="000873E3">
              <w:rPr>
                <w:sz w:val="20"/>
                <w:szCs w:val="20"/>
              </w:rPr>
              <w:t>ț</w:t>
            </w:r>
            <w:r w:rsidRPr="00870FB6">
              <w:rPr>
                <w:sz w:val="20"/>
                <w:szCs w:val="20"/>
              </w:rPr>
              <w:t xml:space="preserve">ia Rezerve Materiale </w:t>
            </w:r>
          </w:p>
          <w:p w:rsidR="0014603D" w:rsidRPr="00870FB6" w:rsidRDefault="00DF17D3" w:rsidP="00B30BD2">
            <w:pPr>
              <w:rPr>
                <w:i/>
                <w:sz w:val="16"/>
                <w:szCs w:val="16"/>
              </w:rPr>
            </w:pPr>
            <w:r w:rsidRPr="00870FB6">
              <w:rPr>
                <w:i/>
                <w:sz w:val="16"/>
                <w:szCs w:val="16"/>
              </w:rPr>
              <w:t>(Î.S. „Rezervcom”)</w:t>
            </w:r>
          </w:p>
        </w:tc>
        <w:tc>
          <w:tcPr>
            <w:tcW w:w="1220" w:type="dxa"/>
          </w:tcPr>
          <w:p w:rsidR="0014603D" w:rsidRPr="00870FB6" w:rsidRDefault="00DF17D3" w:rsidP="00B30BD2">
            <w:pPr>
              <w:jc w:val="center"/>
              <w:rPr>
                <w:sz w:val="20"/>
                <w:szCs w:val="20"/>
              </w:rPr>
            </w:pPr>
            <w:r w:rsidRPr="00870FB6">
              <w:rPr>
                <w:sz w:val="20"/>
                <w:szCs w:val="20"/>
              </w:rPr>
              <w:t>3,7</w:t>
            </w:r>
          </w:p>
          <w:p w:rsidR="0014603D" w:rsidRPr="00870FB6" w:rsidRDefault="0014603D" w:rsidP="00B30BD2">
            <w:pPr>
              <w:jc w:val="center"/>
              <w:rPr>
                <w:sz w:val="20"/>
                <w:szCs w:val="20"/>
              </w:rPr>
            </w:pPr>
          </w:p>
        </w:tc>
        <w:tc>
          <w:tcPr>
            <w:tcW w:w="625" w:type="dxa"/>
          </w:tcPr>
          <w:p w:rsidR="0014603D" w:rsidRPr="00870FB6" w:rsidRDefault="0014603D" w:rsidP="00927137">
            <w:pPr>
              <w:jc w:val="center"/>
              <w:rPr>
                <w:sz w:val="20"/>
                <w:szCs w:val="20"/>
              </w:rPr>
            </w:pPr>
            <w:r w:rsidRPr="00870FB6">
              <w:rPr>
                <w:sz w:val="20"/>
                <w:szCs w:val="20"/>
              </w:rPr>
              <w:t>3.</w:t>
            </w:r>
          </w:p>
        </w:tc>
        <w:tc>
          <w:tcPr>
            <w:tcW w:w="3559" w:type="dxa"/>
          </w:tcPr>
          <w:p w:rsidR="0014603D" w:rsidRPr="00870FB6" w:rsidRDefault="00DF17D3" w:rsidP="00B30BD2">
            <w:pPr>
              <w:rPr>
                <w:sz w:val="20"/>
                <w:szCs w:val="20"/>
              </w:rPr>
            </w:pPr>
            <w:r w:rsidRPr="00870FB6">
              <w:rPr>
                <w:sz w:val="20"/>
                <w:szCs w:val="20"/>
              </w:rPr>
              <w:t>Agen</w:t>
            </w:r>
            <w:r w:rsidR="000873E3">
              <w:rPr>
                <w:sz w:val="20"/>
                <w:szCs w:val="20"/>
              </w:rPr>
              <w:t>ț</w:t>
            </w:r>
            <w:r w:rsidRPr="00870FB6">
              <w:rPr>
                <w:sz w:val="20"/>
                <w:szCs w:val="20"/>
              </w:rPr>
              <w:t>ia „Apele Moldovei”</w:t>
            </w:r>
            <w:r w:rsidR="009C08BF">
              <w:rPr>
                <w:sz w:val="20"/>
                <w:szCs w:val="20"/>
              </w:rPr>
              <w:t xml:space="preserve"> </w:t>
            </w:r>
            <w:r w:rsidR="009C08BF" w:rsidRPr="009C08BF">
              <w:rPr>
                <w:i/>
                <w:sz w:val="16"/>
                <w:szCs w:val="16"/>
              </w:rPr>
              <w:t>(12 din 13 întreprinderi din administrare, monitorizate de Ministerul Finanțelor pentru rezultatele anului 2017, au înregistrat diminuări ale activelor totale).</w:t>
            </w:r>
          </w:p>
        </w:tc>
        <w:tc>
          <w:tcPr>
            <w:tcW w:w="1128" w:type="dxa"/>
          </w:tcPr>
          <w:p w:rsidR="0014603D" w:rsidRPr="00870FB6" w:rsidRDefault="00DF17D3" w:rsidP="00B30BD2">
            <w:pPr>
              <w:jc w:val="center"/>
              <w:rPr>
                <w:sz w:val="20"/>
                <w:szCs w:val="20"/>
              </w:rPr>
            </w:pPr>
            <w:r w:rsidRPr="00870FB6">
              <w:rPr>
                <w:sz w:val="20"/>
                <w:szCs w:val="20"/>
              </w:rPr>
              <w:t>24,2</w:t>
            </w:r>
          </w:p>
        </w:tc>
      </w:tr>
      <w:tr w:rsidR="00143B34" w:rsidRPr="00870FB6" w:rsidTr="009C08BF">
        <w:trPr>
          <w:jc w:val="center"/>
        </w:trPr>
        <w:tc>
          <w:tcPr>
            <w:tcW w:w="510" w:type="dxa"/>
          </w:tcPr>
          <w:p w:rsidR="0014603D" w:rsidRPr="00870FB6" w:rsidRDefault="0014603D" w:rsidP="00927137">
            <w:pPr>
              <w:jc w:val="center"/>
              <w:rPr>
                <w:sz w:val="20"/>
                <w:szCs w:val="20"/>
              </w:rPr>
            </w:pPr>
            <w:r w:rsidRPr="00870FB6">
              <w:rPr>
                <w:sz w:val="20"/>
                <w:szCs w:val="20"/>
              </w:rPr>
              <w:t>4.</w:t>
            </w:r>
          </w:p>
        </w:tc>
        <w:tc>
          <w:tcPr>
            <w:tcW w:w="2510" w:type="dxa"/>
          </w:tcPr>
          <w:p w:rsidR="00903134" w:rsidRPr="00870FB6" w:rsidRDefault="00DF17D3" w:rsidP="00B30BD2">
            <w:pPr>
              <w:rPr>
                <w:sz w:val="20"/>
                <w:szCs w:val="20"/>
              </w:rPr>
            </w:pPr>
            <w:r w:rsidRPr="00870FB6">
              <w:rPr>
                <w:sz w:val="20"/>
                <w:szCs w:val="20"/>
              </w:rPr>
              <w:t>Biroul Na</w:t>
            </w:r>
            <w:r w:rsidR="000873E3">
              <w:rPr>
                <w:sz w:val="20"/>
                <w:szCs w:val="20"/>
              </w:rPr>
              <w:t>ț</w:t>
            </w:r>
            <w:r w:rsidRPr="00870FB6">
              <w:rPr>
                <w:sz w:val="20"/>
                <w:szCs w:val="20"/>
              </w:rPr>
              <w:t xml:space="preserve">ional de Statistică </w:t>
            </w:r>
          </w:p>
          <w:p w:rsidR="0014603D" w:rsidRPr="00870FB6" w:rsidRDefault="00DF17D3" w:rsidP="00B30BD2">
            <w:pPr>
              <w:rPr>
                <w:sz w:val="20"/>
                <w:szCs w:val="20"/>
              </w:rPr>
            </w:pPr>
            <w:r w:rsidRPr="00870FB6">
              <w:rPr>
                <w:i/>
                <w:sz w:val="16"/>
                <w:szCs w:val="16"/>
              </w:rPr>
              <w:t>(Î.S. Editura de Imprimate „Statistica”)</w:t>
            </w:r>
          </w:p>
        </w:tc>
        <w:tc>
          <w:tcPr>
            <w:tcW w:w="1220" w:type="dxa"/>
          </w:tcPr>
          <w:p w:rsidR="0014603D" w:rsidRPr="00870FB6" w:rsidRDefault="00DF17D3" w:rsidP="00B30BD2">
            <w:pPr>
              <w:jc w:val="center"/>
              <w:rPr>
                <w:sz w:val="20"/>
                <w:szCs w:val="20"/>
              </w:rPr>
            </w:pPr>
            <w:r w:rsidRPr="00870FB6">
              <w:rPr>
                <w:sz w:val="20"/>
                <w:szCs w:val="20"/>
              </w:rPr>
              <w:t>3,6</w:t>
            </w:r>
          </w:p>
        </w:tc>
        <w:tc>
          <w:tcPr>
            <w:tcW w:w="625" w:type="dxa"/>
          </w:tcPr>
          <w:p w:rsidR="0014603D" w:rsidRPr="00870FB6" w:rsidRDefault="0014603D" w:rsidP="00927137">
            <w:pPr>
              <w:jc w:val="center"/>
              <w:rPr>
                <w:sz w:val="20"/>
                <w:szCs w:val="20"/>
              </w:rPr>
            </w:pPr>
            <w:r w:rsidRPr="00870FB6">
              <w:rPr>
                <w:sz w:val="20"/>
                <w:szCs w:val="20"/>
              </w:rPr>
              <w:t>4.</w:t>
            </w:r>
          </w:p>
        </w:tc>
        <w:tc>
          <w:tcPr>
            <w:tcW w:w="3559" w:type="dxa"/>
          </w:tcPr>
          <w:p w:rsidR="0014603D" w:rsidRPr="00870FB6" w:rsidRDefault="00DF17D3" w:rsidP="00927137">
            <w:pPr>
              <w:rPr>
                <w:sz w:val="20"/>
                <w:szCs w:val="20"/>
              </w:rPr>
            </w:pPr>
            <w:r w:rsidRPr="00870FB6">
              <w:rPr>
                <w:sz w:val="20"/>
                <w:szCs w:val="20"/>
              </w:rPr>
              <w:t>Agen</w:t>
            </w:r>
            <w:r w:rsidR="000873E3">
              <w:rPr>
                <w:sz w:val="20"/>
                <w:szCs w:val="20"/>
              </w:rPr>
              <w:t>ț</w:t>
            </w:r>
            <w:r w:rsidRPr="00870FB6">
              <w:rPr>
                <w:sz w:val="20"/>
                <w:szCs w:val="20"/>
              </w:rPr>
              <w:t>ia Proprietă</w:t>
            </w:r>
            <w:r w:rsidR="000873E3">
              <w:rPr>
                <w:sz w:val="20"/>
                <w:szCs w:val="20"/>
              </w:rPr>
              <w:t>ț</w:t>
            </w:r>
            <w:r w:rsidRPr="00870FB6">
              <w:rPr>
                <w:sz w:val="20"/>
                <w:szCs w:val="20"/>
              </w:rPr>
              <w:t>ii Publice</w:t>
            </w:r>
            <w:r w:rsidR="00927137" w:rsidRPr="00870FB6">
              <w:rPr>
                <w:sz w:val="20"/>
                <w:szCs w:val="20"/>
              </w:rPr>
              <w:t xml:space="preserve"> </w:t>
            </w:r>
            <w:r w:rsidR="00927137" w:rsidRPr="00870FB6">
              <w:rPr>
                <w:i/>
                <w:sz w:val="16"/>
                <w:szCs w:val="16"/>
              </w:rPr>
              <w:t>(în special dat fiind diminuarea activelor la Î.S. „Aeroportul Interna</w:t>
            </w:r>
            <w:r w:rsidR="000873E3">
              <w:rPr>
                <w:i/>
                <w:sz w:val="16"/>
                <w:szCs w:val="16"/>
              </w:rPr>
              <w:t>ț</w:t>
            </w:r>
            <w:r w:rsidR="00927137" w:rsidRPr="00870FB6">
              <w:rPr>
                <w:i/>
                <w:sz w:val="16"/>
                <w:szCs w:val="16"/>
              </w:rPr>
              <w:t>ional Chișinău”)</w:t>
            </w:r>
          </w:p>
        </w:tc>
        <w:tc>
          <w:tcPr>
            <w:tcW w:w="1128" w:type="dxa"/>
          </w:tcPr>
          <w:p w:rsidR="0014603D" w:rsidRPr="00870FB6" w:rsidRDefault="00DF17D3" w:rsidP="00B30BD2">
            <w:pPr>
              <w:jc w:val="center"/>
              <w:rPr>
                <w:sz w:val="20"/>
                <w:szCs w:val="20"/>
              </w:rPr>
            </w:pPr>
            <w:r w:rsidRPr="00870FB6">
              <w:rPr>
                <w:sz w:val="20"/>
                <w:szCs w:val="20"/>
              </w:rPr>
              <w:t>4,2</w:t>
            </w:r>
          </w:p>
        </w:tc>
      </w:tr>
      <w:tr w:rsidR="00143B34" w:rsidRPr="00870FB6" w:rsidTr="009C08BF">
        <w:trPr>
          <w:jc w:val="center"/>
        </w:trPr>
        <w:tc>
          <w:tcPr>
            <w:tcW w:w="510" w:type="dxa"/>
          </w:tcPr>
          <w:p w:rsidR="00DF17D3" w:rsidRPr="00870FB6" w:rsidRDefault="00DF17D3" w:rsidP="00927137">
            <w:pPr>
              <w:jc w:val="center"/>
              <w:rPr>
                <w:sz w:val="20"/>
                <w:szCs w:val="20"/>
              </w:rPr>
            </w:pPr>
            <w:r w:rsidRPr="00870FB6">
              <w:rPr>
                <w:sz w:val="20"/>
                <w:szCs w:val="20"/>
              </w:rPr>
              <w:t>5.</w:t>
            </w:r>
          </w:p>
        </w:tc>
        <w:tc>
          <w:tcPr>
            <w:tcW w:w="2510" w:type="dxa"/>
          </w:tcPr>
          <w:p w:rsidR="00DF17D3" w:rsidRPr="00870FB6" w:rsidRDefault="00DF17D3" w:rsidP="00B30BD2">
            <w:pPr>
              <w:rPr>
                <w:sz w:val="20"/>
                <w:szCs w:val="20"/>
              </w:rPr>
            </w:pPr>
            <w:r w:rsidRPr="00870FB6">
              <w:rPr>
                <w:sz w:val="20"/>
                <w:szCs w:val="20"/>
              </w:rPr>
              <w:t>Ministerul Finan</w:t>
            </w:r>
            <w:r w:rsidR="000873E3">
              <w:rPr>
                <w:sz w:val="20"/>
                <w:szCs w:val="20"/>
              </w:rPr>
              <w:t>ț</w:t>
            </w:r>
            <w:r w:rsidRPr="00870FB6">
              <w:rPr>
                <w:sz w:val="20"/>
                <w:szCs w:val="20"/>
              </w:rPr>
              <w:t>elor</w:t>
            </w:r>
          </w:p>
        </w:tc>
        <w:tc>
          <w:tcPr>
            <w:tcW w:w="1220" w:type="dxa"/>
          </w:tcPr>
          <w:p w:rsidR="00DF17D3" w:rsidRPr="00870FB6" w:rsidRDefault="00DF17D3" w:rsidP="00B30BD2">
            <w:pPr>
              <w:jc w:val="center"/>
              <w:rPr>
                <w:sz w:val="20"/>
                <w:szCs w:val="20"/>
              </w:rPr>
            </w:pPr>
            <w:r w:rsidRPr="00870FB6">
              <w:rPr>
                <w:sz w:val="20"/>
                <w:szCs w:val="20"/>
              </w:rPr>
              <w:t>3,0</w:t>
            </w:r>
          </w:p>
        </w:tc>
        <w:tc>
          <w:tcPr>
            <w:tcW w:w="625" w:type="dxa"/>
          </w:tcPr>
          <w:p w:rsidR="00DF17D3" w:rsidRPr="00870FB6" w:rsidRDefault="00DF17D3" w:rsidP="00927137">
            <w:pPr>
              <w:jc w:val="center"/>
              <w:rPr>
                <w:sz w:val="20"/>
                <w:szCs w:val="20"/>
              </w:rPr>
            </w:pPr>
            <w:r w:rsidRPr="00870FB6">
              <w:rPr>
                <w:sz w:val="20"/>
                <w:szCs w:val="20"/>
              </w:rPr>
              <w:t>5.</w:t>
            </w:r>
          </w:p>
        </w:tc>
        <w:tc>
          <w:tcPr>
            <w:tcW w:w="3559" w:type="dxa"/>
          </w:tcPr>
          <w:p w:rsidR="00903134" w:rsidRPr="00870FB6" w:rsidRDefault="00DF17D3" w:rsidP="00927137">
            <w:pPr>
              <w:rPr>
                <w:sz w:val="20"/>
                <w:szCs w:val="20"/>
              </w:rPr>
            </w:pPr>
            <w:r w:rsidRPr="00870FB6">
              <w:rPr>
                <w:sz w:val="20"/>
                <w:szCs w:val="20"/>
              </w:rPr>
              <w:t>Agen</w:t>
            </w:r>
            <w:r w:rsidR="000873E3">
              <w:rPr>
                <w:sz w:val="20"/>
                <w:szCs w:val="20"/>
              </w:rPr>
              <w:t>ț</w:t>
            </w:r>
            <w:r w:rsidRPr="00870FB6">
              <w:rPr>
                <w:sz w:val="20"/>
                <w:szCs w:val="20"/>
              </w:rPr>
              <w:t>ia Rela</w:t>
            </w:r>
            <w:r w:rsidR="000873E3">
              <w:rPr>
                <w:sz w:val="20"/>
                <w:szCs w:val="20"/>
              </w:rPr>
              <w:t>ț</w:t>
            </w:r>
            <w:r w:rsidRPr="00870FB6">
              <w:rPr>
                <w:sz w:val="20"/>
                <w:szCs w:val="20"/>
              </w:rPr>
              <w:t>ii Funciare și Cadastru</w:t>
            </w:r>
            <w:r w:rsidR="00927137" w:rsidRPr="00870FB6">
              <w:rPr>
                <w:sz w:val="20"/>
                <w:szCs w:val="20"/>
              </w:rPr>
              <w:t xml:space="preserve"> </w:t>
            </w:r>
          </w:p>
          <w:p w:rsidR="00DF17D3" w:rsidRPr="00870FB6" w:rsidRDefault="00927137" w:rsidP="00927137">
            <w:pPr>
              <w:rPr>
                <w:sz w:val="20"/>
                <w:szCs w:val="20"/>
              </w:rPr>
            </w:pPr>
            <w:r w:rsidRPr="00870FB6">
              <w:rPr>
                <w:i/>
                <w:sz w:val="16"/>
                <w:szCs w:val="16"/>
              </w:rPr>
              <w:t>(dat fiind diminuarea activelor la Î.S. Institutul de Geodezie, Prospec</w:t>
            </w:r>
            <w:r w:rsidR="000873E3">
              <w:rPr>
                <w:i/>
                <w:sz w:val="16"/>
                <w:szCs w:val="16"/>
              </w:rPr>
              <w:t>ț</w:t>
            </w:r>
            <w:r w:rsidRPr="00870FB6">
              <w:rPr>
                <w:i/>
                <w:sz w:val="16"/>
                <w:szCs w:val="16"/>
              </w:rPr>
              <w:t>iuni Tehnice și Cadastru „INGEOCAD”)</w:t>
            </w:r>
          </w:p>
        </w:tc>
        <w:tc>
          <w:tcPr>
            <w:tcW w:w="1128" w:type="dxa"/>
          </w:tcPr>
          <w:p w:rsidR="00DF17D3" w:rsidRPr="00870FB6" w:rsidRDefault="00DF17D3" w:rsidP="00B30BD2">
            <w:pPr>
              <w:jc w:val="center"/>
              <w:rPr>
                <w:sz w:val="20"/>
                <w:szCs w:val="20"/>
              </w:rPr>
            </w:pPr>
            <w:r w:rsidRPr="00870FB6">
              <w:rPr>
                <w:sz w:val="20"/>
                <w:szCs w:val="20"/>
              </w:rPr>
              <w:t>2,6</w:t>
            </w:r>
          </w:p>
        </w:tc>
      </w:tr>
    </w:tbl>
    <w:p w:rsidR="00F33AF7" w:rsidRPr="00870FB6" w:rsidRDefault="00F33AF7" w:rsidP="00143B34">
      <w:pPr>
        <w:ind w:firstLine="539"/>
        <w:jc w:val="center"/>
        <w:rPr>
          <w:color w:val="FF0000"/>
        </w:rPr>
      </w:pPr>
    </w:p>
    <w:p w:rsidR="00F8511E" w:rsidRPr="00870FB6" w:rsidRDefault="009C08BF" w:rsidP="00CF12F3">
      <w:pPr>
        <w:spacing w:line="276" w:lineRule="auto"/>
        <w:ind w:firstLine="539"/>
        <w:jc w:val="both"/>
        <w:rPr>
          <w:sz w:val="28"/>
          <w:szCs w:val="28"/>
        </w:rPr>
      </w:pPr>
      <w:r>
        <w:rPr>
          <w:sz w:val="28"/>
          <w:szCs w:val="28"/>
        </w:rPr>
        <w:lastRenderedPageBreak/>
        <w:t>Concomitent,</w:t>
      </w:r>
      <w:r w:rsidR="008D675F" w:rsidRPr="00870FB6">
        <w:rPr>
          <w:sz w:val="28"/>
          <w:szCs w:val="28"/>
        </w:rPr>
        <w:t xml:space="preserve"> </w:t>
      </w:r>
      <w:r w:rsidR="00F16DD1" w:rsidRPr="00870FB6">
        <w:rPr>
          <w:sz w:val="28"/>
          <w:szCs w:val="28"/>
        </w:rPr>
        <w:t>la situa</w:t>
      </w:r>
      <w:r w:rsidR="000873E3">
        <w:rPr>
          <w:sz w:val="28"/>
          <w:szCs w:val="28"/>
        </w:rPr>
        <w:t>ț</w:t>
      </w:r>
      <w:r w:rsidR="00143B34" w:rsidRPr="00870FB6">
        <w:rPr>
          <w:sz w:val="28"/>
          <w:szCs w:val="28"/>
        </w:rPr>
        <w:t>ia din 31.12.2017</w:t>
      </w:r>
      <w:r w:rsidR="00F33AF7" w:rsidRPr="00870FB6">
        <w:rPr>
          <w:sz w:val="28"/>
          <w:szCs w:val="28"/>
        </w:rPr>
        <w:t xml:space="preserve">, </w:t>
      </w:r>
      <w:r w:rsidR="00F33AF7" w:rsidRPr="00870FB6">
        <w:rPr>
          <w:i/>
          <w:sz w:val="28"/>
          <w:szCs w:val="28"/>
        </w:rPr>
        <w:t>activele financiare</w:t>
      </w:r>
      <w:r w:rsidR="00F33AF7" w:rsidRPr="00870FB6">
        <w:rPr>
          <w:sz w:val="28"/>
          <w:szCs w:val="28"/>
        </w:rPr>
        <w:t xml:space="preserve"> </w:t>
      </w:r>
      <w:r w:rsidR="00F16DD1" w:rsidRPr="00870FB6">
        <w:rPr>
          <w:sz w:val="28"/>
          <w:szCs w:val="28"/>
        </w:rPr>
        <w:t xml:space="preserve">ale întreprinderilor de stat </w:t>
      </w:r>
      <w:r w:rsidR="00F33AF7" w:rsidRPr="00870FB6">
        <w:rPr>
          <w:sz w:val="28"/>
          <w:szCs w:val="28"/>
        </w:rPr>
        <w:t xml:space="preserve">se cuantifică la valoarea de </w:t>
      </w:r>
      <w:r w:rsidR="00E164B6" w:rsidRPr="00870FB6">
        <w:rPr>
          <w:sz w:val="28"/>
          <w:szCs w:val="28"/>
        </w:rPr>
        <w:t>4009,9</w:t>
      </w:r>
      <w:r w:rsidR="00F16DD1" w:rsidRPr="00870FB6">
        <w:rPr>
          <w:sz w:val="28"/>
          <w:szCs w:val="28"/>
        </w:rPr>
        <w:t xml:space="preserve"> mil. lei </w:t>
      </w:r>
      <w:r w:rsidR="00461ACA" w:rsidRPr="00870FB6">
        <w:rPr>
          <w:sz w:val="28"/>
          <w:szCs w:val="28"/>
        </w:rPr>
        <w:t>(</w:t>
      </w:r>
      <w:r w:rsidR="00816954" w:rsidRPr="00870FB6">
        <w:rPr>
          <w:sz w:val="28"/>
          <w:szCs w:val="28"/>
        </w:rPr>
        <w:t xml:space="preserve">sau </w:t>
      </w:r>
      <w:r w:rsidR="00E164B6" w:rsidRPr="00870FB6">
        <w:rPr>
          <w:sz w:val="28"/>
          <w:szCs w:val="28"/>
        </w:rPr>
        <w:t>18,1</w:t>
      </w:r>
      <w:r w:rsidR="00F16DD1" w:rsidRPr="00870FB6">
        <w:rPr>
          <w:sz w:val="28"/>
          <w:szCs w:val="28"/>
        </w:rPr>
        <w:t>% din totalul activelor</w:t>
      </w:r>
      <w:r w:rsidR="00816954" w:rsidRPr="00870FB6">
        <w:rPr>
          <w:sz w:val="28"/>
          <w:szCs w:val="28"/>
        </w:rPr>
        <w:t xml:space="preserve">), acestea fiind cu </w:t>
      </w:r>
      <w:r w:rsidR="00E164B6" w:rsidRPr="00870FB6">
        <w:rPr>
          <w:sz w:val="28"/>
          <w:szCs w:val="28"/>
        </w:rPr>
        <w:t>312,0</w:t>
      </w:r>
      <w:r w:rsidR="00461ACA" w:rsidRPr="00870FB6">
        <w:rPr>
          <w:sz w:val="28"/>
          <w:szCs w:val="28"/>
        </w:rPr>
        <w:t xml:space="preserve"> mil. lei mai </w:t>
      </w:r>
      <w:r w:rsidR="00E164B6" w:rsidRPr="00870FB6">
        <w:rPr>
          <w:sz w:val="28"/>
          <w:szCs w:val="28"/>
        </w:rPr>
        <w:t>mici</w:t>
      </w:r>
      <w:r w:rsidR="00461ACA" w:rsidRPr="00870FB6">
        <w:rPr>
          <w:sz w:val="28"/>
          <w:szCs w:val="28"/>
        </w:rPr>
        <w:t xml:space="preserve"> în raport cu începutul perioadei analizate</w:t>
      </w:r>
      <w:r w:rsidR="00F33AF7" w:rsidRPr="00870FB6">
        <w:rPr>
          <w:sz w:val="28"/>
          <w:szCs w:val="28"/>
        </w:rPr>
        <w:t xml:space="preserve">. În partea ce </w:t>
      </w:r>
      <w:r w:rsidR="000873E3">
        <w:rPr>
          <w:sz w:val="28"/>
          <w:szCs w:val="28"/>
        </w:rPr>
        <w:t>ț</w:t>
      </w:r>
      <w:r w:rsidR="00F33AF7" w:rsidRPr="00870FB6">
        <w:rPr>
          <w:sz w:val="28"/>
          <w:szCs w:val="28"/>
        </w:rPr>
        <w:t xml:space="preserve">ine de </w:t>
      </w:r>
      <w:r w:rsidR="00F33AF7" w:rsidRPr="00870FB6">
        <w:rPr>
          <w:i/>
          <w:sz w:val="28"/>
          <w:szCs w:val="28"/>
        </w:rPr>
        <w:t>activele nefinanciare</w:t>
      </w:r>
      <w:r w:rsidR="00F33AF7" w:rsidRPr="00870FB6">
        <w:rPr>
          <w:sz w:val="28"/>
          <w:szCs w:val="28"/>
        </w:rPr>
        <w:t>, se men</w:t>
      </w:r>
      <w:r w:rsidR="000873E3">
        <w:rPr>
          <w:sz w:val="28"/>
          <w:szCs w:val="28"/>
        </w:rPr>
        <w:t>ț</w:t>
      </w:r>
      <w:r w:rsidR="00F33AF7" w:rsidRPr="00870FB6">
        <w:rPr>
          <w:sz w:val="28"/>
          <w:szCs w:val="28"/>
        </w:rPr>
        <w:t>ionează că</w:t>
      </w:r>
      <w:r w:rsidR="006D307E" w:rsidRPr="00870FB6">
        <w:rPr>
          <w:sz w:val="28"/>
          <w:szCs w:val="28"/>
        </w:rPr>
        <w:t xml:space="preserve"> acestea constituie </w:t>
      </w:r>
      <w:r w:rsidR="00F8511E" w:rsidRPr="00870FB6">
        <w:rPr>
          <w:sz w:val="28"/>
          <w:szCs w:val="28"/>
        </w:rPr>
        <w:t>18089,1</w:t>
      </w:r>
      <w:r w:rsidR="00F06C43" w:rsidRPr="00870FB6">
        <w:rPr>
          <w:sz w:val="28"/>
          <w:szCs w:val="28"/>
        </w:rPr>
        <w:t xml:space="preserve"> mil. lei (sau</w:t>
      </w:r>
      <w:r w:rsidR="00F33AF7" w:rsidRPr="00870FB6">
        <w:rPr>
          <w:sz w:val="28"/>
          <w:szCs w:val="28"/>
        </w:rPr>
        <w:t xml:space="preserve"> </w:t>
      </w:r>
      <w:r w:rsidR="00F8511E" w:rsidRPr="00870FB6">
        <w:rPr>
          <w:sz w:val="28"/>
          <w:szCs w:val="28"/>
        </w:rPr>
        <w:t>81,9</w:t>
      </w:r>
      <w:r w:rsidR="006D307E" w:rsidRPr="00870FB6">
        <w:rPr>
          <w:sz w:val="28"/>
          <w:szCs w:val="28"/>
        </w:rPr>
        <w:t xml:space="preserve">%), cu </w:t>
      </w:r>
      <w:r w:rsidR="00F8511E" w:rsidRPr="00870FB6">
        <w:rPr>
          <w:sz w:val="28"/>
          <w:szCs w:val="28"/>
        </w:rPr>
        <w:t>176,8</w:t>
      </w:r>
      <w:r w:rsidR="00461ACA" w:rsidRPr="00870FB6">
        <w:rPr>
          <w:sz w:val="28"/>
          <w:szCs w:val="28"/>
        </w:rPr>
        <w:t xml:space="preserve"> mil. lei mai mult fa</w:t>
      </w:r>
      <w:r w:rsidR="000873E3">
        <w:rPr>
          <w:sz w:val="28"/>
          <w:szCs w:val="28"/>
        </w:rPr>
        <w:t>ț</w:t>
      </w:r>
      <w:r w:rsidR="00461ACA" w:rsidRPr="00870FB6">
        <w:rPr>
          <w:sz w:val="28"/>
          <w:szCs w:val="28"/>
        </w:rPr>
        <w:t>ă de începutul anului 201</w:t>
      </w:r>
      <w:r w:rsidR="00F8511E" w:rsidRPr="00870FB6">
        <w:rPr>
          <w:sz w:val="28"/>
          <w:szCs w:val="28"/>
        </w:rPr>
        <w:t>7</w:t>
      </w:r>
      <w:r w:rsidR="00461ACA" w:rsidRPr="00870FB6">
        <w:rPr>
          <w:sz w:val="28"/>
          <w:szCs w:val="28"/>
        </w:rPr>
        <w:t>.</w:t>
      </w:r>
    </w:p>
    <w:p w:rsidR="008E5EFC" w:rsidRPr="00870FB6" w:rsidRDefault="004C0161" w:rsidP="00447C90">
      <w:pPr>
        <w:spacing w:line="276" w:lineRule="auto"/>
        <w:ind w:firstLine="567"/>
        <w:jc w:val="both"/>
        <w:rPr>
          <w:sz w:val="28"/>
          <w:szCs w:val="28"/>
        </w:rPr>
      </w:pPr>
      <w:r w:rsidRPr="00870FB6">
        <w:rPr>
          <w:sz w:val="28"/>
          <w:szCs w:val="28"/>
        </w:rPr>
        <w:t xml:space="preserve">În contextul celor </w:t>
      </w:r>
      <w:r w:rsidR="00320344">
        <w:rPr>
          <w:sz w:val="28"/>
          <w:szCs w:val="28"/>
        </w:rPr>
        <w:t>expuse</w:t>
      </w:r>
      <w:r w:rsidR="008E5EFC" w:rsidRPr="00870FB6">
        <w:rPr>
          <w:sz w:val="28"/>
          <w:szCs w:val="28"/>
        </w:rPr>
        <w:t xml:space="preserve">, </w:t>
      </w:r>
      <w:r w:rsidR="009C08BF">
        <w:rPr>
          <w:sz w:val="28"/>
          <w:szCs w:val="28"/>
        </w:rPr>
        <w:t xml:space="preserve">se </w:t>
      </w:r>
      <w:r w:rsidR="008E5EFC" w:rsidRPr="00870FB6">
        <w:rPr>
          <w:sz w:val="28"/>
          <w:szCs w:val="28"/>
        </w:rPr>
        <w:t>men</w:t>
      </w:r>
      <w:r w:rsidR="000873E3">
        <w:rPr>
          <w:sz w:val="28"/>
          <w:szCs w:val="28"/>
        </w:rPr>
        <w:t>ț</w:t>
      </w:r>
      <w:r w:rsidR="009C08BF">
        <w:rPr>
          <w:sz w:val="28"/>
          <w:szCs w:val="28"/>
        </w:rPr>
        <w:t>ionează</w:t>
      </w:r>
      <w:r w:rsidR="008E5EFC" w:rsidRPr="00870FB6">
        <w:rPr>
          <w:sz w:val="28"/>
          <w:szCs w:val="28"/>
        </w:rPr>
        <w:t xml:space="preserve"> că </w:t>
      </w:r>
      <w:r w:rsidR="00E322E8" w:rsidRPr="00870FB6">
        <w:rPr>
          <w:sz w:val="28"/>
          <w:szCs w:val="28"/>
        </w:rPr>
        <w:t>în anul 2017 întreprinderile de stat înregistrează, per ansamblu, pierderi de 0,2</w:t>
      </w:r>
      <w:r w:rsidR="00055312" w:rsidRPr="00870FB6">
        <w:rPr>
          <w:sz w:val="28"/>
          <w:szCs w:val="28"/>
        </w:rPr>
        <w:t>2</w:t>
      </w:r>
      <w:r w:rsidR="00E322E8" w:rsidRPr="00870FB6">
        <w:rPr>
          <w:sz w:val="28"/>
          <w:szCs w:val="28"/>
        </w:rPr>
        <w:t xml:space="preserve"> bani la fiecare leu active </w:t>
      </w:r>
      <w:r w:rsidR="00CB1831" w:rsidRPr="00870FB6">
        <w:rPr>
          <w:i/>
          <w:sz w:val="28"/>
          <w:szCs w:val="28"/>
        </w:rPr>
        <w:t>(raportul dintre profitul</w:t>
      </w:r>
      <w:r w:rsidR="00E322E8" w:rsidRPr="00870FB6">
        <w:rPr>
          <w:i/>
          <w:sz w:val="28"/>
          <w:szCs w:val="28"/>
        </w:rPr>
        <w:t xml:space="preserve"> (pierderea)</w:t>
      </w:r>
      <w:r w:rsidR="00CB1831" w:rsidRPr="00870FB6">
        <w:rPr>
          <w:i/>
          <w:sz w:val="28"/>
          <w:szCs w:val="28"/>
        </w:rPr>
        <w:t xml:space="preserve"> pînă la impozitare/</w:t>
      </w:r>
      <w:r w:rsidR="00A41CFF" w:rsidRPr="00870FB6">
        <w:rPr>
          <w:i/>
          <w:sz w:val="28"/>
          <w:szCs w:val="28"/>
        </w:rPr>
        <w:t xml:space="preserve"> </w:t>
      </w:r>
      <w:r w:rsidR="008E5EFC" w:rsidRPr="00870FB6">
        <w:rPr>
          <w:i/>
          <w:sz w:val="28"/>
          <w:szCs w:val="28"/>
        </w:rPr>
        <w:t xml:space="preserve">valoarea </w:t>
      </w:r>
      <w:r w:rsidR="00AE562E" w:rsidRPr="00870FB6">
        <w:rPr>
          <w:i/>
          <w:sz w:val="28"/>
          <w:szCs w:val="28"/>
        </w:rPr>
        <w:t xml:space="preserve">medie a </w:t>
      </w:r>
      <w:r w:rsidR="008E5EFC" w:rsidRPr="00870FB6">
        <w:rPr>
          <w:i/>
          <w:sz w:val="28"/>
          <w:szCs w:val="28"/>
        </w:rPr>
        <w:t>activelor</w:t>
      </w:r>
      <w:r w:rsidR="00CB1831" w:rsidRPr="00870FB6">
        <w:rPr>
          <w:i/>
          <w:sz w:val="28"/>
          <w:szCs w:val="28"/>
        </w:rPr>
        <w:t>)</w:t>
      </w:r>
      <w:r w:rsidR="00447C90" w:rsidRPr="00870FB6">
        <w:rPr>
          <w:sz w:val="28"/>
          <w:szCs w:val="28"/>
        </w:rPr>
        <w:t xml:space="preserve">. </w:t>
      </w:r>
      <w:r w:rsidR="00A41CFF" w:rsidRPr="00870FB6">
        <w:rPr>
          <w:sz w:val="28"/>
          <w:szCs w:val="28"/>
        </w:rPr>
        <w:t>Î</w:t>
      </w:r>
      <w:r w:rsidR="00447C90" w:rsidRPr="00870FB6">
        <w:rPr>
          <w:sz w:val="28"/>
          <w:szCs w:val="28"/>
        </w:rPr>
        <w:t>n a</w:t>
      </w:r>
      <w:r w:rsidR="00A41CFF" w:rsidRPr="00870FB6">
        <w:rPr>
          <w:sz w:val="28"/>
          <w:szCs w:val="28"/>
        </w:rPr>
        <w:t>nul 201</w:t>
      </w:r>
      <w:r w:rsidR="00E322E8" w:rsidRPr="00870FB6">
        <w:rPr>
          <w:sz w:val="28"/>
          <w:szCs w:val="28"/>
        </w:rPr>
        <w:t>6</w:t>
      </w:r>
      <w:r w:rsidR="00A41CFF" w:rsidRPr="00870FB6">
        <w:rPr>
          <w:sz w:val="28"/>
          <w:szCs w:val="28"/>
        </w:rPr>
        <w:t xml:space="preserve">, întreprinderile de stat au înregistrat la 1 leu active </w:t>
      </w:r>
      <w:r w:rsidR="00E322E8" w:rsidRPr="00870FB6">
        <w:rPr>
          <w:sz w:val="28"/>
          <w:szCs w:val="28"/>
        </w:rPr>
        <w:t xml:space="preserve">0,3 </w:t>
      </w:r>
      <w:r w:rsidR="00A41CFF" w:rsidRPr="00870FB6">
        <w:rPr>
          <w:sz w:val="28"/>
          <w:szCs w:val="28"/>
        </w:rPr>
        <w:t xml:space="preserve">bani </w:t>
      </w:r>
      <w:r w:rsidR="00E322E8" w:rsidRPr="00870FB6">
        <w:rPr>
          <w:sz w:val="28"/>
          <w:szCs w:val="28"/>
        </w:rPr>
        <w:t>profit pînă la impozitare</w:t>
      </w:r>
      <w:r w:rsidR="00B01805" w:rsidRPr="00870FB6">
        <w:rPr>
          <w:sz w:val="28"/>
          <w:szCs w:val="28"/>
        </w:rPr>
        <w:t>.</w:t>
      </w:r>
    </w:p>
    <w:p w:rsidR="009C2FDD" w:rsidRPr="00870FB6" w:rsidRDefault="00F33AF7" w:rsidP="00DE7DED">
      <w:pPr>
        <w:pStyle w:val="BodyTextIndent"/>
        <w:spacing w:line="276" w:lineRule="auto"/>
        <w:ind w:firstLine="539"/>
        <w:jc w:val="both"/>
        <w:rPr>
          <w:b w:val="0"/>
          <w:i w:val="0"/>
          <w:sz w:val="28"/>
          <w:szCs w:val="28"/>
        </w:rPr>
      </w:pPr>
      <w:r w:rsidRPr="00870FB6">
        <w:rPr>
          <w:b w:val="0"/>
          <w:sz w:val="28"/>
          <w:szCs w:val="28"/>
        </w:rPr>
        <w:t>Patrimoniul net</w:t>
      </w:r>
      <w:r w:rsidR="00AE562E" w:rsidRPr="00870FB6">
        <w:rPr>
          <w:b w:val="0"/>
          <w:sz w:val="28"/>
          <w:szCs w:val="28"/>
        </w:rPr>
        <w:t xml:space="preserve"> (capitalul propriu)</w:t>
      </w:r>
      <w:r w:rsidRPr="00870FB6">
        <w:rPr>
          <w:b w:val="0"/>
          <w:i w:val="0"/>
          <w:sz w:val="28"/>
          <w:szCs w:val="28"/>
        </w:rPr>
        <w:t xml:space="preserve"> al întreprinderilor de stat, </w:t>
      </w:r>
      <w:r w:rsidR="008F378D" w:rsidRPr="00870FB6">
        <w:rPr>
          <w:b w:val="0"/>
          <w:i w:val="0"/>
          <w:sz w:val="28"/>
          <w:szCs w:val="28"/>
        </w:rPr>
        <w:t>înregistrat la finele anului 201</w:t>
      </w:r>
      <w:r w:rsidR="000C022E" w:rsidRPr="00870FB6">
        <w:rPr>
          <w:b w:val="0"/>
          <w:i w:val="0"/>
          <w:sz w:val="28"/>
          <w:szCs w:val="28"/>
        </w:rPr>
        <w:t>7</w:t>
      </w:r>
      <w:r w:rsidRPr="00870FB6">
        <w:rPr>
          <w:b w:val="0"/>
          <w:i w:val="0"/>
          <w:sz w:val="28"/>
          <w:szCs w:val="28"/>
        </w:rPr>
        <w:t>,</w:t>
      </w:r>
      <w:r w:rsidR="008F378D" w:rsidRPr="00870FB6">
        <w:rPr>
          <w:b w:val="0"/>
          <w:i w:val="0"/>
          <w:sz w:val="28"/>
          <w:szCs w:val="28"/>
        </w:rPr>
        <w:t xml:space="preserve"> a constituit</w:t>
      </w:r>
      <w:r w:rsidR="00A41CFF" w:rsidRPr="00870FB6">
        <w:rPr>
          <w:b w:val="0"/>
          <w:i w:val="0"/>
          <w:sz w:val="28"/>
          <w:szCs w:val="28"/>
        </w:rPr>
        <w:t xml:space="preserve"> per general</w:t>
      </w:r>
      <w:r w:rsidRPr="00870FB6">
        <w:rPr>
          <w:b w:val="0"/>
          <w:i w:val="0"/>
          <w:sz w:val="28"/>
          <w:szCs w:val="28"/>
        </w:rPr>
        <w:t xml:space="preserve"> </w:t>
      </w:r>
      <w:r w:rsidR="006A0A11" w:rsidRPr="00870FB6">
        <w:rPr>
          <w:b w:val="0"/>
          <w:i w:val="0"/>
          <w:sz w:val="28"/>
          <w:szCs w:val="28"/>
        </w:rPr>
        <w:t>15212,2</w:t>
      </w:r>
      <w:r w:rsidR="00CC6619" w:rsidRPr="00870FB6">
        <w:rPr>
          <w:b w:val="0"/>
          <w:i w:val="0"/>
          <w:sz w:val="28"/>
          <w:szCs w:val="28"/>
        </w:rPr>
        <w:t xml:space="preserve"> mil. lei</w:t>
      </w:r>
      <w:r w:rsidR="00EB0B0C" w:rsidRPr="00870FB6">
        <w:rPr>
          <w:b w:val="0"/>
          <w:i w:val="0"/>
          <w:sz w:val="28"/>
          <w:szCs w:val="28"/>
        </w:rPr>
        <w:t>,</w:t>
      </w:r>
      <w:r w:rsidRPr="00870FB6">
        <w:rPr>
          <w:b w:val="0"/>
          <w:i w:val="0"/>
          <w:sz w:val="28"/>
          <w:szCs w:val="28"/>
        </w:rPr>
        <w:t xml:space="preserve"> valoarea </w:t>
      </w:r>
      <w:r w:rsidR="00EB0B0C" w:rsidRPr="00870FB6">
        <w:rPr>
          <w:b w:val="0"/>
          <w:i w:val="0"/>
          <w:sz w:val="28"/>
          <w:szCs w:val="28"/>
        </w:rPr>
        <w:t xml:space="preserve">acestuia </w:t>
      </w:r>
      <w:r w:rsidR="006A0A11" w:rsidRPr="00870FB6">
        <w:rPr>
          <w:b w:val="0"/>
          <w:i w:val="0"/>
          <w:sz w:val="28"/>
          <w:szCs w:val="28"/>
        </w:rPr>
        <w:t>diminuîndu-se</w:t>
      </w:r>
      <w:r w:rsidRPr="00870FB6">
        <w:rPr>
          <w:b w:val="0"/>
          <w:i w:val="0"/>
          <w:sz w:val="28"/>
          <w:szCs w:val="28"/>
        </w:rPr>
        <w:t xml:space="preserve"> cu </w:t>
      </w:r>
      <w:r w:rsidR="006A0A11" w:rsidRPr="00870FB6">
        <w:rPr>
          <w:b w:val="0"/>
          <w:i w:val="0"/>
          <w:sz w:val="28"/>
          <w:szCs w:val="28"/>
        </w:rPr>
        <w:t>741,4</w:t>
      </w:r>
      <w:r w:rsidRPr="00870FB6">
        <w:rPr>
          <w:b w:val="0"/>
          <w:i w:val="0"/>
          <w:sz w:val="28"/>
          <w:szCs w:val="28"/>
        </w:rPr>
        <w:t xml:space="preserve"> mil. lei</w:t>
      </w:r>
      <w:r w:rsidR="00903134" w:rsidRPr="00870FB6">
        <w:rPr>
          <w:rStyle w:val="FootnoteReference"/>
          <w:b w:val="0"/>
          <w:i w:val="0"/>
          <w:sz w:val="28"/>
          <w:szCs w:val="28"/>
        </w:rPr>
        <w:footnoteReference w:id="3"/>
      </w:r>
      <w:r w:rsidR="00EB0B0C" w:rsidRPr="00870FB6">
        <w:rPr>
          <w:b w:val="0"/>
          <w:i w:val="0"/>
          <w:sz w:val="28"/>
          <w:szCs w:val="28"/>
        </w:rPr>
        <w:t xml:space="preserve"> fa</w:t>
      </w:r>
      <w:r w:rsidR="000873E3">
        <w:rPr>
          <w:b w:val="0"/>
          <w:i w:val="0"/>
          <w:sz w:val="28"/>
          <w:szCs w:val="28"/>
        </w:rPr>
        <w:t>ț</w:t>
      </w:r>
      <w:r w:rsidR="00EB0B0C" w:rsidRPr="00870FB6">
        <w:rPr>
          <w:b w:val="0"/>
          <w:i w:val="0"/>
          <w:sz w:val="28"/>
          <w:szCs w:val="28"/>
        </w:rPr>
        <w:t>ă de situa</w:t>
      </w:r>
      <w:r w:rsidR="000873E3">
        <w:rPr>
          <w:b w:val="0"/>
          <w:i w:val="0"/>
          <w:sz w:val="28"/>
          <w:szCs w:val="28"/>
        </w:rPr>
        <w:t>ț</w:t>
      </w:r>
      <w:r w:rsidR="00EB0B0C" w:rsidRPr="00870FB6">
        <w:rPr>
          <w:b w:val="0"/>
          <w:i w:val="0"/>
          <w:sz w:val="28"/>
          <w:szCs w:val="28"/>
        </w:rPr>
        <w:t>ia de la începutul anului analizat</w:t>
      </w:r>
      <w:r w:rsidRPr="00870FB6">
        <w:rPr>
          <w:b w:val="0"/>
          <w:i w:val="0"/>
          <w:sz w:val="28"/>
          <w:szCs w:val="28"/>
        </w:rPr>
        <w:t xml:space="preserve">. </w:t>
      </w:r>
      <w:r w:rsidR="00055312" w:rsidRPr="00870FB6">
        <w:rPr>
          <w:b w:val="0"/>
          <w:i w:val="0"/>
          <w:sz w:val="28"/>
          <w:szCs w:val="28"/>
        </w:rPr>
        <w:t>Diminuarea patrimoniului net (capitalului propriu) se atestă la toate întreprinderile de stat administrate de Agen</w:t>
      </w:r>
      <w:r w:rsidR="000873E3">
        <w:rPr>
          <w:b w:val="0"/>
          <w:i w:val="0"/>
          <w:sz w:val="28"/>
          <w:szCs w:val="28"/>
        </w:rPr>
        <w:t>ț</w:t>
      </w:r>
      <w:r w:rsidR="00055312" w:rsidRPr="00870FB6">
        <w:rPr>
          <w:b w:val="0"/>
          <w:i w:val="0"/>
          <w:sz w:val="28"/>
          <w:szCs w:val="28"/>
        </w:rPr>
        <w:t>ia „Apele Moldovei”, la 75,0% din întreprinderile administrate de Academia de Știin</w:t>
      </w:r>
      <w:r w:rsidR="000873E3">
        <w:rPr>
          <w:b w:val="0"/>
          <w:i w:val="0"/>
          <w:sz w:val="28"/>
          <w:szCs w:val="28"/>
        </w:rPr>
        <w:t>ț</w:t>
      </w:r>
      <w:r w:rsidR="00055312" w:rsidRPr="00870FB6">
        <w:rPr>
          <w:b w:val="0"/>
          <w:i w:val="0"/>
          <w:sz w:val="28"/>
          <w:szCs w:val="28"/>
        </w:rPr>
        <w:t>e a Moldovei, la 71,4% din întreprinderile administrate de Departamentul Institu</w:t>
      </w:r>
      <w:r w:rsidR="000873E3">
        <w:rPr>
          <w:b w:val="0"/>
          <w:i w:val="0"/>
          <w:sz w:val="28"/>
          <w:szCs w:val="28"/>
        </w:rPr>
        <w:t>ț</w:t>
      </w:r>
      <w:r w:rsidR="00055312" w:rsidRPr="00870FB6">
        <w:rPr>
          <w:b w:val="0"/>
          <w:i w:val="0"/>
          <w:sz w:val="28"/>
          <w:szCs w:val="28"/>
        </w:rPr>
        <w:t>iilor Penitenciare</w:t>
      </w:r>
      <w:r w:rsidR="009C08BF">
        <w:rPr>
          <w:b w:val="0"/>
          <w:i w:val="0"/>
          <w:sz w:val="28"/>
          <w:szCs w:val="28"/>
        </w:rPr>
        <w:t xml:space="preserve"> (actualmente Administrația Națională a Penitenciarelor)</w:t>
      </w:r>
      <w:r w:rsidR="00055312" w:rsidRPr="00870FB6">
        <w:rPr>
          <w:b w:val="0"/>
          <w:i w:val="0"/>
          <w:sz w:val="28"/>
          <w:szCs w:val="28"/>
        </w:rPr>
        <w:t>, la 62,5% din întreprinderile administrate de Ministerul Educa</w:t>
      </w:r>
      <w:r w:rsidR="000873E3">
        <w:rPr>
          <w:b w:val="0"/>
          <w:i w:val="0"/>
          <w:sz w:val="28"/>
          <w:szCs w:val="28"/>
        </w:rPr>
        <w:t>ț</w:t>
      </w:r>
      <w:r w:rsidR="00055312" w:rsidRPr="00870FB6">
        <w:rPr>
          <w:b w:val="0"/>
          <w:i w:val="0"/>
          <w:sz w:val="28"/>
          <w:szCs w:val="28"/>
        </w:rPr>
        <w:t>iei, Culturii și Cercetării (preponderent cele din domeniul teatral) etc.</w:t>
      </w:r>
    </w:p>
    <w:p w:rsidR="00F33AF7" w:rsidRPr="00870FB6" w:rsidRDefault="000A59CF" w:rsidP="00C005B9">
      <w:pPr>
        <w:spacing w:line="276" w:lineRule="auto"/>
        <w:jc w:val="center"/>
        <w:rPr>
          <w:color w:val="FF0000"/>
          <w:sz w:val="28"/>
          <w:szCs w:val="28"/>
        </w:rPr>
      </w:pPr>
      <w:r w:rsidRPr="00870FB6">
        <w:rPr>
          <w:noProof/>
          <w:color w:val="FF0000"/>
          <w:sz w:val="28"/>
          <w:szCs w:val="28"/>
          <w:lang w:val="ru-RU"/>
        </w:rPr>
        <w:drawing>
          <wp:inline distT="0" distB="0" distL="0" distR="0">
            <wp:extent cx="5505450" cy="14573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5312" w:rsidRPr="00870FB6" w:rsidRDefault="00F33AF7" w:rsidP="00C005B9">
      <w:pPr>
        <w:jc w:val="center"/>
        <w:rPr>
          <w:b/>
          <w:i/>
          <w:sz w:val="20"/>
          <w:szCs w:val="20"/>
        </w:rPr>
      </w:pPr>
      <w:r w:rsidRPr="00870FB6">
        <w:rPr>
          <w:b/>
          <w:i/>
          <w:sz w:val="20"/>
          <w:szCs w:val="20"/>
        </w:rPr>
        <w:t xml:space="preserve">Figura </w:t>
      </w:r>
      <w:r w:rsidR="009C08BF">
        <w:rPr>
          <w:b/>
          <w:i/>
          <w:sz w:val="20"/>
          <w:szCs w:val="20"/>
        </w:rPr>
        <w:t>1</w:t>
      </w:r>
      <w:r w:rsidRPr="00870FB6">
        <w:rPr>
          <w:b/>
          <w:i/>
          <w:sz w:val="20"/>
          <w:szCs w:val="20"/>
        </w:rPr>
        <w:t xml:space="preserve">. Dinamica patrimoniului net </w:t>
      </w:r>
      <w:r w:rsidR="00145B4D" w:rsidRPr="00870FB6">
        <w:rPr>
          <w:b/>
          <w:i/>
          <w:sz w:val="20"/>
          <w:szCs w:val="20"/>
        </w:rPr>
        <w:t xml:space="preserve">(capitalului propriu) și </w:t>
      </w:r>
      <w:r w:rsidRPr="00870FB6">
        <w:rPr>
          <w:b/>
          <w:i/>
          <w:sz w:val="20"/>
          <w:szCs w:val="20"/>
        </w:rPr>
        <w:t xml:space="preserve">capitalului social </w:t>
      </w:r>
    </w:p>
    <w:p w:rsidR="00F33AF7" w:rsidRPr="00870FB6" w:rsidRDefault="00F33AF7" w:rsidP="00C005B9">
      <w:pPr>
        <w:jc w:val="center"/>
        <w:rPr>
          <w:b/>
          <w:i/>
        </w:rPr>
      </w:pPr>
      <w:r w:rsidRPr="00870FB6">
        <w:rPr>
          <w:b/>
          <w:i/>
          <w:sz w:val="20"/>
          <w:szCs w:val="20"/>
        </w:rPr>
        <w:t>al întreprinderilor de stat</w:t>
      </w:r>
      <w:r w:rsidR="00055312" w:rsidRPr="00870FB6">
        <w:rPr>
          <w:b/>
          <w:i/>
          <w:sz w:val="20"/>
          <w:szCs w:val="20"/>
        </w:rPr>
        <w:t xml:space="preserve"> în anul 2017</w:t>
      </w:r>
      <w:r w:rsidRPr="00870FB6">
        <w:rPr>
          <w:b/>
          <w:i/>
          <w:sz w:val="20"/>
          <w:szCs w:val="20"/>
        </w:rPr>
        <w:t>, mil. lei</w:t>
      </w:r>
    </w:p>
    <w:p w:rsidR="00843094" w:rsidRPr="00870FB6" w:rsidRDefault="00843094" w:rsidP="00CC4E4A">
      <w:pPr>
        <w:pStyle w:val="BodyTextIndent"/>
        <w:spacing w:line="120" w:lineRule="auto"/>
        <w:ind w:firstLine="539"/>
        <w:jc w:val="both"/>
        <w:rPr>
          <w:b w:val="0"/>
          <w:i w:val="0"/>
          <w:color w:val="FF0000"/>
          <w:sz w:val="28"/>
          <w:szCs w:val="28"/>
        </w:rPr>
      </w:pPr>
    </w:p>
    <w:p w:rsidR="00055312" w:rsidRPr="00870FB6" w:rsidRDefault="00055312" w:rsidP="00055312">
      <w:pPr>
        <w:pStyle w:val="BodyTextIndent"/>
        <w:spacing w:line="276" w:lineRule="auto"/>
        <w:ind w:firstLine="539"/>
        <w:jc w:val="both"/>
        <w:rPr>
          <w:b w:val="0"/>
          <w:i w:val="0"/>
          <w:color w:val="FF0000"/>
          <w:sz w:val="28"/>
          <w:szCs w:val="28"/>
        </w:rPr>
      </w:pPr>
      <w:r w:rsidRPr="00870FB6">
        <w:rPr>
          <w:b w:val="0"/>
          <w:i w:val="0"/>
          <w:sz w:val="28"/>
          <w:szCs w:val="28"/>
        </w:rPr>
        <w:t>E de remarcat că, la finele anului 2017, capitalul social al întreprinderilor de stat monitorizate</w:t>
      </w:r>
      <w:r w:rsidR="009C08BF">
        <w:rPr>
          <w:b w:val="0"/>
          <w:i w:val="0"/>
          <w:sz w:val="28"/>
          <w:szCs w:val="28"/>
        </w:rPr>
        <w:t>, potrivit bilanțului acestora,</w:t>
      </w:r>
      <w:r w:rsidRPr="00870FB6">
        <w:rPr>
          <w:b w:val="0"/>
          <w:i w:val="0"/>
          <w:sz w:val="28"/>
          <w:szCs w:val="28"/>
        </w:rPr>
        <w:t xml:space="preserve"> a constituit </w:t>
      </w:r>
      <w:r w:rsidR="003C4B72" w:rsidRPr="00870FB6">
        <w:rPr>
          <w:b w:val="0"/>
          <w:i w:val="0"/>
          <w:sz w:val="28"/>
          <w:szCs w:val="28"/>
        </w:rPr>
        <w:t>6140,6</w:t>
      </w:r>
      <w:r w:rsidRPr="00870FB6">
        <w:rPr>
          <w:b w:val="0"/>
          <w:i w:val="0"/>
          <w:sz w:val="28"/>
          <w:szCs w:val="28"/>
        </w:rPr>
        <w:t xml:space="preserve"> mil. lei, rezervele – 7392,1 mil. lei, iar valoarea altor elemente de capital propriu – 1929,0 mil. lei. Pe parcursul anului 2017, au fost înregistrate corec</w:t>
      </w:r>
      <w:r w:rsidR="000873E3">
        <w:rPr>
          <w:b w:val="0"/>
          <w:i w:val="0"/>
          <w:sz w:val="28"/>
          <w:szCs w:val="28"/>
        </w:rPr>
        <w:t>ț</w:t>
      </w:r>
      <w:r w:rsidRPr="00870FB6">
        <w:rPr>
          <w:b w:val="0"/>
          <w:i w:val="0"/>
          <w:sz w:val="28"/>
          <w:szCs w:val="28"/>
        </w:rPr>
        <w:t>ii nefavorabile ale rezultatelor anilor preceden</w:t>
      </w:r>
      <w:r w:rsidR="000873E3">
        <w:rPr>
          <w:b w:val="0"/>
          <w:i w:val="0"/>
          <w:sz w:val="28"/>
          <w:szCs w:val="28"/>
        </w:rPr>
        <w:t>ț</w:t>
      </w:r>
      <w:r w:rsidRPr="00870FB6">
        <w:rPr>
          <w:b w:val="0"/>
          <w:i w:val="0"/>
          <w:sz w:val="28"/>
          <w:szCs w:val="28"/>
        </w:rPr>
        <w:t>i în mărime de</w:t>
      </w:r>
      <w:r w:rsidR="00A34E05" w:rsidRPr="00870FB6">
        <w:rPr>
          <w:b w:val="0"/>
          <w:i w:val="0"/>
          <w:sz w:val="28"/>
          <w:szCs w:val="28"/>
        </w:rPr>
        <w:t xml:space="preserve"> </w:t>
      </w:r>
      <w:r w:rsidRPr="00870FB6">
        <w:rPr>
          <w:b w:val="0"/>
          <w:i w:val="0"/>
          <w:sz w:val="28"/>
          <w:szCs w:val="28"/>
        </w:rPr>
        <w:t>(-250,5) mil. lei, profitul nerepartizat al anilor preceden</w:t>
      </w:r>
      <w:r w:rsidR="000873E3">
        <w:rPr>
          <w:b w:val="0"/>
          <w:i w:val="0"/>
          <w:sz w:val="28"/>
          <w:szCs w:val="28"/>
        </w:rPr>
        <w:t>ț</w:t>
      </w:r>
      <w:r w:rsidRPr="00870FB6">
        <w:rPr>
          <w:b w:val="0"/>
          <w:i w:val="0"/>
          <w:sz w:val="28"/>
          <w:szCs w:val="28"/>
        </w:rPr>
        <w:t>i a constituit 257,3 mil. lei, iar profitul utilizat al perioadei de gestiune – 82,6 mil. lei.</w:t>
      </w:r>
    </w:p>
    <w:p w:rsidR="0008031F" w:rsidRPr="00870FB6" w:rsidRDefault="00A41CFF" w:rsidP="0008031F">
      <w:pPr>
        <w:pStyle w:val="BodyTextIndent"/>
        <w:spacing w:line="276" w:lineRule="auto"/>
        <w:ind w:firstLine="539"/>
        <w:jc w:val="both"/>
        <w:rPr>
          <w:b w:val="0"/>
          <w:i w:val="0"/>
          <w:sz w:val="28"/>
          <w:szCs w:val="28"/>
        </w:rPr>
      </w:pPr>
      <w:r w:rsidRPr="00870FB6">
        <w:rPr>
          <w:b w:val="0"/>
          <w:i w:val="0"/>
          <w:sz w:val="28"/>
          <w:szCs w:val="28"/>
        </w:rPr>
        <w:lastRenderedPageBreak/>
        <w:t>În particular, remarcăm că l</w:t>
      </w:r>
      <w:r w:rsidR="00C63DC3" w:rsidRPr="00870FB6">
        <w:rPr>
          <w:b w:val="0"/>
          <w:i w:val="0"/>
          <w:sz w:val="28"/>
          <w:szCs w:val="28"/>
        </w:rPr>
        <w:t>a finele</w:t>
      </w:r>
      <w:r w:rsidR="00F33AF7" w:rsidRPr="00870FB6">
        <w:rPr>
          <w:b w:val="0"/>
          <w:i w:val="0"/>
          <w:sz w:val="28"/>
          <w:szCs w:val="28"/>
        </w:rPr>
        <w:t xml:space="preserve"> anul</w:t>
      </w:r>
      <w:r w:rsidR="00C63DC3" w:rsidRPr="00870FB6">
        <w:rPr>
          <w:b w:val="0"/>
          <w:i w:val="0"/>
          <w:sz w:val="28"/>
          <w:szCs w:val="28"/>
        </w:rPr>
        <w:t>ui</w:t>
      </w:r>
      <w:r w:rsidR="00F33AF7" w:rsidRPr="00870FB6">
        <w:rPr>
          <w:b w:val="0"/>
          <w:i w:val="0"/>
          <w:sz w:val="28"/>
          <w:szCs w:val="28"/>
        </w:rPr>
        <w:t xml:space="preserve"> 201</w:t>
      </w:r>
      <w:r w:rsidR="000A2896" w:rsidRPr="00870FB6">
        <w:rPr>
          <w:b w:val="0"/>
          <w:i w:val="0"/>
          <w:sz w:val="28"/>
          <w:szCs w:val="28"/>
        </w:rPr>
        <w:t>7</w:t>
      </w:r>
      <w:r w:rsidR="00F33AF7" w:rsidRPr="00870FB6">
        <w:rPr>
          <w:b w:val="0"/>
          <w:i w:val="0"/>
          <w:sz w:val="28"/>
          <w:szCs w:val="28"/>
        </w:rPr>
        <w:t xml:space="preserve">, comparativ cu </w:t>
      </w:r>
      <w:r w:rsidR="00C63DC3" w:rsidRPr="00870FB6">
        <w:rPr>
          <w:b w:val="0"/>
          <w:i w:val="0"/>
          <w:sz w:val="28"/>
          <w:szCs w:val="28"/>
        </w:rPr>
        <w:t>începutul acestuia,</w:t>
      </w:r>
      <w:r w:rsidR="00C63DC3" w:rsidRPr="00870FB6">
        <w:rPr>
          <w:b w:val="0"/>
          <w:i w:val="0"/>
          <w:color w:val="FF0000"/>
          <w:sz w:val="28"/>
          <w:szCs w:val="28"/>
        </w:rPr>
        <w:t xml:space="preserve"> </w:t>
      </w:r>
      <w:r w:rsidR="00F33AF7" w:rsidRPr="00870FB6">
        <w:rPr>
          <w:b w:val="0"/>
          <w:i w:val="0"/>
          <w:sz w:val="28"/>
          <w:szCs w:val="28"/>
        </w:rPr>
        <w:t xml:space="preserve">a avut loc o diminuare </w:t>
      </w:r>
      <w:r w:rsidR="009B4AC6" w:rsidRPr="00870FB6">
        <w:rPr>
          <w:b w:val="0"/>
          <w:i w:val="0"/>
          <w:sz w:val="28"/>
          <w:szCs w:val="28"/>
        </w:rPr>
        <w:t xml:space="preserve">cu </w:t>
      </w:r>
      <w:r w:rsidR="00431997" w:rsidRPr="00870FB6">
        <w:rPr>
          <w:b w:val="0"/>
          <w:i w:val="0"/>
          <w:sz w:val="28"/>
          <w:szCs w:val="28"/>
        </w:rPr>
        <w:t>1168,1</w:t>
      </w:r>
      <w:r w:rsidR="009B4AC6" w:rsidRPr="00870FB6">
        <w:rPr>
          <w:b w:val="0"/>
          <w:i w:val="0"/>
          <w:sz w:val="28"/>
          <w:szCs w:val="28"/>
        </w:rPr>
        <w:t xml:space="preserve"> mil. lei </w:t>
      </w:r>
      <w:r w:rsidR="00F33AF7" w:rsidRPr="00870FB6">
        <w:rPr>
          <w:b w:val="0"/>
          <w:i w:val="0"/>
          <w:sz w:val="28"/>
          <w:szCs w:val="28"/>
        </w:rPr>
        <w:t xml:space="preserve">a </w:t>
      </w:r>
      <w:r w:rsidR="00CC6619" w:rsidRPr="00870FB6">
        <w:rPr>
          <w:b w:val="0"/>
          <w:i w:val="0"/>
          <w:sz w:val="28"/>
          <w:szCs w:val="28"/>
        </w:rPr>
        <w:t>capitalului propriu</w:t>
      </w:r>
      <w:r w:rsidR="00F33AF7" w:rsidRPr="00870FB6">
        <w:rPr>
          <w:b w:val="0"/>
          <w:i w:val="0"/>
          <w:sz w:val="28"/>
          <w:szCs w:val="28"/>
        </w:rPr>
        <w:t xml:space="preserve"> </w:t>
      </w:r>
      <w:r w:rsidR="00DE77AC" w:rsidRPr="00870FB6">
        <w:rPr>
          <w:b w:val="0"/>
          <w:i w:val="0"/>
          <w:sz w:val="28"/>
          <w:szCs w:val="28"/>
        </w:rPr>
        <w:t xml:space="preserve">la </w:t>
      </w:r>
      <w:r w:rsidR="00431997" w:rsidRPr="00870FB6">
        <w:rPr>
          <w:b w:val="0"/>
          <w:i w:val="0"/>
          <w:sz w:val="28"/>
          <w:szCs w:val="28"/>
        </w:rPr>
        <w:t>82</w:t>
      </w:r>
      <w:r w:rsidR="009B4AC6" w:rsidRPr="00870FB6">
        <w:rPr>
          <w:b w:val="0"/>
          <w:i w:val="0"/>
          <w:sz w:val="28"/>
          <w:szCs w:val="28"/>
        </w:rPr>
        <w:t xml:space="preserve"> întreprinderi de stat</w:t>
      </w:r>
      <w:r w:rsidR="00431997" w:rsidRPr="00870FB6">
        <w:rPr>
          <w:b w:val="0"/>
          <w:i w:val="0"/>
          <w:sz w:val="28"/>
          <w:szCs w:val="28"/>
        </w:rPr>
        <w:t xml:space="preserve"> sau 48,5% din numărul întreprinderilor supuse analizei</w:t>
      </w:r>
      <w:r w:rsidR="0008031F">
        <w:rPr>
          <w:b w:val="0"/>
          <w:i w:val="0"/>
          <w:sz w:val="28"/>
          <w:szCs w:val="28"/>
        </w:rPr>
        <w:t>.</w:t>
      </w:r>
    </w:p>
    <w:p w:rsidR="00F33AF7" w:rsidRPr="00870FB6" w:rsidRDefault="007A7597" w:rsidP="00F33AF7">
      <w:pPr>
        <w:pStyle w:val="BodyTextIndent"/>
        <w:spacing w:line="276" w:lineRule="auto"/>
        <w:ind w:firstLine="539"/>
        <w:jc w:val="both"/>
        <w:rPr>
          <w:b w:val="0"/>
          <w:i w:val="0"/>
          <w:sz w:val="28"/>
          <w:szCs w:val="28"/>
        </w:rPr>
      </w:pPr>
      <w:r w:rsidRPr="00870FB6">
        <w:rPr>
          <w:b w:val="0"/>
          <w:sz w:val="28"/>
          <w:szCs w:val="28"/>
        </w:rPr>
        <w:t>Depășirea capitalului social fa</w:t>
      </w:r>
      <w:r w:rsidR="000873E3">
        <w:rPr>
          <w:b w:val="0"/>
          <w:sz w:val="28"/>
          <w:szCs w:val="28"/>
        </w:rPr>
        <w:t>ț</w:t>
      </w:r>
      <w:r w:rsidRPr="00870FB6">
        <w:rPr>
          <w:b w:val="0"/>
          <w:sz w:val="28"/>
          <w:szCs w:val="28"/>
        </w:rPr>
        <w:t>ă de capitalul propriu</w:t>
      </w:r>
      <w:r w:rsidR="003C4B72" w:rsidRPr="00870FB6">
        <w:rPr>
          <w:b w:val="0"/>
          <w:i w:val="0"/>
          <w:sz w:val="28"/>
          <w:szCs w:val="28"/>
        </w:rPr>
        <w:t xml:space="preserve"> se înregistrează la                         52 întreprinderi de stat sau 30,8% din numărul întreprinderilor monitorizate. </w:t>
      </w:r>
      <w:r w:rsidR="00043C6E" w:rsidRPr="00870FB6">
        <w:rPr>
          <w:b w:val="0"/>
          <w:i w:val="0"/>
          <w:sz w:val="28"/>
          <w:szCs w:val="28"/>
        </w:rPr>
        <w:t>Din acestea</w:t>
      </w:r>
      <w:r w:rsidR="00F33AF7" w:rsidRPr="00870FB6">
        <w:rPr>
          <w:b w:val="0"/>
          <w:i w:val="0"/>
          <w:sz w:val="28"/>
          <w:szCs w:val="28"/>
        </w:rPr>
        <w:t>, 1</w:t>
      </w:r>
      <w:r w:rsidR="00431997" w:rsidRPr="00870FB6">
        <w:rPr>
          <w:b w:val="0"/>
          <w:i w:val="0"/>
          <w:sz w:val="28"/>
          <w:szCs w:val="28"/>
        </w:rPr>
        <w:t>6</w:t>
      </w:r>
      <w:r w:rsidR="00F33AF7" w:rsidRPr="00870FB6">
        <w:rPr>
          <w:b w:val="0"/>
          <w:i w:val="0"/>
          <w:sz w:val="28"/>
          <w:szCs w:val="28"/>
        </w:rPr>
        <w:t xml:space="preserve"> întreprinderi de stat înregistrează o </w:t>
      </w:r>
      <w:r w:rsidR="00F33AF7" w:rsidRPr="00870FB6">
        <w:rPr>
          <w:b w:val="0"/>
          <w:sz w:val="28"/>
          <w:szCs w:val="28"/>
        </w:rPr>
        <w:t xml:space="preserve">valoare negativă a </w:t>
      </w:r>
      <w:r w:rsidR="00CC6619" w:rsidRPr="00870FB6">
        <w:rPr>
          <w:b w:val="0"/>
          <w:sz w:val="28"/>
          <w:szCs w:val="28"/>
        </w:rPr>
        <w:t>capitalului propriu</w:t>
      </w:r>
      <w:r w:rsidR="005F5ABF" w:rsidRPr="00870FB6">
        <w:rPr>
          <w:b w:val="0"/>
          <w:i w:val="0"/>
          <w:sz w:val="28"/>
          <w:szCs w:val="28"/>
        </w:rPr>
        <w:t xml:space="preserve"> în mărime de </w:t>
      </w:r>
      <w:r w:rsidR="00431997" w:rsidRPr="00870FB6">
        <w:rPr>
          <w:b w:val="0"/>
          <w:i w:val="0"/>
          <w:sz w:val="28"/>
          <w:szCs w:val="28"/>
        </w:rPr>
        <w:t>149,9</w:t>
      </w:r>
      <w:r w:rsidR="00043C6E" w:rsidRPr="00870FB6">
        <w:rPr>
          <w:b w:val="0"/>
          <w:i w:val="0"/>
          <w:sz w:val="28"/>
          <w:szCs w:val="28"/>
        </w:rPr>
        <w:t xml:space="preserve"> mil. lei, din</w:t>
      </w:r>
      <w:r w:rsidR="00F33AF7" w:rsidRPr="00870FB6">
        <w:rPr>
          <w:b w:val="0"/>
          <w:i w:val="0"/>
          <w:sz w:val="28"/>
          <w:szCs w:val="28"/>
        </w:rPr>
        <w:t xml:space="preserve"> care</w:t>
      </w:r>
      <w:r w:rsidR="00043C6E" w:rsidRPr="00870FB6">
        <w:rPr>
          <w:b w:val="0"/>
          <w:i w:val="0"/>
          <w:sz w:val="28"/>
          <w:szCs w:val="28"/>
        </w:rPr>
        <w:t xml:space="preserve"> se eviden</w:t>
      </w:r>
      <w:r w:rsidR="000873E3">
        <w:rPr>
          <w:b w:val="0"/>
          <w:i w:val="0"/>
          <w:sz w:val="28"/>
          <w:szCs w:val="28"/>
        </w:rPr>
        <w:t>ț</w:t>
      </w:r>
      <w:r w:rsidR="00043C6E" w:rsidRPr="00870FB6">
        <w:rPr>
          <w:b w:val="0"/>
          <w:i w:val="0"/>
          <w:sz w:val="28"/>
          <w:szCs w:val="28"/>
        </w:rPr>
        <w:t>iază</w:t>
      </w:r>
      <w:r w:rsidR="00F33AF7" w:rsidRPr="00870FB6">
        <w:rPr>
          <w:b w:val="0"/>
          <w:i w:val="0"/>
          <w:sz w:val="28"/>
          <w:szCs w:val="28"/>
        </w:rPr>
        <w:t>:</w:t>
      </w:r>
    </w:p>
    <w:p w:rsidR="00F33AF7" w:rsidRPr="00870FB6" w:rsidRDefault="00F33AF7" w:rsidP="00F33AF7">
      <w:pPr>
        <w:pStyle w:val="BodyTextIndent"/>
        <w:spacing w:line="276" w:lineRule="auto"/>
        <w:ind w:firstLine="539"/>
        <w:jc w:val="both"/>
        <w:rPr>
          <w:b w:val="0"/>
          <w:i w:val="0"/>
          <w:sz w:val="28"/>
          <w:szCs w:val="28"/>
        </w:rPr>
      </w:pPr>
      <w:r w:rsidRPr="00870FB6">
        <w:rPr>
          <w:b w:val="0"/>
          <w:i w:val="0"/>
          <w:sz w:val="28"/>
          <w:szCs w:val="28"/>
        </w:rPr>
        <w:t xml:space="preserve">- </w:t>
      </w:r>
      <w:r w:rsidR="003C3D23" w:rsidRPr="00870FB6">
        <w:rPr>
          <w:b w:val="0"/>
          <w:i w:val="0"/>
          <w:sz w:val="28"/>
          <w:szCs w:val="28"/>
        </w:rPr>
        <w:t xml:space="preserve">Î.S. </w:t>
      </w:r>
      <w:r w:rsidR="00431997" w:rsidRPr="00870FB6">
        <w:rPr>
          <w:b w:val="0"/>
          <w:i w:val="0"/>
          <w:sz w:val="28"/>
          <w:szCs w:val="28"/>
        </w:rPr>
        <w:t xml:space="preserve">Compania Aeriană „Air Moldova” </w:t>
      </w:r>
      <w:r w:rsidR="009F535E" w:rsidRPr="00870FB6">
        <w:rPr>
          <w:b w:val="0"/>
          <w:i w:val="0"/>
          <w:sz w:val="28"/>
          <w:szCs w:val="28"/>
        </w:rPr>
        <w:t xml:space="preserve">– </w:t>
      </w:r>
      <w:r w:rsidR="00D03AD1" w:rsidRPr="00870FB6">
        <w:rPr>
          <w:b w:val="0"/>
          <w:i w:val="0"/>
          <w:sz w:val="28"/>
          <w:szCs w:val="28"/>
        </w:rPr>
        <w:t>81,3</w:t>
      </w:r>
      <w:r w:rsidR="003C3D23" w:rsidRPr="00870FB6">
        <w:rPr>
          <w:b w:val="0"/>
          <w:i w:val="0"/>
          <w:sz w:val="28"/>
          <w:szCs w:val="28"/>
        </w:rPr>
        <w:t xml:space="preserve"> mil. lei;</w:t>
      </w:r>
    </w:p>
    <w:p w:rsidR="00D03AD1" w:rsidRPr="00870FB6" w:rsidRDefault="00D03AD1" w:rsidP="00D03AD1">
      <w:pPr>
        <w:pStyle w:val="BodyTextIndent"/>
        <w:spacing w:line="276" w:lineRule="auto"/>
        <w:ind w:firstLine="539"/>
        <w:jc w:val="both"/>
        <w:rPr>
          <w:b w:val="0"/>
          <w:i w:val="0"/>
          <w:sz w:val="28"/>
          <w:szCs w:val="28"/>
        </w:rPr>
      </w:pPr>
      <w:r w:rsidRPr="00870FB6">
        <w:rPr>
          <w:b w:val="0"/>
          <w:i w:val="0"/>
          <w:sz w:val="28"/>
          <w:szCs w:val="28"/>
        </w:rPr>
        <w:t>- Î.S. „Moldtranselectro” – 59,7 mil. lei</w:t>
      </w:r>
      <w:r w:rsidR="009431BC">
        <w:rPr>
          <w:b w:val="0"/>
          <w:i w:val="0"/>
          <w:sz w:val="28"/>
          <w:szCs w:val="28"/>
        </w:rPr>
        <w:t xml:space="preserve"> (mai mult de 3</w:t>
      </w:r>
      <w:r w:rsidR="009431BC" w:rsidRPr="009431BC">
        <w:rPr>
          <w:b w:val="0"/>
          <w:i w:val="0"/>
          <w:sz w:val="28"/>
          <w:szCs w:val="28"/>
        </w:rPr>
        <w:t xml:space="preserve"> ani)</w:t>
      </w:r>
      <w:r w:rsidRPr="00870FB6">
        <w:rPr>
          <w:b w:val="0"/>
          <w:i w:val="0"/>
          <w:sz w:val="28"/>
          <w:szCs w:val="28"/>
        </w:rPr>
        <w:t xml:space="preserve">; </w:t>
      </w:r>
    </w:p>
    <w:p w:rsidR="009F535E" w:rsidRPr="00870FB6" w:rsidRDefault="00D11935" w:rsidP="00F33AF7">
      <w:pPr>
        <w:pStyle w:val="BodyTextIndent"/>
        <w:spacing w:line="276" w:lineRule="auto"/>
        <w:ind w:firstLine="539"/>
        <w:jc w:val="both"/>
        <w:rPr>
          <w:b w:val="0"/>
          <w:i w:val="0"/>
          <w:sz w:val="28"/>
          <w:szCs w:val="28"/>
        </w:rPr>
      </w:pPr>
      <w:r w:rsidRPr="00870FB6">
        <w:rPr>
          <w:b w:val="0"/>
          <w:i w:val="0"/>
          <w:sz w:val="28"/>
          <w:szCs w:val="28"/>
        </w:rPr>
        <w:t xml:space="preserve">- Î.S </w:t>
      </w:r>
      <w:r w:rsidR="00A41CFF" w:rsidRPr="00870FB6">
        <w:rPr>
          <w:b w:val="0"/>
          <w:i w:val="0"/>
          <w:sz w:val="28"/>
          <w:szCs w:val="28"/>
        </w:rPr>
        <w:t>Sta</w:t>
      </w:r>
      <w:r w:rsidR="000873E3">
        <w:rPr>
          <w:b w:val="0"/>
          <w:i w:val="0"/>
          <w:sz w:val="28"/>
          <w:szCs w:val="28"/>
        </w:rPr>
        <w:t>ț</w:t>
      </w:r>
      <w:r w:rsidR="00A41CFF" w:rsidRPr="00870FB6">
        <w:rPr>
          <w:b w:val="0"/>
          <w:i w:val="0"/>
          <w:sz w:val="28"/>
          <w:szCs w:val="28"/>
        </w:rPr>
        <w:t>iunea Tehnologică pentru Irigare „Vulcă</w:t>
      </w:r>
      <w:r w:rsidRPr="00870FB6">
        <w:rPr>
          <w:b w:val="0"/>
          <w:i w:val="0"/>
          <w:sz w:val="28"/>
          <w:szCs w:val="28"/>
        </w:rPr>
        <w:t>nești”</w:t>
      </w:r>
      <w:r w:rsidR="009F535E" w:rsidRPr="00870FB6">
        <w:rPr>
          <w:b w:val="0"/>
          <w:i w:val="0"/>
          <w:sz w:val="28"/>
          <w:szCs w:val="28"/>
        </w:rPr>
        <w:t xml:space="preserve"> – </w:t>
      </w:r>
      <w:r w:rsidR="00D03AD1" w:rsidRPr="00870FB6">
        <w:rPr>
          <w:b w:val="0"/>
          <w:i w:val="0"/>
          <w:sz w:val="28"/>
          <w:szCs w:val="28"/>
        </w:rPr>
        <w:t>3,6</w:t>
      </w:r>
      <w:r w:rsidR="009F535E" w:rsidRPr="00870FB6">
        <w:rPr>
          <w:b w:val="0"/>
          <w:i w:val="0"/>
          <w:sz w:val="28"/>
          <w:szCs w:val="28"/>
        </w:rPr>
        <w:t xml:space="preserve"> mil. lei</w:t>
      </w:r>
      <w:r w:rsidR="009431BC">
        <w:rPr>
          <w:b w:val="0"/>
          <w:i w:val="0"/>
          <w:sz w:val="28"/>
          <w:szCs w:val="28"/>
        </w:rPr>
        <w:t xml:space="preserve"> (</w:t>
      </w:r>
      <w:r w:rsidR="00235BF0">
        <w:rPr>
          <w:b w:val="0"/>
          <w:i w:val="0"/>
          <w:sz w:val="28"/>
          <w:szCs w:val="28"/>
        </w:rPr>
        <w:t>peste</w:t>
      </w:r>
      <w:r w:rsidR="009431BC">
        <w:rPr>
          <w:b w:val="0"/>
          <w:i w:val="0"/>
          <w:sz w:val="28"/>
          <w:szCs w:val="28"/>
        </w:rPr>
        <w:t xml:space="preserve"> 3 </w:t>
      </w:r>
      <w:r w:rsidR="009431BC" w:rsidRPr="009431BC">
        <w:rPr>
          <w:b w:val="0"/>
          <w:i w:val="0"/>
          <w:sz w:val="28"/>
          <w:szCs w:val="28"/>
        </w:rPr>
        <w:t>ani)</w:t>
      </w:r>
      <w:r w:rsidR="009F535E" w:rsidRPr="00870FB6">
        <w:rPr>
          <w:b w:val="0"/>
          <w:i w:val="0"/>
          <w:sz w:val="28"/>
          <w:szCs w:val="28"/>
        </w:rPr>
        <w:t>;</w:t>
      </w:r>
    </w:p>
    <w:p w:rsidR="00F33AF7" w:rsidRPr="00870FB6" w:rsidRDefault="00F33AF7" w:rsidP="00F33AF7">
      <w:pPr>
        <w:pStyle w:val="BodyTextIndent"/>
        <w:spacing w:line="276" w:lineRule="auto"/>
        <w:ind w:firstLine="539"/>
        <w:jc w:val="both"/>
        <w:rPr>
          <w:b w:val="0"/>
          <w:i w:val="0"/>
          <w:sz w:val="28"/>
          <w:szCs w:val="28"/>
        </w:rPr>
      </w:pPr>
      <w:r w:rsidRPr="00870FB6">
        <w:rPr>
          <w:b w:val="0"/>
          <w:i w:val="0"/>
          <w:sz w:val="28"/>
          <w:szCs w:val="28"/>
        </w:rPr>
        <w:t xml:space="preserve">- Î.S. </w:t>
      </w:r>
      <w:r w:rsidR="00D03AD1" w:rsidRPr="00870FB6">
        <w:rPr>
          <w:b w:val="0"/>
          <w:i w:val="0"/>
          <w:sz w:val="28"/>
          <w:szCs w:val="28"/>
        </w:rPr>
        <w:t xml:space="preserve">DIP </w:t>
      </w:r>
      <w:r w:rsidRPr="00870FB6">
        <w:rPr>
          <w:b w:val="0"/>
          <w:i w:val="0"/>
          <w:sz w:val="28"/>
          <w:szCs w:val="28"/>
        </w:rPr>
        <w:t>„</w:t>
      </w:r>
      <w:r w:rsidR="00D03AD1" w:rsidRPr="00870FB6">
        <w:rPr>
          <w:b w:val="0"/>
          <w:i w:val="0"/>
          <w:sz w:val="28"/>
          <w:szCs w:val="28"/>
        </w:rPr>
        <w:t>Casa de comer</w:t>
      </w:r>
      <w:r w:rsidR="000873E3">
        <w:rPr>
          <w:b w:val="0"/>
          <w:i w:val="0"/>
          <w:sz w:val="28"/>
          <w:szCs w:val="28"/>
        </w:rPr>
        <w:t>ț</w:t>
      </w:r>
      <w:r w:rsidRPr="00870FB6">
        <w:rPr>
          <w:b w:val="0"/>
          <w:i w:val="0"/>
          <w:sz w:val="28"/>
          <w:szCs w:val="28"/>
        </w:rPr>
        <w:t xml:space="preserve">” – </w:t>
      </w:r>
      <w:r w:rsidR="00D03AD1" w:rsidRPr="00870FB6">
        <w:rPr>
          <w:b w:val="0"/>
          <w:i w:val="0"/>
          <w:sz w:val="28"/>
          <w:szCs w:val="28"/>
        </w:rPr>
        <w:t>1,0</w:t>
      </w:r>
      <w:r w:rsidR="00C67165" w:rsidRPr="00870FB6">
        <w:rPr>
          <w:b w:val="0"/>
          <w:i w:val="0"/>
          <w:sz w:val="28"/>
          <w:szCs w:val="28"/>
        </w:rPr>
        <w:t xml:space="preserve"> mil. lei</w:t>
      </w:r>
      <w:r w:rsidR="009431BC">
        <w:rPr>
          <w:b w:val="0"/>
          <w:i w:val="0"/>
          <w:sz w:val="28"/>
          <w:szCs w:val="28"/>
        </w:rPr>
        <w:t xml:space="preserve"> (mai mult de 3 </w:t>
      </w:r>
      <w:r w:rsidR="009431BC" w:rsidRPr="009431BC">
        <w:rPr>
          <w:b w:val="0"/>
          <w:i w:val="0"/>
          <w:sz w:val="28"/>
          <w:szCs w:val="28"/>
        </w:rPr>
        <w:t>ani)</w:t>
      </w:r>
      <w:r w:rsidR="00C67165" w:rsidRPr="00870FB6">
        <w:rPr>
          <w:b w:val="0"/>
          <w:i w:val="0"/>
          <w:sz w:val="28"/>
          <w:szCs w:val="28"/>
        </w:rPr>
        <w:t>.</w:t>
      </w:r>
    </w:p>
    <w:p w:rsidR="003C4B72" w:rsidRPr="00870FB6" w:rsidRDefault="00D03AD1" w:rsidP="001A0C43">
      <w:pPr>
        <w:spacing w:line="276" w:lineRule="auto"/>
        <w:ind w:firstLine="567"/>
        <w:jc w:val="both"/>
        <w:rPr>
          <w:sz w:val="28"/>
          <w:szCs w:val="28"/>
        </w:rPr>
      </w:pPr>
      <w:r w:rsidRPr="00870FB6">
        <w:rPr>
          <w:sz w:val="28"/>
          <w:szCs w:val="28"/>
        </w:rPr>
        <w:t>Din cele 16 întreprinderi de stat cu capital propriu negativ, 13 întreprinderi înregistrează această situa</w:t>
      </w:r>
      <w:r w:rsidR="000873E3">
        <w:rPr>
          <w:sz w:val="28"/>
          <w:szCs w:val="28"/>
        </w:rPr>
        <w:t>ț</w:t>
      </w:r>
      <w:r w:rsidRPr="00870FB6">
        <w:rPr>
          <w:sz w:val="28"/>
          <w:szCs w:val="28"/>
        </w:rPr>
        <w:t xml:space="preserve">ie atît la 01.01.2017 cît și la 31.12.2017. </w:t>
      </w:r>
    </w:p>
    <w:p w:rsidR="00C67165" w:rsidRPr="00870FB6" w:rsidRDefault="00DB7658" w:rsidP="000F6073">
      <w:pPr>
        <w:spacing w:line="276" w:lineRule="auto"/>
        <w:ind w:firstLine="567"/>
        <w:jc w:val="both"/>
        <w:rPr>
          <w:sz w:val="28"/>
          <w:szCs w:val="28"/>
        </w:rPr>
      </w:pPr>
      <w:r w:rsidRPr="00870FB6">
        <w:rPr>
          <w:sz w:val="28"/>
          <w:szCs w:val="28"/>
        </w:rPr>
        <w:t xml:space="preserve">De asemenea, </w:t>
      </w:r>
      <w:r w:rsidR="00D81951">
        <w:rPr>
          <w:sz w:val="28"/>
          <w:szCs w:val="28"/>
        </w:rPr>
        <w:t xml:space="preserve">se </w:t>
      </w:r>
      <w:r w:rsidRPr="00870FB6">
        <w:rPr>
          <w:sz w:val="28"/>
          <w:szCs w:val="28"/>
        </w:rPr>
        <w:t>men</w:t>
      </w:r>
      <w:r w:rsidR="000873E3">
        <w:rPr>
          <w:sz w:val="28"/>
          <w:szCs w:val="28"/>
        </w:rPr>
        <w:t>ț</w:t>
      </w:r>
      <w:r w:rsidR="00D81951">
        <w:rPr>
          <w:sz w:val="28"/>
          <w:szCs w:val="28"/>
        </w:rPr>
        <w:t>ionează</w:t>
      </w:r>
      <w:r w:rsidR="00147877" w:rsidRPr="00870FB6">
        <w:rPr>
          <w:sz w:val="28"/>
          <w:szCs w:val="28"/>
        </w:rPr>
        <w:t xml:space="preserve"> că</w:t>
      </w:r>
      <w:r w:rsidRPr="00870FB6">
        <w:rPr>
          <w:sz w:val="28"/>
          <w:szCs w:val="28"/>
        </w:rPr>
        <w:t xml:space="preserve"> </w:t>
      </w:r>
      <w:r w:rsidR="00D11935" w:rsidRPr="00870FB6">
        <w:rPr>
          <w:i/>
          <w:sz w:val="28"/>
          <w:szCs w:val="28"/>
        </w:rPr>
        <w:t xml:space="preserve">raportul dintre </w:t>
      </w:r>
      <w:r w:rsidR="00D03AD1" w:rsidRPr="00870FB6">
        <w:rPr>
          <w:i/>
          <w:sz w:val="28"/>
          <w:szCs w:val="28"/>
        </w:rPr>
        <w:t xml:space="preserve">pierderea netă și </w:t>
      </w:r>
      <w:r w:rsidR="00D11935" w:rsidRPr="00870FB6">
        <w:rPr>
          <w:i/>
          <w:sz w:val="28"/>
          <w:szCs w:val="28"/>
        </w:rPr>
        <w:t xml:space="preserve">valoarea medie a </w:t>
      </w:r>
      <w:r w:rsidR="00BE36B2" w:rsidRPr="00870FB6">
        <w:rPr>
          <w:i/>
          <w:sz w:val="28"/>
          <w:szCs w:val="28"/>
        </w:rPr>
        <w:t>capitalului propriu</w:t>
      </w:r>
      <w:r w:rsidR="000F6073" w:rsidRPr="00870FB6">
        <w:rPr>
          <w:sz w:val="28"/>
          <w:szCs w:val="28"/>
        </w:rPr>
        <w:t xml:space="preserve"> </w:t>
      </w:r>
      <w:r w:rsidR="00D03AD1" w:rsidRPr="00870FB6">
        <w:rPr>
          <w:sz w:val="28"/>
          <w:szCs w:val="28"/>
        </w:rPr>
        <w:t>la întreprinderile de stat, în anul 2017</w:t>
      </w:r>
      <w:r w:rsidR="00D03AD1" w:rsidRPr="00870FB6">
        <w:rPr>
          <w:i/>
          <w:sz w:val="28"/>
          <w:szCs w:val="28"/>
        </w:rPr>
        <w:t xml:space="preserve">, </w:t>
      </w:r>
      <w:r w:rsidR="000F6073" w:rsidRPr="00870FB6">
        <w:rPr>
          <w:sz w:val="28"/>
          <w:szCs w:val="28"/>
        </w:rPr>
        <w:t>a</w:t>
      </w:r>
      <w:r w:rsidRPr="00870FB6">
        <w:rPr>
          <w:sz w:val="28"/>
          <w:szCs w:val="28"/>
        </w:rPr>
        <w:t xml:space="preserve"> constituit per ansamblu </w:t>
      </w:r>
      <w:r w:rsidR="00FF5CEB" w:rsidRPr="00870FB6">
        <w:rPr>
          <w:sz w:val="28"/>
          <w:szCs w:val="28"/>
        </w:rPr>
        <w:t>0</w:t>
      </w:r>
      <w:r w:rsidR="00145B4D" w:rsidRPr="00870FB6">
        <w:rPr>
          <w:sz w:val="28"/>
          <w:szCs w:val="28"/>
        </w:rPr>
        <w:t>,</w:t>
      </w:r>
      <w:r w:rsidR="00FF5CEB" w:rsidRPr="00870FB6">
        <w:rPr>
          <w:sz w:val="28"/>
          <w:szCs w:val="28"/>
        </w:rPr>
        <w:t>5</w:t>
      </w:r>
      <w:r w:rsidR="001A0C43" w:rsidRPr="00870FB6">
        <w:rPr>
          <w:sz w:val="28"/>
          <w:szCs w:val="28"/>
        </w:rPr>
        <w:t>1</w:t>
      </w:r>
      <w:r w:rsidRPr="00870FB6">
        <w:rPr>
          <w:sz w:val="28"/>
          <w:szCs w:val="28"/>
        </w:rPr>
        <w:t xml:space="preserve">%, ceea ce semnifică </w:t>
      </w:r>
      <w:r w:rsidR="009F535E" w:rsidRPr="00870FB6">
        <w:rPr>
          <w:sz w:val="28"/>
          <w:szCs w:val="28"/>
        </w:rPr>
        <w:t xml:space="preserve">faptul </w:t>
      </w:r>
      <w:r w:rsidRPr="00870FB6">
        <w:rPr>
          <w:sz w:val="28"/>
          <w:szCs w:val="28"/>
        </w:rPr>
        <w:t>că la 1 leu capita</w:t>
      </w:r>
      <w:r w:rsidR="000F6073" w:rsidRPr="00870FB6">
        <w:rPr>
          <w:sz w:val="28"/>
          <w:szCs w:val="28"/>
        </w:rPr>
        <w:t>l propriu</w:t>
      </w:r>
      <w:r w:rsidR="009F535E" w:rsidRPr="00870FB6">
        <w:rPr>
          <w:sz w:val="28"/>
          <w:szCs w:val="28"/>
        </w:rPr>
        <w:t xml:space="preserve">, </w:t>
      </w:r>
      <w:r w:rsidR="00FF5CEB" w:rsidRPr="00870FB6">
        <w:rPr>
          <w:sz w:val="28"/>
          <w:szCs w:val="28"/>
        </w:rPr>
        <w:t>în anul 201</w:t>
      </w:r>
      <w:r w:rsidR="00387C28" w:rsidRPr="00870FB6">
        <w:rPr>
          <w:sz w:val="28"/>
          <w:szCs w:val="28"/>
        </w:rPr>
        <w:t>7</w:t>
      </w:r>
      <w:r w:rsidR="00145B4D" w:rsidRPr="00870FB6">
        <w:rPr>
          <w:sz w:val="28"/>
          <w:szCs w:val="28"/>
        </w:rPr>
        <w:t>,</w:t>
      </w:r>
      <w:r w:rsidR="009F535E" w:rsidRPr="00870FB6">
        <w:rPr>
          <w:sz w:val="28"/>
          <w:szCs w:val="28"/>
        </w:rPr>
        <w:t xml:space="preserve"> s-a</w:t>
      </w:r>
      <w:r w:rsidR="00CC6619" w:rsidRPr="00870FB6">
        <w:rPr>
          <w:sz w:val="28"/>
          <w:szCs w:val="28"/>
        </w:rPr>
        <w:t>u</w:t>
      </w:r>
      <w:r w:rsidR="000F6073" w:rsidRPr="00870FB6">
        <w:rPr>
          <w:sz w:val="28"/>
          <w:szCs w:val="28"/>
        </w:rPr>
        <w:t xml:space="preserve"> ob</w:t>
      </w:r>
      <w:r w:rsidR="000873E3">
        <w:rPr>
          <w:sz w:val="28"/>
          <w:szCs w:val="28"/>
        </w:rPr>
        <w:t>ț</w:t>
      </w:r>
      <w:r w:rsidR="000F6073" w:rsidRPr="00870FB6">
        <w:rPr>
          <w:sz w:val="28"/>
          <w:szCs w:val="28"/>
        </w:rPr>
        <w:t>in</w:t>
      </w:r>
      <w:r w:rsidR="009F535E" w:rsidRPr="00870FB6">
        <w:rPr>
          <w:sz w:val="28"/>
          <w:szCs w:val="28"/>
        </w:rPr>
        <w:t>ut</w:t>
      </w:r>
      <w:r w:rsidRPr="00870FB6">
        <w:rPr>
          <w:sz w:val="28"/>
          <w:szCs w:val="28"/>
        </w:rPr>
        <w:t xml:space="preserve"> </w:t>
      </w:r>
      <w:r w:rsidR="00387C28" w:rsidRPr="00870FB6">
        <w:rPr>
          <w:sz w:val="28"/>
          <w:szCs w:val="28"/>
        </w:rPr>
        <w:t xml:space="preserve">           </w:t>
      </w:r>
      <w:r w:rsidR="00FF5CEB" w:rsidRPr="00870FB6">
        <w:rPr>
          <w:sz w:val="28"/>
          <w:szCs w:val="28"/>
        </w:rPr>
        <w:t>0</w:t>
      </w:r>
      <w:r w:rsidR="009F535E" w:rsidRPr="00870FB6">
        <w:rPr>
          <w:sz w:val="28"/>
          <w:szCs w:val="28"/>
        </w:rPr>
        <w:t>,</w:t>
      </w:r>
      <w:r w:rsidR="00FF5CEB" w:rsidRPr="00870FB6">
        <w:rPr>
          <w:sz w:val="28"/>
          <w:szCs w:val="28"/>
        </w:rPr>
        <w:t>5</w:t>
      </w:r>
      <w:r w:rsidR="001A0C43" w:rsidRPr="00870FB6">
        <w:rPr>
          <w:sz w:val="28"/>
          <w:szCs w:val="28"/>
        </w:rPr>
        <w:t>1</w:t>
      </w:r>
      <w:r w:rsidRPr="00870FB6">
        <w:rPr>
          <w:sz w:val="28"/>
          <w:szCs w:val="28"/>
        </w:rPr>
        <w:t xml:space="preserve"> ban</w:t>
      </w:r>
      <w:r w:rsidR="000F6073" w:rsidRPr="00870FB6">
        <w:rPr>
          <w:sz w:val="28"/>
          <w:szCs w:val="28"/>
        </w:rPr>
        <w:t>i</w:t>
      </w:r>
      <w:r w:rsidRPr="00870FB6">
        <w:rPr>
          <w:sz w:val="28"/>
          <w:szCs w:val="28"/>
        </w:rPr>
        <w:t xml:space="preserve"> </w:t>
      </w:r>
      <w:r w:rsidR="00387C28" w:rsidRPr="00870FB6">
        <w:rPr>
          <w:sz w:val="28"/>
          <w:szCs w:val="28"/>
        </w:rPr>
        <w:t>pierderi nete</w:t>
      </w:r>
      <w:r w:rsidRPr="00870FB6">
        <w:rPr>
          <w:sz w:val="28"/>
          <w:szCs w:val="28"/>
        </w:rPr>
        <w:t xml:space="preserve">. </w:t>
      </w:r>
      <w:r w:rsidR="00A41CFF" w:rsidRPr="00870FB6">
        <w:rPr>
          <w:sz w:val="28"/>
          <w:szCs w:val="28"/>
        </w:rPr>
        <w:t>În anul 201</w:t>
      </w:r>
      <w:r w:rsidR="00387C28" w:rsidRPr="00870FB6">
        <w:rPr>
          <w:sz w:val="28"/>
          <w:szCs w:val="28"/>
        </w:rPr>
        <w:t>6</w:t>
      </w:r>
      <w:r w:rsidR="00A41CFF" w:rsidRPr="00870FB6">
        <w:rPr>
          <w:sz w:val="28"/>
          <w:szCs w:val="28"/>
        </w:rPr>
        <w:t xml:space="preserve">, întreprinderile de stat au înregistrat per total </w:t>
      </w:r>
      <w:r w:rsidR="00387C28" w:rsidRPr="00870FB6">
        <w:rPr>
          <w:sz w:val="28"/>
          <w:szCs w:val="28"/>
        </w:rPr>
        <w:t xml:space="preserve">               0,15</w:t>
      </w:r>
      <w:r w:rsidR="00A41CFF" w:rsidRPr="00870FB6">
        <w:rPr>
          <w:sz w:val="28"/>
          <w:szCs w:val="28"/>
        </w:rPr>
        <w:t xml:space="preserve"> bani </w:t>
      </w:r>
      <w:r w:rsidR="00387C28" w:rsidRPr="00870FB6">
        <w:rPr>
          <w:sz w:val="28"/>
          <w:szCs w:val="28"/>
        </w:rPr>
        <w:t>profit net</w:t>
      </w:r>
      <w:r w:rsidR="00A41CFF" w:rsidRPr="00870FB6">
        <w:rPr>
          <w:sz w:val="28"/>
          <w:szCs w:val="28"/>
        </w:rPr>
        <w:t xml:space="preserve"> la 1 leu capital propriu</w:t>
      </w:r>
      <w:r w:rsidR="001A3872" w:rsidRPr="00870FB6">
        <w:rPr>
          <w:sz w:val="28"/>
          <w:szCs w:val="28"/>
        </w:rPr>
        <w:t>.</w:t>
      </w:r>
    </w:p>
    <w:p w:rsidR="001A3872" w:rsidRPr="00870FB6" w:rsidRDefault="00F33AF7" w:rsidP="001A3872">
      <w:pPr>
        <w:spacing w:line="276" w:lineRule="auto"/>
        <w:ind w:firstLine="567"/>
        <w:jc w:val="both"/>
        <w:rPr>
          <w:color w:val="FF0000"/>
          <w:sz w:val="28"/>
          <w:szCs w:val="28"/>
        </w:rPr>
      </w:pPr>
      <w:r w:rsidRPr="00870FB6">
        <w:rPr>
          <w:i/>
          <w:sz w:val="28"/>
          <w:szCs w:val="28"/>
        </w:rPr>
        <w:t xml:space="preserve">Potrivit </w:t>
      </w:r>
      <w:r w:rsidR="003C3D23" w:rsidRPr="00870FB6">
        <w:rPr>
          <w:i/>
          <w:sz w:val="28"/>
          <w:szCs w:val="28"/>
        </w:rPr>
        <w:t>situa</w:t>
      </w:r>
      <w:r w:rsidR="000873E3">
        <w:rPr>
          <w:i/>
          <w:sz w:val="28"/>
          <w:szCs w:val="28"/>
        </w:rPr>
        <w:t>ț</w:t>
      </w:r>
      <w:r w:rsidR="003C3D23" w:rsidRPr="00870FB6">
        <w:rPr>
          <w:i/>
          <w:sz w:val="28"/>
          <w:szCs w:val="28"/>
        </w:rPr>
        <w:t xml:space="preserve">iei de </w:t>
      </w:r>
      <w:r w:rsidR="0094557B" w:rsidRPr="00870FB6">
        <w:rPr>
          <w:i/>
          <w:sz w:val="28"/>
          <w:szCs w:val="28"/>
        </w:rPr>
        <w:t>profit şi pierdere</w:t>
      </w:r>
      <w:r w:rsidR="0094557B" w:rsidRPr="00870FB6">
        <w:rPr>
          <w:sz w:val="28"/>
          <w:szCs w:val="28"/>
        </w:rPr>
        <w:t xml:space="preserve">, </w:t>
      </w:r>
      <w:r w:rsidR="001A3872" w:rsidRPr="00870FB6">
        <w:rPr>
          <w:sz w:val="28"/>
          <w:szCs w:val="28"/>
        </w:rPr>
        <w:t xml:space="preserve">se atestă că </w:t>
      </w:r>
      <w:r w:rsidR="0094557B" w:rsidRPr="00870FB6">
        <w:rPr>
          <w:sz w:val="28"/>
          <w:szCs w:val="28"/>
        </w:rPr>
        <w:t>în anul 201</w:t>
      </w:r>
      <w:r w:rsidR="00387C28" w:rsidRPr="00870FB6">
        <w:rPr>
          <w:sz w:val="28"/>
          <w:szCs w:val="28"/>
        </w:rPr>
        <w:t>7</w:t>
      </w:r>
      <w:r w:rsidR="001A3872" w:rsidRPr="00870FB6">
        <w:rPr>
          <w:sz w:val="28"/>
          <w:szCs w:val="28"/>
        </w:rPr>
        <w:t xml:space="preserve"> întreprinderile de stat au înregistrat</w:t>
      </w:r>
      <w:r w:rsidR="001A3872" w:rsidRPr="00870FB6">
        <w:rPr>
          <w:color w:val="FF0000"/>
          <w:sz w:val="28"/>
          <w:szCs w:val="28"/>
        </w:rPr>
        <w:t xml:space="preserve"> </w:t>
      </w:r>
      <w:r w:rsidR="001A3872" w:rsidRPr="00870FB6">
        <w:rPr>
          <w:sz w:val="28"/>
          <w:szCs w:val="28"/>
        </w:rPr>
        <w:t xml:space="preserve">un profit brut în mărime de </w:t>
      </w:r>
      <w:r w:rsidR="004D2B9E" w:rsidRPr="00870FB6">
        <w:rPr>
          <w:sz w:val="28"/>
          <w:szCs w:val="28"/>
        </w:rPr>
        <w:t>980,4</w:t>
      </w:r>
      <w:r w:rsidR="001A3872" w:rsidRPr="00870FB6">
        <w:rPr>
          <w:sz w:val="28"/>
          <w:szCs w:val="28"/>
        </w:rPr>
        <w:t xml:space="preserve"> mil. lei şi este cu </w:t>
      </w:r>
      <w:r w:rsidR="004D2B9E" w:rsidRPr="00870FB6">
        <w:rPr>
          <w:sz w:val="28"/>
          <w:szCs w:val="28"/>
        </w:rPr>
        <w:t>122,3</w:t>
      </w:r>
      <w:r w:rsidR="001A3872" w:rsidRPr="00870FB6">
        <w:rPr>
          <w:sz w:val="28"/>
          <w:szCs w:val="28"/>
        </w:rPr>
        <w:t xml:space="preserve"> mil. lei mai </w:t>
      </w:r>
      <w:r w:rsidR="004D2B9E" w:rsidRPr="00870FB6">
        <w:rPr>
          <w:sz w:val="28"/>
          <w:szCs w:val="28"/>
        </w:rPr>
        <w:t>mic</w:t>
      </w:r>
      <w:r w:rsidR="001A3872" w:rsidRPr="00870FB6">
        <w:rPr>
          <w:sz w:val="28"/>
          <w:szCs w:val="28"/>
        </w:rPr>
        <w:t xml:space="preserve"> comparativ cu valoarea aferentă anului 201</w:t>
      </w:r>
      <w:r w:rsidR="004D2B9E" w:rsidRPr="00870FB6">
        <w:rPr>
          <w:sz w:val="28"/>
          <w:szCs w:val="28"/>
        </w:rPr>
        <w:t>6</w:t>
      </w:r>
      <w:r w:rsidR="001A3872" w:rsidRPr="00870FB6">
        <w:rPr>
          <w:sz w:val="28"/>
          <w:szCs w:val="28"/>
        </w:rPr>
        <w:t>, dat fiind</w:t>
      </w:r>
      <w:r w:rsidR="004D2B9E" w:rsidRPr="00870FB6">
        <w:rPr>
          <w:sz w:val="28"/>
          <w:szCs w:val="28"/>
        </w:rPr>
        <w:t xml:space="preserve"> depășirea major</w:t>
      </w:r>
      <w:r w:rsidR="009C08BF">
        <w:rPr>
          <w:sz w:val="28"/>
          <w:szCs w:val="28"/>
        </w:rPr>
        <w:t>ării</w:t>
      </w:r>
      <w:r w:rsidR="004D2B9E" w:rsidRPr="00870FB6">
        <w:rPr>
          <w:sz w:val="28"/>
          <w:szCs w:val="28"/>
        </w:rPr>
        <w:t xml:space="preserve"> costului vînzărilor fa</w:t>
      </w:r>
      <w:r w:rsidR="000873E3">
        <w:rPr>
          <w:sz w:val="28"/>
          <w:szCs w:val="28"/>
        </w:rPr>
        <w:t>ț</w:t>
      </w:r>
      <w:r w:rsidR="004D2B9E" w:rsidRPr="00870FB6">
        <w:rPr>
          <w:sz w:val="28"/>
          <w:szCs w:val="28"/>
        </w:rPr>
        <w:t>ă de majorarea veniturilor din vînzări.</w:t>
      </w:r>
      <w:r w:rsidR="001A3872" w:rsidRPr="00870FB6">
        <w:rPr>
          <w:color w:val="FF0000"/>
          <w:sz w:val="28"/>
          <w:szCs w:val="28"/>
        </w:rPr>
        <w:t xml:space="preserve"> </w:t>
      </w:r>
    </w:p>
    <w:p w:rsidR="00F37A7D" w:rsidRPr="000E52A3" w:rsidRDefault="00F37A7D" w:rsidP="00F37A7D">
      <w:pPr>
        <w:spacing w:line="360" w:lineRule="auto"/>
        <w:ind w:firstLine="720"/>
        <w:jc w:val="right"/>
        <w:rPr>
          <w:rFonts w:eastAsia="Calibri"/>
          <w:sz w:val="20"/>
          <w:szCs w:val="20"/>
        </w:rPr>
      </w:pPr>
      <w:r w:rsidRPr="000E52A3">
        <w:rPr>
          <w:rFonts w:eastAsia="Calibri"/>
          <w:sz w:val="20"/>
          <w:szCs w:val="20"/>
        </w:rPr>
        <w:t xml:space="preserve">Tabelul </w:t>
      </w:r>
      <w:r w:rsidR="00924587">
        <w:rPr>
          <w:rFonts w:eastAsia="Calibri"/>
          <w:sz w:val="20"/>
          <w:szCs w:val="20"/>
        </w:rPr>
        <w:t>4</w:t>
      </w:r>
      <w:r w:rsidR="009C08BF">
        <w:rPr>
          <w:rFonts w:eastAsia="Calibri"/>
          <w:sz w:val="20"/>
          <w:szCs w:val="20"/>
        </w:rPr>
        <w:t>.</w:t>
      </w:r>
    </w:p>
    <w:p w:rsidR="00F37A7D" w:rsidRPr="000E52A3" w:rsidRDefault="00F37A7D" w:rsidP="000E52A3">
      <w:pPr>
        <w:pStyle w:val="NoSpacing"/>
        <w:jc w:val="center"/>
        <w:rPr>
          <w:rFonts w:eastAsia="Calibri"/>
          <w:b/>
          <w:i/>
          <w:sz w:val="20"/>
          <w:szCs w:val="20"/>
        </w:rPr>
      </w:pPr>
      <w:r w:rsidRPr="000E52A3">
        <w:rPr>
          <w:rFonts w:eastAsia="Calibri"/>
          <w:b/>
          <w:i/>
          <w:noProof/>
          <w:sz w:val="20"/>
          <w:szCs w:val="20"/>
        </w:rPr>
        <w:t>Analiza indicatorilor de rezultat a întreprinderilor de stat</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136"/>
        <w:gridCol w:w="1080"/>
        <w:gridCol w:w="900"/>
        <w:gridCol w:w="1310"/>
      </w:tblGrid>
      <w:tr w:rsidR="00F37A7D" w:rsidRPr="00870FB6" w:rsidTr="008F4160">
        <w:trPr>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F37A7D" w:rsidRPr="00870FB6" w:rsidRDefault="00F37A7D" w:rsidP="008F4160">
            <w:pPr>
              <w:jc w:val="center"/>
              <w:rPr>
                <w:rFonts w:eastAsia="Calibri"/>
                <w:b/>
                <w:i/>
                <w:noProof/>
                <w:sz w:val="20"/>
                <w:szCs w:val="20"/>
              </w:rPr>
            </w:pPr>
            <w:r w:rsidRPr="00870FB6">
              <w:rPr>
                <w:rFonts w:eastAsia="Calibri"/>
                <w:b/>
                <w:i/>
                <w:noProof/>
                <w:sz w:val="20"/>
                <w:szCs w:val="20"/>
              </w:rPr>
              <w:t>Nr. d/o</w:t>
            </w:r>
          </w:p>
        </w:tc>
        <w:tc>
          <w:tcPr>
            <w:tcW w:w="5136" w:type="dxa"/>
            <w:tcBorders>
              <w:top w:val="single" w:sz="4" w:space="0" w:color="auto"/>
              <w:left w:val="single" w:sz="4" w:space="0" w:color="auto"/>
              <w:bottom w:val="single" w:sz="4" w:space="0" w:color="auto"/>
              <w:right w:val="single" w:sz="4" w:space="0" w:color="auto"/>
            </w:tcBorders>
            <w:vAlign w:val="center"/>
            <w:hideMark/>
          </w:tcPr>
          <w:p w:rsidR="00F37A7D" w:rsidRPr="00870FB6" w:rsidRDefault="00F37A7D" w:rsidP="008F4160">
            <w:pPr>
              <w:jc w:val="center"/>
              <w:rPr>
                <w:rFonts w:eastAsia="Calibri"/>
                <w:b/>
                <w:i/>
                <w:noProof/>
                <w:sz w:val="20"/>
                <w:szCs w:val="20"/>
              </w:rPr>
            </w:pPr>
            <w:r w:rsidRPr="00870FB6">
              <w:rPr>
                <w:rFonts w:eastAsia="Calibri"/>
                <w:b/>
                <w:i/>
                <w:noProof/>
                <w:sz w:val="20"/>
                <w:szCs w:val="20"/>
              </w:rPr>
              <w:t>Indicatori</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7A7D" w:rsidRPr="00870FB6" w:rsidRDefault="004D2B9E" w:rsidP="008F4160">
            <w:pPr>
              <w:jc w:val="center"/>
              <w:rPr>
                <w:rFonts w:eastAsia="Calibri"/>
                <w:b/>
                <w:i/>
                <w:noProof/>
                <w:sz w:val="20"/>
                <w:szCs w:val="20"/>
              </w:rPr>
            </w:pPr>
            <w:r w:rsidRPr="00870FB6">
              <w:rPr>
                <w:rFonts w:eastAsia="Calibri"/>
                <w:b/>
                <w:i/>
                <w:noProof/>
                <w:sz w:val="20"/>
                <w:szCs w:val="20"/>
              </w:rPr>
              <w:t>2016</w:t>
            </w:r>
            <w:r w:rsidR="00F37A7D" w:rsidRPr="00870FB6">
              <w:rPr>
                <w:rFonts w:eastAsia="Calibri"/>
                <w:b/>
                <w:i/>
                <w:noProof/>
                <w:sz w:val="20"/>
                <w:szCs w:val="20"/>
              </w:rPr>
              <w:t>,</w:t>
            </w:r>
          </w:p>
          <w:p w:rsidR="00F37A7D" w:rsidRPr="00870FB6" w:rsidRDefault="00F37A7D" w:rsidP="008F4160">
            <w:pPr>
              <w:jc w:val="center"/>
              <w:rPr>
                <w:rFonts w:eastAsia="Calibri"/>
                <w:i/>
                <w:noProof/>
                <w:sz w:val="20"/>
                <w:szCs w:val="20"/>
              </w:rPr>
            </w:pPr>
            <w:r w:rsidRPr="00870FB6">
              <w:rPr>
                <w:rFonts w:eastAsia="Calibri"/>
                <w:i/>
                <w:noProof/>
                <w:sz w:val="20"/>
                <w:szCs w:val="20"/>
              </w:rPr>
              <w:t>mil. lei</w:t>
            </w:r>
          </w:p>
        </w:tc>
        <w:tc>
          <w:tcPr>
            <w:tcW w:w="900" w:type="dxa"/>
            <w:tcBorders>
              <w:top w:val="single" w:sz="4" w:space="0" w:color="auto"/>
              <w:left w:val="single" w:sz="4" w:space="0" w:color="auto"/>
              <w:bottom w:val="single" w:sz="4" w:space="0" w:color="auto"/>
              <w:right w:val="single" w:sz="4" w:space="0" w:color="auto"/>
            </w:tcBorders>
            <w:vAlign w:val="center"/>
            <w:hideMark/>
          </w:tcPr>
          <w:p w:rsidR="00F37A7D" w:rsidRPr="00870FB6" w:rsidRDefault="004D2B9E" w:rsidP="008F4160">
            <w:pPr>
              <w:jc w:val="center"/>
              <w:rPr>
                <w:rFonts w:eastAsia="Calibri"/>
                <w:b/>
                <w:i/>
                <w:noProof/>
                <w:sz w:val="20"/>
                <w:szCs w:val="20"/>
              </w:rPr>
            </w:pPr>
            <w:r w:rsidRPr="00870FB6">
              <w:rPr>
                <w:rFonts w:eastAsia="Calibri"/>
                <w:b/>
                <w:i/>
                <w:noProof/>
                <w:sz w:val="20"/>
                <w:szCs w:val="20"/>
              </w:rPr>
              <w:t>2017</w:t>
            </w:r>
            <w:r w:rsidR="00F37A7D" w:rsidRPr="00870FB6">
              <w:rPr>
                <w:rFonts w:eastAsia="Calibri"/>
                <w:b/>
                <w:i/>
                <w:noProof/>
                <w:sz w:val="20"/>
                <w:szCs w:val="20"/>
              </w:rPr>
              <w:t>,</w:t>
            </w:r>
          </w:p>
          <w:p w:rsidR="00F37A7D" w:rsidRPr="00870FB6" w:rsidRDefault="00F37A7D" w:rsidP="008F4160">
            <w:pPr>
              <w:jc w:val="center"/>
              <w:rPr>
                <w:rFonts w:eastAsia="Calibri"/>
                <w:i/>
                <w:noProof/>
                <w:sz w:val="20"/>
                <w:szCs w:val="20"/>
              </w:rPr>
            </w:pPr>
            <w:r w:rsidRPr="00870FB6">
              <w:rPr>
                <w:rFonts w:eastAsia="Calibri"/>
                <w:i/>
                <w:noProof/>
                <w:sz w:val="20"/>
                <w:szCs w:val="20"/>
              </w:rPr>
              <w:t>mil. lei</w:t>
            </w:r>
          </w:p>
        </w:tc>
        <w:tc>
          <w:tcPr>
            <w:tcW w:w="1310" w:type="dxa"/>
            <w:tcBorders>
              <w:top w:val="single" w:sz="4" w:space="0" w:color="auto"/>
              <w:left w:val="single" w:sz="4" w:space="0" w:color="auto"/>
              <w:bottom w:val="single" w:sz="4" w:space="0" w:color="auto"/>
              <w:right w:val="single" w:sz="4" w:space="0" w:color="auto"/>
            </w:tcBorders>
            <w:vAlign w:val="center"/>
            <w:hideMark/>
          </w:tcPr>
          <w:p w:rsidR="00F37A7D" w:rsidRPr="00870FB6" w:rsidRDefault="00F37A7D" w:rsidP="008F4160">
            <w:pPr>
              <w:jc w:val="center"/>
              <w:rPr>
                <w:rFonts w:eastAsia="Calibri"/>
                <w:b/>
                <w:i/>
                <w:noProof/>
                <w:sz w:val="20"/>
                <w:szCs w:val="20"/>
              </w:rPr>
            </w:pPr>
            <w:r w:rsidRPr="00870FB6">
              <w:rPr>
                <w:rFonts w:eastAsia="Calibri"/>
                <w:b/>
                <w:i/>
                <w:noProof/>
                <w:sz w:val="20"/>
                <w:szCs w:val="20"/>
              </w:rPr>
              <w:t>Devierea,</w:t>
            </w:r>
          </w:p>
          <w:p w:rsidR="00F37A7D" w:rsidRPr="00870FB6" w:rsidRDefault="00F37A7D" w:rsidP="008F4160">
            <w:pPr>
              <w:jc w:val="center"/>
              <w:rPr>
                <w:rFonts w:eastAsia="Calibri"/>
                <w:i/>
                <w:noProof/>
                <w:sz w:val="20"/>
                <w:szCs w:val="20"/>
              </w:rPr>
            </w:pPr>
            <w:r w:rsidRPr="00870FB6">
              <w:rPr>
                <w:rFonts w:eastAsia="Calibri"/>
                <w:i/>
                <w:noProof/>
                <w:sz w:val="20"/>
                <w:szCs w:val="20"/>
              </w:rPr>
              <w:t>+/- mil. lei</w:t>
            </w:r>
          </w:p>
        </w:tc>
      </w:tr>
      <w:tr w:rsidR="00F37A7D" w:rsidRPr="00870FB6" w:rsidTr="008F4160">
        <w:trPr>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1</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Venituri din vînzări</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6524,0</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AA1B04">
            <w:pPr>
              <w:jc w:val="center"/>
              <w:rPr>
                <w:rFonts w:eastAsia="Calibri"/>
                <w:noProof/>
                <w:sz w:val="20"/>
                <w:szCs w:val="20"/>
              </w:rPr>
            </w:pPr>
            <w:r w:rsidRPr="00870FB6">
              <w:rPr>
                <w:rFonts w:eastAsia="Calibri"/>
                <w:noProof/>
                <w:sz w:val="20"/>
                <w:szCs w:val="20"/>
              </w:rPr>
              <w:t>6836,6</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+312,6</w:t>
            </w:r>
          </w:p>
        </w:tc>
      </w:tr>
      <w:tr w:rsidR="00F37A7D" w:rsidRPr="00870FB6" w:rsidTr="008F4160">
        <w:trPr>
          <w:trHeight w:val="223"/>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2</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 xml:space="preserve">Costul vînzărilor </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5421,3</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5856,2</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+434,9</w:t>
            </w:r>
          </w:p>
        </w:tc>
      </w:tr>
      <w:tr w:rsidR="00F37A7D" w:rsidRPr="00870FB6" w:rsidTr="008F4160">
        <w:trPr>
          <w:trHeight w:val="57"/>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3</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Pofitul brut</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1102,7</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980,4</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-122,3</w:t>
            </w:r>
          </w:p>
        </w:tc>
      </w:tr>
      <w:tr w:rsidR="00F37A7D" w:rsidRPr="00870FB6" w:rsidTr="008F4160">
        <w:trPr>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4</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Alte venituri din activitatea opera</w:t>
            </w:r>
            <w:r w:rsidR="000873E3">
              <w:rPr>
                <w:rFonts w:eastAsia="Calibri"/>
                <w:noProof/>
                <w:sz w:val="20"/>
                <w:szCs w:val="20"/>
              </w:rPr>
              <w:t>ț</w:t>
            </w:r>
            <w:r w:rsidRPr="00870FB6">
              <w:rPr>
                <w:rFonts w:eastAsia="Calibri"/>
                <w:noProof/>
                <w:sz w:val="20"/>
                <w:szCs w:val="20"/>
              </w:rPr>
              <w:t>ională</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239,7</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350,9</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+111,2</w:t>
            </w:r>
          </w:p>
        </w:tc>
      </w:tr>
      <w:tr w:rsidR="00F37A7D" w:rsidRPr="00870FB6" w:rsidTr="008F4160">
        <w:trPr>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5</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Total cheltuieli</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2047,5</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1659,1</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-388,4</w:t>
            </w:r>
          </w:p>
        </w:tc>
      </w:tr>
      <w:tr w:rsidR="00F37A7D" w:rsidRPr="00870FB6" w:rsidTr="008F4160">
        <w:trPr>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6</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Rezultatul din activitatea opera</w:t>
            </w:r>
            <w:r w:rsidR="000873E3">
              <w:rPr>
                <w:rFonts w:eastAsia="Calibri"/>
                <w:noProof/>
                <w:sz w:val="20"/>
                <w:szCs w:val="20"/>
              </w:rPr>
              <w:t>ț</w:t>
            </w:r>
            <w:r w:rsidRPr="00870FB6">
              <w:rPr>
                <w:rFonts w:eastAsia="Calibri"/>
                <w:noProof/>
                <w:sz w:val="20"/>
                <w:szCs w:val="20"/>
              </w:rPr>
              <w:t>ională: profit (pierdere)</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-705,1</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-327,8</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D1226A" w:rsidP="00F37A7D">
            <w:pPr>
              <w:jc w:val="center"/>
              <w:rPr>
                <w:rFonts w:eastAsia="Calibri"/>
                <w:noProof/>
                <w:sz w:val="20"/>
                <w:szCs w:val="20"/>
              </w:rPr>
            </w:pPr>
            <w:r w:rsidRPr="00870FB6">
              <w:rPr>
                <w:rFonts w:eastAsia="Calibri"/>
                <w:noProof/>
                <w:sz w:val="20"/>
                <w:szCs w:val="20"/>
              </w:rPr>
              <w:t>-</w:t>
            </w:r>
            <w:r w:rsidR="004D2B9E" w:rsidRPr="00870FB6">
              <w:rPr>
                <w:rFonts w:eastAsia="Calibri"/>
                <w:noProof/>
                <w:sz w:val="20"/>
                <w:szCs w:val="20"/>
              </w:rPr>
              <w:t>(+377,3)</w:t>
            </w:r>
          </w:p>
        </w:tc>
      </w:tr>
      <w:tr w:rsidR="00F37A7D" w:rsidRPr="00870FB6" w:rsidTr="008F4160">
        <w:trPr>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7</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Rezultatul din alte activită</w:t>
            </w:r>
            <w:r w:rsidR="000873E3">
              <w:rPr>
                <w:rFonts w:eastAsia="Calibri"/>
                <w:noProof/>
                <w:sz w:val="20"/>
                <w:szCs w:val="20"/>
              </w:rPr>
              <w:t>ț</w:t>
            </w:r>
            <w:r w:rsidRPr="00870FB6">
              <w:rPr>
                <w:rFonts w:eastAsia="Calibri"/>
                <w:noProof/>
                <w:sz w:val="20"/>
                <w:szCs w:val="20"/>
              </w:rPr>
              <w:t>i: profit (pierdere)</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709,6</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279,6</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-430,0</w:t>
            </w:r>
          </w:p>
        </w:tc>
      </w:tr>
      <w:tr w:rsidR="00F37A7D" w:rsidRPr="00870FB6" w:rsidTr="008F4160">
        <w:trPr>
          <w:trHeight w:val="113"/>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8</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Profit (pierdere) pînă la impozitare</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4,5</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-48,2</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-52,7</w:t>
            </w:r>
          </w:p>
        </w:tc>
      </w:tr>
      <w:tr w:rsidR="00F37A7D" w:rsidRPr="00870FB6" w:rsidTr="008F4160">
        <w:trPr>
          <w:trHeight w:val="170"/>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9</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Cheltuieli privind impozitul pe venit</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26,9</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31,3</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+4,4</w:t>
            </w:r>
          </w:p>
        </w:tc>
      </w:tr>
      <w:tr w:rsidR="00F37A7D" w:rsidRPr="00870FB6" w:rsidTr="008F4160">
        <w:trPr>
          <w:jc w:val="center"/>
        </w:trPr>
        <w:tc>
          <w:tcPr>
            <w:tcW w:w="800"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jc w:val="center"/>
              <w:rPr>
                <w:rFonts w:eastAsia="Calibri"/>
                <w:noProof/>
                <w:sz w:val="20"/>
                <w:szCs w:val="20"/>
              </w:rPr>
            </w:pPr>
            <w:r w:rsidRPr="00870FB6">
              <w:rPr>
                <w:rFonts w:eastAsia="Calibri"/>
                <w:noProof/>
                <w:sz w:val="20"/>
                <w:szCs w:val="20"/>
              </w:rPr>
              <w:t>10</w:t>
            </w:r>
            <w:r w:rsidR="008F4160" w:rsidRPr="00870FB6">
              <w:rPr>
                <w:rFonts w:eastAsia="Calibri"/>
                <w:noProof/>
                <w:sz w:val="20"/>
                <w:szCs w:val="20"/>
              </w:rPr>
              <w:t>.</w:t>
            </w:r>
          </w:p>
        </w:tc>
        <w:tc>
          <w:tcPr>
            <w:tcW w:w="5136" w:type="dxa"/>
            <w:tcBorders>
              <w:top w:val="single" w:sz="4" w:space="0" w:color="auto"/>
              <w:left w:val="single" w:sz="4" w:space="0" w:color="auto"/>
              <w:bottom w:val="single" w:sz="4" w:space="0" w:color="auto"/>
              <w:right w:val="single" w:sz="4" w:space="0" w:color="auto"/>
            </w:tcBorders>
            <w:hideMark/>
          </w:tcPr>
          <w:p w:rsidR="00F37A7D" w:rsidRPr="00870FB6" w:rsidRDefault="00F37A7D" w:rsidP="00F37A7D">
            <w:pPr>
              <w:rPr>
                <w:rFonts w:eastAsia="Calibri"/>
                <w:noProof/>
                <w:sz w:val="20"/>
                <w:szCs w:val="20"/>
              </w:rPr>
            </w:pPr>
            <w:r w:rsidRPr="00870FB6">
              <w:rPr>
                <w:rFonts w:eastAsia="Calibri"/>
                <w:noProof/>
                <w:sz w:val="20"/>
                <w:szCs w:val="20"/>
              </w:rPr>
              <w:t>Profit net (pierdere netă) al perioadei de gestiune</w:t>
            </w:r>
          </w:p>
        </w:tc>
        <w:tc>
          <w:tcPr>
            <w:tcW w:w="1080" w:type="dxa"/>
            <w:tcBorders>
              <w:top w:val="single" w:sz="4" w:space="0" w:color="auto"/>
              <w:left w:val="single" w:sz="4" w:space="0" w:color="auto"/>
              <w:bottom w:val="single" w:sz="4" w:space="0" w:color="auto"/>
              <w:right w:val="single" w:sz="4" w:space="0" w:color="auto"/>
            </w:tcBorders>
          </w:tcPr>
          <w:p w:rsidR="00F37A7D" w:rsidRPr="00870FB6" w:rsidRDefault="004D2B9E" w:rsidP="00F37A7D">
            <w:pPr>
              <w:jc w:val="center"/>
              <w:rPr>
                <w:rFonts w:eastAsia="Calibri"/>
                <w:noProof/>
                <w:sz w:val="20"/>
                <w:szCs w:val="20"/>
              </w:rPr>
            </w:pPr>
            <w:r w:rsidRPr="00870FB6">
              <w:rPr>
                <w:rFonts w:eastAsia="Calibri"/>
                <w:noProof/>
                <w:sz w:val="20"/>
                <w:szCs w:val="20"/>
              </w:rPr>
              <w:t>-22,4</w:t>
            </w:r>
          </w:p>
        </w:tc>
        <w:tc>
          <w:tcPr>
            <w:tcW w:w="900" w:type="dxa"/>
            <w:tcBorders>
              <w:top w:val="single" w:sz="4" w:space="0" w:color="auto"/>
              <w:left w:val="single" w:sz="4" w:space="0" w:color="auto"/>
              <w:bottom w:val="single" w:sz="4" w:space="0" w:color="auto"/>
              <w:right w:val="single" w:sz="4" w:space="0" w:color="auto"/>
            </w:tcBorders>
          </w:tcPr>
          <w:p w:rsidR="00F37A7D" w:rsidRPr="00870FB6" w:rsidRDefault="004D2B9E" w:rsidP="004D2B9E">
            <w:pPr>
              <w:jc w:val="center"/>
              <w:rPr>
                <w:rFonts w:eastAsia="Calibri"/>
                <w:noProof/>
                <w:sz w:val="20"/>
                <w:szCs w:val="20"/>
              </w:rPr>
            </w:pPr>
            <w:r w:rsidRPr="00870FB6">
              <w:rPr>
                <w:rFonts w:eastAsia="Calibri"/>
                <w:noProof/>
                <w:sz w:val="20"/>
                <w:szCs w:val="20"/>
              </w:rPr>
              <w:t>-79,5</w:t>
            </w:r>
          </w:p>
        </w:tc>
        <w:tc>
          <w:tcPr>
            <w:tcW w:w="1310" w:type="dxa"/>
            <w:tcBorders>
              <w:top w:val="single" w:sz="4" w:space="0" w:color="auto"/>
              <w:left w:val="single" w:sz="4" w:space="0" w:color="auto"/>
              <w:bottom w:val="single" w:sz="4" w:space="0" w:color="auto"/>
              <w:right w:val="single" w:sz="4" w:space="0" w:color="auto"/>
            </w:tcBorders>
          </w:tcPr>
          <w:p w:rsidR="00F37A7D" w:rsidRPr="00870FB6" w:rsidRDefault="00D1226A" w:rsidP="00F37A7D">
            <w:pPr>
              <w:jc w:val="center"/>
              <w:rPr>
                <w:rFonts w:eastAsia="Calibri"/>
                <w:noProof/>
                <w:sz w:val="20"/>
                <w:szCs w:val="20"/>
              </w:rPr>
            </w:pPr>
            <w:r w:rsidRPr="00870FB6">
              <w:rPr>
                <w:rFonts w:eastAsia="Calibri"/>
                <w:noProof/>
                <w:sz w:val="20"/>
                <w:szCs w:val="20"/>
              </w:rPr>
              <w:t>+(</w:t>
            </w:r>
            <w:r w:rsidR="004D2B9E" w:rsidRPr="00870FB6">
              <w:rPr>
                <w:rFonts w:eastAsia="Calibri"/>
                <w:noProof/>
                <w:sz w:val="20"/>
                <w:szCs w:val="20"/>
              </w:rPr>
              <w:t>-57,1</w:t>
            </w:r>
            <w:r w:rsidRPr="00870FB6">
              <w:rPr>
                <w:rFonts w:eastAsia="Calibri"/>
                <w:noProof/>
                <w:sz w:val="20"/>
                <w:szCs w:val="20"/>
              </w:rPr>
              <w:t>)</w:t>
            </w:r>
          </w:p>
        </w:tc>
      </w:tr>
    </w:tbl>
    <w:p w:rsidR="00F37A7D" w:rsidRPr="00870FB6" w:rsidRDefault="00F37A7D" w:rsidP="00F37A7D">
      <w:pPr>
        <w:spacing w:line="360" w:lineRule="auto"/>
        <w:jc w:val="both"/>
        <w:rPr>
          <w:rFonts w:eastAsia="Calibri"/>
          <w:sz w:val="16"/>
          <w:szCs w:val="16"/>
        </w:rPr>
      </w:pPr>
    </w:p>
    <w:p w:rsidR="00043C6E" w:rsidRPr="00870FB6" w:rsidRDefault="00043C6E" w:rsidP="00043C6E">
      <w:pPr>
        <w:spacing w:line="276" w:lineRule="auto"/>
        <w:ind w:firstLine="567"/>
        <w:jc w:val="both"/>
        <w:rPr>
          <w:sz w:val="28"/>
          <w:szCs w:val="28"/>
        </w:rPr>
      </w:pPr>
      <w:r w:rsidRPr="00870FB6">
        <w:rPr>
          <w:sz w:val="28"/>
          <w:szCs w:val="28"/>
        </w:rPr>
        <w:t>Suplimentar, se enun</w:t>
      </w:r>
      <w:r w:rsidR="000873E3">
        <w:rPr>
          <w:sz w:val="28"/>
          <w:szCs w:val="28"/>
        </w:rPr>
        <w:t>ț</w:t>
      </w:r>
      <w:r w:rsidRPr="00870FB6">
        <w:rPr>
          <w:sz w:val="28"/>
          <w:szCs w:val="28"/>
        </w:rPr>
        <w:t xml:space="preserve">ă că, în anul de gestiune, 66 întreprinderi de stat (sau 39,1%) au înregistrat o </w:t>
      </w:r>
      <w:r w:rsidRPr="00870FB6">
        <w:rPr>
          <w:i/>
          <w:sz w:val="28"/>
          <w:szCs w:val="28"/>
        </w:rPr>
        <w:t>micşorare</w:t>
      </w:r>
      <w:r w:rsidRPr="00870FB6">
        <w:rPr>
          <w:sz w:val="28"/>
          <w:szCs w:val="28"/>
        </w:rPr>
        <w:t xml:space="preserve"> cu 173,1 mil. lei </w:t>
      </w:r>
      <w:r w:rsidRPr="00870FB6">
        <w:rPr>
          <w:i/>
          <w:sz w:val="28"/>
          <w:szCs w:val="28"/>
        </w:rPr>
        <w:t>a veniturilor din vînzări</w:t>
      </w:r>
      <w:r w:rsidRPr="00870FB6">
        <w:rPr>
          <w:sz w:val="28"/>
          <w:szCs w:val="28"/>
        </w:rPr>
        <w:t>, din care:</w:t>
      </w:r>
    </w:p>
    <w:p w:rsidR="00043C6E" w:rsidRPr="00870FB6" w:rsidRDefault="00043C6E" w:rsidP="00043C6E">
      <w:pPr>
        <w:pStyle w:val="BodyTextIndent"/>
        <w:spacing w:line="276" w:lineRule="auto"/>
        <w:ind w:firstLine="539"/>
        <w:jc w:val="both"/>
        <w:rPr>
          <w:b w:val="0"/>
          <w:i w:val="0"/>
          <w:sz w:val="28"/>
          <w:szCs w:val="28"/>
        </w:rPr>
      </w:pPr>
      <w:r w:rsidRPr="00870FB6">
        <w:rPr>
          <w:b w:val="0"/>
          <w:i w:val="0"/>
          <w:sz w:val="28"/>
          <w:szCs w:val="28"/>
        </w:rPr>
        <w:t>- Î.S. „Fabrica de Sticlă din Chișinău” – cu 117,4 mil. lei;</w:t>
      </w:r>
    </w:p>
    <w:p w:rsidR="00043C6E" w:rsidRPr="00870FB6" w:rsidRDefault="00043C6E" w:rsidP="00043C6E">
      <w:pPr>
        <w:pStyle w:val="BodyTextIndent"/>
        <w:spacing w:line="276" w:lineRule="auto"/>
        <w:ind w:firstLine="539"/>
        <w:jc w:val="both"/>
        <w:rPr>
          <w:b w:val="0"/>
          <w:i w:val="0"/>
          <w:sz w:val="28"/>
          <w:szCs w:val="28"/>
        </w:rPr>
      </w:pPr>
      <w:r w:rsidRPr="00870FB6">
        <w:rPr>
          <w:b w:val="0"/>
          <w:i w:val="0"/>
          <w:sz w:val="28"/>
          <w:szCs w:val="28"/>
        </w:rPr>
        <w:t>- Î.S. „Aeroportul Interna</w:t>
      </w:r>
      <w:r w:rsidR="000873E3">
        <w:rPr>
          <w:b w:val="0"/>
          <w:i w:val="0"/>
          <w:sz w:val="28"/>
          <w:szCs w:val="28"/>
        </w:rPr>
        <w:t>ț</w:t>
      </w:r>
      <w:r w:rsidRPr="00870FB6">
        <w:rPr>
          <w:b w:val="0"/>
          <w:i w:val="0"/>
          <w:sz w:val="28"/>
          <w:szCs w:val="28"/>
        </w:rPr>
        <w:t xml:space="preserve">ional Mărculești” – cu 6,8 mil. lei; </w:t>
      </w:r>
    </w:p>
    <w:p w:rsidR="00043C6E" w:rsidRPr="00870FB6" w:rsidRDefault="00043C6E" w:rsidP="00043C6E">
      <w:pPr>
        <w:pStyle w:val="BodyTextIndent"/>
        <w:spacing w:line="276" w:lineRule="auto"/>
        <w:ind w:firstLine="539"/>
        <w:jc w:val="both"/>
        <w:rPr>
          <w:b w:val="0"/>
          <w:i w:val="0"/>
          <w:sz w:val="28"/>
          <w:szCs w:val="28"/>
        </w:rPr>
      </w:pPr>
      <w:r w:rsidRPr="00870FB6">
        <w:rPr>
          <w:b w:val="0"/>
          <w:i w:val="0"/>
          <w:sz w:val="28"/>
          <w:szCs w:val="28"/>
        </w:rPr>
        <w:t>- Î.S. Sanatoriul preventoriu de bază „Constructorul” – cu 4,8 mil. lei;</w:t>
      </w:r>
    </w:p>
    <w:p w:rsidR="00043C6E" w:rsidRPr="00870FB6" w:rsidRDefault="00043C6E" w:rsidP="00043C6E">
      <w:pPr>
        <w:pStyle w:val="BodyTextIndent"/>
        <w:spacing w:line="276" w:lineRule="auto"/>
        <w:ind w:firstLine="539"/>
        <w:jc w:val="both"/>
        <w:rPr>
          <w:b w:val="0"/>
          <w:i w:val="0"/>
          <w:sz w:val="28"/>
          <w:szCs w:val="28"/>
        </w:rPr>
      </w:pPr>
      <w:r w:rsidRPr="00870FB6">
        <w:rPr>
          <w:b w:val="0"/>
          <w:i w:val="0"/>
          <w:sz w:val="28"/>
          <w:szCs w:val="28"/>
        </w:rPr>
        <w:t>- Î.S. pentru silvicultură „Iargara” – cu 4,2 mil. lei etc.</w:t>
      </w:r>
    </w:p>
    <w:p w:rsidR="00043C6E" w:rsidRPr="00870FB6" w:rsidRDefault="00043C6E" w:rsidP="00043C6E">
      <w:pPr>
        <w:spacing w:line="276" w:lineRule="auto"/>
        <w:ind w:firstLine="567"/>
        <w:jc w:val="both"/>
        <w:rPr>
          <w:i/>
          <w:sz w:val="28"/>
          <w:szCs w:val="28"/>
        </w:rPr>
      </w:pPr>
      <w:r w:rsidRPr="00870FB6">
        <w:rPr>
          <w:sz w:val="28"/>
          <w:szCs w:val="28"/>
        </w:rPr>
        <w:lastRenderedPageBreak/>
        <w:t xml:space="preserve">Micşorarea veniturilor din vînzări atrage după sine o micşorare a taxei </w:t>
      </w:r>
      <w:r w:rsidR="00D81951">
        <w:rPr>
          <w:sz w:val="28"/>
          <w:szCs w:val="28"/>
        </w:rPr>
        <w:t>pe valoarea adăugată încasată la</w:t>
      </w:r>
      <w:r w:rsidRPr="00870FB6">
        <w:rPr>
          <w:sz w:val="28"/>
          <w:szCs w:val="28"/>
        </w:rPr>
        <w:t xml:space="preserve"> bugetul de stat, fapt ce reprezintă </w:t>
      </w:r>
      <w:r w:rsidRPr="00870FB6">
        <w:rPr>
          <w:i/>
          <w:sz w:val="28"/>
          <w:szCs w:val="28"/>
        </w:rPr>
        <w:t>un risc fiscal pentru bugetul public na</w:t>
      </w:r>
      <w:r w:rsidR="000873E3">
        <w:rPr>
          <w:i/>
          <w:sz w:val="28"/>
          <w:szCs w:val="28"/>
        </w:rPr>
        <w:t>ț</w:t>
      </w:r>
      <w:r w:rsidRPr="00870FB6">
        <w:rPr>
          <w:i/>
          <w:sz w:val="28"/>
          <w:szCs w:val="28"/>
        </w:rPr>
        <w:t>ional.</w:t>
      </w:r>
    </w:p>
    <w:p w:rsidR="00043C6E" w:rsidRPr="00870FB6" w:rsidRDefault="009C08BF" w:rsidP="00043C6E">
      <w:pPr>
        <w:spacing w:line="276" w:lineRule="auto"/>
        <w:ind w:firstLine="567"/>
        <w:jc w:val="both"/>
        <w:rPr>
          <w:sz w:val="28"/>
          <w:szCs w:val="28"/>
        </w:rPr>
      </w:pPr>
      <w:r>
        <w:rPr>
          <w:sz w:val="28"/>
          <w:szCs w:val="28"/>
        </w:rPr>
        <w:t>Concomitent</w:t>
      </w:r>
      <w:r w:rsidR="00043C6E" w:rsidRPr="00870FB6">
        <w:rPr>
          <w:sz w:val="28"/>
          <w:szCs w:val="28"/>
        </w:rPr>
        <w:t>, din 169 întreprinderi de stat supuse analizei, 6 întreprinderi de stat nu înregistrează în anul 2017 venituri din vînzări.</w:t>
      </w:r>
    </w:p>
    <w:p w:rsidR="00045A4E" w:rsidRPr="00870FB6" w:rsidRDefault="00F33AF7" w:rsidP="00045A4E">
      <w:pPr>
        <w:spacing w:line="276" w:lineRule="auto"/>
        <w:ind w:firstLine="567"/>
        <w:jc w:val="both"/>
        <w:rPr>
          <w:sz w:val="28"/>
          <w:szCs w:val="28"/>
        </w:rPr>
      </w:pPr>
      <w:r w:rsidRPr="00870FB6">
        <w:rPr>
          <w:sz w:val="28"/>
          <w:szCs w:val="28"/>
        </w:rPr>
        <w:t xml:space="preserve">În partea ce vizează </w:t>
      </w:r>
      <w:r w:rsidRPr="00870FB6">
        <w:rPr>
          <w:i/>
          <w:sz w:val="28"/>
          <w:szCs w:val="28"/>
        </w:rPr>
        <w:t>cheltuielile</w:t>
      </w:r>
      <w:r w:rsidR="009C08BF">
        <w:rPr>
          <w:i/>
          <w:sz w:val="28"/>
          <w:szCs w:val="28"/>
        </w:rPr>
        <w:t xml:space="preserve"> din activitatea operațională</w:t>
      </w:r>
      <w:r w:rsidRPr="00870FB6">
        <w:rPr>
          <w:i/>
          <w:sz w:val="28"/>
          <w:szCs w:val="28"/>
        </w:rPr>
        <w:t xml:space="preserve"> suportate</w:t>
      </w:r>
      <w:r w:rsidRPr="00870FB6">
        <w:rPr>
          <w:sz w:val="28"/>
          <w:szCs w:val="28"/>
        </w:rPr>
        <w:t xml:space="preserve"> de către întreprinderile de stat </w:t>
      </w:r>
      <w:r w:rsidR="00CC6619" w:rsidRPr="00870FB6">
        <w:rPr>
          <w:sz w:val="28"/>
          <w:szCs w:val="28"/>
        </w:rPr>
        <w:t>în anul 201</w:t>
      </w:r>
      <w:r w:rsidR="00470FBC" w:rsidRPr="00870FB6">
        <w:rPr>
          <w:sz w:val="28"/>
          <w:szCs w:val="28"/>
        </w:rPr>
        <w:t>7</w:t>
      </w:r>
      <w:r w:rsidRPr="00870FB6">
        <w:rPr>
          <w:sz w:val="28"/>
          <w:szCs w:val="28"/>
        </w:rPr>
        <w:t xml:space="preserve">, </w:t>
      </w:r>
      <w:r w:rsidR="004C0161" w:rsidRPr="00870FB6">
        <w:rPr>
          <w:sz w:val="28"/>
          <w:szCs w:val="28"/>
        </w:rPr>
        <w:t xml:space="preserve">se atestă că </w:t>
      </w:r>
      <w:r w:rsidR="00FA52EB" w:rsidRPr="00870FB6">
        <w:rPr>
          <w:sz w:val="28"/>
          <w:szCs w:val="28"/>
        </w:rPr>
        <w:t xml:space="preserve">valoarea acestora a constituit </w:t>
      </w:r>
      <w:r w:rsidR="00470FBC" w:rsidRPr="00870FB6">
        <w:rPr>
          <w:sz w:val="28"/>
          <w:szCs w:val="28"/>
        </w:rPr>
        <w:t>1659,1</w:t>
      </w:r>
      <w:r w:rsidR="00FA52EB" w:rsidRPr="00870FB6">
        <w:rPr>
          <w:sz w:val="28"/>
          <w:szCs w:val="28"/>
        </w:rPr>
        <w:t xml:space="preserve"> mil.</w:t>
      </w:r>
      <w:r w:rsidR="008E6F12" w:rsidRPr="00870FB6">
        <w:rPr>
          <w:sz w:val="28"/>
          <w:szCs w:val="28"/>
        </w:rPr>
        <w:t xml:space="preserve"> </w:t>
      </w:r>
      <w:r w:rsidR="00FA52EB" w:rsidRPr="00870FB6">
        <w:rPr>
          <w:sz w:val="28"/>
          <w:szCs w:val="28"/>
        </w:rPr>
        <w:t xml:space="preserve">lei, cu </w:t>
      </w:r>
      <w:r w:rsidR="00470FBC" w:rsidRPr="00870FB6">
        <w:rPr>
          <w:sz w:val="28"/>
          <w:szCs w:val="28"/>
        </w:rPr>
        <w:t>388,4</w:t>
      </w:r>
      <w:r w:rsidR="00FA52EB" w:rsidRPr="00870FB6">
        <w:rPr>
          <w:sz w:val="28"/>
          <w:szCs w:val="28"/>
        </w:rPr>
        <w:t xml:space="preserve"> mil.</w:t>
      </w:r>
      <w:r w:rsidR="008E6F12" w:rsidRPr="00870FB6">
        <w:rPr>
          <w:sz w:val="28"/>
          <w:szCs w:val="28"/>
        </w:rPr>
        <w:t xml:space="preserve"> </w:t>
      </w:r>
      <w:r w:rsidR="00470FBC" w:rsidRPr="00870FB6">
        <w:rPr>
          <w:sz w:val="28"/>
          <w:szCs w:val="28"/>
        </w:rPr>
        <w:t>lei mai pu</w:t>
      </w:r>
      <w:r w:rsidR="000873E3">
        <w:rPr>
          <w:sz w:val="28"/>
          <w:szCs w:val="28"/>
        </w:rPr>
        <w:t>ț</w:t>
      </w:r>
      <w:r w:rsidR="00470FBC" w:rsidRPr="00870FB6">
        <w:rPr>
          <w:sz w:val="28"/>
          <w:szCs w:val="28"/>
        </w:rPr>
        <w:t>in</w:t>
      </w:r>
      <w:r w:rsidR="00FA52EB" w:rsidRPr="00870FB6">
        <w:rPr>
          <w:sz w:val="28"/>
          <w:szCs w:val="28"/>
        </w:rPr>
        <w:t xml:space="preserve"> comparativ cu perioada anului 201</w:t>
      </w:r>
      <w:r w:rsidR="00470FBC" w:rsidRPr="00870FB6">
        <w:rPr>
          <w:sz w:val="28"/>
          <w:szCs w:val="28"/>
        </w:rPr>
        <w:t>6, micșorare condi</w:t>
      </w:r>
      <w:r w:rsidR="000873E3">
        <w:rPr>
          <w:sz w:val="28"/>
          <w:szCs w:val="28"/>
        </w:rPr>
        <w:t>ț</w:t>
      </w:r>
      <w:r w:rsidR="00470FBC" w:rsidRPr="00870FB6">
        <w:rPr>
          <w:sz w:val="28"/>
          <w:szCs w:val="28"/>
        </w:rPr>
        <w:t>ionată de diminuarea cheltuielilor administrative cu 518,9 mil. lei fa</w:t>
      </w:r>
      <w:r w:rsidR="000873E3">
        <w:rPr>
          <w:sz w:val="28"/>
          <w:szCs w:val="28"/>
        </w:rPr>
        <w:t>ț</w:t>
      </w:r>
      <w:r w:rsidR="00470FBC" w:rsidRPr="00870FB6">
        <w:rPr>
          <w:sz w:val="28"/>
          <w:szCs w:val="28"/>
        </w:rPr>
        <w:t>ă de anul 2016</w:t>
      </w:r>
      <w:r w:rsidR="00FA52EB" w:rsidRPr="00870FB6">
        <w:rPr>
          <w:sz w:val="28"/>
          <w:szCs w:val="28"/>
        </w:rPr>
        <w:t xml:space="preserve">. </w:t>
      </w:r>
      <w:r w:rsidR="009C08BF">
        <w:rPr>
          <w:sz w:val="28"/>
          <w:szCs w:val="28"/>
        </w:rPr>
        <w:t>Totodată, m</w:t>
      </w:r>
      <w:r w:rsidR="00045A4E" w:rsidRPr="00870FB6">
        <w:rPr>
          <w:sz w:val="28"/>
          <w:szCs w:val="28"/>
        </w:rPr>
        <w:t>ajoritatea cheltuielilor</w:t>
      </w:r>
      <w:r w:rsidR="009C08BF">
        <w:rPr>
          <w:sz w:val="28"/>
          <w:szCs w:val="28"/>
        </w:rPr>
        <w:t xml:space="preserve"> din activitatea operațională</w:t>
      </w:r>
      <w:r w:rsidR="00045A4E" w:rsidRPr="00870FB6">
        <w:rPr>
          <w:sz w:val="28"/>
          <w:szCs w:val="28"/>
        </w:rPr>
        <w:t xml:space="preserve"> este reprezentată de cheltuielile administrative – 53,6% (sau 889,5 mil. lei).</w:t>
      </w:r>
      <w:r w:rsidR="00045A4E" w:rsidRPr="00870FB6">
        <w:rPr>
          <w:color w:val="FF0000"/>
          <w:sz w:val="28"/>
          <w:szCs w:val="28"/>
        </w:rPr>
        <w:t xml:space="preserve"> </w:t>
      </w:r>
    </w:p>
    <w:p w:rsidR="00FB3AFD" w:rsidRPr="00870FB6" w:rsidRDefault="00043C6E" w:rsidP="00FB3AFD">
      <w:pPr>
        <w:spacing w:line="276" w:lineRule="auto"/>
        <w:ind w:firstLine="567"/>
        <w:jc w:val="both"/>
        <w:rPr>
          <w:sz w:val="28"/>
          <w:szCs w:val="28"/>
        </w:rPr>
      </w:pPr>
      <w:r w:rsidRPr="00870FB6">
        <w:rPr>
          <w:sz w:val="28"/>
          <w:szCs w:val="28"/>
        </w:rPr>
        <w:t>Cu toate acestea</w:t>
      </w:r>
      <w:r w:rsidR="00B25EB6" w:rsidRPr="00870FB6">
        <w:rPr>
          <w:sz w:val="28"/>
          <w:szCs w:val="28"/>
        </w:rPr>
        <w:t>, în anul 201</w:t>
      </w:r>
      <w:r w:rsidR="00D1226A" w:rsidRPr="00870FB6">
        <w:rPr>
          <w:sz w:val="28"/>
          <w:szCs w:val="28"/>
        </w:rPr>
        <w:t>7</w:t>
      </w:r>
      <w:r w:rsidR="00F33AF7" w:rsidRPr="00870FB6">
        <w:rPr>
          <w:sz w:val="28"/>
          <w:szCs w:val="28"/>
        </w:rPr>
        <w:t>, întreprinderile de stat au înregistrat</w:t>
      </w:r>
      <w:r w:rsidR="00165D18" w:rsidRPr="00870FB6">
        <w:rPr>
          <w:sz w:val="28"/>
          <w:szCs w:val="28"/>
        </w:rPr>
        <w:t>, per ansamblu,</w:t>
      </w:r>
      <w:r w:rsidR="00F33AF7" w:rsidRPr="00870FB6">
        <w:rPr>
          <w:sz w:val="28"/>
          <w:szCs w:val="28"/>
        </w:rPr>
        <w:t xml:space="preserve"> </w:t>
      </w:r>
      <w:r w:rsidR="00F33AF7" w:rsidRPr="00870FB6">
        <w:rPr>
          <w:i/>
          <w:sz w:val="28"/>
          <w:szCs w:val="28"/>
        </w:rPr>
        <w:t>pierderi din activitatea opera</w:t>
      </w:r>
      <w:r w:rsidR="000873E3">
        <w:rPr>
          <w:i/>
          <w:sz w:val="28"/>
          <w:szCs w:val="28"/>
        </w:rPr>
        <w:t>ț</w:t>
      </w:r>
      <w:r w:rsidR="00F33AF7" w:rsidRPr="00870FB6">
        <w:rPr>
          <w:i/>
          <w:sz w:val="28"/>
          <w:szCs w:val="28"/>
        </w:rPr>
        <w:t>ională</w:t>
      </w:r>
      <w:r w:rsidR="00F33AF7" w:rsidRPr="00870FB6">
        <w:rPr>
          <w:sz w:val="28"/>
          <w:szCs w:val="28"/>
        </w:rPr>
        <w:t xml:space="preserve"> în valoare de </w:t>
      </w:r>
      <w:r w:rsidR="00D1226A" w:rsidRPr="00870FB6">
        <w:rPr>
          <w:sz w:val="28"/>
          <w:szCs w:val="28"/>
        </w:rPr>
        <w:t>327,8</w:t>
      </w:r>
      <w:r w:rsidR="00F33AF7" w:rsidRPr="00870FB6">
        <w:rPr>
          <w:sz w:val="28"/>
          <w:szCs w:val="28"/>
        </w:rPr>
        <w:t xml:space="preserve"> mil. lei, </w:t>
      </w:r>
      <w:r w:rsidR="00045A4E">
        <w:rPr>
          <w:sz w:val="28"/>
          <w:szCs w:val="28"/>
        </w:rPr>
        <w:t xml:space="preserve">acestea </w:t>
      </w:r>
      <w:r w:rsidR="00D86B75" w:rsidRPr="00870FB6">
        <w:rPr>
          <w:sz w:val="28"/>
          <w:szCs w:val="28"/>
        </w:rPr>
        <w:t>micș</w:t>
      </w:r>
      <w:r w:rsidR="003C4F7F" w:rsidRPr="00870FB6">
        <w:rPr>
          <w:sz w:val="28"/>
          <w:szCs w:val="28"/>
        </w:rPr>
        <w:t>or</w:t>
      </w:r>
      <w:r w:rsidR="009D5982" w:rsidRPr="00870FB6">
        <w:rPr>
          <w:sz w:val="28"/>
          <w:szCs w:val="28"/>
        </w:rPr>
        <w:t>î</w:t>
      </w:r>
      <w:r w:rsidR="003C4F7F" w:rsidRPr="00870FB6">
        <w:rPr>
          <w:sz w:val="28"/>
          <w:szCs w:val="28"/>
        </w:rPr>
        <w:t>ndu</w:t>
      </w:r>
      <w:r w:rsidR="00F33AF7" w:rsidRPr="00870FB6">
        <w:rPr>
          <w:sz w:val="28"/>
          <w:szCs w:val="28"/>
        </w:rPr>
        <w:t xml:space="preserve">-se semnificativ, cu </w:t>
      </w:r>
      <w:r w:rsidR="00D1226A" w:rsidRPr="00870FB6">
        <w:rPr>
          <w:sz w:val="28"/>
          <w:szCs w:val="28"/>
        </w:rPr>
        <w:t>377,3</w:t>
      </w:r>
      <w:r w:rsidR="00F33AF7" w:rsidRPr="00870FB6">
        <w:rPr>
          <w:sz w:val="28"/>
          <w:szCs w:val="28"/>
        </w:rPr>
        <w:t xml:space="preserve"> mil. lei comparativ c</w:t>
      </w:r>
      <w:r w:rsidR="001A0C43" w:rsidRPr="00870FB6">
        <w:rPr>
          <w:sz w:val="28"/>
          <w:szCs w:val="28"/>
        </w:rPr>
        <w:t>u pierderile</w:t>
      </w:r>
      <w:r w:rsidR="00B25EB6" w:rsidRPr="00870FB6">
        <w:rPr>
          <w:sz w:val="28"/>
          <w:szCs w:val="28"/>
        </w:rPr>
        <w:t xml:space="preserve"> aferent</w:t>
      </w:r>
      <w:r w:rsidR="001A0C43" w:rsidRPr="00870FB6">
        <w:rPr>
          <w:sz w:val="28"/>
          <w:szCs w:val="28"/>
        </w:rPr>
        <w:t>e</w:t>
      </w:r>
      <w:r w:rsidR="00B25EB6" w:rsidRPr="00870FB6">
        <w:rPr>
          <w:sz w:val="28"/>
          <w:szCs w:val="28"/>
        </w:rPr>
        <w:t xml:space="preserve"> anului 201</w:t>
      </w:r>
      <w:r w:rsidR="00D1226A" w:rsidRPr="00870FB6">
        <w:rPr>
          <w:sz w:val="28"/>
          <w:szCs w:val="28"/>
        </w:rPr>
        <w:t>6</w:t>
      </w:r>
      <w:r w:rsidR="00F33AF7" w:rsidRPr="00870FB6">
        <w:rPr>
          <w:sz w:val="28"/>
          <w:szCs w:val="28"/>
        </w:rPr>
        <w:t>.</w:t>
      </w:r>
      <w:r w:rsidR="00B25EB6" w:rsidRPr="00870FB6">
        <w:rPr>
          <w:sz w:val="28"/>
          <w:szCs w:val="28"/>
        </w:rPr>
        <w:t xml:space="preserve"> </w:t>
      </w:r>
      <w:r w:rsidR="00D1226A" w:rsidRPr="00870FB6">
        <w:rPr>
          <w:sz w:val="28"/>
          <w:szCs w:val="28"/>
        </w:rPr>
        <w:t>În particular</w:t>
      </w:r>
      <w:r w:rsidR="00653360" w:rsidRPr="00870FB6">
        <w:rPr>
          <w:sz w:val="28"/>
          <w:szCs w:val="28"/>
        </w:rPr>
        <w:t xml:space="preserve">, remarcăm că </w:t>
      </w:r>
      <w:r w:rsidR="00653360" w:rsidRPr="00870FB6">
        <w:rPr>
          <w:i/>
          <w:sz w:val="28"/>
          <w:szCs w:val="28"/>
        </w:rPr>
        <w:t>74 întreprinderi de stat sau 43,8%</w:t>
      </w:r>
      <w:r w:rsidR="00653360" w:rsidRPr="00870FB6">
        <w:rPr>
          <w:sz w:val="28"/>
          <w:szCs w:val="28"/>
        </w:rPr>
        <w:t xml:space="preserve"> din întreprinderile supuse monitorizării, </w:t>
      </w:r>
      <w:r w:rsidR="00653360" w:rsidRPr="00870FB6">
        <w:rPr>
          <w:i/>
          <w:sz w:val="28"/>
          <w:szCs w:val="28"/>
        </w:rPr>
        <w:t>înregistrează în anul 2017 pierderi din activitatea opera</w:t>
      </w:r>
      <w:r w:rsidR="000873E3">
        <w:rPr>
          <w:i/>
          <w:sz w:val="28"/>
          <w:szCs w:val="28"/>
        </w:rPr>
        <w:t>ț</w:t>
      </w:r>
      <w:r w:rsidR="00653360" w:rsidRPr="00870FB6">
        <w:rPr>
          <w:i/>
          <w:sz w:val="28"/>
          <w:szCs w:val="28"/>
        </w:rPr>
        <w:t>ională</w:t>
      </w:r>
      <w:r w:rsidR="00653360" w:rsidRPr="00870FB6">
        <w:rPr>
          <w:sz w:val="28"/>
          <w:szCs w:val="28"/>
        </w:rPr>
        <w:t>, fapt ce relevă riscuri sporite privind activitatea entită</w:t>
      </w:r>
      <w:r w:rsidR="000873E3">
        <w:rPr>
          <w:sz w:val="28"/>
          <w:szCs w:val="28"/>
        </w:rPr>
        <w:t>ț</w:t>
      </w:r>
      <w:r w:rsidR="00653360" w:rsidRPr="00870FB6">
        <w:rPr>
          <w:sz w:val="28"/>
          <w:szCs w:val="28"/>
        </w:rPr>
        <w:t xml:space="preserve">ilor, întrucît acestea nu generează rezultat pozitiv din activitatea </w:t>
      </w:r>
      <w:r w:rsidR="00521E1A" w:rsidRPr="00870FB6">
        <w:rPr>
          <w:sz w:val="28"/>
          <w:szCs w:val="28"/>
        </w:rPr>
        <w:t>de bază</w:t>
      </w:r>
      <w:r w:rsidR="00653360" w:rsidRPr="00870FB6">
        <w:rPr>
          <w:sz w:val="28"/>
          <w:szCs w:val="28"/>
        </w:rPr>
        <w:t xml:space="preserve">. </w:t>
      </w:r>
      <w:r w:rsidR="00FB3AFD" w:rsidRPr="00870FB6">
        <w:rPr>
          <w:sz w:val="28"/>
          <w:szCs w:val="28"/>
        </w:rPr>
        <w:t xml:space="preserve">Astfel, </w:t>
      </w:r>
      <w:r w:rsidR="00FB3AFD">
        <w:rPr>
          <w:sz w:val="28"/>
          <w:szCs w:val="28"/>
        </w:rPr>
        <w:t>se atestă</w:t>
      </w:r>
      <w:r w:rsidR="00FB3AFD" w:rsidRPr="00870FB6">
        <w:rPr>
          <w:sz w:val="28"/>
          <w:szCs w:val="28"/>
        </w:rPr>
        <w:t xml:space="preserve"> că 79,2% din întreprinderile administrate de Ministerul Educației, Culturii și Cercetării înregistrează pierderi din activitatea operațională – preponderent cele din domeniul teatral-concertistic, urmate de 62,5% din întreprinderile administrate de Academia de Științe a Moldovei. </w:t>
      </w:r>
      <w:r w:rsidR="00FB3AFD">
        <w:rPr>
          <w:sz w:val="28"/>
          <w:szCs w:val="28"/>
        </w:rPr>
        <w:t>De asemenea,</w:t>
      </w:r>
      <w:r w:rsidR="00FB3AFD" w:rsidRPr="00870FB6">
        <w:rPr>
          <w:sz w:val="28"/>
          <w:szCs w:val="28"/>
        </w:rPr>
        <w:t xml:space="preserve"> </w:t>
      </w:r>
      <w:r w:rsidR="00D81951">
        <w:rPr>
          <w:sz w:val="28"/>
          <w:szCs w:val="28"/>
        </w:rPr>
        <w:t xml:space="preserve">toate </w:t>
      </w:r>
      <w:r w:rsidR="00FB3AFD" w:rsidRPr="00870FB6">
        <w:rPr>
          <w:sz w:val="28"/>
          <w:szCs w:val="28"/>
        </w:rPr>
        <w:t xml:space="preserve">întreprinderile de stat administrate de Agenția „Apele Moldovei” înregistrează în anul 2017 pierderi din activitatea operațională, cu excepția Î.S. Institutul de proiectări „Iprocom”.   </w:t>
      </w:r>
    </w:p>
    <w:p w:rsidR="00D1226A" w:rsidRDefault="00D1226A" w:rsidP="00D1226A">
      <w:pPr>
        <w:spacing w:line="276" w:lineRule="auto"/>
        <w:ind w:firstLine="539"/>
        <w:jc w:val="both"/>
        <w:rPr>
          <w:sz w:val="28"/>
          <w:szCs w:val="28"/>
        </w:rPr>
      </w:pPr>
      <w:r w:rsidRPr="00870FB6">
        <w:rPr>
          <w:sz w:val="28"/>
          <w:szCs w:val="28"/>
        </w:rPr>
        <w:t xml:space="preserve">Totodată, în anul 2017, întreprinderile de stat au înregistrat </w:t>
      </w:r>
      <w:r w:rsidR="00043C6E" w:rsidRPr="00870FB6">
        <w:rPr>
          <w:sz w:val="28"/>
          <w:szCs w:val="28"/>
        </w:rPr>
        <w:t xml:space="preserve">per total </w:t>
      </w:r>
      <w:r w:rsidRPr="00870FB6">
        <w:rPr>
          <w:sz w:val="28"/>
          <w:szCs w:val="28"/>
        </w:rPr>
        <w:t>profit din alte activită</w:t>
      </w:r>
      <w:r w:rsidR="000873E3">
        <w:rPr>
          <w:sz w:val="28"/>
          <w:szCs w:val="28"/>
        </w:rPr>
        <w:t>ț</w:t>
      </w:r>
      <w:r w:rsidRPr="00870FB6">
        <w:rPr>
          <w:sz w:val="28"/>
          <w:szCs w:val="28"/>
        </w:rPr>
        <w:t>i în cuantum de 279,6 mil. lei, valoarea acestuia fiind cu 430,0 mil. lei mai mic</w:t>
      </w:r>
      <w:r w:rsidR="00521E1A" w:rsidRPr="00870FB6">
        <w:rPr>
          <w:sz w:val="28"/>
          <w:szCs w:val="28"/>
        </w:rPr>
        <w:t>ă</w:t>
      </w:r>
      <w:r w:rsidRPr="00870FB6">
        <w:rPr>
          <w:sz w:val="28"/>
          <w:szCs w:val="28"/>
        </w:rPr>
        <w:t xml:space="preserve"> în raport cu anul 2016.</w:t>
      </w:r>
    </w:p>
    <w:p w:rsidR="00FB3AFD" w:rsidRPr="00870FB6" w:rsidRDefault="00FB3AFD" w:rsidP="00FB3AFD">
      <w:pPr>
        <w:spacing w:line="276" w:lineRule="auto"/>
        <w:ind w:firstLine="539"/>
        <w:jc w:val="both"/>
        <w:rPr>
          <w:color w:val="FF0000"/>
          <w:sz w:val="28"/>
          <w:szCs w:val="28"/>
        </w:rPr>
      </w:pPr>
      <w:r>
        <w:rPr>
          <w:sz w:val="28"/>
          <w:szCs w:val="28"/>
        </w:rPr>
        <w:t>Respectiv</w:t>
      </w:r>
      <w:r w:rsidRPr="00870FB6">
        <w:rPr>
          <w:sz w:val="28"/>
          <w:szCs w:val="28"/>
        </w:rPr>
        <w:t>, la data raportării, întreprinderile supuse analizei au înregistrat per total pierderi pînă la impozitare în valoare de 48,2 mil. lei, în timp ce în anul 2016 a fost obținut profit pînă la impozitare de 4,5 mil. lei. Este de menționat că, înregistrarea pierderilor pînă la impozitare influențează negativ asupra încasărilor la bugetul public național a impozitului pe venit din activitatea de întreprinzător.</w:t>
      </w:r>
    </w:p>
    <w:p w:rsidR="00F33AF7" w:rsidRPr="00870FB6" w:rsidRDefault="009C7860" w:rsidP="00F33AF7">
      <w:pPr>
        <w:pStyle w:val="BodyTextIndent2"/>
        <w:spacing w:line="276" w:lineRule="auto"/>
        <w:ind w:firstLine="539"/>
        <w:rPr>
          <w:szCs w:val="28"/>
        </w:rPr>
      </w:pPr>
      <w:r w:rsidRPr="00870FB6">
        <w:rPr>
          <w:szCs w:val="28"/>
        </w:rPr>
        <w:t>Î</w:t>
      </w:r>
      <w:r w:rsidR="00F33AF7" w:rsidRPr="00870FB6">
        <w:rPr>
          <w:szCs w:val="28"/>
        </w:rPr>
        <w:t>n rezultatul activită</w:t>
      </w:r>
      <w:r w:rsidR="000873E3">
        <w:rPr>
          <w:szCs w:val="28"/>
        </w:rPr>
        <w:t>ț</w:t>
      </w:r>
      <w:r w:rsidR="00F33AF7" w:rsidRPr="00870FB6">
        <w:rPr>
          <w:szCs w:val="28"/>
        </w:rPr>
        <w:t xml:space="preserve">ii economico-financiare, în ansamblu, întreprinderile de stat au înregistrat </w:t>
      </w:r>
      <w:r w:rsidR="00D1226A" w:rsidRPr="00870FB6">
        <w:rPr>
          <w:szCs w:val="28"/>
        </w:rPr>
        <w:t>pierderi</w:t>
      </w:r>
      <w:r w:rsidR="00B821FA" w:rsidRPr="00870FB6">
        <w:rPr>
          <w:szCs w:val="28"/>
        </w:rPr>
        <w:t xml:space="preserve"> net</w:t>
      </w:r>
      <w:r w:rsidR="00D1226A" w:rsidRPr="00870FB6">
        <w:rPr>
          <w:szCs w:val="28"/>
        </w:rPr>
        <w:t>e</w:t>
      </w:r>
      <w:r w:rsidR="00F33AF7" w:rsidRPr="00870FB6">
        <w:rPr>
          <w:szCs w:val="28"/>
        </w:rPr>
        <w:t xml:space="preserve"> în mărime de </w:t>
      </w:r>
      <w:r w:rsidR="00D1226A" w:rsidRPr="00870FB6">
        <w:rPr>
          <w:szCs w:val="28"/>
        </w:rPr>
        <w:t>79,5</w:t>
      </w:r>
      <w:r w:rsidR="00F33AF7" w:rsidRPr="00870FB6">
        <w:rPr>
          <w:szCs w:val="28"/>
        </w:rPr>
        <w:t xml:space="preserve"> mil. lei, </w:t>
      </w:r>
      <w:r w:rsidR="001A3872" w:rsidRPr="00870FB6">
        <w:rPr>
          <w:szCs w:val="28"/>
        </w:rPr>
        <w:t>în timp ce în anul 201</w:t>
      </w:r>
      <w:r w:rsidR="00D1226A" w:rsidRPr="00870FB6">
        <w:rPr>
          <w:szCs w:val="28"/>
        </w:rPr>
        <w:t>6</w:t>
      </w:r>
      <w:r w:rsidR="001A3872" w:rsidRPr="00870FB6">
        <w:rPr>
          <w:szCs w:val="28"/>
        </w:rPr>
        <w:t xml:space="preserve"> au fost ob</w:t>
      </w:r>
      <w:r w:rsidR="000873E3">
        <w:rPr>
          <w:szCs w:val="28"/>
        </w:rPr>
        <w:t>ț</w:t>
      </w:r>
      <w:r w:rsidR="001A3872" w:rsidRPr="00870FB6">
        <w:rPr>
          <w:szCs w:val="28"/>
        </w:rPr>
        <w:t xml:space="preserve">inute </w:t>
      </w:r>
      <w:r w:rsidR="003C4F7F" w:rsidRPr="00870FB6">
        <w:rPr>
          <w:szCs w:val="28"/>
        </w:rPr>
        <w:t>pierder</w:t>
      </w:r>
      <w:r w:rsidR="00165D18" w:rsidRPr="00870FB6">
        <w:rPr>
          <w:szCs w:val="28"/>
        </w:rPr>
        <w:t>i</w:t>
      </w:r>
      <w:r w:rsidR="00B821FA" w:rsidRPr="00870FB6">
        <w:rPr>
          <w:szCs w:val="28"/>
        </w:rPr>
        <w:t xml:space="preserve"> nete</w:t>
      </w:r>
      <w:r w:rsidR="00165D18" w:rsidRPr="00870FB6">
        <w:rPr>
          <w:szCs w:val="28"/>
        </w:rPr>
        <w:t xml:space="preserve"> </w:t>
      </w:r>
      <w:r w:rsidR="00B821FA" w:rsidRPr="00870FB6">
        <w:rPr>
          <w:szCs w:val="28"/>
        </w:rPr>
        <w:t xml:space="preserve">în mărime de </w:t>
      </w:r>
      <w:r w:rsidR="00D1226A" w:rsidRPr="00870FB6">
        <w:rPr>
          <w:szCs w:val="28"/>
        </w:rPr>
        <w:t>22,4</w:t>
      </w:r>
      <w:r w:rsidR="00B821FA" w:rsidRPr="00870FB6">
        <w:rPr>
          <w:szCs w:val="28"/>
        </w:rPr>
        <w:t xml:space="preserve"> mil. lei</w:t>
      </w:r>
      <w:r w:rsidR="00D1226A" w:rsidRPr="00870FB6">
        <w:rPr>
          <w:szCs w:val="28"/>
        </w:rPr>
        <w:t>, ceea ce semnifică că pierderile nete la întreprinderile de stat, per ansamblu, s-au majorat cu 57,1 mil. lei</w:t>
      </w:r>
      <w:r w:rsidR="00F33AF7" w:rsidRPr="00870FB6">
        <w:rPr>
          <w:szCs w:val="28"/>
        </w:rPr>
        <w:t>.</w:t>
      </w:r>
      <w:r w:rsidR="00D1226A" w:rsidRPr="00870FB6">
        <w:rPr>
          <w:szCs w:val="28"/>
        </w:rPr>
        <w:t xml:space="preserve"> </w:t>
      </w:r>
    </w:p>
    <w:p w:rsidR="00914FE0" w:rsidRPr="00870FB6" w:rsidRDefault="00914FE0" w:rsidP="00914FE0">
      <w:pPr>
        <w:pStyle w:val="BodyTextIndent2"/>
        <w:spacing w:line="360" w:lineRule="auto"/>
        <w:ind w:firstLine="540"/>
        <w:jc w:val="right"/>
        <w:rPr>
          <w:sz w:val="20"/>
        </w:rPr>
      </w:pPr>
      <w:r w:rsidRPr="00870FB6">
        <w:rPr>
          <w:sz w:val="20"/>
        </w:rPr>
        <w:t xml:space="preserve">Tabelul </w:t>
      </w:r>
      <w:r w:rsidR="00924587">
        <w:rPr>
          <w:sz w:val="20"/>
        </w:rPr>
        <w:t>5</w:t>
      </w:r>
      <w:r w:rsidR="00FB3AFD">
        <w:rPr>
          <w:sz w:val="20"/>
        </w:rPr>
        <w:t>.</w:t>
      </w:r>
      <w:r w:rsidRPr="00870FB6">
        <w:rPr>
          <w:sz w:val="20"/>
        </w:rPr>
        <w:t xml:space="preserve"> </w:t>
      </w:r>
    </w:p>
    <w:p w:rsidR="00914FE0" w:rsidRPr="00D81951" w:rsidRDefault="00914FE0" w:rsidP="00914FE0">
      <w:pPr>
        <w:spacing w:line="360" w:lineRule="auto"/>
        <w:jc w:val="center"/>
        <w:rPr>
          <w:b/>
          <w:i/>
          <w:sz w:val="20"/>
          <w:szCs w:val="20"/>
        </w:rPr>
      </w:pPr>
      <w:r w:rsidRPr="00D81951">
        <w:rPr>
          <w:b/>
          <w:i/>
          <w:sz w:val="20"/>
          <w:szCs w:val="20"/>
        </w:rPr>
        <w:t>Situa</w:t>
      </w:r>
      <w:r w:rsidR="000873E3" w:rsidRPr="00D81951">
        <w:rPr>
          <w:b/>
          <w:i/>
          <w:sz w:val="20"/>
          <w:szCs w:val="20"/>
        </w:rPr>
        <w:t>ț</w:t>
      </w:r>
      <w:r w:rsidRPr="00D81951">
        <w:rPr>
          <w:b/>
          <w:i/>
          <w:sz w:val="20"/>
          <w:szCs w:val="20"/>
        </w:rPr>
        <w:t>ia financiară a între</w:t>
      </w:r>
      <w:r w:rsidR="00B25EB6" w:rsidRPr="00D81951">
        <w:rPr>
          <w:b/>
          <w:i/>
          <w:sz w:val="20"/>
          <w:szCs w:val="20"/>
        </w:rPr>
        <w:t>prinderilor de stat în anul 201</w:t>
      </w:r>
      <w:r w:rsidR="00D1226A" w:rsidRPr="00D81951">
        <w:rPr>
          <w:b/>
          <w:i/>
          <w:sz w:val="20"/>
          <w:szCs w:val="20"/>
        </w:rPr>
        <w:t>7</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351"/>
        <w:gridCol w:w="911"/>
        <w:gridCol w:w="854"/>
        <w:gridCol w:w="902"/>
        <w:gridCol w:w="900"/>
        <w:gridCol w:w="848"/>
        <w:gridCol w:w="901"/>
        <w:gridCol w:w="900"/>
        <w:gridCol w:w="910"/>
      </w:tblGrid>
      <w:tr w:rsidR="00D21506" w:rsidRPr="00870FB6" w:rsidTr="00D21506">
        <w:trPr>
          <w:trHeight w:val="178"/>
          <w:jc w:val="center"/>
        </w:trPr>
        <w:tc>
          <w:tcPr>
            <w:tcW w:w="1100" w:type="dxa"/>
            <w:vMerge w:val="restart"/>
            <w:shd w:val="clear" w:color="auto" w:fill="auto"/>
            <w:vAlign w:val="center"/>
          </w:tcPr>
          <w:p w:rsidR="00D21506" w:rsidRPr="00870FB6" w:rsidRDefault="00D21506" w:rsidP="00914FE0">
            <w:pPr>
              <w:jc w:val="center"/>
              <w:rPr>
                <w:b/>
                <w:i/>
                <w:sz w:val="18"/>
                <w:szCs w:val="18"/>
              </w:rPr>
            </w:pPr>
            <w:r w:rsidRPr="00870FB6">
              <w:rPr>
                <w:b/>
                <w:i/>
                <w:sz w:val="18"/>
                <w:szCs w:val="18"/>
              </w:rPr>
              <w:t>Entită</w:t>
            </w:r>
            <w:r w:rsidR="000873E3">
              <w:rPr>
                <w:b/>
                <w:i/>
                <w:sz w:val="18"/>
                <w:szCs w:val="18"/>
              </w:rPr>
              <w:t>ț</w:t>
            </w:r>
            <w:r w:rsidRPr="00870FB6">
              <w:rPr>
                <w:b/>
                <w:i/>
                <w:sz w:val="18"/>
                <w:szCs w:val="18"/>
              </w:rPr>
              <w:t>i</w:t>
            </w:r>
          </w:p>
          <w:p w:rsidR="00D21506" w:rsidRPr="00870FB6" w:rsidRDefault="00D21506" w:rsidP="00914FE0">
            <w:pPr>
              <w:jc w:val="center"/>
              <w:rPr>
                <w:b/>
                <w:i/>
                <w:sz w:val="18"/>
                <w:szCs w:val="18"/>
              </w:rPr>
            </w:pPr>
            <w:r w:rsidRPr="00870FB6">
              <w:rPr>
                <w:b/>
                <w:i/>
                <w:sz w:val="18"/>
                <w:szCs w:val="18"/>
              </w:rPr>
              <w:t>economice</w:t>
            </w:r>
          </w:p>
        </w:tc>
        <w:tc>
          <w:tcPr>
            <w:tcW w:w="1351" w:type="dxa"/>
            <w:vMerge w:val="restart"/>
            <w:shd w:val="clear" w:color="auto" w:fill="auto"/>
          </w:tcPr>
          <w:p w:rsidR="00D21506" w:rsidRPr="00870FB6" w:rsidRDefault="00D21506" w:rsidP="00914FE0">
            <w:pPr>
              <w:pStyle w:val="BodyTextIndent2"/>
              <w:ind w:firstLine="0"/>
              <w:jc w:val="center"/>
              <w:rPr>
                <w:b/>
                <w:i/>
                <w:sz w:val="18"/>
                <w:szCs w:val="18"/>
              </w:rPr>
            </w:pPr>
            <w:r w:rsidRPr="00870FB6">
              <w:rPr>
                <w:b/>
                <w:i/>
                <w:sz w:val="18"/>
                <w:szCs w:val="18"/>
              </w:rPr>
              <w:t>Numărul entită</w:t>
            </w:r>
            <w:r w:rsidR="000873E3">
              <w:rPr>
                <w:b/>
                <w:i/>
                <w:sz w:val="18"/>
                <w:szCs w:val="18"/>
              </w:rPr>
              <w:t>ț</w:t>
            </w:r>
            <w:r w:rsidRPr="00870FB6">
              <w:rPr>
                <w:b/>
                <w:i/>
                <w:sz w:val="18"/>
                <w:szCs w:val="18"/>
              </w:rPr>
              <w:t xml:space="preserve">ilor </w:t>
            </w:r>
            <w:r w:rsidRPr="00870FB6">
              <w:rPr>
                <w:b/>
                <w:i/>
                <w:sz w:val="18"/>
                <w:szCs w:val="18"/>
              </w:rPr>
              <w:lastRenderedPageBreak/>
              <w:t>economice supuse analizei</w:t>
            </w:r>
          </w:p>
        </w:tc>
        <w:tc>
          <w:tcPr>
            <w:tcW w:w="2667" w:type="dxa"/>
            <w:gridSpan w:val="3"/>
            <w:shd w:val="clear" w:color="auto" w:fill="auto"/>
            <w:vAlign w:val="center"/>
          </w:tcPr>
          <w:p w:rsidR="00D21506" w:rsidRPr="00870FB6" w:rsidRDefault="00D21506" w:rsidP="00914FE0">
            <w:pPr>
              <w:jc w:val="center"/>
              <w:rPr>
                <w:b/>
                <w:i/>
                <w:sz w:val="18"/>
                <w:szCs w:val="18"/>
              </w:rPr>
            </w:pPr>
            <w:r w:rsidRPr="00870FB6">
              <w:rPr>
                <w:b/>
                <w:i/>
                <w:sz w:val="18"/>
                <w:szCs w:val="18"/>
              </w:rPr>
              <w:lastRenderedPageBreak/>
              <w:t>Au activat cu pierderi</w:t>
            </w:r>
          </w:p>
        </w:tc>
        <w:tc>
          <w:tcPr>
            <w:tcW w:w="2649" w:type="dxa"/>
            <w:gridSpan w:val="3"/>
            <w:shd w:val="clear" w:color="auto" w:fill="auto"/>
            <w:vAlign w:val="center"/>
          </w:tcPr>
          <w:p w:rsidR="00D21506" w:rsidRPr="00870FB6" w:rsidRDefault="00D21506" w:rsidP="00914FE0">
            <w:pPr>
              <w:jc w:val="center"/>
              <w:rPr>
                <w:b/>
                <w:i/>
                <w:sz w:val="18"/>
                <w:szCs w:val="18"/>
              </w:rPr>
            </w:pPr>
            <w:r w:rsidRPr="00870FB6">
              <w:rPr>
                <w:b/>
                <w:i/>
                <w:sz w:val="18"/>
                <w:szCs w:val="18"/>
              </w:rPr>
              <w:t>Au activat cu profit</w:t>
            </w:r>
          </w:p>
        </w:tc>
        <w:tc>
          <w:tcPr>
            <w:tcW w:w="1810" w:type="dxa"/>
            <w:gridSpan w:val="2"/>
            <w:shd w:val="clear" w:color="auto" w:fill="auto"/>
            <w:vAlign w:val="center"/>
          </w:tcPr>
          <w:p w:rsidR="00D21506" w:rsidRPr="00870FB6" w:rsidRDefault="00D21506" w:rsidP="00914FE0">
            <w:pPr>
              <w:jc w:val="center"/>
              <w:rPr>
                <w:b/>
                <w:i/>
                <w:sz w:val="18"/>
                <w:szCs w:val="18"/>
              </w:rPr>
            </w:pPr>
            <w:r w:rsidRPr="00870FB6">
              <w:rPr>
                <w:b/>
                <w:i/>
                <w:sz w:val="18"/>
                <w:szCs w:val="18"/>
              </w:rPr>
              <w:t>Rezultat financiar nul</w:t>
            </w:r>
          </w:p>
        </w:tc>
      </w:tr>
      <w:tr w:rsidR="00D21506" w:rsidRPr="00870FB6" w:rsidTr="00D21506">
        <w:trPr>
          <w:trHeight w:val="521"/>
          <w:jc w:val="center"/>
        </w:trPr>
        <w:tc>
          <w:tcPr>
            <w:tcW w:w="1100" w:type="dxa"/>
            <w:vMerge/>
            <w:shd w:val="clear" w:color="auto" w:fill="auto"/>
          </w:tcPr>
          <w:p w:rsidR="00D21506" w:rsidRPr="00870FB6" w:rsidRDefault="00D21506" w:rsidP="00914FE0">
            <w:pPr>
              <w:jc w:val="center"/>
              <w:rPr>
                <w:b/>
                <w:sz w:val="18"/>
                <w:szCs w:val="18"/>
              </w:rPr>
            </w:pPr>
          </w:p>
        </w:tc>
        <w:tc>
          <w:tcPr>
            <w:tcW w:w="1351" w:type="dxa"/>
            <w:vMerge/>
            <w:shd w:val="clear" w:color="auto" w:fill="auto"/>
          </w:tcPr>
          <w:p w:rsidR="00D21506" w:rsidRPr="00870FB6" w:rsidRDefault="00D21506" w:rsidP="00914FE0">
            <w:pPr>
              <w:jc w:val="center"/>
              <w:rPr>
                <w:b/>
                <w:sz w:val="18"/>
                <w:szCs w:val="18"/>
              </w:rPr>
            </w:pPr>
          </w:p>
        </w:tc>
        <w:tc>
          <w:tcPr>
            <w:tcW w:w="911" w:type="dxa"/>
            <w:shd w:val="clear" w:color="auto" w:fill="auto"/>
            <w:vAlign w:val="center"/>
          </w:tcPr>
          <w:p w:rsidR="00D21506" w:rsidRPr="00870FB6" w:rsidRDefault="00D21506" w:rsidP="00914FE0">
            <w:pPr>
              <w:jc w:val="center"/>
              <w:rPr>
                <w:sz w:val="18"/>
                <w:szCs w:val="18"/>
              </w:rPr>
            </w:pPr>
            <w:r w:rsidRPr="00870FB6">
              <w:rPr>
                <w:sz w:val="18"/>
                <w:szCs w:val="18"/>
              </w:rPr>
              <w:t>numărul ent. ec.</w:t>
            </w:r>
          </w:p>
        </w:tc>
        <w:tc>
          <w:tcPr>
            <w:tcW w:w="854" w:type="dxa"/>
            <w:shd w:val="clear" w:color="auto" w:fill="auto"/>
            <w:vAlign w:val="center"/>
          </w:tcPr>
          <w:p w:rsidR="00D21506" w:rsidRPr="00870FB6" w:rsidRDefault="00D21506" w:rsidP="00D21506">
            <w:pPr>
              <w:pStyle w:val="BodyTextIndent2"/>
              <w:ind w:left="-102" w:right="-110" w:firstLine="0"/>
              <w:jc w:val="center"/>
              <w:rPr>
                <w:sz w:val="18"/>
                <w:szCs w:val="18"/>
              </w:rPr>
            </w:pPr>
            <w:r w:rsidRPr="00870FB6">
              <w:rPr>
                <w:sz w:val="18"/>
                <w:szCs w:val="18"/>
              </w:rPr>
              <w:t>ponderea,</w:t>
            </w:r>
          </w:p>
          <w:p w:rsidR="00D21506" w:rsidRPr="00870FB6" w:rsidRDefault="00D21506" w:rsidP="00914FE0">
            <w:pPr>
              <w:jc w:val="center"/>
              <w:rPr>
                <w:sz w:val="18"/>
                <w:szCs w:val="18"/>
              </w:rPr>
            </w:pPr>
            <w:r w:rsidRPr="00870FB6">
              <w:rPr>
                <w:sz w:val="18"/>
                <w:szCs w:val="18"/>
              </w:rPr>
              <w:t>%</w:t>
            </w:r>
          </w:p>
        </w:tc>
        <w:tc>
          <w:tcPr>
            <w:tcW w:w="902" w:type="dxa"/>
            <w:shd w:val="clear" w:color="auto" w:fill="auto"/>
            <w:vAlign w:val="center"/>
          </w:tcPr>
          <w:p w:rsidR="00D21506" w:rsidRPr="00870FB6" w:rsidRDefault="00D21506" w:rsidP="00914FE0">
            <w:pPr>
              <w:jc w:val="center"/>
              <w:rPr>
                <w:sz w:val="18"/>
                <w:szCs w:val="18"/>
              </w:rPr>
            </w:pPr>
            <w:r w:rsidRPr="00870FB6">
              <w:rPr>
                <w:sz w:val="18"/>
                <w:szCs w:val="18"/>
              </w:rPr>
              <w:t>suma, mil. lei</w:t>
            </w:r>
          </w:p>
        </w:tc>
        <w:tc>
          <w:tcPr>
            <w:tcW w:w="900" w:type="dxa"/>
            <w:shd w:val="clear" w:color="auto" w:fill="auto"/>
            <w:vAlign w:val="center"/>
          </w:tcPr>
          <w:p w:rsidR="00D21506" w:rsidRPr="00870FB6" w:rsidRDefault="00D21506" w:rsidP="00914FE0">
            <w:pPr>
              <w:jc w:val="center"/>
              <w:rPr>
                <w:sz w:val="18"/>
                <w:szCs w:val="18"/>
              </w:rPr>
            </w:pPr>
            <w:r w:rsidRPr="00870FB6">
              <w:rPr>
                <w:sz w:val="18"/>
                <w:szCs w:val="18"/>
              </w:rPr>
              <w:t>numărul ent. ec.</w:t>
            </w:r>
          </w:p>
        </w:tc>
        <w:tc>
          <w:tcPr>
            <w:tcW w:w="848" w:type="dxa"/>
            <w:shd w:val="clear" w:color="auto" w:fill="auto"/>
            <w:vAlign w:val="center"/>
          </w:tcPr>
          <w:p w:rsidR="00D21506" w:rsidRPr="00870FB6" w:rsidRDefault="00D21506" w:rsidP="00D21506">
            <w:pPr>
              <w:pStyle w:val="BodyTextIndent2"/>
              <w:ind w:left="-62" w:right="-18" w:firstLine="0"/>
              <w:jc w:val="center"/>
              <w:rPr>
                <w:sz w:val="18"/>
                <w:szCs w:val="18"/>
              </w:rPr>
            </w:pPr>
            <w:r w:rsidRPr="00870FB6">
              <w:rPr>
                <w:sz w:val="18"/>
                <w:szCs w:val="18"/>
              </w:rPr>
              <w:t>ponderea,</w:t>
            </w:r>
          </w:p>
          <w:p w:rsidR="00D21506" w:rsidRPr="00870FB6" w:rsidRDefault="00D21506" w:rsidP="00914FE0">
            <w:pPr>
              <w:jc w:val="center"/>
              <w:rPr>
                <w:sz w:val="18"/>
                <w:szCs w:val="18"/>
              </w:rPr>
            </w:pPr>
            <w:r w:rsidRPr="00870FB6">
              <w:rPr>
                <w:sz w:val="18"/>
                <w:szCs w:val="18"/>
              </w:rPr>
              <w:t>%</w:t>
            </w:r>
          </w:p>
        </w:tc>
        <w:tc>
          <w:tcPr>
            <w:tcW w:w="901" w:type="dxa"/>
            <w:shd w:val="clear" w:color="auto" w:fill="auto"/>
            <w:vAlign w:val="center"/>
          </w:tcPr>
          <w:p w:rsidR="00D21506" w:rsidRPr="00870FB6" w:rsidRDefault="00D21506" w:rsidP="00914FE0">
            <w:pPr>
              <w:jc w:val="center"/>
              <w:rPr>
                <w:sz w:val="18"/>
                <w:szCs w:val="18"/>
              </w:rPr>
            </w:pPr>
            <w:r w:rsidRPr="00870FB6">
              <w:rPr>
                <w:sz w:val="18"/>
                <w:szCs w:val="18"/>
              </w:rPr>
              <w:t>suma, mil. lei</w:t>
            </w:r>
          </w:p>
        </w:tc>
        <w:tc>
          <w:tcPr>
            <w:tcW w:w="900" w:type="dxa"/>
            <w:shd w:val="clear" w:color="auto" w:fill="auto"/>
            <w:vAlign w:val="center"/>
          </w:tcPr>
          <w:p w:rsidR="00D21506" w:rsidRPr="00870FB6" w:rsidRDefault="00D21506" w:rsidP="00914FE0">
            <w:pPr>
              <w:jc w:val="center"/>
              <w:rPr>
                <w:sz w:val="18"/>
                <w:szCs w:val="18"/>
              </w:rPr>
            </w:pPr>
            <w:r w:rsidRPr="00870FB6">
              <w:rPr>
                <w:sz w:val="18"/>
                <w:szCs w:val="18"/>
              </w:rPr>
              <w:t>numărul ent. ec.</w:t>
            </w:r>
          </w:p>
        </w:tc>
        <w:tc>
          <w:tcPr>
            <w:tcW w:w="910" w:type="dxa"/>
            <w:shd w:val="clear" w:color="auto" w:fill="auto"/>
            <w:vAlign w:val="center"/>
          </w:tcPr>
          <w:p w:rsidR="00D21506" w:rsidRPr="00870FB6" w:rsidRDefault="00D21506" w:rsidP="00D21506">
            <w:pPr>
              <w:pStyle w:val="BodyTextIndent2"/>
              <w:ind w:left="-50" w:firstLine="0"/>
              <w:jc w:val="center"/>
              <w:rPr>
                <w:sz w:val="18"/>
                <w:szCs w:val="18"/>
              </w:rPr>
            </w:pPr>
            <w:r w:rsidRPr="00870FB6">
              <w:rPr>
                <w:sz w:val="18"/>
                <w:szCs w:val="18"/>
              </w:rPr>
              <w:t>ponderea,</w:t>
            </w:r>
          </w:p>
          <w:p w:rsidR="00D21506" w:rsidRPr="00870FB6" w:rsidRDefault="00D21506" w:rsidP="00D21506">
            <w:pPr>
              <w:ind w:left="-50"/>
              <w:jc w:val="center"/>
              <w:rPr>
                <w:sz w:val="18"/>
                <w:szCs w:val="18"/>
              </w:rPr>
            </w:pPr>
            <w:r w:rsidRPr="00870FB6">
              <w:rPr>
                <w:sz w:val="18"/>
                <w:szCs w:val="18"/>
              </w:rPr>
              <w:t>%</w:t>
            </w:r>
          </w:p>
        </w:tc>
      </w:tr>
      <w:tr w:rsidR="00914FE0" w:rsidRPr="00870FB6" w:rsidTr="00D21506">
        <w:trPr>
          <w:trHeight w:val="58"/>
          <w:jc w:val="center"/>
        </w:trPr>
        <w:tc>
          <w:tcPr>
            <w:tcW w:w="1100" w:type="dxa"/>
            <w:shd w:val="clear" w:color="auto" w:fill="auto"/>
          </w:tcPr>
          <w:p w:rsidR="00914FE0" w:rsidRPr="00870FB6" w:rsidRDefault="00914FE0" w:rsidP="00043C6E">
            <w:pPr>
              <w:jc w:val="center"/>
              <w:rPr>
                <w:sz w:val="18"/>
                <w:szCs w:val="18"/>
              </w:rPr>
            </w:pPr>
            <w:r w:rsidRPr="00870FB6">
              <w:rPr>
                <w:sz w:val="18"/>
                <w:szCs w:val="18"/>
              </w:rPr>
              <w:lastRenderedPageBreak/>
              <w:t>1</w:t>
            </w:r>
          </w:p>
        </w:tc>
        <w:tc>
          <w:tcPr>
            <w:tcW w:w="1351" w:type="dxa"/>
            <w:shd w:val="clear" w:color="auto" w:fill="auto"/>
          </w:tcPr>
          <w:p w:rsidR="00914FE0" w:rsidRPr="00870FB6" w:rsidRDefault="00914FE0" w:rsidP="00043C6E">
            <w:pPr>
              <w:jc w:val="center"/>
              <w:rPr>
                <w:sz w:val="18"/>
                <w:szCs w:val="18"/>
              </w:rPr>
            </w:pPr>
            <w:r w:rsidRPr="00870FB6">
              <w:rPr>
                <w:sz w:val="18"/>
                <w:szCs w:val="18"/>
              </w:rPr>
              <w:t>2</w:t>
            </w:r>
          </w:p>
        </w:tc>
        <w:tc>
          <w:tcPr>
            <w:tcW w:w="911" w:type="dxa"/>
            <w:shd w:val="clear" w:color="auto" w:fill="auto"/>
          </w:tcPr>
          <w:p w:rsidR="00914FE0" w:rsidRPr="00870FB6" w:rsidRDefault="00914FE0" w:rsidP="00043C6E">
            <w:pPr>
              <w:jc w:val="center"/>
              <w:rPr>
                <w:sz w:val="18"/>
                <w:szCs w:val="18"/>
              </w:rPr>
            </w:pPr>
            <w:r w:rsidRPr="00870FB6">
              <w:rPr>
                <w:sz w:val="18"/>
                <w:szCs w:val="18"/>
              </w:rPr>
              <w:t>3</w:t>
            </w:r>
          </w:p>
        </w:tc>
        <w:tc>
          <w:tcPr>
            <w:tcW w:w="854" w:type="dxa"/>
            <w:shd w:val="clear" w:color="auto" w:fill="auto"/>
          </w:tcPr>
          <w:p w:rsidR="00914FE0" w:rsidRPr="00870FB6" w:rsidRDefault="00914FE0" w:rsidP="00043C6E">
            <w:pPr>
              <w:jc w:val="center"/>
              <w:rPr>
                <w:sz w:val="18"/>
                <w:szCs w:val="18"/>
              </w:rPr>
            </w:pPr>
            <w:r w:rsidRPr="00870FB6">
              <w:rPr>
                <w:sz w:val="18"/>
                <w:szCs w:val="18"/>
              </w:rPr>
              <w:t>4</w:t>
            </w:r>
            <w:r w:rsidR="00294516" w:rsidRPr="00870FB6">
              <w:rPr>
                <w:sz w:val="18"/>
                <w:szCs w:val="18"/>
              </w:rPr>
              <w:t>=3/2</w:t>
            </w:r>
          </w:p>
        </w:tc>
        <w:tc>
          <w:tcPr>
            <w:tcW w:w="902" w:type="dxa"/>
            <w:shd w:val="clear" w:color="auto" w:fill="auto"/>
          </w:tcPr>
          <w:p w:rsidR="00914FE0" w:rsidRPr="00870FB6" w:rsidRDefault="00914FE0" w:rsidP="00043C6E">
            <w:pPr>
              <w:jc w:val="center"/>
              <w:rPr>
                <w:sz w:val="18"/>
                <w:szCs w:val="18"/>
              </w:rPr>
            </w:pPr>
            <w:r w:rsidRPr="00870FB6">
              <w:rPr>
                <w:sz w:val="18"/>
                <w:szCs w:val="18"/>
              </w:rPr>
              <w:t>5</w:t>
            </w:r>
          </w:p>
        </w:tc>
        <w:tc>
          <w:tcPr>
            <w:tcW w:w="900" w:type="dxa"/>
            <w:shd w:val="clear" w:color="auto" w:fill="auto"/>
          </w:tcPr>
          <w:p w:rsidR="00914FE0" w:rsidRPr="00870FB6" w:rsidRDefault="00914FE0" w:rsidP="00043C6E">
            <w:pPr>
              <w:jc w:val="center"/>
              <w:rPr>
                <w:sz w:val="18"/>
                <w:szCs w:val="18"/>
              </w:rPr>
            </w:pPr>
            <w:r w:rsidRPr="00870FB6">
              <w:rPr>
                <w:sz w:val="18"/>
                <w:szCs w:val="18"/>
              </w:rPr>
              <w:t>6</w:t>
            </w:r>
          </w:p>
        </w:tc>
        <w:tc>
          <w:tcPr>
            <w:tcW w:w="848" w:type="dxa"/>
            <w:shd w:val="clear" w:color="auto" w:fill="auto"/>
          </w:tcPr>
          <w:p w:rsidR="00914FE0" w:rsidRPr="00870FB6" w:rsidRDefault="00914FE0" w:rsidP="00043C6E">
            <w:pPr>
              <w:jc w:val="center"/>
              <w:rPr>
                <w:sz w:val="18"/>
                <w:szCs w:val="18"/>
              </w:rPr>
            </w:pPr>
            <w:r w:rsidRPr="00870FB6">
              <w:rPr>
                <w:sz w:val="18"/>
                <w:szCs w:val="18"/>
              </w:rPr>
              <w:t>7</w:t>
            </w:r>
            <w:r w:rsidR="00294516" w:rsidRPr="00870FB6">
              <w:rPr>
                <w:sz w:val="18"/>
                <w:szCs w:val="18"/>
              </w:rPr>
              <w:t>=6/2</w:t>
            </w:r>
          </w:p>
        </w:tc>
        <w:tc>
          <w:tcPr>
            <w:tcW w:w="901" w:type="dxa"/>
            <w:shd w:val="clear" w:color="auto" w:fill="auto"/>
          </w:tcPr>
          <w:p w:rsidR="00914FE0" w:rsidRPr="00870FB6" w:rsidRDefault="00914FE0" w:rsidP="00043C6E">
            <w:pPr>
              <w:jc w:val="center"/>
              <w:rPr>
                <w:sz w:val="18"/>
                <w:szCs w:val="18"/>
              </w:rPr>
            </w:pPr>
            <w:r w:rsidRPr="00870FB6">
              <w:rPr>
                <w:sz w:val="18"/>
                <w:szCs w:val="18"/>
              </w:rPr>
              <w:t>8</w:t>
            </w:r>
          </w:p>
        </w:tc>
        <w:tc>
          <w:tcPr>
            <w:tcW w:w="900" w:type="dxa"/>
            <w:shd w:val="clear" w:color="auto" w:fill="auto"/>
          </w:tcPr>
          <w:p w:rsidR="00914FE0" w:rsidRPr="00870FB6" w:rsidRDefault="00914FE0" w:rsidP="00043C6E">
            <w:pPr>
              <w:jc w:val="center"/>
              <w:rPr>
                <w:sz w:val="18"/>
                <w:szCs w:val="18"/>
              </w:rPr>
            </w:pPr>
            <w:r w:rsidRPr="00870FB6">
              <w:rPr>
                <w:sz w:val="18"/>
                <w:szCs w:val="18"/>
              </w:rPr>
              <w:t>9</w:t>
            </w:r>
          </w:p>
        </w:tc>
        <w:tc>
          <w:tcPr>
            <w:tcW w:w="910" w:type="dxa"/>
            <w:shd w:val="clear" w:color="auto" w:fill="auto"/>
          </w:tcPr>
          <w:p w:rsidR="00914FE0" w:rsidRPr="00870FB6" w:rsidRDefault="00914FE0" w:rsidP="00043C6E">
            <w:pPr>
              <w:jc w:val="center"/>
              <w:rPr>
                <w:sz w:val="18"/>
                <w:szCs w:val="18"/>
              </w:rPr>
            </w:pPr>
            <w:r w:rsidRPr="00870FB6">
              <w:rPr>
                <w:sz w:val="18"/>
                <w:szCs w:val="18"/>
              </w:rPr>
              <w:t>10</w:t>
            </w:r>
            <w:r w:rsidR="00294516" w:rsidRPr="00870FB6">
              <w:rPr>
                <w:sz w:val="18"/>
                <w:szCs w:val="18"/>
              </w:rPr>
              <w:t>=9/2</w:t>
            </w:r>
          </w:p>
        </w:tc>
      </w:tr>
      <w:tr w:rsidR="00914FE0" w:rsidRPr="00870FB6" w:rsidTr="00D21506">
        <w:trPr>
          <w:trHeight w:val="332"/>
          <w:jc w:val="center"/>
        </w:trPr>
        <w:tc>
          <w:tcPr>
            <w:tcW w:w="1100" w:type="dxa"/>
            <w:shd w:val="clear" w:color="auto" w:fill="auto"/>
          </w:tcPr>
          <w:p w:rsidR="00914FE0" w:rsidRPr="00870FB6" w:rsidRDefault="00914FE0" w:rsidP="00914FE0">
            <w:pPr>
              <w:pStyle w:val="BodyTextIndent2"/>
              <w:ind w:firstLine="0"/>
              <w:jc w:val="center"/>
              <w:rPr>
                <w:sz w:val="16"/>
                <w:szCs w:val="16"/>
              </w:rPr>
            </w:pPr>
            <w:r w:rsidRPr="00870FB6">
              <w:rPr>
                <w:sz w:val="16"/>
                <w:szCs w:val="16"/>
              </w:rPr>
              <w:t>Întreprinderi de stat</w:t>
            </w:r>
          </w:p>
        </w:tc>
        <w:tc>
          <w:tcPr>
            <w:tcW w:w="1351" w:type="dxa"/>
            <w:shd w:val="clear" w:color="auto" w:fill="auto"/>
            <w:vAlign w:val="center"/>
          </w:tcPr>
          <w:p w:rsidR="00914FE0" w:rsidRPr="00870FB6" w:rsidRDefault="00D1226A" w:rsidP="00914FE0">
            <w:pPr>
              <w:pStyle w:val="BodyTextIndent2"/>
              <w:ind w:firstLine="0"/>
              <w:jc w:val="center"/>
              <w:rPr>
                <w:sz w:val="18"/>
                <w:szCs w:val="18"/>
              </w:rPr>
            </w:pPr>
            <w:r w:rsidRPr="00870FB6">
              <w:rPr>
                <w:sz w:val="18"/>
                <w:szCs w:val="18"/>
              </w:rPr>
              <w:t>169</w:t>
            </w:r>
          </w:p>
        </w:tc>
        <w:tc>
          <w:tcPr>
            <w:tcW w:w="911" w:type="dxa"/>
            <w:shd w:val="clear" w:color="auto" w:fill="auto"/>
            <w:vAlign w:val="center"/>
          </w:tcPr>
          <w:p w:rsidR="00914FE0" w:rsidRPr="00870FB6" w:rsidRDefault="00D0033D" w:rsidP="00914FE0">
            <w:pPr>
              <w:jc w:val="center"/>
              <w:rPr>
                <w:b/>
                <w:sz w:val="18"/>
                <w:szCs w:val="18"/>
              </w:rPr>
            </w:pPr>
            <w:r w:rsidRPr="00870FB6">
              <w:rPr>
                <w:b/>
                <w:sz w:val="18"/>
                <w:szCs w:val="18"/>
              </w:rPr>
              <w:t>62</w:t>
            </w:r>
          </w:p>
        </w:tc>
        <w:tc>
          <w:tcPr>
            <w:tcW w:w="854" w:type="dxa"/>
            <w:shd w:val="clear" w:color="auto" w:fill="auto"/>
            <w:vAlign w:val="center"/>
          </w:tcPr>
          <w:p w:rsidR="00914FE0" w:rsidRPr="00870FB6" w:rsidRDefault="00D0033D" w:rsidP="00914FE0">
            <w:pPr>
              <w:jc w:val="center"/>
              <w:rPr>
                <w:sz w:val="18"/>
                <w:szCs w:val="18"/>
              </w:rPr>
            </w:pPr>
            <w:r w:rsidRPr="00870FB6">
              <w:rPr>
                <w:sz w:val="18"/>
                <w:szCs w:val="18"/>
              </w:rPr>
              <w:t>36,7</w:t>
            </w:r>
          </w:p>
        </w:tc>
        <w:tc>
          <w:tcPr>
            <w:tcW w:w="902" w:type="dxa"/>
            <w:shd w:val="clear" w:color="auto" w:fill="auto"/>
            <w:vAlign w:val="center"/>
          </w:tcPr>
          <w:p w:rsidR="00914FE0" w:rsidRPr="00870FB6" w:rsidRDefault="00D0033D" w:rsidP="005D1525">
            <w:pPr>
              <w:jc w:val="center"/>
              <w:rPr>
                <w:sz w:val="18"/>
                <w:szCs w:val="18"/>
              </w:rPr>
            </w:pPr>
            <w:r w:rsidRPr="00870FB6">
              <w:rPr>
                <w:sz w:val="18"/>
                <w:szCs w:val="18"/>
              </w:rPr>
              <w:t>298,7</w:t>
            </w:r>
          </w:p>
        </w:tc>
        <w:tc>
          <w:tcPr>
            <w:tcW w:w="900" w:type="dxa"/>
            <w:shd w:val="clear" w:color="auto" w:fill="auto"/>
            <w:vAlign w:val="center"/>
          </w:tcPr>
          <w:p w:rsidR="00914FE0" w:rsidRPr="00870FB6" w:rsidRDefault="00D0033D" w:rsidP="00914FE0">
            <w:pPr>
              <w:jc w:val="center"/>
              <w:rPr>
                <w:b/>
                <w:sz w:val="18"/>
                <w:szCs w:val="18"/>
              </w:rPr>
            </w:pPr>
            <w:r w:rsidRPr="00870FB6">
              <w:rPr>
                <w:b/>
                <w:sz w:val="18"/>
                <w:szCs w:val="18"/>
              </w:rPr>
              <w:t>103</w:t>
            </w:r>
          </w:p>
        </w:tc>
        <w:tc>
          <w:tcPr>
            <w:tcW w:w="848" w:type="dxa"/>
            <w:shd w:val="clear" w:color="auto" w:fill="auto"/>
            <w:vAlign w:val="center"/>
          </w:tcPr>
          <w:p w:rsidR="00914FE0" w:rsidRPr="00870FB6" w:rsidRDefault="00D0033D" w:rsidP="005D1525">
            <w:pPr>
              <w:jc w:val="center"/>
              <w:rPr>
                <w:sz w:val="18"/>
                <w:szCs w:val="18"/>
              </w:rPr>
            </w:pPr>
            <w:r w:rsidRPr="00870FB6">
              <w:rPr>
                <w:sz w:val="18"/>
                <w:szCs w:val="18"/>
              </w:rPr>
              <w:t>60,9</w:t>
            </w:r>
          </w:p>
        </w:tc>
        <w:tc>
          <w:tcPr>
            <w:tcW w:w="901" w:type="dxa"/>
            <w:shd w:val="clear" w:color="auto" w:fill="auto"/>
            <w:vAlign w:val="center"/>
          </w:tcPr>
          <w:p w:rsidR="00CA25A3" w:rsidRPr="00870FB6" w:rsidRDefault="00D0033D" w:rsidP="00752D00">
            <w:pPr>
              <w:jc w:val="center"/>
              <w:rPr>
                <w:sz w:val="18"/>
                <w:szCs w:val="18"/>
              </w:rPr>
            </w:pPr>
            <w:r w:rsidRPr="00870FB6">
              <w:rPr>
                <w:sz w:val="18"/>
                <w:szCs w:val="18"/>
              </w:rPr>
              <w:t>219,2</w:t>
            </w:r>
          </w:p>
        </w:tc>
        <w:tc>
          <w:tcPr>
            <w:tcW w:w="900" w:type="dxa"/>
            <w:shd w:val="clear" w:color="auto" w:fill="auto"/>
            <w:vAlign w:val="center"/>
          </w:tcPr>
          <w:p w:rsidR="00914FE0" w:rsidRPr="00870FB6" w:rsidRDefault="00D0033D" w:rsidP="00914FE0">
            <w:pPr>
              <w:jc w:val="center"/>
              <w:rPr>
                <w:b/>
                <w:sz w:val="18"/>
                <w:szCs w:val="18"/>
              </w:rPr>
            </w:pPr>
            <w:r w:rsidRPr="00870FB6">
              <w:rPr>
                <w:b/>
                <w:sz w:val="18"/>
                <w:szCs w:val="18"/>
              </w:rPr>
              <w:t>4</w:t>
            </w:r>
          </w:p>
        </w:tc>
        <w:tc>
          <w:tcPr>
            <w:tcW w:w="910" w:type="dxa"/>
            <w:shd w:val="clear" w:color="auto" w:fill="auto"/>
            <w:vAlign w:val="center"/>
          </w:tcPr>
          <w:p w:rsidR="00914FE0" w:rsidRPr="00870FB6" w:rsidRDefault="00D0033D" w:rsidP="005D1525">
            <w:pPr>
              <w:jc w:val="center"/>
              <w:rPr>
                <w:sz w:val="18"/>
                <w:szCs w:val="18"/>
              </w:rPr>
            </w:pPr>
            <w:r w:rsidRPr="00870FB6">
              <w:rPr>
                <w:sz w:val="18"/>
                <w:szCs w:val="18"/>
              </w:rPr>
              <w:t>2,4</w:t>
            </w:r>
          </w:p>
        </w:tc>
      </w:tr>
    </w:tbl>
    <w:p w:rsidR="00FB3AFD" w:rsidRDefault="00FB3AFD" w:rsidP="00FB3AFD">
      <w:pPr>
        <w:ind w:firstLine="567"/>
        <w:jc w:val="both"/>
        <w:rPr>
          <w:sz w:val="28"/>
          <w:szCs w:val="28"/>
        </w:rPr>
      </w:pPr>
    </w:p>
    <w:p w:rsidR="001A3872" w:rsidRPr="00870FB6" w:rsidRDefault="00235BF0" w:rsidP="00F33AF7">
      <w:pPr>
        <w:spacing w:line="276" w:lineRule="auto"/>
        <w:ind w:firstLine="567"/>
        <w:jc w:val="both"/>
        <w:rPr>
          <w:sz w:val="28"/>
          <w:szCs w:val="28"/>
        </w:rPr>
      </w:pPr>
      <w:r>
        <w:rPr>
          <w:sz w:val="28"/>
          <w:szCs w:val="28"/>
        </w:rPr>
        <w:t>Î</w:t>
      </w:r>
      <w:r w:rsidR="00AC396D" w:rsidRPr="00870FB6">
        <w:rPr>
          <w:sz w:val="28"/>
          <w:szCs w:val="28"/>
        </w:rPr>
        <w:t>n compara</w:t>
      </w:r>
      <w:r w:rsidR="000873E3">
        <w:rPr>
          <w:sz w:val="28"/>
          <w:szCs w:val="28"/>
        </w:rPr>
        <w:t>ț</w:t>
      </w:r>
      <w:r w:rsidR="00AC396D" w:rsidRPr="00870FB6">
        <w:rPr>
          <w:sz w:val="28"/>
          <w:szCs w:val="28"/>
        </w:rPr>
        <w:t>ie cu situa</w:t>
      </w:r>
      <w:r w:rsidR="000873E3">
        <w:rPr>
          <w:sz w:val="28"/>
          <w:szCs w:val="28"/>
        </w:rPr>
        <w:t>ț</w:t>
      </w:r>
      <w:r w:rsidR="00AC396D" w:rsidRPr="00870FB6">
        <w:rPr>
          <w:sz w:val="28"/>
          <w:szCs w:val="28"/>
        </w:rPr>
        <w:t>ia aferentă anului 201</w:t>
      </w:r>
      <w:r w:rsidR="00D0033D" w:rsidRPr="00870FB6">
        <w:rPr>
          <w:sz w:val="28"/>
          <w:szCs w:val="28"/>
        </w:rPr>
        <w:t>6</w:t>
      </w:r>
      <w:r w:rsidR="00AC396D" w:rsidRPr="00870FB6">
        <w:rPr>
          <w:sz w:val="28"/>
          <w:szCs w:val="28"/>
        </w:rPr>
        <w:t>, se atestă diminu</w:t>
      </w:r>
      <w:r w:rsidR="00D81951">
        <w:rPr>
          <w:sz w:val="28"/>
          <w:szCs w:val="28"/>
        </w:rPr>
        <w:t>area</w:t>
      </w:r>
      <w:r w:rsidR="00AC396D" w:rsidRPr="00870FB6">
        <w:rPr>
          <w:sz w:val="28"/>
          <w:szCs w:val="28"/>
        </w:rPr>
        <w:t xml:space="preserve"> procentul</w:t>
      </w:r>
      <w:r w:rsidR="00D81951">
        <w:rPr>
          <w:sz w:val="28"/>
          <w:szCs w:val="28"/>
        </w:rPr>
        <w:t>ui</w:t>
      </w:r>
      <w:r w:rsidR="00AC396D" w:rsidRPr="00870FB6">
        <w:rPr>
          <w:sz w:val="28"/>
          <w:szCs w:val="28"/>
        </w:rPr>
        <w:t xml:space="preserve"> întreprinderilor ce au activat cu pierderi (de la </w:t>
      </w:r>
      <w:r w:rsidR="00D0033D" w:rsidRPr="00870FB6">
        <w:rPr>
          <w:sz w:val="28"/>
          <w:szCs w:val="28"/>
        </w:rPr>
        <w:t>38,7</w:t>
      </w:r>
      <w:r w:rsidR="00AC396D" w:rsidRPr="00870FB6">
        <w:rPr>
          <w:sz w:val="28"/>
          <w:szCs w:val="28"/>
        </w:rPr>
        <w:t xml:space="preserve">% la </w:t>
      </w:r>
      <w:r w:rsidR="00D0033D" w:rsidRPr="00870FB6">
        <w:rPr>
          <w:sz w:val="28"/>
          <w:szCs w:val="28"/>
        </w:rPr>
        <w:t>36,7</w:t>
      </w:r>
      <w:r w:rsidR="00AC396D" w:rsidRPr="00870FB6">
        <w:rPr>
          <w:sz w:val="28"/>
          <w:szCs w:val="28"/>
        </w:rPr>
        <w:t>%) și major</w:t>
      </w:r>
      <w:r w:rsidR="00D81951">
        <w:rPr>
          <w:sz w:val="28"/>
          <w:szCs w:val="28"/>
        </w:rPr>
        <w:t>area</w:t>
      </w:r>
      <w:r w:rsidR="00AC396D" w:rsidRPr="00870FB6">
        <w:rPr>
          <w:sz w:val="28"/>
          <w:szCs w:val="28"/>
        </w:rPr>
        <w:t xml:space="preserve"> ponder</w:t>
      </w:r>
      <w:r w:rsidR="00D81951">
        <w:rPr>
          <w:sz w:val="28"/>
          <w:szCs w:val="28"/>
        </w:rPr>
        <w:t>ii</w:t>
      </w:r>
      <w:r w:rsidR="00AC396D" w:rsidRPr="00870FB6">
        <w:rPr>
          <w:sz w:val="28"/>
          <w:szCs w:val="28"/>
        </w:rPr>
        <w:t xml:space="preserve"> întreprinderilor ce au activat cu profit net (de la </w:t>
      </w:r>
      <w:r w:rsidR="00D0033D" w:rsidRPr="00870FB6">
        <w:rPr>
          <w:sz w:val="28"/>
          <w:szCs w:val="28"/>
        </w:rPr>
        <w:t>59,7</w:t>
      </w:r>
      <w:r w:rsidR="00AC396D" w:rsidRPr="00870FB6">
        <w:rPr>
          <w:sz w:val="28"/>
          <w:szCs w:val="28"/>
        </w:rPr>
        <w:t xml:space="preserve">% la </w:t>
      </w:r>
      <w:r w:rsidR="00D0033D" w:rsidRPr="00870FB6">
        <w:rPr>
          <w:sz w:val="28"/>
          <w:szCs w:val="28"/>
        </w:rPr>
        <w:t>60,9</w:t>
      </w:r>
      <w:r w:rsidR="00AC396D" w:rsidRPr="00870FB6">
        <w:rPr>
          <w:sz w:val="28"/>
          <w:szCs w:val="28"/>
        </w:rPr>
        <w:t>%).</w:t>
      </w:r>
    </w:p>
    <w:p w:rsidR="00AC396D" w:rsidRPr="005E245A" w:rsidRDefault="00604260" w:rsidP="0008031F">
      <w:pPr>
        <w:spacing w:line="276" w:lineRule="auto"/>
        <w:ind w:firstLine="540"/>
        <w:jc w:val="both"/>
        <w:rPr>
          <w:sz w:val="28"/>
          <w:szCs w:val="28"/>
        </w:rPr>
      </w:pPr>
      <w:r w:rsidRPr="00870FB6">
        <w:rPr>
          <w:sz w:val="28"/>
          <w:szCs w:val="28"/>
        </w:rPr>
        <w:t>Î</w:t>
      </w:r>
      <w:r w:rsidR="00AC396D" w:rsidRPr="00870FB6">
        <w:rPr>
          <w:sz w:val="28"/>
          <w:szCs w:val="28"/>
        </w:rPr>
        <w:t xml:space="preserve">n perioada de gestiune, 30 întreprinderi de stat </w:t>
      </w:r>
      <w:r w:rsidR="00521E1A" w:rsidRPr="00870FB6">
        <w:rPr>
          <w:sz w:val="28"/>
          <w:szCs w:val="28"/>
        </w:rPr>
        <w:t xml:space="preserve">(sau 29,1% din numărul total al întreprinderilor cu profit) </w:t>
      </w:r>
      <w:r w:rsidR="00AC396D" w:rsidRPr="00870FB6">
        <w:rPr>
          <w:sz w:val="28"/>
          <w:szCs w:val="28"/>
        </w:rPr>
        <w:t>au ob</w:t>
      </w:r>
      <w:r w:rsidR="000873E3">
        <w:rPr>
          <w:sz w:val="28"/>
          <w:szCs w:val="28"/>
        </w:rPr>
        <w:t>ț</w:t>
      </w:r>
      <w:r w:rsidR="00AC396D" w:rsidRPr="00870FB6">
        <w:rPr>
          <w:sz w:val="28"/>
          <w:szCs w:val="28"/>
        </w:rPr>
        <w:t xml:space="preserve">inut </w:t>
      </w:r>
      <w:r w:rsidR="00AC396D" w:rsidRPr="00870FB6">
        <w:rPr>
          <w:i/>
          <w:sz w:val="28"/>
          <w:szCs w:val="28"/>
        </w:rPr>
        <w:t>profit net mai mare de 1 milion lei</w:t>
      </w:r>
      <w:r w:rsidR="00AC396D" w:rsidRPr="005E245A">
        <w:rPr>
          <w:sz w:val="28"/>
          <w:szCs w:val="28"/>
        </w:rPr>
        <w:t>, cele mai mari profituri fiind înregistrate de către:</w:t>
      </w:r>
    </w:p>
    <w:p w:rsidR="00AC396D" w:rsidRPr="005E245A" w:rsidRDefault="00AC396D" w:rsidP="00FF3911">
      <w:pPr>
        <w:numPr>
          <w:ilvl w:val="0"/>
          <w:numId w:val="1"/>
        </w:numPr>
        <w:spacing w:line="276" w:lineRule="auto"/>
        <w:ind w:hanging="233"/>
        <w:jc w:val="both"/>
        <w:rPr>
          <w:sz w:val="28"/>
          <w:szCs w:val="28"/>
        </w:rPr>
      </w:pPr>
      <w:r w:rsidRPr="005E245A">
        <w:rPr>
          <w:sz w:val="28"/>
          <w:szCs w:val="28"/>
        </w:rPr>
        <w:t>Î.S. „</w:t>
      </w:r>
      <w:r w:rsidR="00D0033D" w:rsidRPr="005E245A">
        <w:rPr>
          <w:sz w:val="28"/>
          <w:szCs w:val="28"/>
        </w:rPr>
        <w:t>Moldtranselectro</w:t>
      </w:r>
      <w:r w:rsidRPr="005E245A">
        <w:rPr>
          <w:sz w:val="28"/>
          <w:szCs w:val="28"/>
        </w:rPr>
        <w:t xml:space="preserve">” – </w:t>
      </w:r>
      <w:r w:rsidR="00D0033D" w:rsidRPr="005E245A">
        <w:rPr>
          <w:sz w:val="28"/>
          <w:szCs w:val="28"/>
        </w:rPr>
        <w:t>68,9</w:t>
      </w:r>
      <w:r w:rsidRPr="005E245A">
        <w:rPr>
          <w:sz w:val="28"/>
          <w:szCs w:val="28"/>
        </w:rPr>
        <w:t xml:space="preserve"> mil. lei;</w:t>
      </w:r>
    </w:p>
    <w:p w:rsidR="00D0033D" w:rsidRPr="005E245A" w:rsidRDefault="00D0033D" w:rsidP="00FF3911">
      <w:pPr>
        <w:numPr>
          <w:ilvl w:val="0"/>
          <w:numId w:val="1"/>
        </w:numPr>
        <w:spacing w:line="276" w:lineRule="auto"/>
        <w:ind w:hanging="233"/>
        <w:jc w:val="both"/>
        <w:rPr>
          <w:sz w:val="28"/>
          <w:szCs w:val="28"/>
        </w:rPr>
      </w:pPr>
      <w:r w:rsidRPr="005E245A">
        <w:rPr>
          <w:sz w:val="28"/>
          <w:szCs w:val="28"/>
        </w:rPr>
        <w:t>Î.S. „Moldelectrica” – 46,9 mil. lei;</w:t>
      </w:r>
    </w:p>
    <w:p w:rsidR="0008031F" w:rsidRDefault="007C2BFE" w:rsidP="0008031F">
      <w:pPr>
        <w:spacing w:line="276" w:lineRule="auto"/>
        <w:ind w:hanging="233"/>
        <w:jc w:val="both"/>
        <w:rPr>
          <w:sz w:val="28"/>
          <w:szCs w:val="28"/>
        </w:rPr>
      </w:pPr>
      <w:r w:rsidRPr="005E245A">
        <w:rPr>
          <w:sz w:val="28"/>
          <w:szCs w:val="28"/>
        </w:rPr>
        <w:t xml:space="preserve">      </w:t>
      </w:r>
      <w:r w:rsidR="00FB3AFD">
        <w:rPr>
          <w:sz w:val="28"/>
          <w:szCs w:val="28"/>
        </w:rPr>
        <w:t xml:space="preserve">     </w:t>
      </w:r>
      <w:r w:rsidRPr="005E245A">
        <w:rPr>
          <w:sz w:val="28"/>
          <w:szCs w:val="28"/>
        </w:rPr>
        <w:t xml:space="preserve">- </w:t>
      </w:r>
      <w:r w:rsidR="0008031F">
        <w:rPr>
          <w:sz w:val="28"/>
          <w:szCs w:val="28"/>
        </w:rPr>
        <w:t>Î</w:t>
      </w:r>
      <w:r w:rsidR="00AC396D" w:rsidRPr="005E245A">
        <w:rPr>
          <w:sz w:val="28"/>
          <w:szCs w:val="28"/>
        </w:rPr>
        <w:t xml:space="preserve">.S. </w:t>
      </w:r>
      <w:r w:rsidR="00D0033D" w:rsidRPr="005E245A">
        <w:rPr>
          <w:sz w:val="28"/>
          <w:szCs w:val="28"/>
        </w:rPr>
        <w:t>pentru utilizarea spa</w:t>
      </w:r>
      <w:r w:rsidR="000873E3">
        <w:rPr>
          <w:sz w:val="28"/>
          <w:szCs w:val="28"/>
        </w:rPr>
        <w:t>ț</w:t>
      </w:r>
      <w:r w:rsidR="00D0033D" w:rsidRPr="005E245A">
        <w:rPr>
          <w:sz w:val="28"/>
          <w:szCs w:val="28"/>
        </w:rPr>
        <w:t xml:space="preserve">iului aerian și deservirea traficului aerian </w:t>
      </w:r>
      <w:r w:rsidR="00AC396D" w:rsidRPr="005E245A">
        <w:rPr>
          <w:sz w:val="28"/>
          <w:szCs w:val="28"/>
        </w:rPr>
        <w:t>„</w:t>
      </w:r>
      <w:r w:rsidR="00D0033D" w:rsidRPr="005E245A">
        <w:rPr>
          <w:sz w:val="28"/>
          <w:szCs w:val="28"/>
        </w:rPr>
        <w:t>MoldATSA</w:t>
      </w:r>
      <w:r w:rsidR="00AC396D" w:rsidRPr="005E245A">
        <w:rPr>
          <w:sz w:val="28"/>
          <w:szCs w:val="28"/>
        </w:rPr>
        <w:t xml:space="preserve">” – </w:t>
      </w:r>
      <w:r w:rsidRPr="005E245A">
        <w:rPr>
          <w:sz w:val="28"/>
          <w:szCs w:val="28"/>
        </w:rPr>
        <w:t>11,0</w:t>
      </w:r>
      <w:r w:rsidR="00AC396D" w:rsidRPr="005E245A">
        <w:rPr>
          <w:sz w:val="28"/>
          <w:szCs w:val="28"/>
        </w:rPr>
        <w:t xml:space="preserve"> mil. lei</w:t>
      </w:r>
      <w:r w:rsidR="0008031F">
        <w:rPr>
          <w:sz w:val="28"/>
          <w:szCs w:val="28"/>
        </w:rPr>
        <w:t>.</w:t>
      </w:r>
    </w:p>
    <w:p w:rsidR="00AC396D" w:rsidRPr="00870FB6" w:rsidRDefault="00AC396D" w:rsidP="0008031F">
      <w:pPr>
        <w:spacing w:line="276" w:lineRule="auto"/>
        <w:ind w:firstLine="540"/>
        <w:jc w:val="both"/>
        <w:rPr>
          <w:sz w:val="28"/>
          <w:szCs w:val="28"/>
        </w:rPr>
      </w:pPr>
      <w:r w:rsidRPr="00870FB6">
        <w:rPr>
          <w:sz w:val="28"/>
          <w:szCs w:val="28"/>
        </w:rPr>
        <w:t xml:space="preserve">Rentabilitatea </w:t>
      </w:r>
      <w:r w:rsidR="004C0161" w:rsidRPr="00870FB6">
        <w:rPr>
          <w:sz w:val="28"/>
          <w:szCs w:val="28"/>
        </w:rPr>
        <w:t xml:space="preserve">veniturilor din </w:t>
      </w:r>
      <w:r w:rsidRPr="00870FB6">
        <w:rPr>
          <w:sz w:val="28"/>
          <w:szCs w:val="28"/>
        </w:rPr>
        <w:t>vî</w:t>
      </w:r>
      <w:r w:rsidR="004C0161" w:rsidRPr="00870FB6">
        <w:rPr>
          <w:sz w:val="28"/>
          <w:szCs w:val="28"/>
        </w:rPr>
        <w:t>nzări (profit net/venituri</w:t>
      </w:r>
      <w:r w:rsidRPr="00870FB6">
        <w:rPr>
          <w:sz w:val="28"/>
          <w:szCs w:val="28"/>
        </w:rPr>
        <w:t xml:space="preserve"> din vînzări) </w:t>
      </w:r>
      <w:r w:rsidRPr="00870FB6">
        <w:rPr>
          <w:i/>
          <w:sz w:val="28"/>
          <w:szCs w:val="28"/>
        </w:rPr>
        <w:t>a întreprinderilor de stat care au înregistrat profit net în anul 201</w:t>
      </w:r>
      <w:r w:rsidR="007C2BFE" w:rsidRPr="00870FB6">
        <w:rPr>
          <w:i/>
          <w:sz w:val="28"/>
          <w:szCs w:val="28"/>
        </w:rPr>
        <w:t>7</w:t>
      </w:r>
      <w:r w:rsidR="00521E1A" w:rsidRPr="00870FB6">
        <w:rPr>
          <w:sz w:val="28"/>
          <w:szCs w:val="28"/>
        </w:rPr>
        <w:t xml:space="preserve"> (103 întreprinderi)</w:t>
      </w:r>
      <w:r w:rsidRPr="00870FB6">
        <w:rPr>
          <w:sz w:val="28"/>
          <w:szCs w:val="28"/>
        </w:rPr>
        <w:t xml:space="preserve"> constituie </w:t>
      </w:r>
      <w:r w:rsidR="007C2BFE" w:rsidRPr="00870FB6">
        <w:rPr>
          <w:sz w:val="28"/>
          <w:szCs w:val="28"/>
        </w:rPr>
        <w:t>6,1</w:t>
      </w:r>
      <w:r w:rsidRPr="00870FB6">
        <w:rPr>
          <w:sz w:val="28"/>
          <w:szCs w:val="28"/>
        </w:rPr>
        <w:t>%, aceasta comunicînd despre faptul că în perioada analizată, întreprinderile respective au ob</w:t>
      </w:r>
      <w:r w:rsidR="000873E3">
        <w:rPr>
          <w:sz w:val="28"/>
          <w:szCs w:val="28"/>
        </w:rPr>
        <w:t>ț</w:t>
      </w:r>
      <w:r w:rsidRPr="00870FB6">
        <w:rPr>
          <w:sz w:val="28"/>
          <w:szCs w:val="28"/>
        </w:rPr>
        <w:t>inut</w:t>
      </w:r>
      <w:r w:rsidR="007C2BFE" w:rsidRPr="00870FB6">
        <w:rPr>
          <w:sz w:val="28"/>
          <w:szCs w:val="28"/>
        </w:rPr>
        <w:t>, per total,</w:t>
      </w:r>
      <w:r w:rsidRPr="00870FB6">
        <w:rPr>
          <w:sz w:val="28"/>
          <w:szCs w:val="28"/>
        </w:rPr>
        <w:t xml:space="preserve"> </w:t>
      </w:r>
      <w:r w:rsidR="007C2BFE" w:rsidRPr="00870FB6">
        <w:rPr>
          <w:sz w:val="28"/>
          <w:szCs w:val="28"/>
        </w:rPr>
        <w:t>6,1</w:t>
      </w:r>
      <w:r w:rsidRPr="00870FB6">
        <w:rPr>
          <w:sz w:val="28"/>
          <w:szCs w:val="28"/>
        </w:rPr>
        <w:t xml:space="preserve"> bani profit net la 1 leu vînzări.</w:t>
      </w:r>
    </w:p>
    <w:p w:rsidR="00FB3AFD" w:rsidRPr="00FB3AFD" w:rsidRDefault="00AC396D" w:rsidP="00FB3AFD">
      <w:pPr>
        <w:spacing w:line="276" w:lineRule="auto"/>
        <w:ind w:firstLine="567"/>
        <w:jc w:val="both"/>
        <w:rPr>
          <w:sz w:val="28"/>
          <w:szCs w:val="28"/>
        </w:rPr>
      </w:pPr>
      <w:r w:rsidRPr="00870FB6">
        <w:rPr>
          <w:sz w:val="28"/>
          <w:szCs w:val="28"/>
        </w:rPr>
        <w:t xml:space="preserve">Din </w:t>
      </w:r>
      <w:r w:rsidR="007C2BFE" w:rsidRPr="00870FB6">
        <w:rPr>
          <w:sz w:val="28"/>
          <w:szCs w:val="28"/>
        </w:rPr>
        <w:t>103 întreprinderi</w:t>
      </w:r>
      <w:r w:rsidRPr="00870FB6">
        <w:rPr>
          <w:sz w:val="28"/>
          <w:szCs w:val="28"/>
        </w:rPr>
        <w:t xml:space="preserve"> de stat </w:t>
      </w:r>
      <w:r w:rsidR="007C2BFE" w:rsidRPr="00870FB6">
        <w:rPr>
          <w:sz w:val="28"/>
          <w:szCs w:val="28"/>
        </w:rPr>
        <w:t>cu profit net</w:t>
      </w:r>
      <w:r w:rsidRPr="00870FB6">
        <w:rPr>
          <w:sz w:val="28"/>
          <w:szCs w:val="28"/>
        </w:rPr>
        <w:t xml:space="preserve">, la </w:t>
      </w:r>
      <w:r w:rsidR="007C2BFE" w:rsidRPr="00870FB6">
        <w:rPr>
          <w:sz w:val="28"/>
          <w:szCs w:val="28"/>
        </w:rPr>
        <w:t>37</w:t>
      </w:r>
      <w:r w:rsidRPr="00870FB6">
        <w:rPr>
          <w:sz w:val="28"/>
          <w:szCs w:val="28"/>
        </w:rPr>
        <w:t xml:space="preserve"> întreprinderi se observă o </w:t>
      </w:r>
      <w:r w:rsidRPr="00870FB6">
        <w:rPr>
          <w:i/>
          <w:sz w:val="28"/>
          <w:szCs w:val="28"/>
        </w:rPr>
        <w:t>diminuare</w:t>
      </w:r>
      <w:r w:rsidRPr="00870FB6">
        <w:rPr>
          <w:sz w:val="28"/>
          <w:szCs w:val="28"/>
        </w:rPr>
        <w:t xml:space="preserve"> cu </w:t>
      </w:r>
      <w:r w:rsidR="007C2BFE" w:rsidRPr="00870FB6">
        <w:rPr>
          <w:sz w:val="28"/>
          <w:szCs w:val="28"/>
        </w:rPr>
        <w:t>circa 17,0</w:t>
      </w:r>
      <w:r w:rsidRPr="00870FB6">
        <w:rPr>
          <w:sz w:val="28"/>
          <w:szCs w:val="28"/>
        </w:rPr>
        <w:t xml:space="preserve"> mil. lei </w:t>
      </w:r>
      <w:r w:rsidRPr="00870FB6">
        <w:rPr>
          <w:i/>
          <w:sz w:val="28"/>
          <w:szCs w:val="28"/>
        </w:rPr>
        <w:t>a profitului net</w:t>
      </w:r>
      <w:r w:rsidRPr="00870FB6">
        <w:rPr>
          <w:sz w:val="28"/>
          <w:szCs w:val="28"/>
        </w:rPr>
        <w:t xml:space="preserve"> comparativ cu anul 201</w:t>
      </w:r>
      <w:r w:rsidR="007C2BFE" w:rsidRPr="00870FB6">
        <w:rPr>
          <w:sz w:val="28"/>
          <w:szCs w:val="28"/>
        </w:rPr>
        <w:t>6</w:t>
      </w:r>
      <w:r w:rsidR="00FB3AFD">
        <w:rPr>
          <w:sz w:val="28"/>
          <w:szCs w:val="28"/>
        </w:rPr>
        <w:t xml:space="preserve">, </w:t>
      </w:r>
      <w:r w:rsidR="00FB3AFD" w:rsidRPr="00FB3AFD">
        <w:rPr>
          <w:sz w:val="28"/>
          <w:szCs w:val="28"/>
        </w:rPr>
        <w:t>cele mai semnificative micşorări fiind înregistrate la:</w:t>
      </w:r>
    </w:p>
    <w:p w:rsidR="00FB3AFD" w:rsidRPr="00FB3AFD" w:rsidRDefault="00FB3AFD" w:rsidP="00FB3AFD">
      <w:pPr>
        <w:spacing w:line="276" w:lineRule="auto"/>
        <w:ind w:firstLine="567"/>
        <w:jc w:val="both"/>
        <w:rPr>
          <w:sz w:val="28"/>
          <w:szCs w:val="28"/>
        </w:rPr>
      </w:pPr>
      <w:r w:rsidRPr="00FB3AFD">
        <w:rPr>
          <w:sz w:val="28"/>
          <w:szCs w:val="28"/>
        </w:rPr>
        <w:t>-</w:t>
      </w:r>
      <w:r w:rsidRPr="00FB3AFD">
        <w:rPr>
          <w:sz w:val="28"/>
          <w:szCs w:val="28"/>
        </w:rPr>
        <w:tab/>
        <w:t>Î.S. Institutul de Geodezie, Prospecțiuni Tehnice și Cadastru „INGEOCAD” – cu 5,2 mil. lei;</w:t>
      </w:r>
    </w:p>
    <w:p w:rsidR="00FB3AFD" w:rsidRPr="00FB3AFD" w:rsidRDefault="00FB3AFD" w:rsidP="00FB3AFD">
      <w:pPr>
        <w:spacing w:line="276" w:lineRule="auto"/>
        <w:ind w:firstLine="567"/>
        <w:jc w:val="both"/>
        <w:rPr>
          <w:sz w:val="28"/>
          <w:szCs w:val="28"/>
        </w:rPr>
      </w:pPr>
      <w:r w:rsidRPr="00FB3AFD">
        <w:rPr>
          <w:sz w:val="28"/>
          <w:szCs w:val="28"/>
        </w:rPr>
        <w:t>-</w:t>
      </w:r>
      <w:r w:rsidRPr="00FB3AFD">
        <w:rPr>
          <w:sz w:val="28"/>
          <w:szCs w:val="28"/>
        </w:rPr>
        <w:tab/>
        <w:t>Î.S. „Poșta Moldovei” – cu 3,4 mil. lei;</w:t>
      </w:r>
    </w:p>
    <w:p w:rsidR="00FB3AFD" w:rsidRPr="00FB3AFD" w:rsidRDefault="00FB3AFD" w:rsidP="00FB3AFD">
      <w:pPr>
        <w:spacing w:line="276" w:lineRule="auto"/>
        <w:ind w:firstLine="567"/>
        <w:jc w:val="both"/>
        <w:rPr>
          <w:sz w:val="28"/>
          <w:szCs w:val="28"/>
        </w:rPr>
      </w:pPr>
      <w:r w:rsidRPr="00FB3AFD">
        <w:rPr>
          <w:sz w:val="28"/>
          <w:szCs w:val="28"/>
        </w:rPr>
        <w:t>-</w:t>
      </w:r>
      <w:r w:rsidRPr="00FB3AFD">
        <w:rPr>
          <w:sz w:val="28"/>
          <w:szCs w:val="28"/>
        </w:rPr>
        <w:tab/>
        <w:t>Î.S. pentru silvicultură „Iargara” – cu 1,6 mil. lei;</w:t>
      </w:r>
    </w:p>
    <w:p w:rsidR="00D25036" w:rsidRDefault="00FB3AFD" w:rsidP="00FB3AFD">
      <w:pPr>
        <w:spacing w:line="276" w:lineRule="auto"/>
        <w:ind w:firstLine="567"/>
        <w:jc w:val="both"/>
        <w:rPr>
          <w:sz w:val="28"/>
          <w:szCs w:val="28"/>
        </w:rPr>
      </w:pPr>
      <w:r w:rsidRPr="00FB3AFD">
        <w:rPr>
          <w:sz w:val="28"/>
          <w:szCs w:val="28"/>
        </w:rPr>
        <w:t>-</w:t>
      </w:r>
      <w:r w:rsidRPr="00FB3AFD">
        <w:rPr>
          <w:sz w:val="28"/>
          <w:szCs w:val="28"/>
        </w:rPr>
        <w:tab/>
        <w:t>Î.S. „Gările și Stațiile Auto” – cu 1,2 mil. lei.</w:t>
      </w:r>
    </w:p>
    <w:p w:rsidR="00D25036" w:rsidRPr="00870FB6" w:rsidRDefault="00521E1A" w:rsidP="002F3FC3">
      <w:pPr>
        <w:spacing w:line="276" w:lineRule="auto"/>
        <w:ind w:firstLine="567"/>
        <w:jc w:val="both"/>
        <w:rPr>
          <w:sz w:val="28"/>
          <w:szCs w:val="28"/>
        </w:rPr>
      </w:pPr>
      <w:r w:rsidRPr="00870FB6">
        <w:rPr>
          <w:sz w:val="28"/>
          <w:szCs w:val="28"/>
        </w:rPr>
        <w:t xml:space="preserve">Concomitent, </w:t>
      </w:r>
      <w:r w:rsidR="00AC396D" w:rsidRPr="00870FB6">
        <w:rPr>
          <w:sz w:val="28"/>
          <w:szCs w:val="28"/>
        </w:rPr>
        <w:t>d</w:t>
      </w:r>
      <w:r w:rsidR="00F33AF7" w:rsidRPr="00870FB6">
        <w:rPr>
          <w:sz w:val="28"/>
          <w:szCs w:val="28"/>
        </w:rPr>
        <w:t>in numărul total al întreprinderilor de stat ce au ob</w:t>
      </w:r>
      <w:r w:rsidR="000873E3">
        <w:rPr>
          <w:sz w:val="28"/>
          <w:szCs w:val="28"/>
        </w:rPr>
        <w:t>ț</w:t>
      </w:r>
      <w:r w:rsidR="00F33AF7" w:rsidRPr="00870FB6">
        <w:rPr>
          <w:sz w:val="28"/>
          <w:szCs w:val="28"/>
        </w:rPr>
        <w:t>inut p</w:t>
      </w:r>
      <w:r w:rsidR="000D4572" w:rsidRPr="00870FB6">
        <w:rPr>
          <w:sz w:val="28"/>
          <w:szCs w:val="28"/>
        </w:rPr>
        <w:t>ierderi nete</w:t>
      </w:r>
      <w:r w:rsidR="00043C6E" w:rsidRPr="00870FB6">
        <w:rPr>
          <w:sz w:val="28"/>
          <w:szCs w:val="28"/>
        </w:rPr>
        <w:t xml:space="preserve"> (62 întreprinderi)</w:t>
      </w:r>
      <w:r w:rsidR="000D4572" w:rsidRPr="00870FB6">
        <w:rPr>
          <w:sz w:val="28"/>
          <w:szCs w:val="28"/>
        </w:rPr>
        <w:t xml:space="preserve">, </w:t>
      </w:r>
      <w:r w:rsidR="00247FE6" w:rsidRPr="00870FB6">
        <w:rPr>
          <w:sz w:val="28"/>
          <w:szCs w:val="28"/>
        </w:rPr>
        <w:t>20</w:t>
      </w:r>
      <w:r w:rsidR="00F33AF7" w:rsidRPr="00870FB6">
        <w:rPr>
          <w:sz w:val="28"/>
          <w:szCs w:val="28"/>
        </w:rPr>
        <w:t xml:space="preserve"> întreprinderi </w:t>
      </w:r>
      <w:r w:rsidR="00F35CEB" w:rsidRPr="00870FB6">
        <w:rPr>
          <w:sz w:val="28"/>
          <w:szCs w:val="28"/>
        </w:rPr>
        <w:t>(</w:t>
      </w:r>
      <w:r w:rsidR="001B67ED" w:rsidRPr="00870FB6">
        <w:rPr>
          <w:sz w:val="28"/>
          <w:szCs w:val="28"/>
        </w:rPr>
        <w:t xml:space="preserve">sau </w:t>
      </w:r>
      <w:r w:rsidR="00D25036" w:rsidRPr="00870FB6">
        <w:rPr>
          <w:sz w:val="28"/>
          <w:szCs w:val="28"/>
        </w:rPr>
        <w:t>32,3</w:t>
      </w:r>
      <w:r w:rsidR="00F33AF7" w:rsidRPr="00870FB6">
        <w:rPr>
          <w:sz w:val="28"/>
          <w:szCs w:val="28"/>
        </w:rPr>
        <w:t>% din numărul total al întreprinderilor</w:t>
      </w:r>
      <w:r w:rsidR="006D0D8F" w:rsidRPr="00870FB6">
        <w:rPr>
          <w:sz w:val="28"/>
          <w:szCs w:val="28"/>
        </w:rPr>
        <w:t xml:space="preserve"> cu pierderi</w:t>
      </w:r>
      <w:r w:rsidR="00F35CEB" w:rsidRPr="00870FB6">
        <w:rPr>
          <w:sz w:val="28"/>
          <w:szCs w:val="28"/>
        </w:rPr>
        <w:t>)</w:t>
      </w:r>
      <w:r w:rsidR="00F33AF7" w:rsidRPr="00870FB6">
        <w:rPr>
          <w:sz w:val="28"/>
          <w:szCs w:val="28"/>
        </w:rPr>
        <w:t xml:space="preserve"> au înregistrat </w:t>
      </w:r>
      <w:r w:rsidR="00F33AF7" w:rsidRPr="00870FB6">
        <w:rPr>
          <w:i/>
          <w:sz w:val="28"/>
          <w:szCs w:val="28"/>
        </w:rPr>
        <w:t>pierderi nete mai mari de 1 milion lei</w:t>
      </w:r>
      <w:r w:rsidR="00F33AF7" w:rsidRPr="00870FB6">
        <w:rPr>
          <w:sz w:val="28"/>
          <w:szCs w:val="28"/>
        </w:rPr>
        <w:t>, cele ma</w:t>
      </w:r>
      <w:r w:rsidR="004C0161" w:rsidRPr="00870FB6">
        <w:rPr>
          <w:sz w:val="28"/>
          <w:szCs w:val="28"/>
        </w:rPr>
        <w:t>i mari pierderi fiind ob</w:t>
      </w:r>
      <w:r w:rsidR="000873E3">
        <w:rPr>
          <w:sz w:val="28"/>
          <w:szCs w:val="28"/>
        </w:rPr>
        <w:t>ț</w:t>
      </w:r>
      <w:r w:rsidR="004C0161" w:rsidRPr="00870FB6">
        <w:rPr>
          <w:sz w:val="28"/>
          <w:szCs w:val="28"/>
        </w:rPr>
        <w:t>inute de</w:t>
      </w:r>
      <w:r w:rsidR="00F33AF7" w:rsidRPr="00870FB6">
        <w:rPr>
          <w:sz w:val="28"/>
          <w:szCs w:val="28"/>
        </w:rPr>
        <w:t xml:space="preserve">: </w:t>
      </w:r>
      <w:r w:rsidR="00D25036" w:rsidRPr="00870FB6">
        <w:rPr>
          <w:sz w:val="28"/>
          <w:szCs w:val="28"/>
        </w:rPr>
        <w:t>Î.S. Compania Aeriană „Air Moldova” – 190,4 mil. lei;</w:t>
      </w:r>
      <w:r w:rsidR="002F3FC3">
        <w:rPr>
          <w:sz w:val="28"/>
          <w:szCs w:val="28"/>
        </w:rPr>
        <w:t xml:space="preserve"> </w:t>
      </w:r>
      <w:r w:rsidR="00D25036" w:rsidRPr="00870FB6">
        <w:rPr>
          <w:sz w:val="28"/>
          <w:szCs w:val="28"/>
        </w:rPr>
        <w:t xml:space="preserve">Î.S. „VestMoldTransGaz” – </w:t>
      </w:r>
      <w:r w:rsidR="000F19E7" w:rsidRPr="00870FB6">
        <w:rPr>
          <w:sz w:val="28"/>
          <w:szCs w:val="28"/>
        </w:rPr>
        <w:t>26,0</w:t>
      </w:r>
      <w:r w:rsidR="00D25036" w:rsidRPr="00870FB6">
        <w:rPr>
          <w:sz w:val="28"/>
          <w:szCs w:val="28"/>
        </w:rPr>
        <w:t xml:space="preserve"> mil. lei;</w:t>
      </w:r>
      <w:r w:rsidR="002F3FC3">
        <w:rPr>
          <w:sz w:val="28"/>
          <w:szCs w:val="28"/>
        </w:rPr>
        <w:t xml:space="preserve"> </w:t>
      </w:r>
      <w:r w:rsidR="000F19E7" w:rsidRPr="00870FB6">
        <w:rPr>
          <w:sz w:val="28"/>
          <w:szCs w:val="28"/>
        </w:rPr>
        <w:t>Î.S. „Fabrica de Sticlă din Chişinău” – 19,7 mil. lei;</w:t>
      </w:r>
      <w:r w:rsidR="002F3FC3">
        <w:rPr>
          <w:sz w:val="28"/>
          <w:szCs w:val="28"/>
        </w:rPr>
        <w:t xml:space="preserve"> </w:t>
      </w:r>
      <w:r w:rsidR="000F19E7" w:rsidRPr="00870FB6">
        <w:rPr>
          <w:sz w:val="28"/>
          <w:szCs w:val="28"/>
        </w:rPr>
        <w:t>Î.S. „Colegiul Na</w:t>
      </w:r>
      <w:r w:rsidR="000873E3">
        <w:rPr>
          <w:sz w:val="28"/>
          <w:szCs w:val="28"/>
        </w:rPr>
        <w:t>ț</w:t>
      </w:r>
      <w:r w:rsidR="000F19E7" w:rsidRPr="00870FB6">
        <w:rPr>
          <w:sz w:val="28"/>
          <w:szCs w:val="28"/>
        </w:rPr>
        <w:t>ional de Viticultură și Vinifica</w:t>
      </w:r>
      <w:r w:rsidR="000873E3">
        <w:rPr>
          <w:sz w:val="28"/>
          <w:szCs w:val="28"/>
        </w:rPr>
        <w:t>ț</w:t>
      </w:r>
      <w:r w:rsidR="000F19E7" w:rsidRPr="00870FB6">
        <w:rPr>
          <w:sz w:val="28"/>
          <w:szCs w:val="28"/>
        </w:rPr>
        <w:t xml:space="preserve">ie din </w:t>
      </w:r>
      <w:r w:rsidR="00043C6E" w:rsidRPr="00870FB6">
        <w:rPr>
          <w:sz w:val="28"/>
          <w:szCs w:val="28"/>
        </w:rPr>
        <w:t>Chișinău</w:t>
      </w:r>
      <w:r w:rsidR="000F19E7" w:rsidRPr="00870FB6">
        <w:rPr>
          <w:sz w:val="28"/>
          <w:szCs w:val="28"/>
        </w:rPr>
        <w:t>” – 18,9 mil. lei.</w:t>
      </w:r>
    </w:p>
    <w:p w:rsidR="00914FE0" w:rsidRPr="00870FB6" w:rsidRDefault="00043C6E" w:rsidP="00914FE0">
      <w:pPr>
        <w:spacing w:line="276" w:lineRule="auto"/>
        <w:ind w:firstLine="567"/>
        <w:jc w:val="both"/>
        <w:rPr>
          <w:sz w:val="28"/>
          <w:szCs w:val="28"/>
        </w:rPr>
      </w:pPr>
      <w:r w:rsidRPr="00870FB6">
        <w:rPr>
          <w:sz w:val="28"/>
          <w:szCs w:val="28"/>
        </w:rPr>
        <w:t>La fel</w:t>
      </w:r>
      <w:r w:rsidR="00E5507B" w:rsidRPr="00870FB6">
        <w:rPr>
          <w:sz w:val="28"/>
          <w:szCs w:val="28"/>
        </w:rPr>
        <w:t>, s-a constatat că</w:t>
      </w:r>
      <w:r w:rsidR="000F19E7" w:rsidRPr="00870FB6">
        <w:rPr>
          <w:sz w:val="28"/>
          <w:szCs w:val="28"/>
        </w:rPr>
        <w:t xml:space="preserve"> 20</w:t>
      </w:r>
      <w:r w:rsidR="00914FE0" w:rsidRPr="00870FB6">
        <w:rPr>
          <w:sz w:val="28"/>
          <w:szCs w:val="28"/>
        </w:rPr>
        <w:t xml:space="preserve"> întreprinderi de stat, care în anul 201</w:t>
      </w:r>
      <w:r w:rsidR="000F19E7" w:rsidRPr="00870FB6">
        <w:rPr>
          <w:sz w:val="28"/>
          <w:szCs w:val="28"/>
        </w:rPr>
        <w:t>6</w:t>
      </w:r>
      <w:r w:rsidR="00914FE0" w:rsidRPr="00870FB6">
        <w:rPr>
          <w:sz w:val="28"/>
          <w:szCs w:val="28"/>
        </w:rPr>
        <w:t xml:space="preserve"> au înr</w:t>
      </w:r>
      <w:r w:rsidR="00E5507B" w:rsidRPr="00870FB6">
        <w:rPr>
          <w:sz w:val="28"/>
          <w:szCs w:val="28"/>
        </w:rPr>
        <w:t xml:space="preserve">egistrat profit în mărime </w:t>
      </w:r>
      <w:r w:rsidR="002E5EA7" w:rsidRPr="00870FB6">
        <w:rPr>
          <w:sz w:val="28"/>
          <w:szCs w:val="28"/>
        </w:rPr>
        <w:t xml:space="preserve">totală </w:t>
      </w:r>
      <w:r w:rsidR="00E5507B" w:rsidRPr="00870FB6">
        <w:rPr>
          <w:sz w:val="28"/>
          <w:szCs w:val="28"/>
        </w:rPr>
        <w:t xml:space="preserve">de </w:t>
      </w:r>
      <w:r w:rsidR="002E5EA7" w:rsidRPr="00870FB6">
        <w:rPr>
          <w:sz w:val="28"/>
          <w:szCs w:val="28"/>
        </w:rPr>
        <w:t>18,0</w:t>
      </w:r>
      <w:r w:rsidR="00914FE0" w:rsidRPr="00870FB6">
        <w:rPr>
          <w:sz w:val="28"/>
          <w:szCs w:val="28"/>
        </w:rPr>
        <w:t xml:space="preserve"> mil. lei, în anul 201</w:t>
      </w:r>
      <w:r w:rsidR="002E5EA7" w:rsidRPr="00870FB6">
        <w:rPr>
          <w:sz w:val="28"/>
          <w:szCs w:val="28"/>
        </w:rPr>
        <w:t>7</w:t>
      </w:r>
      <w:r w:rsidR="00914FE0" w:rsidRPr="00870FB6">
        <w:rPr>
          <w:sz w:val="28"/>
          <w:szCs w:val="28"/>
        </w:rPr>
        <w:t xml:space="preserve"> au ob</w:t>
      </w:r>
      <w:r w:rsidR="000873E3">
        <w:rPr>
          <w:sz w:val="28"/>
          <w:szCs w:val="28"/>
        </w:rPr>
        <w:t>ț</w:t>
      </w:r>
      <w:r w:rsidR="00914FE0" w:rsidRPr="00870FB6">
        <w:rPr>
          <w:sz w:val="28"/>
          <w:szCs w:val="28"/>
        </w:rPr>
        <w:t>inu</w:t>
      </w:r>
      <w:r w:rsidR="008B2DD1" w:rsidRPr="00870FB6">
        <w:rPr>
          <w:sz w:val="28"/>
          <w:szCs w:val="28"/>
        </w:rPr>
        <w:t xml:space="preserve">t pierderi nete în mărime de </w:t>
      </w:r>
      <w:r w:rsidR="002E5EA7" w:rsidRPr="00870FB6">
        <w:rPr>
          <w:sz w:val="28"/>
          <w:szCs w:val="28"/>
        </w:rPr>
        <w:t>206,1</w:t>
      </w:r>
      <w:r w:rsidR="00914FE0" w:rsidRPr="00870FB6">
        <w:rPr>
          <w:sz w:val="28"/>
          <w:szCs w:val="28"/>
        </w:rPr>
        <w:t xml:space="preserve"> mil. lei, cele mai mari decalaje fiind reflectate în tabelul </w:t>
      </w:r>
      <w:r w:rsidR="00FB3AFD">
        <w:rPr>
          <w:sz w:val="28"/>
          <w:szCs w:val="28"/>
        </w:rPr>
        <w:t>6</w:t>
      </w:r>
      <w:r w:rsidR="00914FE0" w:rsidRPr="00870FB6">
        <w:rPr>
          <w:sz w:val="28"/>
          <w:szCs w:val="28"/>
        </w:rPr>
        <w:t>.</w:t>
      </w:r>
    </w:p>
    <w:p w:rsidR="00914FE0" w:rsidRPr="00870FB6" w:rsidRDefault="00914FE0" w:rsidP="00914FE0">
      <w:pPr>
        <w:spacing w:line="360" w:lineRule="auto"/>
        <w:ind w:firstLine="567"/>
        <w:jc w:val="right"/>
        <w:rPr>
          <w:sz w:val="20"/>
          <w:szCs w:val="20"/>
        </w:rPr>
      </w:pPr>
      <w:r w:rsidRPr="00870FB6">
        <w:rPr>
          <w:sz w:val="20"/>
          <w:szCs w:val="20"/>
        </w:rPr>
        <w:t xml:space="preserve">Tabelul </w:t>
      </w:r>
      <w:r w:rsidR="00924587">
        <w:rPr>
          <w:sz w:val="20"/>
          <w:szCs w:val="20"/>
        </w:rPr>
        <w:t>6</w:t>
      </w:r>
      <w:r w:rsidR="00FB3AFD">
        <w:rPr>
          <w:sz w:val="20"/>
          <w:szCs w:val="20"/>
        </w:rPr>
        <w:t>.</w:t>
      </w:r>
    </w:p>
    <w:p w:rsidR="00914FE0" w:rsidRPr="00FB3AFD" w:rsidRDefault="00914FE0" w:rsidP="00165D18">
      <w:pPr>
        <w:ind w:firstLine="567"/>
        <w:jc w:val="center"/>
        <w:rPr>
          <w:b/>
          <w:i/>
          <w:sz w:val="20"/>
          <w:szCs w:val="20"/>
        </w:rPr>
      </w:pPr>
      <w:r w:rsidRPr="00FB3AFD">
        <w:rPr>
          <w:b/>
          <w:i/>
          <w:sz w:val="20"/>
          <w:szCs w:val="20"/>
        </w:rPr>
        <w:t>Întreprinderile de stat cu cel mai mare decalaj între profitul net înregistrat în anul 201</w:t>
      </w:r>
      <w:r w:rsidR="002E5EA7" w:rsidRPr="00FB3AFD">
        <w:rPr>
          <w:b/>
          <w:i/>
          <w:sz w:val="20"/>
          <w:szCs w:val="20"/>
        </w:rPr>
        <w:t>6</w:t>
      </w:r>
      <w:r w:rsidRPr="00FB3AFD">
        <w:rPr>
          <w:b/>
          <w:i/>
          <w:sz w:val="20"/>
          <w:szCs w:val="20"/>
        </w:rPr>
        <w:t xml:space="preserve"> </w:t>
      </w:r>
    </w:p>
    <w:p w:rsidR="00AA0121" w:rsidRPr="00FB3AFD" w:rsidRDefault="00914FE0" w:rsidP="002E5EA7">
      <w:pPr>
        <w:ind w:firstLine="567"/>
        <w:jc w:val="center"/>
        <w:rPr>
          <w:b/>
          <w:i/>
          <w:sz w:val="20"/>
          <w:szCs w:val="20"/>
        </w:rPr>
      </w:pPr>
      <w:r w:rsidRPr="00FB3AFD">
        <w:rPr>
          <w:b/>
          <w:i/>
          <w:sz w:val="20"/>
          <w:szCs w:val="20"/>
        </w:rPr>
        <w:lastRenderedPageBreak/>
        <w:t>şi pierderea netă aferentă anului 201</w:t>
      </w:r>
      <w:r w:rsidR="002E5EA7" w:rsidRPr="00FB3AFD">
        <w:rPr>
          <w:b/>
          <w:i/>
          <w:sz w:val="20"/>
          <w:szCs w:val="20"/>
        </w:rPr>
        <w:t>7</w:t>
      </w:r>
      <w:r w:rsidR="00AA0121" w:rsidRPr="00FB3AFD">
        <w:rPr>
          <w:b/>
          <w:i/>
          <w:sz w:val="20"/>
          <w:szCs w:val="20"/>
        </w:rPr>
        <w:t>, mil.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95"/>
        <w:gridCol w:w="1276"/>
        <w:gridCol w:w="1559"/>
        <w:gridCol w:w="1275"/>
      </w:tblGrid>
      <w:tr w:rsidR="00D060C9" w:rsidRPr="00870FB6" w:rsidTr="00521E1A">
        <w:trPr>
          <w:tblHeader/>
          <w:jc w:val="center"/>
        </w:trPr>
        <w:tc>
          <w:tcPr>
            <w:tcW w:w="675" w:type="dxa"/>
            <w:shd w:val="clear" w:color="auto" w:fill="auto"/>
            <w:vAlign w:val="center"/>
          </w:tcPr>
          <w:p w:rsidR="00914FE0" w:rsidRPr="00870FB6" w:rsidRDefault="00914FE0" w:rsidP="00B30BD2">
            <w:pPr>
              <w:jc w:val="center"/>
              <w:rPr>
                <w:b/>
                <w:i/>
                <w:iCs/>
                <w:sz w:val="20"/>
                <w:szCs w:val="20"/>
              </w:rPr>
            </w:pPr>
            <w:r w:rsidRPr="00870FB6">
              <w:rPr>
                <w:b/>
                <w:i/>
                <w:iCs/>
                <w:sz w:val="20"/>
                <w:szCs w:val="20"/>
              </w:rPr>
              <w:t>Nr.</w:t>
            </w:r>
            <w:r w:rsidR="008A2B6D" w:rsidRPr="00870FB6">
              <w:rPr>
                <w:b/>
                <w:i/>
                <w:iCs/>
                <w:sz w:val="20"/>
                <w:szCs w:val="20"/>
              </w:rPr>
              <w:t xml:space="preserve"> d/o</w:t>
            </w:r>
          </w:p>
        </w:tc>
        <w:tc>
          <w:tcPr>
            <w:tcW w:w="4695" w:type="dxa"/>
            <w:shd w:val="clear" w:color="auto" w:fill="auto"/>
            <w:vAlign w:val="center"/>
          </w:tcPr>
          <w:p w:rsidR="00914FE0" w:rsidRPr="00870FB6" w:rsidRDefault="00914FE0" w:rsidP="00B30BD2">
            <w:pPr>
              <w:jc w:val="center"/>
              <w:rPr>
                <w:b/>
                <w:i/>
                <w:iCs/>
                <w:sz w:val="20"/>
                <w:szCs w:val="20"/>
              </w:rPr>
            </w:pPr>
            <w:r w:rsidRPr="00870FB6">
              <w:rPr>
                <w:b/>
                <w:i/>
                <w:iCs/>
                <w:sz w:val="20"/>
                <w:szCs w:val="20"/>
              </w:rPr>
              <w:t>Denumirea întreprinderii</w:t>
            </w:r>
          </w:p>
        </w:tc>
        <w:tc>
          <w:tcPr>
            <w:tcW w:w="1276" w:type="dxa"/>
            <w:shd w:val="clear" w:color="auto" w:fill="auto"/>
          </w:tcPr>
          <w:p w:rsidR="00914FE0" w:rsidRPr="00870FB6" w:rsidRDefault="00914FE0" w:rsidP="00B30BD2">
            <w:pPr>
              <w:jc w:val="center"/>
              <w:rPr>
                <w:b/>
                <w:i/>
                <w:iCs/>
                <w:sz w:val="20"/>
                <w:szCs w:val="20"/>
              </w:rPr>
            </w:pPr>
            <w:r w:rsidRPr="00870FB6">
              <w:rPr>
                <w:b/>
                <w:i/>
                <w:iCs/>
                <w:sz w:val="20"/>
                <w:szCs w:val="20"/>
              </w:rPr>
              <w:t xml:space="preserve">Profit net, </w:t>
            </w:r>
          </w:p>
          <w:p w:rsidR="00914FE0" w:rsidRPr="00870FB6" w:rsidRDefault="00914FE0" w:rsidP="00B30BD2">
            <w:pPr>
              <w:jc w:val="center"/>
              <w:rPr>
                <w:b/>
                <w:i/>
                <w:iCs/>
                <w:sz w:val="20"/>
                <w:szCs w:val="20"/>
              </w:rPr>
            </w:pPr>
            <w:r w:rsidRPr="00870FB6">
              <w:rPr>
                <w:b/>
                <w:i/>
                <w:iCs/>
                <w:sz w:val="20"/>
                <w:szCs w:val="20"/>
              </w:rPr>
              <w:t>anul 201</w:t>
            </w:r>
            <w:r w:rsidR="002E5EA7" w:rsidRPr="00870FB6">
              <w:rPr>
                <w:b/>
                <w:i/>
                <w:iCs/>
                <w:sz w:val="20"/>
                <w:szCs w:val="20"/>
              </w:rPr>
              <w:t>6</w:t>
            </w:r>
          </w:p>
        </w:tc>
        <w:tc>
          <w:tcPr>
            <w:tcW w:w="1559" w:type="dxa"/>
            <w:shd w:val="clear" w:color="auto" w:fill="auto"/>
          </w:tcPr>
          <w:p w:rsidR="00914FE0" w:rsidRPr="00870FB6" w:rsidRDefault="00914FE0" w:rsidP="00B30BD2">
            <w:pPr>
              <w:jc w:val="center"/>
              <w:rPr>
                <w:b/>
                <w:i/>
                <w:iCs/>
                <w:sz w:val="20"/>
                <w:szCs w:val="20"/>
              </w:rPr>
            </w:pPr>
            <w:r w:rsidRPr="00870FB6">
              <w:rPr>
                <w:b/>
                <w:i/>
                <w:iCs/>
                <w:sz w:val="20"/>
                <w:szCs w:val="20"/>
              </w:rPr>
              <w:t xml:space="preserve">Pierdere netă, </w:t>
            </w:r>
          </w:p>
          <w:p w:rsidR="00914FE0" w:rsidRPr="00870FB6" w:rsidRDefault="00914FE0" w:rsidP="00B30BD2">
            <w:pPr>
              <w:jc w:val="center"/>
              <w:rPr>
                <w:b/>
                <w:i/>
                <w:iCs/>
                <w:sz w:val="20"/>
                <w:szCs w:val="20"/>
              </w:rPr>
            </w:pPr>
            <w:r w:rsidRPr="00870FB6">
              <w:rPr>
                <w:b/>
                <w:i/>
                <w:iCs/>
                <w:sz w:val="20"/>
                <w:szCs w:val="20"/>
              </w:rPr>
              <w:t>anul 201</w:t>
            </w:r>
            <w:r w:rsidR="002E5EA7" w:rsidRPr="00870FB6">
              <w:rPr>
                <w:b/>
                <w:i/>
                <w:iCs/>
                <w:sz w:val="20"/>
                <w:szCs w:val="20"/>
              </w:rPr>
              <w:t>7</w:t>
            </w:r>
          </w:p>
        </w:tc>
        <w:tc>
          <w:tcPr>
            <w:tcW w:w="1275" w:type="dxa"/>
            <w:shd w:val="clear" w:color="auto" w:fill="auto"/>
            <w:vAlign w:val="center"/>
          </w:tcPr>
          <w:p w:rsidR="00914FE0" w:rsidRPr="00870FB6" w:rsidRDefault="00D060C9" w:rsidP="00B30BD2">
            <w:pPr>
              <w:jc w:val="center"/>
              <w:rPr>
                <w:b/>
                <w:i/>
                <w:iCs/>
                <w:sz w:val="20"/>
                <w:szCs w:val="20"/>
              </w:rPr>
            </w:pPr>
            <w:r w:rsidRPr="00870FB6">
              <w:rPr>
                <w:b/>
                <w:i/>
                <w:iCs/>
                <w:sz w:val="20"/>
                <w:szCs w:val="20"/>
              </w:rPr>
              <w:t>Diferen</w:t>
            </w:r>
            <w:r w:rsidR="000873E3">
              <w:rPr>
                <w:b/>
                <w:i/>
                <w:iCs/>
                <w:sz w:val="20"/>
                <w:szCs w:val="20"/>
              </w:rPr>
              <w:t>ț</w:t>
            </w:r>
            <w:r w:rsidRPr="00870FB6">
              <w:rPr>
                <w:b/>
                <w:i/>
                <w:iCs/>
                <w:sz w:val="20"/>
                <w:szCs w:val="20"/>
              </w:rPr>
              <w:t>a</w:t>
            </w:r>
          </w:p>
        </w:tc>
      </w:tr>
      <w:tr w:rsidR="00D060C9" w:rsidRPr="00870FB6" w:rsidTr="00521E1A">
        <w:trPr>
          <w:trHeight w:val="229"/>
          <w:jc w:val="center"/>
        </w:trPr>
        <w:tc>
          <w:tcPr>
            <w:tcW w:w="675" w:type="dxa"/>
            <w:shd w:val="clear" w:color="auto" w:fill="auto"/>
          </w:tcPr>
          <w:p w:rsidR="008D729B" w:rsidRPr="00870FB6" w:rsidRDefault="00914FE0" w:rsidP="00B30BD2">
            <w:pPr>
              <w:jc w:val="center"/>
              <w:rPr>
                <w:sz w:val="20"/>
                <w:szCs w:val="20"/>
              </w:rPr>
            </w:pPr>
            <w:r w:rsidRPr="00870FB6">
              <w:rPr>
                <w:sz w:val="20"/>
                <w:szCs w:val="20"/>
              </w:rPr>
              <w:t>1.</w:t>
            </w:r>
          </w:p>
        </w:tc>
        <w:tc>
          <w:tcPr>
            <w:tcW w:w="4695" w:type="dxa"/>
            <w:shd w:val="clear" w:color="auto" w:fill="auto"/>
          </w:tcPr>
          <w:p w:rsidR="008D729B" w:rsidRPr="00870FB6" w:rsidRDefault="00914FE0" w:rsidP="00B30BD2">
            <w:pPr>
              <w:rPr>
                <w:sz w:val="20"/>
                <w:szCs w:val="20"/>
              </w:rPr>
            </w:pPr>
            <w:r w:rsidRPr="00870FB6">
              <w:rPr>
                <w:sz w:val="20"/>
                <w:szCs w:val="20"/>
              </w:rPr>
              <w:t xml:space="preserve">Î.S. </w:t>
            </w:r>
            <w:r w:rsidR="002E5EA7" w:rsidRPr="00870FB6">
              <w:rPr>
                <w:sz w:val="20"/>
                <w:szCs w:val="20"/>
              </w:rPr>
              <w:t xml:space="preserve">Compania Aeriană </w:t>
            </w:r>
            <w:r w:rsidR="008D729B" w:rsidRPr="00870FB6">
              <w:rPr>
                <w:sz w:val="20"/>
                <w:szCs w:val="20"/>
              </w:rPr>
              <w:t>„</w:t>
            </w:r>
            <w:r w:rsidR="002E5EA7" w:rsidRPr="00870FB6">
              <w:rPr>
                <w:sz w:val="20"/>
                <w:szCs w:val="20"/>
              </w:rPr>
              <w:t>Air Moldova</w:t>
            </w:r>
            <w:r w:rsidR="008D729B" w:rsidRPr="00870FB6">
              <w:rPr>
                <w:sz w:val="20"/>
                <w:szCs w:val="20"/>
              </w:rPr>
              <w:t>”</w:t>
            </w:r>
          </w:p>
        </w:tc>
        <w:tc>
          <w:tcPr>
            <w:tcW w:w="1276" w:type="dxa"/>
            <w:shd w:val="clear" w:color="auto" w:fill="auto"/>
          </w:tcPr>
          <w:p w:rsidR="008D729B" w:rsidRPr="00870FB6" w:rsidRDefault="002E5EA7" w:rsidP="00B30BD2">
            <w:pPr>
              <w:jc w:val="center"/>
              <w:rPr>
                <w:sz w:val="20"/>
                <w:szCs w:val="20"/>
              </w:rPr>
            </w:pPr>
            <w:r w:rsidRPr="00870FB6">
              <w:rPr>
                <w:sz w:val="20"/>
                <w:szCs w:val="20"/>
              </w:rPr>
              <w:t>8,6</w:t>
            </w:r>
          </w:p>
        </w:tc>
        <w:tc>
          <w:tcPr>
            <w:tcW w:w="1559" w:type="dxa"/>
            <w:shd w:val="clear" w:color="auto" w:fill="auto"/>
          </w:tcPr>
          <w:p w:rsidR="008D729B" w:rsidRPr="00870FB6" w:rsidRDefault="002E5EA7" w:rsidP="00B30BD2">
            <w:pPr>
              <w:jc w:val="center"/>
              <w:rPr>
                <w:sz w:val="20"/>
                <w:szCs w:val="20"/>
              </w:rPr>
            </w:pPr>
            <w:r w:rsidRPr="00870FB6">
              <w:rPr>
                <w:sz w:val="20"/>
                <w:szCs w:val="20"/>
              </w:rPr>
              <w:t>190,4</w:t>
            </w:r>
          </w:p>
        </w:tc>
        <w:tc>
          <w:tcPr>
            <w:tcW w:w="1275" w:type="dxa"/>
            <w:shd w:val="clear" w:color="auto" w:fill="auto"/>
          </w:tcPr>
          <w:p w:rsidR="008D729B" w:rsidRPr="00870FB6" w:rsidRDefault="002E5EA7" w:rsidP="00B30BD2">
            <w:pPr>
              <w:jc w:val="center"/>
              <w:rPr>
                <w:sz w:val="20"/>
                <w:szCs w:val="20"/>
              </w:rPr>
            </w:pPr>
            <w:r w:rsidRPr="00870FB6">
              <w:rPr>
                <w:sz w:val="20"/>
                <w:szCs w:val="20"/>
              </w:rPr>
              <w:t>-199,0</w:t>
            </w:r>
          </w:p>
        </w:tc>
      </w:tr>
      <w:tr w:rsidR="002E5EA7" w:rsidRPr="00870FB6" w:rsidTr="00521E1A">
        <w:trPr>
          <w:jc w:val="center"/>
        </w:trPr>
        <w:tc>
          <w:tcPr>
            <w:tcW w:w="675" w:type="dxa"/>
            <w:shd w:val="clear" w:color="auto" w:fill="auto"/>
          </w:tcPr>
          <w:p w:rsidR="002E5EA7" w:rsidRPr="00870FB6" w:rsidRDefault="00D060C9" w:rsidP="00B30BD2">
            <w:pPr>
              <w:jc w:val="center"/>
              <w:rPr>
                <w:sz w:val="20"/>
                <w:szCs w:val="20"/>
              </w:rPr>
            </w:pPr>
            <w:r w:rsidRPr="00870FB6">
              <w:rPr>
                <w:sz w:val="20"/>
                <w:szCs w:val="20"/>
              </w:rPr>
              <w:t>2.</w:t>
            </w:r>
          </w:p>
        </w:tc>
        <w:tc>
          <w:tcPr>
            <w:tcW w:w="4695" w:type="dxa"/>
            <w:shd w:val="clear" w:color="auto" w:fill="auto"/>
          </w:tcPr>
          <w:p w:rsidR="002E5EA7" w:rsidRPr="00870FB6" w:rsidRDefault="00D060C9" w:rsidP="00B30BD2">
            <w:pPr>
              <w:rPr>
                <w:sz w:val="20"/>
                <w:szCs w:val="20"/>
              </w:rPr>
            </w:pPr>
            <w:r w:rsidRPr="00870FB6">
              <w:rPr>
                <w:sz w:val="20"/>
                <w:szCs w:val="20"/>
              </w:rPr>
              <w:t>Î.S. „Combinatul de vinuri de calitate „Mileștii Mici”</w:t>
            </w:r>
          </w:p>
        </w:tc>
        <w:tc>
          <w:tcPr>
            <w:tcW w:w="1276" w:type="dxa"/>
            <w:shd w:val="clear" w:color="auto" w:fill="auto"/>
          </w:tcPr>
          <w:p w:rsidR="002E5EA7" w:rsidRPr="00870FB6" w:rsidRDefault="00D060C9" w:rsidP="00B30BD2">
            <w:pPr>
              <w:jc w:val="center"/>
              <w:rPr>
                <w:sz w:val="20"/>
                <w:szCs w:val="20"/>
              </w:rPr>
            </w:pPr>
            <w:r w:rsidRPr="00870FB6">
              <w:rPr>
                <w:sz w:val="20"/>
                <w:szCs w:val="20"/>
              </w:rPr>
              <w:t>4,4</w:t>
            </w:r>
          </w:p>
        </w:tc>
        <w:tc>
          <w:tcPr>
            <w:tcW w:w="1559" w:type="dxa"/>
            <w:shd w:val="clear" w:color="auto" w:fill="auto"/>
          </w:tcPr>
          <w:p w:rsidR="002E5EA7" w:rsidRPr="00870FB6" w:rsidRDefault="00D060C9" w:rsidP="00B30BD2">
            <w:pPr>
              <w:jc w:val="center"/>
              <w:rPr>
                <w:sz w:val="20"/>
                <w:szCs w:val="20"/>
              </w:rPr>
            </w:pPr>
            <w:r w:rsidRPr="00870FB6">
              <w:rPr>
                <w:sz w:val="20"/>
                <w:szCs w:val="20"/>
              </w:rPr>
              <w:t>2,4</w:t>
            </w:r>
          </w:p>
        </w:tc>
        <w:tc>
          <w:tcPr>
            <w:tcW w:w="1275" w:type="dxa"/>
            <w:shd w:val="clear" w:color="auto" w:fill="auto"/>
          </w:tcPr>
          <w:p w:rsidR="002E5EA7" w:rsidRPr="00870FB6" w:rsidRDefault="00D060C9" w:rsidP="00B30BD2">
            <w:pPr>
              <w:jc w:val="center"/>
              <w:rPr>
                <w:sz w:val="20"/>
                <w:szCs w:val="20"/>
              </w:rPr>
            </w:pPr>
            <w:r w:rsidRPr="00870FB6">
              <w:rPr>
                <w:sz w:val="20"/>
                <w:szCs w:val="20"/>
              </w:rPr>
              <w:t>-6,8</w:t>
            </w:r>
          </w:p>
        </w:tc>
      </w:tr>
      <w:tr w:rsidR="00D060C9" w:rsidRPr="00870FB6" w:rsidTr="00521E1A">
        <w:trPr>
          <w:jc w:val="center"/>
        </w:trPr>
        <w:tc>
          <w:tcPr>
            <w:tcW w:w="675" w:type="dxa"/>
            <w:shd w:val="clear" w:color="auto" w:fill="auto"/>
          </w:tcPr>
          <w:p w:rsidR="00914FE0" w:rsidRPr="00870FB6" w:rsidRDefault="008D729B" w:rsidP="00B30BD2">
            <w:pPr>
              <w:jc w:val="center"/>
              <w:rPr>
                <w:sz w:val="20"/>
                <w:szCs w:val="20"/>
              </w:rPr>
            </w:pPr>
            <w:r w:rsidRPr="00870FB6">
              <w:rPr>
                <w:sz w:val="20"/>
                <w:szCs w:val="20"/>
              </w:rPr>
              <w:t>3</w:t>
            </w:r>
            <w:r w:rsidR="00914FE0" w:rsidRPr="00870FB6">
              <w:rPr>
                <w:sz w:val="20"/>
                <w:szCs w:val="20"/>
              </w:rPr>
              <w:t>.</w:t>
            </w:r>
          </w:p>
        </w:tc>
        <w:tc>
          <w:tcPr>
            <w:tcW w:w="4695" w:type="dxa"/>
            <w:shd w:val="clear" w:color="auto" w:fill="auto"/>
          </w:tcPr>
          <w:p w:rsidR="00914FE0" w:rsidRPr="00870FB6" w:rsidRDefault="00914FE0" w:rsidP="00B30BD2">
            <w:pPr>
              <w:rPr>
                <w:sz w:val="20"/>
                <w:szCs w:val="20"/>
              </w:rPr>
            </w:pPr>
            <w:r w:rsidRPr="00870FB6">
              <w:rPr>
                <w:sz w:val="20"/>
                <w:szCs w:val="20"/>
              </w:rPr>
              <w:t xml:space="preserve">Î.S. </w:t>
            </w:r>
            <w:r w:rsidR="00AC396D" w:rsidRPr="00870FB6">
              <w:rPr>
                <w:sz w:val="20"/>
                <w:szCs w:val="20"/>
              </w:rPr>
              <w:t>„</w:t>
            </w:r>
            <w:r w:rsidR="00D060C9" w:rsidRPr="00870FB6">
              <w:rPr>
                <w:sz w:val="20"/>
                <w:szCs w:val="20"/>
              </w:rPr>
              <w:t>Servicii Pază</w:t>
            </w:r>
            <w:r w:rsidR="00AC396D" w:rsidRPr="00870FB6">
              <w:rPr>
                <w:sz w:val="20"/>
                <w:szCs w:val="20"/>
              </w:rPr>
              <w:t>”</w:t>
            </w:r>
          </w:p>
        </w:tc>
        <w:tc>
          <w:tcPr>
            <w:tcW w:w="1276" w:type="dxa"/>
            <w:shd w:val="clear" w:color="auto" w:fill="auto"/>
          </w:tcPr>
          <w:p w:rsidR="00914FE0" w:rsidRPr="00870FB6" w:rsidRDefault="00D060C9" w:rsidP="00B30BD2">
            <w:pPr>
              <w:jc w:val="center"/>
              <w:rPr>
                <w:sz w:val="20"/>
                <w:szCs w:val="20"/>
              </w:rPr>
            </w:pPr>
            <w:r w:rsidRPr="00870FB6">
              <w:rPr>
                <w:sz w:val="20"/>
                <w:szCs w:val="20"/>
              </w:rPr>
              <w:t>1,7</w:t>
            </w:r>
          </w:p>
        </w:tc>
        <w:tc>
          <w:tcPr>
            <w:tcW w:w="1559" w:type="dxa"/>
            <w:shd w:val="clear" w:color="auto" w:fill="auto"/>
          </w:tcPr>
          <w:p w:rsidR="00914FE0" w:rsidRPr="00870FB6" w:rsidRDefault="00D060C9" w:rsidP="00B30BD2">
            <w:pPr>
              <w:jc w:val="center"/>
              <w:rPr>
                <w:sz w:val="20"/>
                <w:szCs w:val="20"/>
              </w:rPr>
            </w:pPr>
            <w:r w:rsidRPr="00870FB6">
              <w:rPr>
                <w:sz w:val="20"/>
                <w:szCs w:val="20"/>
              </w:rPr>
              <w:t>3,8</w:t>
            </w:r>
          </w:p>
        </w:tc>
        <w:tc>
          <w:tcPr>
            <w:tcW w:w="1275" w:type="dxa"/>
            <w:shd w:val="clear" w:color="auto" w:fill="auto"/>
          </w:tcPr>
          <w:p w:rsidR="00914FE0" w:rsidRPr="00870FB6" w:rsidRDefault="00D060C9" w:rsidP="00B30BD2">
            <w:pPr>
              <w:jc w:val="center"/>
              <w:rPr>
                <w:sz w:val="20"/>
                <w:szCs w:val="20"/>
              </w:rPr>
            </w:pPr>
            <w:r w:rsidRPr="00870FB6">
              <w:rPr>
                <w:sz w:val="20"/>
                <w:szCs w:val="20"/>
              </w:rPr>
              <w:t>-5,5</w:t>
            </w:r>
          </w:p>
        </w:tc>
      </w:tr>
      <w:tr w:rsidR="00D060C9" w:rsidRPr="00870FB6" w:rsidTr="00521E1A">
        <w:trPr>
          <w:jc w:val="center"/>
        </w:trPr>
        <w:tc>
          <w:tcPr>
            <w:tcW w:w="675" w:type="dxa"/>
            <w:shd w:val="clear" w:color="auto" w:fill="auto"/>
          </w:tcPr>
          <w:p w:rsidR="00AC39D2" w:rsidRPr="00870FB6" w:rsidRDefault="008D729B" w:rsidP="00B30BD2">
            <w:pPr>
              <w:jc w:val="center"/>
              <w:rPr>
                <w:sz w:val="20"/>
                <w:szCs w:val="20"/>
              </w:rPr>
            </w:pPr>
            <w:r w:rsidRPr="00870FB6">
              <w:rPr>
                <w:sz w:val="20"/>
                <w:szCs w:val="20"/>
              </w:rPr>
              <w:t>4</w:t>
            </w:r>
            <w:r w:rsidR="00AC39D2" w:rsidRPr="00870FB6">
              <w:rPr>
                <w:sz w:val="20"/>
                <w:szCs w:val="20"/>
              </w:rPr>
              <w:t>.</w:t>
            </w:r>
          </w:p>
        </w:tc>
        <w:tc>
          <w:tcPr>
            <w:tcW w:w="4695" w:type="dxa"/>
            <w:shd w:val="clear" w:color="auto" w:fill="auto"/>
          </w:tcPr>
          <w:p w:rsidR="00AC39D2" w:rsidRPr="00870FB6" w:rsidRDefault="00D060C9" w:rsidP="00B30BD2">
            <w:pPr>
              <w:rPr>
                <w:sz w:val="20"/>
                <w:szCs w:val="20"/>
              </w:rPr>
            </w:pPr>
            <w:r w:rsidRPr="00870FB6">
              <w:rPr>
                <w:sz w:val="20"/>
                <w:szCs w:val="20"/>
              </w:rPr>
              <w:t>Î.S. Editura „Universul”</w:t>
            </w:r>
          </w:p>
        </w:tc>
        <w:tc>
          <w:tcPr>
            <w:tcW w:w="1276" w:type="dxa"/>
            <w:shd w:val="clear" w:color="auto" w:fill="auto"/>
          </w:tcPr>
          <w:p w:rsidR="00AC39D2" w:rsidRPr="00870FB6" w:rsidRDefault="00D060C9" w:rsidP="00B30BD2">
            <w:pPr>
              <w:jc w:val="center"/>
              <w:rPr>
                <w:sz w:val="20"/>
                <w:szCs w:val="20"/>
              </w:rPr>
            </w:pPr>
            <w:r w:rsidRPr="00870FB6">
              <w:rPr>
                <w:sz w:val="20"/>
                <w:szCs w:val="20"/>
              </w:rPr>
              <w:t>0,01</w:t>
            </w:r>
          </w:p>
        </w:tc>
        <w:tc>
          <w:tcPr>
            <w:tcW w:w="1559" w:type="dxa"/>
            <w:shd w:val="clear" w:color="auto" w:fill="auto"/>
          </w:tcPr>
          <w:p w:rsidR="00AC39D2" w:rsidRPr="00870FB6" w:rsidRDefault="00D060C9" w:rsidP="00B30BD2">
            <w:pPr>
              <w:jc w:val="center"/>
              <w:rPr>
                <w:sz w:val="20"/>
                <w:szCs w:val="20"/>
              </w:rPr>
            </w:pPr>
            <w:r w:rsidRPr="00870FB6">
              <w:rPr>
                <w:sz w:val="20"/>
                <w:szCs w:val="20"/>
              </w:rPr>
              <w:t>3,88</w:t>
            </w:r>
          </w:p>
        </w:tc>
        <w:tc>
          <w:tcPr>
            <w:tcW w:w="1275" w:type="dxa"/>
            <w:shd w:val="clear" w:color="auto" w:fill="auto"/>
          </w:tcPr>
          <w:p w:rsidR="00AC39D2" w:rsidRPr="00870FB6" w:rsidRDefault="00D060C9" w:rsidP="00B30BD2">
            <w:pPr>
              <w:jc w:val="center"/>
              <w:rPr>
                <w:sz w:val="20"/>
                <w:szCs w:val="20"/>
              </w:rPr>
            </w:pPr>
            <w:r w:rsidRPr="00870FB6">
              <w:rPr>
                <w:sz w:val="20"/>
                <w:szCs w:val="20"/>
              </w:rPr>
              <w:t>-3,89</w:t>
            </w:r>
          </w:p>
        </w:tc>
      </w:tr>
      <w:tr w:rsidR="00D060C9" w:rsidRPr="00870FB6" w:rsidTr="00521E1A">
        <w:trPr>
          <w:trHeight w:val="186"/>
          <w:jc w:val="center"/>
        </w:trPr>
        <w:tc>
          <w:tcPr>
            <w:tcW w:w="675" w:type="dxa"/>
            <w:shd w:val="clear" w:color="auto" w:fill="auto"/>
          </w:tcPr>
          <w:p w:rsidR="00D060C9" w:rsidRPr="00870FB6" w:rsidRDefault="00D060C9" w:rsidP="00B30BD2">
            <w:pPr>
              <w:jc w:val="center"/>
              <w:rPr>
                <w:sz w:val="20"/>
                <w:szCs w:val="20"/>
              </w:rPr>
            </w:pPr>
            <w:r w:rsidRPr="00870FB6">
              <w:rPr>
                <w:sz w:val="20"/>
                <w:szCs w:val="20"/>
              </w:rPr>
              <w:t>5.</w:t>
            </w:r>
          </w:p>
        </w:tc>
        <w:tc>
          <w:tcPr>
            <w:tcW w:w="4695" w:type="dxa"/>
            <w:shd w:val="clear" w:color="auto" w:fill="auto"/>
          </w:tcPr>
          <w:p w:rsidR="00D060C9" w:rsidRPr="00870FB6" w:rsidRDefault="00D060C9" w:rsidP="00B30BD2">
            <w:pPr>
              <w:rPr>
                <w:sz w:val="20"/>
                <w:szCs w:val="20"/>
              </w:rPr>
            </w:pPr>
            <w:r w:rsidRPr="00870FB6">
              <w:rPr>
                <w:sz w:val="20"/>
                <w:szCs w:val="20"/>
              </w:rPr>
              <w:t>Î.S. Sistemul de Gospodărire a Apelor „Nistru-Centru”</w:t>
            </w:r>
          </w:p>
        </w:tc>
        <w:tc>
          <w:tcPr>
            <w:tcW w:w="1276" w:type="dxa"/>
            <w:shd w:val="clear" w:color="auto" w:fill="auto"/>
          </w:tcPr>
          <w:p w:rsidR="00D060C9" w:rsidRPr="00870FB6" w:rsidRDefault="00D060C9" w:rsidP="00B30BD2">
            <w:pPr>
              <w:jc w:val="center"/>
              <w:rPr>
                <w:sz w:val="20"/>
                <w:szCs w:val="20"/>
              </w:rPr>
            </w:pPr>
            <w:r w:rsidRPr="00870FB6">
              <w:rPr>
                <w:sz w:val="20"/>
                <w:szCs w:val="20"/>
              </w:rPr>
              <w:t>0,6</w:t>
            </w:r>
          </w:p>
        </w:tc>
        <w:tc>
          <w:tcPr>
            <w:tcW w:w="1559" w:type="dxa"/>
            <w:shd w:val="clear" w:color="auto" w:fill="auto"/>
          </w:tcPr>
          <w:p w:rsidR="00D060C9" w:rsidRPr="00870FB6" w:rsidRDefault="00D060C9" w:rsidP="00B30BD2">
            <w:pPr>
              <w:jc w:val="center"/>
              <w:rPr>
                <w:sz w:val="20"/>
                <w:szCs w:val="20"/>
              </w:rPr>
            </w:pPr>
            <w:r w:rsidRPr="00870FB6">
              <w:rPr>
                <w:sz w:val="20"/>
                <w:szCs w:val="20"/>
              </w:rPr>
              <w:t>1,9</w:t>
            </w:r>
          </w:p>
        </w:tc>
        <w:tc>
          <w:tcPr>
            <w:tcW w:w="1275" w:type="dxa"/>
            <w:shd w:val="clear" w:color="auto" w:fill="auto"/>
          </w:tcPr>
          <w:p w:rsidR="00D060C9" w:rsidRPr="00870FB6" w:rsidRDefault="00D060C9" w:rsidP="00B30BD2">
            <w:pPr>
              <w:jc w:val="center"/>
              <w:rPr>
                <w:sz w:val="20"/>
                <w:szCs w:val="20"/>
              </w:rPr>
            </w:pPr>
            <w:r w:rsidRPr="00870FB6">
              <w:rPr>
                <w:sz w:val="20"/>
                <w:szCs w:val="20"/>
              </w:rPr>
              <w:t>-2,5</w:t>
            </w:r>
          </w:p>
        </w:tc>
      </w:tr>
      <w:tr w:rsidR="00D060C9" w:rsidRPr="00870FB6" w:rsidTr="00521E1A">
        <w:trPr>
          <w:jc w:val="center"/>
        </w:trPr>
        <w:tc>
          <w:tcPr>
            <w:tcW w:w="675" w:type="dxa"/>
            <w:shd w:val="clear" w:color="auto" w:fill="auto"/>
          </w:tcPr>
          <w:p w:rsidR="00D060C9" w:rsidRPr="00870FB6" w:rsidRDefault="00D060C9" w:rsidP="00B30BD2">
            <w:pPr>
              <w:jc w:val="center"/>
              <w:rPr>
                <w:sz w:val="20"/>
                <w:szCs w:val="20"/>
              </w:rPr>
            </w:pPr>
            <w:r w:rsidRPr="00870FB6">
              <w:rPr>
                <w:sz w:val="20"/>
                <w:szCs w:val="20"/>
              </w:rPr>
              <w:t>6.</w:t>
            </w:r>
          </w:p>
        </w:tc>
        <w:tc>
          <w:tcPr>
            <w:tcW w:w="4695" w:type="dxa"/>
            <w:shd w:val="clear" w:color="auto" w:fill="auto"/>
          </w:tcPr>
          <w:p w:rsidR="00D060C9" w:rsidRPr="00870FB6" w:rsidRDefault="00D060C9" w:rsidP="00B30BD2">
            <w:pPr>
              <w:rPr>
                <w:sz w:val="20"/>
                <w:szCs w:val="20"/>
              </w:rPr>
            </w:pPr>
            <w:r w:rsidRPr="00870FB6">
              <w:rPr>
                <w:sz w:val="20"/>
                <w:szCs w:val="20"/>
              </w:rPr>
              <w:t>Î.S. „Sta</w:t>
            </w:r>
            <w:r w:rsidR="000873E3">
              <w:rPr>
                <w:sz w:val="20"/>
                <w:szCs w:val="20"/>
              </w:rPr>
              <w:t>ț</w:t>
            </w:r>
            <w:r w:rsidRPr="00870FB6">
              <w:rPr>
                <w:sz w:val="20"/>
                <w:szCs w:val="20"/>
              </w:rPr>
              <w:t>iunea Didactico-Experimentală din Stăuceni”</w:t>
            </w:r>
          </w:p>
        </w:tc>
        <w:tc>
          <w:tcPr>
            <w:tcW w:w="1276" w:type="dxa"/>
            <w:shd w:val="clear" w:color="auto" w:fill="auto"/>
          </w:tcPr>
          <w:p w:rsidR="00D060C9" w:rsidRPr="00870FB6" w:rsidRDefault="00D060C9" w:rsidP="00B30BD2">
            <w:pPr>
              <w:jc w:val="center"/>
              <w:rPr>
                <w:sz w:val="20"/>
                <w:szCs w:val="20"/>
              </w:rPr>
            </w:pPr>
            <w:r w:rsidRPr="00870FB6">
              <w:rPr>
                <w:sz w:val="20"/>
                <w:szCs w:val="20"/>
              </w:rPr>
              <w:t>0,7</w:t>
            </w:r>
          </w:p>
        </w:tc>
        <w:tc>
          <w:tcPr>
            <w:tcW w:w="1559" w:type="dxa"/>
            <w:shd w:val="clear" w:color="auto" w:fill="auto"/>
          </w:tcPr>
          <w:p w:rsidR="00D060C9" w:rsidRPr="00870FB6" w:rsidRDefault="00D060C9" w:rsidP="00B30BD2">
            <w:pPr>
              <w:jc w:val="center"/>
              <w:rPr>
                <w:sz w:val="20"/>
                <w:szCs w:val="20"/>
              </w:rPr>
            </w:pPr>
            <w:r w:rsidRPr="00870FB6">
              <w:rPr>
                <w:sz w:val="20"/>
                <w:szCs w:val="20"/>
              </w:rPr>
              <w:t>1,3</w:t>
            </w:r>
          </w:p>
        </w:tc>
        <w:tc>
          <w:tcPr>
            <w:tcW w:w="1275" w:type="dxa"/>
            <w:shd w:val="clear" w:color="auto" w:fill="auto"/>
          </w:tcPr>
          <w:p w:rsidR="00D060C9" w:rsidRPr="00870FB6" w:rsidRDefault="00D060C9" w:rsidP="00B30BD2">
            <w:pPr>
              <w:jc w:val="center"/>
              <w:rPr>
                <w:sz w:val="20"/>
                <w:szCs w:val="20"/>
              </w:rPr>
            </w:pPr>
            <w:r w:rsidRPr="00870FB6">
              <w:rPr>
                <w:sz w:val="20"/>
                <w:szCs w:val="20"/>
              </w:rPr>
              <w:t>-2,0</w:t>
            </w:r>
          </w:p>
        </w:tc>
      </w:tr>
      <w:tr w:rsidR="00D060C9" w:rsidRPr="00870FB6" w:rsidTr="00521E1A">
        <w:trPr>
          <w:jc w:val="center"/>
        </w:trPr>
        <w:tc>
          <w:tcPr>
            <w:tcW w:w="675" w:type="dxa"/>
            <w:shd w:val="clear" w:color="auto" w:fill="auto"/>
          </w:tcPr>
          <w:p w:rsidR="00D060C9" w:rsidRPr="00870FB6" w:rsidRDefault="00D060C9" w:rsidP="00B30BD2">
            <w:pPr>
              <w:jc w:val="center"/>
              <w:rPr>
                <w:sz w:val="20"/>
                <w:szCs w:val="20"/>
              </w:rPr>
            </w:pPr>
            <w:r w:rsidRPr="00870FB6">
              <w:rPr>
                <w:sz w:val="20"/>
                <w:szCs w:val="20"/>
              </w:rPr>
              <w:t>7.</w:t>
            </w:r>
          </w:p>
        </w:tc>
        <w:tc>
          <w:tcPr>
            <w:tcW w:w="4695" w:type="dxa"/>
            <w:shd w:val="clear" w:color="auto" w:fill="auto"/>
          </w:tcPr>
          <w:p w:rsidR="00D060C9" w:rsidRPr="00870FB6" w:rsidRDefault="00D060C9" w:rsidP="00B30BD2">
            <w:pPr>
              <w:rPr>
                <w:sz w:val="20"/>
                <w:szCs w:val="20"/>
              </w:rPr>
            </w:pPr>
            <w:r w:rsidRPr="00870FB6">
              <w:rPr>
                <w:sz w:val="20"/>
                <w:szCs w:val="20"/>
              </w:rPr>
              <w:t>Î.S. pentru silvicultură „Tighina”</w:t>
            </w:r>
          </w:p>
        </w:tc>
        <w:tc>
          <w:tcPr>
            <w:tcW w:w="1276" w:type="dxa"/>
            <w:shd w:val="clear" w:color="auto" w:fill="auto"/>
          </w:tcPr>
          <w:p w:rsidR="00D060C9" w:rsidRPr="00870FB6" w:rsidRDefault="00D060C9" w:rsidP="00B30BD2">
            <w:pPr>
              <w:jc w:val="center"/>
              <w:rPr>
                <w:sz w:val="20"/>
                <w:szCs w:val="20"/>
              </w:rPr>
            </w:pPr>
            <w:r w:rsidRPr="00870FB6">
              <w:rPr>
                <w:sz w:val="20"/>
                <w:szCs w:val="20"/>
              </w:rPr>
              <w:t>1,0</w:t>
            </w:r>
          </w:p>
        </w:tc>
        <w:tc>
          <w:tcPr>
            <w:tcW w:w="1559" w:type="dxa"/>
            <w:shd w:val="clear" w:color="auto" w:fill="auto"/>
          </w:tcPr>
          <w:p w:rsidR="00D060C9" w:rsidRPr="00870FB6" w:rsidRDefault="00D060C9" w:rsidP="00B30BD2">
            <w:pPr>
              <w:jc w:val="center"/>
              <w:rPr>
                <w:sz w:val="20"/>
                <w:szCs w:val="20"/>
              </w:rPr>
            </w:pPr>
            <w:r w:rsidRPr="00870FB6">
              <w:rPr>
                <w:sz w:val="20"/>
                <w:szCs w:val="20"/>
              </w:rPr>
              <w:t>0,1</w:t>
            </w:r>
          </w:p>
        </w:tc>
        <w:tc>
          <w:tcPr>
            <w:tcW w:w="1275" w:type="dxa"/>
            <w:shd w:val="clear" w:color="auto" w:fill="auto"/>
          </w:tcPr>
          <w:p w:rsidR="00D060C9" w:rsidRPr="00870FB6" w:rsidRDefault="00D060C9" w:rsidP="00B30BD2">
            <w:pPr>
              <w:jc w:val="center"/>
              <w:rPr>
                <w:sz w:val="20"/>
                <w:szCs w:val="20"/>
              </w:rPr>
            </w:pPr>
            <w:r w:rsidRPr="00870FB6">
              <w:rPr>
                <w:sz w:val="20"/>
                <w:szCs w:val="20"/>
              </w:rPr>
              <w:t>-1,1</w:t>
            </w:r>
          </w:p>
        </w:tc>
      </w:tr>
    </w:tbl>
    <w:p w:rsidR="006A39A0" w:rsidRPr="00870FB6" w:rsidRDefault="006A39A0" w:rsidP="0073353C">
      <w:pPr>
        <w:ind w:firstLine="567"/>
        <w:jc w:val="both"/>
        <w:rPr>
          <w:color w:val="FF0000"/>
          <w:sz w:val="28"/>
          <w:szCs w:val="28"/>
        </w:rPr>
      </w:pPr>
    </w:p>
    <w:p w:rsidR="00897636" w:rsidRPr="00870FB6" w:rsidRDefault="00897636" w:rsidP="00897636">
      <w:pPr>
        <w:spacing w:line="276" w:lineRule="auto"/>
        <w:ind w:firstLine="567"/>
        <w:jc w:val="both"/>
        <w:rPr>
          <w:sz w:val="28"/>
          <w:szCs w:val="28"/>
        </w:rPr>
      </w:pPr>
      <w:r w:rsidRPr="00870FB6">
        <w:rPr>
          <w:sz w:val="28"/>
          <w:szCs w:val="28"/>
        </w:rPr>
        <w:t>Raportul dintre pierderea netă a întreprinderilor de stat</w:t>
      </w:r>
      <w:r w:rsidR="00045A4E">
        <w:rPr>
          <w:sz w:val="28"/>
          <w:szCs w:val="28"/>
        </w:rPr>
        <w:t>,</w:t>
      </w:r>
      <w:r w:rsidRPr="00870FB6">
        <w:rPr>
          <w:sz w:val="28"/>
          <w:szCs w:val="28"/>
        </w:rPr>
        <w:t xml:space="preserve"> care în anul 201</w:t>
      </w:r>
      <w:r w:rsidR="00D060C9" w:rsidRPr="00870FB6">
        <w:rPr>
          <w:sz w:val="28"/>
          <w:szCs w:val="28"/>
        </w:rPr>
        <w:t>7</w:t>
      </w:r>
      <w:r w:rsidRPr="00870FB6">
        <w:rPr>
          <w:sz w:val="28"/>
          <w:szCs w:val="28"/>
        </w:rPr>
        <w:t xml:space="preserve"> generează pierderi nete </w:t>
      </w:r>
      <w:r w:rsidR="00D81951">
        <w:rPr>
          <w:sz w:val="28"/>
          <w:szCs w:val="28"/>
        </w:rPr>
        <w:t xml:space="preserve">(62 întreprinderi) </w:t>
      </w:r>
      <w:r w:rsidRPr="00870FB6">
        <w:rPr>
          <w:sz w:val="28"/>
          <w:szCs w:val="28"/>
        </w:rPr>
        <w:t>şi veniturile din v</w:t>
      </w:r>
      <w:r w:rsidR="00380381" w:rsidRPr="00870FB6">
        <w:rPr>
          <w:sz w:val="28"/>
          <w:szCs w:val="28"/>
        </w:rPr>
        <w:t>î</w:t>
      </w:r>
      <w:r w:rsidRPr="00870FB6">
        <w:rPr>
          <w:sz w:val="28"/>
          <w:szCs w:val="28"/>
        </w:rPr>
        <w:t>nzări ob</w:t>
      </w:r>
      <w:r w:rsidR="000873E3">
        <w:rPr>
          <w:sz w:val="28"/>
          <w:szCs w:val="28"/>
        </w:rPr>
        <w:t>ț</w:t>
      </w:r>
      <w:r w:rsidRPr="00870FB6">
        <w:rPr>
          <w:sz w:val="28"/>
          <w:szCs w:val="28"/>
        </w:rPr>
        <w:t xml:space="preserve">inute de acestea constituie aproximativ </w:t>
      </w:r>
      <w:r w:rsidR="004132CB" w:rsidRPr="00870FB6">
        <w:rPr>
          <w:sz w:val="28"/>
          <w:szCs w:val="28"/>
        </w:rPr>
        <w:t>9</w:t>
      </w:r>
      <w:r w:rsidRPr="00870FB6">
        <w:rPr>
          <w:sz w:val="28"/>
          <w:szCs w:val="28"/>
        </w:rPr>
        <w:t>,</w:t>
      </w:r>
      <w:r w:rsidR="00D060C9" w:rsidRPr="00870FB6">
        <w:rPr>
          <w:sz w:val="28"/>
          <w:szCs w:val="28"/>
        </w:rPr>
        <w:t>2</w:t>
      </w:r>
      <w:r w:rsidRPr="00870FB6">
        <w:rPr>
          <w:sz w:val="28"/>
          <w:szCs w:val="28"/>
        </w:rPr>
        <w:t xml:space="preserve">%, ceea ce semnifică faptul că, întreprinderile respective înregistrează </w:t>
      </w:r>
      <w:r w:rsidR="00043C6E" w:rsidRPr="00870FB6">
        <w:rPr>
          <w:sz w:val="28"/>
          <w:szCs w:val="28"/>
        </w:rPr>
        <w:t xml:space="preserve">în anul de raportare </w:t>
      </w:r>
      <w:r w:rsidR="004132CB" w:rsidRPr="00870FB6">
        <w:rPr>
          <w:sz w:val="28"/>
          <w:szCs w:val="28"/>
        </w:rPr>
        <w:t>9,</w:t>
      </w:r>
      <w:r w:rsidR="00D060C9" w:rsidRPr="00870FB6">
        <w:rPr>
          <w:sz w:val="28"/>
          <w:szCs w:val="28"/>
        </w:rPr>
        <w:t>2</w:t>
      </w:r>
      <w:r w:rsidRPr="00870FB6">
        <w:rPr>
          <w:sz w:val="28"/>
          <w:szCs w:val="28"/>
        </w:rPr>
        <w:t xml:space="preserve"> bani pierderi nete la 1 leu venituri din v</w:t>
      </w:r>
      <w:r w:rsidR="00380381" w:rsidRPr="00870FB6">
        <w:rPr>
          <w:sz w:val="28"/>
          <w:szCs w:val="28"/>
        </w:rPr>
        <w:t>î</w:t>
      </w:r>
      <w:r w:rsidRPr="00870FB6">
        <w:rPr>
          <w:sz w:val="28"/>
          <w:szCs w:val="28"/>
        </w:rPr>
        <w:t>nzări.</w:t>
      </w:r>
    </w:p>
    <w:p w:rsidR="00D81951" w:rsidRDefault="00CC6619" w:rsidP="00D81951">
      <w:pPr>
        <w:pStyle w:val="BodyTextIndent2"/>
        <w:spacing w:line="276" w:lineRule="auto"/>
        <w:ind w:firstLine="539"/>
        <w:rPr>
          <w:szCs w:val="28"/>
        </w:rPr>
      </w:pPr>
      <w:r w:rsidRPr="00870FB6">
        <w:rPr>
          <w:szCs w:val="28"/>
        </w:rPr>
        <w:t xml:space="preserve">Totodată, </w:t>
      </w:r>
      <w:r w:rsidR="00D81951">
        <w:rPr>
          <w:szCs w:val="28"/>
        </w:rPr>
        <w:t>se constată</w:t>
      </w:r>
      <w:r w:rsidRPr="00870FB6">
        <w:rPr>
          <w:szCs w:val="28"/>
        </w:rPr>
        <w:t xml:space="preserve"> că l</w:t>
      </w:r>
      <w:r w:rsidR="00702691" w:rsidRPr="00870FB6">
        <w:rPr>
          <w:szCs w:val="28"/>
        </w:rPr>
        <w:t>a finele anului 201</w:t>
      </w:r>
      <w:r w:rsidR="008A5D68" w:rsidRPr="00870FB6">
        <w:rPr>
          <w:szCs w:val="28"/>
        </w:rPr>
        <w:t>7</w:t>
      </w:r>
      <w:r w:rsidR="00F33AF7" w:rsidRPr="00870FB6">
        <w:rPr>
          <w:szCs w:val="28"/>
        </w:rPr>
        <w:t xml:space="preserve"> întreprinderile de stat au înregistrat </w:t>
      </w:r>
      <w:r w:rsidR="00F33AF7" w:rsidRPr="00870FB6">
        <w:rPr>
          <w:i/>
          <w:szCs w:val="28"/>
        </w:rPr>
        <w:t>crean</w:t>
      </w:r>
      <w:r w:rsidR="000873E3">
        <w:rPr>
          <w:i/>
          <w:szCs w:val="28"/>
        </w:rPr>
        <w:t>ț</w:t>
      </w:r>
      <w:r w:rsidR="00F33AF7" w:rsidRPr="00870FB6">
        <w:rPr>
          <w:i/>
          <w:szCs w:val="28"/>
        </w:rPr>
        <w:t>e</w:t>
      </w:r>
      <w:r w:rsidR="008A5D68" w:rsidRPr="00870FB6">
        <w:rPr>
          <w:i/>
          <w:szCs w:val="28"/>
        </w:rPr>
        <w:t xml:space="preserve"> totale</w:t>
      </w:r>
      <w:r w:rsidR="00F33AF7" w:rsidRPr="00870FB6">
        <w:rPr>
          <w:szCs w:val="28"/>
        </w:rPr>
        <w:t xml:space="preserve"> în valoare de </w:t>
      </w:r>
      <w:r w:rsidR="008A5D68" w:rsidRPr="00870FB6">
        <w:rPr>
          <w:szCs w:val="28"/>
        </w:rPr>
        <w:t>2896,2</w:t>
      </w:r>
      <w:r w:rsidR="00F33AF7" w:rsidRPr="00870FB6">
        <w:rPr>
          <w:szCs w:val="28"/>
        </w:rPr>
        <w:t xml:space="preserve"> mil. lei, acestea fiind cu </w:t>
      </w:r>
      <w:r w:rsidR="008A5D68" w:rsidRPr="00870FB6">
        <w:rPr>
          <w:szCs w:val="28"/>
        </w:rPr>
        <w:t>358,0</w:t>
      </w:r>
      <w:r w:rsidR="00F33AF7" w:rsidRPr="00870FB6">
        <w:rPr>
          <w:szCs w:val="28"/>
        </w:rPr>
        <w:t xml:space="preserve"> mil. lei mai </w:t>
      </w:r>
      <w:r w:rsidR="008A5D68" w:rsidRPr="00870FB6">
        <w:rPr>
          <w:szCs w:val="28"/>
        </w:rPr>
        <w:t>mici</w:t>
      </w:r>
      <w:r w:rsidR="00F33AF7" w:rsidRPr="00870FB6">
        <w:rPr>
          <w:szCs w:val="28"/>
        </w:rPr>
        <w:t xml:space="preserve"> comparativ cu val</w:t>
      </w:r>
      <w:r w:rsidR="001F4E5F" w:rsidRPr="00870FB6">
        <w:rPr>
          <w:szCs w:val="28"/>
        </w:rPr>
        <w:t>oarea înregistrată la începutul anului analizat</w:t>
      </w:r>
      <w:r w:rsidR="00F33AF7" w:rsidRPr="00870FB6">
        <w:rPr>
          <w:szCs w:val="28"/>
        </w:rPr>
        <w:t>.</w:t>
      </w:r>
      <w:r w:rsidR="00F33AF7" w:rsidRPr="00870FB6">
        <w:rPr>
          <w:color w:val="FF0000"/>
          <w:szCs w:val="28"/>
        </w:rPr>
        <w:t xml:space="preserve"> </w:t>
      </w:r>
      <w:r w:rsidR="004300C0" w:rsidRPr="00870FB6">
        <w:rPr>
          <w:szCs w:val="28"/>
        </w:rPr>
        <w:t>Majoritatea crean</w:t>
      </w:r>
      <w:r w:rsidR="000873E3">
        <w:rPr>
          <w:szCs w:val="28"/>
        </w:rPr>
        <w:t>ț</w:t>
      </w:r>
      <w:r w:rsidR="004300C0" w:rsidRPr="00870FB6">
        <w:rPr>
          <w:szCs w:val="28"/>
        </w:rPr>
        <w:t xml:space="preserve">elor întreprinderilor </w:t>
      </w:r>
      <w:r w:rsidR="00E25525">
        <w:rPr>
          <w:szCs w:val="28"/>
        </w:rPr>
        <w:t>sunt constituite</w:t>
      </w:r>
      <w:r w:rsidR="004300C0" w:rsidRPr="00870FB6">
        <w:rPr>
          <w:szCs w:val="28"/>
        </w:rPr>
        <w:t xml:space="preserve"> din crean</w:t>
      </w:r>
      <w:r w:rsidR="000873E3">
        <w:rPr>
          <w:szCs w:val="28"/>
        </w:rPr>
        <w:t>ț</w:t>
      </w:r>
      <w:r w:rsidR="004300C0" w:rsidRPr="00870FB6">
        <w:rPr>
          <w:szCs w:val="28"/>
        </w:rPr>
        <w:t xml:space="preserve">e curente, acestea reprezentînd </w:t>
      </w:r>
      <w:r w:rsidR="0051211E" w:rsidRPr="00870FB6">
        <w:rPr>
          <w:szCs w:val="28"/>
        </w:rPr>
        <w:t>1582,9</w:t>
      </w:r>
      <w:r w:rsidR="004300C0" w:rsidRPr="00870FB6">
        <w:rPr>
          <w:szCs w:val="28"/>
        </w:rPr>
        <w:t xml:space="preserve"> mil. lei (sau </w:t>
      </w:r>
      <w:r w:rsidR="0051211E" w:rsidRPr="00870FB6">
        <w:rPr>
          <w:szCs w:val="28"/>
        </w:rPr>
        <w:t>54,7</w:t>
      </w:r>
      <w:r w:rsidR="004300C0" w:rsidRPr="00870FB6">
        <w:rPr>
          <w:szCs w:val="28"/>
        </w:rPr>
        <w:t>%). Crean</w:t>
      </w:r>
      <w:r w:rsidR="000873E3">
        <w:rPr>
          <w:szCs w:val="28"/>
        </w:rPr>
        <w:t>ț</w:t>
      </w:r>
      <w:r w:rsidR="004300C0" w:rsidRPr="00870FB6">
        <w:rPr>
          <w:szCs w:val="28"/>
        </w:rPr>
        <w:t xml:space="preserve">ele pe termen lung, care includ și avansurile pe termen lung au înregistrat </w:t>
      </w:r>
      <w:r w:rsidR="0051211E" w:rsidRPr="00870FB6">
        <w:rPr>
          <w:szCs w:val="28"/>
        </w:rPr>
        <w:t>1313,3</w:t>
      </w:r>
      <w:r w:rsidR="004300C0" w:rsidRPr="00870FB6">
        <w:rPr>
          <w:szCs w:val="28"/>
        </w:rPr>
        <w:t xml:space="preserve"> mil. lei (sau </w:t>
      </w:r>
      <w:r w:rsidR="0051211E" w:rsidRPr="00870FB6">
        <w:rPr>
          <w:szCs w:val="28"/>
        </w:rPr>
        <w:t>45,3</w:t>
      </w:r>
      <w:r w:rsidR="004300C0" w:rsidRPr="00870FB6">
        <w:rPr>
          <w:szCs w:val="28"/>
        </w:rPr>
        <w:t>%).</w:t>
      </w:r>
      <w:r w:rsidR="00D81951" w:rsidRPr="00D81951">
        <w:rPr>
          <w:szCs w:val="28"/>
        </w:rPr>
        <w:t xml:space="preserve"> </w:t>
      </w:r>
    </w:p>
    <w:p w:rsidR="00D81951" w:rsidRPr="00870FB6" w:rsidRDefault="00D81951" w:rsidP="00D81951">
      <w:pPr>
        <w:pStyle w:val="BodyTextIndent2"/>
        <w:spacing w:line="276" w:lineRule="auto"/>
        <w:ind w:firstLine="539"/>
        <w:rPr>
          <w:color w:val="FF0000"/>
          <w:szCs w:val="28"/>
        </w:rPr>
      </w:pPr>
      <w:r w:rsidRPr="00870FB6">
        <w:rPr>
          <w:szCs w:val="28"/>
        </w:rPr>
        <w:t>Diminuarea crean</w:t>
      </w:r>
      <w:r>
        <w:rPr>
          <w:szCs w:val="28"/>
        </w:rPr>
        <w:t>ț</w:t>
      </w:r>
      <w:r w:rsidRPr="00870FB6">
        <w:rPr>
          <w:szCs w:val="28"/>
        </w:rPr>
        <w:t>elor întreprinderilor a fost generată atît de diminuarea crean</w:t>
      </w:r>
      <w:r>
        <w:rPr>
          <w:szCs w:val="28"/>
        </w:rPr>
        <w:t>ț</w:t>
      </w:r>
      <w:r w:rsidRPr="00870FB6">
        <w:rPr>
          <w:szCs w:val="28"/>
        </w:rPr>
        <w:t>elor curente, cît și a celor pe termen lung. Astfel, crean</w:t>
      </w:r>
      <w:r>
        <w:rPr>
          <w:szCs w:val="28"/>
        </w:rPr>
        <w:t>ț</w:t>
      </w:r>
      <w:r w:rsidRPr="00870FB6">
        <w:rPr>
          <w:szCs w:val="28"/>
        </w:rPr>
        <w:t>ele curente s-au micșorat cu 277,9 mil. lei fa</w:t>
      </w:r>
      <w:r>
        <w:rPr>
          <w:szCs w:val="28"/>
        </w:rPr>
        <w:t>ț</w:t>
      </w:r>
      <w:r w:rsidRPr="00870FB6">
        <w:rPr>
          <w:szCs w:val="28"/>
        </w:rPr>
        <w:t xml:space="preserve">ă de începutul anului 2017, </w:t>
      </w:r>
      <w:r>
        <w:rPr>
          <w:szCs w:val="28"/>
        </w:rPr>
        <w:t>dat fiind</w:t>
      </w:r>
      <w:r w:rsidRPr="00870FB6">
        <w:rPr>
          <w:szCs w:val="28"/>
        </w:rPr>
        <w:t xml:space="preserve"> în special micșorarea altor crean</w:t>
      </w:r>
      <w:r>
        <w:rPr>
          <w:szCs w:val="28"/>
        </w:rPr>
        <w:t>ț</w:t>
      </w:r>
      <w:r w:rsidRPr="00870FB6">
        <w:rPr>
          <w:szCs w:val="28"/>
        </w:rPr>
        <w:t>e curente (cu 262,4 mil. lei), a avansurilor acordate curente (cu 28,2 mil. lei) și a crean</w:t>
      </w:r>
      <w:r>
        <w:rPr>
          <w:szCs w:val="28"/>
        </w:rPr>
        <w:t>ț</w:t>
      </w:r>
      <w:r w:rsidRPr="00870FB6">
        <w:rPr>
          <w:szCs w:val="28"/>
        </w:rPr>
        <w:t>elor bugetului (cu 13,4 mil. lei). Crean</w:t>
      </w:r>
      <w:r>
        <w:rPr>
          <w:szCs w:val="28"/>
        </w:rPr>
        <w:t>ț</w:t>
      </w:r>
      <w:r w:rsidRPr="00870FB6">
        <w:rPr>
          <w:szCs w:val="28"/>
        </w:rPr>
        <w:t xml:space="preserve">ele pe termen lung s-au diminuat cu 80,1 mil. lei, dat fiind micșorarea cu 85,6 mil. lei a avansurilor acordate pe termen lung. </w:t>
      </w:r>
    </w:p>
    <w:p w:rsidR="00F33AF7" w:rsidRPr="00870FB6" w:rsidRDefault="000A59CF" w:rsidP="00EC1AEA">
      <w:pPr>
        <w:pStyle w:val="BodyTextIndent2"/>
        <w:ind w:firstLine="0"/>
        <w:jc w:val="center"/>
        <w:rPr>
          <w:szCs w:val="28"/>
        </w:rPr>
      </w:pPr>
      <w:r w:rsidRPr="00870FB6">
        <w:rPr>
          <w:noProof/>
          <w:szCs w:val="28"/>
          <w:lang w:val="ru-RU"/>
        </w:rPr>
        <w:drawing>
          <wp:inline distT="0" distB="0" distL="0" distR="0">
            <wp:extent cx="5524500" cy="15621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3AF7" w:rsidRPr="00870FB6" w:rsidRDefault="007F2EED" w:rsidP="00EC1AEA">
      <w:pPr>
        <w:pStyle w:val="BodyTextIndent2"/>
        <w:ind w:firstLine="0"/>
        <w:jc w:val="center"/>
        <w:rPr>
          <w:b/>
          <w:i/>
          <w:sz w:val="20"/>
        </w:rPr>
      </w:pPr>
      <w:r w:rsidRPr="00870FB6">
        <w:rPr>
          <w:b/>
          <w:i/>
          <w:sz w:val="20"/>
        </w:rPr>
        <w:t>Figura 2.</w:t>
      </w:r>
      <w:r w:rsidR="00F33AF7" w:rsidRPr="00870FB6">
        <w:rPr>
          <w:b/>
          <w:i/>
          <w:sz w:val="20"/>
        </w:rPr>
        <w:t xml:space="preserve"> Evolu</w:t>
      </w:r>
      <w:r w:rsidR="000873E3">
        <w:rPr>
          <w:b/>
          <w:i/>
          <w:sz w:val="20"/>
        </w:rPr>
        <w:t>ț</w:t>
      </w:r>
      <w:r w:rsidR="00F33AF7" w:rsidRPr="00870FB6">
        <w:rPr>
          <w:b/>
          <w:i/>
          <w:sz w:val="20"/>
        </w:rPr>
        <w:t>ia crean</w:t>
      </w:r>
      <w:r w:rsidR="000873E3">
        <w:rPr>
          <w:b/>
          <w:i/>
          <w:sz w:val="20"/>
        </w:rPr>
        <w:t>ț</w:t>
      </w:r>
      <w:r w:rsidR="00F33AF7" w:rsidRPr="00870FB6">
        <w:rPr>
          <w:b/>
          <w:i/>
          <w:sz w:val="20"/>
        </w:rPr>
        <w:t xml:space="preserve">elor </w:t>
      </w:r>
      <w:r w:rsidR="00604260" w:rsidRPr="00870FB6">
        <w:rPr>
          <w:b/>
          <w:i/>
          <w:sz w:val="20"/>
        </w:rPr>
        <w:t xml:space="preserve">și datoriilor </w:t>
      </w:r>
      <w:r w:rsidR="00F33AF7" w:rsidRPr="00870FB6">
        <w:rPr>
          <w:b/>
          <w:i/>
          <w:sz w:val="20"/>
        </w:rPr>
        <w:t>întreprin</w:t>
      </w:r>
      <w:r w:rsidR="001F4E5F" w:rsidRPr="00870FB6">
        <w:rPr>
          <w:b/>
          <w:i/>
          <w:sz w:val="20"/>
        </w:rPr>
        <w:t>derilor de stat în perioada anului 201</w:t>
      </w:r>
      <w:r w:rsidR="0051211E" w:rsidRPr="00870FB6">
        <w:rPr>
          <w:b/>
          <w:i/>
          <w:sz w:val="20"/>
        </w:rPr>
        <w:t>7</w:t>
      </w:r>
      <w:r w:rsidR="001F4E5F" w:rsidRPr="00870FB6">
        <w:rPr>
          <w:b/>
          <w:i/>
          <w:sz w:val="20"/>
        </w:rPr>
        <w:t>, mil. lei</w:t>
      </w:r>
    </w:p>
    <w:p w:rsidR="00F33AF7" w:rsidRPr="00870FB6" w:rsidRDefault="00F33AF7" w:rsidP="00440C05">
      <w:pPr>
        <w:pStyle w:val="BodyTextIndent2"/>
        <w:ind w:firstLine="0"/>
        <w:rPr>
          <w:color w:val="FF0000"/>
          <w:szCs w:val="28"/>
        </w:rPr>
      </w:pPr>
    </w:p>
    <w:p w:rsidR="00F33AF7" w:rsidRPr="00870FB6" w:rsidRDefault="00F33AF7" w:rsidP="00F33AF7">
      <w:pPr>
        <w:pStyle w:val="NoSpacing"/>
        <w:spacing w:line="276" w:lineRule="auto"/>
        <w:ind w:firstLine="567"/>
        <w:jc w:val="both"/>
        <w:rPr>
          <w:sz w:val="28"/>
          <w:szCs w:val="28"/>
        </w:rPr>
      </w:pPr>
      <w:r w:rsidRPr="00870FB6">
        <w:rPr>
          <w:sz w:val="28"/>
          <w:szCs w:val="28"/>
        </w:rPr>
        <w:t xml:space="preserve">În partea ce </w:t>
      </w:r>
      <w:r w:rsidR="000873E3">
        <w:rPr>
          <w:sz w:val="28"/>
          <w:szCs w:val="28"/>
        </w:rPr>
        <w:t>ț</w:t>
      </w:r>
      <w:r w:rsidRPr="00870FB6">
        <w:rPr>
          <w:sz w:val="28"/>
          <w:szCs w:val="28"/>
        </w:rPr>
        <w:t xml:space="preserve">ine de </w:t>
      </w:r>
      <w:r w:rsidRPr="00870FB6">
        <w:rPr>
          <w:i/>
          <w:sz w:val="28"/>
          <w:szCs w:val="28"/>
        </w:rPr>
        <w:t>datoriile întreprinderilor de stat</w:t>
      </w:r>
      <w:r w:rsidRPr="00870FB6">
        <w:rPr>
          <w:sz w:val="28"/>
          <w:szCs w:val="28"/>
        </w:rPr>
        <w:t>, se men</w:t>
      </w:r>
      <w:r w:rsidR="000873E3">
        <w:rPr>
          <w:sz w:val="28"/>
          <w:szCs w:val="28"/>
        </w:rPr>
        <w:t>ț</w:t>
      </w:r>
      <w:r w:rsidRPr="00870FB6">
        <w:rPr>
          <w:sz w:val="28"/>
          <w:szCs w:val="28"/>
        </w:rPr>
        <w:t>ione</w:t>
      </w:r>
      <w:r w:rsidR="0062449A" w:rsidRPr="00870FB6">
        <w:rPr>
          <w:sz w:val="28"/>
          <w:szCs w:val="28"/>
        </w:rPr>
        <w:t>a</w:t>
      </w:r>
      <w:r w:rsidR="00172FCB" w:rsidRPr="00870FB6">
        <w:rPr>
          <w:sz w:val="28"/>
          <w:szCs w:val="28"/>
        </w:rPr>
        <w:t>ză că la situa</w:t>
      </w:r>
      <w:r w:rsidR="000873E3">
        <w:rPr>
          <w:sz w:val="28"/>
          <w:szCs w:val="28"/>
        </w:rPr>
        <w:t>ț</w:t>
      </w:r>
      <w:r w:rsidR="00172FCB" w:rsidRPr="00870FB6">
        <w:rPr>
          <w:sz w:val="28"/>
          <w:szCs w:val="28"/>
        </w:rPr>
        <w:t>ia din 31.12.201</w:t>
      </w:r>
      <w:r w:rsidR="005D0DDC" w:rsidRPr="00870FB6">
        <w:rPr>
          <w:sz w:val="28"/>
          <w:szCs w:val="28"/>
        </w:rPr>
        <w:t>7</w:t>
      </w:r>
      <w:r w:rsidRPr="00870FB6">
        <w:rPr>
          <w:sz w:val="28"/>
          <w:szCs w:val="28"/>
        </w:rPr>
        <w:t xml:space="preserve">, valoarea acestora s-a </w:t>
      </w:r>
      <w:r w:rsidR="005D0DDC" w:rsidRPr="00870FB6">
        <w:rPr>
          <w:sz w:val="28"/>
          <w:szCs w:val="28"/>
        </w:rPr>
        <w:t>majorat</w:t>
      </w:r>
      <w:r w:rsidRPr="00870FB6">
        <w:rPr>
          <w:sz w:val="28"/>
          <w:szCs w:val="28"/>
        </w:rPr>
        <w:t xml:space="preserve"> cu </w:t>
      </w:r>
      <w:r w:rsidR="005D0DDC" w:rsidRPr="00870FB6">
        <w:rPr>
          <w:sz w:val="28"/>
          <w:szCs w:val="28"/>
        </w:rPr>
        <w:t>606,2</w:t>
      </w:r>
      <w:r w:rsidRPr="00870FB6">
        <w:rPr>
          <w:sz w:val="28"/>
          <w:szCs w:val="28"/>
        </w:rPr>
        <w:t xml:space="preserve"> mil. lei. Astfel, datoriile întreprinderilor </w:t>
      </w:r>
      <w:r w:rsidR="00F35CEB" w:rsidRPr="00870FB6">
        <w:rPr>
          <w:sz w:val="28"/>
          <w:szCs w:val="28"/>
        </w:rPr>
        <w:t xml:space="preserve">de stat, în sumă totală de </w:t>
      </w:r>
      <w:r w:rsidR="005D0DDC" w:rsidRPr="00870FB6">
        <w:rPr>
          <w:sz w:val="28"/>
          <w:szCs w:val="28"/>
        </w:rPr>
        <w:t>6886,8</w:t>
      </w:r>
      <w:r w:rsidR="00F35CEB" w:rsidRPr="00870FB6">
        <w:rPr>
          <w:sz w:val="28"/>
          <w:szCs w:val="28"/>
        </w:rPr>
        <w:t xml:space="preserve"> mil. lei</w:t>
      </w:r>
      <w:r w:rsidR="0062449A" w:rsidRPr="00870FB6">
        <w:rPr>
          <w:sz w:val="28"/>
          <w:szCs w:val="28"/>
        </w:rPr>
        <w:t xml:space="preserve"> la finele anului 201</w:t>
      </w:r>
      <w:r w:rsidR="005D0DDC" w:rsidRPr="00870FB6">
        <w:rPr>
          <w:sz w:val="28"/>
          <w:szCs w:val="28"/>
        </w:rPr>
        <w:t>7</w:t>
      </w:r>
      <w:r w:rsidR="00F35CEB" w:rsidRPr="00870FB6">
        <w:rPr>
          <w:sz w:val="28"/>
          <w:szCs w:val="28"/>
        </w:rPr>
        <w:t xml:space="preserve">, </w:t>
      </w:r>
      <w:r w:rsidRPr="00870FB6">
        <w:rPr>
          <w:sz w:val="28"/>
          <w:szCs w:val="28"/>
        </w:rPr>
        <w:t xml:space="preserve">au fost constituite din datorii pe termen lung – </w:t>
      </w:r>
      <w:r w:rsidR="005D0DDC" w:rsidRPr="00870FB6">
        <w:rPr>
          <w:sz w:val="28"/>
          <w:szCs w:val="28"/>
        </w:rPr>
        <w:t>50,5</w:t>
      </w:r>
      <w:r w:rsidRPr="00870FB6">
        <w:rPr>
          <w:sz w:val="28"/>
          <w:szCs w:val="28"/>
        </w:rPr>
        <w:t xml:space="preserve">% sau </w:t>
      </w:r>
      <w:r w:rsidR="005D0DDC" w:rsidRPr="00870FB6">
        <w:rPr>
          <w:sz w:val="28"/>
          <w:szCs w:val="28"/>
        </w:rPr>
        <w:t>3475,1</w:t>
      </w:r>
      <w:r w:rsidRPr="00870FB6">
        <w:rPr>
          <w:sz w:val="28"/>
          <w:szCs w:val="28"/>
        </w:rPr>
        <w:t xml:space="preserve"> mil. lei şi datorii </w:t>
      </w:r>
      <w:r w:rsidR="00172FCB" w:rsidRPr="00870FB6">
        <w:rPr>
          <w:sz w:val="28"/>
          <w:szCs w:val="28"/>
        </w:rPr>
        <w:t xml:space="preserve">curente – </w:t>
      </w:r>
      <w:r w:rsidR="005D0DDC" w:rsidRPr="00870FB6">
        <w:rPr>
          <w:sz w:val="28"/>
          <w:szCs w:val="28"/>
        </w:rPr>
        <w:t>49,5</w:t>
      </w:r>
      <w:r w:rsidRPr="00870FB6">
        <w:rPr>
          <w:sz w:val="28"/>
          <w:szCs w:val="28"/>
        </w:rPr>
        <w:t xml:space="preserve">% sau </w:t>
      </w:r>
      <w:r w:rsidR="005D0DDC" w:rsidRPr="00870FB6">
        <w:rPr>
          <w:sz w:val="28"/>
          <w:szCs w:val="28"/>
        </w:rPr>
        <w:t>3411,7</w:t>
      </w:r>
      <w:r w:rsidRPr="00870FB6">
        <w:rPr>
          <w:sz w:val="28"/>
          <w:szCs w:val="28"/>
        </w:rPr>
        <w:t xml:space="preserve"> mil. lei.</w:t>
      </w:r>
    </w:p>
    <w:p w:rsidR="008F7C74" w:rsidRDefault="003E3369" w:rsidP="008F4160">
      <w:pPr>
        <w:pStyle w:val="NoSpacing"/>
        <w:spacing w:line="276" w:lineRule="auto"/>
        <w:ind w:firstLine="567"/>
        <w:jc w:val="both"/>
        <w:rPr>
          <w:sz w:val="28"/>
          <w:szCs w:val="28"/>
        </w:rPr>
      </w:pPr>
      <w:r w:rsidRPr="00870FB6">
        <w:rPr>
          <w:sz w:val="28"/>
          <w:szCs w:val="28"/>
        </w:rPr>
        <w:lastRenderedPageBreak/>
        <w:t>În anul 201</w:t>
      </w:r>
      <w:r w:rsidR="005D0DDC" w:rsidRPr="00870FB6">
        <w:rPr>
          <w:sz w:val="28"/>
          <w:szCs w:val="28"/>
        </w:rPr>
        <w:t>7</w:t>
      </w:r>
      <w:r w:rsidRPr="00870FB6">
        <w:rPr>
          <w:sz w:val="28"/>
          <w:szCs w:val="28"/>
        </w:rPr>
        <w:t>, at</w:t>
      </w:r>
      <w:r w:rsidR="009D5982" w:rsidRPr="00870FB6">
        <w:rPr>
          <w:sz w:val="28"/>
          <w:szCs w:val="28"/>
        </w:rPr>
        <w:t>î</w:t>
      </w:r>
      <w:r w:rsidR="00043C6E" w:rsidRPr="00870FB6">
        <w:rPr>
          <w:sz w:val="28"/>
          <w:szCs w:val="28"/>
        </w:rPr>
        <w:t>t datoriile pe termen lung</w:t>
      </w:r>
      <w:r w:rsidRPr="00870FB6">
        <w:rPr>
          <w:sz w:val="28"/>
          <w:szCs w:val="28"/>
        </w:rPr>
        <w:t xml:space="preserve"> c</w:t>
      </w:r>
      <w:r w:rsidR="009D5982" w:rsidRPr="00870FB6">
        <w:rPr>
          <w:sz w:val="28"/>
          <w:szCs w:val="28"/>
        </w:rPr>
        <w:t>î</w:t>
      </w:r>
      <w:r w:rsidRPr="00870FB6">
        <w:rPr>
          <w:sz w:val="28"/>
          <w:szCs w:val="28"/>
        </w:rPr>
        <w:t>t şi c</w:t>
      </w:r>
      <w:r w:rsidR="00A3180C" w:rsidRPr="00870FB6">
        <w:rPr>
          <w:sz w:val="28"/>
          <w:szCs w:val="28"/>
        </w:rPr>
        <w:t xml:space="preserve">ele curente au înregistrat o </w:t>
      </w:r>
      <w:r w:rsidR="005D0DDC" w:rsidRPr="00870FB6">
        <w:rPr>
          <w:sz w:val="28"/>
          <w:szCs w:val="28"/>
        </w:rPr>
        <w:t>majorare</w:t>
      </w:r>
      <w:r w:rsidRPr="00870FB6">
        <w:rPr>
          <w:sz w:val="28"/>
          <w:szCs w:val="28"/>
        </w:rPr>
        <w:t xml:space="preserve"> valorică în raport cu începutul anului 201</w:t>
      </w:r>
      <w:r w:rsidR="005D0DDC" w:rsidRPr="00870FB6">
        <w:rPr>
          <w:sz w:val="28"/>
          <w:szCs w:val="28"/>
        </w:rPr>
        <w:t>7</w:t>
      </w:r>
      <w:r w:rsidR="00A3180C" w:rsidRPr="00870FB6">
        <w:rPr>
          <w:sz w:val="28"/>
          <w:szCs w:val="28"/>
        </w:rPr>
        <w:t>.</w:t>
      </w:r>
      <w:r w:rsidR="00A3180C" w:rsidRPr="00870FB6">
        <w:rPr>
          <w:color w:val="FF0000"/>
          <w:sz w:val="28"/>
          <w:szCs w:val="28"/>
        </w:rPr>
        <w:t xml:space="preserve"> </w:t>
      </w:r>
      <w:r w:rsidR="005D0DDC" w:rsidRPr="00870FB6">
        <w:rPr>
          <w:sz w:val="28"/>
          <w:szCs w:val="28"/>
        </w:rPr>
        <w:t>Majorarea</w:t>
      </w:r>
      <w:r w:rsidR="00A3180C" w:rsidRPr="00870FB6">
        <w:rPr>
          <w:sz w:val="28"/>
          <w:szCs w:val="28"/>
        </w:rPr>
        <w:t xml:space="preserve"> cu </w:t>
      </w:r>
      <w:r w:rsidR="005D0DDC" w:rsidRPr="00870FB6">
        <w:rPr>
          <w:sz w:val="28"/>
          <w:szCs w:val="28"/>
        </w:rPr>
        <w:t>335,5</w:t>
      </w:r>
      <w:r w:rsidRPr="00870FB6">
        <w:rPr>
          <w:sz w:val="28"/>
          <w:szCs w:val="28"/>
        </w:rPr>
        <w:t xml:space="preserve"> mil. lei a datoriilor pe termen lung a fost condi</w:t>
      </w:r>
      <w:r w:rsidR="000873E3">
        <w:rPr>
          <w:sz w:val="28"/>
          <w:szCs w:val="28"/>
        </w:rPr>
        <w:t>ț</w:t>
      </w:r>
      <w:r w:rsidR="00A3180C" w:rsidRPr="00870FB6">
        <w:rPr>
          <w:sz w:val="28"/>
          <w:szCs w:val="28"/>
        </w:rPr>
        <w:t xml:space="preserve">ionată, în </w:t>
      </w:r>
      <w:r w:rsidR="005D0DDC" w:rsidRPr="00870FB6">
        <w:rPr>
          <w:sz w:val="28"/>
          <w:szCs w:val="28"/>
        </w:rPr>
        <w:t>special de creșterea</w:t>
      </w:r>
      <w:r w:rsidR="00604260" w:rsidRPr="00870FB6">
        <w:rPr>
          <w:sz w:val="28"/>
          <w:szCs w:val="28"/>
        </w:rPr>
        <w:t xml:space="preserve"> valorică a altor datorii</w:t>
      </w:r>
      <w:r w:rsidRPr="00870FB6">
        <w:rPr>
          <w:sz w:val="28"/>
          <w:szCs w:val="28"/>
        </w:rPr>
        <w:t xml:space="preserve"> pe termen lung</w:t>
      </w:r>
      <w:r w:rsidR="005D0DDC" w:rsidRPr="00870FB6">
        <w:rPr>
          <w:sz w:val="28"/>
          <w:szCs w:val="28"/>
        </w:rPr>
        <w:t xml:space="preserve"> (cu 470,8 mil. lei</w:t>
      </w:r>
      <w:r w:rsidR="009508E1" w:rsidRPr="00870FB6">
        <w:rPr>
          <w:rStyle w:val="FootnoteReference"/>
          <w:sz w:val="28"/>
          <w:szCs w:val="28"/>
        </w:rPr>
        <w:footnoteReference w:id="4"/>
      </w:r>
      <w:r w:rsidR="005D0DDC" w:rsidRPr="00870FB6">
        <w:rPr>
          <w:sz w:val="28"/>
          <w:szCs w:val="28"/>
        </w:rPr>
        <w:t>),</w:t>
      </w:r>
      <w:r w:rsidRPr="00870FB6">
        <w:rPr>
          <w:sz w:val="28"/>
          <w:szCs w:val="28"/>
        </w:rPr>
        <w:t xml:space="preserve"> care de altfel de</w:t>
      </w:r>
      <w:r w:rsidR="000873E3">
        <w:rPr>
          <w:sz w:val="28"/>
          <w:szCs w:val="28"/>
        </w:rPr>
        <w:t>ț</w:t>
      </w:r>
      <w:r w:rsidRPr="00870FB6">
        <w:rPr>
          <w:sz w:val="28"/>
          <w:szCs w:val="28"/>
        </w:rPr>
        <w:t xml:space="preserve">in ponderea majoritară în totalul datoriilor pe termen lung </w:t>
      </w:r>
      <w:r w:rsidR="00A3180C" w:rsidRPr="00870FB6">
        <w:rPr>
          <w:sz w:val="28"/>
          <w:szCs w:val="28"/>
        </w:rPr>
        <w:t xml:space="preserve">– </w:t>
      </w:r>
      <w:r w:rsidR="009508E1" w:rsidRPr="00870FB6">
        <w:rPr>
          <w:sz w:val="28"/>
          <w:szCs w:val="28"/>
        </w:rPr>
        <w:t>86,2</w:t>
      </w:r>
      <w:r w:rsidRPr="00870FB6">
        <w:rPr>
          <w:sz w:val="28"/>
          <w:szCs w:val="28"/>
        </w:rPr>
        <w:t xml:space="preserve">% sau </w:t>
      </w:r>
      <w:r w:rsidR="009508E1" w:rsidRPr="00870FB6">
        <w:rPr>
          <w:sz w:val="28"/>
          <w:szCs w:val="28"/>
        </w:rPr>
        <w:t>2996,7</w:t>
      </w:r>
      <w:r w:rsidRPr="00870FB6">
        <w:rPr>
          <w:sz w:val="28"/>
          <w:szCs w:val="28"/>
        </w:rPr>
        <w:t xml:space="preserve"> mil. lei</w:t>
      </w:r>
      <w:r w:rsidR="00F6392A" w:rsidRPr="00870FB6">
        <w:rPr>
          <w:rStyle w:val="FootnoteReference"/>
          <w:sz w:val="28"/>
          <w:szCs w:val="28"/>
        </w:rPr>
        <w:footnoteReference w:id="5"/>
      </w:r>
      <w:r w:rsidRPr="00870FB6">
        <w:rPr>
          <w:sz w:val="28"/>
          <w:szCs w:val="28"/>
        </w:rPr>
        <w:t>.</w:t>
      </w:r>
      <w:r w:rsidR="008F4160" w:rsidRPr="00870FB6">
        <w:rPr>
          <w:sz w:val="28"/>
          <w:szCs w:val="28"/>
        </w:rPr>
        <w:t xml:space="preserve"> </w:t>
      </w:r>
      <w:r w:rsidR="008F7C74" w:rsidRPr="00870FB6">
        <w:rPr>
          <w:sz w:val="28"/>
          <w:szCs w:val="28"/>
        </w:rPr>
        <w:t>De remarcat de asemenea că o parte a altor datorii pe termen lung revine terenurilor întreprinderilor de stat, primite în gestiune economică și care, conform Standardelor Naționale de Contabilitate și Planului general de conturi contabile, se înregistrează la compartimentul „Alte datorii pe termen lung”.</w:t>
      </w:r>
    </w:p>
    <w:p w:rsidR="008F4160" w:rsidRPr="00870FB6" w:rsidRDefault="008F7C74" w:rsidP="008F4160">
      <w:pPr>
        <w:pStyle w:val="NoSpacing"/>
        <w:spacing w:line="276" w:lineRule="auto"/>
        <w:ind w:firstLine="567"/>
        <w:jc w:val="both"/>
        <w:rPr>
          <w:sz w:val="28"/>
          <w:szCs w:val="28"/>
        </w:rPr>
      </w:pPr>
      <w:r>
        <w:rPr>
          <w:sz w:val="28"/>
          <w:szCs w:val="28"/>
        </w:rPr>
        <w:t>D</w:t>
      </w:r>
      <w:r w:rsidR="008F4160" w:rsidRPr="00870FB6">
        <w:rPr>
          <w:sz w:val="28"/>
          <w:szCs w:val="28"/>
        </w:rPr>
        <w:t xml:space="preserve">in totalul datoriilor pe termen lung, creditele bancare pe termen lung constituie </w:t>
      </w:r>
      <w:r w:rsidR="008855D4" w:rsidRPr="00870FB6">
        <w:rPr>
          <w:sz w:val="28"/>
          <w:szCs w:val="28"/>
        </w:rPr>
        <w:t>237,7</w:t>
      </w:r>
      <w:r w:rsidR="008F4160" w:rsidRPr="00870FB6">
        <w:rPr>
          <w:sz w:val="28"/>
          <w:szCs w:val="28"/>
        </w:rPr>
        <w:t xml:space="preserve"> mil. lei sau </w:t>
      </w:r>
      <w:r w:rsidR="008855D4" w:rsidRPr="00870FB6">
        <w:rPr>
          <w:sz w:val="28"/>
          <w:szCs w:val="28"/>
        </w:rPr>
        <w:t>6,8</w:t>
      </w:r>
      <w:r w:rsidR="00B96682" w:rsidRPr="00870FB6">
        <w:rPr>
          <w:sz w:val="28"/>
          <w:szCs w:val="28"/>
        </w:rPr>
        <w:t>%,</w:t>
      </w:r>
      <w:r w:rsidR="008F4160" w:rsidRPr="00870FB6">
        <w:rPr>
          <w:sz w:val="28"/>
          <w:szCs w:val="28"/>
        </w:rPr>
        <w:t xml:space="preserve"> împrumuturile pe termen lung – </w:t>
      </w:r>
      <w:r w:rsidR="008855D4" w:rsidRPr="00870FB6">
        <w:rPr>
          <w:sz w:val="28"/>
          <w:szCs w:val="28"/>
        </w:rPr>
        <w:t>231,5</w:t>
      </w:r>
      <w:r w:rsidR="008F4160" w:rsidRPr="00870FB6">
        <w:rPr>
          <w:sz w:val="28"/>
          <w:szCs w:val="28"/>
        </w:rPr>
        <w:t xml:space="preserve"> mi</w:t>
      </w:r>
      <w:r w:rsidR="008855D4" w:rsidRPr="00870FB6">
        <w:rPr>
          <w:sz w:val="28"/>
          <w:szCs w:val="28"/>
        </w:rPr>
        <w:t>l. lei sau 6</w:t>
      </w:r>
      <w:r w:rsidR="006871A7" w:rsidRPr="00870FB6">
        <w:rPr>
          <w:sz w:val="28"/>
          <w:szCs w:val="28"/>
        </w:rPr>
        <w:t>,7%</w:t>
      </w:r>
      <w:r w:rsidR="00B96682" w:rsidRPr="00870FB6">
        <w:rPr>
          <w:sz w:val="28"/>
          <w:szCs w:val="28"/>
        </w:rPr>
        <w:t>, iar datoriile pe termen lung privind leasingul financiar – 9,2 mil. lei sau 0,3</w:t>
      </w:r>
      <w:r w:rsidR="00EF2E82">
        <w:rPr>
          <w:sz w:val="28"/>
          <w:szCs w:val="28"/>
        </w:rPr>
        <w:t xml:space="preserve"> la sută</w:t>
      </w:r>
      <w:r w:rsidR="008F4160" w:rsidRPr="00870FB6">
        <w:rPr>
          <w:sz w:val="28"/>
          <w:szCs w:val="28"/>
        </w:rPr>
        <w:t>.</w:t>
      </w:r>
    </w:p>
    <w:p w:rsidR="00B76499" w:rsidRPr="00870FB6" w:rsidRDefault="00B96682" w:rsidP="00604260">
      <w:pPr>
        <w:pStyle w:val="NoSpacing"/>
        <w:spacing w:line="276" w:lineRule="auto"/>
        <w:ind w:firstLine="567"/>
        <w:jc w:val="both"/>
        <w:rPr>
          <w:sz w:val="28"/>
          <w:szCs w:val="28"/>
        </w:rPr>
      </w:pPr>
      <w:r w:rsidRPr="00870FB6">
        <w:rPr>
          <w:sz w:val="28"/>
          <w:szCs w:val="28"/>
        </w:rPr>
        <w:t>Majorarea</w:t>
      </w:r>
      <w:r w:rsidR="00F33AF7" w:rsidRPr="00870FB6">
        <w:rPr>
          <w:sz w:val="28"/>
          <w:szCs w:val="28"/>
        </w:rPr>
        <w:t xml:space="preserve"> </w:t>
      </w:r>
      <w:r w:rsidR="001926DB" w:rsidRPr="00870FB6">
        <w:rPr>
          <w:sz w:val="28"/>
          <w:szCs w:val="28"/>
        </w:rPr>
        <w:t xml:space="preserve">datoriilor curente la întreprinderi </w:t>
      </w:r>
      <w:r w:rsidR="00F33AF7" w:rsidRPr="00870FB6">
        <w:rPr>
          <w:sz w:val="28"/>
          <w:szCs w:val="28"/>
        </w:rPr>
        <w:t xml:space="preserve">cu </w:t>
      </w:r>
      <w:r w:rsidRPr="00870FB6">
        <w:rPr>
          <w:sz w:val="28"/>
          <w:szCs w:val="28"/>
        </w:rPr>
        <w:t>270,7</w:t>
      </w:r>
      <w:r w:rsidR="00F33AF7" w:rsidRPr="00870FB6">
        <w:rPr>
          <w:sz w:val="28"/>
          <w:szCs w:val="28"/>
        </w:rPr>
        <w:t xml:space="preserve"> mil. lei a fost </w:t>
      </w:r>
      <w:r w:rsidR="00A3180C" w:rsidRPr="00870FB6">
        <w:rPr>
          <w:sz w:val="28"/>
          <w:szCs w:val="28"/>
        </w:rPr>
        <w:t>condi</w:t>
      </w:r>
      <w:r w:rsidR="000873E3">
        <w:rPr>
          <w:sz w:val="28"/>
          <w:szCs w:val="28"/>
        </w:rPr>
        <w:t>ț</w:t>
      </w:r>
      <w:r w:rsidR="00A3180C" w:rsidRPr="00870FB6">
        <w:rPr>
          <w:sz w:val="28"/>
          <w:szCs w:val="28"/>
        </w:rPr>
        <w:t xml:space="preserve">ionată </w:t>
      </w:r>
      <w:r w:rsidRPr="00870FB6">
        <w:rPr>
          <w:sz w:val="28"/>
          <w:szCs w:val="28"/>
        </w:rPr>
        <w:t xml:space="preserve">în mare parte de creșterea datoriilor comerciale </w:t>
      </w:r>
      <w:r w:rsidR="00B76499" w:rsidRPr="00870FB6">
        <w:rPr>
          <w:sz w:val="28"/>
          <w:szCs w:val="28"/>
        </w:rPr>
        <w:t>(</w:t>
      </w:r>
      <w:r w:rsidRPr="00870FB6">
        <w:rPr>
          <w:sz w:val="28"/>
          <w:szCs w:val="28"/>
        </w:rPr>
        <w:t>cu 153,9 mil. lei</w:t>
      </w:r>
      <w:r w:rsidR="00B76499" w:rsidRPr="00870FB6">
        <w:rPr>
          <w:sz w:val="28"/>
          <w:szCs w:val="28"/>
        </w:rPr>
        <w:t>)</w:t>
      </w:r>
      <w:r w:rsidRPr="00870FB6">
        <w:rPr>
          <w:sz w:val="28"/>
          <w:szCs w:val="28"/>
        </w:rPr>
        <w:t>, a datoriilor fa</w:t>
      </w:r>
      <w:r w:rsidR="000873E3">
        <w:rPr>
          <w:sz w:val="28"/>
          <w:szCs w:val="28"/>
        </w:rPr>
        <w:t>ț</w:t>
      </w:r>
      <w:r w:rsidRPr="00870FB6">
        <w:rPr>
          <w:sz w:val="28"/>
          <w:szCs w:val="28"/>
        </w:rPr>
        <w:t>ă de păr</w:t>
      </w:r>
      <w:r w:rsidR="000873E3">
        <w:rPr>
          <w:sz w:val="28"/>
          <w:szCs w:val="28"/>
        </w:rPr>
        <w:t>ț</w:t>
      </w:r>
      <w:r w:rsidRPr="00870FB6">
        <w:rPr>
          <w:sz w:val="28"/>
          <w:szCs w:val="28"/>
        </w:rPr>
        <w:t>ile afiliate (cu 64,6 mil. lei), a împrumuturilor pe termen scurt (cu 62,0 mil. lei)</w:t>
      </w:r>
      <w:r w:rsidR="00B76499" w:rsidRPr="00870FB6">
        <w:rPr>
          <w:sz w:val="28"/>
          <w:szCs w:val="28"/>
        </w:rPr>
        <w:t>, a avansurilor primite curente (cu 34,7 mil. lei) etc. De altfel, volumul creditelor bancare pe termen scurt a scăzut cu 55,6 mil. lei fa</w:t>
      </w:r>
      <w:r w:rsidR="000873E3">
        <w:rPr>
          <w:sz w:val="28"/>
          <w:szCs w:val="28"/>
        </w:rPr>
        <w:t>ț</w:t>
      </w:r>
      <w:r w:rsidR="00B76499" w:rsidRPr="00870FB6">
        <w:rPr>
          <w:sz w:val="28"/>
          <w:szCs w:val="28"/>
        </w:rPr>
        <w:t>ă de începutul anului 2017.</w:t>
      </w:r>
    </w:p>
    <w:p w:rsidR="00F33AF7" w:rsidRPr="00870FB6" w:rsidRDefault="003E3369" w:rsidP="00604260">
      <w:pPr>
        <w:pStyle w:val="NoSpacing"/>
        <w:spacing w:line="276" w:lineRule="auto"/>
        <w:ind w:firstLine="567"/>
        <w:jc w:val="both"/>
        <w:rPr>
          <w:sz w:val="28"/>
          <w:szCs w:val="28"/>
        </w:rPr>
      </w:pPr>
      <w:r w:rsidRPr="00870FB6">
        <w:rPr>
          <w:sz w:val="28"/>
          <w:szCs w:val="28"/>
        </w:rPr>
        <w:t>Totodată, ponderile majoritare</w:t>
      </w:r>
      <w:r w:rsidR="00F33AF7" w:rsidRPr="00870FB6">
        <w:rPr>
          <w:sz w:val="28"/>
          <w:szCs w:val="28"/>
        </w:rPr>
        <w:t xml:space="preserve"> în totalul datoriilor </w:t>
      </w:r>
      <w:r w:rsidR="00E44864" w:rsidRPr="00870FB6">
        <w:rPr>
          <w:sz w:val="28"/>
          <w:szCs w:val="28"/>
        </w:rPr>
        <w:t>curente revin</w:t>
      </w:r>
      <w:r w:rsidR="00F33AF7" w:rsidRPr="00870FB6">
        <w:rPr>
          <w:sz w:val="28"/>
          <w:szCs w:val="28"/>
        </w:rPr>
        <w:t xml:space="preserve"> datoriilor comerciale</w:t>
      </w:r>
      <w:r w:rsidR="0073353C" w:rsidRPr="00870FB6">
        <w:rPr>
          <w:sz w:val="28"/>
          <w:szCs w:val="28"/>
        </w:rPr>
        <w:t xml:space="preserve"> </w:t>
      </w:r>
      <w:r w:rsidR="00F33AF7" w:rsidRPr="00870FB6">
        <w:rPr>
          <w:sz w:val="28"/>
          <w:szCs w:val="28"/>
        </w:rPr>
        <w:t xml:space="preserve">– </w:t>
      </w:r>
      <w:r w:rsidR="00B76499" w:rsidRPr="00870FB6">
        <w:rPr>
          <w:sz w:val="28"/>
          <w:szCs w:val="28"/>
        </w:rPr>
        <w:t>52,6</w:t>
      </w:r>
      <w:r w:rsidR="00F33AF7" w:rsidRPr="00870FB6">
        <w:rPr>
          <w:sz w:val="28"/>
          <w:szCs w:val="28"/>
        </w:rPr>
        <w:t xml:space="preserve">% sau </w:t>
      </w:r>
      <w:r w:rsidR="00B76499" w:rsidRPr="00870FB6">
        <w:rPr>
          <w:sz w:val="28"/>
          <w:szCs w:val="28"/>
        </w:rPr>
        <w:t>1795,5</w:t>
      </w:r>
      <w:r w:rsidRPr="00870FB6">
        <w:rPr>
          <w:sz w:val="28"/>
          <w:szCs w:val="28"/>
        </w:rPr>
        <w:t xml:space="preserve"> mil. lei şi avansurilor primite curente – </w:t>
      </w:r>
      <w:r w:rsidR="00B76499" w:rsidRPr="00870FB6">
        <w:rPr>
          <w:sz w:val="28"/>
          <w:szCs w:val="28"/>
        </w:rPr>
        <w:t>15,5</w:t>
      </w:r>
      <w:r w:rsidR="003679A0" w:rsidRPr="00870FB6">
        <w:rPr>
          <w:sz w:val="28"/>
          <w:szCs w:val="28"/>
        </w:rPr>
        <w:t xml:space="preserve">% sau </w:t>
      </w:r>
      <w:r w:rsidR="00B76499" w:rsidRPr="00870FB6">
        <w:rPr>
          <w:sz w:val="28"/>
          <w:szCs w:val="28"/>
        </w:rPr>
        <w:t>527,9</w:t>
      </w:r>
      <w:r w:rsidRPr="00870FB6">
        <w:rPr>
          <w:sz w:val="28"/>
          <w:szCs w:val="28"/>
        </w:rPr>
        <w:t xml:space="preserve"> mil. lei.</w:t>
      </w:r>
    </w:p>
    <w:p w:rsidR="008F4160" w:rsidRPr="00870FB6" w:rsidRDefault="008F4160" w:rsidP="008F4160">
      <w:pPr>
        <w:pStyle w:val="BodyTextIndent2"/>
        <w:spacing w:line="276" w:lineRule="auto"/>
        <w:ind w:firstLine="539"/>
        <w:rPr>
          <w:szCs w:val="28"/>
        </w:rPr>
      </w:pPr>
      <w:r w:rsidRPr="00870FB6">
        <w:rPr>
          <w:szCs w:val="28"/>
        </w:rPr>
        <w:t>În rezultatul analizei situa</w:t>
      </w:r>
      <w:r w:rsidR="000873E3">
        <w:rPr>
          <w:szCs w:val="28"/>
        </w:rPr>
        <w:t>ț</w:t>
      </w:r>
      <w:r w:rsidRPr="00870FB6">
        <w:rPr>
          <w:szCs w:val="28"/>
        </w:rPr>
        <w:t xml:space="preserve">iilor financiare, </w:t>
      </w:r>
      <w:r w:rsidR="00043C6E" w:rsidRPr="00870FB6">
        <w:rPr>
          <w:szCs w:val="28"/>
        </w:rPr>
        <w:t>s-a constatat că, la situa</w:t>
      </w:r>
      <w:r w:rsidR="000873E3">
        <w:rPr>
          <w:szCs w:val="28"/>
        </w:rPr>
        <w:t>ț</w:t>
      </w:r>
      <w:r w:rsidR="00043C6E" w:rsidRPr="00870FB6">
        <w:rPr>
          <w:szCs w:val="28"/>
        </w:rPr>
        <w:t xml:space="preserve">ia din 31.12.2017, </w:t>
      </w:r>
      <w:r w:rsidRPr="00870FB6">
        <w:rPr>
          <w:i/>
          <w:szCs w:val="28"/>
        </w:rPr>
        <w:t xml:space="preserve">la </w:t>
      </w:r>
      <w:r w:rsidR="000D3009" w:rsidRPr="00870FB6">
        <w:rPr>
          <w:i/>
          <w:szCs w:val="28"/>
        </w:rPr>
        <w:t>47</w:t>
      </w:r>
      <w:r w:rsidRPr="00870FB6">
        <w:rPr>
          <w:i/>
          <w:szCs w:val="28"/>
        </w:rPr>
        <w:t xml:space="preserve"> întreprinderi sau </w:t>
      </w:r>
      <w:r w:rsidR="000D3009" w:rsidRPr="00870FB6">
        <w:rPr>
          <w:i/>
          <w:szCs w:val="28"/>
        </w:rPr>
        <w:t>27,8</w:t>
      </w:r>
      <w:r w:rsidRPr="00870FB6">
        <w:rPr>
          <w:i/>
          <w:szCs w:val="28"/>
        </w:rPr>
        <w:t>%</w:t>
      </w:r>
      <w:r w:rsidRPr="00870FB6">
        <w:rPr>
          <w:szCs w:val="28"/>
        </w:rPr>
        <w:t xml:space="preserve"> din totalul întreprinderilor de stat monitorizate, </w:t>
      </w:r>
      <w:r w:rsidRPr="00870FB6">
        <w:rPr>
          <w:i/>
          <w:szCs w:val="28"/>
        </w:rPr>
        <w:t xml:space="preserve">datoriile </w:t>
      </w:r>
      <w:r w:rsidR="00BA21A1" w:rsidRPr="00870FB6">
        <w:rPr>
          <w:i/>
          <w:szCs w:val="28"/>
        </w:rPr>
        <w:t>curente</w:t>
      </w:r>
      <w:r w:rsidRPr="00870FB6">
        <w:rPr>
          <w:i/>
          <w:szCs w:val="28"/>
        </w:rPr>
        <w:t xml:space="preserve"> prevalează activele </w:t>
      </w:r>
      <w:r w:rsidR="00BA21A1" w:rsidRPr="00870FB6">
        <w:rPr>
          <w:i/>
          <w:szCs w:val="28"/>
        </w:rPr>
        <w:t>circulante</w:t>
      </w:r>
      <w:r w:rsidRPr="00870FB6">
        <w:rPr>
          <w:szCs w:val="28"/>
        </w:rPr>
        <w:t xml:space="preserve">, fapt care se reflectă negativ asupra dezvoltării economice a </w:t>
      </w:r>
      <w:r w:rsidR="00235BF0">
        <w:rPr>
          <w:szCs w:val="28"/>
        </w:rPr>
        <w:t>acestora</w:t>
      </w:r>
      <w:r w:rsidR="00BA21A1" w:rsidRPr="00870FB6">
        <w:rPr>
          <w:szCs w:val="28"/>
        </w:rPr>
        <w:t xml:space="preserve"> (</w:t>
      </w:r>
      <w:r w:rsidR="00BA21A1" w:rsidRPr="00870FB6">
        <w:rPr>
          <w:i/>
          <w:szCs w:val="28"/>
        </w:rPr>
        <w:t xml:space="preserve">fondul de rulment </w:t>
      </w:r>
      <w:r w:rsidR="001926DB" w:rsidRPr="00870FB6">
        <w:rPr>
          <w:i/>
          <w:szCs w:val="28"/>
        </w:rPr>
        <w:t xml:space="preserve">net </w:t>
      </w:r>
      <w:r w:rsidR="00661A1B" w:rsidRPr="00870FB6">
        <w:rPr>
          <w:i/>
          <w:szCs w:val="28"/>
        </w:rPr>
        <w:t xml:space="preserve">este </w:t>
      </w:r>
      <w:r w:rsidR="00BA21A1" w:rsidRPr="00870FB6">
        <w:rPr>
          <w:i/>
          <w:szCs w:val="28"/>
        </w:rPr>
        <w:t>negativ</w:t>
      </w:r>
      <w:r w:rsidR="008F7C74">
        <w:rPr>
          <w:szCs w:val="28"/>
        </w:rPr>
        <w:t>).</w:t>
      </w:r>
      <w:r w:rsidRPr="00870FB6">
        <w:rPr>
          <w:szCs w:val="28"/>
        </w:rPr>
        <w:t xml:space="preserve"> </w:t>
      </w:r>
    </w:p>
    <w:p w:rsidR="008F7C74" w:rsidRPr="00870FB6" w:rsidRDefault="008F7C74" w:rsidP="008F7C74">
      <w:pPr>
        <w:pStyle w:val="NoSpacing"/>
        <w:spacing w:line="276" w:lineRule="auto"/>
        <w:ind w:firstLine="567"/>
        <w:jc w:val="both"/>
        <w:rPr>
          <w:sz w:val="28"/>
          <w:szCs w:val="28"/>
        </w:rPr>
      </w:pPr>
      <w:r w:rsidRPr="00870FB6">
        <w:rPr>
          <w:sz w:val="28"/>
          <w:szCs w:val="28"/>
        </w:rPr>
        <w:t xml:space="preserve">Suplimentar, se enunţă că </w:t>
      </w:r>
      <w:r w:rsidRPr="00870FB6">
        <w:rPr>
          <w:i/>
          <w:sz w:val="28"/>
          <w:szCs w:val="28"/>
        </w:rPr>
        <w:t>cele mai mari majorări ale datoriilor (curente și pe termen lung)</w:t>
      </w:r>
      <w:r w:rsidRPr="00870FB6">
        <w:rPr>
          <w:sz w:val="28"/>
          <w:szCs w:val="28"/>
        </w:rPr>
        <w:t xml:space="preserve"> se evidenţiază la întreprinderile din administrarea:</w:t>
      </w:r>
    </w:p>
    <w:p w:rsidR="008F7C74" w:rsidRPr="00870FB6" w:rsidRDefault="008F7C74" w:rsidP="00235BF0">
      <w:pPr>
        <w:pStyle w:val="NoSpacing"/>
        <w:numPr>
          <w:ilvl w:val="0"/>
          <w:numId w:val="1"/>
        </w:numPr>
        <w:tabs>
          <w:tab w:val="clear" w:pos="800"/>
          <w:tab w:val="num" w:pos="0"/>
        </w:tabs>
        <w:spacing w:line="276" w:lineRule="auto"/>
        <w:ind w:left="0" w:firstLine="567"/>
        <w:jc w:val="both"/>
        <w:rPr>
          <w:sz w:val="28"/>
          <w:szCs w:val="28"/>
        </w:rPr>
      </w:pPr>
      <w:r w:rsidRPr="00870FB6">
        <w:rPr>
          <w:sz w:val="28"/>
          <w:szCs w:val="28"/>
        </w:rPr>
        <w:t>Ministerului Economiei și Infrastructurii – cu 484,0 mil. lei (cauzate în special de creșterea datoriilor la Î.S. „Administrația de Stat a Drumurilor” – cu 429,6 mil. lei</w:t>
      </w:r>
      <w:r w:rsidRPr="00870FB6">
        <w:rPr>
          <w:rStyle w:val="FootnoteReference"/>
          <w:sz w:val="28"/>
          <w:szCs w:val="28"/>
        </w:rPr>
        <w:footnoteReference w:id="6"/>
      </w:r>
      <w:r w:rsidRPr="00870FB6">
        <w:rPr>
          <w:sz w:val="28"/>
          <w:szCs w:val="28"/>
        </w:rPr>
        <w:t>, Î.S. Compania Aeriană „Air Moldova” – cu 105,8 mil. lei, Î.S. „Moldelectrica” – cu 73,0 mil. lei, Î.S. „Fabrica de Sticlă din Chișinău” – cu 43,3 mil. lei);</w:t>
      </w:r>
    </w:p>
    <w:p w:rsidR="008F7C74" w:rsidRPr="00870FB6" w:rsidRDefault="008F7C74" w:rsidP="00235BF0">
      <w:pPr>
        <w:pStyle w:val="NoSpacing"/>
        <w:numPr>
          <w:ilvl w:val="0"/>
          <w:numId w:val="1"/>
        </w:numPr>
        <w:tabs>
          <w:tab w:val="clear" w:pos="800"/>
          <w:tab w:val="num" w:pos="0"/>
        </w:tabs>
        <w:spacing w:line="276" w:lineRule="auto"/>
        <w:ind w:left="0" w:firstLine="567"/>
        <w:jc w:val="both"/>
        <w:rPr>
          <w:sz w:val="28"/>
          <w:szCs w:val="28"/>
        </w:rPr>
      </w:pPr>
      <w:r w:rsidRPr="00870FB6">
        <w:rPr>
          <w:sz w:val="28"/>
          <w:szCs w:val="28"/>
        </w:rPr>
        <w:lastRenderedPageBreak/>
        <w:t>Ministerului Educației, Culturii și Cercetării – cu 69,7 mil. lei (cauzate în special de creșterea datoriilor la Î.S. Teatrul Național de Operă și Balet „Maria Bieșu” – cu 58,6 mil. lei</w:t>
      </w:r>
      <w:r>
        <w:rPr>
          <w:sz w:val="28"/>
          <w:szCs w:val="28"/>
          <w:vertAlign w:val="superscript"/>
        </w:rPr>
        <w:t>4</w:t>
      </w:r>
      <w:r w:rsidRPr="00870FB6">
        <w:rPr>
          <w:sz w:val="28"/>
          <w:szCs w:val="28"/>
        </w:rPr>
        <w:t xml:space="preserve"> și Î.S. „Combinatul Poligrafic” – cu 28,1 mil. lei);</w:t>
      </w:r>
    </w:p>
    <w:p w:rsidR="008F7C74" w:rsidRPr="00045A4E" w:rsidRDefault="008F7C74" w:rsidP="00235BF0">
      <w:pPr>
        <w:pStyle w:val="NoSpacing"/>
        <w:numPr>
          <w:ilvl w:val="0"/>
          <w:numId w:val="1"/>
        </w:numPr>
        <w:tabs>
          <w:tab w:val="clear" w:pos="800"/>
          <w:tab w:val="num" w:pos="0"/>
        </w:tabs>
        <w:spacing w:line="276" w:lineRule="auto"/>
        <w:ind w:left="0" w:firstLine="567"/>
        <w:jc w:val="both"/>
        <w:rPr>
          <w:sz w:val="28"/>
          <w:szCs w:val="28"/>
        </w:rPr>
      </w:pPr>
      <w:r w:rsidRPr="00870FB6">
        <w:rPr>
          <w:sz w:val="28"/>
          <w:szCs w:val="28"/>
        </w:rPr>
        <w:t xml:space="preserve">Ministerului Agriculturii, Dezvoltării Regionale și Mediului – cu 53,8 mil. lei (cauzate în special de creșterea datoriilor </w:t>
      </w:r>
      <w:r w:rsidRPr="007F2FB4">
        <w:rPr>
          <w:sz w:val="28"/>
          <w:szCs w:val="28"/>
        </w:rPr>
        <w:t>la Î.S. Institutul de Tehnică Agricolă „Mecagro” – cu 18,4 mil. lei</w:t>
      </w:r>
      <w:r w:rsidRPr="00870FB6">
        <w:rPr>
          <w:sz w:val="28"/>
          <w:szCs w:val="28"/>
        </w:rPr>
        <w:t xml:space="preserve">, Î.S. Sanatoriul Preventoriu de Bază „Constructorul” – cu 17,7 mil. lei, Î.S. „Stațiunea Didactică Experimentală din Stăuceni” – cu 5,1 mil. lei). </w:t>
      </w:r>
    </w:p>
    <w:p w:rsidR="00235BF0" w:rsidRDefault="00235BF0" w:rsidP="00235BF0">
      <w:pPr>
        <w:spacing w:line="120" w:lineRule="auto"/>
        <w:ind w:firstLine="539"/>
        <w:jc w:val="right"/>
        <w:rPr>
          <w:sz w:val="20"/>
          <w:szCs w:val="20"/>
        </w:rPr>
      </w:pPr>
    </w:p>
    <w:p w:rsidR="00D81951" w:rsidRDefault="00D81951" w:rsidP="007F2FB4">
      <w:pPr>
        <w:ind w:firstLine="539"/>
        <w:jc w:val="right"/>
        <w:rPr>
          <w:sz w:val="20"/>
          <w:szCs w:val="20"/>
        </w:rPr>
      </w:pPr>
    </w:p>
    <w:p w:rsidR="00F33AF7" w:rsidRPr="00870FB6" w:rsidRDefault="0027673D" w:rsidP="007F2FB4">
      <w:pPr>
        <w:ind w:firstLine="539"/>
        <w:jc w:val="right"/>
        <w:rPr>
          <w:sz w:val="20"/>
          <w:szCs w:val="20"/>
        </w:rPr>
      </w:pPr>
      <w:r w:rsidRPr="00870FB6">
        <w:rPr>
          <w:sz w:val="20"/>
          <w:szCs w:val="20"/>
        </w:rPr>
        <w:t xml:space="preserve">Tabelul </w:t>
      </w:r>
      <w:r w:rsidR="00924587">
        <w:rPr>
          <w:sz w:val="20"/>
          <w:szCs w:val="20"/>
        </w:rPr>
        <w:t>7</w:t>
      </w:r>
      <w:r w:rsidR="008F7C74">
        <w:rPr>
          <w:sz w:val="20"/>
          <w:szCs w:val="20"/>
        </w:rPr>
        <w:t>.</w:t>
      </w:r>
    </w:p>
    <w:p w:rsidR="0093628D" w:rsidRPr="00EF2E82" w:rsidRDefault="00037D37" w:rsidP="007F2FB4">
      <w:pPr>
        <w:ind w:firstLine="539"/>
        <w:jc w:val="center"/>
        <w:rPr>
          <w:b/>
          <w:i/>
          <w:sz w:val="20"/>
          <w:szCs w:val="20"/>
        </w:rPr>
      </w:pPr>
      <w:r w:rsidRPr="00EF2E82">
        <w:rPr>
          <w:b/>
          <w:i/>
          <w:sz w:val="20"/>
          <w:szCs w:val="20"/>
        </w:rPr>
        <w:t>Cele mai considerabile</w:t>
      </w:r>
      <w:r w:rsidR="00F33AF7" w:rsidRPr="00EF2E82">
        <w:rPr>
          <w:b/>
          <w:i/>
          <w:sz w:val="20"/>
          <w:szCs w:val="20"/>
        </w:rPr>
        <w:t xml:space="preserve"> majorări </w:t>
      </w:r>
      <w:r w:rsidR="00EF2E82">
        <w:rPr>
          <w:b/>
          <w:i/>
          <w:sz w:val="20"/>
          <w:szCs w:val="20"/>
        </w:rPr>
        <w:t>ș</w:t>
      </w:r>
      <w:r w:rsidR="00F33AF7" w:rsidRPr="00EF2E82">
        <w:rPr>
          <w:b/>
          <w:i/>
          <w:sz w:val="20"/>
          <w:szCs w:val="20"/>
        </w:rPr>
        <w:t>i diminuări a</w:t>
      </w:r>
      <w:r w:rsidR="00090FA3" w:rsidRPr="00EF2E82">
        <w:rPr>
          <w:b/>
          <w:i/>
          <w:sz w:val="20"/>
          <w:szCs w:val="20"/>
        </w:rPr>
        <w:t>le</w:t>
      </w:r>
      <w:r w:rsidR="00F33AF7" w:rsidRPr="00EF2E82">
        <w:rPr>
          <w:b/>
          <w:i/>
          <w:sz w:val="20"/>
          <w:szCs w:val="20"/>
        </w:rPr>
        <w:t xml:space="preserve"> datoriilor</w:t>
      </w:r>
      <w:r w:rsidR="00090FA3" w:rsidRPr="00EF2E82">
        <w:rPr>
          <w:b/>
          <w:i/>
          <w:sz w:val="20"/>
          <w:szCs w:val="20"/>
        </w:rPr>
        <w:t>,</w:t>
      </w:r>
      <w:r w:rsidR="004D6168" w:rsidRPr="00EF2E82">
        <w:rPr>
          <w:b/>
          <w:i/>
          <w:sz w:val="20"/>
          <w:szCs w:val="20"/>
        </w:rPr>
        <w:t xml:space="preserve"> </w:t>
      </w:r>
    </w:p>
    <w:p w:rsidR="00F33AF7" w:rsidRPr="00EF2E82" w:rsidRDefault="00090FA3" w:rsidP="00EF2E82">
      <w:pPr>
        <w:ind w:firstLine="539"/>
        <w:jc w:val="center"/>
        <w:rPr>
          <w:sz w:val="20"/>
          <w:szCs w:val="20"/>
        </w:rPr>
      </w:pPr>
      <w:r w:rsidRPr="00EF2E82">
        <w:rPr>
          <w:b/>
          <w:i/>
          <w:sz w:val="20"/>
          <w:szCs w:val="20"/>
        </w:rPr>
        <w:t>clasificate pe autorită</w:t>
      </w:r>
      <w:r w:rsidR="000873E3">
        <w:rPr>
          <w:b/>
          <w:i/>
          <w:sz w:val="20"/>
          <w:szCs w:val="20"/>
        </w:rPr>
        <w:t>ț</w:t>
      </w:r>
      <w:r w:rsidRPr="00EF2E82">
        <w:rPr>
          <w:b/>
          <w:i/>
          <w:sz w:val="20"/>
          <w:szCs w:val="20"/>
        </w:rPr>
        <w:t xml:space="preserve">i </w:t>
      </w:r>
      <w:r w:rsidR="000437F2" w:rsidRPr="00EF2E82">
        <w:rPr>
          <w:b/>
          <w:i/>
          <w:sz w:val="20"/>
          <w:szCs w:val="20"/>
        </w:rPr>
        <w:t xml:space="preserve">ale </w:t>
      </w:r>
      <w:r w:rsidRPr="00EF2E82">
        <w:rPr>
          <w:b/>
          <w:i/>
          <w:sz w:val="20"/>
          <w:szCs w:val="20"/>
        </w:rPr>
        <w:t>administra</w:t>
      </w:r>
      <w:r w:rsidR="000873E3">
        <w:rPr>
          <w:b/>
          <w:i/>
          <w:sz w:val="20"/>
          <w:szCs w:val="20"/>
        </w:rPr>
        <w:t>ț</w:t>
      </w:r>
      <w:r w:rsidR="000437F2" w:rsidRPr="00EF2E82">
        <w:rPr>
          <w:b/>
          <w:i/>
          <w:sz w:val="20"/>
          <w:szCs w:val="20"/>
        </w:rPr>
        <w:t>iei publice</w:t>
      </w:r>
      <w:r w:rsidR="00EF2E82" w:rsidRPr="00EF2E82">
        <w:rPr>
          <w:b/>
          <w:i/>
          <w:sz w:val="20"/>
          <w:szCs w:val="20"/>
        </w:rPr>
        <w:t>, mil</w:t>
      </w:r>
      <w:r w:rsidR="005B0750" w:rsidRPr="00EF2E82">
        <w:rPr>
          <w:sz w:val="20"/>
          <w:szCs w:val="20"/>
        </w:rPr>
        <w:t>.</w:t>
      </w:r>
      <w:r w:rsidR="00EF2E82" w:rsidRPr="00EF2E82">
        <w:rPr>
          <w:b/>
          <w:i/>
          <w:sz w:val="20"/>
          <w:szCs w:val="20"/>
        </w:rPr>
        <w:t>lei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911"/>
        <w:gridCol w:w="1289"/>
        <w:gridCol w:w="607"/>
        <w:gridCol w:w="3046"/>
        <w:gridCol w:w="1267"/>
      </w:tblGrid>
      <w:tr w:rsidR="00090FA3" w:rsidRPr="00870FB6" w:rsidTr="00613394">
        <w:trPr>
          <w:jc w:val="center"/>
        </w:trPr>
        <w:tc>
          <w:tcPr>
            <w:tcW w:w="511" w:type="dxa"/>
            <w:vMerge w:val="restart"/>
          </w:tcPr>
          <w:p w:rsidR="00090FA3" w:rsidRPr="00EF2E82" w:rsidRDefault="00090FA3" w:rsidP="00613394">
            <w:pPr>
              <w:jc w:val="center"/>
              <w:rPr>
                <w:b/>
                <w:i/>
                <w:iCs/>
                <w:sz w:val="20"/>
                <w:szCs w:val="20"/>
              </w:rPr>
            </w:pPr>
          </w:p>
          <w:p w:rsidR="00090FA3" w:rsidRPr="00EF2E82" w:rsidRDefault="00090FA3" w:rsidP="00613394">
            <w:pPr>
              <w:jc w:val="center"/>
              <w:rPr>
                <w:b/>
                <w:i/>
                <w:iCs/>
                <w:sz w:val="20"/>
                <w:szCs w:val="20"/>
              </w:rPr>
            </w:pPr>
            <w:r w:rsidRPr="00EF2E82">
              <w:rPr>
                <w:b/>
                <w:i/>
                <w:iCs/>
                <w:sz w:val="20"/>
                <w:szCs w:val="20"/>
              </w:rPr>
              <w:t>Nr.</w:t>
            </w:r>
          </w:p>
          <w:p w:rsidR="000437F2" w:rsidRPr="00EF2E82" w:rsidRDefault="000437F2" w:rsidP="00613394">
            <w:pPr>
              <w:jc w:val="center"/>
              <w:rPr>
                <w:b/>
                <w:i/>
                <w:iCs/>
                <w:sz w:val="20"/>
                <w:szCs w:val="20"/>
              </w:rPr>
            </w:pPr>
            <w:r w:rsidRPr="00EF2E82">
              <w:rPr>
                <w:b/>
                <w:i/>
                <w:iCs/>
                <w:sz w:val="20"/>
                <w:szCs w:val="20"/>
              </w:rPr>
              <w:t>d/o</w:t>
            </w:r>
          </w:p>
        </w:tc>
        <w:tc>
          <w:tcPr>
            <w:tcW w:w="4200" w:type="dxa"/>
            <w:gridSpan w:val="2"/>
          </w:tcPr>
          <w:p w:rsidR="00090FA3" w:rsidRPr="00EF2E82" w:rsidRDefault="00090FA3" w:rsidP="00613394">
            <w:pPr>
              <w:jc w:val="center"/>
              <w:rPr>
                <w:b/>
                <w:i/>
                <w:iCs/>
                <w:sz w:val="20"/>
                <w:szCs w:val="20"/>
              </w:rPr>
            </w:pPr>
            <w:r w:rsidRPr="00EF2E82">
              <w:rPr>
                <w:b/>
                <w:i/>
                <w:iCs/>
                <w:sz w:val="20"/>
                <w:szCs w:val="20"/>
              </w:rPr>
              <w:t>Majorări a datoriilor</w:t>
            </w:r>
          </w:p>
          <w:p w:rsidR="00090FA3" w:rsidRPr="00EF2E82" w:rsidRDefault="00F119F8" w:rsidP="00613394">
            <w:pPr>
              <w:jc w:val="center"/>
              <w:rPr>
                <w:b/>
                <w:i/>
                <w:iCs/>
                <w:sz w:val="20"/>
                <w:szCs w:val="20"/>
              </w:rPr>
            </w:pPr>
            <w:r w:rsidRPr="00EF2E82">
              <w:rPr>
                <w:b/>
                <w:i/>
                <w:iCs/>
                <w:sz w:val="20"/>
                <w:szCs w:val="20"/>
              </w:rPr>
              <w:t xml:space="preserve">comparativ cu </w:t>
            </w:r>
            <w:r w:rsidR="005B0750" w:rsidRPr="00EF2E82">
              <w:rPr>
                <w:b/>
                <w:i/>
                <w:iCs/>
                <w:sz w:val="20"/>
                <w:szCs w:val="20"/>
              </w:rPr>
              <w:t>01.01.201</w:t>
            </w:r>
            <w:r w:rsidR="0042046D" w:rsidRPr="00EF2E82">
              <w:rPr>
                <w:b/>
                <w:i/>
                <w:iCs/>
                <w:sz w:val="20"/>
                <w:szCs w:val="20"/>
              </w:rPr>
              <w:t>7</w:t>
            </w:r>
          </w:p>
        </w:tc>
        <w:tc>
          <w:tcPr>
            <w:tcW w:w="607" w:type="dxa"/>
            <w:vMerge w:val="restart"/>
          </w:tcPr>
          <w:p w:rsidR="00090FA3" w:rsidRPr="00EF2E82" w:rsidRDefault="00090FA3" w:rsidP="00613394">
            <w:pPr>
              <w:jc w:val="center"/>
              <w:rPr>
                <w:b/>
                <w:i/>
                <w:iCs/>
                <w:sz w:val="20"/>
                <w:szCs w:val="20"/>
              </w:rPr>
            </w:pPr>
          </w:p>
          <w:p w:rsidR="00090FA3" w:rsidRPr="00EF2E82" w:rsidRDefault="00090FA3" w:rsidP="00613394">
            <w:pPr>
              <w:jc w:val="center"/>
              <w:rPr>
                <w:b/>
                <w:i/>
                <w:iCs/>
                <w:sz w:val="20"/>
                <w:szCs w:val="20"/>
              </w:rPr>
            </w:pPr>
            <w:r w:rsidRPr="00EF2E82">
              <w:rPr>
                <w:b/>
                <w:i/>
                <w:iCs/>
                <w:sz w:val="20"/>
                <w:szCs w:val="20"/>
              </w:rPr>
              <w:t>Nr.</w:t>
            </w:r>
          </w:p>
          <w:p w:rsidR="000437F2" w:rsidRPr="00EF2E82" w:rsidRDefault="000437F2" w:rsidP="00613394">
            <w:pPr>
              <w:jc w:val="center"/>
              <w:rPr>
                <w:b/>
                <w:i/>
                <w:iCs/>
                <w:sz w:val="20"/>
                <w:szCs w:val="20"/>
              </w:rPr>
            </w:pPr>
            <w:r w:rsidRPr="00EF2E82">
              <w:rPr>
                <w:b/>
                <w:i/>
                <w:iCs/>
                <w:sz w:val="20"/>
                <w:szCs w:val="20"/>
              </w:rPr>
              <w:t>d/o</w:t>
            </w:r>
          </w:p>
        </w:tc>
        <w:tc>
          <w:tcPr>
            <w:tcW w:w="4313" w:type="dxa"/>
            <w:gridSpan w:val="2"/>
          </w:tcPr>
          <w:p w:rsidR="00090FA3" w:rsidRPr="00EF2E82" w:rsidRDefault="00090FA3" w:rsidP="00613394">
            <w:pPr>
              <w:jc w:val="center"/>
              <w:rPr>
                <w:b/>
                <w:i/>
                <w:iCs/>
                <w:sz w:val="20"/>
                <w:szCs w:val="20"/>
              </w:rPr>
            </w:pPr>
            <w:r w:rsidRPr="00EF2E82">
              <w:rPr>
                <w:b/>
                <w:i/>
                <w:iCs/>
                <w:sz w:val="20"/>
                <w:szCs w:val="20"/>
              </w:rPr>
              <w:t>Diminuări a datoriilor</w:t>
            </w:r>
          </w:p>
          <w:p w:rsidR="00090FA3" w:rsidRPr="00EF2E82" w:rsidRDefault="00F119F8" w:rsidP="001E6BB8">
            <w:pPr>
              <w:jc w:val="center"/>
              <w:rPr>
                <w:b/>
                <w:i/>
                <w:iCs/>
                <w:sz w:val="20"/>
                <w:szCs w:val="20"/>
              </w:rPr>
            </w:pPr>
            <w:r w:rsidRPr="00EF2E82">
              <w:rPr>
                <w:b/>
                <w:i/>
                <w:iCs/>
                <w:sz w:val="20"/>
                <w:szCs w:val="20"/>
              </w:rPr>
              <w:t xml:space="preserve">comparativ cu </w:t>
            </w:r>
            <w:r w:rsidR="001E6BB8" w:rsidRPr="00EF2E82">
              <w:rPr>
                <w:b/>
                <w:i/>
                <w:iCs/>
                <w:sz w:val="20"/>
                <w:szCs w:val="20"/>
              </w:rPr>
              <w:t>01.01.</w:t>
            </w:r>
            <w:r w:rsidRPr="00EF2E82">
              <w:rPr>
                <w:b/>
                <w:i/>
                <w:iCs/>
                <w:sz w:val="20"/>
                <w:szCs w:val="20"/>
              </w:rPr>
              <w:t>201</w:t>
            </w:r>
            <w:r w:rsidR="0042046D" w:rsidRPr="00EF2E82">
              <w:rPr>
                <w:b/>
                <w:i/>
                <w:iCs/>
                <w:sz w:val="20"/>
                <w:szCs w:val="20"/>
              </w:rPr>
              <w:t>7</w:t>
            </w:r>
          </w:p>
        </w:tc>
      </w:tr>
      <w:tr w:rsidR="00090FA3" w:rsidRPr="00870FB6" w:rsidTr="00613394">
        <w:trPr>
          <w:jc w:val="center"/>
        </w:trPr>
        <w:tc>
          <w:tcPr>
            <w:tcW w:w="511" w:type="dxa"/>
            <w:vMerge/>
          </w:tcPr>
          <w:p w:rsidR="00090FA3" w:rsidRPr="00EF2E82" w:rsidRDefault="00090FA3" w:rsidP="00613394">
            <w:pPr>
              <w:jc w:val="center"/>
              <w:rPr>
                <w:sz w:val="20"/>
                <w:szCs w:val="20"/>
              </w:rPr>
            </w:pPr>
          </w:p>
        </w:tc>
        <w:tc>
          <w:tcPr>
            <w:tcW w:w="2911" w:type="dxa"/>
          </w:tcPr>
          <w:p w:rsidR="00090FA3" w:rsidRPr="00EF2E82" w:rsidRDefault="00090FA3" w:rsidP="00613394">
            <w:pPr>
              <w:jc w:val="center"/>
              <w:rPr>
                <w:b/>
                <w:sz w:val="20"/>
                <w:szCs w:val="20"/>
              </w:rPr>
            </w:pPr>
            <w:r w:rsidRPr="00EF2E82">
              <w:rPr>
                <w:b/>
                <w:sz w:val="20"/>
                <w:szCs w:val="20"/>
              </w:rPr>
              <w:t>Fondator</w:t>
            </w:r>
          </w:p>
        </w:tc>
        <w:tc>
          <w:tcPr>
            <w:tcW w:w="1289" w:type="dxa"/>
          </w:tcPr>
          <w:p w:rsidR="00090FA3" w:rsidRPr="00EF2E82" w:rsidRDefault="00090FA3" w:rsidP="00613394">
            <w:pPr>
              <w:jc w:val="center"/>
              <w:rPr>
                <w:b/>
                <w:sz w:val="20"/>
                <w:szCs w:val="20"/>
              </w:rPr>
            </w:pPr>
            <w:r w:rsidRPr="00EF2E82">
              <w:rPr>
                <w:b/>
                <w:sz w:val="20"/>
                <w:szCs w:val="20"/>
              </w:rPr>
              <w:t xml:space="preserve">Valoarea majorării </w:t>
            </w:r>
          </w:p>
        </w:tc>
        <w:tc>
          <w:tcPr>
            <w:tcW w:w="607" w:type="dxa"/>
            <w:vMerge/>
          </w:tcPr>
          <w:p w:rsidR="00090FA3" w:rsidRPr="00EF2E82" w:rsidRDefault="00090FA3" w:rsidP="00613394">
            <w:pPr>
              <w:jc w:val="center"/>
              <w:rPr>
                <w:b/>
                <w:sz w:val="20"/>
                <w:szCs w:val="20"/>
              </w:rPr>
            </w:pPr>
          </w:p>
        </w:tc>
        <w:tc>
          <w:tcPr>
            <w:tcW w:w="3046" w:type="dxa"/>
          </w:tcPr>
          <w:p w:rsidR="00090FA3" w:rsidRPr="00EF2E82" w:rsidRDefault="00090FA3" w:rsidP="00613394">
            <w:pPr>
              <w:jc w:val="center"/>
              <w:rPr>
                <w:b/>
                <w:sz w:val="20"/>
                <w:szCs w:val="20"/>
              </w:rPr>
            </w:pPr>
            <w:r w:rsidRPr="00EF2E82">
              <w:rPr>
                <w:b/>
                <w:sz w:val="20"/>
                <w:szCs w:val="20"/>
              </w:rPr>
              <w:t>Fondator</w:t>
            </w:r>
          </w:p>
        </w:tc>
        <w:tc>
          <w:tcPr>
            <w:tcW w:w="1267" w:type="dxa"/>
          </w:tcPr>
          <w:p w:rsidR="00090FA3" w:rsidRPr="00EF2E82" w:rsidRDefault="00090FA3" w:rsidP="00613394">
            <w:pPr>
              <w:jc w:val="center"/>
              <w:rPr>
                <w:b/>
                <w:sz w:val="20"/>
                <w:szCs w:val="20"/>
              </w:rPr>
            </w:pPr>
            <w:r w:rsidRPr="00EF2E82">
              <w:rPr>
                <w:b/>
                <w:sz w:val="20"/>
                <w:szCs w:val="20"/>
              </w:rPr>
              <w:t xml:space="preserve">Valoarea diminuării </w:t>
            </w:r>
          </w:p>
        </w:tc>
      </w:tr>
      <w:tr w:rsidR="004572AE" w:rsidRPr="00870FB6" w:rsidTr="00613394">
        <w:trPr>
          <w:jc w:val="center"/>
        </w:trPr>
        <w:tc>
          <w:tcPr>
            <w:tcW w:w="511" w:type="dxa"/>
          </w:tcPr>
          <w:p w:rsidR="004572AE" w:rsidRPr="00870FB6" w:rsidRDefault="004572AE" w:rsidP="004572AE">
            <w:pPr>
              <w:jc w:val="center"/>
              <w:rPr>
                <w:sz w:val="20"/>
                <w:szCs w:val="20"/>
              </w:rPr>
            </w:pPr>
            <w:r w:rsidRPr="00870FB6">
              <w:rPr>
                <w:sz w:val="20"/>
                <w:szCs w:val="20"/>
              </w:rPr>
              <w:t>1.</w:t>
            </w:r>
          </w:p>
        </w:tc>
        <w:tc>
          <w:tcPr>
            <w:tcW w:w="2911" w:type="dxa"/>
          </w:tcPr>
          <w:p w:rsidR="004572AE" w:rsidRPr="00870FB6" w:rsidRDefault="0069662D" w:rsidP="00EF2E82">
            <w:pPr>
              <w:ind w:right="-158"/>
              <w:rPr>
                <w:sz w:val="20"/>
                <w:szCs w:val="20"/>
              </w:rPr>
            </w:pPr>
            <w:r w:rsidRPr="00870FB6">
              <w:rPr>
                <w:sz w:val="20"/>
                <w:szCs w:val="20"/>
              </w:rPr>
              <w:t>Ministerul Economiei și Infrastructurii</w:t>
            </w:r>
          </w:p>
        </w:tc>
        <w:tc>
          <w:tcPr>
            <w:tcW w:w="1289" w:type="dxa"/>
          </w:tcPr>
          <w:p w:rsidR="004572AE" w:rsidRPr="00870FB6" w:rsidRDefault="0069662D" w:rsidP="004572AE">
            <w:pPr>
              <w:jc w:val="center"/>
              <w:rPr>
                <w:sz w:val="20"/>
                <w:szCs w:val="20"/>
              </w:rPr>
            </w:pPr>
            <w:r w:rsidRPr="00870FB6">
              <w:rPr>
                <w:sz w:val="20"/>
                <w:szCs w:val="20"/>
              </w:rPr>
              <w:t>484,0</w:t>
            </w:r>
          </w:p>
        </w:tc>
        <w:tc>
          <w:tcPr>
            <w:tcW w:w="607" w:type="dxa"/>
          </w:tcPr>
          <w:p w:rsidR="004572AE" w:rsidRPr="00870FB6" w:rsidRDefault="004572AE" w:rsidP="004572AE">
            <w:pPr>
              <w:jc w:val="center"/>
              <w:rPr>
                <w:sz w:val="20"/>
                <w:szCs w:val="20"/>
              </w:rPr>
            </w:pPr>
            <w:r w:rsidRPr="00870FB6">
              <w:rPr>
                <w:sz w:val="20"/>
                <w:szCs w:val="20"/>
              </w:rPr>
              <w:t>1.</w:t>
            </w:r>
          </w:p>
        </w:tc>
        <w:tc>
          <w:tcPr>
            <w:tcW w:w="3046" w:type="dxa"/>
          </w:tcPr>
          <w:p w:rsidR="004572AE" w:rsidRPr="00870FB6" w:rsidRDefault="0069662D" w:rsidP="006E7230">
            <w:pPr>
              <w:rPr>
                <w:sz w:val="20"/>
                <w:szCs w:val="20"/>
              </w:rPr>
            </w:pPr>
            <w:r w:rsidRPr="00870FB6">
              <w:rPr>
                <w:sz w:val="20"/>
                <w:szCs w:val="20"/>
              </w:rPr>
              <w:t>Agen</w:t>
            </w:r>
            <w:r w:rsidR="000873E3">
              <w:rPr>
                <w:sz w:val="20"/>
                <w:szCs w:val="20"/>
              </w:rPr>
              <w:t>ț</w:t>
            </w:r>
            <w:r w:rsidRPr="00870FB6">
              <w:rPr>
                <w:sz w:val="20"/>
                <w:szCs w:val="20"/>
              </w:rPr>
              <w:t>ia „Apele Moldovei”</w:t>
            </w:r>
          </w:p>
        </w:tc>
        <w:tc>
          <w:tcPr>
            <w:tcW w:w="1267" w:type="dxa"/>
          </w:tcPr>
          <w:p w:rsidR="004572AE" w:rsidRPr="00870FB6" w:rsidRDefault="0069662D" w:rsidP="0069662D">
            <w:pPr>
              <w:jc w:val="center"/>
              <w:rPr>
                <w:sz w:val="20"/>
                <w:szCs w:val="20"/>
              </w:rPr>
            </w:pPr>
            <w:r w:rsidRPr="00870FB6">
              <w:rPr>
                <w:sz w:val="20"/>
                <w:szCs w:val="20"/>
              </w:rPr>
              <w:t>6,4</w:t>
            </w:r>
          </w:p>
        </w:tc>
      </w:tr>
      <w:tr w:rsidR="004572AE" w:rsidRPr="00870FB6" w:rsidTr="00613394">
        <w:trPr>
          <w:jc w:val="center"/>
        </w:trPr>
        <w:tc>
          <w:tcPr>
            <w:tcW w:w="511" w:type="dxa"/>
          </w:tcPr>
          <w:p w:rsidR="004572AE" w:rsidRPr="00870FB6" w:rsidRDefault="004572AE" w:rsidP="004572AE">
            <w:pPr>
              <w:jc w:val="center"/>
              <w:rPr>
                <w:sz w:val="20"/>
                <w:szCs w:val="20"/>
              </w:rPr>
            </w:pPr>
            <w:r w:rsidRPr="00870FB6">
              <w:rPr>
                <w:sz w:val="20"/>
                <w:szCs w:val="20"/>
              </w:rPr>
              <w:t>2.</w:t>
            </w:r>
          </w:p>
        </w:tc>
        <w:tc>
          <w:tcPr>
            <w:tcW w:w="2911" w:type="dxa"/>
          </w:tcPr>
          <w:p w:rsidR="004572AE" w:rsidRPr="00870FB6" w:rsidRDefault="0069662D" w:rsidP="00EF2E82">
            <w:pPr>
              <w:ind w:right="-158"/>
              <w:rPr>
                <w:sz w:val="20"/>
                <w:szCs w:val="20"/>
              </w:rPr>
            </w:pPr>
            <w:r w:rsidRPr="00870FB6">
              <w:rPr>
                <w:sz w:val="20"/>
                <w:szCs w:val="20"/>
              </w:rPr>
              <w:t>Ministerul Educa</w:t>
            </w:r>
            <w:r w:rsidR="000873E3">
              <w:rPr>
                <w:sz w:val="20"/>
                <w:szCs w:val="20"/>
              </w:rPr>
              <w:t>ț</w:t>
            </w:r>
            <w:r w:rsidRPr="00870FB6">
              <w:rPr>
                <w:sz w:val="20"/>
                <w:szCs w:val="20"/>
              </w:rPr>
              <w:t>iei, Culturii și Cercetării</w:t>
            </w:r>
          </w:p>
        </w:tc>
        <w:tc>
          <w:tcPr>
            <w:tcW w:w="1289" w:type="dxa"/>
          </w:tcPr>
          <w:p w:rsidR="004572AE" w:rsidRPr="00870FB6" w:rsidRDefault="0069662D" w:rsidP="004572AE">
            <w:pPr>
              <w:jc w:val="center"/>
              <w:rPr>
                <w:sz w:val="20"/>
                <w:szCs w:val="20"/>
                <w:vertAlign w:val="superscript"/>
              </w:rPr>
            </w:pPr>
            <w:r w:rsidRPr="00870FB6">
              <w:rPr>
                <w:sz w:val="20"/>
                <w:szCs w:val="20"/>
              </w:rPr>
              <w:t>69,7</w:t>
            </w:r>
            <w:r w:rsidRPr="00870FB6">
              <w:rPr>
                <w:sz w:val="20"/>
                <w:szCs w:val="20"/>
                <w:vertAlign w:val="superscript"/>
              </w:rPr>
              <w:t>2</w:t>
            </w:r>
          </w:p>
        </w:tc>
        <w:tc>
          <w:tcPr>
            <w:tcW w:w="607" w:type="dxa"/>
          </w:tcPr>
          <w:p w:rsidR="004572AE" w:rsidRPr="00870FB6" w:rsidRDefault="004572AE" w:rsidP="004572AE">
            <w:pPr>
              <w:jc w:val="center"/>
              <w:rPr>
                <w:sz w:val="20"/>
                <w:szCs w:val="20"/>
              </w:rPr>
            </w:pPr>
            <w:r w:rsidRPr="00870FB6">
              <w:rPr>
                <w:sz w:val="20"/>
                <w:szCs w:val="20"/>
              </w:rPr>
              <w:t>2.</w:t>
            </w:r>
          </w:p>
        </w:tc>
        <w:tc>
          <w:tcPr>
            <w:tcW w:w="3046" w:type="dxa"/>
          </w:tcPr>
          <w:p w:rsidR="004572AE" w:rsidRPr="00870FB6" w:rsidRDefault="00792DCA" w:rsidP="00792DCA">
            <w:pPr>
              <w:rPr>
                <w:sz w:val="20"/>
                <w:szCs w:val="20"/>
              </w:rPr>
            </w:pPr>
            <w:r w:rsidRPr="00870FB6">
              <w:rPr>
                <w:sz w:val="20"/>
                <w:szCs w:val="20"/>
              </w:rPr>
              <w:t>Agen</w:t>
            </w:r>
            <w:r w:rsidR="000873E3">
              <w:rPr>
                <w:sz w:val="20"/>
                <w:szCs w:val="20"/>
              </w:rPr>
              <w:t>ț</w:t>
            </w:r>
            <w:r w:rsidRPr="00870FB6">
              <w:rPr>
                <w:sz w:val="20"/>
                <w:szCs w:val="20"/>
              </w:rPr>
              <w:t>ia Rela</w:t>
            </w:r>
            <w:r w:rsidR="000873E3">
              <w:rPr>
                <w:sz w:val="20"/>
                <w:szCs w:val="20"/>
              </w:rPr>
              <w:t>ț</w:t>
            </w:r>
            <w:r w:rsidRPr="00870FB6">
              <w:rPr>
                <w:sz w:val="20"/>
                <w:szCs w:val="20"/>
              </w:rPr>
              <w:t>ii Funciare şi Cadastru</w:t>
            </w:r>
          </w:p>
        </w:tc>
        <w:tc>
          <w:tcPr>
            <w:tcW w:w="1267" w:type="dxa"/>
          </w:tcPr>
          <w:p w:rsidR="004572AE" w:rsidRPr="00870FB6" w:rsidRDefault="0069662D" w:rsidP="0069662D">
            <w:pPr>
              <w:jc w:val="center"/>
              <w:rPr>
                <w:sz w:val="20"/>
                <w:szCs w:val="20"/>
              </w:rPr>
            </w:pPr>
            <w:r w:rsidRPr="00870FB6">
              <w:rPr>
                <w:sz w:val="20"/>
                <w:szCs w:val="20"/>
              </w:rPr>
              <w:t>3,0</w:t>
            </w:r>
          </w:p>
        </w:tc>
      </w:tr>
      <w:tr w:rsidR="004572AE" w:rsidRPr="00870FB6" w:rsidTr="00613394">
        <w:trPr>
          <w:jc w:val="center"/>
        </w:trPr>
        <w:tc>
          <w:tcPr>
            <w:tcW w:w="511" w:type="dxa"/>
          </w:tcPr>
          <w:p w:rsidR="004572AE" w:rsidRPr="00870FB6" w:rsidRDefault="004572AE" w:rsidP="004572AE">
            <w:pPr>
              <w:jc w:val="center"/>
              <w:rPr>
                <w:sz w:val="20"/>
                <w:szCs w:val="20"/>
              </w:rPr>
            </w:pPr>
            <w:r w:rsidRPr="00870FB6">
              <w:rPr>
                <w:sz w:val="20"/>
                <w:szCs w:val="20"/>
              </w:rPr>
              <w:t>3.</w:t>
            </w:r>
          </w:p>
        </w:tc>
        <w:tc>
          <w:tcPr>
            <w:tcW w:w="2911" w:type="dxa"/>
          </w:tcPr>
          <w:p w:rsidR="004572AE" w:rsidRPr="00870FB6" w:rsidRDefault="0069662D" w:rsidP="00EF2E82">
            <w:pPr>
              <w:ind w:right="-158"/>
              <w:rPr>
                <w:sz w:val="20"/>
                <w:szCs w:val="20"/>
              </w:rPr>
            </w:pPr>
            <w:r w:rsidRPr="00870FB6">
              <w:rPr>
                <w:sz w:val="20"/>
                <w:szCs w:val="20"/>
              </w:rPr>
              <w:t xml:space="preserve">Ministerul Agriculturii, Dezvoltării Regionale și Mediului </w:t>
            </w:r>
          </w:p>
        </w:tc>
        <w:tc>
          <w:tcPr>
            <w:tcW w:w="1289" w:type="dxa"/>
          </w:tcPr>
          <w:p w:rsidR="004572AE" w:rsidRPr="00870FB6" w:rsidRDefault="0069662D" w:rsidP="004572AE">
            <w:pPr>
              <w:jc w:val="center"/>
              <w:rPr>
                <w:sz w:val="20"/>
                <w:szCs w:val="20"/>
              </w:rPr>
            </w:pPr>
            <w:r w:rsidRPr="00870FB6">
              <w:rPr>
                <w:sz w:val="20"/>
                <w:szCs w:val="20"/>
              </w:rPr>
              <w:t>53,8</w:t>
            </w:r>
          </w:p>
        </w:tc>
        <w:tc>
          <w:tcPr>
            <w:tcW w:w="607" w:type="dxa"/>
          </w:tcPr>
          <w:p w:rsidR="004572AE" w:rsidRPr="00870FB6" w:rsidRDefault="004572AE" w:rsidP="004572AE">
            <w:pPr>
              <w:jc w:val="center"/>
              <w:rPr>
                <w:sz w:val="20"/>
                <w:szCs w:val="20"/>
              </w:rPr>
            </w:pPr>
            <w:r w:rsidRPr="00870FB6">
              <w:rPr>
                <w:sz w:val="20"/>
                <w:szCs w:val="20"/>
              </w:rPr>
              <w:t>3.</w:t>
            </w:r>
          </w:p>
        </w:tc>
        <w:tc>
          <w:tcPr>
            <w:tcW w:w="3046" w:type="dxa"/>
          </w:tcPr>
          <w:p w:rsidR="004572AE" w:rsidRPr="00870FB6" w:rsidRDefault="0069662D" w:rsidP="004572AE">
            <w:pPr>
              <w:rPr>
                <w:sz w:val="20"/>
                <w:szCs w:val="20"/>
              </w:rPr>
            </w:pPr>
            <w:r w:rsidRPr="00870FB6">
              <w:rPr>
                <w:sz w:val="20"/>
                <w:szCs w:val="20"/>
              </w:rPr>
              <w:t>Ministerul Sănătă</w:t>
            </w:r>
            <w:r w:rsidR="000873E3">
              <w:rPr>
                <w:sz w:val="20"/>
                <w:szCs w:val="20"/>
              </w:rPr>
              <w:t>ț</w:t>
            </w:r>
            <w:r w:rsidRPr="00870FB6">
              <w:rPr>
                <w:sz w:val="20"/>
                <w:szCs w:val="20"/>
              </w:rPr>
              <w:t>ii, Muncii și Protec</w:t>
            </w:r>
            <w:r w:rsidR="000873E3">
              <w:rPr>
                <w:sz w:val="20"/>
                <w:szCs w:val="20"/>
              </w:rPr>
              <w:t>ț</w:t>
            </w:r>
            <w:r w:rsidRPr="00870FB6">
              <w:rPr>
                <w:sz w:val="20"/>
                <w:szCs w:val="20"/>
              </w:rPr>
              <w:t>iei Sociale</w:t>
            </w:r>
          </w:p>
        </w:tc>
        <w:tc>
          <w:tcPr>
            <w:tcW w:w="1267" w:type="dxa"/>
          </w:tcPr>
          <w:p w:rsidR="004572AE" w:rsidRPr="00870FB6" w:rsidRDefault="0069662D" w:rsidP="0069662D">
            <w:pPr>
              <w:jc w:val="center"/>
              <w:rPr>
                <w:sz w:val="20"/>
                <w:szCs w:val="20"/>
              </w:rPr>
            </w:pPr>
            <w:r w:rsidRPr="00870FB6">
              <w:rPr>
                <w:sz w:val="20"/>
                <w:szCs w:val="20"/>
              </w:rPr>
              <w:t>2,4</w:t>
            </w:r>
          </w:p>
        </w:tc>
      </w:tr>
    </w:tbl>
    <w:p w:rsidR="00E27FE2" w:rsidRDefault="00B753E8" w:rsidP="005B24E2">
      <w:pPr>
        <w:pStyle w:val="BodyTextIndent2"/>
        <w:spacing w:line="276" w:lineRule="auto"/>
        <w:ind w:firstLine="539"/>
        <w:rPr>
          <w:szCs w:val="28"/>
        </w:rPr>
      </w:pPr>
      <w:r w:rsidRPr="00870FB6">
        <w:rPr>
          <w:szCs w:val="28"/>
        </w:rPr>
        <w:t xml:space="preserve"> </w:t>
      </w:r>
    </w:p>
    <w:p w:rsidR="007C77F3" w:rsidRDefault="007C77F3" w:rsidP="007C77F3">
      <w:pPr>
        <w:pStyle w:val="BodyTextIndent2"/>
        <w:spacing w:line="276" w:lineRule="auto"/>
        <w:ind w:firstLine="539"/>
        <w:rPr>
          <w:szCs w:val="28"/>
        </w:rPr>
      </w:pPr>
      <w:r w:rsidRPr="00870FB6">
        <w:rPr>
          <w:szCs w:val="28"/>
        </w:rPr>
        <w:t xml:space="preserve">În contextul evaluării şi analizei riscurilor bugetar-fiscale aferente activităţii economico-financiare a întreprinderilor de stat, </w:t>
      </w:r>
      <w:r>
        <w:rPr>
          <w:szCs w:val="28"/>
        </w:rPr>
        <w:t xml:space="preserve">se prezintă în tabelul 8 </w:t>
      </w:r>
      <w:r w:rsidRPr="00870FB6">
        <w:rPr>
          <w:szCs w:val="28"/>
        </w:rPr>
        <w:t>principali</w:t>
      </w:r>
      <w:r>
        <w:rPr>
          <w:szCs w:val="28"/>
        </w:rPr>
        <w:t>i</w:t>
      </w:r>
      <w:r w:rsidRPr="00870FB6">
        <w:rPr>
          <w:szCs w:val="28"/>
        </w:rPr>
        <w:t xml:space="preserve"> indicatori economico-financiari a celor mai mari întreprinderi de stat, selectate după active, venituri din vînzări și datorii înregistrate.</w:t>
      </w:r>
      <w:r w:rsidRPr="00045A4E">
        <w:rPr>
          <w:szCs w:val="28"/>
        </w:rPr>
        <w:t xml:space="preserve"> </w:t>
      </w:r>
      <w:r>
        <w:rPr>
          <w:szCs w:val="28"/>
        </w:rPr>
        <w:t>V</w:t>
      </w:r>
      <w:r w:rsidRPr="00870FB6">
        <w:rPr>
          <w:szCs w:val="28"/>
        </w:rPr>
        <w:t xml:space="preserve">eniturile din vînzări totale ale  întreprinderilor </w:t>
      </w:r>
      <w:r>
        <w:rPr>
          <w:szCs w:val="28"/>
        </w:rPr>
        <w:t>selectate</w:t>
      </w:r>
      <w:r w:rsidRPr="00870FB6">
        <w:rPr>
          <w:szCs w:val="28"/>
        </w:rPr>
        <w:t xml:space="preserve"> reprezintă 76,4% din veniturile din vînzări înregistrate în anul 2017 de către toate întreprinderile de stat monitorizate, activele acestora reprezintă 80,2% din totalul activelor întreprinderilor de stat, iar datoriile (curente și pe termen lung) – 82,3% din suma datoriilor totale ale întreprinderilor de stat.</w:t>
      </w:r>
    </w:p>
    <w:p w:rsidR="00D81951" w:rsidRPr="00870FB6" w:rsidRDefault="00D81951" w:rsidP="007C77F3">
      <w:pPr>
        <w:pStyle w:val="BodyTextIndent2"/>
        <w:spacing w:line="276" w:lineRule="auto"/>
        <w:ind w:firstLine="539"/>
        <w:rPr>
          <w:szCs w:val="28"/>
        </w:rPr>
      </w:pPr>
    </w:p>
    <w:p w:rsidR="007C77F3" w:rsidRPr="00870FB6" w:rsidRDefault="007C77F3" w:rsidP="007C77F3">
      <w:pPr>
        <w:jc w:val="right"/>
        <w:rPr>
          <w:sz w:val="20"/>
          <w:szCs w:val="20"/>
        </w:rPr>
      </w:pPr>
      <w:r w:rsidRPr="00870FB6">
        <w:rPr>
          <w:sz w:val="20"/>
          <w:szCs w:val="20"/>
        </w:rPr>
        <w:t xml:space="preserve">Tabelul </w:t>
      </w:r>
      <w:r>
        <w:rPr>
          <w:sz w:val="20"/>
          <w:szCs w:val="20"/>
        </w:rPr>
        <w:t>8.</w:t>
      </w:r>
    </w:p>
    <w:p w:rsidR="007C77F3" w:rsidRPr="007C77F3" w:rsidRDefault="007C77F3" w:rsidP="007C77F3">
      <w:pPr>
        <w:jc w:val="center"/>
        <w:rPr>
          <w:b/>
          <w:i/>
          <w:sz w:val="20"/>
          <w:szCs w:val="20"/>
        </w:rPr>
      </w:pPr>
      <w:r w:rsidRPr="007C77F3">
        <w:rPr>
          <w:b/>
          <w:i/>
          <w:sz w:val="20"/>
          <w:szCs w:val="20"/>
        </w:rPr>
        <w:t xml:space="preserve">Analiza principalilor indicatori economici aferenți </w:t>
      </w:r>
    </w:p>
    <w:p w:rsidR="007C77F3" w:rsidRPr="007C77F3" w:rsidRDefault="007C77F3" w:rsidP="007C77F3">
      <w:pPr>
        <w:jc w:val="center"/>
        <w:rPr>
          <w:b/>
          <w:i/>
          <w:sz w:val="20"/>
          <w:szCs w:val="20"/>
        </w:rPr>
      </w:pPr>
      <w:r w:rsidRPr="007C77F3">
        <w:rPr>
          <w:b/>
          <w:i/>
          <w:sz w:val="20"/>
          <w:szCs w:val="20"/>
        </w:rPr>
        <w:t>activității unor întreprinderi de stat, la 31.12.2017</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214"/>
        <w:gridCol w:w="692"/>
        <w:gridCol w:w="789"/>
        <w:gridCol w:w="898"/>
        <w:gridCol w:w="852"/>
        <w:gridCol w:w="1066"/>
        <w:gridCol w:w="1401"/>
        <w:gridCol w:w="1369"/>
        <w:tblGridChange w:id="1">
          <w:tblGrid>
            <w:gridCol w:w="431"/>
            <w:gridCol w:w="2214"/>
            <w:gridCol w:w="692"/>
            <w:gridCol w:w="789"/>
            <w:gridCol w:w="898"/>
            <w:gridCol w:w="852"/>
            <w:gridCol w:w="1066"/>
            <w:gridCol w:w="1401"/>
            <w:gridCol w:w="1369"/>
          </w:tblGrid>
        </w:tblGridChange>
      </w:tblGrid>
      <w:tr w:rsidR="007C77F3" w:rsidRPr="00870FB6" w:rsidTr="001F2A6D">
        <w:trPr>
          <w:trHeight w:val="690"/>
          <w:jc w:val="center"/>
        </w:trPr>
        <w:tc>
          <w:tcPr>
            <w:tcW w:w="431" w:type="dxa"/>
            <w:vAlign w:val="center"/>
            <w:hideMark/>
          </w:tcPr>
          <w:p w:rsidR="007C77F3" w:rsidRPr="00870FB6" w:rsidRDefault="007C77F3" w:rsidP="001F2A6D">
            <w:pPr>
              <w:ind w:left="-108" w:right="-108"/>
              <w:jc w:val="center"/>
              <w:rPr>
                <w:rFonts w:eastAsia="SimSun"/>
                <w:b/>
                <w:i/>
                <w:sz w:val="16"/>
                <w:szCs w:val="16"/>
              </w:rPr>
            </w:pPr>
            <w:r w:rsidRPr="00870FB6">
              <w:rPr>
                <w:rFonts w:eastAsia="SimSun"/>
                <w:b/>
                <w:i/>
                <w:sz w:val="16"/>
                <w:szCs w:val="16"/>
              </w:rPr>
              <w:t>Nr.</w:t>
            </w:r>
          </w:p>
          <w:p w:rsidR="007C77F3" w:rsidRPr="00870FB6" w:rsidRDefault="007C77F3" w:rsidP="001F2A6D">
            <w:pPr>
              <w:ind w:left="-108" w:right="-108"/>
              <w:jc w:val="center"/>
              <w:rPr>
                <w:rFonts w:eastAsia="SimSun"/>
                <w:b/>
                <w:i/>
                <w:sz w:val="16"/>
                <w:szCs w:val="16"/>
              </w:rPr>
            </w:pPr>
            <w:r w:rsidRPr="00870FB6">
              <w:rPr>
                <w:rFonts w:eastAsia="SimSun"/>
                <w:b/>
                <w:i/>
                <w:sz w:val="16"/>
                <w:szCs w:val="16"/>
              </w:rPr>
              <w:t>d/o</w:t>
            </w:r>
          </w:p>
        </w:tc>
        <w:tc>
          <w:tcPr>
            <w:tcW w:w="2214" w:type="dxa"/>
            <w:vAlign w:val="center"/>
            <w:hideMark/>
          </w:tcPr>
          <w:p w:rsidR="007C77F3" w:rsidRPr="00870FB6" w:rsidRDefault="007C77F3" w:rsidP="001F2A6D">
            <w:pPr>
              <w:jc w:val="center"/>
              <w:rPr>
                <w:rFonts w:eastAsia="SimSun"/>
                <w:b/>
                <w:i/>
                <w:sz w:val="16"/>
                <w:szCs w:val="16"/>
              </w:rPr>
            </w:pPr>
            <w:r w:rsidRPr="00870FB6">
              <w:rPr>
                <w:rFonts w:eastAsia="SimSun"/>
                <w:b/>
                <w:i/>
                <w:sz w:val="16"/>
                <w:szCs w:val="16"/>
              </w:rPr>
              <w:t>Denumirea întreprinderii</w:t>
            </w:r>
          </w:p>
        </w:tc>
        <w:tc>
          <w:tcPr>
            <w:tcW w:w="692" w:type="dxa"/>
            <w:vAlign w:val="center"/>
          </w:tcPr>
          <w:p w:rsidR="007C77F3" w:rsidRPr="00870FB6" w:rsidRDefault="007C77F3" w:rsidP="001F2A6D">
            <w:pPr>
              <w:pStyle w:val="ListParagraph"/>
              <w:ind w:left="0"/>
              <w:jc w:val="center"/>
              <w:rPr>
                <w:rFonts w:eastAsia="SimSun"/>
                <w:b/>
                <w:i/>
                <w:sz w:val="16"/>
                <w:szCs w:val="16"/>
              </w:rPr>
            </w:pPr>
            <w:r w:rsidRPr="00870FB6">
              <w:rPr>
                <w:rFonts w:eastAsia="SimSun"/>
                <w:b/>
                <w:i/>
                <w:sz w:val="16"/>
                <w:szCs w:val="16"/>
              </w:rPr>
              <w:t>Active, mil. lei</w:t>
            </w:r>
          </w:p>
        </w:tc>
        <w:tc>
          <w:tcPr>
            <w:tcW w:w="789" w:type="dxa"/>
            <w:vAlign w:val="center"/>
          </w:tcPr>
          <w:p w:rsidR="007C77F3" w:rsidRPr="00870FB6" w:rsidRDefault="007C77F3" w:rsidP="001F2A6D">
            <w:pPr>
              <w:jc w:val="center"/>
              <w:rPr>
                <w:rFonts w:eastAsia="SimSun"/>
                <w:b/>
                <w:i/>
                <w:sz w:val="16"/>
                <w:szCs w:val="16"/>
              </w:rPr>
            </w:pPr>
            <w:r w:rsidRPr="00870FB6">
              <w:rPr>
                <w:rFonts w:eastAsia="SimSun"/>
                <w:b/>
                <w:i/>
                <w:sz w:val="16"/>
                <w:szCs w:val="16"/>
              </w:rPr>
              <w:t>Datorii, mil. lei</w:t>
            </w:r>
          </w:p>
        </w:tc>
        <w:tc>
          <w:tcPr>
            <w:tcW w:w="898" w:type="dxa"/>
            <w:vAlign w:val="center"/>
          </w:tcPr>
          <w:p w:rsidR="007C77F3" w:rsidRPr="00870FB6" w:rsidRDefault="007C77F3" w:rsidP="001F2A6D">
            <w:pPr>
              <w:jc w:val="center"/>
              <w:rPr>
                <w:rFonts w:eastAsia="SimSun"/>
                <w:b/>
                <w:i/>
                <w:sz w:val="16"/>
                <w:szCs w:val="16"/>
              </w:rPr>
            </w:pPr>
            <w:r w:rsidRPr="00870FB6">
              <w:rPr>
                <w:rFonts w:eastAsia="SimSun"/>
                <w:b/>
                <w:i/>
                <w:sz w:val="16"/>
                <w:szCs w:val="16"/>
              </w:rPr>
              <w:t>Venituri din vînzări, mil. lei</w:t>
            </w:r>
          </w:p>
        </w:tc>
        <w:tc>
          <w:tcPr>
            <w:tcW w:w="852" w:type="dxa"/>
            <w:vAlign w:val="center"/>
          </w:tcPr>
          <w:p w:rsidR="007C77F3" w:rsidRPr="00870FB6" w:rsidRDefault="007C77F3" w:rsidP="001F2A6D">
            <w:pPr>
              <w:jc w:val="center"/>
              <w:rPr>
                <w:b/>
                <w:i/>
                <w:sz w:val="16"/>
                <w:szCs w:val="16"/>
              </w:rPr>
            </w:pPr>
            <w:r w:rsidRPr="00870FB6">
              <w:rPr>
                <w:rFonts w:eastAsia="SimSun"/>
                <w:b/>
                <w:i/>
                <w:sz w:val="16"/>
                <w:szCs w:val="16"/>
              </w:rPr>
              <w:t>Profit net (pierdere netă), mil. lei</w:t>
            </w:r>
          </w:p>
        </w:tc>
        <w:tc>
          <w:tcPr>
            <w:tcW w:w="1066" w:type="dxa"/>
            <w:vAlign w:val="center"/>
          </w:tcPr>
          <w:p w:rsidR="007C77F3" w:rsidRPr="00870FB6" w:rsidRDefault="007C77F3" w:rsidP="001F2A6D">
            <w:pPr>
              <w:jc w:val="center"/>
              <w:rPr>
                <w:b/>
                <w:i/>
                <w:sz w:val="16"/>
                <w:szCs w:val="16"/>
              </w:rPr>
            </w:pPr>
            <w:r w:rsidRPr="00870FB6">
              <w:rPr>
                <w:b/>
                <w:i/>
                <w:sz w:val="16"/>
                <w:szCs w:val="16"/>
              </w:rPr>
              <w:t>Lichiditatea curentă</w:t>
            </w:r>
            <w:r w:rsidRPr="00870FB6">
              <w:rPr>
                <w:rStyle w:val="FootnoteReference"/>
                <w:b/>
                <w:i/>
                <w:sz w:val="16"/>
                <w:szCs w:val="16"/>
              </w:rPr>
              <w:footnoteReference w:id="7"/>
            </w:r>
            <w:r w:rsidRPr="00870FB6">
              <w:rPr>
                <w:b/>
                <w:i/>
                <w:sz w:val="16"/>
                <w:szCs w:val="16"/>
              </w:rPr>
              <w:t xml:space="preserve">, coef. </w:t>
            </w:r>
          </w:p>
        </w:tc>
        <w:tc>
          <w:tcPr>
            <w:tcW w:w="1401" w:type="dxa"/>
            <w:vAlign w:val="center"/>
          </w:tcPr>
          <w:p w:rsidR="007C77F3" w:rsidRPr="00870FB6" w:rsidRDefault="007C77F3" w:rsidP="001F2A6D">
            <w:pPr>
              <w:jc w:val="center"/>
              <w:rPr>
                <w:b/>
                <w:i/>
                <w:sz w:val="16"/>
                <w:szCs w:val="16"/>
              </w:rPr>
            </w:pPr>
            <w:r w:rsidRPr="00870FB6">
              <w:rPr>
                <w:b/>
                <w:i/>
                <w:sz w:val="16"/>
                <w:szCs w:val="16"/>
              </w:rPr>
              <w:t>Marja profitului operațional</w:t>
            </w:r>
            <w:r w:rsidRPr="00870FB6">
              <w:rPr>
                <w:rStyle w:val="FootnoteReference"/>
                <w:b/>
                <w:i/>
                <w:sz w:val="16"/>
                <w:szCs w:val="16"/>
              </w:rPr>
              <w:footnoteReference w:id="8"/>
            </w:r>
            <w:r w:rsidRPr="00870FB6">
              <w:rPr>
                <w:b/>
                <w:i/>
                <w:sz w:val="16"/>
                <w:szCs w:val="16"/>
              </w:rPr>
              <w:t>, %</w:t>
            </w:r>
          </w:p>
        </w:tc>
        <w:tc>
          <w:tcPr>
            <w:tcW w:w="1369" w:type="dxa"/>
            <w:vAlign w:val="center"/>
          </w:tcPr>
          <w:p w:rsidR="007C77F3" w:rsidRPr="00870FB6" w:rsidRDefault="007C77F3" w:rsidP="001F2A6D">
            <w:pPr>
              <w:jc w:val="center"/>
              <w:rPr>
                <w:rFonts w:eastAsia="SimSun"/>
                <w:b/>
                <w:i/>
                <w:sz w:val="16"/>
                <w:szCs w:val="16"/>
              </w:rPr>
            </w:pPr>
            <w:r w:rsidRPr="00870FB6">
              <w:rPr>
                <w:rFonts w:eastAsia="SimSun"/>
                <w:b/>
                <w:i/>
                <w:sz w:val="16"/>
                <w:szCs w:val="16"/>
              </w:rPr>
              <w:t>Levierul financiar</w:t>
            </w:r>
            <w:r w:rsidRPr="00870FB6">
              <w:rPr>
                <w:rStyle w:val="FootnoteReference"/>
                <w:rFonts w:eastAsia="SimSun"/>
                <w:b/>
                <w:i/>
                <w:sz w:val="16"/>
                <w:szCs w:val="16"/>
              </w:rPr>
              <w:footnoteReference w:id="9"/>
            </w:r>
            <w:r w:rsidRPr="00870FB6">
              <w:rPr>
                <w:rFonts w:eastAsia="SimSun"/>
                <w:b/>
                <w:i/>
                <w:sz w:val="16"/>
                <w:szCs w:val="16"/>
              </w:rPr>
              <w:t>, coef.</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1.</w:t>
            </w:r>
          </w:p>
        </w:tc>
        <w:tc>
          <w:tcPr>
            <w:tcW w:w="2214" w:type="dxa"/>
          </w:tcPr>
          <w:p w:rsidR="007C77F3" w:rsidRPr="00870FB6" w:rsidRDefault="007C77F3" w:rsidP="001F2A6D">
            <w:pPr>
              <w:jc w:val="both"/>
              <w:rPr>
                <w:rFonts w:eastAsia="SimSun"/>
                <w:sz w:val="16"/>
                <w:szCs w:val="16"/>
              </w:rPr>
            </w:pPr>
            <w:r w:rsidRPr="00870FB6">
              <w:rPr>
                <w:rFonts w:eastAsia="SimSun"/>
                <w:sz w:val="16"/>
                <w:szCs w:val="16"/>
              </w:rPr>
              <w:t>Î.S. „Moldelectrica”</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1580,0</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415,4</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585,4</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46,9</w:t>
            </w:r>
          </w:p>
        </w:tc>
        <w:tc>
          <w:tcPr>
            <w:tcW w:w="1066" w:type="dxa"/>
          </w:tcPr>
          <w:p w:rsidR="007C77F3" w:rsidRPr="00870FB6" w:rsidRDefault="007C77F3" w:rsidP="001F2A6D">
            <w:pPr>
              <w:jc w:val="center"/>
              <w:rPr>
                <w:rFonts w:eastAsia="SimSun"/>
                <w:sz w:val="16"/>
                <w:szCs w:val="16"/>
              </w:rPr>
            </w:pPr>
            <w:r w:rsidRPr="00870FB6">
              <w:rPr>
                <w:rFonts w:eastAsia="SimSun"/>
                <w:sz w:val="16"/>
                <w:szCs w:val="16"/>
              </w:rPr>
              <w:t>2,71</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3,11</w:t>
            </w:r>
          </w:p>
        </w:tc>
        <w:tc>
          <w:tcPr>
            <w:tcW w:w="1369" w:type="dxa"/>
          </w:tcPr>
          <w:p w:rsidR="007C77F3" w:rsidRPr="00870FB6" w:rsidRDefault="007C77F3" w:rsidP="001F2A6D">
            <w:pPr>
              <w:jc w:val="center"/>
              <w:rPr>
                <w:rFonts w:eastAsia="SimSun"/>
                <w:sz w:val="16"/>
                <w:szCs w:val="16"/>
              </w:rPr>
            </w:pPr>
            <w:r w:rsidRPr="00870FB6">
              <w:rPr>
                <w:rFonts w:eastAsia="SimSun"/>
                <w:sz w:val="16"/>
                <w:szCs w:val="16"/>
              </w:rPr>
              <w:t>1,36</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2.</w:t>
            </w:r>
          </w:p>
        </w:tc>
        <w:tc>
          <w:tcPr>
            <w:tcW w:w="2214" w:type="dxa"/>
          </w:tcPr>
          <w:p w:rsidR="007C77F3" w:rsidRPr="00870FB6" w:rsidRDefault="007C77F3" w:rsidP="001F2A6D">
            <w:pPr>
              <w:jc w:val="both"/>
              <w:rPr>
                <w:sz w:val="16"/>
                <w:szCs w:val="16"/>
              </w:rPr>
            </w:pPr>
            <w:r w:rsidRPr="00870FB6">
              <w:rPr>
                <w:sz w:val="16"/>
                <w:szCs w:val="16"/>
              </w:rPr>
              <w:t>Î.S. „Modtranselectro”</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608,5</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668,2</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68,9</w:t>
            </w:r>
          </w:p>
        </w:tc>
        <w:tc>
          <w:tcPr>
            <w:tcW w:w="1066" w:type="dxa"/>
          </w:tcPr>
          <w:p w:rsidR="007C77F3" w:rsidRPr="00870FB6" w:rsidRDefault="007C77F3" w:rsidP="001F2A6D">
            <w:pPr>
              <w:jc w:val="center"/>
              <w:rPr>
                <w:rFonts w:eastAsia="SimSun"/>
                <w:b/>
                <w:sz w:val="16"/>
                <w:szCs w:val="16"/>
              </w:rPr>
            </w:pPr>
            <w:r w:rsidRPr="00870FB6">
              <w:rPr>
                <w:rFonts w:eastAsia="SimSun"/>
                <w:b/>
                <w:sz w:val="16"/>
                <w:szCs w:val="16"/>
              </w:rPr>
              <w:t>0,97</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 xml:space="preserve">- </w:t>
            </w:r>
          </w:p>
          <w:p w:rsidR="007C77F3" w:rsidRPr="00870FB6" w:rsidRDefault="007C77F3" w:rsidP="001F2A6D">
            <w:pPr>
              <w:jc w:val="center"/>
              <w:rPr>
                <w:rFonts w:eastAsia="SimSun"/>
                <w:sz w:val="16"/>
                <w:szCs w:val="16"/>
              </w:rPr>
            </w:pPr>
            <w:r w:rsidRPr="00870FB6">
              <w:rPr>
                <w:rFonts w:eastAsia="SimSun"/>
                <w:i/>
                <w:sz w:val="16"/>
                <w:szCs w:val="16"/>
              </w:rPr>
              <w:t>(nu înregistrează venituri din vînzări)</w:t>
            </w:r>
          </w:p>
        </w:tc>
        <w:tc>
          <w:tcPr>
            <w:tcW w:w="1369" w:type="dxa"/>
          </w:tcPr>
          <w:p w:rsidR="007C77F3" w:rsidRPr="00870FB6" w:rsidRDefault="007C77F3" w:rsidP="001F2A6D">
            <w:pPr>
              <w:jc w:val="center"/>
              <w:rPr>
                <w:rFonts w:eastAsia="SimSun"/>
                <w:sz w:val="16"/>
                <w:szCs w:val="16"/>
              </w:rPr>
            </w:pPr>
            <w:r w:rsidRPr="00870FB6">
              <w:rPr>
                <w:rFonts w:eastAsia="SimSun"/>
                <w:sz w:val="16"/>
                <w:szCs w:val="16"/>
              </w:rPr>
              <w:t>-</w:t>
            </w:r>
          </w:p>
          <w:p w:rsidR="007C77F3" w:rsidRPr="00870FB6" w:rsidRDefault="007C77F3" w:rsidP="001F2A6D">
            <w:pPr>
              <w:jc w:val="center"/>
              <w:rPr>
                <w:rFonts w:eastAsia="SimSun"/>
                <w:i/>
                <w:sz w:val="16"/>
                <w:szCs w:val="16"/>
              </w:rPr>
            </w:pPr>
            <w:r w:rsidRPr="00870FB6">
              <w:rPr>
                <w:rFonts w:eastAsia="SimSun"/>
                <w:i/>
                <w:sz w:val="16"/>
                <w:szCs w:val="16"/>
              </w:rPr>
              <w:t>(capital propriu negativ (-59,7 mil. lei)</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3.</w:t>
            </w:r>
          </w:p>
        </w:tc>
        <w:tc>
          <w:tcPr>
            <w:tcW w:w="2214" w:type="dxa"/>
          </w:tcPr>
          <w:p w:rsidR="007C77F3" w:rsidRPr="00870FB6" w:rsidRDefault="007C77F3" w:rsidP="001F2A6D">
            <w:pPr>
              <w:spacing w:line="276" w:lineRule="auto"/>
              <w:rPr>
                <w:sz w:val="16"/>
                <w:szCs w:val="16"/>
              </w:rPr>
            </w:pPr>
            <w:r w:rsidRPr="00870FB6">
              <w:rPr>
                <w:sz w:val="16"/>
                <w:szCs w:val="16"/>
              </w:rPr>
              <w:t>Î.S. „Fabrica de Sticlă din Chişinău”</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456,5</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91,1</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145,5</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-19,7</w:t>
            </w:r>
          </w:p>
        </w:tc>
        <w:tc>
          <w:tcPr>
            <w:tcW w:w="1066" w:type="dxa"/>
          </w:tcPr>
          <w:p w:rsidR="007C77F3" w:rsidRPr="00870FB6" w:rsidRDefault="007C77F3" w:rsidP="001F2A6D">
            <w:pPr>
              <w:jc w:val="center"/>
              <w:rPr>
                <w:rFonts w:eastAsia="SimSun"/>
                <w:sz w:val="16"/>
                <w:szCs w:val="16"/>
              </w:rPr>
            </w:pPr>
            <w:r w:rsidRPr="00870FB6">
              <w:rPr>
                <w:rFonts w:eastAsia="SimSun"/>
                <w:sz w:val="16"/>
                <w:szCs w:val="16"/>
              </w:rPr>
              <w:t>5,69</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 xml:space="preserve">- </w:t>
            </w:r>
          </w:p>
          <w:p w:rsidR="007C77F3" w:rsidRPr="00870FB6" w:rsidRDefault="007C77F3" w:rsidP="001F2A6D">
            <w:pPr>
              <w:jc w:val="center"/>
              <w:rPr>
                <w:rFonts w:eastAsia="SimSun"/>
                <w:b/>
                <w:sz w:val="16"/>
                <w:szCs w:val="16"/>
              </w:rPr>
            </w:pPr>
            <w:r w:rsidRPr="00870FB6">
              <w:rPr>
                <w:rFonts w:eastAsia="SimSun"/>
                <w:b/>
                <w:sz w:val="16"/>
                <w:szCs w:val="16"/>
              </w:rPr>
              <w:t>(-13,13)</w:t>
            </w:r>
          </w:p>
        </w:tc>
        <w:tc>
          <w:tcPr>
            <w:tcW w:w="1369" w:type="dxa"/>
          </w:tcPr>
          <w:p w:rsidR="007C77F3" w:rsidRPr="00870FB6" w:rsidRDefault="007C77F3" w:rsidP="001F2A6D">
            <w:pPr>
              <w:jc w:val="center"/>
              <w:rPr>
                <w:rFonts w:eastAsia="SimSun"/>
                <w:sz w:val="16"/>
                <w:szCs w:val="16"/>
              </w:rPr>
            </w:pPr>
            <w:r w:rsidRPr="00870FB6">
              <w:rPr>
                <w:rFonts w:eastAsia="SimSun"/>
                <w:sz w:val="16"/>
                <w:szCs w:val="16"/>
              </w:rPr>
              <w:t>1,25</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4.</w:t>
            </w:r>
          </w:p>
        </w:tc>
        <w:tc>
          <w:tcPr>
            <w:tcW w:w="2214" w:type="dxa"/>
          </w:tcPr>
          <w:p w:rsidR="007C77F3" w:rsidRPr="00870FB6" w:rsidRDefault="007C77F3" w:rsidP="001F2A6D">
            <w:pPr>
              <w:pStyle w:val="NoSpacing"/>
              <w:rPr>
                <w:sz w:val="16"/>
                <w:szCs w:val="16"/>
              </w:rPr>
            </w:pPr>
            <w:r w:rsidRPr="00870FB6">
              <w:rPr>
                <w:sz w:val="16"/>
                <w:szCs w:val="16"/>
              </w:rPr>
              <w:t>Î.S. Compania Aeriană „AIR Moldova”</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1032,9</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1114,1</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2727,9</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-190,4</w:t>
            </w:r>
          </w:p>
        </w:tc>
        <w:tc>
          <w:tcPr>
            <w:tcW w:w="1066" w:type="dxa"/>
          </w:tcPr>
          <w:p w:rsidR="007C77F3" w:rsidRPr="00870FB6" w:rsidRDefault="007C77F3" w:rsidP="001F2A6D">
            <w:pPr>
              <w:jc w:val="center"/>
              <w:rPr>
                <w:rFonts w:eastAsia="SimSun"/>
                <w:b/>
                <w:sz w:val="16"/>
                <w:szCs w:val="16"/>
              </w:rPr>
            </w:pPr>
            <w:r w:rsidRPr="00870FB6">
              <w:rPr>
                <w:rFonts w:eastAsia="SimSun"/>
                <w:b/>
                <w:sz w:val="16"/>
                <w:szCs w:val="16"/>
              </w:rPr>
              <w:t>0,31</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 xml:space="preserve">- </w:t>
            </w:r>
          </w:p>
          <w:p w:rsidR="007C77F3" w:rsidRPr="00870FB6" w:rsidRDefault="007C77F3" w:rsidP="001F2A6D">
            <w:pPr>
              <w:jc w:val="center"/>
              <w:rPr>
                <w:rFonts w:eastAsia="SimSun"/>
                <w:b/>
                <w:sz w:val="16"/>
                <w:szCs w:val="16"/>
              </w:rPr>
            </w:pPr>
            <w:r w:rsidRPr="00870FB6">
              <w:rPr>
                <w:rFonts w:eastAsia="SimSun"/>
                <w:b/>
                <w:sz w:val="16"/>
                <w:szCs w:val="16"/>
              </w:rPr>
              <w:t>(-7,68)</w:t>
            </w:r>
          </w:p>
        </w:tc>
        <w:tc>
          <w:tcPr>
            <w:tcW w:w="1369" w:type="dxa"/>
          </w:tcPr>
          <w:p w:rsidR="007C77F3" w:rsidRPr="00870FB6" w:rsidRDefault="007C77F3" w:rsidP="001F2A6D">
            <w:pPr>
              <w:jc w:val="center"/>
              <w:rPr>
                <w:rFonts w:eastAsia="SimSun"/>
                <w:b/>
                <w:sz w:val="16"/>
                <w:szCs w:val="16"/>
              </w:rPr>
            </w:pPr>
            <w:r w:rsidRPr="00870FB6">
              <w:rPr>
                <w:rFonts w:eastAsia="SimSun"/>
                <w:b/>
                <w:sz w:val="16"/>
                <w:szCs w:val="16"/>
              </w:rPr>
              <w:t xml:space="preserve">- </w:t>
            </w:r>
          </w:p>
          <w:p w:rsidR="007C77F3" w:rsidRPr="00870FB6" w:rsidRDefault="007C77F3" w:rsidP="001F2A6D">
            <w:pPr>
              <w:jc w:val="center"/>
              <w:rPr>
                <w:rFonts w:eastAsia="SimSun"/>
                <w:b/>
                <w:sz w:val="16"/>
                <w:szCs w:val="16"/>
              </w:rPr>
            </w:pPr>
            <w:r w:rsidRPr="00870FB6">
              <w:rPr>
                <w:rFonts w:eastAsia="SimSun"/>
                <w:i/>
                <w:sz w:val="16"/>
                <w:szCs w:val="16"/>
              </w:rPr>
              <w:t xml:space="preserve">(capital propriu negativ (-81,3 </w:t>
            </w:r>
            <w:r w:rsidRPr="00870FB6">
              <w:rPr>
                <w:rFonts w:eastAsia="SimSun"/>
                <w:i/>
                <w:sz w:val="16"/>
                <w:szCs w:val="16"/>
              </w:rPr>
              <w:lastRenderedPageBreak/>
              <w:t>mil. lei)</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lastRenderedPageBreak/>
              <w:t>5.</w:t>
            </w:r>
          </w:p>
        </w:tc>
        <w:tc>
          <w:tcPr>
            <w:tcW w:w="2214" w:type="dxa"/>
          </w:tcPr>
          <w:p w:rsidR="007C77F3" w:rsidRPr="00870FB6" w:rsidRDefault="007C77F3" w:rsidP="001F2A6D">
            <w:pPr>
              <w:pStyle w:val="ListParagraph"/>
              <w:ind w:left="0"/>
              <w:jc w:val="both"/>
              <w:rPr>
                <w:rFonts w:eastAsia="SimSun"/>
                <w:sz w:val="16"/>
                <w:szCs w:val="16"/>
              </w:rPr>
            </w:pPr>
            <w:r w:rsidRPr="00870FB6">
              <w:rPr>
                <w:sz w:val="16"/>
                <w:szCs w:val="16"/>
              </w:rPr>
              <w:t>Î.S. „Calea Ferată din Moldova”</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3343,7</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529,6</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1009,0</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7,1</w:t>
            </w:r>
          </w:p>
        </w:tc>
        <w:tc>
          <w:tcPr>
            <w:tcW w:w="1066" w:type="dxa"/>
          </w:tcPr>
          <w:p w:rsidR="007C77F3" w:rsidRPr="00870FB6" w:rsidRDefault="007C77F3" w:rsidP="001F2A6D">
            <w:pPr>
              <w:jc w:val="center"/>
              <w:rPr>
                <w:rFonts w:eastAsia="SimSun"/>
                <w:sz w:val="16"/>
                <w:szCs w:val="16"/>
              </w:rPr>
            </w:pPr>
            <w:r w:rsidRPr="00870FB6">
              <w:rPr>
                <w:rFonts w:eastAsia="SimSun"/>
                <w:sz w:val="16"/>
                <w:szCs w:val="16"/>
              </w:rPr>
              <w:t>1,03</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 xml:space="preserve">- </w:t>
            </w:r>
          </w:p>
          <w:p w:rsidR="007C77F3" w:rsidRPr="00870FB6" w:rsidRDefault="007C77F3" w:rsidP="001F2A6D">
            <w:pPr>
              <w:jc w:val="center"/>
              <w:rPr>
                <w:rFonts w:eastAsia="SimSun"/>
                <w:b/>
                <w:sz w:val="16"/>
                <w:szCs w:val="16"/>
              </w:rPr>
            </w:pPr>
            <w:r w:rsidRPr="00870FB6">
              <w:rPr>
                <w:rFonts w:eastAsia="SimSun"/>
                <w:b/>
                <w:sz w:val="16"/>
                <w:szCs w:val="16"/>
              </w:rPr>
              <w:t>(-2,95)</w:t>
            </w:r>
          </w:p>
        </w:tc>
        <w:tc>
          <w:tcPr>
            <w:tcW w:w="1369" w:type="dxa"/>
          </w:tcPr>
          <w:p w:rsidR="007C77F3" w:rsidRPr="00870FB6" w:rsidRDefault="007C77F3" w:rsidP="001F2A6D">
            <w:pPr>
              <w:jc w:val="center"/>
              <w:rPr>
                <w:rFonts w:eastAsia="SimSun"/>
                <w:sz w:val="16"/>
                <w:szCs w:val="16"/>
              </w:rPr>
            </w:pPr>
            <w:r w:rsidRPr="00870FB6">
              <w:rPr>
                <w:rFonts w:eastAsia="SimSun"/>
                <w:sz w:val="16"/>
                <w:szCs w:val="16"/>
              </w:rPr>
              <w:t>1,19</w:t>
            </w:r>
          </w:p>
        </w:tc>
      </w:tr>
      <w:tr w:rsidR="007C77F3" w:rsidRPr="00870FB6" w:rsidTr="001F2A6D">
        <w:trPr>
          <w:jc w:val="center"/>
        </w:trPr>
        <w:tc>
          <w:tcPr>
            <w:tcW w:w="431" w:type="dxa"/>
            <w:hideMark/>
          </w:tcPr>
          <w:p w:rsidR="007C77F3" w:rsidRPr="00870FB6" w:rsidRDefault="007C77F3" w:rsidP="001F2A6D">
            <w:pPr>
              <w:jc w:val="center"/>
              <w:rPr>
                <w:rFonts w:eastAsia="SimSun"/>
                <w:sz w:val="16"/>
                <w:szCs w:val="16"/>
              </w:rPr>
            </w:pPr>
            <w:r w:rsidRPr="00870FB6">
              <w:rPr>
                <w:rFonts w:eastAsia="SimSun"/>
                <w:sz w:val="16"/>
                <w:szCs w:val="16"/>
              </w:rPr>
              <w:t>6.</w:t>
            </w:r>
          </w:p>
        </w:tc>
        <w:tc>
          <w:tcPr>
            <w:tcW w:w="2214" w:type="dxa"/>
          </w:tcPr>
          <w:p w:rsidR="007C77F3" w:rsidRPr="00870FB6" w:rsidRDefault="007C77F3" w:rsidP="001F2A6D">
            <w:pPr>
              <w:tabs>
                <w:tab w:val="left" w:pos="142"/>
              </w:tabs>
              <w:suppressAutoHyphens/>
              <w:jc w:val="both"/>
              <w:rPr>
                <w:rFonts w:eastAsia="SimSun"/>
                <w:sz w:val="16"/>
                <w:szCs w:val="16"/>
              </w:rPr>
            </w:pPr>
            <w:r w:rsidRPr="00870FB6">
              <w:rPr>
                <w:rFonts w:eastAsia="SimSun"/>
                <w:sz w:val="16"/>
                <w:szCs w:val="16"/>
              </w:rPr>
              <w:t>Î.S. „Administrația de Stat a Drumurilor”</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8892,3</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2439,5</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52,2</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0,6</w:t>
            </w:r>
          </w:p>
        </w:tc>
        <w:tc>
          <w:tcPr>
            <w:tcW w:w="1066" w:type="dxa"/>
          </w:tcPr>
          <w:p w:rsidR="007C77F3" w:rsidRPr="00870FB6" w:rsidRDefault="007C77F3" w:rsidP="001F2A6D">
            <w:pPr>
              <w:jc w:val="center"/>
              <w:rPr>
                <w:rFonts w:eastAsia="SimSun"/>
                <w:b/>
                <w:sz w:val="16"/>
                <w:szCs w:val="16"/>
              </w:rPr>
            </w:pPr>
            <w:r w:rsidRPr="00870FB6">
              <w:rPr>
                <w:rFonts w:eastAsia="SimSun"/>
                <w:b/>
                <w:sz w:val="16"/>
                <w:szCs w:val="16"/>
              </w:rPr>
              <w:t>0,59</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1,72</w:t>
            </w:r>
          </w:p>
        </w:tc>
        <w:tc>
          <w:tcPr>
            <w:tcW w:w="1369" w:type="dxa"/>
          </w:tcPr>
          <w:p w:rsidR="007C77F3" w:rsidRPr="00870FB6" w:rsidRDefault="007C77F3" w:rsidP="001F2A6D">
            <w:pPr>
              <w:jc w:val="center"/>
              <w:rPr>
                <w:rFonts w:eastAsia="SimSun"/>
                <w:sz w:val="16"/>
                <w:szCs w:val="16"/>
              </w:rPr>
            </w:pPr>
            <w:r w:rsidRPr="00870FB6">
              <w:rPr>
                <w:rFonts w:eastAsia="SimSun"/>
                <w:sz w:val="16"/>
                <w:szCs w:val="16"/>
              </w:rPr>
              <w:t>1,38</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7.</w:t>
            </w:r>
          </w:p>
        </w:tc>
        <w:tc>
          <w:tcPr>
            <w:tcW w:w="2214" w:type="dxa"/>
          </w:tcPr>
          <w:p w:rsidR="007C77F3" w:rsidRPr="00870FB6" w:rsidRDefault="007C77F3" w:rsidP="001F2A6D">
            <w:pPr>
              <w:tabs>
                <w:tab w:val="left" w:pos="142"/>
              </w:tabs>
              <w:suppressAutoHyphens/>
              <w:jc w:val="both"/>
              <w:rPr>
                <w:rFonts w:eastAsia="SimSun"/>
                <w:sz w:val="16"/>
                <w:szCs w:val="16"/>
              </w:rPr>
            </w:pPr>
            <w:r w:rsidRPr="00870FB6">
              <w:rPr>
                <w:rFonts w:eastAsia="SimSun"/>
                <w:sz w:val="16"/>
                <w:szCs w:val="16"/>
              </w:rPr>
              <w:t>Î.S. „Poșta Moldovei”</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345,4</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263,5</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388,6</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7,2</w:t>
            </w:r>
          </w:p>
        </w:tc>
        <w:tc>
          <w:tcPr>
            <w:tcW w:w="1066" w:type="dxa"/>
          </w:tcPr>
          <w:p w:rsidR="007C77F3" w:rsidRPr="00870FB6" w:rsidRDefault="007C77F3" w:rsidP="001F2A6D">
            <w:pPr>
              <w:jc w:val="center"/>
              <w:rPr>
                <w:rFonts w:eastAsia="SimSun"/>
                <w:b/>
                <w:sz w:val="16"/>
                <w:szCs w:val="16"/>
              </w:rPr>
            </w:pPr>
            <w:r w:rsidRPr="00870FB6">
              <w:rPr>
                <w:rFonts w:eastAsia="SimSun"/>
                <w:b/>
                <w:sz w:val="16"/>
                <w:szCs w:val="16"/>
              </w:rPr>
              <w:t>0,96</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2,80</w:t>
            </w:r>
          </w:p>
        </w:tc>
        <w:tc>
          <w:tcPr>
            <w:tcW w:w="1369" w:type="dxa"/>
          </w:tcPr>
          <w:p w:rsidR="007C77F3" w:rsidRPr="00870FB6" w:rsidRDefault="007C77F3" w:rsidP="001F2A6D">
            <w:pPr>
              <w:jc w:val="center"/>
              <w:rPr>
                <w:rFonts w:eastAsia="SimSun"/>
                <w:b/>
                <w:sz w:val="16"/>
                <w:szCs w:val="16"/>
              </w:rPr>
            </w:pPr>
            <w:r w:rsidRPr="00870FB6">
              <w:rPr>
                <w:rFonts w:eastAsia="SimSun"/>
                <w:b/>
                <w:sz w:val="16"/>
                <w:szCs w:val="16"/>
              </w:rPr>
              <w:t>4,22</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8.</w:t>
            </w:r>
          </w:p>
        </w:tc>
        <w:tc>
          <w:tcPr>
            <w:tcW w:w="2214" w:type="dxa"/>
          </w:tcPr>
          <w:p w:rsidR="007C77F3" w:rsidRPr="00870FB6" w:rsidRDefault="007C77F3" w:rsidP="001F2A6D">
            <w:pPr>
              <w:pStyle w:val="NoSpacing"/>
              <w:rPr>
                <w:sz w:val="16"/>
                <w:szCs w:val="16"/>
              </w:rPr>
            </w:pPr>
            <w:r w:rsidRPr="00870FB6">
              <w:rPr>
                <w:sz w:val="16"/>
                <w:szCs w:val="16"/>
              </w:rPr>
              <w:t>Î.S. pentru utilizarea spațiului aerian și deservirea traficului aerian „MoldATSA”</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265,3</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42,2</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183,2</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11,0</w:t>
            </w:r>
          </w:p>
        </w:tc>
        <w:tc>
          <w:tcPr>
            <w:tcW w:w="1066" w:type="dxa"/>
          </w:tcPr>
          <w:p w:rsidR="007C77F3" w:rsidRPr="00870FB6" w:rsidRDefault="007C77F3" w:rsidP="001F2A6D">
            <w:pPr>
              <w:jc w:val="center"/>
              <w:rPr>
                <w:rFonts w:eastAsia="SimSun"/>
                <w:sz w:val="16"/>
                <w:szCs w:val="16"/>
              </w:rPr>
            </w:pPr>
            <w:r w:rsidRPr="00870FB6">
              <w:rPr>
                <w:rFonts w:eastAsia="SimSun"/>
                <w:sz w:val="16"/>
                <w:szCs w:val="16"/>
              </w:rPr>
              <w:t>11,0</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8,08</w:t>
            </w:r>
          </w:p>
        </w:tc>
        <w:tc>
          <w:tcPr>
            <w:tcW w:w="1369" w:type="dxa"/>
          </w:tcPr>
          <w:p w:rsidR="007C77F3" w:rsidRPr="00870FB6" w:rsidRDefault="007C77F3" w:rsidP="001F2A6D">
            <w:pPr>
              <w:jc w:val="center"/>
              <w:rPr>
                <w:rFonts w:eastAsia="SimSun"/>
                <w:sz w:val="16"/>
                <w:szCs w:val="16"/>
              </w:rPr>
            </w:pPr>
            <w:r w:rsidRPr="00870FB6">
              <w:rPr>
                <w:rFonts w:eastAsia="SimSun"/>
                <w:sz w:val="16"/>
                <w:szCs w:val="16"/>
              </w:rPr>
              <w:t>1,19</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9.</w:t>
            </w:r>
          </w:p>
        </w:tc>
        <w:tc>
          <w:tcPr>
            <w:tcW w:w="2214" w:type="dxa"/>
          </w:tcPr>
          <w:p w:rsidR="007C77F3" w:rsidRPr="00870FB6" w:rsidRDefault="007C77F3" w:rsidP="001F2A6D">
            <w:pPr>
              <w:pStyle w:val="NoSpacing"/>
              <w:rPr>
                <w:sz w:val="16"/>
                <w:szCs w:val="16"/>
              </w:rPr>
            </w:pPr>
            <w:r w:rsidRPr="00870FB6">
              <w:rPr>
                <w:sz w:val="16"/>
                <w:szCs w:val="16"/>
              </w:rPr>
              <w:t>Î.S. Institutul de Tehnică Agricolă „Mecagro”</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323,0</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274,8</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88,8</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5,4</w:t>
            </w:r>
          </w:p>
        </w:tc>
        <w:tc>
          <w:tcPr>
            <w:tcW w:w="1066" w:type="dxa"/>
          </w:tcPr>
          <w:p w:rsidR="007C77F3" w:rsidRPr="00870FB6" w:rsidRDefault="007C77F3" w:rsidP="001F2A6D">
            <w:pPr>
              <w:jc w:val="center"/>
              <w:rPr>
                <w:rFonts w:eastAsia="SimSun"/>
                <w:sz w:val="16"/>
                <w:szCs w:val="16"/>
              </w:rPr>
            </w:pPr>
            <w:r w:rsidRPr="00870FB6">
              <w:rPr>
                <w:rFonts w:eastAsia="SimSun"/>
                <w:sz w:val="16"/>
                <w:szCs w:val="16"/>
              </w:rPr>
              <w:t>30,57</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7,66</w:t>
            </w:r>
          </w:p>
        </w:tc>
        <w:tc>
          <w:tcPr>
            <w:tcW w:w="1369" w:type="dxa"/>
          </w:tcPr>
          <w:p w:rsidR="007C77F3" w:rsidRPr="00870FB6" w:rsidRDefault="007C77F3" w:rsidP="001F2A6D">
            <w:pPr>
              <w:jc w:val="center"/>
              <w:rPr>
                <w:rFonts w:eastAsia="SimSun"/>
                <w:b/>
                <w:sz w:val="16"/>
                <w:szCs w:val="16"/>
              </w:rPr>
            </w:pPr>
            <w:r w:rsidRPr="00870FB6">
              <w:rPr>
                <w:rFonts w:eastAsia="SimSun"/>
                <w:b/>
                <w:sz w:val="16"/>
                <w:szCs w:val="16"/>
              </w:rPr>
              <w:t>6,72</w:t>
            </w:r>
          </w:p>
        </w:tc>
      </w:tr>
      <w:tr w:rsidR="007C77F3" w:rsidRPr="00870FB6" w:rsidTr="001F2A6D">
        <w:trPr>
          <w:jc w:val="center"/>
        </w:trPr>
        <w:tc>
          <w:tcPr>
            <w:tcW w:w="431" w:type="dxa"/>
          </w:tcPr>
          <w:p w:rsidR="007C77F3" w:rsidRPr="00870FB6" w:rsidRDefault="007C77F3" w:rsidP="001F2A6D">
            <w:pPr>
              <w:jc w:val="center"/>
              <w:rPr>
                <w:rFonts w:eastAsia="SimSun"/>
                <w:sz w:val="16"/>
                <w:szCs w:val="16"/>
              </w:rPr>
            </w:pPr>
            <w:r w:rsidRPr="00870FB6">
              <w:rPr>
                <w:rFonts w:eastAsia="SimSun"/>
                <w:sz w:val="16"/>
                <w:szCs w:val="16"/>
              </w:rPr>
              <w:t>10.</w:t>
            </w:r>
          </w:p>
        </w:tc>
        <w:tc>
          <w:tcPr>
            <w:tcW w:w="2214" w:type="dxa"/>
          </w:tcPr>
          <w:p w:rsidR="007C77F3" w:rsidRPr="00870FB6" w:rsidRDefault="007C77F3" w:rsidP="001F2A6D">
            <w:pPr>
              <w:pStyle w:val="NoSpacing"/>
              <w:rPr>
                <w:sz w:val="16"/>
                <w:szCs w:val="16"/>
              </w:rPr>
            </w:pPr>
            <w:r w:rsidRPr="00870FB6">
              <w:rPr>
                <w:sz w:val="16"/>
                <w:szCs w:val="16"/>
              </w:rPr>
              <w:t>Î.S. „Aeroportul Internațional Mărculești”</w:t>
            </w:r>
          </w:p>
        </w:tc>
        <w:tc>
          <w:tcPr>
            <w:tcW w:w="692" w:type="dxa"/>
          </w:tcPr>
          <w:p w:rsidR="007C77F3" w:rsidRPr="00870FB6" w:rsidRDefault="007C77F3" w:rsidP="001F2A6D">
            <w:pPr>
              <w:jc w:val="center"/>
              <w:rPr>
                <w:rFonts w:eastAsia="SimSun"/>
                <w:sz w:val="16"/>
                <w:szCs w:val="16"/>
              </w:rPr>
            </w:pPr>
            <w:r w:rsidRPr="00870FB6">
              <w:rPr>
                <w:rFonts w:eastAsia="SimSun"/>
                <w:sz w:val="16"/>
                <w:szCs w:val="16"/>
              </w:rPr>
              <w:t>375,8</w:t>
            </w:r>
          </w:p>
        </w:tc>
        <w:tc>
          <w:tcPr>
            <w:tcW w:w="789" w:type="dxa"/>
          </w:tcPr>
          <w:p w:rsidR="007C77F3" w:rsidRPr="00870FB6" w:rsidRDefault="007C77F3" w:rsidP="001F2A6D">
            <w:pPr>
              <w:jc w:val="center"/>
              <w:rPr>
                <w:rFonts w:eastAsia="SimSun"/>
                <w:sz w:val="16"/>
                <w:szCs w:val="16"/>
              </w:rPr>
            </w:pPr>
            <w:r w:rsidRPr="00870FB6">
              <w:rPr>
                <w:rFonts w:eastAsia="SimSun"/>
                <w:sz w:val="16"/>
                <w:szCs w:val="16"/>
              </w:rPr>
              <w:t>67,8</w:t>
            </w:r>
          </w:p>
        </w:tc>
        <w:tc>
          <w:tcPr>
            <w:tcW w:w="898" w:type="dxa"/>
          </w:tcPr>
          <w:p w:rsidR="007C77F3" w:rsidRPr="00870FB6" w:rsidRDefault="007C77F3" w:rsidP="001F2A6D">
            <w:pPr>
              <w:jc w:val="center"/>
              <w:rPr>
                <w:rFonts w:eastAsia="SimSun"/>
                <w:sz w:val="16"/>
                <w:szCs w:val="16"/>
              </w:rPr>
            </w:pPr>
            <w:r w:rsidRPr="00870FB6">
              <w:rPr>
                <w:rFonts w:eastAsia="SimSun"/>
                <w:sz w:val="16"/>
                <w:szCs w:val="16"/>
              </w:rPr>
              <w:t>40,1</w:t>
            </w:r>
          </w:p>
        </w:tc>
        <w:tc>
          <w:tcPr>
            <w:tcW w:w="852" w:type="dxa"/>
          </w:tcPr>
          <w:p w:rsidR="007C77F3" w:rsidRPr="00870FB6" w:rsidRDefault="007C77F3" w:rsidP="001F2A6D">
            <w:pPr>
              <w:jc w:val="center"/>
              <w:rPr>
                <w:rFonts w:eastAsia="SimSun"/>
                <w:sz w:val="16"/>
                <w:szCs w:val="16"/>
              </w:rPr>
            </w:pPr>
            <w:r w:rsidRPr="00870FB6">
              <w:rPr>
                <w:rFonts w:eastAsia="SimSun"/>
                <w:sz w:val="16"/>
                <w:szCs w:val="16"/>
              </w:rPr>
              <w:t>1,7</w:t>
            </w:r>
          </w:p>
        </w:tc>
        <w:tc>
          <w:tcPr>
            <w:tcW w:w="1066" w:type="dxa"/>
          </w:tcPr>
          <w:p w:rsidR="007C77F3" w:rsidRPr="00870FB6" w:rsidRDefault="007C77F3" w:rsidP="001F2A6D">
            <w:pPr>
              <w:jc w:val="center"/>
              <w:rPr>
                <w:rFonts w:eastAsia="SimSun"/>
                <w:b/>
                <w:sz w:val="16"/>
                <w:szCs w:val="16"/>
              </w:rPr>
            </w:pPr>
            <w:r w:rsidRPr="00870FB6">
              <w:rPr>
                <w:rFonts w:eastAsia="SimSun"/>
                <w:b/>
                <w:sz w:val="16"/>
                <w:szCs w:val="16"/>
              </w:rPr>
              <w:t>0,48</w:t>
            </w:r>
          </w:p>
        </w:tc>
        <w:tc>
          <w:tcPr>
            <w:tcW w:w="1401" w:type="dxa"/>
          </w:tcPr>
          <w:p w:rsidR="007C77F3" w:rsidRPr="00870FB6" w:rsidRDefault="007C77F3" w:rsidP="001F2A6D">
            <w:pPr>
              <w:jc w:val="center"/>
              <w:rPr>
                <w:rFonts w:eastAsia="SimSun"/>
                <w:sz w:val="16"/>
                <w:szCs w:val="16"/>
              </w:rPr>
            </w:pPr>
            <w:r w:rsidRPr="00870FB6">
              <w:rPr>
                <w:rFonts w:eastAsia="SimSun"/>
                <w:sz w:val="16"/>
                <w:szCs w:val="16"/>
              </w:rPr>
              <w:t xml:space="preserve">- </w:t>
            </w:r>
          </w:p>
          <w:p w:rsidR="007C77F3" w:rsidRPr="00870FB6" w:rsidRDefault="007C77F3" w:rsidP="001F2A6D">
            <w:pPr>
              <w:jc w:val="center"/>
              <w:rPr>
                <w:rFonts w:eastAsia="SimSun"/>
                <w:b/>
                <w:sz w:val="16"/>
                <w:szCs w:val="16"/>
              </w:rPr>
            </w:pPr>
            <w:r w:rsidRPr="00870FB6">
              <w:rPr>
                <w:rFonts w:eastAsia="SimSun"/>
                <w:b/>
                <w:sz w:val="16"/>
                <w:szCs w:val="16"/>
              </w:rPr>
              <w:t>(-40,15)</w:t>
            </w:r>
          </w:p>
        </w:tc>
        <w:tc>
          <w:tcPr>
            <w:tcW w:w="1369" w:type="dxa"/>
          </w:tcPr>
          <w:p w:rsidR="007C77F3" w:rsidRPr="00870FB6" w:rsidRDefault="007C77F3" w:rsidP="001F2A6D">
            <w:pPr>
              <w:jc w:val="center"/>
              <w:rPr>
                <w:rFonts w:eastAsia="SimSun"/>
                <w:sz w:val="16"/>
                <w:szCs w:val="16"/>
              </w:rPr>
            </w:pPr>
            <w:r w:rsidRPr="00870FB6">
              <w:rPr>
                <w:rFonts w:eastAsia="SimSun"/>
                <w:sz w:val="16"/>
                <w:szCs w:val="16"/>
              </w:rPr>
              <w:t>1,22</w:t>
            </w:r>
          </w:p>
        </w:tc>
      </w:tr>
    </w:tbl>
    <w:p w:rsidR="007C77F3" w:rsidRPr="00870FB6" w:rsidRDefault="007C77F3" w:rsidP="007C77F3">
      <w:pPr>
        <w:ind w:firstLine="540"/>
        <w:jc w:val="both"/>
        <w:rPr>
          <w:sz w:val="28"/>
          <w:szCs w:val="28"/>
        </w:rPr>
      </w:pPr>
    </w:p>
    <w:p w:rsidR="00D81951" w:rsidRDefault="00D81951" w:rsidP="00D81951">
      <w:pPr>
        <w:spacing w:line="276" w:lineRule="auto"/>
        <w:jc w:val="both"/>
        <w:rPr>
          <w:b/>
          <w:i/>
          <w:sz w:val="28"/>
          <w:szCs w:val="28"/>
        </w:rPr>
      </w:pPr>
    </w:p>
    <w:p w:rsidR="007C77F3" w:rsidRDefault="00D81951" w:rsidP="007C77F3">
      <w:pPr>
        <w:spacing w:after="240" w:line="276" w:lineRule="auto"/>
        <w:jc w:val="both"/>
        <w:rPr>
          <w:b/>
          <w:i/>
          <w:sz w:val="28"/>
          <w:szCs w:val="28"/>
        </w:rPr>
      </w:pPr>
      <w:r>
        <w:rPr>
          <w:b/>
          <w:i/>
          <w:sz w:val="28"/>
          <w:szCs w:val="28"/>
        </w:rPr>
        <w:t>I</w:t>
      </w:r>
      <w:r w:rsidR="007C77F3">
        <w:rPr>
          <w:b/>
          <w:i/>
          <w:sz w:val="28"/>
          <w:szCs w:val="28"/>
        </w:rPr>
        <w:t>.2 Sinteza r</w:t>
      </w:r>
      <w:r w:rsidR="007C77F3" w:rsidRPr="00E81E81">
        <w:rPr>
          <w:b/>
          <w:i/>
          <w:sz w:val="28"/>
          <w:szCs w:val="28"/>
        </w:rPr>
        <w:t>ezultatelor monitoringului financiar al activită</w:t>
      </w:r>
      <w:r w:rsidR="007C77F3">
        <w:rPr>
          <w:b/>
          <w:i/>
          <w:sz w:val="28"/>
          <w:szCs w:val="28"/>
        </w:rPr>
        <w:t>ț</w:t>
      </w:r>
      <w:r w:rsidR="007C77F3" w:rsidRPr="00E81E81">
        <w:rPr>
          <w:b/>
          <w:i/>
          <w:sz w:val="28"/>
          <w:szCs w:val="28"/>
        </w:rPr>
        <w:t xml:space="preserve">ii economico-financiare în anul 2017 a </w:t>
      </w:r>
      <w:r>
        <w:rPr>
          <w:b/>
          <w:i/>
          <w:sz w:val="28"/>
          <w:szCs w:val="28"/>
        </w:rPr>
        <w:t>societăților pe acțiuni</w:t>
      </w:r>
    </w:p>
    <w:p w:rsidR="0093252B" w:rsidRPr="00870FB6" w:rsidRDefault="0008031F" w:rsidP="0093252B">
      <w:pPr>
        <w:spacing w:line="276" w:lineRule="auto"/>
        <w:ind w:firstLine="540"/>
        <w:jc w:val="both"/>
        <w:rPr>
          <w:sz w:val="28"/>
          <w:szCs w:val="28"/>
        </w:rPr>
      </w:pPr>
      <w:r>
        <w:rPr>
          <w:sz w:val="28"/>
          <w:szCs w:val="28"/>
        </w:rPr>
        <w:t>P</w:t>
      </w:r>
      <w:r w:rsidR="0093252B" w:rsidRPr="00870FB6">
        <w:rPr>
          <w:sz w:val="28"/>
          <w:szCs w:val="28"/>
        </w:rPr>
        <w:t>otrivit bilan</w:t>
      </w:r>
      <w:r w:rsidR="000873E3">
        <w:rPr>
          <w:sz w:val="28"/>
          <w:szCs w:val="28"/>
        </w:rPr>
        <w:t>ț</w:t>
      </w:r>
      <w:r w:rsidR="0093252B" w:rsidRPr="00870FB6">
        <w:rPr>
          <w:sz w:val="28"/>
          <w:szCs w:val="28"/>
        </w:rPr>
        <w:t xml:space="preserve">ului generalizat, </w:t>
      </w:r>
      <w:r w:rsidR="0093252B" w:rsidRPr="00870FB6">
        <w:rPr>
          <w:i/>
          <w:sz w:val="28"/>
          <w:szCs w:val="28"/>
        </w:rPr>
        <w:t>valoarea totală a activelor</w:t>
      </w:r>
      <w:r w:rsidR="0093252B" w:rsidRPr="00870FB6">
        <w:rPr>
          <w:sz w:val="28"/>
          <w:szCs w:val="28"/>
        </w:rPr>
        <w:t xml:space="preserve"> societă</w:t>
      </w:r>
      <w:r w:rsidR="000873E3">
        <w:rPr>
          <w:sz w:val="28"/>
          <w:szCs w:val="28"/>
        </w:rPr>
        <w:t>ț</w:t>
      </w:r>
      <w:r w:rsidR="0093252B" w:rsidRPr="00870FB6">
        <w:rPr>
          <w:sz w:val="28"/>
          <w:szCs w:val="28"/>
        </w:rPr>
        <w:t xml:space="preserve">ilor </w:t>
      </w:r>
      <w:r w:rsidR="00D81951">
        <w:rPr>
          <w:sz w:val="28"/>
          <w:szCs w:val="28"/>
        </w:rPr>
        <w:t xml:space="preserve">pe acțiuni </w:t>
      </w:r>
      <w:r w:rsidR="0093252B" w:rsidRPr="00870FB6">
        <w:rPr>
          <w:sz w:val="28"/>
          <w:szCs w:val="28"/>
        </w:rPr>
        <w:t>este de 17461,7 mil. lei, care s-a majorat în perioada de gestiune cu</w:t>
      </w:r>
      <w:r>
        <w:rPr>
          <w:sz w:val="28"/>
          <w:szCs w:val="28"/>
        </w:rPr>
        <w:t xml:space="preserve"> </w:t>
      </w:r>
      <w:r w:rsidR="0093252B" w:rsidRPr="00870FB6">
        <w:rPr>
          <w:sz w:val="28"/>
          <w:szCs w:val="28"/>
        </w:rPr>
        <w:t>758,2 mil. lei, dat fiind creșterea valorică considerabilă a activelor imobilizate ale societă</w:t>
      </w:r>
      <w:r w:rsidR="000873E3">
        <w:rPr>
          <w:sz w:val="28"/>
          <w:szCs w:val="28"/>
        </w:rPr>
        <w:t>ț</w:t>
      </w:r>
      <w:r w:rsidR="0093252B" w:rsidRPr="00870FB6">
        <w:rPr>
          <w:sz w:val="28"/>
          <w:szCs w:val="28"/>
        </w:rPr>
        <w:t>ilor cu 850,5 mil. lei. În același timp se atestă că activele circulante ale societă</w:t>
      </w:r>
      <w:r w:rsidR="000873E3">
        <w:rPr>
          <w:sz w:val="28"/>
          <w:szCs w:val="28"/>
        </w:rPr>
        <w:t>ț</w:t>
      </w:r>
      <w:r w:rsidR="0093252B" w:rsidRPr="00870FB6">
        <w:rPr>
          <w:sz w:val="28"/>
          <w:szCs w:val="28"/>
        </w:rPr>
        <w:t xml:space="preserve">ilor s-au diminuat cu 92,3 mil. lei. </w:t>
      </w:r>
    </w:p>
    <w:p w:rsidR="0093252B" w:rsidRPr="00870FB6" w:rsidRDefault="0093252B" w:rsidP="0093252B">
      <w:pPr>
        <w:spacing w:line="276" w:lineRule="auto"/>
        <w:ind w:firstLine="540"/>
        <w:jc w:val="both"/>
        <w:rPr>
          <w:sz w:val="28"/>
          <w:szCs w:val="28"/>
        </w:rPr>
      </w:pPr>
      <w:r w:rsidRPr="00870FB6">
        <w:rPr>
          <w:sz w:val="28"/>
          <w:szCs w:val="28"/>
        </w:rPr>
        <w:t>În rezultatul analizei detaliate a activelor societă</w:t>
      </w:r>
      <w:r w:rsidR="000873E3">
        <w:rPr>
          <w:sz w:val="28"/>
          <w:szCs w:val="28"/>
        </w:rPr>
        <w:t>ț</w:t>
      </w:r>
      <w:r w:rsidRPr="00870FB6">
        <w:rPr>
          <w:sz w:val="28"/>
          <w:szCs w:val="28"/>
        </w:rPr>
        <w:t>ilor pe ac</w:t>
      </w:r>
      <w:r w:rsidR="000873E3">
        <w:rPr>
          <w:sz w:val="28"/>
          <w:szCs w:val="28"/>
        </w:rPr>
        <w:t>ț</w:t>
      </w:r>
      <w:r w:rsidRPr="00870FB6">
        <w:rPr>
          <w:sz w:val="28"/>
          <w:szCs w:val="28"/>
        </w:rPr>
        <w:t>iuni, se constată că majorări valorice esen</w:t>
      </w:r>
      <w:r w:rsidR="000873E3">
        <w:rPr>
          <w:sz w:val="28"/>
          <w:szCs w:val="28"/>
        </w:rPr>
        <w:t>ț</w:t>
      </w:r>
      <w:r w:rsidRPr="00870FB6">
        <w:rPr>
          <w:sz w:val="28"/>
          <w:szCs w:val="28"/>
        </w:rPr>
        <w:t>iale în componen</w:t>
      </w:r>
      <w:r w:rsidR="000873E3">
        <w:rPr>
          <w:sz w:val="28"/>
          <w:szCs w:val="28"/>
        </w:rPr>
        <w:t>ț</w:t>
      </w:r>
      <w:r w:rsidRPr="00870FB6">
        <w:rPr>
          <w:sz w:val="28"/>
          <w:szCs w:val="28"/>
        </w:rPr>
        <w:t>a activelor imobilizate s-au înregistrat la mijloacele fixe – cu 760,2 mil. lei, avansurile acordate pe termen lung – cu 564,0 mil. lei și alte active imobilizate - cu 140,5 mil. lei. Totodată, în componen</w:t>
      </w:r>
      <w:r w:rsidR="000873E3">
        <w:rPr>
          <w:sz w:val="28"/>
          <w:szCs w:val="28"/>
        </w:rPr>
        <w:t>ț</w:t>
      </w:r>
      <w:r w:rsidRPr="00870FB6">
        <w:rPr>
          <w:sz w:val="28"/>
          <w:szCs w:val="28"/>
        </w:rPr>
        <w:t>a activelor imobilizate au fost înregistrate şi diminuări valorice, cele mai semnificative fiind atestate la crean</w:t>
      </w:r>
      <w:r w:rsidR="000873E3">
        <w:rPr>
          <w:sz w:val="28"/>
          <w:szCs w:val="28"/>
        </w:rPr>
        <w:t>ț</w:t>
      </w:r>
      <w:r w:rsidRPr="00870FB6">
        <w:rPr>
          <w:sz w:val="28"/>
          <w:szCs w:val="28"/>
        </w:rPr>
        <w:t>ele pe termen lung – cu 566,3 mil. lei, la imobilizările necorporale – cu 45,2 mil. lei și la imobilizările corporale în curs de execu</w:t>
      </w:r>
      <w:r w:rsidR="000873E3">
        <w:rPr>
          <w:sz w:val="28"/>
          <w:szCs w:val="28"/>
        </w:rPr>
        <w:t>ț</w:t>
      </w:r>
      <w:r w:rsidRPr="00870FB6">
        <w:rPr>
          <w:sz w:val="28"/>
          <w:szCs w:val="28"/>
        </w:rPr>
        <w:t>ie - cu 37,4 mil. lei.</w:t>
      </w:r>
    </w:p>
    <w:p w:rsidR="0093252B" w:rsidRPr="00870FB6" w:rsidRDefault="0093252B" w:rsidP="0093252B">
      <w:pPr>
        <w:tabs>
          <w:tab w:val="left" w:pos="426"/>
        </w:tabs>
        <w:spacing w:line="276" w:lineRule="auto"/>
        <w:ind w:firstLine="540"/>
        <w:jc w:val="both"/>
        <w:rPr>
          <w:sz w:val="28"/>
          <w:szCs w:val="28"/>
        </w:rPr>
      </w:pPr>
      <w:r w:rsidRPr="00870FB6">
        <w:rPr>
          <w:sz w:val="28"/>
          <w:szCs w:val="28"/>
        </w:rPr>
        <w:t xml:space="preserve">În partea ce </w:t>
      </w:r>
      <w:r w:rsidR="000873E3">
        <w:rPr>
          <w:sz w:val="28"/>
          <w:szCs w:val="28"/>
        </w:rPr>
        <w:t>ț</w:t>
      </w:r>
      <w:r w:rsidRPr="00870FB6">
        <w:rPr>
          <w:sz w:val="28"/>
          <w:szCs w:val="28"/>
        </w:rPr>
        <w:t xml:space="preserve">ine de activele circulante, se remarcă că diminuarea acestora a fost generată în </w:t>
      </w:r>
      <w:r w:rsidR="00EA04AB" w:rsidRPr="00870FB6">
        <w:rPr>
          <w:sz w:val="28"/>
          <w:szCs w:val="28"/>
        </w:rPr>
        <w:t>special</w:t>
      </w:r>
      <w:r w:rsidRPr="00870FB6">
        <w:rPr>
          <w:sz w:val="28"/>
          <w:szCs w:val="28"/>
        </w:rPr>
        <w:t xml:space="preserve"> de micșorarea crean</w:t>
      </w:r>
      <w:r w:rsidR="000873E3">
        <w:rPr>
          <w:sz w:val="28"/>
          <w:szCs w:val="28"/>
        </w:rPr>
        <w:t>ț</w:t>
      </w:r>
      <w:r w:rsidRPr="00870FB6">
        <w:rPr>
          <w:sz w:val="28"/>
          <w:szCs w:val="28"/>
        </w:rPr>
        <w:t>elor comerciale cu 480,1 mil. lei, a numerarului în casierie şi la conturi curente – cu 66,1 mil. lei, a stocurilor produc</w:t>
      </w:r>
      <w:r w:rsidR="000873E3">
        <w:rPr>
          <w:sz w:val="28"/>
          <w:szCs w:val="28"/>
        </w:rPr>
        <w:t>ț</w:t>
      </w:r>
      <w:r w:rsidRPr="00870FB6">
        <w:rPr>
          <w:sz w:val="28"/>
          <w:szCs w:val="28"/>
        </w:rPr>
        <w:t>iei în curs de execu</w:t>
      </w:r>
      <w:r w:rsidR="000873E3">
        <w:rPr>
          <w:sz w:val="28"/>
          <w:szCs w:val="28"/>
        </w:rPr>
        <w:t>ț</w:t>
      </w:r>
      <w:r w:rsidRPr="00870FB6">
        <w:rPr>
          <w:sz w:val="28"/>
          <w:szCs w:val="28"/>
        </w:rPr>
        <w:t>ie și de produse - cu 59,8 mil. lei, a materialelor – cu 51,6 mil. lei. Concomitent, în componen</w:t>
      </w:r>
      <w:r w:rsidR="000873E3">
        <w:rPr>
          <w:sz w:val="28"/>
          <w:szCs w:val="28"/>
        </w:rPr>
        <w:t>ț</w:t>
      </w:r>
      <w:r w:rsidRPr="00870FB6">
        <w:rPr>
          <w:sz w:val="28"/>
          <w:szCs w:val="28"/>
        </w:rPr>
        <w:t>a activelor circulante s-au înregistrat şi majorări, cele mai considerabile fiind atribuite altor crean</w:t>
      </w:r>
      <w:r w:rsidR="000873E3">
        <w:rPr>
          <w:sz w:val="28"/>
          <w:szCs w:val="28"/>
        </w:rPr>
        <w:t>ț</w:t>
      </w:r>
      <w:r w:rsidRPr="00870FB6">
        <w:rPr>
          <w:sz w:val="28"/>
          <w:szCs w:val="28"/>
        </w:rPr>
        <w:t>e curente – cu 537,4 mil. lei, avansurilor acordate curente – cu 45,0 mil. lei, crean</w:t>
      </w:r>
      <w:r w:rsidR="000873E3">
        <w:rPr>
          <w:sz w:val="28"/>
          <w:szCs w:val="28"/>
        </w:rPr>
        <w:t>ț</w:t>
      </w:r>
      <w:r w:rsidRPr="00870FB6">
        <w:rPr>
          <w:sz w:val="28"/>
          <w:szCs w:val="28"/>
        </w:rPr>
        <w:t>elor păr</w:t>
      </w:r>
      <w:r w:rsidR="000873E3">
        <w:rPr>
          <w:sz w:val="28"/>
          <w:szCs w:val="28"/>
        </w:rPr>
        <w:t>ț</w:t>
      </w:r>
      <w:r w:rsidRPr="00870FB6">
        <w:rPr>
          <w:sz w:val="28"/>
          <w:szCs w:val="28"/>
        </w:rPr>
        <w:t>ilor afiliate – cu 31,2 mil. lei.</w:t>
      </w:r>
    </w:p>
    <w:p w:rsidR="001323E3" w:rsidRDefault="001323E3" w:rsidP="0093252B">
      <w:pPr>
        <w:spacing w:line="26" w:lineRule="atLeast"/>
        <w:jc w:val="right"/>
        <w:rPr>
          <w:sz w:val="20"/>
          <w:szCs w:val="20"/>
        </w:rPr>
      </w:pPr>
    </w:p>
    <w:p w:rsidR="0093252B" w:rsidRPr="00870FB6" w:rsidRDefault="0093252B" w:rsidP="0093252B">
      <w:pPr>
        <w:spacing w:line="26" w:lineRule="atLeast"/>
        <w:jc w:val="right"/>
        <w:rPr>
          <w:sz w:val="20"/>
          <w:szCs w:val="20"/>
        </w:rPr>
      </w:pPr>
      <w:r w:rsidRPr="00870FB6">
        <w:rPr>
          <w:sz w:val="20"/>
          <w:szCs w:val="20"/>
        </w:rPr>
        <w:t xml:space="preserve">Tabelul </w:t>
      </w:r>
      <w:r w:rsidR="00F26608">
        <w:rPr>
          <w:sz w:val="20"/>
          <w:szCs w:val="20"/>
        </w:rPr>
        <w:t>9.</w:t>
      </w:r>
    </w:p>
    <w:p w:rsidR="0093252B" w:rsidRPr="00F26608" w:rsidRDefault="0093252B" w:rsidP="0093252B">
      <w:pPr>
        <w:spacing w:line="26" w:lineRule="atLeast"/>
        <w:jc w:val="center"/>
        <w:rPr>
          <w:b/>
          <w:i/>
          <w:sz w:val="20"/>
          <w:szCs w:val="20"/>
        </w:rPr>
      </w:pPr>
      <w:r w:rsidRPr="00F26608">
        <w:rPr>
          <w:b/>
          <w:i/>
          <w:sz w:val="20"/>
          <w:szCs w:val="20"/>
        </w:rPr>
        <w:t>Analiza structurii patrimoniului (activelor) societă</w:t>
      </w:r>
      <w:r w:rsidR="000873E3" w:rsidRPr="00F26608">
        <w:rPr>
          <w:b/>
          <w:i/>
          <w:sz w:val="20"/>
          <w:szCs w:val="20"/>
        </w:rPr>
        <w:t>ț</w:t>
      </w:r>
      <w:r w:rsidRPr="00F26608">
        <w:rPr>
          <w:b/>
          <w:i/>
          <w:sz w:val="20"/>
          <w:szCs w:val="20"/>
        </w:rPr>
        <w:t>ilor pe ac</w:t>
      </w:r>
      <w:r w:rsidR="000873E3" w:rsidRPr="00F26608">
        <w:rPr>
          <w:b/>
          <w:i/>
          <w:sz w:val="20"/>
          <w:szCs w:val="20"/>
        </w:rPr>
        <w:t>ț</w:t>
      </w:r>
      <w:r w:rsidRPr="00F26608">
        <w:rPr>
          <w:b/>
          <w:i/>
          <w:sz w:val="20"/>
          <w:szCs w:val="20"/>
        </w:rPr>
        <w:t>iuni, în dinamică</w:t>
      </w:r>
    </w:p>
    <w:p w:rsidR="0093252B" w:rsidRPr="00870FB6" w:rsidRDefault="0093252B" w:rsidP="0093252B">
      <w:pPr>
        <w:spacing w:line="60" w:lineRule="auto"/>
        <w:jc w:val="center"/>
        <w:rPr>
          <w:b/>
          <w:i/>
          <w:sz w:val="28"/>
          <w:szCs w:val="28"/>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68"/>
        <w:gridCol w:w="1036"/>
        <w:gridCol w:w="1092"/>
        <w:gridCol w:w="976"/>
        <w:gridCol w:w="1080"/>
        <w:gridCol w:w="1019"/>
      </w:tblGrid>
      <w:tr w:rsidR="0093252B" w:rsidRPr="00870FB6" w:rsidTr="0093252B">
        <w:trPr>
          <w:jc w:val="center"/>
        </w:trPr>
        <w:tc>
          <w:tcPr>
            <w:tcW w:w="568" w:type="dxa"/>
            <w:vMerge w:val="restart"/>
            <w:vAlign w:val="center"/>
          </w:tcPr>
          <w:p w:rsidR="0093252B" w:rsidRPr="00870FB6" w:rsidRDefault="0093252B" w:rsidP="0093252B">
            <w:pPr>
              <w:spacing w:line="26" w:lineRule="atLeast"/>
              <w:jc w:val="center"/>
              <w:rPr>
                <w:b/>
                <w:i/>
                <w:iCs/>
                <w:sz w:val="20"/>
                <w:szCs w:val="20"/>
              </w:rPr>
            </w:pPr>
            <w:r w:rsidRPr="00870FB6">
              <w:rPr>
                <w:b/>
                <w:i/>
                <w:iCs/>
                <w:sz w:val="20"/>
                <w:szCs w:val="20"/>
              </w:rPr>
              <w:t>Nr.</w:t>
            </w:r>
          </w:p>
          <w:p w:rsidR="0093252B" w:rsidRPr="00870FB6" w:rsidRDefault="0093252B" w:rsidP="0093252B">
            <w:pPr>
              <w:spacing w:line="26" w:lineRule="atLeast"/>
              <w:jc w:val="center"/>
              <w:rPr>
                <w:b/>
                <w:i/>
                <w:iCs/>
                <w:sz w:val="20"/>
                <w:szCs w:val="20"/>
              </w:rPr>
            </w:pPr>
            <w:r w:rsidRPr="00870FB6">
              <w:rPr>
                <w:b/>
                <w:i/>
                <w:iCs/>
                <w:sz w:val="20"/>
                <w:szCs w:val="20"/>
              </w:rPr>
              <w:t>d/o</w:t>
            </w:r>
          </w:p>
        </w:tc>
        <w:tc>
          <w:tcPr>
            <w:tcW w:w="3368" w:type="dxa"/>
            <w:vMerge w:val="restart"/>
            <w:vAlign w:val="center"/>
          </w:tcPr>
          <w:p w:rsidR="0093252B" w:rsidRPr="00870FB6" w:rsidRDefault="0093252B" w:rsidP="0093252B">
            <w:pPr>
              <w:spacing w:line="26" w:lineRule="atLeast"/>
              <w:jc w:val="center"/>
              <w:rPr>
                <w:b/>
                <w:i/>
                <w:iCs/>
                <w:sz w:val="20"/>
                <w:szCs w:val="20"/>
              </w:rPr>
            </w:pPr>
            <w:r w:rsidRPr="00870FB6">
              <w:rPr>
                <w:b/>
                <w:i/>
                <w:iCs/>
                <w:sz w:val="20"/>
                <w:szCs w:val="20"/>
              </w:rPr>
              <w:t>Indicatori</w:t>
            </w:r>
          </w:p>
        </w:tc>
        <w:tc>
          <w:tcPr>
            <w:tcW w:w="2128" w:type="dxa"/>
            <w:gridSpan w:val="2"/>
          </w:tcPr>
          <w:p w:rsidR="0093252B" w:rsidRPr="00870FB6" w:rsidRDefault="0093252B" w:rsidP="0093252B">
            <w:pPr>
              <w:spacing w:line="26" w:lineRule="atLeast"/>
              <w:jc w:val="center"/>
              <w:rPr>
                <w:b/>
                <w:i/>
                <w:iCs/>
                <w:sz w:val="20"/>
                <w:szCs w:val="20"/>
              </w:rPr>
            </w:pPr>
            <w:r w:rsidRPr="00870FB6">
              <w:rPr>
                <w:b/>
                <w:i/>
                <w:iCs/>
                <w:sz w:val="20"/>
                <w:szCs w:val="20"/>
              </w:rPr>
              <w:t>La situa</w:t>
            </w:r>
            <w:r w:rsidR="000873E3">
              <w:rPr>
                <w:b/>
                <w:i/>
                <w:iCs/>
                <w:sz w:val="20"/>
                <w:szCs w:val="20"/>
              </w:rPr>
              <w:t>ț</w:t>
            </w:r>
            <w:r w:rsidRPr="00870FB6">
              <w:rPr>
                <w:b/>
                <w:i/>
                <w:iCs/>
                <w:sz w:val="20"/>
                <w:szCs w:val="20"/>
              </w:rPr>
              <w:t>ia din 01.01.2017</w:t>
            </w:r>
          </w:p>
        </w:tc>
        <w:tc>
          <w:tcPr>
            <w:tcW w:w="2056" w:type="dxa"/>
            <w:gridSpan w:val="2"/>
          </w:tcPr>
          <w:p w:rsidR="0093252B" w:rsidRPr="00870FB6" w:rsidRDefault="0093252B" w:rsidP="0093252B">
            <w:pPr>
              <w:spacing w:line="26" w:lineRule="atLeast"/>
              <w:jc w:val="center"/>
              <w:rPr>
                <w:b/>
                <w:i/>
                <w:iCs/>
                <w:sz w:val="20"/>
                <w:szCs w:val="20"/>
              </w:rPr>
            </w:pPr>
            <w:r w:rsidRPr="00870FB6">
              <w:rPr>
                <w:b/>
                <w:i/>
                <w:iCs/>
                <w:sz w:val="20"/>
                <w:szCs w:val="20"/>
              </w:rPr>
              <w:t>La situa</w:t>
            </w:r>
            <w:r w:rsidR="000873E3">
              <w:rPr>
                <w:b/>
                <w:i/>
                <w:iCs/>
                <w:sz w:val="20"/>
                <w:szCs w:val="20"/>
              </w:rPr>
              <w:t>ț</w:t>
            </w:r>
            <w:r w:rsidRPr="00870FB6">
              <w:rPr>
                <w:b/>
                <w:i/>
                <w:iCs/>
                <w:sz w:val="20"/>
                <w:szCs w:val="20"/>
              </w:rPr>
              <w:t>ia din 31.12.2017</w:t>
            </w:r>
          </w:p>
        </w:tc>
        <w:tc>
          <w:tcPr>
            <w:tcW w:w="1019" w:type="dxa"/>
            <w:vMerge w:val="restart"/>
            <w:vAlign w:val="center"/>
          </w:tcPr>
          <w:p w:rsidR="0093252B" w:rsidRPr="00870FB6" w:rsidRDefault="0093252B" w:rsidP="0093252B">
            <w:pPr>
              <w:spacing w:line="26" w:lineRule="atLeast"/>
              <w:jc w:val="center"/>
              <w:rPr>
                <w:bCs/>
                <w:sz w:val="20"/>
                <w:szCs w:val="20"/>
              </w:rPr>
            </w:pPr>
            <w:r w:rsidRPr="00F26608">
              <w:rPr>
                <w:b/>
                <w:bCs/>
                <w:i/>
                <w:sz w:val="20"/>
                <w:szCs w:val="20"/>
              </w:rPr>
              <w:t>Devierea</w:t>
            </w:r>
            <w:r w:rsidRPr="00870FB6">
              <w:rPr>
                <w:b/>
                <w:bCs/>
                <w:sz w:val="20"/>
                <w:szCs w:val="20"/>
              </w:rPr>
              <w:t xml:space="preserve">   </w:t>
            </w:r>
            <w:r w:rsidRPr="00870FB6">
              <w:rPr>
                <w:bCs/>
                <w:sz w:val="20"/>
                <w:szCs w:val="20"/>
              </w:rPr>
              <w:t>+/-</w:t>
            </w:r>
          </w:p>
          <w:p w:rsidR="0093252B" w:rsidRPr="00870FB6" w:rsidRDefault="0093252B" w:rsidP="0093252B">
            <w:pPr>
              <w:spacing w:line="26" w:lineRule="atLeast"/>
              <w:jc w:val="center"/>
              <w:rPr>
                <w:b/>
                <w:bCs/>
                <w:sz w:val="20"/>
                <w:szCs w:val="20"/>
              </w:rPr>
            </w:pPr>
            <w:r w:rsidRPr="00870FB6">
              <w:rPr>
                <w:bCs/>
                <w:sz w:val="20"/>
                <w:szCs w:val="20"/>
              </w:rPr>
              <w:t>mil. lei</w:t>
            </w:r>
          </w:p>
        </w:tc>
      </w:tr>
      <w:tr w:rsidR="0093252B" w:rsidRPr="00870FB6" w:rsidTr="0093252B">
        <w:trPr>
          <w:jc w:val="center"/>
        </w:trPr>
        <w:tc>
          <w:tcPr>
            <w:tcW w:w="568" w:type="dxa"/>
            <w:vMerge/>
          </w:tcPr>
          <w:p w:rsidR="0093252B" w:rsidRPr="00870FB6" w:rsidRDefault="0093252B" w:rsidP="0093252B">
            <w:pPr>
              <w:spacing w:line="26" w:lineRule="atLeast"/>
              <w:jc w:val="both"/>
              <w:rPr>
                <w:sz w:val="20"/>
                <w:szCs w:val="20"/>
              </w:rPr>
            </w:pPr>
          </w:p>
        </w:tc>
        <w:tc>
          <w:tcPr>
            <w:tcW w:w="3368" w:type="dxa"/>
            <w:vMerge/>
          </w:tcPr>
          <w:p w:rsidR="0093252B" w:rsidRPr="00870FB6" w:rsidRDefault="0093252B" w:rsidP="0093252B">
            <w:pPr>
              <w:spacing w:line="26" w:lineRule="atLeast"/>
              <w:jc w:val="both"/>
              <w:rPr>
                <w:sz w:val="20"/>
                <w:szCs w:val="20"/>
              </w:rPr>
            </w:pPr>
          </w:p>
        </w:tc>
        <w:tc>
          <w:tcPr>
            <w:tcW w:w="1036" w:type="dxa"/>
          </w:tcPr>
          <w:p w:rsidR="0093252B" w:rsidRPr="00870FB6" w:rsidRDefault="0093252B" w:rsidP="0093252B">
            <w:pPr>
              <w:spacing w:line="26" w:lineRule="atLeast"/>
              <w:jc w:val="center"/>
              <w:rPr>
                <w:sz w:val="20"/>
                <w:szCs w:val="20"/>
              </w:rPr>
            </w:pPr>
            <w:r w:rsidRPr="00870FB6">
              <w:rPr>
                <w:sz w:val="20"/>
                <w:szCs w:val="20"/>
              </w:rPr>
              <w:t>suma,</w:t>
            </w:r>
          </w:p>
          <w:p w:rsidR="0093252B" w:rsidRPr="00870FB6" w:rsidRDefault="0093252B" w:rsidP="0093252B">
            <w:pPr>
              <w:spacing w:line="26" w:lineRule="atLeast"/>
              <w:jc w:val="center"/>
              <w:rPr>
                <w:sz w:val="20"/>
                <w:szCs w:val="20"/>
              </w:rPr>
            </w:pPr>
            <w:r w:rsidRPr="00870FB6">
              <w:rPr>
                <w:sz w:val="20"/>
                <w:szCs w:val="20"/>
              </w:rPr>
              <w:t>mil. lei</w:t>
            </w:r>
          </w:p>
        </w:tc>
        <w:tc>
          <w:tcPr>
            <w:tcW w:w="1092" w:type="dxa"/>
          </w:tcPr>
          <w:p w:rsidR="0093252B" w:rsidRPr="00870FB6" w:rsidRDefault="0093252B" w:rsidP="0093252B">
            <w:pPr>
              <w:spacing w:line="26" w:lineRule="atLeast"/>
              <w:jc w:val="center"/>
              <w:rPr>
                <w:sz w:val="20"/>
                <w:szCs w:val="20"/>
              </w:rPr>
            </w:pPr>
            <w:r w:rsidRPr="00870FB6">
              <w:rPr>
                <w:sz w:val="20"/>
                <w:szCs w:val="20"/>
              </w:rPr>
              <w:t>ponderea, %</w:t>
            </w:r>
          </w:p>
        </w:tc>
        <w:tc>
          <w:tcPr>
            <w:tcW w:w="976" w:type="dxa"/>
          </w:tcPr>
          <w:p w:rsidR="0093252B" w:rsidRPr="00870FB6" w:rsidRDefault="0093252B" w:rsidP="0093252B">
            <w:pPr>
              <w:spacing w:line="26" w:lineRule="atLeast"/>
              <w:jc w:val="center"/>
              <w:rPr>
                <w:sz w:val="20"/>
                <w:szCs w:val="20"/>
              </w:rPr>
            </w:pPr>
            <w:r w:rsidRPr="00870FB6">
              <w:rPr>
                <w:sz w:val="20"/>
                <w:szCs w:val="20"/>
              </w:rPr>
              <w:t>suma,</w:t>
            </w:r>
          </w:p>
          <w:p w:rsidR="0093252B" w:rsidRPr="00870FB6" w:rsidRDefault="0093252B" w:rsidP="0093252B">
            <w:pPr>
              <w:spacing w:line="26" w:lineRule="atLeast"/>
              <w:jc w:val="center"/>
              <w:rPr>
                <w:sz w:val="20"/>
                <w:szCs w:val="20"/>
              </w:rPr>
            </w:pPr>
            <w:r w:rsidRPr="00870FB6">
              <w:rPr>
                <w:sz w:val="20"/>
                <w:szCs w:val="20"/>
              </w:rPr>
              <w:t>mil. lei</w:t>
            </w:r>
          </w:p>
        </w:tc>
        <w:tc>
          <w:tcPr>
            <w:tcW w:w="1080" w:type="dxa"/>
          </w:tcPr>
          <w:p w:rsidR="0093252B" w:rsidRPr="00870FB6" w:rsidRDefault="0093252B" w:rsidP="0093252B">
            <w:pPr>
              <w:spacing w:line="26" w:lineRule="atLeast"/>
              <w:jc w:val="center"/>
              <w:rPr>
                <w:sz w:val="20"/>
                <w:szCs w:val="20"/>
              </w:rPr>
            </w:pPr>
            <w:r w:rsidRPr="00870FB6">
              <w:rPr>
                <w:sz w:val="20"/>
                <w:szCs w:val="20"/>
              </w:rPr>
              <w:t>ponderea,   %</w:t>
            </w:r>
          </w:p>
        </w:tc>
        <w:tc>
          <w:tcPr>
            <w:tcW w:w="1019" w:type="dxa"/>
            <w:vMerge/>
          </w:tcPr>
          <w:p w:rsidR="0093252B" w:rsidRPr="00870FB6" w:rsidRDefault="0093252B" w:rsidP="0093252B">
            <w:pPr>
              <w:spacing w:line="26" w:lineRule="atLeast"/>
              <w:jc w:val="both"/>
              <w:rPr>
                <w:b/>
                <w:bCs/>
                <w:sz w:val="20"/>
                <w:szCs w:val="20"/>
              </w:rPr>
            </w:pPr>
          </w:p>
        </w:tc>
      </w:tr>
      <w:tr w:rsidR="0093252B" w:rsidRPr="00870FB6" w:rsidTr="0093252B">
        <w:trPr>
          <w:jc w:val="center"/>
        </w:trPr>
        <w:tc>
          <w:tcPr>
            <w:tcW w:w="568" w:type="dxa"/>
          </w:tcPr>
          <w:p w:rsidR="0093252B" w:rsidRPr="00870FB6" w:rsidRDefault="0093252B" w:rsidP="00EA04AB">
            <w:pPr>
              <w:spacing w:line="26" w:lineRule="atLeast"/>
              <w:jc w:val="center"/>
              <w:rPr>
                <w:sz w:val="20"/>
                <w:szCs w:val="20"/>
              </w:rPr>
            </w:pPr>
            <w:r w:rsidRPr="00870FB6">
              <w:rPr>
                <w:sz w:val="20"/>
                <w:szCs w:val="20"/>
              </w:rPr>
              <w:t>1.</w:t>
            </w:r>
          </w:p>
        </w:tc>
        <w:tc>
          <w:tcPr>
            <w:tcW w:w="3368" w:type="dxa"/>
          </w:tcPr>
          <w:p w:rsidR="0093252B" w:rsidRPr="00870FB6" w:rsidRDefault="0093252B" w:rsidP="0093252B">
            <w:pPr>
              <w:spacing w:line="26" w:lineRule="atLeast"/>
              <w:rPr>
                <w:sz w:val="20"/>
                <w:szCs w:val="20"/>
              </w:rPr>
            </w:pPr>
            <w:r w:rsidRPr="00870FB6">
              <w:rPr>
                <w:sz w:val="20"/>
                <w:szCs w:val="20"/>
              </w:rPr>
              <w:t>Active imobilizate</w:t>
            </w:r>
          </w:p>
        </w:tc>
        <w:tc>
          <w:tcPr>
            <w:tcW w:w="1036" w:type="dxa"/>
            <w:vAlign w:val="center"/>
          </w:tcPr>
          <w:p w:rsidR="0093252B" w:rsidRPr="00870FB6" w:rsidRDefault="0093252B" w:rsidP="0093252B">
            <w:pPr>
              <w:spacing w:line="26" w:lineRule="atLeast"/>
              <w:jc w:val="center"/>
              <w:rPr>
                <w:sz w:val="20"/>
                <w:szCs w:val="20"/>
              </w:rPr>
            </w:pPr>
            <w:r w:rsidRPr="00870FB6">
              <w:rPr>
                <w:sz w:val="20"/>
                <w:szCs w:val="20"/>
              </w:rPr>
              <w:t>12467,3</w:t>
            </w:r>
          </w:p>
        </w:tc>
        <w:tc>
          <w:tcPr>
            <w:tcW w:w="1092" w:type="dxa"/>
            <w:vAlign w:val="center"/>
          </w:tcPr>
          <w:p w:rsidR="0093252B" w:rsidRPr="00870FB6" w:rsidRDefault="0093252B" w:rsidP="0093252B">
            <w:pPr>
              <w:spacing w:line="26" w:lineRule="atLeast"/>
              <w:jc w:val="center"/>
              <w:rPr>
                <w:sz w:val="20"/>
                <w:szCs w:val="20"/>
              </w:rPr>
            </w:pPr>
            <w:r w:rsidRPr="00870FB6">
              <w:rPr>
                <w:sz w:val="20"/>
                <w:szCs w:val="20"/>
              </w:rPr>
              <w:t>74,6</w:t>
            </w:r>
          </w:p>
        </w:tc>
        <w:tc>
          <w:tcPr>
            <w:tcW w:w="976" w:type="dxa"/>
            <w:vAlign w:val="center"/>
          </w:tcPr>
          <w:p w:rsidR="0093252B" w:rsidRPr="00870FB6" w:rsidRDefault="0093252B" w:rsidP="0093252B">
            <w:pPr>
              <w:spacing w:line="26" w:lineRule="atLeast"/>
              <w:jc w:val="center"/>
              <w:rPr>
                <w:sz w:val="20"/>
                <w:szCs w:val="20"/>
              </w:rPr>
            </w:pPr>
            <w:r w:rsidRPr="00870FB6">
              <w:rPr>
                <w:sz w:val="20"/>
                <w:szCs w:val="20"/>
              </w:rPr>
              <w:t>13317,8</w:t>
            </w:r>
          </w:p>
        </w:tc>
        <w:tc>
          <w:tcPr>
            <w:tcW w:w="1080" w:type="dxa"/>
            <w:vAlign w:val="center"/>
          </w:tcPr>
          <w:p w:rsidR="0093252B" w:rsidRPr="00870FB6" w:rsidRDefault="0093252B" w:rsidP="0093252B">
            <w:pPr>
              <w:spacing w:line="26" w:lineRule="atLeast"/>
              <w:jc w:val="center"/>
              <w:rPr>
                <w:sz w:val="20"/>
                <w:szCs w:val="20"/>
              </w:rPr>
            </w:pPr>
            <w:r w:rsidRPr="00870FB6">
              <w:rPr>
                <w:sz w:val="20"/>
                <w:szCs w:val="20"/>
              </w:rPr>
              <w:t>76,3</w:t>
            </w:r>
          </w:p>
        </w:tc>
        <w:tc>
          <w:tcPr>
            <w:tcW w:w="1019" w:type="dxa"/>
            <w:vAlign w:val="center"/>
          </w:tcPr>
          <w:p w:rsidR="0093252B" w:rsidRPr="00870FB6" w:rsidRDefault="0093252B" w:rsidP="0093252B">
            <w:pPr>
              <w:spacing w:line="26" w:lineRule="atLeast"/>
              <w:jc w:val="center"/>
              <w:rPr>
                <w:bCs/>
                <w:sz w:val="20"/>
                <w:szCs w:val="20"/>
              </w:rPr>
            </w:pPr>
            <w:r w:rsidRPr="00870FB6">
              <w:rPr>
                <w:bCs/>
                <w:sz w:val="20"/>
                <w:szCs w:val="20"/>
              </w:rPr>
              <w:t>+850,5</w:t>
            </w:r>
          </w:p>
        </w:tc>
      </w:tr>
      <w:tr w:rsidR="0093252B" w:rsidRPr="00870FB6" w:rsidTr="0093252B">
        <w:trPr>
          <w:jc w:val="center"/>
        </w:trPr>
        <w:tc>
          <w:tcPr>
            <w:tcW w:w="568" w:type="dxa"/>
          </w:tcPr>
          <w:p w:rsidR="0093252B" w:rsidRPr="00870FB6" w:rsidRDefault="0093252B" w:rsidP="00EA04AB">
            <w:pPr>
              <w:spacing w:line="26" w:lineRule="atLeast"/>
              <w:jc w:val="center"/>
              <w:rPr>
                <w:sz w:val="20"/>
                <w:szCs w:val="20"/>
              </w:rPr>
            </w:pPr>
            <w:r w:rsidRPr="00870FB6">
              <w:rPr>
                <w:sz w:val="20"/>
                <w:szCs w:val="20"/>
              </w:rPr>
              <w:t>2.</w:t>
            </w:r>
          </w:p>
        </w:tc>
        <w:tc>
          <w:tcPr>
            <w:tcW w:w="3368" w:type="dxa"/>
          </w:tcPr>
          <w:p w:rsidR="0093252B" w:rsidRPr="00870FB6" w:rsidRDefault="0093252B" w:rsidP="0093252B">
            <w:pPr>
              <w:spacing w:line="26" w:lineRule="atLeast"/>
              <w:rPr>
                <w:sz w:val="20"/>
                <w:szCs w:val="20"/>
              </w:rPr>
            </w:pPr>
            <w:r w:rsidRPr="00870FB6">
              <w:rPr>
                <w:sz w:val="20"/>
                <w:szCs w:val="20"/>
              </w:rPr>
              <w:t>Active circulante</w:t>
            </w:r>
          </w:p>
        </w:tc>
        <w:tc>
          <w:tcPr>
            <w:tcW w:w="1036" w:type="dxa"/>
            <w:vAlign w:val="center"/>
          </w:tcPr>
          <w:p w:rsidR="0093252B" w:rsidRPr="00870FB6" w:rsidRDefault="0093252B" w:rsidP="0093252B">
            <w:pPr>
              <w:spacing w:line="26" w:lineRule="atLeast"/>
              <w:jc w:val="center"/>
              <w:rPr>
                <w:sz w:val="20"/>
                <w:szCs w:val="20"/>
              </w:rPr>
            </w:pPr>
            <w:r w:rsidRPr="00870FB6">
              <w:rPr>
                <w:sz w:val="20"/>
                <w:szCs w:val="20"/>
              </w:rPr>
              <w:t>4236,2</w:t>
            </w:r>
          </w:p>
        </w:tc>
        <w:tc>
          <w:tcPr>
            <w:tcW w:w="1092" w:type="dxa"/>
            <w:vAlign w:val="center"/>
          </w:tcPr>
          <w:p w:rsidR="0093252B" w:rsidRPr="00870FB6" w:rsidRDefault="0093252B" w:rsidP="0093252B">
            <w:pPr>
              <w:spacing w:line="26" w:lineRule="atLeast"/>
              <w:jc w:val="center"/>
              <w:rPr>
                <w:sz w:val="20"/>
                <w:szCs w:val="20"/>
              </w:rPr>
            </w:pPr>
            <w:r w:rsidRPr="00870FB6">
              <w:rPr>
                <w:sz w:val="20"/>
                <w:szCs w:val="20"/>
              </w:rPr>
              <w:t>25,4</w:t>
            </w:r>
          </w:p>
        </w:tc>
        <w:tc>
          <w:tcPr>
            <w:tcW w:w="976" w:type="dxa"/>
            <w:vAlign w:val="center"/>
          </w:tcPr>
          <w:p w:rsidR="0093252B" w:rsidRPr="00870FB6" w:rsidRDefault="0093252B" w:rsidP="0093252B">
            <w:pPr>
              <w:spacing w:line="26" w:lineRule="atLeast"/>
              <w:jc w:val="center"/>
              <w:rPr>
                <w:sz w:val="20"/>
                <w:szCs w:val="20"/>
              </w:rPr>
            </w:pPr>
            <w:r w:rsidRPr="00870FB6">
              <w:rPr>
                <w:sz w:val="20"/>
                <w:szCs w:val="20"/>
              </w:rPr>
              <w:t>4143,9</w:t>
            </w:r>
          </w:p>
        </w:tc>
        <w:tc>
          <w:tcPr>
            <w:tcW w:w="1080" w:type="dxa"/>
            <w:vAlign w:val="center"/>
          </w:tcPr>
          <w:p w:rsidR="0093252B" w:rsidRPr="00870FB6" w:rsidRDefault="0093252B" w:rsidP="0093252B">
            <w:pPr>
              <w:spacing w:line="26" w:lineRule="atLeast"/>
              <w:jc w:val="center"/>
              <w:rPr>
                <w:sz w:val="20"/>
                <w:szCs w:val="20"/>
              </w:rPr>
            </w:pPr>
            <w:r w:rsidRPr="00870FB6">
              <w:rPr>
                <w:sz w:val="20"/>
                <w:szCs w:val="20"/>
              </w:rPr>
              <w:t>23,7</w:t>
            </w:r>
          </w:p>
        </w:tc>
        <w:tc>
          <w:tcPr>
            <w:tcW w:w="1019" w:type="dxa"/>
            <w:vAlign w:val="center"/>
          </w:tcPr>
          <w:p w:rsidR="0093252B" w:rsidRPr="00870FB6" w:rsidRDefault="0093252B" w:rsidP="0093252B">
            <w:pPr>
              <w:spacing w:line="26" w:lineRule="atLeast"/>
              <w:jc w:val="center"/>
              <w:rPr>
                <w:bCs/>
                <w:sz w:val="20"/>
                <w:szCs w:val="20"/>
              </w:rPr>
            </w:pPr>
            <w:r w:rsidRPr="00870FB6">
              <w:rPr>
                <w:bCs/>
                <w:sz w:val="20"/>
                <w:szCs w:val="20"/>
              </w:rPr>
              <w:t>-92,3</w:t>
            </w:r>
          </w:p>
        </w:tc>
      </w:tr>
      <w:tr w:rsidR="0093252B" w:rsidRPr="00870FB6" w:rsidTr="0093252B">
        <w:trPr>
          <w:jc w:val="center"/>
        </w:trPr>
        <w:tc>
          <w:tcPr>
            <w:tcW w:w="568" w:type="dxa"/>
          </w:tcPr>
          <w:p w:rsidR="0093252B" w:rsidRPr="00870FB6" w:rsidRDefault="0093252B" w:rsidP="0093252B">
            <w:pPr>
              <w:spacing w:line="26" w:lineRule="atLeast"/>
              <w:jc w:val="both"/>
              <w:rPr>
                <w:b/>
                <w:bCs/>
                <w:sz w:val="20"/>
                <w:szCs w:val="20"/>
              </w:rPr>
            </w:pPr>
          </w:p>
        </w:tc>
        <w:tc>
          <w:tcPr>
            <w:tcW w:w="3368" w:type="dxa"/>
          </w:tcPr>
          <w:p w:rsidR="0093252B" w:rsidRPr="00870FB6" w:rsidRDefault="0093252B" w:rsidP="0093252B">
            <w:pPr>
              <w:spacing w:line="26" w:lineRule="atLeast"/>
              <w:rPr>
                <w:b/>
                <w:bCs/>
                <w:sz w:val="20"/>
                <w:szCs w:val="20"/>
              </w:rPr>
            </w:pPr>
            <w:r w:rsidRPr="00870FB6">
              <w:rPr>
                <w:b/>
                <w:bCs/>
                <w:sz w:val="20"/>
                <w:szCs w:val="20"/>
              </w:rPr>
              <w:t>Total active</w:t>
            </w:r>
          </w:p>
        </w:tc>
        <w:tc>
          <w:tcPr>
            <w:tcW w:w="1036" w:type="dxa"/>
            <w:vAlign w:val="center"/>
          </w:tcPr>
          <w:p w:rsidR="0093252B" w:rsidRPr="00870FB6" w:rsidRDefault="0093252B" w:rsidP="0093252B">
            <w:pPr>
              <w:spacing w:line="26" w:lineRule="atLeast"/>
              <w:jc w:val="center"/>
              <w:rPr>
                <w:b/>
                <w:bCs/>
                <w:sz w:val="20"/>
                <w:szCs w:val="20"/>
              </w:rPr>
            </w:pPr>
            <w:r w:rsidRPr="00870FB6">
              <w:rPr>
                <w:b/>
                <w:bCs/>
                <w:sz w:val="20"/>
                <w:szCs w:val="20"/>
              </w:rPr>
              <w:t>16703,5</w:t>
            </w:r>
          </w:p>
        </w:tc>
        <w:tc>
          <w:tcPr>
            <w:tcW w:w="1092" w:type="dxa"/>
            <w:vAlign w:val="center"/>
          </w:tcPr>
          <w:p w:rsidR="0093252B" w:rsidRPr="00870FB6" w:rsidRDefault="0093252B" w:rsidP="0093252B">
            <w:pPr>
              <w:spacing w:line="26" w:lineRule="atLeast"/>
              <w:jc w:val="center"/>
              <w:rPr>
                <w:b/>
                <w:bCs/>
                <w:sz w:val="20"/>
                <w:szCs w:val="20"/>
              </w:rPr>
            </w:pPr>
            <w:r w:rsidRPr="00870FB6">
              <w:rPr>
                <w:b/>
                <w:bCs/>
                <w:sz w:val="20"/>
                <w:szCs w:val="20"/>
              </w:rPr>
              <w:t>100</w:t>
            </w:r>
          </w:p>
        </w:tc>
        <w:tc>
          <w:tcPr>
            <w:tcW w:w="976" w:type="dxa"/>
            <w:vAlign w:val="center"/>
          </w:tcPr>
          <w:p w:rsidR="0093252B" w:rsidRPr="00870FB6" w:rsidRDefault="0093252B" w:rsidP="0093252B">
            <w:pPr>
              <w:spacing w:line="26" w:lineRule="atLeast"/>
              <w:jc w:val="center"/>
              <w:rPr>
                <w:b/>
                <w:bCs/>
                <w:sz w:val="20"/>
                <w:szCs w:val="20"/>
              </w:rPr>
            </w:pPr>
            <w:r w:rsidRPr="00870FB6">
              <w:rPr>
                <w:b/>
                <w:bCs/>
                <w:sz w:val="20"/>
                <w:szCs w:val="20"/>
              </w:rPr>
              <w:t>17461,7</w:t>
            </w:r>
          </w:p>
        </w:tc>
        <w:tc>
          <w:tcPr>
            <w:tcW w:w="1080" w:type="dxa"/>
            <w:vAlign w:val="center"/>
          </w:tcPr>
          <w:p w:rsidR="0093252B" w:rsidRPr="00870FB6" w:rsidRDefault="0093252B" w:rsidP="0093252B">
            <w:pPr>
              <w:spacing w:line="26" w:lineRule="atLeast"/>
              <w:jc w:val="center"/>
              <w:rPr>
                <w:b/>
                <w:bCs/>
                <w:sz w:val="20"/>
                <w:szCs w:val="20"/>
              </w:rPr>
            </w:pPr>
            <w:r w:rsidRPr="00870FB6">
              <w:rPr>
                <w:b/>
                <w:bCs/>
                <w:sz w:val="20"/>
                <w:szCs w:val="20"/>
              </w:rPr>
              <w:t>100</w:t>
            </w:r>
          </w:p>
        </w:tc>
        <w:tc>
          <w:tcPr>
            <w:tcW w:w="1019" w:type="dxa"/>
            <w:vAlign w:val="center"/>
          </w:tcPr>
          <w:p w:rsidR="0093252B" w:rsidRPr="00870FB6" w:rsidRDefault="0093252B" w:rsidP="0093252B">
            <w:pPr>
              <w:spacing w:line="26" w:lineRule="atLeast"/>
              <w:jc w:val="center"/>
              <w:rPr>
                <w:b/>
                <w:bCs/>
                <w:sz w:val="20"/>
                <w:szCs w:val="20"/>
              </w:rPr>
            </w:pPr>
            <w:r w:rsidRPr="00870FB6">
              <w:rPr>
                <w:b/>
                <w:bCs/>
                <w:sz w:val="20"/>
                <w:szCs w:val="20"/>
              </w:rPr>
              <w:t>+758,2</w:t>
            </w:r>
          </w:p>
        </w:tc>
      </w:tr>
    </w:tbl>
    <w:p w:rsidR="0093252B" w:rsidRPr="00870FB6" w:rsidRDefault="0093252B" w:rsidP="00EA04AB">
      <w:pPr>
        <w:ind w:firstLine="539"/>
        <w:jc w:val="both"/>
        <w:rPr>
          <w:sz w:val="28"/>
          <w:szCs w:val="28"/>
        </w:rPr>
      </w:pPr>
    </w:p>
    <w:p w:rsidR="00F26608" w:rsidRDefault="005B67C6" w:rsidP="0093252B">
      <w:pPr>
        <w:spacing w:line="276" w:lineRule="auto"/>
        <w:ind w:firstLine="539"/>
        <w:jc w:val="both"/>
        <w:rPr>
          <w:sz w:val="28"/>
          <w:szCs w:val="28"/>
        </w:rPr>
      </w:pPr>
      <w:r w:rsidRPr="00870FB6">
        <w:rPr>
          <w:sz w:val="28"/>
          <w:szCs w:val="28"/>
        </w:rPr>
        <w:lastRenderedPageBreak/>
        <w:t>În particular, activele societăților pe acțiuni sunt constituite în mare parte de mijloace fixe – 62,2% sau 10867,4 mil. lei, creanțe comerciale – 8,5% sau 1482,4 mil. lei, alte creanțe curente – 4,3% sau 746,0 mil. lei, imobilizări necorporale – 3,7% sau 645,5 mil. lei și avansuri acordate pe termen lung - 3,2% sau 564,8 mil. lei.</w:t>
      </w:r>
    </w:p>
    <w:p w:rsidR="0093252B" w:rsidRPr="00870FB6" w:rsidRDefault="0093252B" w:rsidP="0093252B">
      <w:pPr>
        <w:spacing w:line="276" w:lineRule="auto"/>
        <w:ind w:firstLine="539"/>
        <w:jc w:val="both"/>
        <w:rPr>
          <w:sz w:val="28"/>
          <w:szCs w:val="28"/>
        </w:rPr>
      </w:pPr>
      <w:r w:rsidRPr="00870FB6">
        <w:rPr>
          <w:sz w:val="28"/>
          <w:szCs w:val="28"/>
        </w:rPr>
        <w:t>Concomitent se atestă că, societă</w:t>
      </w:r>
      <w:r w:rsidR="000873E3">
        <w:rPr>
          <w:sz w:val="28"/>
          <w:szCs w:val="28"/>
        </w:rPr>
        <w:t>ț</w:t>
      </w:r>
      <w:r w:rsidRPr="00870FB6">
        <w:rPr>
          <w:sz w:val="28"/>
          <w:szCs w:val="28"/>
        </w:rPr>
        <w:t>ile pe ac</w:t>
      </w:r>
      <w:r w:rsidR="000873E3">
        <w:rPr>
          <w:sz w:val="28"/>
          <w:szCs w:val="28"/>
        </w:rPr>
        <w:t>ț</w:t>
      </w:r>
      <w:r w:rsidRPr="00870FB6">
        <w:rPr>
          <w:sz w:val="28"/>
          <w:szCs w:val="28"/>
        </w:rPr>
        <w:t>iuni din administrarea Ministerului Economiei și Infrastructurii înregistrează, la situa</w:t>
      </w:r>
      <w:r w:rsidR="000873E3">
        <w:rPr>
          <w:sz w:val="28"/>
          <w:szCs w:val="28"/>
        </w:rPr>
        <w:t>ț</w:t>
      </w:r>
      <w:r w:rsidRPr="00870FB6">
        <w:rPr>
          <w:sz w:val="28"/>
          <w:szCs w:val="28"/>
        </w:rPr>
        <w:t>ia din 31 decembrie 2017, majorări ale activelor totale de care dispun, în timp ce societă</w:t>
      </w:r>
      <w:r w:rsidR="000873E3">
        <w:rPr>
          <w:sz w:val="28"/>
          <w:szCs w:val="28"/>
        </w:rPr>
        <w:t>ț</w:t>
      </w:r>
      <w:r w:rsidRPr="00870FB6">
        <w:rPr>
          <w:sz w:val="28"/>
          <w:szCs w:val="28"/>
        </w:rPr>
        <w:t>il</w:t>
      </w:r>
      <w:r w:rsidR="001C22D6" w:rsidRPr="00870FB6">
        <w:rPr>
          <w:sz w:val="28"/>
          <w:szCs w:val="28"/>
        </w:rPr>
        <w:t>e pe ac</w:t>
      </w:r>
      <w:r w:rsidR="000873E3">
        <w:rPr>
          <w:sz w:val="28"/>
          <w:szCs w:val="28"/>
        </w:rPr>
        <w:t>ț</w:t>
      </w:r>
      <w:r w:rsidR="001C22D6" w:rsidRPr="00870FB6">
        <w:rPr>
          <w:sz w:val="28"/>
          <w:szCs w:val="28"/>
        </w:rPr>
        <w:t>iuni administrate de celelalte</w:t>
      </w:r>
      <w:r w:rsidRPr="00870FB6">
        <w:rPr>
          <w:sz w:val="28"/>
          <w:szCs w:val="28"/>
        </w:rPr>
        <w:t xml:space="preserve"> autorită</w:t>
      </w:r>
      <w:r w:rsidR="000873E3">
        <w:rPr>
          <w:sz w:val="28"/>
          <w:szCs w:val="28"/>
        </w:rPr>
        <w:t>ț</w:t>
      </w:r>
      <w:r w:rsidRPr="00870FB6">
        <w:rPr>
          <w:sz w:val="28"/>
          <w:szCs w:val="28"/>
        </w:rPr>
        <w:t>i publice înregistrează per total diminuări ale activelor.</w:t>
      </w:r>
    </w:p>
    <w:p w:rsidR="0093252B" w:rsidRPr="00870FB6" w:rsidRDefault="0093252B" w:rsidP="0093252B">
      <w:pPr>
        <w:spacing w:line="360" w:lineRule="auto"/>
        <w:ind w:firstLine="539"/>
        <w:jc w:val="right"/>
        <w:rPr>
          <w:sz w:val="20"/>
          <w:szCs w:val="20"/>
        </w:rPr>
      </w:pPr>
      <w:r w:rsidRPr="00870FB6">
        <w:rPr>
          <w:sz w:val="20"/>
          <w:szCs w:val="20"/>
        </w:rPr>
        <w:t xml:space="preserve">Tabelul </w:t>
      </w:r>
      <w:r w:rsidR="00924587">
        <w:rPr>
          <w:sz w:val="20"/>
          <w:szCs w:val="20"/>
        </w:rPr>
        <w:t>1</w:t>
      </w:r>
      <w:r w:rsidR="005B67C6">
        <w:rPr>
          <w:sz w:val="20"/>
          <w:szCs w:val="20"/>
        </w:rPr>
        <w:t>0.</w:t>
      </w:r>
    </w:p>
    <w:p w:rsidR="0093252B" w:rsidRPr="005B24E2" w:rsidRDefault="0093252B" w:rsidP="0093252B">
      <w:pPr>
        <w:ind w:firstLine="539"/>
        <w:jc w:val="center"/>
        <w:rPr>
          <w:b/>
          <w:i/>
          <w:sz w:val="20"/>
          <w:szCs w:val="20"/>
        </w:rPr>
      </w:pPr>
      <w:r w:rsidRPr="005B24E2">
        <w:rPr>
          <w:b/>
          <w:i/>
          <w:sz w:val="20"/>
          <w:szCs w:val="20"/>
        </w:rPr>
        <w:t xml:space="preserve">Majorări şi diminuări ale activelor totale, </w:t>
      </w:r>
    </w:p>
    <w:p w:rsidR="0093252B" w:rsidRPr="00870FB6" w:rsidRDefault="0093252B" w:rsidP="001A2A5D">
      <w:pPr>
        <w:ind w:firstLine="539"/>
        <w:jc w:val="center"/>
        <w:rPr>
          <w:sz w:val="18"/>
          <w:szCs w:val="18"/>
        </w:rPr>
      </w:pPr>
      <w:r w:rsidRPr="005B24E2">
        <w:rPr>
          <w:b/>
          <w:i/>
          <w:sz w:val="20"/>
          <w:szCs w:val="20"/>
        </w:rPr>
        <w:t>clasificate pe autorită</w:t>
      </w:r>
      <w:r w:rsidR="000873E3" w:rsidRPr="005B24E2">
        <w:rPr>
          <w:b/>
          <w:i/>
          <w:sz w:val="20"/>
          <w:szCs w:val="20"/>
        </w:rPr>
        <w:t>ț</w:t>
      </w:r>
      <w:r w:rsidRPr="005B24E2">
        <w:rPr>
          <w:b/>
          <w:i/>
          <w:sz w:val="20"/>
          <w:szCs w:val="20"/>
        </w:rPr>
        <w:t>i ale administra</w:t>
      </w:r>
      <w:r w:rsidR="000873E3" w:rsidRPr="005B24E2">
        <w:rPr>
          <w:b/>
          <w:i/>
          <w:sz w:val="20"/>
          <w:szCs w:val="20"/>
        </w:rPr>
        <w:t>ț</w:t>
      </w:r>
      <w:r w:rsidRPr="005B24E2">
        <w:rPr>
          <w:b/>
          <w:i/>
          <w:sz w:val="20"/>
          <w:szCs w:val="20"/>
        </w:rPr>
        <w:t>iei publice</w:t>
      </w:r>
      <w:r w:rsidR="005B67C6">
        <w:rPr>
          <w:b/>
          <w:i/>
          <w:sz w:val="20"/>
          <w:szCs w:val="20"/>
        </w:rPr>
        <w:t>, mil.</w:t>
      </w:r>
      <w:r w:rsidR="005B24E2">
        <w:rPr>
          <w:b/>
          <w:i/>
          <w:sz w:val="20"/>
          <w:szCs w:val="20"/>
        </w:rPr>
        <w:t xml:space="preserve"> lei</w:t>
      </w:r>
      <w:r w:rsidRPr="00870FB6">
        <w:rPr>
          <w:b/>
          <w:i/>
        </w:rPr>
        <w:t xml:space="preserve"> </w:t>
      </w:r>
      <w:r w:rsidR="001A2A5D">
        <w:rPr>
          <w:sz w:val="18"/>
          <w:szCs w:val="18"/>
        </w:rPr>
        <w:t xml:space="preserve">                                                                                                                                                   </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2335"/>
        <w:gridCol w:w="1571"/>
        <w:gridCol w:w="470"/>
        <w:gridCol w:w="3009"/>
        <w:gridCol w:w="1128"/>
      </w:tblGrid>
      <w:tr w:rsidR="0093252B" w:rsidRPr="00870FB6" w:rsidTr="005B67C6">
        <w:trPr>
          <w:jc w:val="center"/>
        </w:trPr>
        <w:tc>
          <w:tcPr>
            <w:tcW w:w="471" w:type="dxa"/>
            <w:vMerge w:val="restart"/>
          </w:tcPr>
          <w:p w:rsidR="0093252B" w:rsidRPr="00870FB6" w:rsidRDefault="0093252B" w:rsidP="0093252B">
            <w:pPr>
              <w:spacing w:line="276" w:lineRule="auto"/>
              <w:jc w:val="center"/>
              <w:rPr>
                <w:b/>
                <w:i/>
                <w:iCs/>
                <w:sz w:val="18"/>
                <w:szCs w:val="18"/>
              </w:rPr>
            </w:pPr>
            <w:r w:rsidRPr="00870FB6">
              <w:rPr>
                <w:b/>
                <w:i/>
                <w:iCs/>
                <w:sz w:val="18"/>
                <w:szCs w:val="18"/>
              </w:rPr>
              <w:t>Nr.</w:t>
            </w:r>
          </w:p>
          <w:p w:rsidR="0093252B" w:rsidRPr="00870FB6" w:rsidRDefault="0093252B" w:rsidP="0093252B">
            <w:pPr>
              <w:spacing w:line="276" w:lineRule="auto"/>
              <w:jc w:val="center"/>
              <w:rPr>
                <w:b/>
                <w:i/>
                <w:iCs/>
                <w:sz w:val="18"/>
                <w:szCs w:val="18"/>
              </w:rPr>
            </w:pPr>
            <w:r w:rsidRPr="00870FB6">
              <w:rPr>
                <w:b/>
                <w:i/>
                <w:iCs/>
                <w:sz w:val="18"/>
                <w:szCs w:val="18"/>
              </w:rPr>
              <w:t>d/o</w:t>
            </w:r>
          </w:p>
        </w:tc>
        <w:tc>
          <w:tcPr>
            <w:tcW w:w="3906" w:type="dxa"/>
            <w:gridSpan w:val="2"/>
          </w:tcPr>
          <w:p w:rsidR="0093252B" w:rsidRPr="00870FB6" w:rsidRDefault="0093252B" w:rsidP="0093252B">
            <w:pPr>
              <w:jc w:val="center"/>
              <w:rPr>
                <w:b/>
                <w:i/>
                <w:iCs/>
                <w:sz w:val="20"/>
                <w:szCs w:val="20"/>
              </w:rPr>
            </w:pPr>
            <w:r w:rsidRPr="00870FB6">
              <w:rPr>
                <w:b/>
                <w:i/>
                <w:iCs/>
                <w:sz w:val="20"/>
                <w:szCs w:val="20"/>
              </w:rPr>
              <w:t>Majorări ale activelor</w:t>
            </w:r>
          </w:p>
          <w:p w:rsidR="0093252B" w:rsidRPr="00870FB6" w:rsidRDefault="0093252B" w:rsidP="0093252B">
            <w:pPr>
              <w:jc w:val="center"/>
              <w:rPr>
                <w:b/>
                <w:i/>
                <w:iCs/>
                <w:sz w:val="20"/>
                <w:szCs w:val="20"/>
              </w:rPr>
            </w:pPr>
            <w:r w:rsidRPr="00870FB6">
              <w:rPr>
                <w:b/>
                <w:i/>
                <w:iCs/>
                <w:sz w:val="20"/>
                <w:szCs w:val="20"/>
              </w:rPr>
              <w:t>comparativ cu 01.01.2017</w:t>
            </w:r>
          </w:p>
        </w:tc>
        <w:tc>
          <w:tcPr>
            <w:tcW w:w="470" w:type="dxa"/>
            <w:vMerge w:val="restart"/>
          </w:tcPr>
          <w:p w:rsidR="0093252B" w:rsidRPr="00870FB6" w:rsidRDefault="0093252B" w:rsidP="0093252B">
            <w:pPr>
              <w:jc w:val="center"/>
              <w:rPr>
                <w:b/>
                <w:i/>
                <w:iCs/>
                <w:sz w:val="18"/>
                <w:szCs w:val="18"/>
              </w:rPr>
            </w:pPr>
            <w:r w:rsidRPr="00870FB6">
              <w:rPr>
                <w:b/>
                <w:i/>
                <w:iCs/>
                <w:sz w:val="18"/>
                <w:szCs w:val="18"/>
              </w:rPr>
              <w:t>Nr.</w:t>
            </w:r>
          </w:p>
          <w:p w:rsidR="0093252B" w:rsidRPr="00870FB6" w:rsidRDefault="0093252B" w:rsidP="0093252B">
            <w:pPr>
              <w:jc w:val="center"/>
              <w:rPr>
                <w:b/>
                <w:i/>
                <w:iCs/>
                <w:sz w:val="18"/>
                <w:szCs w:val="18"/>
              </w:rPr>
            </w:pPr>
            <w:r w:rsidRPr="00870FB6">
              <w:rPr>
                <w:b/>
                <w:i/>
                <w:iCs/>
                <w:sz w:val="18"/>
                <w:szCs w:val="18"/>
              </w:rPr>
              <w:t>d/o</w:t>
            </w:r>
          </w:p>
        </w:tc>
        <w:tc>
          <w:tcPr>
            <w:tcW w:w="4137" w:type="dxa"/>
            <w:gridSpan w:val="2"/>
          </w:tcPr>
          <w:p w:rsidR="0093252B" w:rsidRPr="00870FB6" w:rsidRDefault="0093252B" w:rsidP="0093252B">
            <w:pPr>
              <w:jc w:val="center"/>
              <w:rPr>
                <w:b/>
                <w:i/>
                <w:iCs/>
                <w:sz w:val="20"/>
                <w:szCs w:val="20"/>
              </w:rPr>
            </w:pPr>
            <w:r w:rsidRPr="00870FB6">
              <w:rPr>
                <w:b/>
                <w:i/>
                <w:iCs/>
                <w:sz w:val="20"/>
                <w:szCs w:val="20"/>
              </w:rPr>
              <w:t>Diminuări ale activelor</w:t>
            </w:r>
          </w:p>
          <w:p w:rsidR="0093252B" w:rsidRPr="00870FB6" w:rsidRDefault="0093252B" w:rsidP="0093252B">
            <w:pPr>
              <w:jc w:val="center"/>
              <w:rPr>
                <w:b/>
                <w:i/>
                <w:iCs/>
                <w:sz w:val="20"/>
                <w:szCs w:val="20"/>
              </w:rPr>
            </w:pPr>
            <w:r w:rsidRPr="00870FB6">
              <w:rPr>
                <w:b/>
                <w:i/>
                <w:iCs/>
                <w:sz w:val="20"/>
                <w:szCs w:val="20"/>
              </w:rPr>
              <w:t>comparativ cu 01.01.2017</w:t>
            </w:r>
          </w:p>
        </w:tc>
      </w:tr>
      <w:tr w:rsidR="0093252B" w:rsidRPr="00870FB6" w:rsidTr="005B67C6">
        <w:trPr>
          <w:jc w:val="center"/>
        </w:trPr>
        <w:tc>
          <w:tcPr>
            <w:tcW w:w="471" w:type="dxa"/>
            <w:vMerge/>
          </w:tcPr>
          <w:p w:rsidR="0093252B" w:rsidRPr="00870FB6" w:rsidRDefault="0093252B" w:rsidP="0093252B">
            <w:pPr>
              <w:spacing w:line="276" w:lineRule="auto"/>
              <w:jc w:val="center"/>
              <w:rPr>
                <w:b/>
                <w:sz w:val="18"/>
                <w:szCs w:val="18"/>
              </w:rPr>
            </w:pPr>
          </w:p>
        </w:tc>
        <w:tc>
          <w:tcPr>
            <w:tcW w:w="2335" w:type="dxa"/>
          </w:tcPr>
          <w:p w:rsidR="0093252B" w:rsidRPr="00870FB6" w:rsidRDefault="0093252B" w:rsidP="0093252B">
            <w:pPr>
              <w:jc w:val="center"/>
              <w:rPr>
                <w:b/>
                <w:sz w:val="20"/>
                <w:szCs w:val="20"/>
              </w:rPr>
            </w:pPr>
            <w:r w:rsidRPr="00870FB6">
              <w:rPr>
                <w:b/>
                <w:sz w:val="20"/>
                <w:szCs w:val="20"/>
              </w:rPr>
              <w:t>Ac</w:t>
            </w:r>
            <w:r w:rsidR="000873E3">
              <w:rPr>
                <w:b/>
                <w:sz w:val="20"/>
                <w:szCs w:val="20"/>
              </w:rPr>
              <w:t>ț</w:t>
            </w:r>
            <w:r w:rsidRPr="00870FB6">
              <w:rPr>
                <w:b/>
                <w:sz w:val="20"/>
                <w:szCs w:val="20"/>
              </w:rPr>
              <w:t>ionar majoritar</w:t>
            </w:r>
          </w:p>
        </w:tc>
        <w:tc>
          <w:tcPr>
            <w:tcW w:w="1571" w:type="dxa"/>
          </w:tcPr>
          <w:p w:rsidR="0093252B" w:rsidRPr="00870FB6" w:rsidRDefault="0093252B" w:rsidP="0093252B">
            <w:pPr>
              <w:jc w:val="center"/>
              <w:rPr>
                <w:b/>
                <w:sz w:val="20"/>
                <w:szCs w:val="20"/>
              </w:rPr>
            </w:pPr>
            <w:r w:rsidRPr="00870FB6">
              <w:rPr>
                <w:b/>
                <w:sz w:val="20"/>
                <w:szCs w:val="20"/>
              </w:rPr>
              <w:t xml:space="preserve">Valoarea </w:t>
            </w:r>
          </w:p>
          <w:p w:rsidR="0093252B" w:rsidRPr="00870FB6" w:rsidRDefault="0093252B" w:rsidP="0093252B">
            <w:pPr>
              <w:jc w:val="center"/>
              <w:rPr>
                <w:b/>
                <w:sz w:val="20"/>
                <w:szCs w:val="20"/>
              </w:rPr>
            </w:pPr>
            <w:r w:rsidRPr="00870FB6">
              <w:rPr>
                <w:b/>
                <w:sz w:val="20"/>
                <w:szCs w:val="20"/>
              </w:rPr>
              <w:t>majorării</w:t>
            </w:r>
          </w:p>
        </w:tc>
        <w:tc>
          <w:tcPr>
            <w:tcW w:w="470" w:type="dxa"/>
            <w:vMerge/>
          </w:tcPr>
          <w:p w:rsidR="0093252B" w:rsidRPr="00870FB6" w:rsidRDefault="0093252B" w:rsidP="0093252B">
            <w:pPr>
              <w:jc w:val="center"/>
              <w:rPr>
                <w:b/>
                <w:sz w:val="18"/>
                <w:szCs w:val="18"/>
              </w:rPr>
            </w:pPr>
          </w:p>
        </w:tc>
        <w:tc>
          <w:tcPr>
            <w:tcW w:w="3009" w:type="dxa"/>
          </w:tcPr>
          <w:p w:rsidR="0093252B" w:rsidRPr="00870FB6" w:rsidRDefault="0093252B" w:rsidP="0093252B">
            <w:pPr>
              <w:jc w:val="center"/>
              <w:rPr>
                <w:b/>
                <w:sz w:val="20"/>
                <w:szCs w:val="20"/>
              </w:rPr>
            </w:pPr>
            <w:r w:rsidRPr="00870FB6">
              <w:rPr>
                <w:b/>
                <w:sz w:val="20"/>
                <w:szCs w:val="20"/>
              </w:rPr>
              <w:t>Ac</w:t>
            </w:r>
            <w:r w:rsidR="000873E3">
              <w:rPr>
                <w:b/>
                <w:sz w:val="20"/>
                <w:szCs w:val="20"/>
              </w:rPr>
              <w:t>ț</w:t>
            </w:r>
            <w:r w:rsidRPr="00870FB6">
              <w:rPr>
                <w:b/>
                <w:sz w:val="20"/>
                <w:szCs w:val="20"/>
              </w:rPr>
              <w:t>ionar majoritar</w:t>
            </w:r>
          </w:p>
        </w:tc>
        <w:tc>
          <w:tcPr>
            <w:tcW w:w="1128" w:type="dxa"/>
          </w:tcPr>
          <w:p w:rsidR="0093252B" w:rsidRPr="00870FB6" w:rsidRDefault="0093252B" w:rsidP="0093252B">
            <w:pPr>
              <w:jc w:val="center"/>
              <w:rPr>
                <w:b/>
                <w:sz w:val="20"/>
                <w:szCs w:val="20"/>
              </w:rPr>
            </w:pPr>
            <w:r w:rsidRPr="00870FB6">
              <w:rPr>
                <w:b/>
                <w:sz w:val="20"/>
                <w:szCs w:val="20"/>
              </w:rPr>
              <w:t xml:space="preserve">Valoarea </w:t>
            </w:r>
          </w:p>
          <w:p w:rsidR="0093252B" w:rsidRPr="00870FB6" w:rsidRDefault="0093252B" w:rsidP="0093252B">
            <w:pPr>
              <w:jc w:val="center"/>
              <w:rPr>
                <w:b/>
                <w:sz w:val="20"/>
                <w:szCs w:val="20"/>
              </w:rPr>
            </w:pPr>
            <w:r w:rsidRPr="00870FB6">
              <w:rPr>
                <w:b/>
                <w:sz w:val="20"/>
                <w:szCs w:val="20"/>
              </w:rPr>
              <w:t>diminuării</w:t>
            </w:r>
          </w:p>
        </w:tc>
      </w:tr>
      <w:tr w:rsidR="0093252B" w:rsidRPr="00870FB6" w:rsidTr="005B67C6">
        <w:trPr>
          <w:jc w:val="center"/>
        </w:trPr>
        <w:tc>
          <w:tcPr>
            <w:tcW w:w="471" w:type="dxa"/>
            <w:vMerge w:val="restart"/>
          </w:tcPr>
          <w:p w:rsidR="0093252B" w:rsidRPr="00870FB6" w:rsidRDefault="0093252B" w:rsidP="00EA04AB">
            <w:pPr>
              <w:spacing w:line="276" w:lineRule="auto"/>
              <w:jc w:val="center"/>
              <w:rPr>
                <w:sz w:val="18"/>
                <w:szCs w:val="18"/>
              </w:rPr>
            </w:pPr>
            <w:r w:rsidRPr="00870FB6">
              <w:rPr>
                <w:sz w:val="18"/>
                <w:szCs w:val="18"/>
              </w:rPr>
              <w:t>1.</w:t>
            </w:r>
          </w:p>
        </w:tc>
        <w:tc>
          <w:tcPr>
            <w:tcW w:w="2335" w:type="dxa"/>
            <w:vMerge w:val="restart"/>
          </w:tcPr>
          <w:p w:rsidR="001C22D6" w:rsidRPr="00870FB6" w:rsidRDefault="0093252B" w:rsidP="0093252B">
            <w:pPr>
              <w:rPr>
                <w:sz w:val="20"/>
                <w:szCs w:val="20"/>
              </w:rPr>
            </w:pPr>
            <w:r w:rsidRPr="00870FB6">
              <w:rPr>
                <w:sz w:val="20"/>
                <w:szCs w:val="20"/>
              </w:rPr>
              <w:t>Ministerul Economiei și Infrastructurii</w:t>
            </w:r>
            <w:r w:rsidR="001C22D6" w:rsidRPr="00870FB6">
              <w:rPr>
                <w:sz w:val="20"/>
                <w:szCs w:val="20"/>
              </w:rPr>
              <w:t xml:space="preserve"> </w:t>
            </w:r>
          </w:p>
          <w:p w:rsidR="0093252B" w:rsidRPr="00870FB6" w:rsidRDefault="001C22D6" w:rsidP="0093252B">
            <w:pPr>
              <w:rPr>
                <w:i/>
                <w:sz w:val="16"/>
                <w:szCs w:val="16"/>
              </w:rPr>
            </w:pPr>
            <w:r w:rsidRPr="00870FB6">
              <w:rPr>
                <w:i/>
                <w:sz w:val="16"/>
                <w:szCs w:val="16"/>
              </w:rPr>
              <w:t>(dat fiind majorarea în special a activelor S.A. „Red Nord” și S.A. „Termoelectrica”)</w:t>
            </w:r>
          </w:p>
        </w:tc>
        <w:tc>
          <w:tcPr>
            <w:tcW w:w="1571" w:type="dxa"/>
            <w:vMerge w:val="restart"/>
          </w:tcPr>
          <w:p w:rsidR="0093252B" w:rsidRPr="00870FB6" w:rsidRDefault="0093252B" w:rsidP="0093252B">
            <w:pPr>
              <w:jc w:val="center"/>
              <w:rPr>
                <w:sz w:val="20"/>
                <w:szCs w:val="20"/>
              </w:rPr>
            </w:pPr>
            <w:r w:rsidRPr="00870FB6">
              <w:rPr>
                <w:sz w:val="20"/>
                <w:szCs w:val="20"/>
              </w:rPr>
              <w:t>914,1</w:t>
            </w:r>
          </w:p>
        </w:tc>
        <w:tc>
          <w:tcPr>
            <w:tcW w:w="470" w:type="dxa"/>
          </w:tcPr>
          <w:p w:rsidR="0093252B" w:rsidRPr="00870FB6" w:rsidRDefault="0093252B" w:rsidP="00EA04AB">
            <w:pPr>
              <w:jc w:val="center"/>
              <w:rPr>
                <w:sz w:val="18"/>
                <w:szCs w:val="18"/>
              </w:rPr>
            </w:pPr>
            <w:r w:rsidRPr="00870FB6">
              <w:rPr>
                <w:sz w:val="18"/>
                <w:szCs w:val="18"/>
              </w:rPr>
              <w:t>1.</w:t>
            </w:r>
          </w:p>
        </w:tc>
        <w:tc>
          <w:tcPr>
            <w:tcW w:w="3009" w:type="dxa"/>
          </w:tcPr>
          <w:p w:rsidR="0093252B" w:rsidRPr="00870FB6" w:rsidRDefault="0093252B" w:rsidP="0093252B">
            <w:pPr>
              <w:rPr>
                <w:sz w:val="20"/>
                <w:szCs w:val="20"/>
              </w:rPr>
            </w:pPr>
            <w:r w:rsidRPr="00870FB6">
              <w:rPr>
                <w:sz w:val="20"/>
                <w:szCs w:val="20"/>
              </w:rPr>
              <w:t>Agen</w:t>
            </w:r>
            <w:r w:rsidR="000873E3">
              <w:rPr>
                <w:sz w:val="20"/>
                <w:szCs w:val="20"/>
              </w:rPr>
              <w:t>ț</w:t>
            </w:r>
            <w:r w:rsidRPr="00870FB6">
              <w:rPr>
                <w:sz w:val="20"/>
                <w:szCs w:val="20"/>
              </w:rPr>
              <w:t>ia Proprietă</w:t>
            </w:r>
            <w:r w:rsidR="000873E3">
              <w:rPr>
                <w:sz w:val="20"/>
                <w:szCs w:val="20"/>
              </w:rPr>
              <w:t>ț</w:t>
            </w:r>
            <w:r w:rsidRPr="00870FB6">
              <w:rPr>
                <w:sz w:val="20"/>
                <w:szCs w:val="20"/>
              </w:rPr>
              <w:t>ii Publice</w:t>
            </w:r>
            <w:r w:rsidR="005B67C6">
              <w:rPr>
                <w:sz w:val="20"/>
                <w:szCs w:val="20"/>
              </w:rPr>
              <w:t xml:space="preserve"> </w:t>
            </w:r>
            <w:r w:rsidR="005B67C6" w:rsidRPr="005B67C6">
              <w:rPr>
                <w:i/>
                <w:sz w:val="16"/>
                <w:szCs w:val="16"/>
              </w:rPr>
              <w:t>(dat fiind diminuarea considerabilă a activelor la S.A.„Moldtelecom” cu 159,5 mil. lei)</w:t>
            </w:r>
          </w:p>
        </w:tc>
        <w:tc>
          <w:tcPr>
            <w:tcW w:w="1128" w:type="dxa"/>
          </w:tcPr>
          <w:p w:rsidR="0093252B" w:rsidRPr="00870FB6" w:rsidRDefault="0093252B" w:rsidP="0093252B">
            <w:pPr>
              <w:jc w:val="center"/>
              <w:rPr>
                <w:sz w:val="20"/>
                <w:szCs w:val="20"/>
              </w:rPr>
            </w:pPr>
            <w:r w:rsidRPr="00870FB6">
              <w:rPr>
                <w:sz w:val="20"/>
                <w:szCs w:val="20"/>
              </w:rPr>
              <w:t>139,3</w:t>
            </w:r>
          </w:p>
        </w:tc>
      </w:tr>
      <w:tr w:rsidR="0093252B" w:rsidRPr="00870FB6" w:rsidTr="005B67C6">
        <w:trPr>
          <w:jc w:val="center"/>
        </w:trPr>
        <w:tc>
          <w:tcPr>
            <w:tcW w:w="471" w:type="dxa"/>
            <w:vMerge/>
          </w:tcPr>
          <w:p w:rsidR="0093252B" w:rsidRPr="00870FB6" w:rsidRDefault="0093252B" w:rsidP="0093252B">
            <w:pPr>
              <w:spacing w:line="276" w:lineRule="auto"/>
              <w:rPr>
                <w:b/>
                <w:sz w:val="18"/>
                <w:szCs w:val="18"/>
              </w:rPr>
            </w:pPr>
          </w:p>
        </w:tc>
        <w:tc>
          <w:tcPr>
            <w:tcW w:w="2335" w:type="dxa"/>
            <w:vMerge/>
          </w:tcPr>
          <w:p w:rsidR="0093252B" w:rsidRPr="00870FB6" w:rsidRDefault="0093252B" w:rsidP="0093252B">
            <w:pPr>
              <w:rPr>
                <w:sz w:val="20"/>
                <w:szCs w:val="20"/>
              </w:rPr>
            </w:pPr>
          </w:p>
        </w:tc>
        <w:tc>
          <w:tcPr>
            <w:tcW w:w="1571" w:type="dxa"/>
            <w:vMerge/>
          </w:tcPr>
          <w:p w:rsidR="0093252B" w:rsidRPr="00870FB6" w:rsidRDefault="0093252B" w:rsidP="0093252B">
            <w:pPr>
              <w:jc w:val="center"/>
              <w:rPr>
                <w:sz w:val="20"/>
                <w:szCs w:val="20"/>
              </w:rPr>
            </w:pPr>
          </w:p>
        </w:tc>
        <w:tc>
          <w:tcPr>
            <w:tcW w:w="470" w:type="dxa"/>
          </w:tcPr>
          <w:p w:rsidR="0093252B" w:rsidRPr="00870FB6" w:rsidRDefault="0093252B" w:rsidP="00EA04AB">
            <w:pPr>
              <w:jc w:val="center"/>
              <w:rPr>
                <w:sz w:val="18"/>
                <w:szCs w:val="18"/>
              </w:rPr>
            </w:pPr>
            <w:r w:rsidRPr="00870FB6">
              <w:rPr>
                <w:sz w:val="18"/>
                <w:szCs w:val="18"/>
              </w:rPr>
              <w:t>2.</w:t>
            </w:r>
          </w:p>
        </w:tc>
        <w:tc>
          <w:tcPr>
            <w:tcW w:w="3009" w:type="dxa"/>
          </w:tcPr>
          <w:p w:rsidR="0093252B" w:rsidRPr="00870FB6" w:rsidRDefault="0093252B" w:rsidP="0093252B">
            <w:pPr>
              <w:rPr>
                <w:sz w:val="20"/>
                <w:szCs w:val="20"/>
              </w:rPr>
            </w:pPr>
            <w:r w:rsidRPr="00870FB6">
              <w:rPr>
                <w:sz w:val="20"/>
                <w:szCs w:val="20"/>
              </w:rPr>
              <w:t>Ministerul Sănătă</w:t>
            </w:r>
            <w:r w:rsidR="000873E3">
              <w:rPr>
                <w:sz w:val="20"/>
                <w:szCs w:val="20"/>
              </w:rPr>
              <w:t>ț</w:t>
            </w:r>
            <w:r w:rsidRPr="00870FB6">
              <w:rPr>
                <w:sz w:val="20"/>
                <w:szCs w:val="20"/>
              </w:rPr>
              <w:t>ii, Muncii și Protec</w:t>
            </w:r>
            <w:r w:rsidR="000873E3">
              <w:rPr>
                <w:sz w:val="20"/>
                <w:szCs w:val="20"/>
              </w:rPr>
              <w:t>ț</w:t>
            </w:r>
            <w:r w:rsidRPr="00870FB6">
              <w:rPr>
                <w:sz w:val="20"/>
                <w:szCs w:val="20"/>
              </w:rPr>
              <w:t>iei Sociale</w:t>
            </w:r>
          </w:p>
        </w:tc>
        <w:tc>
          <w:tcPr>
            <w:tcW w:w="1128" w:type="dxa"/>
          </w:tcPr>
          <w:p w:rsidR="0093252B" w:rsidRPr="00870FB6" w:rsidRDefault="0093252B" w:rsidP="0093252B">
            <w:pPr>
              <w:jc w:val="center"/>
              <w:rPr>
                <w:sz w:val="20"/>
                <w:szCs w:val="20"/>
              </w:rPr>
            </w:pPr>
            <w:r w:rsidRPr="00870FB6">
              <w:rPr>
                <w:sz w:val="20"/>
                <w:szCs w:val="20"/>
              </w:rPr>
              <w:t>14,4</w:t>
            </w:r>
          </w:p>
        </w:tc>
      </w:tr>
      <w:tr w:rsidR="0093252B" w:rsidRPr="00870FB6" w:rsidTr="005B67C6">
        <w:trPr>
          <w:jc w:val="center"/>
        </w:trPr>
        <w:tc>
          <w:tcPr>
            <w:tcW w:w="471" w:type="dxa"/>
            <w:vMerge/>
          </w:tcPr>
          <w:p w:rsidR="0093252B" w:rsidRPr="00870FB6" w:rsidRDefault="0093252B" w:rsidP="0093252B">
            <w:pPr>
              <w:spacing w:line="276" w:lineRule="auto"/>
              <w:rPr>
                <w:b/>
                <w:sz w:val="18"/>
                <w:szCs w:val="18"/>
              </w:rPr>
            </w:pPr>
          </w:p>
        </w:tc>
        <w:tc>
          <w:tcPr>
            <w:tcW w:w="2335" w:type="dxa"/>
            <w:vMerge/>
          </w:tcPr>
          <w:p w:rsidR="0093252B" w:rsidRPr="00870FB6" w:rsidRDefault="0093252B" w:rsidP="0093252B">
            <w:pPr>
              <w:rPr>
                <w:sz w:val="20"/>
                <w:szCs w:val="20"/>
              </w:rPr>
            </w:pPr>
          </w:p>
        </w:tc>
        <w:tc>
          <w:tcPr>
            <w:tcW w:w="1571" w:type="dxa"/>
            <w:vMerge/>
          </w:tcPr>
          <w:p w:rsidR="0093252B" w:rsidRPr="00870FB6" w:rsidRDefault="0093252B" w:rsidP="0093252B">
            <w:pPr>
              <w:jc w:val="center"/>
              <w:rPr>
                <w:sz w:val="20"/>
                <w:szCs w:val="20"/>
              </w:rPr>
            </w:pPr>
          </w:p>
        </w:tc>
        <w:tc>
          <w:tcPr>
            <w:tcW w:w="470" w:type="dxa"/>
          </w:tcPr>
          <w:p w:rsidR="0093252B" w:rsidRPr="00870FB6" w:rsidRDefault="0093252B" w:rsidP="00EA04AB">
            <w:pPr>
              <w:jc w:val="center"/>
              <w:rPr>
                <w:sz w:val="18"/>
                <w:szCs w:val="18"/>
              </w:rPr>
            </w:pPr>
            <w:r w:rsidRPr="00870FB6">
              <w:rPr>
                <w:sz w:val="18"/>
                <w:szCs w:val="18"/>
              </w:rPr>
              <w:t>3.</w:t>
            </w:r>
          </w:p>
        </w:tc>
        <w:tc>
          <w:tcPr>
            <w:tcW w:w="3009" w:type="dxa"/>
          </w:tcPr>
          <w:p w:rsidR="0093252B" w:rsidRPr="00870FB6" w:rsidRDefault="0093252B" w:rsidP="0093252B">
            <w:pPr>
              <w:rPr>
                <w:sz w:val="20"/>
                <w:szCs w:val="20"/>
              </w:rPr>
            </w:pPr>
            <w:r w:rsidRPr="00870FB6">
              <w:rPr>
                <w:sz w:val="20"/>
                <w:szCs w:val="20"/>
              </w:rPr>
              <w:t>Ministerul Educa</w:t>
            </w:r>
            <w:r w:rsidR="000873E3">
              <w:rPr>
                <w:sz w:val="20"/>
                <w:szCs w:val="20"/>
              </w:rPr>
              <w:t>ț</w:t>
            </w:r>
            <w:r w:rsidRPr="00870FB6">
              <w:rPr>
                <w:sz w:val="20"/>
                <w:szCs w:val="20"/>
              </w:rPr>
              <w:t>iei, Culturii și Cercetării</w:t>
            </w:r>
          </w:p>
        </w:tc>
        <w:tc>
          <w:tcPr>
            <w:tcW w:w="1128" w:type="dxa"/>
          </w:tcPr>
          <w:p w:rsidR="0093252B" w:rsidRPr="00870FB6" w:rsidRDefault="0093252B" w:rsidP="0093252B">
            <w:pPr>
              <w:jc w:val="center"/>
              <w:rPr>
                <w:sz w:val="20"/>
                <w:szCs w:val="20"/>
              </w:rPr>
            </w:pPr>
            <w:r w:rsidRPr="00870FB6">
              <w:rPr>
                <w:sz w:val="20"/>
                <w:szCs w:val="20"/>
              </w:rPr>
              <w:t>2,2</w:t>
            </w:r>
          </w:p>
        </w:tc>
      </w:tr>
      <w:tr w:rsidR="0093252B" w:rsidRPr="00870FB6" w:rsidTr="005B67C6">
        <w:trPr>
          <w:jc w:val="center"/>
        </w:trPr>
        <w:tc>
          <w:tcPr>
            <w:tcW w:w="2806" w:type="dxa"/>
            <w:gridSpan w:val="2"/>
          </w:tcPr>
          <w:p w:rsidR="0093252B" w:rsidRPr="00870FB6" w:rsidRDefault="0093252B" w:rsidP="0093252B">
            <w:pPr>
              <w:rPr>
                <w:b/>
                <w:sz w:val="20"/>
                <w:szCs w:val="20"/>
              </w:rPr>
            </w:pPr>
            <w:r w:rsidRPr="00870FB6">
              <w:rPr>
                <w:b/>
                <w:sz w:val="20"/>
                <w:szCs w:val="20"/>
              </w:rPr>
              <w:t>Total</w:t>
            </w:r>
          </w:p>
        </w:tc>
        <w:tc>
          <w:tcPr>
            <w:tcW w:w="1571" w:type="dxa"/>
          </w:tcPr>
          <w:p w:rsidR="0093252B" w:rsidRPr="00870FB6" w:rsidRDefault="0093252B" w:rsidP="0093252B">
            <w:pPr>
              <w:jc w:val="center"/>
              <w:rPr>
                <w:b/>
                <w:sz w:val="20"/>
                <w:szCs w:val="20"/>
              </w:rPr>
            </w:pPr>
            <w:r w:rsidRPr="00870FB6">
              <w:rPr>
                <w:b/>
                <w:sz w:val="20"/>
                <w:szCs w:val="20"/>
              </w:rPr>
              <w:t>914,1</w:t>
            </w:r>
          </w:p>
        </w:tc>
        <w:tc>
          <w:tcPr>
            <w:tcW w:w="3479" w:type="dxa"/>
            <w:gridSpan w:val="2"/>
          </w:tcPr>
          <w:p w:rsidR="0093252B" w:rsidRPr="00870FB6" w:rsidRDefault="0093252B" w:rsidP="0093252B">
            <w:pPr>
              <w:rPr>
                <w:b/>
                <w:sz w:val="20"/>
                <w:szCs w:val="20"/>
              </w:rPr>
            </w:pPr>
            <w:r w:rsidRPr="00870FB6">
              <w:rPr>
                <w:b/>
                <w:sz w:val="20"/>
                <w:szCs w:val="20"/>
              </w:rPr>
              <w:t>Total</w:t>
            </w:r>
          </w:p>
        </w:tc>
        <w:tc>
          <w:tcPr>
            <w:tcW w:w="1128" w:type="dxa"/>
          </w:tcPr>
          <w:p w:rsidR="0093252B" w:rsidRPr="00870FB6" w:rsidRDefault="0093252B" w:rsidP="0093252B">
            <w:pPr>
              <w:jc w:val="center"/>
              <w:rPr>
                <w:b/>
                <w:sz w:val="20"/>
                <w:szCs w:val="20"/>
              </w:rPr>
            </w:pPr>
            <w:r w:rsidRPr="00870FB6">
              <w:rPr>
                <w:b/>
                <w:sz w:val="20"/>
                <w:szCs w:val="20"/>
              </w:rPr>
              <w:t>155,9</w:t>
            </w:r>
          </w:p>
        </w:tc>
      </w:tr>
    </w:tbl>
    <w:p w:rsidR="0093252B" w:rsidRPr="00870FB6" w:rsidRDefault="0093252B" w:rsidP="00EA04AB">
      <w:pPr>
        <w:ind w:firstLine="539"/>
        <w:jc w:val="both"/>
        <w:rPr>
          <w:color w:val="000000"/>
          <w:sz w:val="28"/>
          <w:szCs w:val="28"/>
          <w:shd w:val="clear" w:color="auto" w:fill="FFFFFF"/>
        </w:rPr>
      </w:pPr>
    </w:p>
    <w:p w:rsidR="001C22D6" w:rsidRPr="00870FB6" w:rsidRDefault="0093252B" w:rsidP="0093252B">
      <w:pPr>
        <w:spacing w:line="276" w:lineRule="auto"/>
        <w:ind w:firstLine="539"/>
        <w:jc w:val="both"/>
        <w:rPr>
          <w:color w:val="000000"/>
          <w:sz w:val="28"/>
          <w:szCs w:val="28"/>
          <w:shd w:val="clear" w:color="auto" w:fill="FFFFFF"/>
        </w:rPr>
      </w:pPr>
      <w:r w:rsidRPr="00870FB6">
        <w:rPr>
          <w:color w:val="000000"/>
          <w:sz w:val="28"/>
          <w:szCs w:val="28"/>
          <w:shd w:val="clear" w:color="auto" w:fill="FFFFFF"/>
        </w:rPr>
        <w:t>Este necesar a eviden</w:t>
      </w:r>
      <w:r w:rsidR="000873E3">
        <w:rPr>
          <w:color w:val="000000"/>
          <w:sz w:val="28"/>
          <w:szCs w:val="28"/>
          <w:shd w:val="clear" w:color="auto" w:fill="FFFFFF"/>
        </w:rPr>
        <w:t>ț</w:t>
      </w:r>
      <w:r w:rsidRPr="00870FB6">
        <w:rPr>
          <w:color w:val="000000"/>
          <w:sz w:val="28"/>
          <w:szCs w:val="28"/>
          <w:shd w:val="clear" w:color="auto" w:fill="FFFFFF"/>
        </w:rPr>
        <w:t xml:space="preserve">ia că, majorarea considerabilă a activelor </w:t>
      </w:r>
      <w:r w:rsidR="001C22D6" w:rsidRPr="00870FB6">
        <w:rPr>
          <w:color w:val="000000"/>
          <w:sz w:val="28"/>
          <w:szCs w:val="28"/>
          <w:shd w:val="clear" w:color="auto" w:fill="FFFFFF"/>
        </w:rPr>
        <w:t>S.A. „Red Nord” administrată</w:t>
      </w:r>
      <w:r w:rsidRPr="00870FB6">
        <w:rPr>
          <w:color w:val="000000"/>
          <w:sz w:val="28"/>
          <w:szCs w:val="28"/>
          <w:shd w:val="clear" w:color="auto" w:fill="FFFFFF"/>
        </w:rPr>
        <w:t xml:space="preserve"> de Ministerul Economiei</w:t>
      </w:r>
      <w:r w:rsidR="001C22D6" w:rsidRPr="00870FB6">
        <w:rPr>
          <w:color w:val="000000"/>
          <w:sz w:val="28"/>
          <w:szCs w:val="28"/>
          <w:shd w:val="clear" w:color="auto" w:fill="FFFFFF"/>
        </w:rPr>
        <w:t xml:space="preserve"> și Infrastructurii</w:t>
      </w:r>
      <w:r w:rsidRPr="00870FB6">
        <w:rPr>
          <w:color w:val="000000"/>
          <w:sz w:val="28"/>
          <w:szCs w:val="28"/>
          <w:shd w:val="clear" w:color="auto" w:fill="FFFFFF"/>
        </w:rPr>
        <w:t xml:space="preserve"> este argumentată de faptul că, în conformitate</w:t>
      </w:r>
      <w:r w:rsidR="001C22D6" w:rsidRPr="00870FB6">
        <w:rPr>
          <w:color w:val="000000"/>
          <w:sz w:val="28"/>
          <w:szCs w:val="28"/>
          <w:shd w:val="clear" w:color="auto" w:fill="FFFFFF"/>
        </w:rPr>
        <w:t xml:space="preserve"> cu Hotărîrea Guvernului nr. 605</w:t>
      </w:r>
      <w:r w:rsidR="00235BF0">
        <w:rPr>
          <w:color w:val="000000"/>
          <w:sz w:val="28"/>
          <w:szCs w:val="28"/>
          <w:shd w:val="clear" w:color="auto" w:fill="FFFFFF"/>
        </w:rPr>
        <w:t>/</w:t>
      </w:r>
      <w:r w:rsidR="001C22D6" w:rsidRPr="00870FB6">
        <w:rPr>
          <w:color w:val="000000"/>
          <w:sz w:val="28"/>
          <w:szCs w:val="28"/>
          <w:shd w:val="clear" w:color="auto" w:fill="FFFFFF"/>
        </w:rPr>
        <w:t>2017</w:t>
      </w:r>
      <w:r w:rsidRPr="00870FB6">
        <w:rPr>
          <w:color w:val="000000"/>
          <w:sz w:val="28"/>
          <w:szCs w:val="28"/>
          <w:shd w:val="clear" w:color="auto" w:fill="FFFFFF"/>
        </w:rPr>
        <w:t xml:space="preserve"> </w:t>
      </w:r>
      <w:r w:rsidR="001C22D6" w:rsidRPr="00870FB6">
        <w:rPr>
          <w:color w:val="000000"/>
          <w:sz w:val="28"/>
          <w:szCs w:val="28"/>
          <w:shd w:val="clear" w:color="auto" w:fill="FFFFFF"/>
        </w:rPr>
        <w:t>c</w:t>
      </w:r>
      <w:r w:rsidRPr="00870FB6">
        <w:rPr>
          <w:color w:val="000000"/>
          <w:sz w:val="28"/>
          <w:szCs w:val="28"/>
          <w:shd w:val="clear" w:color="auto" w:fill="FFFFFF"/>
        </w:rPr>
        <w:t xml:space="preserve">u privire la reorganizarea unor </w:t>
      </w:r>
      <w:r w:rsidR="001C22D6" w:rsidRPr="00870FB6">
        <w:rPr>
          <w:color w:val="000000"/>
          <w:sz w:val="28"/>
          <w:szCs w:val="28"/>
          <w:shd w:val="clear" w:color="auto" w:fill="FFFFFF"/>
        </w:rPr>
        <w:t>societă</w:t>
      </w:r>
      <w:r w:rsidR="000873E3">
        <w:rPr>
          <w:color w:val="000000"/>
          <w:sz w:val="28"/>
          <w:szCs w:val="28"/>
          <w:shd w:val="clear" w:color="auto" w:fill="FFFFFF"/>
        </w:rPr>
        <w:t>ț</w:t>
      </w:r>
      <w:r w:rsidR="001C22D6" w:rsidRPr="00870FB6">
        <w:rPr>
          <w:color w:val="000000"/>
          <w:sz w:val="28"/>
          <w:szCs w:val="28"/>
          <w:shd w:val="clear" w:color="auto" w:fill="FFFFFF"/>
        </w:rPr>
        <w:t>i pe ac</w:t>
      </w:r>
      <w:r w:rsidR="000873E3">
        <w:rPr>
          <w:color w:val="000000"/>
          <w:sz w:val="28"/>
          <w:szCs w:val="28"/>
          <w:shd w:val="clear" w:color="auto" w:fill="FFFFFF"/>
        </w:rPr>
        <w:t>ț</w:t>
      </w:r>
      <w:r w:rsidR="001C22D6" w:rsidRPr="00870FB6">
        <w:rPr>
          <w:color w:val="000000"/>
          <w:sz w:val="28"/>
          <w:szCs w:val="28"/>
          <w:shd w:val="clear" w:color="auto" w:fill="FFFFFF"/>
        </w:rPr>
        <w:t>iuni</w:t>
      </w:r>
      <w:r w:rsidRPr="00870FB6">
        <w:rPr>
          <w:color w:val="000000"/>
          <w:sz w:val="28"/>
          <w:szCs w:val="28"/>
          <w:shd w:val="clear" w:color="auto" w:fill="FFFFFF"/>
        </w:rPr>
        <w:t>, S.A. „</w:t>
      </w:r>
      <w:r w:rsidR="001C22D6" w:rsidRPr="00870FB6">
        <w:rPr>
          <w:color w:val="000000"/>
          <w:sz w:val="28"/>
          <w:szCs w:val="28"/>
          <w:shd w:val="clear" w:color="auto" w:fill="FFFFFF"/>
        </w:rPr>
        <w:t>Red Nord</w:t>
      </w:r>
      <w:r w:rsidRPr="00870FB6">
        <w:rPr>
          <w:color w:val="000000"/>
          <w:sz w:val="28"/>
          <w:szCs w:val="28"/>
          <w:shd w:val="clear" w:color="auto" w:fill="FFFFFF"/>
        </w:rPr>
        <w:t>” a fost reorgan</w:t>
      </w:r>
      <w:r w:rsidR="001C22D6" w:rsidRPr="00870FB6">
        <w:rPr>
          <w:color w:val="000000"/>
          <w:sz w:val="28"/>
          <w:szCs w:val="28"/>
          <w:shd w:val="clear" w:color="auto" w:fill="FFFFFF"/>
        </w:rPr>
        <w:t>izată prin fuziunea (absorb</w:t>
      </w:r>
      <w:r w:rsidR="000873E3">
        <w:rPr>
          <w:color w:val="000000"/>
          <w:sz w:val="28"/>
          <w:szCs w:val="28"/>
          <w:shd w:val="clear" w:color="auto" w:fill="FFFFFF"/>
        </w:rPr>
        <w:t>ț</w:t>
      </w:r>
      <w:r w:rsidR="001C22D6" w:rsidRPr="00870FB6">
        <w:rPr>
          <w:color w:val="000000"/>
          <w:sz w:val="28"/>
          <w:szCs w:val="28"/>
          <w:shd w:val="clear" w:color="auto" w:fill="FFFFFF"/>
        </w:rPr>
        <w:t xml:space="preserve">ia) </w:t>
      </w:r>
      <w:r w:rsidRPr="00870FB6">
        <w:rPr>
          <w:color w:val="000000"/>
          <w:sz w:val="28"/>
          <w:szCs w:val="28"/>
          <w:shd w:val="clear" w:color="auto" w:fill="FFFFFF"/>
        </w:rPr>
        <w:t>S.A. „</w:t>
      </w:r>
      <w:r w:rsidR="001C22D6" w:rsidRPr="00870FB6">
        <w:rPr>
          <w:color w:val="000000"/>
          <w:sz w:val="28"/>
          <w:szCs w:val="28"/>
          <w:shd w:val="clear" w:color="auto" w:fill="FFFFFF"/>
        </w:rPr>
        <w:t>Red Nord-Vest</w:t>
      </w:r>
      <w:r w:rsidRPr="00870FB6">
        <w:rPr>
          <w:color w:val="000000"/>
          <w:sz w:val="28"/>
          <w:szCs w:val="28"/>
          <w:shd w:val="clear" w:color="auto" w:fill="FFFFFF"/>
        </w:rPr>
        <w:t>”. Astfel, ca rezultat al fuzionării societă</w:t>
      </w:r>
      <w:r w:rsidR="000873E3">
        <w:rPr>
          <w:color w:val="000000"/>
          <w:sz w:val="28"/>
          <w:szCs w:val="28"/>
          <w:shd w:val="clear" w:color="auto" w:fill="FFFFFF"/>
        </w:rPr>
        <w:t>ț</w:t>
      </w:r>
      <w:r w:rsidRPr="00870FB6">
        <w:rPr>
          <w:color w:val="000000"/>
          <w:sz w:val="28"/>
          <w:szCs w:val="28"/>
          <w:shd w:val="clear" w:color="auto" w:fill="FFFFFF"/>
        </w:rPr>
        <w:t xml:space="preserve">ilor prenotate, </w:t>
      </w:r>
      <w:r w:rsidR="00235BF0">
        <w:rPr>
          <w:color w:val="000000"/>
          <w:sz w:val="28"/>
          <w:szCs w:val="28"/>
          <w:shd w:val="clear" w:color="auto" w:fill="FFFFFF"/>
        </w:rPr>
        <w:t xml:space="preserve">se </w:t>
      </w:r>
      <w:r w:rsidRPr="00870FB6">
        <w:rPr>
          <w:color w:val="000000"/>
          <w:sz w:val="28"/>
          <w:szCs w:val="28"/>
          <w:shd w:val="clear" w:color="auto" w:fill="FFFFFF"/>
        </w:rPr>
        <w:t>rem</w:t>
      </w:r>
      <w:r w:rsidR="00235BF0">
        <w:rPr>
          <w:color w:val="000000"/>
          <w:sz w:val="28"/>
          <w:szCs w:val="28"/>
          <w:shd w:val="clear" w:color="auto" w:fill="FFFFFF"/>
        </w:rPr>
        <w:t>arcă</w:t>
      </w:r>
      <w:r w:rsidR="001C22D6" w:rsidRPr="00870FB6">
        <w:rPr>
          <w:color w:val="000000"/>
          <w:sz w:val="28"/>
          <w:szCs w:val="28"/>
          <w:shd w:val="clear" w:color="auto" w:fill="FFFFFF"/>
        </w:rPr>
        <w:t xml:space="preserve"> că indicatorii situa</w:t>
      </w:r>
      <w:r w:rsidR="000873E3">
        <w:rPr>
          <w:color w:val="000000"/>
          <w:sz w:val="28"/>
          <w:szCs w:val="28"/>
          <w:shd w:val="clear" w:color="auto" w:fill="FFFFFF"/>
        </w:rPr>
        <w:t>ț</w:t>
      </w:r>
      <w:r w:rsidR="001C22D6" w:rsidRPr="00870FB6">
        <w:rPr>
          <w:color w:val="000000"/>
          <w:sz w:val="28"/>
          <w:szCs w:val="28"/>
          <w:shd w:val="clear" w:color="auto" w:fill="FFFFFF"/>
        </w:rPr>
        <w:t>iilor</w:t>
      </w:r>
      <w:r w:rsidRPr="00870FB6">
        <w:rPr>
          <w:color w:val="000000"/>
          <w:sz w:val="28"/>
          <w:szCs w:val="28"/>
          <w:shd w:val="clear" w:color="auto" w:fill="FFFFFF"/>
        </w:rPr>
        <w:t xml:space="preserve"> financiare</w:t>
      </w:r>
      <w:r w:rsidR="001C22D6" w:rsidRPr="00870FB6">
        <w:rPr>
          <w:color w:val="000000"/>
          <w:sz w:val="28"/>
          <w:szCs w:val="28"/>
          <w:shd w:val="clear" w:color="auto" w:fill="FFFFFF"/>
        </w:rPr>
        <w:t xml:space="preserve"> pentru anul 2017</w:t>
      </w:r>
      <w:r w:rsidRPr="00870FB6">
        <w:rPr>
          <w:color w:val="000000"/>
          <w:sz w:val="28"/>
          <w:szCs w:val="28"/>
          <w:shd w:val="clear" w:color="auto" w:fill="FFFFFF"/>
        </w:rPr>
        <w:t xml:space="preserve"> (active, crean</w:t>
      </w:r>
      <w:r w:rsidR="000873E3">
        <w:rPr>
          <w:color w:val="000000"/>
          <w:sz w:val="28"/>
          <w:szCs w:val="28"/>
          <w:shd w:val="clear" w:color="auto" w:fill="FFFFFF"/>
        </w:rPr>
        <w:t>ț</w:t>
      </w:r>
      <w:r w:rsidRPr="00870FB6">
        <w:rPr>
          <w:color w:val="000000"/>
          <w:sz w:val="28"/>
          <w:szCs w:val="28"/>
          <w:shd w:val="clear" w:color="auto" w:fill="FFFFFF"/>
        </w:rPr>
        <w:t xml:space="preserve">e, </w:t>
      </w:r>
      <w:r w:rsidR="001C22D6" w:rsidRPr="00870FB6">
        <w:rPr>
          <w:color w:val="000000"/>
          <w:sz w:val="28"/>
          <w:szCs w:val="28"/>
          <w:shd w:val="clear" w:color="auto" w:fill="FFFFFF"/>
        </w:rPr>
        <w:t xml:space="preserve">capital social, capital propriu, </w:t>
      </w:r>
      <w:r w:rsidRPr="00870FB6">
        <w:rPr>
          <w:color w:val="000000"/>
          <w:sz w:val="28"/>
          <w:szCs w:val="28"/>
          <w:shd w:val="clear" w:color="auto" w:fill="FFFFFF"/>
        </w:rPr>
        <w:t>datorii etc.) a S.A. „</w:t>
      </w:r>
      <w:r w:rsidR="001C22D6" w:rsidRPr="00870FB6">
        <w:rPr>
          <w:color w:val="000000"/>
          <w:sz w:val="28"/>
          <w:szCs w:val="28"/>
          <w:shd w:val="clear" w:color="auto" w:fill="FFFFFF"/>
        </w:rPr>
        <w:t>Red Nord</w:t>
      </w:r>
      <w:r w:rsidRPr="00870FB6">
        <w:rPr>
          <w:color w:val="000000"/>
          <w:sz w:val="28"/>
          <w:szCs w:val="28"/>
          <w:shd w:val="clear" w:color="auto" w:fill="FFFFFF"/>
        </w:rPr>
        <w:t>” nu includ la situa</w:t>
      </w:r>
      <w:r w:rsidR="000873E3">
        <w:rPr>
          <w:color w:val="000000"/>
          <w:sz w:val="28"/>
          <w:szCs w:val="28"/>
          <w:shd w:val="clear" w:color="auto" w:fill="FFFFFF"/>
        </w:rPr>
        <w:t>ț</w:t>
      </w:r>
      <w:r w:rsidRPr="00870FB6">
        <w:rPr>
          <w:color w:val="000000"/>
          <w:sz w:val="28"/>
          <w:szCs w:val="28"/>
          <w:shd w:val="clear" w:color="auto" w:fill="FFFFFF"/>
        </w:rPr>
        <w:t xml:space="preserve">ia din </w:t>
      </w:r>
      <w:r w:rsidR="001C22D6" w:rsidRPr="00870FB6">
        <w:rPr>
          <w:color w:val="000000"/>
          <w:sz w:val="28"/>
          <w:szCs w:val="28"/>
          <w:shd w:val="clear" w:color="auto" w:fill="FFFFFF"/>
        </w:rPr>
        <w:t>01.01.2017</w:t>
      </w:r>
      <w:r w:rsidRPr="00870FB6">
        <w:rPr>
          <w:color w:val="000000"/>
          <w:sz w:val="28"/>
          <w:szCs w:val="28"/>
          <w:shd w:val="clear" w:color="auto" w:fill="FFFFFF"/>
        </w:rPr>
        <w:t xml:space="preserve"> indicatorii S.A. „</w:t>
      </w:r>
      <w:r w:rsidR="001C22D6" w:rsidRPr="00870FB6">
        <w:rPr>
          <w:color w:val="000000"/>
          <w:sz w:val="28"/>
          <w:szCs w:val="28"/>
          <w:shd w:val="clear" w:color="auto" w:fill="FFFFFF"/>
        </w:rPr>
        <w:t>Red Nord-Vest</w:t>
      </w:r>
      <w:r w:rsidRPr="00870FB6">
        <w:rPr>
          <w:color w:val="000000"/>
          <w:sz w:val="28"/>
          <w:szCs w:val="28"/>
          <w:shd w:val="clear" w:color="auto" w:fill="FFFFFF"/>
        </w:rPr>
        <w:t>”, motiv pentru care evolu</w:t>
      </w:r>
      <w:r w:rsidR="000873E3">
        <w:rPr>
          <w:color w:val="000000"/>
          <w:sz w:val="28"/>
          <w:szCs w:val="28"/>
          <w:shd w:val="clear" w:color="auto" w:fill="FFFFFF"/>
        </w:rPr>
        <w:t>ț</w:t>
      </w:r>
      <w:r w:rsidRPr="00870FB6">
        <w:rPr>
          <w:color w:val="000000"/>
          <w:sz w:val="28"/>
          <w:szCs w:val="28"/>
          <w:shd w:val="clear" w:color="auto" w:fill="FFFFFF"/>
        </w:rPr>
        <w:t xml:space="preserve">ia </w:t>
      </w:r>
      <w:r w:rsidR="00EA04AB" w:rsidRPr="00870FB6">
        <w:rPr>
          <w:color w:val="000000"/>
          <w:sz w:val="28"/>
          <w:szCs w:val="28"/>
          <w:shd w:val="clear" w:color="auto" w:fill="FFFFFF"/>
        </w:rPr>
        <w:t xml:space="preserve">obiectivă a </w:t>
      </w:r>
      <w:r w:rsidRPr="00870FB6">
        <w:rPr>
          <w:color w:val="000000"/>
          <w:sz w:val="28"/>
          <w:szCs w:val="28"/>
          <w:shd w:val="clear" w:color="auto" w:fill="FFFFFF"/>
        </w:rPr>
        <w:t>activită</w:t>
      </w:r>
      <w:r w:rsidR="000873E3">
        <w:rPr>
          <w:color w:val="000000"/>
          <w:sz w:val="28"/>
          <w:szCs w:val="28"/>
          <w:shd w:val="clear" w:color="auto" w:fill="FFFFFF"/>
        </w:rPr>
        <w:t>ț</w:t>
      </w:r>
      <w:r w:rsidRPr="00870FB6">
        <w:rPr>
          <w:color w:val="000000"/>
          <w:sz w:val="28"/>
          <w:szCs w:val="28"/>
          <w:shd w:val="clear" w:color="auto" w:fill="FFFFFF"/>
        </w:rPr>
        <w:t xml:space="preserve">ii economico-financiare </w:t>
      </w:r>
      <w:r w:rsidR="001C22D6" w:rsidRPr="00870FB6">
        <w:rPr>
          <w:color w:val="000000"/>
          <w:sz w:val="28"/>
          <w:szCs w:val="28"/>
          <w:shd w:val="clear" w:color="auto" w:fill="FFFFFF"/>
        </w:rPr>
        <w:t xml:space="preserve">în anul 2017 </w:t>
      </w:r>
      <w:r w:rsidRPr="00870FB6">
        <w:rPr>
          <w:color w:val="000000"/>
          <w:sz w:val="28"/>
          <w:szCs w:val="28"/>
          <w:shd w:val="clear" w:color="auto" w:fill="FFFFFF"/>
        </w:rPr>
        <w:t>a S.A. „</w:t>
      </w:r>
      <w:r w:rsidR="001C22D6" w:rsidRPr="00870FB6">
        <w:rPr>
          <w:color w:val="000000"/>
          <w:sz w:val="28"/>
          <w:szCs w:val="28"/>
          <w:shd w:val="clear" w:color="auto" w:fill="FFFFFF"/>
        </w:rPr>
        <w:t>Red Nord</w:t>
      </w:r>
      <w:r w:rsidRPr="00870FB6">
        <w:rPr>
          <w:color w:val="000000"/>
          <w:sz w:val="28"/>
          <w:szCs w:val="28"/>
          <w:shd w:val="clear" w:color="auto" w:fill="FFFFFF"/>
        </w:rPr>
        <w:t>” nu poate fi apreciată. </w:t>
      </w:r>
    </w:p>
    <w:p w:rsidR="0093252B" w:rsidRPr="00870FB6" w:rsidRDefault="0093252B" w:rsidP="005B67C6">
      <w:pPr>
        <w:spacing w:line="276" w:lineRule="auto"/>
        <w:ind w:firstLine="539"/>
        <w:jc w:val="both"/>
        <w:rPr>
          <w:sz w:val="28"/>
          <w:szCs w:val="28"/>
        </w:rPr>
      </w:pPr>
      <w:r w:rsidRPr="00870FB6">
        <w:rPr>
          <w:sz w:val="28"/>
          <w:szCs w:val="28"/>
        </w:rPr>
        <w:t>În componen</w:t>
      </w:r>
      <w:r w:rsidR="000873E3">
        <w:rPr>
          <w:sz w:val="28"/>
          <w:szCs w:val="28"/>
        </w:rPr>
        <w:t>ț</w:t>
      </w:r>
      <w:r w:rsidRPr="00870FB6">
        <w:rPr>
          <w:sz w:val="28"/>
          <w:szCs w:val="28"/>
        </w:rPr>
        <w:t>a activelor totale ale societă</w:t>
      </w:r>
      <w:r w:rsidR="000873E3">
        <w:rPr>
          <w:sz w:val="28"/>
          <w:szCs w:val="28"/>
        </w:rPr>
        <w:t>ț</w:t>
      </w:r>
      <w:r w:rsidRPr="00870FB6">
        <w:rPr>
          <w:sz w:val="28"/>
          <w:szCs w:val="28"/>
        </w:rPr>
        <w:t>ilor pe ac</w:t>
      </w:r>
      <w:r w:rsidR="000873E3">
        <w:rPr>
          <w:sz w:val="28"/>
          <w:szCs w:val="28"/>
        </w:rPr>
        <w:t>ț</w:t>
      </w:r>
      <w:r w:rsidRPr="00870FB6">
        <w:rPr>
          <w:sz w:val="28"/>
          <w:szCs w:val="28"/>
        </w:rPr>
        <w:t xml:space="preserve">iuni, </w:t>
      </w:r>
      <w:r w:rsidRPr="00870FB6">
        <w:rPr>
          <w:i/>
          <w:sz w:val="28"/>
          <w:szCs w:val="28"/>
        </w:rPr>
        <w:t>activele financiare</w:t>
      </w:r>
      <w:r w:rsidRPr="00870FB6">
        <w:rPr>
          <w:sz w:val="28"/>
          <w:szCs w:val="28"/>
        </w:rPr>
        <w:t xml:space="preserve"> constituie 3528,3 mil. lei sau 20,2%, valoarea acestora fiind cu 72,8 mil. lei mai mare în </w:t>
      </w:r>
      <w:r w:rsidR="00D21506">
        <w:rPr>
          <w:sz w:val="28"/>
          <w:szCs w:val="28"/>
        </w:rPr>
        <w:t>raport cu începutul anului 2017</w:t>
      </w:r>
      <w:r w:rsidRPr="00870FB6">
        <w:rPr>
          <w:sz w:val="28"/>
          <w:szCs w:val="28"/>
        </w:rPr>
        <w:t xml:space="preserve">. </w:t>
      </w:r>
      <w:r w:rsidRPr="00870FB6">
        <w:rPr>
          <w:i/>
          <w:sz w:val="28"/>
          <w:szCs w:val="28"/>
        </w:rPr>
        <w:t>Activele nefinanciare</w:t>
      </w:r>
      <w:r w:rsidRPr="00870FB6">
        <w:rPr>
          <w:sz w:val="28"/>
          <w:szCs w:val="28"/>
        </w:rPr>
        <w:t xml:space="preserve"> ale societă</w:t>
      </w:r>
      <w:r w:rsidR="000873E3">
        <w:rPr>
          <w:sz w:val="28"/>
          <w:szCs w:val="28"/>
        </w:rPr>
        <w:t>ț</w:t>
      </w:r>
      <w:r w:rsidRPr="00870FB6">
        <w:rPr>
          <w:sz w:val="28"/>
          <w:szCs w:val="28"/>
        </w:rPr>
        <w:t>ilor pe ac</w:t>
      </w:r>
      <w:r w:rsidR="000873E3">
        <w:rPr>
          <w:sz w:val="28"/>
          <w:szCs w:val="28"/>
        </w:rPr>
        <w:t>ț</w:t>
      </w:r>
      <w:r w:rsidRPr="00870FB6">
        <w:rPr>
          <w:sz w:val="28"/>
          <w:szCs w:val="28"/>
        </w:rPr>
        <w:t>iuni, constituie 13933,4 mil. lei sau 79,8%  din totalul activelor, fiind cu 685,4 mil. lei mai mari fa</w:t>
      </w:r>
      <w:r w:rsidR="000873E3">
        <w:rPr>
          <w:sz w:val="28"/>
          <w:szCs w:val="28"/>
        </w:rPr>
        <w:t>ț</w:t>
      </w:r>
      <w:r w:rsidRPr="00870FB6">
        <w:rPr>
          <w:sz w:val="28"/>
          <w:szCs w:val="28"/>
        </w:rPr>
        <w:t xml:space="preserve">ă de începutul anului 2017. </w:t>
      </w:r>
    </w:p>
    <w:p w:rsidR="0093252B" w:rsidRPr="00870FB6" w:rsidRDefault="005B67C6" w:rsidP="0093252B">
      <w:pPr>
        <w:spacing w:line="276" w:lineRule="auto"/>
        <w:ind w:firstLine="567"/>
        <w:jc w:val="both"/>
        <w:rPr>
          <w:sz w:val="28"/>
          <w:szCs w:val="28"/>
        </w:rPr>
      </w:pPr>
      <w:r>
        <w:rPr>
          <w:sz w:val="28"/>
          <w:szCs w:val="28"/>
        </w:rPr>
        <w:t>Astfel</w:t>
      </w:r>
      <w:r w:rsidR="0093252B" w:rsidRPr="00870FB6">
        <w:rPr>
          <w:sz w:val="28"/>
          <w:szCs w:val="28"/>
        </w:rPr>
        <w:t xml:space="preserve">, </w:t>
      </w:r>
      <w:r>
        <w:rPr>
          <w:sz w:val="28"/>
          <w:szCs w:val="28"/>
        </w:rPr>
        <w:t xml:space="preserve">se </w:t>
      </w:r>
      <w:r w:rsidR="0093252B" w:rsidRPr="00870FB6">
        <w:rPr>
          <w:sz w:val="28"/>
          <w:szCs w:val="28"/>
        </w:rPr>
        <w:t>men</w:t>
      </w:r>
      <w:r w:rsidR="000873E3">
        <w:rPr>
          <w:sz w:val="28"/>
          <w:szCs w:val="28"/>
        </w:rPr>
        <w:t>ț</w:t>
      </w:r>
      <w:r>
        <w:rPr>
          <w:sz w:val="28"/>
          <w:szCs w:val="28"/>
        </w:rPr>
        <w:t>ionează</w:t>
      </w:r>
      <w:r w:rsidR="0093252B" w:rsidRPr="00870FB6">
        <w:rPr>
          <w:sz w:val="28"/>
          <w:szCs w:val="28"/>
        </w:rPr>
        <w:t xml:space="preserve"> că </w:t>
      </w:r>
      <w:r w:rsidR="0093252B" w:rsidRPr="00870FB6">
        <w:rPr>
          <w:i/>
          <w:sz w:val="28"/>
          <w:szCs w:val="28"/>
        </w:rPr>
        <w:t>rentabilitatea activelor (rentabilitatea economică)</w:t>
      </w:r>
      <w:r w:rsidR="0093252B" w:rsidRPr="00870FB6">
        <w:rPr>
          <w:sz w:val="28"/>
          <w:szCs w:val="28"/>
        </w:rPr>
        <w:t xml:space="preserve"> înregistrată de către societă</w:t>
      </w:r>
      <w:r w:rsidR="000873E3">
        <w:rPr>
          <w:sz w:val="28"/>
          <w:szCs w:val="28"/>
        </w:rPr>
        <w:t>ț</w:t>
      </w:r>
      <w:r w:rsidR="0093252B" w:rsidRPr="00870FB6">
        <w:rPr>
          <w:sz w:val="28"/>
          <w:szCs w:val="28"/>
        </w:rPr>
        <w:t xml:space="preserve">i în anul 2017 </w:t>
      </w:r>
      <w:r w:rsidR="0093252B" w:rsidRPr="00870FB6">
        <w:rPr>
          <w:i/>
          <w:sz w:val="28"/>
          <w:szCs w:val="28"/>
        </w:rPr>
        <w:t xml:space="preserve">(raportul dintre profitul pînă la impozitare/valoarea medie a activelor) </w:t>
      </w:r>
      <w:r w:rsidR="0093252B" w:rsidRPr="00870FB6">
        <w:rPr>
          <w:sz w:val="28"/>
          <w:szCs w:val="28"/>
        </w:rPr>
        <w:t>a constituit per ansamblu 2,69%, ceea ce semnifică faptul că la 1 leu active s-au ob</w:t>
      </w:r>
      <w:r w:rsidR="000873E3">
        <w:rPr>
          <w:sz w:val="28"/>
          <w:szCs w:val="28"/>
        </w:rPr>
        <w:t>ț</w:t>
      </w:r>
      <w:r w:rsidR="0093252B" w:rsidRPr="00870FB6">
        <w:rPr>
          <w:sz w:val="28"/>
          <w:szCs w:val="28"/>
        </w:rPr>
        <w:t xml:space="preserve">inut 2,69 bani profit pînă la impozitare. </w:t>
      </w:r>
      <w:r w:rsidR="0093252B" w:rsidRPr="00870FB6">
        <w:rPr>
          <w:sz w:val="28"/>
          <w:szCs w:val="28"/>
        </w:rPr>
        <w:lastRenderedPageBreak/>
        <w:t>În anul 2016, societă</w:t>
      </w:r>
      <w:r w:rsidR="000873E3">
        <w:rPr>
          <w:sz w:val="28"/>
          <w:szCs w:val="28"/>
        </w:rPr>
        <w:t>ț</w:t>
      </w:r>
      <w:r w:rsidR="0093252B" w:rsidRPr="00870FB6">
        <w:rPr>
          <w:sz w:val="28"/>
          <w:szCs w:val="28"/>
        </w:rPr>
        <w:t xml:space="preserve">ile au înregistrat la 1 leu active 1,24 bani profit pînă la impozitare. </w:t>
      </w:r>
    </w:p>
    <w:p w:rsidR="0093252B" w:rsidRPr="00870FB6" w:rsidRDefault="0093252B" w:rsidP="0093252B">
      <w:pPr>
        <w:spacing w:line="276" w:lineRule="auto"/>
        <w:ind w:firstLine="567"/>
        <w:jc w:val="both"/>
        <w:rPr>
          <w:sz w:val="28"/>
          <w:szCs w:val="28"/>
        </w:rPr>
      </w:pPr>
      <w:r w:rsidRPr="00870FB6">
        <w:rPr>
          <w:i/>
          <w:sz w:val="28"/>
          <w:szCs w:val="28"/>
        </w:rPr>
        <w:t>Patrimoniul net (capitalul propriu)</w:t>
      </w:r>
      <w:r w:rsidRPr="00870FB6">
        <w:rPr>
          <w:sz w:val="28"/>
          <w:szCs w:val="28"/>
        </w:rPr>
        <w:t xml:space="preserve"> al societă</w:t>
      </w:r>
      <w:r w:rsidR="000873E3">
        <w:rPr>
          <w:sz w:val="28"/>
          <w:szCs w:val="28"/>
        </w:rPr>
        <w:t>ț</w:t>
      </w:r>
      <w:r w:rsidRPr="00870FB6">
        <w:rPr>
          <w:sz w:val="28"/>
          <w:szCs w:val="28"/>
        </w:rPr>
        <w:t>ilor pe ac</w:t>
      </w:r>
      <w:r w:rsidR="000873E3">
        <w:rPr>
          <w:sz w:val="28"/>
          <w:szCs w:val="28"/>
        </w:rPr>
        <w:t>ț</w:t>
      </w:r>
      <w:r w:rsidRPr="00870FB6">
        <w:rPr>
          <w:sz w:val="28"/>
          <w:szCs w:val="28"/>
        </w:rPr>
        <w:t xml:space="preserve">iuni constituie, la sfîrşitul anului de gestiune, 10535,7 mil. lei și s-a majorat cu 976,8 mil. lei. </w:t>
      </w:r>
    </w:p>
    <w:p w:rsidR="0093252B" w:rsidRPr="00870FB6" w:rsidRDefault="000A59CF" w:rsidP="00A728CB">
      <w:pPr>
        <w:spacing w:line="276" w:lineRule="auto"/>
        <w:ind w:firstLine="567"/>
        <w:jc w:val="both"/>
        <w:rPr>
          <w:sz w:val="28"/>
          <w:szCs w:val="28"/>
        </w:rPr>
      </w:pPr>
      <w:r w:rsidRPr="00870FB6">
        <w:rPr>
          <w:noProof/>
          <w:color w:val="FF0000"/>
          <w:sz w:val="28"/>
          <w:szCs w:val="28"/>
          <w:lang w:val="ru-RU"/>
        </w:rPr>
        <w:drawing>
          <wp:inline distT="0" distB="0" distL="0" distR="0">
            <wp:extent cx="5505450" cy="145732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252B" w:rsidRPr="00870FB6" w:rsidRDefault="005B67C6" w:rsidP="0093252B">
      <w:pPr>
        <w:jc w:val="center"/>
        <w:rPr>
          <w:b/>
          <w:i/>
          <w:sz w:val="20"/>
          <w:szCs w:val="20"/>
        </w:rPr>
      </w:pPr>
      <w:r>
        <w:rPr>
          <w:b/>
          <w:i/>
          <w:sz w:val="20"/>
          <w:szCs w:val="20"/>
        </w:rPr>
        <w:t>Figura 3.</w:t>
      </w:r>
      <w:r w:rsidR="0093252B" w:rsidRPr="00870FB6">
        <w:rPr>
          <w:b/>
          <w:i/>
          <w:sz w:val="20"/>
          <w:szCs w:val="20"/>
        </w:rPr>
        <w:t xml:space="preserve"> Dinamica patrimoniului net (capitalului propriu) și capitalului social </w:t>
      </w:r>
    </w:p>
    <w:p w:rsidR="0093252B" w:rsidRPr="00870FB6" w:rsidRDefault="0093252B" w:rsidP="0093252B">
      <w:pPr>
        <w:jc w:val="center"/>
        <w:rPr>
          <w:b/>
          <w:i/>
          <w:sz w:val="20"/>
          <w:szCs w:val="20"/>
        </w:rPr>
      </w:pPr>
      <w:r w:rsidRPr="00870FB6">
        <w:rPr>
          <w:b/>
          <w:i/>
          <w:sz w:val="20"/>
          <w:szCs w:val="20"/>
        </w:rPr>
        <w:t>al societă</w:t>
      </w:r>
      <w:r w:rsidR="000873E3">
        <w:rPr>
          <w:b/>
          <w:i/>
          <w:sz w:val="20"/>
          <w:szCs w:val="20"/>
        </w:rPr>
        <w:t>ț</w:t>
      </w:r>
      <w:r w:rsidRPr="00870FB6">
        <w:rPr>
          <w:b/>
          <w:i/>
          <w:sz w:val="20"/>
          <w:szCs w:val="20"/>
        </w:rPr>
        <w:t>ilor pe ac</w:t>
      </w:r>
      <w:r w:rsidR="000873E3">
        <w:rPr>
          <w:b/>
          <w:i/>
          <w:sz w:val="20"/>
          <w:szCs w:val="20"/>
        </w:rPr>
        <w:t>ț</w:t>
      </w:r>
      <w:r w:rsidRPr="00870FB6">
        <w:rPr>
          <w:b/>
          <w:i/>
          <w:sz w:val="20"/>
          <w:szCs w:val="20"/>
        </w:rPr>
        <w:t>iuni</w:t>
      </w:r>
      <w:r w:rsidR="001C22D6" w:rsidRPr="00870FB6">
        <w:rPr>
          <w:b/>
          <w:i/>
          <w:sz w:val="20"/>
          <w:szCs w:val="20"/>
        </w:rPr>
        <w:t xml:space="preserve"> în anul 2017</w:t>
      </w:r>
      <w:r w:rsidRPr="00870FB6">
        <w:rPr>
          <w:b/>
          <w:i/>
          <w:sz w:val="20"/>
          <w:szCs w:val="20"/>
        </w:rPr>
        <w:t>, mil. lei</w:t>
      </w:r>
    </w:p>
    <w:p w:rsidR="0093252B" w:rsidRPr="00870FB6" w:rsidRDefault="0093252B" w:rsidP="0093252B">
      <w:pPr>
        <w:jc w:val="center"/>
        <w:rPr>
          <w:b/>
          <w:i/>
          <w:sz w:val="20"/>
          <w:szCs w:val="20"/>
        </w:rPr>
      </w:pPr>
    </w:p>
    <w:p w:rsidR="0093252B" w:rsidRPr="00870FB6" w:rsidRDefault="0093252B" w:rsidP="0093252B">
      <w:pPr>
        <w:spacing w:line="276" w:lineRule="auto"/>
        <w:ind w:firstLine="567"/>
        <w:jc w:val="both"/>
        <w:rPr>
          <w:sz w:val="28"/>
          <w:szCs w:val="28"/>
        </w:rPr>
      </w:pPr>
      <w:r w:rsidRPr="00870FB6">
        <w:rPr>
          <w:sz w:val="28"/>
          <w:szCs w:val="28"/>
        </w:rPr>
        <w:t>La fel, este de remarcat că, la finele anului 2017, capitalul social al societă</w:t>
      </w:r>
      <w:r w:rsidR="000873E3">
        <w:rPr>
          <w:sz w:val="28"/>
          <w:szCs w:val="28"/>
        </w:rPr>
        <w:t>ț</w:t>
      </w:r>
      <w:r w:rsidRPr="00870FB6">
        <w:rPr>
          <w:sz w:val="28"/>
          <w:szCs w:val="28"/>
        </w:rPr>
        <w:t>ilor pe ac</w:t>
      </w:r>
      <w:r w:rsidR="000873E3">
        <w:rPr>
          <w:sz w:val="28"/>
          <w:szCs w:val="28"/>
        </w:rPr>
        <w:t>ț</w:t>
      </w:r>
      <w:r w:rsidRPr="00870FB6">
        <w:rPr>
          <w:sz w:val="28"/>
          <w:szCs w:val="28"/>
        </w:rPr>
        <w:t xml:space="preserve">iuni </w:t>
      </w:r>
      <w:r w:rsidR="001C22D6" w:rsidRPr="00870FB6">
        <w:rPr>
          <w:sz w:val="28"/>
          <w:szCs w:val="28"/>
        </w:rPr>
        <w:t>potrivit situa</w:t>
      </w:r>
      <w:r w:rsidR="000873E3">
        <w:rPr>
          <w:sz w:val="28"/>
          <w:szCs w:val="28"/>
        </w:rPr>
        <w:t>ț</w:t>
      </w:r>
      <w:r w:rsidR="001C22D6" w:rsidRPr="00870FB6">
        <w:rPr>
          <w:sz w:val="28"/>
          <w:szCs w:val="28"/>
        </w:rPr>
        <w:t>iilor financiare ale entită</w:t>
      </w:r>
      <w:r w:rsidR="000873E3">
        <w:rPr>
          <w:sz w:val="28"/>
          <w:szCs w:val="28"/>
        </w:rPr>
        <w:t>ț</w:t>
      </w:r>
      <w:r w:rsidR="001C22D6" w:rsidRPr="00870FB6">
        <w:rPr>
          <w:sz w:val="28"/>
          <w:szCs w:val="28"/>
        </w:rPr>
        <w:t xml:space="preserve">ilor, </w:t>
      </w:r>
      <w:r w:rsidRPr="00870FB6">
        <w:rPr>
          <w:sz w:val="28"/>
          <w:szCs w:val="28"/>
        </w:rPr>
        <w:t>a constituit 2873,1 mil. lei, rezervele – 5517,1 mil. lei, iar valoarea altor elemente de capital propriu – 732,9 mil. lei. Pe parcursul anului 2017, au fost efectuate corec</w:t>
      </w:r>
      <w:r w:rsidR="000873E3">
        <w:rPr>
          <w:sz w:val="28"/>
          <w:szCs w:val="28"/>
        </w:rPr>
        <w:t>ț</w:t>
      </w:r>
      <w:r w:rsidRPr="00870FB6">
        <w:rPr>
          <w:sz w:val="28"/>
          <w:szCs w:val="28"/>
        </w:rPr>
        <w:t>ii favorabile ale rezultatelor anilor preceden</w:t>
      </w:r>
      <w:r w:rsidR="000873E3">
        <w:rPr>
          <w:sz w:val="28"/>
          <w:szCs w:val="28"/>
        </w:rPr>
        <w:t>ț</w:t>
      </w:r>
      <w:r w:rsidRPr="00870FB6">
        <w:rPr>
          <w:sz w:val="28"/>
          <w:szCs w:val="28"/>
        </w:rPr>
        <w:t xml:space="preserve">i în mărime de 17,4 mil. lei, </w:t>
      </w:r>
      <w:r w:rsidR="005B67C6">
        <w:rPr>
          <w:sz w:val="28"/>
          <w:szCs w:val="28"/>
        </w:rPr>
        <w:t xml:space="preserve">iar </w:t>
      </w:r>
      <w:r w:rsidRPr="00870FB6">
        <w:rPr>
          <w:sz w:val="28"/>
          <w:szCs w:val="28"/>
        </w:rPr>
        <w:t>profitul nerepartizat al anilor preceden</w:t>
      </w:r>
      <w:r w:rsidR="000873E3">
        <w:rPr>
          <w:sz w:val="28"/>
          <w:szCs w:val="28"/>
        </w:rPr>
        <w:t>ț</w:t>
      </w:r>
      <w:r w:rsidR="005B67C6">
        <w:rPr>
          <w:sz w:val="28"/>
          <w:szCs w:val="28"/>
        </w:rPr>
        <w:t>i a constituit 576,8 mil. lei</w:t>
      </w:r>
      <w:r w:rsidRPr="00870FB6">
        <w:rPr>
          <w:sz w:val="28"/>
          <w:szCs w:val="28"/>
        </w:rPr>
        <w:t>. De asemenea, societă</w:t>
      </w:r>
      <w:r w:rsidR="000873E3">
        <w:rPr>
          <w:sz w:val="28"/>
          <w:szCs w:val="28"/>
        </w:rPr>
        <w:t>ț</w:t>
      </w:r>
      <w:r w:rsidRPr="00870FB6">
        <w:rPr>
          <w:sz w:val="28"/>
          <w:szCs w:val="28"/>
        </w:rPr>
        <w:t>ile pe ac</w:t>
      </w:r>
      <w:r w:rsidR="000873E3">
        <w:rPr>
          <w:sz w:val="28"/>
          <w:szCs w:val="28"/>
        </w:rPr>
        <w:t>ț</w:t>
      </w:r>
      <w:r w:rsidRPr="00870FB6">
        <w:rPr>
          <w:sz w:val="28"/>
          <w:szCs w:val="28"/>
        </w:rPr>
        <w:t>iuni au utilizat în anul 2017 profit al perioadei de gestiune în mărime de 0,5 mil. lei.</w:t>
      </w:r>
    </w:p>
    <w:p w:rsidR="0093252B" w:rsidRPr="00870FB6" w:rsidRDefault="0093252B" w:rsidP="0008031F">
      <w:pPr>
        <w:spacing w:line="276" w:lineRule="auto"/>
        <w:ind w:firstLine="567"/>
        <w:jc w:val="both"/>
        <w:rPr>
          <w:sz w:val="28"/>
          <w:szCs w:val="28"/>
        </w:rPr>
      </w:pPr>
      <w:r w:rsidRPr="00870FB6">
        <w:rPr>
          <w:sz w:val="28"/>
          <w:szCs w:val="28"/>
        </w:rPr>
        <w:t>Concomitent, 11 societă</w:t>
      </w:r>
      <w:r w:rsidR="000873E3">
        <w:rPr>
          <w:sz w:val="28"/>
          <w:szCs w:val="28"/>
        </w:rPr>
        <w:t>ț</w:t>
      </w:r>
      <w:r w:rsidRPr="00870FB6">
        <w:rPr>
          <w:sz w:val="28"/>
          <w:szCs w:val="28"/>
        </w:rPr>
        <w:t>i pe ac</w:t>
      </w:r>
      <w:r w:rsidR="000873E3">
        <w:rPr>
          <w:sz w:val="28"/>
          <w:szCs w:val="28"/>
        </w:rPr>
        <w:t>ț</w:t>
      </w:r>
      <w:r w:rsidRPr="00870FB6">
        <w:rPr>
          <w:sz w:val="28"/>
          <w:szCs w:val="28"/>
        </w:rPr>
        <w:t>iuni, sau 31,4% din totalul societă</w:t>
      </w:r>
      <w:r w:rsidR="000873E3">
        <w:rPr>
          <w:sz w:val="28"/>
          <w:szCs w:val="28"/>
        </w:rPr>
        <w:t>ț</w:t>
      </w:r>
      <w:r w:rsidRPr="00870FB6">
        <w:rPr>
          <w:sz w:val="28"/>
          <w:szCs w:val="28"/>
        </w:rPr>
        <w:t>ilor pe ac</w:t>
      </w:r>
      <w:r w:rsidR="000873E3">
        <w:rPr>
          <w:sz w:val="28"/>
          <w:szCs w:val="28"/>
        </w:rPr>
        <w:t>ț</w:t>
      </w:r>
      <w:r w:rsidRPr="00870FB6">
        <w:rPr>
          <w:sz w:val="28"/>
          <w:szCs w:val="28"/>
        </w:rPr>
        <w:t xml:space="preserve">iuni monitorizate, au înregistrat o </w:t>
      </w:r>
      <w:r w:rsidRPr="00870FB6">
        <w:rPr>
          <w:i/>
          <w:sz w:val="28"/>
          <w:szCs w:val="28"/>
        </w:rPr>
        <w:t xml:space="preserve">micşorare a </w:t>
      </w:r>
      <w:r w:rsidR="005B67C6">
        <w:rPr>
          <w:i/>
          <w:sz w:val="28"/>
          <w:szCs w:val="28"/>
        </w:rPr>
        <w:t>capitalului propriu</w:t>
      </w:r>
      <w:r w:rsidRPr="00870FB6">
        <w:rPr>
          <w:sz w:val="28"/>
          <w:szCs w:val="28"/>
        </w:rPr>
        <w:t xml:space="preserve"> cu 51,8 mil. lei. </w:t>
      </w:r>
    </w:p>
    <w:p w:rsidR="00282703" w:rsidRPr="00870FB6" w:rsidRDefault="00C25682" w:rsidP="00282703">
      <w:pPr>
        <w:spacing w:line="276" w:lineRule="auto"/>
        <w:ind w:firstLine="567"/>
        <w:jc w:val="both"/>
        <w:rPr>
          <w:sz w:val="28"/>
          <w:szCs w:val="28"/>
        </w:rPr>
      </w:pPr>
      <w:r>
        <w:rPr>
          <w:sz w:val="28"/>
          <w:szCs w:val="28"/>
        </w:rPr>
        <w:t>E</w:t>
      </w:r>
      <w:r w:rsidR="0093252B" w:rsidRPr="00870FB6">
        <w:rPr>
          <w:sz w:val="28"/>
          <w:szCs w:val="28"/>
        </w:rPr>
        <w:t xml:space="preserve"> de men</w:t>
      </w:r>
      <w:r w:rsidR="000873E3">
        <w:rPr>
          <w:sz w:val="28"/>
          <w:szCs w:val="28"/>
        </w:rPr>
        <w:t>ț</w:t>
      </w:r>
      <w:r w:rsidR="0093252B" w:rsidRPr="00870FB6">
        <w:rPr>
          <w:sz w:val="28"/>
          <w:szCs w:val="28"/>
        </w:rPr>
        <w:t>ionat că nici una din societă</w:t>
      </w:r>
      <w:r w:rsidR="000873E3">
        <w:rPr>
          <w:sz w:val="28"/>
          <w:szCs w:val="28"/>
        </w:rPr>
        <w:t>ț</w:t>
      </w:r>
      <w:r w:rsidR="0093252B" w:rsidRPr="00870FB6">
        <w:rPr>
          <w:sz w:val="28"/>
          <w:szCs w:val="28"/>
        </w:rPr>
        <w:t>ile pe ac</w:t>
      </w:r>
      <w:r w:rsidR="000873E3">
        <w:rPr>
          <w:sz w:val="28"/>
          <w:szCs w:val="28"/>
        </w:rPr>
        <w:t>ț</w:t>
      </w:r>
      <w:r w:rsidR="0093252B" w:rsidRPr="00870FB6">
        <w:rPr>
          <w:sz w:val="28"/>
          <w:szCs w:val="28"/>
        </w:rPr>
        <w:t>iuni monitorizate nu au înregistrat, la situa</w:t>
      </w:r>
      <w:r w:rsidR="000873E3">
        <w:rPr>
          <w:sz w:val="28"/>
          <w:szCs w:val="28"/>
        </w:rPr>
        <w:t>ț</w:t>
      </w:r>
      <w:r w:rsidR="0093252B" w:rsidRPr="00870FB6">
        <w:rPr>
          <w:sz w:val="28"/>
          <w:szCs w:val="28"/>
        </w:rPr>
        <w:t xml:space="preserve">ia din 31.12.2017, valoare negativă a </w:t>
      </w:r>
      <w:r>
        <w:rPr>
          <w:sz w:val="28"/>
          <w:szCs w:val="28"/>
        </w:rPr>
        <w:t>capitalului propriu.</w:t>
      </w:r>
      <w:r w:rsidR="0093252B" w:rsidRPr="00870FB6">
        <w:rPr>
          <w:sz w:val="28"/>
          <w:szCs w:val="28"/>
        </w:rPr>
        <w:t xml:space="preserve"> Suplimentar</w:t>
      </w:r>
      <w:r w:rsidR="005B67C6">
        <w:rPr>
          <w:sz w:val="28"/>
          <w:szCs w:val="28"/>
        </w:rPr>
        <w:t>, se</w:t>
      </w:r>
      <w:r w:rsidR="0093252B" w:rsidRPr="00870FB6">
        <w:rPr>
          <w:sz w:val="28"/>
          <w:szCs w:val="28"/>
        </w:rPr>
        <w:t xml:space="preserve"> </w:t>
      </w:r>
      <w:r>
        <w:rPr>
          <w:sz w:val="28"/>
          <w:szCs w:val="28"/>
        </w:rPr>
        <w:t>atestă</w:t>
      </w:r>
      <w:r w:rsidR="0093252B" w:rsidRPr="00870FB6">
        <w:rPr>
          <w:sz w:val="28"/>
          <w:szCs w:val="28"/>
        </w:rPr>
        <w:t xml:space="preserve"> că, la sfîrșitul anului 2017, din numărul total al societă</w:t>
      </w:r>
      <w:r w:rsidR="000873E3">
        <w:rPr>
          <w:sz w:val="28"/>
          <w:szCs w:val="28"/>
        </w:rPr>
        <w:t>ț</w:t>
      </w:r>
      <w:r w:rsidR="0093252B" w:rsidRPr="00870FB6">
        <w:rPr>
          <w:sz w:val="28"/>
          <w:szCs w:val="28"/>
        </w:rPr>
        <w:t>ilor monitorizate, 5 societă</w:t>
      </w:r>
      <w:r w:rsidR="000873E3">
        <w:rPr>
          <w:sz w:val="28"/>
          <w:szCs w:val="28"/>
        </w:rPr>
        <w:t>ț</w:t>
      </w:r>
      <w:r w:rsidR="0093252B" w:rsidRPr="00870FB6">
        <w:rPr>
          <w:sz w:val="28"/>
          <w:szCs w:val="28"/>
        </w:rPr>
        <w:t>i (S.A.</w:t>
      </w:r>
      <w:r w:rsidR="00A728CB" w:rsidRPr="00870FB6">
        <w:rPr>
          <w:sz w:val="28"/>
          <w:szCs w:val="28"/>
        </w:rPr>
        <w:t xml:space="preserve"> </w:t>
      </w:r>
      <w:r w:rsidR="0093252B" w:rsidRPr="00870FB6">
        <w:rPr>
          <w:sz w:val="28"/>
          <w:szCs w:val="28"/>
        </w:rPr>
        <w:t>„Drumuri Rîșcani”, S.A.</w:t>
      </w:r>
      <w:r w:rsidR="00282703" w:rsidRPr="00870FB6">
        <w:rPr>
          <w:sz w:val="28"/>
          <w:szCs w:val="28"/>
        </w:rPr>
        <w:t xml:space="preserve"> </w:t>
      </w:r>
      <w:r w:rsidR="0093252B" w:rsidRPr="00870FB6">
        <w:rPr>
          <w:sz w:val="28"/>
          <w:szCs w:val="28"/>
        </w:rPr>
        <w:t>„Drumuri Strășeni”,</w:t>
      </w:r>
      <w:r w:rsidR="00A728CB" w:rsidRPr="00870FB6">
        <w:rPr>
          <w:sz w:val="28"/>
          <w:szCs w:val="28"/>
        </w:rPr>
        <w:t xml:space="preserve"> </w:t>
      </w:r>
      <w:r w:rsidR="0093252B" w:rsidRPr="00870FB6">
        <w:rPr>
          <w:sz w:val="28"/>
          <w:szCs w:val="28"/>
        </w:rPr>
        <w:t>S.A.„Moldfarm”, S.A.„Moldova-Film” și S.A. „Loteria Na</w:t>
      </w:r>
      <w:r w:rsidR="000873E3">
        <w:rPr>
          <w:sz w:val="28"/>
          <w:szCs w:val="28"/>
        </w:rPr>
        <w:t>ț</w:t>
      </w:r>
      <w:r w:rsidR="0093252B" w:rsidRPr="00870FB6">
        <w:rPr>
          <w:sz w:val="28"/>
          <w:szCs w:val="28"/>
        </w:rPr>
        <w:t xml:space="preserve">ională a Moldovei”) au înregistrat </w:t>
      </w:r>
      <w:r w:rsidR="00282703" w:rsidRPr="00870FB6">
        <w:rPr>
          <w:sz w:val="28"/>
          <w:szCs w:val="28"/>
        </w:rPr>
        <w:t>un capital propriu (active nete) mai mic decît capitalul social.</w:t>
      </w:r>
    </w:p>
    <w:p w:rsidR="0093252B" w:rsidRPr="00870FB6" w:rsidRDefault="005B67C6" w:rsidP="00282703">
      <w:pPr>
        <w:spacing w:line="276" w:lineRule="auto"/>
        <w:ind w:firstLine="567"/>
        <w:jc w:val="both"/>
        <w:rPr>
          <w:sz w:val="28"/>
          <w:szCs w:val="28"/>
        </w:rPr>
      </w:pPr>
      <w:r>
        <w:rPr>
          <w:sz w:val="28"/>
          <w:szCs w:val="28"/>
        </w:rPr>
        <w:t xml:space="preserve">În același timp, </w:t>
      </w:r>
      <w:r w:rsidR="0093252B" w:rsidRPr="00870FB6">
        <w:rPr>
          <w:sz w:val="28"/>
          <w:szCs w:val="28"/>
        </w:rPr>
        <w:t>3 societă</w:t>
      </w:r>
      <w:r w:rsidR="000873E3">
        <w:rPr>
          <w:sz w:val="28"/>
          <w:szCs w:val="28"/>
        </w:rPr>
        <w:t>ț</w:t>
      </w:r>
      <w:r w:rsidR="0093252B" w:rsidRPr="00870FB6">
        <w:rPr>
          <w:sz w:val="28"/>
          <w:szCs w:val="28"/>
        </w:rPr>
        <w:t>i pe ac</w:t>
      </w:r>
      <w:r w:rsidR="000873E3">
        <w:rPr>
          <w:sz w:val="28"/>
          <w:szCs w:val="28"/>
        </w:rPr>
        <w:t>ț</w:t>
      </w:r>
      <w:r w:rsidR="0093252B" w:rsidRPr="00870FB6">
        <w:rPr>
          <w:sz w:val="28"/>
          <w:szCs w:val="28"/>
        </w:rPr>
        <w:t>iuni (S.A.„Drumuri Rîșcani”, S.A.„Drumuri Strășeni” și S.A.„Moldova-Film”) înregisrează depășirea capitalului social fa</w:t>
      </w:r>
      <w:r w:rsidR="000873E3">
        <w:rPr>
          <w:sz w:val="28"/>
          <w:szCs w:val="28"/>
        </w:rPr>
        <w:t>ț</w:t>
      </w:r>
      <w:r w:rsidR="0093252B" w:rsidRPr="00870FB6">
        <w:rPr>
          <w:sz w:val="28"/>
          <w:szCs w:val="28"/>
        </w:rPr>
        <w:t>ă de capitalul propriu atît la 01.01.2017</w:t>
      </w:r>
      <w:r w:rsidR="00045A4E">
        <w:rPr>
          <w:sz w:val="28"/>
          <w:szCs w:val="28"/>
        </w:rPr>
        <w:t>,</w:t>
      </w:r>
      <w:r w:rsidR="0093252B" w:rsidRPr="00870FB6">
        <w:rPr>
          <w:sz w:val="28"/>
          <w:szCs w:val="28"/>
        </w:rPr>
        <w:t xml:space="preserve"> cît și la 31.12.2017, ceea ce poate crea dificultă</w:t>
      </w:r>
      <w:r w:rsidR="000873E3">
        <w:rPr>
          <w:sz w:val="28"/>
          <w:szCs w:val="28"/>
        </w:rPr>
        <w:t>ț</w:t>
      </w:r>
      <w:r w:rsidR="0093252B" w:rsidRPr="00870FB6">
        <w:rPr>
          <w:sz w:val="28"/>
          <w:szCs w:val="28"/>
        </w:rPr>
        <w:t>i în desfășurarea activită</w:t>
      </w:r>
      <w:r w:rsidR="000873E3">
        <w:rPr>
          <w:sz w:val="28"/>
          <w:szCs w:val="28"/>
        </w:rPr>
        <w:t>ț</w:t>
      </w:r>
      <w:r w:rsidR="0093252B" w:rsidRPr="00870FB6">
        <w:rPr>
          <w:sz w:val="28"/>
          <w:szCs w:val="28"/>
        </w:rPr>
        <w:t>ii economice normale a entită</w:t>
      </w:r>
      <w:r w:rsidR="000873E3">
        <w:rPr>
          <w:sz w:val="28"/>
          <w:szCs w:val="28"/>
        </w:rPr>
        <w:t>ț</w:t>
      </w:r>
      <w:r w:rsidR="0093252B" w:rsidRPr="00870FB6">
        <w:rPr>
          <w:sz w:val="28"/>
          <w:szCs w:val="28"/>
        </w:rPr>
        <w:t>ilor</w:t>
      </w:r>
      <w:r>
        <w:rPr>
          <w:sz w:val="28"/>
          <w:szCs w:val="28"/>
        </w:rPr>
        <w:t>.</w:t>
      </w:r>
    </w:p>
    <w:p w:rsidR="0093252B" w:rsidRPr="00870FB6" w:rsidRDefault="0093252B" w:rsidP="0093252B">
      <w:pPr>
        <w:spacing w:line="276" w:lineRule="auto"/>
        <w:ind w:firstLine="567"/>
        <w:jc w:val="both"/>
        <w:rPr>
          <w:sz w:val="28"/>
          <w:szCs w:val="28"/>
        </w:rPr>
      </w:pPr>
      <w:r w:rsidRPr="00870FB6">
        <w:rPr>
          <w:sz w:val="28"/>
          <w:szCs w:val="28"/>
        </w:rPr>
        <w:t xml:space="preserve">Astfel, </w:t>
      </w:r>
      <w:r w:rsidRPr="00870FB6">
        <w:rPr>
          <w:i/>
          <w:sz w:val="28"/>
          <w:szCs w:val="28"/>
        </w:rPr>
        <w:t xml:space="preserve">rentabilitatea capitalului propriu (rentabilitatea financiară) </w:t>
      </w:r>
      <w:r w:rsidRPr="00870FB6">
        <w:rPr>
          <w:sz w:val="28"/>
          <w:szCs w:val="28"/>
        </w:rPr>
        <w:t>înregistrată de către societă</w:t>
      </w:r>
      <w:r w:rsidR="000873E3">
        <w:rPr>
          <w:sz w:val="28"/>
          <w:szCs w:val="28"/>
        </w:rPr>
        <w:t>ț</w:t>
      </w:r>
      <w:r w:rsidRPr="00870FB6">
        <w:rPr>
          <w:sz w:val="28"/>
          <w:szCs w:val="28"/>
        </w:rPr>
        <w:t>ile pe ac</w:t>
      </w:r>
      <w:r w:rsidR="000873E3">
        <w:rPr>
          <w:sz w:val="28"/>
          <w:szCs w:val="28"/>
        </w:rPr>
        <w:t>ț</w:t>
      </w:r>
      <w:r w:rsidRPr="00870FB6">
        <w:rPr>
          <w:sz w:val="28"/>
          <w:szCs w:val="28"/>
        </w:rPr>
        <w:t>iuni în anul 2017</w:t>
      </w:r>
      <w:r w:rsidRPr="00870FB6">
        <w:rPr>
          <w:i/>
          <w:sz w:val="28"/>
          <w:szCs w:val="28"/>
        </w:rPr>
        <w:t xml:space="preserve"> (raportul dintre profitul net/valoarea medie a capitalului propriu) </w:t>
      </w:r>
      <w:r w:rsidRPr="00870FB6">
        <w:rPr>
          <w:sz w:val="28"/>
          <w:szCs w:val="28"/>
        </w:rPr>
        <w:t>a constituit per ansamblu 3,88%, ceea ce semnifică faptul că la 1 leu capital propriu, în anul 2017, s-au ob</w:t>
      </w:r>
      <w:r w:rsidR="000873E3">
        <w:rPr>
          <w:sz w:val="28"/>
          <w:szCs w:val="28"/>
        </w:rPr>
        <w:t>ț</w:t>
      </w:r>
      <w:r w:rsidRPr="00870FB6">
        <w:rPr>
          <w:sz w:val="28"/>
          <w:szCs w:val="28"/>
        </w:rPr>
        <w:t>inut 3,88 bani profit net. În anul 2016, societă</w:t>
      </w:r>
      <w:r w:rsidR="000873E3">
        <w:rPr>
          <w:sz w:val="28"/>
          <w:szCs w:val="28"/>
        </w:rPr>
        <w:t>ț</w:t>
      </w:r>
      <w:r w:rsidRPr="00870FB6">
        <w:rPr>
          <w:sz w:val="28"/>
          <w:szCs w:val="28"/>
        </w:rPr>
        <w:t>ile pe ac</w:t>
      </w:r>
      <w:r w:rsidR="000873E3">
        <w:rPr>
          <w:sz w:val="28"/>
          <w:szCs w:val="28"/>
        </w:rPr>
        <w:t>ț</w:t>
      </w:r>
      <w:r w:rsidRPr="00870FB6">
        <w:rPr>
          <w:sz w:val="28"/>
          <w:szCs w:val="28"/>
        </w:rPr>
        <w:t>iuni au înregistrat per total 1,72 bani profit net la 1 leu capital propriu.</w:t>
      </w:r>
    </w:p>
    <w:p w:rsidR="0093252B" w:rsidRPr="00870FB6" w:rsidRDefault="0093252B" w:rsidP="0093252B">
      <w:pPr>
        <w:spacing w:line="276" w:lineRule="auto"/>
        <w:ind w:firstLine="567"/>
        <w:jc w:val="both"/>
        <w:rPr>
          <w:sz w:val="28"/>
          <w:szCs w:val="28"/>
        </w:rPr>
      </w:pPr>
      <w:r w:rsidRPr="00870FB6">
        <w:rPr>
          <w:i/>
          <w:sz w:val="28"/>
          <w:szCs w:val="28"/>
        </w:rPr>
        <w:lastRenderedPageBreak/>
        <w:t>Potrivit situa</w:t>
      </w:r>
      <w:r w:rsidR="000873E3">
        <w:rPr>
          <w:i/>
          <w:sz w:val="28"/>
          <w:szCs w:val="28"/>
        </w:rPr>
        <w:t>ț</w:t>
      </w:r>
      <w:r w:rsidRPr="00870FB6">
        <w:rPr>
          <w:i/>
          <w:sz w:val="28"/>
          <w:szCs w:val="28"/>
        </w:rPr>
        <w:t>iei de profit şi pierdere</w:t>
      </w:r>
      <w:r w:rsidRPr="00870FB6">
        <w:rPr>
          <w:sz w:val="28"/>
          <w:szCs w:val="28"/>
        </w:rPr>
        <w:t>, se atestă că în anul 2017 societă</w:t>
      </w:r>
      <w:r w:rsidR="000873E3">
        <w:rPr>
          <w:sz w:val="28"/>
          <w:szCs w:val="28"/>
        </w:rPr>
        <w:t>ț</w:t>
      </w:r>
      <w:r w:rsidRPr="00870FB6">
        <w:rPr>
          <w:sz w:val="28"/>
          <w:szCs w:val="28"/>
        </w:rPr>
        <w:t>ile pe ac</w:t>
      </w:r>
      <w:r w:rsidR="000873E3">
        <w:rPr>
          <w:sz w:val="28"/>
          <w:szCs w:val="28"/>
        </w:rPr>
        <w:t>ț</w:t>
      </w:r>
      <w:r w:rsidRPr="00870FB6">
        <w:rPr>
          <w:sz w:val="28"/>
          <w:szCs w:val="28"/>
        </w:rPr>
        <w:t>iuni au înregistrat per total un profit brut în mărime de 1257,4 mil. lei şi este cu 221,7 mil. lei mai mare comparativ cu valoarea aferentă anului 2016, dat fiind majorarea veniturilor din vînzări concomitent cu diminuarea costului vînzărilor.</w:t>
      </w:r>
    </w:p>
    <w:p w:rsidR="005B67C6" w:rsidRDefault="001323E3" w:rsidP="005B67C6">
      <w:pPr>
        <w:ind w:firstLine="720"/>
        <w:jc w:val="right"/>
        <w:rPr>
          <w:rFonts w:eastAsia="Calibri"/>
          <w:sz w:val="20"/>
          <w:szCs w:val="20"/>
        </w:rPr>
      </w:pPr>
      <w:r w:rsidRPr="00127E75">
        <w:rPr>
          <w:rFonts w:eastAsia="Calibri"/>
          <w:sz w:val="20"/>
          <w:szCs w:val="20"/>
        </w:rPr>
        <w:t xml:space="preserve">                                                                                                                                      </w:t>
      </w:r>
    </w:p>
    <w:p w:rsidR="0093252B" w:rsidRPr="00127E75" w:rsidRDefault="001323E3" w:rsidP="005B67C6">
      <w:pPr>
        <w:spacing w:line="360" w:lineRule="auto"/>
        <w:ind w:firstLine="720"/>
        <w:jc w:val="right"/>
        <w:rPr>
          <w:rFonts w:eastAsia="Calibri"/>
          <w:sz w:val="20"/>
          <w:szCs w:val="20"/>
        </w:rPr>
      </w:pPr>
      <w:r w:rsidRPr="00127E75">
        <w:rPr>
          <w:rFonts w:eastAsia="Calibri"/>
          <w:sz w:val="20"/>
          <w:szCs w:val="20"/>
        </w:rPr>
        <w:t xml:space="preserve">              </w:t>
      </w:r>
      <w:r w:rsidR="0093252B" w:rsidRPr="00127E75">
        <w:rPr>
          <w:rFonts w:eastAsia="Calibri"/>
          <w:sz w:val="20"/>
          <w:szCs w:val="20"/>
        </w:rPr>
        <w:t xml:space="preserve">Tabelul </w:t>
      </w:r>
      <w:r w:rsidR="00924587">
        <w:rPr>
          <w:rFonts w:eastAsia="Calibri"/>
          <w:sz w:val="20"/>
          <w:szCs w:val="20"/>
        </w:rPr>
        <w:t>11</w:t>
      </w:r>
      <w:r w:rsidR="005B67C6">
        <w:rPr>
          <w:rFonts w:eastAsia="Calibri"/>
          <w:sz w:val="20"/>
          <w:szCs w:val="20"/>
        </w:rPr>
        <w:t>.</w:t>
      </w:r>
    </w:p>
    <w:p w:rsidR="0093252B" w:rsidRPr="005B67C6" w:rsidRDefault="0093252B" w:rsidP="005B24E2">
      <w:pPr>
        <w:pStyle w:val="NoSpacing"/>
        <w:jc w:val="center"/>
        <w:rPr>
          <w:rFonts w:eastAsia="Calibri"/>
          <w:b/>
          <w:i/>
          <w:sz w:val="20"/>
          <w:szCs w:val="20"/>
        </w:rPr>
      </w:pPr>
      <w:r w:rsidRPr="005B67C6">
        <w:rPr>
          <w:rFonts w:eastAsia="Calibri"/>
          <w:b/>
          <w:i/>
          <w:noProof/>
          <w:sz w:val="20"/>
          <w:szCs w:val="20"/>
        </w:rPr>
        <w:t>Analiza indicatorilor de rezultat a societă</w:t>
      </w:r>
      <w:r w:rsidR="000873E3" w:rsidRPr="005B67C6">
        <w:rPr>
          <w:rFonts w:eastAsia="Calibri"/>
          <w:b/>
          <w:i/>
          <w:noProof/>
          <w:sz w:val="20"/>
          <w:szCs w:val="20"/>
        </w:rPr>
        <w:t>ț</w:t>
      </w:r>
      <w:r w:rsidRPr="005B67C6">
        <w:rPr>
          <w:rFonts w:eastAsia="Calibri"/>
          <w:b/>
          <w:i/>
          <w:noProof/>
          <w:sz w:val="20"/>
          <w:szCs w:val="20"/>
        </w:rPr>
        <w:t>ilor pe ac</w:t>
      </w:r>
      <w:r w:rsidR="000873E3" w:rsidRPr="005B67C6">
        <w:rPr>
          <w:rFonts w:eastAsia="Calibri"/>
          <w:b/>
          <w:i/>
          <w:noProof/>
          <w:sz w:val="20"/>
          <w:szCs w:val="20"/>
        </w:rPr>
        <w:t>ț</w:t>
      </w:r>
      <w:r w:rsidRPr="005B67C6">
        <w:rPr>
          <w:rFonts w:eastAsia="Calibri"/>
          <w:b/>
          <w:i/>
          <w:noProof/>
          <w:sz w:val="20"/>
          <w:szCs w:val="20"/>
        </w:rPr>
        <w:t>iuni</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701"/>
        <w:gridCol w:w="1080"/>
        <w:gridCol w:w="900"/>
        <w:gridCol w:w="1161"/>
      </w:tblGrid>
      <w:tr w:rsidR="0093252B" w:rsidRPr="00870FB6" w:rsidTr="0093252B">
        <w:trPr>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93252B" w:rsidRPr="00870FB6" w:rsidRDefault="0093252B" w:rsidP="0093252B">
            <w:pPr>
              <w:jc w:val="center"/>
              <w:rPr>
                <w:rFonts w:eastAsia="Calibri"/>
                <w:b/>
                <w:i/>
                <w:noProof/>
                <w:sz w:val="20"/>
                <w:szCs w:val="20"/>
              </w:rPr>
            </w:pPr>
            <w:r w:rsidRPr="00870FB6">
              <w:rPr>
                <w:rFonts w:eastAsia="Calibri"/>
                <w:b/>
                <w:i/>
                <w:noProof/>
                <w:sz w:val="20"/>
                <w:szCs w:val="20"/>
              </w:rPr>
              <w:t>Nr. d/o</w:t>
            </w:r>
          </w:p>
        </w:tc>
        <w:tc>
          <w:tcPr>
            <w:tcW w:w="4701" w:type="dxa"/>
            <w:tcBorders>
              <w:top w:val="single" w:sz="4" w:space="0" w:color="auto"/>
              <w:left w:val="single" w:sz="4" w:space="0" w:color="auto"/>
              <w:bottom w:val="single" w:sz="4" w:space="0" w:color="auto"/>
              <w:right w:val="single" w:sz="4" w:space="0" w:color="auto"/>
            </w:tcBorders>
            <w:vAlign w:val="center"/>
            <w:hideMark/>
          </w:tcPr>
          <w:p w:rsidR="0093252B" w:rsidRPr="00870FB6" w:rsidRDefault="0093252B" w:rsidP="0093252B">
            <w:pPr>
              <w:jc w:val="center"/>
              <w:rPr>
                <w:rFonts w:eastAsia="Calibri"/>
                <w:b/>
                <w:i/>
                <w:noProof/>
                <w:sz w:val="20"/>
                <w:szCs w:val="20"/>
              </w:rPr>
            </w:pPr>
            <w:r w:rsidRPr="00870FB6">
              <w:rPr>
                <w:rFonts w:eastAsia="Calibri"/>
                <w:b/>
                <w:i/>
                <w:noProof/>
                <w:sz w:val="20"/>
                <w:szCs w:val="20"/>
              </w:rPr>
              <w:t>Indicatori</w:t>
            </w:r>
          </w:p>
        </w:tc>
        <w:tc>
          <w:tcPr>
            <w:tcW w:w="1080" w:type="dxa"/>
            <w:tcBorders>
              <w:top w:val="single" w:sz="4" w:space="0" w:color="auto"/>
              <w:left w:val="single" w:sz="4" w:space="0" w:color="auto"/>
              <w:bottom w:val="single" w:sz="4" w:space="0" w:color="auto"/>
              <w:right w:val="single" w:sz="4" w:space="0" w:color="auto"/>
            </w:tcBorders>
            <w:vAlign w:val="center"/>
            <w:hideMark/>
          </w:tcPr>
          <w:p w:rsidR="0093252B" w:rsidRPr="00870FB6" w:rsidRDefault="0093252B" w:rsidP="0093252B">
            <w:pPr>
              <w:jc w:val="center"/>
              <w:rPr>
                <w:rFonts w:eastAsia="Calibri"/>
                <w:b/>
                <w:i/>
                <w:noProof/>
                <w:sz w:val="20"/>
                <w:szCs w:val="20"/>
              </w:rPr>
            </w:pPr>
            <w:r w:rsidRPr="00870FB6">
              <w:rPr>
                <w:rFonts w:eastAsia="Calibri"/>
                <w:b/>
                <w:i/>
                <w:noProof/>
                <w:sz w:val="20"/>
                <w:szCs w:val="20"/>
              </w:rPr>
              <w:t>2016,</w:t>
            </w:r>
          </w:p>
          <w:p w:rsidR="0093252B" w:rsidRPr="00870FB6" w:rsidRDefault="0093252B" w:rsidP="0093252B">
            <w:pPr>
              <w:jc w:val="center"/>
              <w:rPr>
                <w:rFonts w:eastAsia="Calibri"/>
                <w:i/>
                <w:noProof/>
                <w:sz w:val="20"/>
                <w:szCs w:val="20"/>
              </w:rPr>
            </w:pPr>
            <w:r w:rsidRPr="00870FB6">
              <w:rPr>
                <w:rFonts w:eastAsia="Calibri"/>
                <w:i/>
                <w:noProof/>
                <w:sz w:val="20"/>
                <w:szCs w:val="20"/>
              </w:rPr>
              <w:t>mil. lei</w:t>
            </w:r>
          </w:p>
        </w:tc>
        <w:tc>
          <w:tcPr>
            <w:tcW w:w="900" w:type="dxa"/>
            <w:tcBorders>
              <w:top w:val="single" w:sz="4" w:space="0" w:color="auto"/>
              <w:left w:val="single" w:sz="4" w:space="0" w:color="auto"/>
              <w:bottom w:val="single" w:sz="4" w:space="0" w:color="auto"/>
              <w:right w:val="single" w:sz="4" w:space="0" w:color="auto"/>
            </w:tcBorders>
            <w:vAlign w:val="center"/>
            <w:hideMark/>
          </w:tcPr>
          <w:p w:rsidR="0093252B" w:rsidRPr="00870FB6" w:rsidRDefault="0093252B" w:rsidP="0093252B">
            <w:pPr>
              <w:jc w:val="center"/>
              <w:rPr>
                <w:rFonts w:eastAsia="Calibri"/>
                <w:b/>
                <w:i/>
                <w:noProof/>
                <w:sz w:val="20"/>
                <w:szCs w:val="20"/>
              </w:rPr>
            </w:pPr>
            <w:r w:rsidRPr="00870FB6">
              <w:rPr>
                <w:rFonts w:eastAsia="Calibri"/>
                <w:b/>
                <w:i/>
                <w:noProof/>
                <w:sz w:val="20"/>
                <w:szCs w:val="20"/>
              </w:rPr>
              <w:t>2017,</w:t>
            </w:r>
          </w:p>
          <w:p w:rsidR="0093252B" w:rsidRPr="00870FB6" w:rsidRDefault="0093252B" w:rsidP="0093252B">
            <w:pPr>
              <w:jc w:val="center"/>
              <w:rPr>
                <w:rFonts w:eastAsia="Calibri"/>
                <w:i/>
                <w:noProof/>
                <w:sz w:val="20"/>
                <w:szCs w:val="20"/>
              </w:rPr>
            </w:pPr>
            <w:r w:rsidRPr="00870FB6">
              <w:rPr>
                <w:rFonts w:eastAsia="Calibri"/>
                <w:i/>
                <w:noProof/>
                <w:sz w:val="20"/>
                <w:szCs w:val="20"/>
              </w:rPr>
              <w:t>mil. lei</w:t>
            </w:r>
          </w:p>
        </w:tc>
        <w:tc>
          <w:tcPr>
            <w:tcW w:w="1161" w:type="dxa"/>
            <w:tcBorders>
              <w:top w:val="single" w:sz="4" w:space="0" w:color="auto"/>
              <w:left w:val="single" w:sz="4" w:space="0" w:color="auto"/>
              <w:bottom w:val="single" w:sz="4" w:space="0" w:color="auto"/>
              <w:right w:val="single" w:sz="4" w:space="0" w:color="auto"/>
            </w:tcBorders>
            <w:vAlign w:val="center"/>
            <w:hideMark/>
          </w:tcPr>
          <w:p w:rsidR="0093252B" w:rsidRPr="00870FB6" w:rsidRDefault="0093252B" w:rsidP="0093252B">
            <w:pPr>
              <w:jc w:val="center"/>
              <w:rPr>
                <w:rFonts w:eastAsia="Calibri"/>
                <w:b/>
                <w:i/>
                <w:noProof/>
                <w:sz w:val="20"/>
                <w:szCs w:val="20"/>
              </w:rPr>
            </w:pPr>
            <w:r w:rsidRPr="00870FB6">
              <w:rPr>
                <w:rFonts w:eastAsia="Calibri"/>
                <w:b/>
                <w:i/>
                <w:noProof/>
                <w:sz w:val="20"/>
                <w:szCs w:val="20"/>
              </w:rPr>
              <w:t>Devierea,</w:t>
            </w:r>
          </w:p>
          <w:p w:rsidR="0093252B" w:rsidRPr="00870FB6" w:rsidRDefault="0093252B" w:rsidP="0093252B">
            <w:pPr>
              <w:jc w:val="center"/>
              <w:rPr>
                <w:rFonts w:eastAsia="Calibri"/>
                <w:i/>
                <w:noProof/>
                <w:sz w:val="20"/>
                <w:szCs w:val="20"/>
              </w:rPr>
            </w:pPr>
            <w:r w:rsidRPr="00870FB6">
              <w:rPr>
                <w:rFonts w:eastAsia="Calibri"/>
                <w:i/>
                <w:noProof/>
                <w:sz w:val="20"/>
                <w:szCs w:val="20"/>
              </w:rPr>
              <w:t>+/- mil. lei</w:t>
            </w:r>
          </w:p>
        </w:tc>
      </w:tr>
      <w:tr w:rsidR="0093252B" w:rsidRPr="00870FB6" w:rsidTr="0093252B">
        <w:trPr>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1.</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Venituri din vînzări</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13125,7</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13271,8</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+146,1</w:t>
            </w:r>
          </w:p>
        </w:tc>
      </w:tr>
      <w:tr w:rsidR="0093252B" w:rsidRPr="00870FB6" w:rsidTr="0093252B">
        <w:trPr>
          <w:trHeight w:val="223"/>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2.</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 xml:space="preserve">Costul vînzărilor </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12090,0</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12014,4</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-75,6</w:t>
            </w:r>
          </w:p>
        </w:tc>
      </w:tr>
      <w:tr w:rsidR="0093252B" w:rsidRPr="00870FB6" w:rsidTr="0093252B">
        <w:trPr>
          <w:trHeight w:val="57"/>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3.</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Pofitul brut</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1035,7</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1257,4</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+221,7</w:t>
            </w:r>
          </w:p>
        </w:tc>
      </w:tr>
      <w:tr w:rsidR="0093252B" w:rsidRPr="00870FB6" w:rsidTr="0093252B">
        <w:trPr>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4.</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Alte venituri din activitatea opera</w:t>
            </w:r>
            <w:r w:rsidR="000873E3">
              <w:rPr>
                <w:rFonts w:eastAsia="Calibri"/>
                <w:noProof/>
                <w:sz w:val="20"/>
                <w:szCs w:val="20"/>
              </w:rPr>
              <w:t>ț</w:t>
            </w:r>
            <w:r w:rsidRPr="00870FB6">
              <w:rPr>
                <w:rFonts w:eastAsia="Calibri"/>
                <w:noProof/>
                <w:sz w:val="20"/>
                <w:szCs w:val="20"/>
              </w:rPr>
              <w:t>ională</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189,4</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171,2</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-18,2</w:t>
            </w:r>
          </w:p>
        </w:tc>
      </w:tr>
      <w:tr w:rsidR="0093252B" w:rsidRPr="00870FB6" w:rsidTr="0093252B">
        <w:trPr>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5.</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Total cheltuieli</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1032,6</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1080,6</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+48,0</w:t>
            </w:r>
          </w:p>
        </w:tc>
      </w:tr>
      <w:tr w:rsidR="0093252B" w:rsidRPr="00870FB6" w:rsidTr="0093252B">
        <w:trPr>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6.</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Rezultatul din activitatea opera</w:t>
            </w:r>
            <w:r w:rsidR="000873E3">
              <w:rPr>
                <w:rFonts w:eastAsia="Calibri"/>
                <w:noProof/>
                <w:sz w:val="20"/>
                <w:szCs w:val="20"/>
              </w:rPr>
              <w:t>ț</w:t>
            </w:r>
            <w:r w:rsidRPr="00870FB6">
              <w:rPr>
                <w:rFonts w:eastAsia="Calibri"/>
                <w:noProof/>
                <w:sz w:val="20"/>
                <w:szCs w:val="20"/>
              </w:rPr>
              <w:t>ională: profit (pierdere)</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192,5</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348,0</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+155,5</w:t>
            </w:r>
          </w:p>
        </w:tc>
      </w:tr>
      <w:tr w:rsidR="0093252B" w:rsidRPr="00870FB6" w:rsidTr="0093252B">
        <w:trPr>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7.</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Rezultatul din alte activită</w:t>
            </w:r>
            <w:r w:rsidR="000873E3">
              <w:rPr>
                <w:rFonts w:eastAsia="Calibri"/>
                <w:noProof/>
                <w:sz w:val="20"/>
                <w:szCs w:val="20"/>
              </w:rPr>
              <w:t>ț</w:t>
            </w:r>
            <w:r w:rsidRPr="00870FB6">
              <w:rPr>
                <w:rFonts w:eastAsia="Calibri"/>
                <w:noProof/>
                <w:sz w:val="20"/>
                <w:szCs w:val="20"/>
              </w:rPr>
              <w:t>i: profit (pierdere)</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-6,9</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111,3</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+118,2</w:t>
            </w:r>
          </w:p>
        </w:tc>
      </w:tr>
      <w:tr w:rsidR="0093252B" w:rsidRPr="00870FB6" w:rsidTr="0093252B">
        <w:trPr>
          <w:trHeight w:val="113"/>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8.</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Profit (pierdere) pînă la impozitare</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185,6</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459,3</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+273,7</w:t>
            </w:r>
          </w:p>
        </w:tc>
      </w:tr>
      <w:tr w:rsidR="0093252B" w:rsidRPr="00870FB6" w:rsidTr="0093252B">
        <w:trPr>
          <w:trHeight w:val="170"/>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9.</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Cheltuieli privind impozitul pe venit</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40,1</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69,1</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+29,0</w:t>
            </w:r>
          </w:p>
        </w:tc>
      </w:tr>
      <w:tr w:rsidR="0093252B" w:rsidRPr="00870FB6" w:rsidTr="0093252B">
        <w:trPr>
          <w:jc w:val="center"/>
        </w:trPr>
        <w:tc>
          <w:tcPr>
            <w:tcW w:w="800"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jc w:val="center"/>
              <w:rPr>
                <w:rFonts w:eastAsia="Calibri"/>
                <w:noProof/>
                <w:sz w:val="20"/>
                <w:szCs w:val="20"/>
              </w:rPr>
            </w:pPr>
            <w:r w:rsidRPr="00870FB6">
              <w:rPr>
                <w:rFonts w:eastAsia="Calibri"/>
                <w:noProof/>
                <w:sz w:val="20"/>
                <w:szCs w:val="20"/>
              </w:rPr>
              <w:t>10.</w:t>
            </w:r>
          </w:p>
        </w:tc>
        <w:tc>
          <w:tcPr>
            <w:tcW w:w="4701" w:type="dxa"/>
            <w:tcBorders>
              <w:top w:val="single" w:sz="4" w:space="0" w:color="auto"/>
              <w:left w:val="single" w:sz="4" w:space="0" w:color="auto"/>
              <w:bottom w:val="single" w:sz="4" w:space="0" w:color="auto"/>
              <w:right w:val="single" w:sz="4" w:space="0" w:color="auto"/>
            </w:tcBorders>
            <w:hideMark/>
          </w:tcPr>
          <w:p w:rsidR="0093252B" w:rsidRPr="00870FB6" w:rsidRDefault="0093252B" w:rsidP="0093252B">
            <w:pPr>
              <w:rPr>
                <w:rFonts w:eastAsia="Calibri"/>
                <w:noProof/>
                <w:sz w:val="20"/>
                <w:szCs w:val="20"/>
              </w:rPr>
            </w:pPr>
            <w:r w:rsidRPr="00870FB6">
              <w:rPr>
                <w:rFonts w:eastAsia="Calibri"/>
                <w:noProof/>
                <w:sz w:val="20"/>
                <w:szCs w:val="20"/>
              </w:rPr>
              <w:t>Profit net (pierdere netă) al perioadei de gestiune</w:t>
            </w:r>
          </w:p>
        </w:tc>
        <w:tc>
          <w:tcPr>
            <w:tcW w:w="108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145,5</w:t>
            </w:r>
          </w:p>
        </w:tc>
        <w:tc>
          <w:tcPr>
            <w:tcW w:w="900"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390,2</w:t>
            </w:r>
          </w:p>
        </w:tc>
        <w:tc>
          <w:tcPr>
            <w:tcW w:w="1161" w:type="dxa"/>
            <w:tcBorders>
              <w:top w:val="single" w:sz="4" w:space="0" w:color="auto"/>
              <w:left w:val="single" w:sz="4" w:space="0" w:color="auto"/>
              <w:bottom w:val="single" w:sz="4" w:space="0" w:color="auto"/>
              <w:right w:val="single" w:sz="4" w:space="0" w:color="auto"/>
            </w:tcBorders>
          </w:tcPr>
          <w:p w:rsidR="0093252B" w:rsidRPr="00870FB6" w:rsidRDefault="0093252B" w:rsidP="00A728CB">
            <w:pPr>
              <w:jc w:val="center"/>
              <w:rPr>
                <w:rFonts w:eastAsia="Calibri"/>
                <w:noProof/>
                <w:sz w:val="20"/>
                <w:szCs w:val="20"/>
              </w:rPr>
            </w:pPr>
            <w:r w:rsidRPr="00870FB6">
              <w:rPr>
                <w:rFonts w:eastAsia="Calibri"/>
                <w:noProof/>
                <w:sz w:val="20"/>
                <w:szCs w:val="20"/>
              </w:rPr>
              <w:t>+244,7</w:t>
            </w:r>
          </w:p>
        </w:tc>
      </w:tr>
    </w:tbl>
    <w:p w:rsidR="00045A4E" w:rsidRPr="00045A4E" w:rsidRDefault="00045A4E" w:rsidP="0093252B">
      <w:pPr>
        <w:spacing w:line="276" w:lineRule="auto"/>
        <w:ind w:firstLine="567"/>
        <w:jc w:val="both"/>
        <w:rPr>
          <w:sz w:val="20"/>
          <w:szCs w:val="20"/>
        </w:rPr>
      </w:pPr>
    </w:p>
    <w:p w:rsidR="00D21506" w:rsidRDefault="0093252B" w:rsidP="00D21506">
      <w:pPr>
        <w:spacing w:line="276" w:lineRule="auto"/>
        <w:ind w:firstLine="567"/>
        <w:jc w:val="both"/>
        <w:rPr>
          <w:sz w:val="28"/>
          <w:szCs w:val="28"/>
        </w:rPr>
      </w:pPr>
      <w:r w:rsidRPr="00870FB6">
        <w:rPr>
          <w:sz w:val="28"/>
          <w:szCs w:val="28"/>
        </w:rPr>
        <w:t>Este de men</w:t>
      </w:r>
      <w:r w:rsidR="000873E3">
        <w:rPr>
          <w:sz w:val="28"/>
          <w:szCs w:val="28"/>
        </w:rPr>
        <w:t>ț</w:t>
      </w:r>
      <w:r w:rsidRPr="00870FB6">
        <w:rPr>
          <w:sz w:val="28"/>
          <w:szCs w:val="28"/>
        </w:rPr>
        <w:t>ionat, că 10 societă</w:t>
      </w:r>
      <w:r w:rsidR="000873E3">
        <w:rPr>
          <w:sz w:val="28"/>
          <w:szCs w:val="28"/>
        </w:rPr>
        <w:t>ț</w:t>
      </w:r>
      <w:r w:rsidRPr="00870FB6">
        <w:rPr>
          <w:sz w:val="28"/>
          <w:szCs w:val="28"/>
        </w:rPr>
        <w:t>i pe ac</w:t>
      </w:r>
      <w:r w:rsidR="000873E3">
        <w:rPr>
          <w:sz w:val="28"/>
          <w:szCs w:val="28"/>
        </w:rPr>
        <w:t>ț</w:t>
      </w:r>
      <w:r w:rsidRPr="00870FB6">
        <w:rPr>
          <w:sz w:val="28"/>
          <w:szCs w:val="28"/>
        </w:rPr>
        <w:t xml:space="preserve">iuni, au înregistrat în anul 2017 o </w:t>
      </w:r>
      <w:r w:rsidRPr="00870FB6">
        <w:rPr>
          <w:i/>
          <w:sz w:val="28"/>
          <w:szCs w:val="28"/>
        </w:rPr>
        <w:t>micşorare a veniturilor din vînzări</w:t>
      </w:r>
      <w:r w:rsidRPr="00870FB6">
        <w:rPr>
          <w:sz w:val="28"/>
          <w:szCs w:val="28"/>
        </w:rPr>
        <w:t xml:space="preserve"> cu 1071,0 mil. lei</w:t>
      </w:r>
      <w:r w:rsidR="001323E3">
        <w:rPr>
          <w:sz w:val="28"/>
          <w:szCs w:val="28"/>
        </w:rPr>
        <w:t>,</w:t>
      </w:r>
      <w:r w:rsidRPr="00870FB6">
        <w:rPr>
          <w:sz w:val="28"/>
          <w:szCs w:val="28"/>
        </w:rPr>
        <w:t xml:space="preserve">  din care:</w:t>
      </w:r>
    </w:p>
    <w:p w:rsidR="0093252B" w:rsidRPr="00870FB6" w:rsidRDefault="00D21506" w:rsidP="00D21506">
      <w:pPr>
        <w:spacing w:line="276" w:lineRule="auto"/>
        <w:ind w:firstLine="567"/>
        <w:jc w:val="both"/>
        <w:rPr>
          <w:sz w:val="28"/>
          <w:szCs w:val="28"/>
        </w:rPr>
      </w:pPr>
      <w:r w:rsidRPr="00D21506">
        <w:rPr>
          <w:sz w:val="28"/>
          <w:szCs w:val="28"/>
        </w:rPr>
        <w:t>-</w:t>
      </w:r>
      <w:r>
        <w:rPr>
          <w:sz w:val="28"/>
          <w:szCs w:val="28"/>
        </w:rPr>
        <w:t xml:space="preserve"> </w:t>
      </w:r>
      <w:r w:rsidR="0093252B" w:rsidRPr="00870FB6">
        <w:rPr>
          <w:sz w:val="28"/>
          <w:szCs w:val="28"/>
        </w:rPr>
        <w:t>5 societă</w:t>
      </w:r>
      <w:r w:rsidR="000873E3">
        <w:rPr>
          <w:sz w:val="28"/>
          <w:szCs w:val="28"/>
        </w:rPr>
        <w:t>ț</w:t>
      </w:r>
      <w:r w:rsidR="0093252B" w:rsidRPr="00870FB6">
        <w:rPr>
          <w:sz w:val="28"/>
          <w:szCs w:val="28"/>
        </w:rPr>
        <w:t>i pe ac</w:t>
      </w:r>
      <w:r w:rsidR="000873E3">
        <w:rPr>
          <w:sz w:val="28"/>
          <w:szCs w:val="28"/>
        </w:rPr>
        <w:t>ț</w:t>
      </w:r>
      <w:r w:rsidR="0093252B" w:rsidRPr="00870FB6">
        <w:rPr>
          <w:sz w:val="28"/>
          <w:szCs w:val="28"/>
        </w:rPr>
        <w:t>iuni din administrarea Ministerului Economiei și Infrastructurii – cu 563,6 mil. lei;</w:t>
      </w:r>
    </w:p>
    <w:p w:rsidR="0093252B" w:rsidRPr="00870FB6" w:rsidRDefault="0093252B" w:rsidP="00FF3911">
      <w:pPr>
        <w:numPr>
          <w:ilvl w:val="0"/>
          <w:numId w:val="3"/>
        </w:numPr>
        <w:tabs>
          <w:tab w:val="clear" w:pos="800"/>
          <w:tab w:val="num" w:pos="567"/>
        </w:tabs>
        <w:spacing w:line="276" w:lineRule="auto"/>
        <w:ind w:left="0" w:firstLine="567"/>
        <w:jc w:val="both"/>
        <w:rPr>
          <w:sz w:val="28"/>
          <w:szCs w:val="28"/>
        </w:rPr>
      </w:pPr>
      <w:r w:rsidRPr="00870FB6">
        <w:rPr>
          <w:sz w:val="28"/>
          <w:szCs w:val="28"/>
        </w:rPr>
        <w:t xml:space="preserve"> 1 societate pe ac</w:t>
      </w:r>
      <w:r w:rsidR="000873E3">
        <w:rPr>
          <w:sz w:val="28"/>
          <w:szCs w:val="28"/>
        </w:rPr>
        <w:t>ț</w:t>
      </w:r>
      <w:r w:rsidRPr="00870FB6">
        <w:rPr>
          <w:sz w:val="28"/>
          <w:szCs w:val="28"/>
        </w:rPr>
        <w:t xml:space="preserve">iuni din administrarea Ministerului </w:t>
      </w:r>
      <w:r w:rsidR="00282703" w:rsidRPr="00870FB6">
        <w:rPr>
          <w:sz w:val="28"/>
          <w:szCs w:val="28"/>
        </w:rPr>
        <w:t>Sănătă</w:t>
      </w:r>
      <w:r w:rsidR="000873E3">
        <w:rPr>
          <w:sz w:val="28"/>
          <w:szCs w:val="28"/>
        </w:rPr>
        <w:t>ț</w:t>
      </w:r>
      <w:r w:rsidR="00282703" w:rsidRPr="00870FB6">
        <w:rPr>
          <w:sz w:val="28"/>
          <w:szCs w:val="28"/>
        </w:rPr>
        <w:t>ii, Muncii și Protec</w:t>
      </w:r>
      <w:r w:rsidR="000873E3">
        <w:rPr>
          <w:sz w:val="28"/>
          <w:szCs w:val="28"/>
        </w:rPr>
        <w:t>ț</w:t>
      </w:r>
      <w:r w:rsidR="00282703" w:rsidRPr="00870FB6">
        <w:rPr>
          <w:sz w:val="28"/>
          <w:szCs w:val="28"/>
        </w:rPr>
        <w:t>iei Sociale</w:t>
      </w:r>
      <w:r w:rsidRPr="00870FB6">
        <w:rPr>
          <w:sz w:val="28"/>
          <w:szCs w:val="28"/>
        </w:rPr>
        <w:t xml:space="preserve"> – cu </w:t>
      </w:r>
      <w:r w:rsidR="00282703" w:rsidRPr="00870FB6">
        <w:rPr>
          <w:sz w:val="28"/>
          <w:szCs w:val="28"/>
        </w:rPr>
        <w:t>15,6</w:t>
      </w:r>
      <w:r w:rsidRPr="00870FB6">
        <w:rPr>
          <w:sz w:val="28"/>
          <w:szCs w:val="28"/>
        </w:rPr>
        <w:t xml:space="preserve"> mil. lei;</w:t>
      </w:r>
    </w:p>
    <w:p w:rsidR="0093252B" w:rsidRPr="00870FB6" w:rsidRDefault="0093252B" w:rsidP="00FF3911">
      <w:pPr>
        <w:numPr>
          <w:ilvl w:val="0"/>
          <w:numId w:val="3"/>
        </w:numPr>
        <w:tabs>
          <w:tab w:val="clear" w:pos="800"/>
          <w:tab w:val="num" w:pos="567"/>
        </w:tabs>
        <w:spacing w:line="276" w:lineRule="auto"/>
        <w:ind w:left="0" w:firstLine="567"/>
        <w:jc w:val="both"/>
        <w:rPr>
          <w:sz w:val="28"/>
          <w:szCs w:val="28"/>
        </w:rPr>
      </w:pPr>
      <w:r w:rsidRPr="00870FB6">
        <w:rPr>
          <w:sz w:val="28"/>
          <w:szCs w:val="28"/>
        </w:rPr>
        <w:t>4 societă</w:t>
      </w:r>
      <w:r w:rsidR="000873E3">
        <w:rPr>
          <w:sz w:val="28"/>
          <w:szCs w:val="28"/>
        </w:rPr>
        <w:t>ț</w:t>
      </w:r>
      <w:r w:rsidRPr="00870FB6">
        <w:rPr>
          <w:sz w:val="28"/>
          <w:szCs w:val="28"/>
        </w:rPr>
        <w:t>i pe ac</w:t>
      </w:r>
      <w:r w:rsidR="000873E3">
        <w:rPr>
          <w:sz w:val="28"/>
          <w:szCs w:val="28"/>
        </w:rPr>
        <w:t>ț</w:t>
      </w:r>
      <w:r w:rsidRPr="00870FB6">
        <w:rPr>
          <w:sz w:val="28"/>
          <w:szCs w:val="28"/>
        </w:rPr>
        <w:t>iuni din administrarea Agen</w:t>
      </w:r>
      <w:r w:rsidR="000873E3">
        <w:rPr>
          <w:sz w:val="28"/>
          <w:szCs w:val="28"/>
        </w:rPr>
        <w:t>ț</w:t>
      </w:r>
      <w:r w:rsidRPr="00870FB6">
        <w:rPr>
          <w:sz w:val="28"/>
          <w:szCs w:val="28"/>
        </w:rPr>
        <w:t>iei Proprietă</w:t>
      </w:r>
      <w:r w:rsidR="000873E3">
        <w:rPr>
          <w:sz w:val="28"/>
          <w:szCs w:val="28"/>
        </w:rPr>
        <w:t>ț</w:t>
      </w:r>
      <w:r w:rsidRPr="00870FB6">
        <w:rPr>
          <w:sz w:val="28"/>
          <w:szCs w:val="28"/>
        </w:rPr>
        <w:t>ii Publice – cu  491,8 mil. lei.</w:t>
      </w:r>
    </w:p>
    <w:p w:rsidR="00282703" w:rsidRPr="00870FB6" w:rsidRDefault="0093252B" w:rsidP="00282703">
      <w:pPr>
        <w:tabs>
          <w:tab w:val="left" w:pos="567"/>
        </w:tabs>
        <w:spacing w:line="276" w:lineRule="auto"/>
        <w:jc w:val="both"/>
        <w:rPr>
          <w:sz w:val="28"/>
          <w:szCs w:val="28"/>
        </w:rPr>
      </w:pPr>
      <w:r w:rsidRPr="00870FB6">
        <w:rPr>
          <w:sz w:val="28"/>
          <w:szCs w:val="28"/>
        </w:rPr>
        <w:t xml:space="preserve">        Totodată, 2 so</w:t>
      </w:r>
      <w:r w:rsidR="00045A4E">
        <w:rPr>
          <w:sz w:val="28"/>
          <w:szCs w:val="28"/>
        </w:rPr>
        <w:t>c</w:t>
      </w:r>
      <w:r w:rsidRPr="00870FB6">
        <w:rPr>
          <w:sz w:val="28"/>
          <w:szCs w:val="28"/>
        </w:rPr>
        <w:t>ietă</w:t>
      </w:r>
      <w:r w:rsidR="000873E3">
        <w:rPr>
          <w:sz w:val="28"/>
          <w:szCs w:val="28"/>
        </w:rPr>
        <w:t>ț</w:t>
      </w:r>
      <w:r w:rsidRPr="00870FB6">
        <w:rPr>
          <w:sz w:val="28"/>
          <w:szCs w:val="28"/>
        </w:rPr>
        <w:t>i pe ac</w:t>
      </w:r>
      <w:r w:rsidR="000873E3">
        <w:rPr>
          <w:sz w:val="28"/>
          <w:szCs w:val="28"/>
        </w:rPr>
        <w:t>ț</w:t>
      </w:r>
      <w:r w:rsidRPr="00870FB6">
        <w:rPr>
          <w:sz w:val="28"/>
          <w:szCs w:val="28"/>
        </w:rPr>
        <w:t>iuni (S.A. „Moldfarm” și S.A.„Hotelul Chișinău”) atît în anul 2017</w:t>
      </w:r>
      <w:r w:rsidR="00045A4E">
        <w:rPr>
          <w:sz w:val="28"/>
          <w:szCs w:val="28"/>
        </w:rPr>
        <w:t>,</w:t>
      </w:r>
      <w:r w:rsidRPr="00870FB6">
        <w:rPr>
          <w:sz w:val="28"/>
          <w:szCs w:val="28"/>
        </w:rPr>
        <w:t xml:space="preserve"> cît și în anul 2016 nu au înregistrat venituri din vînzări. </w:t>
      </w:r>
      <w:r w:rsidR="00282703" w:rsidRPr="00870FB6">
        <w:rPr>
          <w:sz w:val="28"/>
          <w:szCs w:val="28"/>
        </w:rPr>
        <w:t xml:space="preserve">De asemenea, </w:t>
      </w:r>
      <w:r w:rsidRPr="00870FB6">
        <w:rPr>
          <w:sz w:val="28"/>
          <w:szCs w:val="28"/>
        </w:rPr>
        <w:t xml:space="preserve">S.A. „Moldcinema” </w:t>
      </w:r>
      <w:r w:rsidR="00282703" w:rsidRPr="00870FB6">
        <w:rPr>
          <w:sz w:val="28"/>
          <w:szCs w:val="28"/>
        </w:rPr>
        <w:t xml:space="preserve">în anul 2017 nu înregistrează venituri din vînzări, în timp ce </w:t>
      </w:r>
      <w:r w:rsidR="00A728CB" w:rsidRPr="00870FB6">
        <w:rPr>
          <w:sz w:val="28"/>
          <w:szCs w:val="28"/>
        </w:rPr>
        <w:t>în anul 2016 societatea înregistrează venituri de 0,7 mil. lei.</w:t>
      </w:r>
      <w:r w:rsidRPr="00870FB6">
        <w:rPr>
          <w:sz w:val="28"/>
          <w:szCs w:val="28"/>
        </w:rPr>
        <w:t xml:space="preserve"> </w:t>
      </w:r>
    </w:p>
    <w:p w:rsidR="0093252B" w:rsidRPr="00870FB6" w:rsidRDefault="00282703" w:rsidP="00282703">
      <w:pPr>
        <w:tabs>
          <w:tab w:val="left" w:pos="567"/>
        </w:tabs>
        <w:spacing w:line="276" w:lineRule="auto"/>
        <w:jc w:val="both"/>
        <w:rPr>
          <w:sz w:val="28"/>
          <w:szCs w:val="28"/>
        </w:rPr>
      </w:pPr>
      <w:r w:rsidRPr="00870FB6">
        <w:rPr>
          <w:sz w:val="28"/>
          <w:szCs w:val="28"/>
        </w:rPr>
        <w:tab/>
      </w:r>
      <w:r w:rsidR="0093252B" w:rsidRPr="00870FB6">
        <w:rPr>
          <w:sz w:val="28"/>
          <w:szCs w:val="28"/>
        </w:rPr>
        <w:t xml:space="preserve">Micşorarea veniturilor din vînzări atrage după sine diminuarea taxei pe valoarea adăugată încasată în bugetul de stat şi prezintă un </w:t>
      </w:r>
      <w:r w:rsidR="0093252B" w:rsidRPr="00870FB6">
        <w:rPr>
          <w:i/>
          <w:sz w:val="28"/>
          <w:szCs w:val="28"/>
        </w:rPr>
        <w:t>risc fiscal pentru bugetul public na</w:t>
      </w:r>
      <w:r w:rsidR="000873E3">
        <w:rPr>
          <w:i/>
          <w:sz w:val="28"/>
          <w:szCs w:val="28"/>
        </w:rPr>
        <w:t>ț</w:t>
      </w:r>
      <w:r w:rsidR="0093252B" w:rsidRPr="00870FB6">
        <w:rPr>
          <w:i/>
          <w:sz w:val="28"/>
          <w:szCs w:val="28"/>
        </w:rPr>
        <w:t>ional</w:t>
      </w:r>
      <w:r w:rsidR="0093252B" w:rsidRPr="00870FB6">
        <w:rPr>
          <w:sz w:val="28"/>
          <w:szCs w:val="28"/>
        </w:rPr>
        <w:t xml:space="preserve">. </w:t>
      </w:r>
    </w:p>
    <w:p w:rsidR="0093252B" w:rsidRPr="00870FB6" w:rsidRDefault="0093252B" w:rsidP="0093252B">
      <w:pPr>
        <w:spacing w:line="276" w:lineRule="auto"/>
        <w:ind w:firstLine="567"/>
        <w:jc w:val="both"/>
        <w:rPr>
          <w:sz w:val="28"/>
          <w:szCs w:val="28"/>
        </w:rPr>
      </w:pPr>
      <w:r w:rsidRPr="00870FB6">
        <w:rPr>
          <w:sz w:val="28"/>
          <w:szCs w:val="28"/>
        </w:rPr>
        <w:t>Concomitent, în perioada anului 2017 societă</w:t>
      </w:r>
      <w:r w:rsidR="000873E3">
        <w:rPr>
          <w:sz w:val="28"/>
          <w:szCs w:val="28"/>
        </w:rPr>
        <w:t>ț</w:t>
      </w:r>
      <w:r w:rsidRPr="00870FB6">
        <w:rPr>
          <w:sz w:val="28"/>
          <w:szCs w:val="28"/>
        </w:rPr>
        <w:t>ile pe ac</w:t>
      </w:r>
      <w:r w:rsidR="000873E3">
        <w:rPr>
          <w:sz w:val="28"/>
          <w:szCs w:val="28"/>
        </w:rPr>
        <w:t>ț</w:t>
      </w:r>
      <w:r w:rsidRPr="00870FB6">
        <w:rPr>
          <w:sz w:val="28"/>
          <w:szCs w:val="28"/>
        </w:rPr>
        <w:t>iuni au înregistrat cheltuieli</w:t>
      </w:r>
      <w:r w:rsidR="005B67C6">
        <w:rPr>
          <w:sz w:val="28"/>
          <w:szCs w:val="28"/>
        </w:rPr>
        <w:t xml:space="preserve"> din activitatea operațională</w:t>
      </w:r>
      <w:r w:rsidRPr="00870FB6">
        <w:rPr>
          <w:sz w:val="28"/>
          <w:szCs w:val="28"/>
        </w:rPr>
        <w:t xml:space="preserve"> în valoare de 1080,6</w:t>
      </w:r>
      <w:r w:rsidRPr="00870FB6">
        <w:rPr>
          <w:color w:val="FF0000"/>
          <w:sz w:val="28"/>
          <w:szCs w:val="28"/>
        </w:rPr>
        <w:t xml:space="preserve"> </w:t>
      </w:r>
      <w:r w:rsidRPr="00870FB6">
        <w:rPr>
          <w:sz w:val="28"/>
          <w:szCs w:val="28"/>
        </w:rPr>
        <w:t>mil. lei, acestea fiind cu 48,0 mil. lei mai mari în</w:t>
      </w:r>
      <w:r w:rsidR="005B67C6">
        <w:rPr>
          <w:sz w:val="28"/>
          <w:szCs w:val="28"/>
        </w:rPr>
        <w:t xml:space="preserve"> raport cu perioada anului 2016, dat fiind majorarea cheltuielilor</w:t>
      </w:r>
      <w:r w:rsidR="005B67C6" w:rsidRPr="00870FB6">
        <w:rPr>
          <w:sz w:val="28"/>
          <w:szCs w:val="28"/>
        </w:rPr>
        <w:t xml:space="preserve"> de distribuire </w:t>
      </w:r>
      <w:r w:rsidR="005B67C6">
        <w:rPr>
          <w:sz w:val="28"/>
          <w:szCs w:val="28"/>
        </w:rPr>
        <w:t>cu 44,5 mil. lei și cheltuielilor</w:t>
      </w:r>
      <w:r w:rsidR="005B67C6" w:rsidRPr="00870FB6">
        <w:rPr>
          <w:sz w:val="28"/>
          <w:szCs w:val="28"/>
        </w:rPr>
        <w:t xml:space="preserve"> administrative – cu 38,9 mil. lei</w:t>
      </w:r>
      <w:r w:rsidR="005B67C6">
        <w:rPr>
          <w:sz w:val="28"/>
          <w:szCs w:val="28"/>
        </w:rPr>
        <w:t>.</w:t>
      </w:r>
    </w:p>
    <w:p w:rsidR="00045A4E" w:rsidRDefault="00045A4E" w:rsidP="0093252B">
      <w:pPr>
        <w:spacing w:line="276" w:lineRule="auto"/>
        <w:ind w:firstLine="567"/>
        <w:jc w:val="both"/>
        <w:rPr>
          <w:sz w:val="28"/>
          <w:szCs w:val="28"/>
        </w:rPr>
      </w:pPr>
      <w:r w:rsidRPr="00870FB6">
        <w:rPr>
          <w:sz w:val="28"/>
          <w:szCs w:val="28"/>
        </w:rPr>
        <w:t>Din totalul cheltuielilor societă</w:t>
      </w:r>
      <w:r w:rsidR="000873E3">
        <w:rPr>
          <w:sz w:val="28"/>
          <w:szCs w:val="28"/>
        </w:rPr>
        <w:t>ț</w:t>
      </w:r>
      <w:r w:rsidRPr="00870FB6">
        <w:rPr>
          <w:sz w:val="28"/>
          <w:szCs w:val="28"/>
        </w:rPr>
        <w:t>ilor pe ac</w:t>
      </w:r>
      <w:r w:rsidR="000873E3">
        <w:rPr>
          <w:sz w:val="28"/>
          <w:szCs w:val="28"/>
        </w:rPr>
        <w:t>ț</w:t>
      </w:r>
      <w:r w:rsidRPr="00870FB6">
        <w:rPr>
          <w:sz w:val="28"/>
          <w:szCs w:val="28"/>
        </w:rPr>
        <w:t>iuni, 41,5% le revin cheltuielilor administrative (448,8 mil. lei), 40,2% - cheltuielilor de distribuire (434,6 mil. lei) şi 18,3% - altor cheltuieli din activitatea opera</w:t>
      </w:r>
      <w:r w:rsidR="000873E3">
        <w:rPr>
          <w:sz w:val="28"/>
          <w:szCs w:val="28"/>
        </w:rPr>
        <w:t>ț</w:t>
      </w:r>
      <w:r w:rsidRPr="00870FB6">
        <w:rPr>
          <w:sz w:val="28"/>
          <w:szCs w:val="28"/>
        </w:rPr>
        <w:t>ională (197,2 mil. lei).</w:t>
      </w:r>
    </w:p>
    <w:p w:rsidR="00357232" w:rsidRPr="00870FB6" w:rsidRDefault="0093252B" w:rsidP="0093252B">
      <w:pPr>
        <w:pStyle w:val="BodyTextIndent2"/>
        <w:spacing w:line="276" w:lineRule="auto"/>
        <w:ind w:firstLine="567"/>
        <w:rPr>
          <w:szCs w:val="28"/>
        </w:rPr>
      </w:pPr>
      <w:r w:rsidRPr="00870FB6">
        <w:rPr>
          <w:szCs w:val="28"/>
        </w:rPr>
        <w:t>În acest context, se remarcă faptul că în anul 2017 societă</w:t>
      </w:r>
      <w:r w:rsidR="000873E3">
        <w:rPr>
          <w:szCs w:val="28"/>
        </w:rPr>
        <w:t>ț</w:t>
      </w:r>
      <w:r w:rsidRPr="00870FB6">
        <w:rPr>
          <w:szCs w:val="28"/>
        </w:rPr>
        <w:t>ile pe ac</w:t>
      </w:r>
      <w:r w:rsidR="000873E3">
        <w:rPr>
          <w:szCs w:val="28"/>
        </w:rPr>
        <w:t>ț</w:t>
      </w:r>
      <w:r w:rsidRPr="00870FB6">
        <w:rPr>
          <w:szCs w:val="28"/>
        </w:rPr>
        <w:t xml:space="preserve">iuni au înregistrat </w:t>
      </w:r>
      <w:r w:rsidRPr="00870FB6">
        <w:rPr>
          <w:i/>
          <w:szCs w:val="28"/>
        </w:rPr>
        <w:t>profit din activitatea opera</w:t>
      </w:r>
      <w:r w:rsidR="000873E3">
        <w:rPr>
          <w:i/>
          <w:szCs w:val="28"/>
        </w:rPr>
        <w:t>ț</w:t>
      </w:r>
      <w:r w:rsidRPr="00870FB6">
        <w:rPr>
          <w:i/>
          <w:szCs w:val="28"/>
        </w:rPr>
        <w:t>ională</w:t>
      </w:r>
      <w:r w:rsidRPr="00870FB6">
        <w:rPr>
          <w:szCs w:val="28"/>
        </w:rPr>
        <w:t xml:space="preserve"> în mărime de 348,0 mil. lei sau cu                </w:t>
      </w:r>
      <w:r w:rsidRPr="00870FB6">
        <w:rPr>
          <w:szCs w:val="28"/>
        </w:rPr>
        <w:lastRenderedPageBreak/>
        <w:t>155,5 mil. lei mai mult fa</w:t>
      </w:r>
      <w:r w:rsidR="000873E3">
        <w:rPr>
          <w:szCs w:val="28"/>
        </w:rPr>
        <w:t>ț</w:t>
      </w:r>
      <w:r w:rsidRPr="00870FB6">
        <w:rPr>
          <w:szCs w:val="28"/>
        </w:rPr>
        <w:t>ă de anul 2016. În particular, remarcăm că din numărul total al societă</w:t>
      </w:r>
      <w:r w:rsidR="000873E3">
        <w:rPr>
          <w:szCs w:val="28"/>
        </w:rPr>
        <w:t>ț</w:t>
      </w:r>
      <w:r w:rsidRPr="00870FB6">
        <w:rPr>
          <w:szCs w:val="28"/>
        </w:rPr>
        <w:t>ilor pe ac</w:t>
      </w:r>
      <w:r w:rsidR="000873E3">
        <w:rPr>
          <w:szCs w:val="28"/>
        </w:rPr>
        <w:t>ț</w:t>
      </w:r>
      <w:r w:rsidRPr="00870FB6">
        <w:rPr>
          <w:szCs w:val="28"/>
        </w:rPr>
        <w:t>iuni monitorizate, 10 societă</w:t>
      </w:r>
      <w:r w:rsidR="000873E3">
        <w:rPr>
          <w:szCs w:val="28"/>
        </w:rPr>
        <w:t>ț</w:t>
      </w:r>
      <w:r w:rsidRPr="00870FB6">
        <w:rPr>
          <w:szCs w:val="28"/>
        </w:rPr>
        <w:t>i pe ac</w:t>
      </w:r>
      <w:r w:rsidR="000873E3">
        <w:rPr>
          <w:szCs w:val="28"/>
        </w:rPr>
        <w:t>ț</w:t>
      </w:r>
      <w:r w:rsidRPr="00870FB6">
        <w:rPr>
          <w:szCs w:val="28"/>
        </w:rPr>
        <w:t>iuni au înregistrat pierderi din activitatea opera</w:t>
      </w:r>
      <w:r w:rsidR="000873E3">
        <w:rPr>
          <w:szCs w:val="28"/>
        </w:rPr>
        <w:t>ț</w:t>
      </w:r>
      <w:r w:rsidR="0008031F">
        <w:rPr>
          <w:szCs w:val="28"/>
        </w:rPr>
        <w:t>ională</w:t>
      </w:r>
      <w:r w:rsidRPr="00870FB6">
        <w:rPr>
          <w:szCs w:val="28"/>
        </w:rPr>
        <w:t xml:space="preserve">. </w:t>
      </w:r>
    </w:p>
    <w:p w:rsidR="0093252B" w:rsidRPr="00870FB6" w:rsidRDefault="0093252B" w:rsidP="0093252B">
      <w:pPr>
        <w:pStyle w:val="BodyTextIndent2"/>
        <w:spacing w:line="276" w:lineRule="auto"/>
        <w:ind w:firstLine="567"/>
        <w:rPr>
          <w:szCs w:val="28"/>
        </w:rPr>
      </w:pPr>
      <w:r w:rsidRPr="00870FB6">
        <w:rPr>
          <w:szCs w:val="28"/>
        </w:rPr>
        <w:t>Concomitent, în anul 2017 societă</w:t>
      </w:r>
      <w:r w:rsidR="000873E3">
        <w:rPr>
          <w:szCs w:val="28"/>
        </w:rPr>
        <w:t>ț</w:t>
      </w:r>
      <w:r w:rsidRPr="00870FB6">
        <w:rPr>
          <w:szCs w:val="28"/>
        </w:rPr>
        <w:t>ile pe ac</w:t>
      </w:r>
      <w:r w:rsidR="000873E3">
        <w:rPr>
          <w:szCs w:val="28"/>
        </w:rPr>
        <w:t>ț</w:t>
      </w:r>
      <w:r w:rsidRPr="00870FB6">
        <w:rPr>
          <w:szCs w:val="28"/>
        </w:rPr>
        <w:t xml:space="preserve">iuni au înregistrat </w:t>
      </w:r>
      <w:r w:rsidRPr="00870FB6">
        <w:rPr>
          <w:i/>
          <w:szCs w:val="28"/>
        </w:rPr>
        <w:t>profit din alte activită</w:t>
      </w:r>
      <w:r w:rsidR="000873E3">
        <w:rPr>
          <w:i/>
          <w:szCs w:val="28"/>
        </w:rPr>
        <w:t>ț</w:t>
      </w:r>
      <w:r w:rsidRPr="00870FB6">
        <w:rPr>
          <w:i/>
          <w:szCs w:val="28"/>
        </w:rPr>
        <w:t>i</w:t>
      </w:r>
      <w:r w:rsidRPr="00870FB6">
        <w:rPr>
          <w:szCs w:val="28"/>
        </w:rPr>
        <w:t xml:space="preserve"> în mărime de 111,3 mil. lei, spre deosebire de pierderile aferente anului 2016 în mărime de 6,9 mil. lei. </w:t>
      </w:r>
    </w:p>
    <w:p w:rsidR="0093252B" w:rsidRPr="00870FB6" w:rsidRDefault="0093252B" w:rsidP="0093252B">
      <w:pPr>
        <w:pStyle w:val="BodyTextIndent2"/>
        <w:spacing w:line="276" w:lineRule="auto"/>
        <w:ind w:firstLine="539"/>
        <w:rPr>
          <w:szCs w:val="28"/>
        </w:rPr>
      </w:pPr>
      <w:r w:rsidRPr="00870FB6">
        <w:rPr>
          <w:szCs w:val="28"/>
        </w:rPr>
        <w:t>Prin urmare, în rezultatul activită</w:t>
      </w:r>
      <w:r w:rsidR="000873E3">
        <w:rPr>
          <w:szCs w:val="28"/>
        </w:rPr>
        <w:t>ț</w:t>
      </w:r>
      <w:r w:rsidRPr="00870FB6">
        <w:rPr>
          <w:szCs w:val="28"/>
        </w:rPr>
        <w:t>ii economico-financiare, în ansamblu, societă</w:t>
      </w:r>
      <w:r w:rsidR="000873E3">
        <w:rPr>
          <w:szCs w:val="28"/>
        </w:rPr>
        <w:t>ț</w:t>
      </w:r>
      <w:r w:rsidRPr="00870FB6">
        <w:rPr>
          <w:szCs w:val="28"/>
        </w:rPr>
        <w:t>ile pe ac</w:t>
      </w:r>
      <w:r w:rsidR="000873E3">
        <w:rPr>
          <w:szCs w:val="28"/>
        </w:rPr>
        <w:t>ț</w:t>
      </w:r>
      <w:r w:rsidRPr="00870FB6">
        <w:rPr>
          <w:szCs w:val="28"/>
        </w:rPr>
        <w:t>iuni au ob</w:t>
      </w:r>
      <w:r w:rsidR="000873E3">
        <w:rPr>
          <w:szCs w:val="28"/>
        </w:rPr>
        <w:t>ț</w:t>
      </w:r>
      <w:r w:rsidRPr="00870FB6">
        <w:rPr>
          <w:szCs w:val="28"/>
        </w:rPr>
        <w:t>inut profit net în mărime de 390,2 mil. lei comparativ cu profitul net în valoare de 145,5 mi</w:t>
      </w:r>
      <w:r w:rsidR="00D21506">
        <w:rPr>
          <w:szCs w:val="28"/>
        </w:rPr>
        <w:t>l. lei aferent anului precedent</w:t>
      </w:r>
      <w:r w:rsidRPr="00870FB6">
        <w:rPr>
          <w:szCs w:val="28"/>
        </w:rPr>
        <w:t>.</w:t>
      </w:r>
    </w:p>
    <w:p w:rsidR="0093252B" w:rsidRPr="00870FB6" w:rsidRDefault="0093252B" w:rsidP="0093252B">
      <w:pPr>
        <w:pStyle w:val="BodyTextIndent2"/>
        <w:spacing w:line="23" w:lineRule="atLeast"/>
        <w:ind w:firstLine="540"/>
        <w:jc w:val="right"/>
        <w:rPr>
          <w:sz w:val="20"/>
        </w:rPr>
      </w:pPr>
      <w:r w:rsidRPr="00870FB6">
        <w:rPr>
          <w:sz w:val="20"/>
        </w:rPr>
        <w:t xml:space="preserve">Tabelul </w:t>
      </w:r>
      <w:r w:rsidR="00924587">
        <w:rPr>
          <w:sz w:val="20"/>
        </w:rPr>
        <w:t>1</w:t>
      </w:r>
      <w:r w:rsidR="005B67C6">
        <w:rPr>
          <w:sz w:val="20"/>
        </w:rPr>
        <w:t>2.</w:t>
      </w:r>
      <w:r w:rsidRPr="00870FB6">
        <w:rPr>
          <w:sz w:val="20"/>
        </w:rPr>
        <w:t xml:space="preserve"> </w:t>
      </w:r>
    </w:p>
    <w:p w:rsidR="0093252B" w:rsidRPr="005B67C6" w:rsidRDefault="0093252B" w:rsidP="0093252B">
      <w:pPr>
        <w:spacing w:line="276" w:lineRule="auto"/>
        <w:jc w:val="center"/>
        <w:rPr>
          <w:b/>
          <w:i/>
          <w:sz w:val="20"/>
          <w:szCs w:val="20"/>
        </w:rPr>
      </w:pPr>
      <w:r w:rsidRPr="005B67C6">
        <w:rPr>
          <w:b/>
          <w:i/>
          <w:sz w:val="20"/>
          <w:szCs w:val="20"/>
        </w:rPr>
        <w:t>Situa</w:t>
      </w:r>
      <w:r w:rsidR="000873E3" w:rsidRPr="005B67C6">
        <w:rPr>
          <w:b/>
          <w:i/>
          <w:sz w:val="20"/>
          <w:szCs w:val="20"/>
        </w:rPr>
        <w:t>ț</w:t>
      </w:r>
      <w:r w:rsidRPr="005B67C6">
        <w:rPr>
          <w:b/>
          <w:i/>
          <w:sz w:val="20"/>
          <w:szCs w:val="20"/>
        </w:rPr>
        <w:t>ia financiară a societă</w:t>
      </w:r>
      <w:r w:rsidR="000873E3" w:rsidRPr="005B67C6">
        <w:rPr>
          <w:b/>
          <w:i/>
          <w:sz w:val="20"/>
          <w:szCs w:val="20"/>
        </w:rPr>
        <w:t>ț</w:t>
      </w:r>
      <w:r w:rsidRPr="005B67C6">
        <w:rPr>
          <w:b/>
          <w:i/>
          <w:sz w:val="20"/>
          <w:szCs w:val="20"/>
        </w:rPr>
        <w:t>ilor pe ac</w:t>
      </w:r>
      <w:r w:rsidR="000873E3" w:rsidRPr="005B67C6">
        <w:rPr>
          <w:b/>
          <w:i/>
          <w:sz w:val="20"/>
          <w:szCs w:val="20"/>
        </w:rPr>
        <w:t>ț</w:t>
      </w:r>
      <w:r w:rsidRPr="005B67C6">
        <w:rPr>
          <w:b/>
          <w:i/>
          <w:sz w:val="20"/>
          <w:szCs w:val="20"/>
        </w:rPr>
        <w:t>iuni în anul 2017</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97"/>
        <w:gridCol w:w="900"/>
        <w:gridCol w:w="1000"/>
        <w:gridCol w:w="756"/>
        <w:gridCol w:w="885"/>
        <w:gridCol w:w="885"/>
        <w:gridCol w:w="886"/>
      </w:tblGrid>
      <w:tr w:rsidR="0093252B" w:rsidRPr="00870FB6" w:rsidTr="00045A4E">
        <w:trPr>
          <w:trHeight w:val="243"/>
          <w:jc w:val="center"/>
        </w:trPr>
        <w:tc>
          <w:tcPr>
            <w:tcW w:w="1696" w:type="dxa"/>
            <w:vMerge w:val="restart"/>
            <w:shd w:val="clear" w:color="auto" w:fill="auto"/>
          </w:tcPr>
          <w:p w:rsidR="0093252B" w:rsidRPr="00870FB6" w:rsidRDefault="0093252B" w:rsidP="0093252B">
            <w:pPr>
              <w:spacing w:line="23" w:lineRule="atLeast"/>
              <w:jc w:val="center"/>
              <w:rPr>
                <w:b/>
                <w:i/>
                <w:sz w:val="18"/>
                <w:szCs w:val="18"/>
              </w:rPr>
            </w:pPr>
            <w:r w:rsidRPr="00870FB6">
              <w:rPr>
                <w:b/>
                <w:i/>
                <w:sz w:val="18"/>
                <w:szCs w:val="18"/>
              </w:rPr>
              <w:t>Entită</w:t>
            </w:r>
            <w:r w:rsidR="000873E3">
              <w:rPr>
                <w:b/>
                <w:i/>
                <w:sz w:val="18"/>
                <w:szCs w:val="18"/>
              </w:rPr>
              <w:t>ț</w:t>
            </w:r>
            <w:r w:rsidRPr="00870FB6">
              <w:rPr>
                <w:b/>
                <w:i/>
                <w:sz w:val="18"/>
                <w:szCs w:val="18"/>
              </w:rPr>
              <w:t>i economice</w:t>
            </w:r>
          </w:p>
        </w:tc>
        <w:tc>
          <w:tcPr>
            <w:tcW w:w="1997" w:type="dxa"/>
            <w:vMerge w:val="restart"/>
            <w:shd w:val="clear" w:color="auto" w:fill="auto"/>
          </w:tcPr>
          <w:p w:rsidR="0093252B" w:rsidRPr="00870FB6" w:rsidRDefault="0093252B" w:rsidP="0093252B">
            <w:pPr>
              <w:pStyle w:val="BodyTextIndent2"/>
              <w:spacing w:line="23" w:lineRule="atLeast"/>
              <w:ind w:firstLine="0"/>
              <w:jc w:val="center"/>
              <w:rPr>
                <w:b/>
                <w:i/>
                <w:sz w:val="18"/>
                <w:szCs w:val="18"/>
              </w:rPr>
            </w:pPr>
            <w:r w:rsidRPr="00870FB6">
              <w:rPr>
                <w:b/>
                <w:i/>
                <w:sz w:val="18"/>
                <w:szCs w:val="18"/>
              </w:rPr>
              <w:t>Numărul entită</w:t>
            </w:r>
            <w:r w:rsidR="000873E3">
              <w:rPr>
                <w:b/>
                <w:i/>
                <w:sz w:val="18"/>
                <w:szCs w:val="18"/>
              </w:rPr>
              <w:t>ț</w:t>
            </w:r>
            <w:r w:rsidRPr="00870FB6">
              <w:rPr>
                <w:b/>
                <w:i/>
                <w:sz w:val="18"/>
                <w:szCs w:val="18"/>
              </w:rPr>
              <w:t>ilor economice supuse analizei</w:t>
            </w:r>
          </w:p>
        </w:tc>
        <w:tc>
          <w:tcPr>
            <w:tcW w:w="2656" w:type="dxa"/>
            <w:gridSpan w:val="3"/>
            <w:shd w:val="clear" w:color="auto" w:fill="auto"/>
          </w:tcPr>
          <w:p w:rsidR="0093252B" w:rsidRPr="00870FB6" w:rsidRDefault="0093252B" w:rsidP="0093252B">
            <w:pPr>
              <w:spacing w:line="23" w:lineRule="atLeast"/>
              <w:jc w:val="center"/>
              <w:rPr>
                <w:b/>
                <w:i/>
                <w:sz w:val="18"/>
                <w:szCs w:val="18"/>
              </w:rPr>
            </w:pPr>
            <w:r w:rsidRPr="00870FB6">
              <w:rPr>
                <w:b/>
                <w:i/>
                <w:sz w:val="18"/>
                <w:szCs w:val="18"/>
              </w:rPr>
              <w:t>Au activat cu pierderi</w:t>
            </w:r>
          </w:p>
        </w:tc>
        <w:tc>
          <w:tcPr>
            <w:tcW w:w="2656" w:type="dxa"/>
            <w:gridSpan w:val="3"/>
            <w:shd w:val="clear" w:color="auto" w:fill="auto"/>
          </w:tcPr>
          <w:p w:rsidR="0093252B" w:rsidRPr="00870FB6" w:rsidRDefault="0093252B" w:rsidP="0093252B">
            <w:pPr>
              <w:spacing w:line="23" w:lineRule="atLeast"/>
              <w:jc w:val="center"/>
              <w:rPr>
                <w:b/>
                <w:i/>
                <w:sz w:val="18"/>
                <w:szCs w:val="18"/>
              </w:rPr>
            </w:pPr>
            <w:r w:rsidRPr="00870FB6">
              <w:rPr>
                <w:b/>
                <w:i/>
                <w:sz w:val="18"/>
                <w:szCs w:val="18"/>
              </w:rPr>
              <w:t>Au activat cu profit</w:t>
            </w:r>
          </w:p>
        </w:tc>
      </w:tr>
      <w:tr w:rsidR="0093252B" w:rsidRPr="00870FB6" w:rsidTr="00045A4E">
        <w:trPr>
          <w:trHeight w:val="63"/>
          <w:jc w:val="center"/>
        </w:trPr>
        <w:tc>
          <w:tcPr>
            <w:tcW w:w="1696" w:type="dxa"/>
            <w:vMerge/>
            <w:shd w:val="clear" w:color="auto" w:fill="auto"/>
          </w:tcPr>
          <w:p w:rsidR="0093252B" w:rsidRPr="00870FB6" w:rsidRDefault="0093252B" w:rsidP="0093252B">
            <w:pPr>
              <w:spacing w:line="23" w:lineRule="atLeast"/>
              <w:jc w:val="center"/>
              <w:rPr>
                <w:b/>
                <w:sz w:val="18"/>
                <w:szCs w:val="18"/>
              </w:rPr>
            </w:pPr>
          </w:p>
        </w:tc>
        <w:tc>
          <w:tcPr>
            <w:tcW w:w="1997" w:type="dxa"/>
            <w:vMerge/>
            <w:shd w:val="clear" w:color="auto" w:fill="auto"/>
          </w:tcPr>
          <w:p w:rsidR="0093252B" w:rsidRPr="00870FB6" w:rsidRDefault="0093252B" w:rsidP="0093252B">
            <w:pPr>
              <w:spacing w:line="23" w:lineRule="atLeast"/>
              <w:jc w:val="center"/>
              <w:rPr>
                <w:b/>
                <w:sz w:val="18"/>
                <w:szCs w:val="18"/>
              </w:rPr>
            </w:pPr>
          </w:p>
        </w:tc>
        <w:tc>
          <w:tcPr>
            <w:tcW w:w="900" w:type="dxa"/>
            <w:shd w:val="clear" w:color="auto" w:fill="auto"/>
          </w:tcPr>
          <w:p w:rsidR="0093252B" w:rsidRPr="00870FB6" w:rsidRDefault="0093252B" w:rsidP="0093252B">
            <w:pPr>
              <w:spacing w:line="23" w:lineRule="atLeast"/>
              <w:ind w:left="-58" w:right="-109"/>
              <w:jc w:val="center"/>
              <w:rPr>
                <w:sz w:val="18"/>
                <w:szCs w:val="18"/>
              </w:rPr>
            </w:pPr>
            <w:r w:rsidRPr="00870FB6">
              <w:rPr>
                <w:sz w:val="18"/>
                <w:szCs w:val="18"/>
              </w:rPr>
              <w:t>numărul ent. ec.</w:t>
            </w:r>
          </w:p>
        </w:tc>
        <w:tc>
          <w:tcPr>
            <w:tcW w:w="1000" w:type="dxa"/>
            <w:shd w:val="clear" w:color="auto" w:fill="auto"/>
          </w:tcPr>
          <w:p w:rsidR="0093252B" w:rsidRPr="00870FB6" w:rsidRDefault="0093252B" w:rsidP="0093252B">
            <w:pPr>
              <w:pStyle w:val="BodyTextIndent2"/>
              <w:spacing w:line="23" w:lineRule="atLeast"/>
              <w:ind w:left="-58" w:right="-109" w:firstLine="0"/>
              <w:jc w:val="center"/>
              <w:rPr>
                <w:sz w:val="18"/>
                <w:szCs w:val="18"/>
              </w:rPr>
            </w:pPr>
            <w:r w:rsidRPr="00870FB6">
              <w:rPr>
                <w:sz w:val="18"/>
                <w:szCs w:val="18"/>
              </w:rPr>
              <w:t>ponderea,</w:t>
            </w:r>
          </w:p>
          <w:p w:rsidR="0093252B" w:rsidRPr="00870FB6" w:rsidRDefault="0093252B" w:rsidP="0093252B">
            <w:pPr>
              <w:spacing w:line="23" w:lineRule="atLeast"/>
              <w:ind w:left="-58" w:right="-109"/>
              <w:jc w:val="center"/>
              <w:rPr>
                <w:sz w:val="18"/>
                <w:szCs w:val="18"/>
              </w:rPr>
            </w:pPr>
            <w:r w:rsidRPr="00870FB6">
              <w:rPr>
                <w:sz w:val="18"/>
                <w:szCs w:val="18"/>
              </w:rPr>
              <w:t>%</w:t>
            </w:r>
          </w:p>
        </w:tc>
        <w:tc>
          <w:tcPr>
            <w:tcW w:w="756" w:type="dxa"/>
            <w:shd w:val="clear" w:color="auto" w:fill="auto"/>
          </w:tcPr>
          <w:p w:rsidR="0093252B" w:rsidRPr="00870FB6" w:rsidRDefault="0093252B" w:rsidP="0093252B">
            <w:pPr>
              <w:spacing w:line="23" w:lineRule="atLeast"/>
              <w:ind w:left="-58" w:right="-109"/>
              <w:jc w:val="center"/>
              <w:rPr>
                <w:sz w:val="18"/>
                <w:szCs w:val="18"/>
              </w:rPr>
            </w:pPr>
            <w:r w:rsidRPr="00870FB6">
              <w:rPr>
                <w:sz w:val="18"/>
                <w:szCs w:val="18"/>
              </w:rPr>
              <w:t>suma, mil. lei</w:t>
            </w:r>
          </w:p>
        </w:tc>
        <w:tc>
          <w:tcPr>
            <w:tcW w:w="885" w:type="dxa"/>
            <w:shd w:val="clear" w:color="auto" w:fill="auto"/>
          </w:tcPr>
          <w:p w:rsidR="0093252B" w:rsidRPr="00870FB6" w:rsidRDefault="0093252B" w:rsidP="0093252B">
            <w:pPr>
              <w:spacing w:line="23" w:lineRule="atLeast"/>
              <w:ind w:left="-58" w:right="-109"/>
              <w:jc w:val="center"/>
              <w:rPr>
                <w:sz w:val="18"/>
                <w:szCs w:val="18"/>
              </w:rPr>
            </w:pPr>
            <w:r w:rsidRPr="00870FB6">
              <w:rPr>
                <w:sz w:val="18"/>
                <w:szCs w:val="18"/>
              </w:rPr>
              <w:t xml:space="preserve">numărul </w:t>
            </w:r>
          </w:p>
          <w:p w:rsidR="0093252B" w:rsidRPr="00870FB6" w:rsidRDefault="0093252B" w:rsidP="0093252B">
            <w:pPr>
              <w:spacing w:line="23" w:lineRule="atLeast"/>
              <w:ind w:left="-58" w:right="-109"/>
              <w:jc w:val="center"/>
              <w:rPr>
                <w:sz w:val="18"/>
                <w:szCs w:val="18"/>
              </w:rPr>
            </w:pPr>
            <w:r w:rsidRPr="00870FB6">
              <w:rPr>
                <w:sz w:val="18"/>
                <w:szCs w:val="18"/>
              </w:rPr>
              <w:t>ent. ec.</w:t>
            </w:r>
          </w:p>
        </w:tc>
        <w:tc>
          <w:tcPr>
            <w:tcW w:w="885" w:type="dxa"/>
            <w:shd w:val="clear" w:color="auto" w:fill="auto"/>
          </w:tcPr>
          <w:p w:rsidR="0093252B" w:rsidRPr="00870FB6" w:rsidRDefault="0093252B" w:rsidP="0093252B">
            <w:pPr>
              <w:pStyle w:val="BodyTextIndent2"/>
              <w:spacing w:line="23" w:lineRule="atLeast"/>
              <w:ind w:left="-58" w:right="-109" w:firstLine="0"/>
              <w:jc w:val="center"/>
              <w:rPr>
                <w:sz w:val="18"/>
                <w:szCs w:val="18"/>
              </w:rPr>
            </w:pPr>
            <w:r w:rsidRPr="00870FB6">
              <w:rPr>
                <w:sz w:val="18"/>
                <w:szCs w:val="18"/>
              </w:rPr>
              <w:t>ponderea,</w:t>
            </w:r>
          </w:p>
          <w:p w:rsidR="0093252B" w:rsidRPr="00870FB6" w:rsidRDefault="0093252B" w:rsidP="0093252B">
            <w:pPr>
              <w:spacing w:line="23" w:lineRule="atLeast"/>
              <w:ind w:left="-58" w:right="-109"/>
              <w:jc w:val="center"/>
              <w:rPr>
                <w:sz w:val="18"/>
                <w:szCs w:val="18"/>
              </w:rPr>
            </w:pPr>
            <w:r w:rsidRPr="00870FB6">
              <w:rPr>
                <w:sz w:val="18"/>
                <w:szCs w:val="18"/>
              </w:rPr>
              <w:t>%</w:t>
            </w:r>
          </w:p>
        </w:tc>
        <w:tc>
          <w:tcPr>
            <w:tcW w:w="886" w:type="dxa"/>
            <w:shd w:val="clear" w:color="auto" w:fill="auto"/>
          </w:tcPr>
          <w:p w:rsidR="0093252B" w:rsidRPr="00870FB6" w:rsidRDefault="0093252B" w:rsidP="0093252B">
            <w:pPr>
              <w:spacing w:line="23" w:lineRule="atLeast"/>
              <w:ind w:left="-58" w:right="-109"/>
              <w:jc w:val="center"/>
              <w:rPr>
                <w:sz w:val="18"/>
                <w:szCs w:val="18"/>
              </w:rPr>
            </w:pPr>
            <w:r w:rsidRPr="00870FB6">
              <w:rPr>
                <w:sz w:val="18"/>
                <w:szCs w:val="18"/>
              </w:rPr>
              <w:t>suma,  mil. lei</w:t>
            </w:r>
          </w:p>
        </w:tc>
      </w:tr>
      <w:tr w:rsidR="0093252B" w:rsidRPr="00870FB6" w:rsidTr="00045A4E">
        <w:trPr>
          <w:trHeight w:val="140"/>
          <w:jc w:val="center"/>
        </w:trPr>
        <w:tc>
          <w:tcPr>
            <w:tcW w:w="1696" w:type="dxa"/>
            <w:shd w:val="clear" w:color="auto" w:fill="auto"/>
          </w:tcPr>
          <w:p w:rsidR="0093252B" w:rsidRPr="00870FB6" w:rsidRDefault="0093252B" w:rsidP="0093252B">
            <w:pPr>
              <w:pStyle w:val="BodyTextIndent2"/>
              <w:spacing w:line="23" w:lineRule="atLeast"/>
              <w:ind w:firstLine="0"/>
              <w:jc w:val="center"/>
              <w:rPr>
                <w:sz w:val="16"/>
                <w:szCs w:val="16"/>
              </w:rPr>
            </w:pPr>
            <w:r w:rsidRPr="00870FB6">
              <w:rPr>
                <w:sz w:val="16"/>
                <w:szCs w:val="16"/>
              </w:rPr>
              <w:t>1</w:t>
            </w:r>
          </w:p>
        </w:tc>
        <w:tc>
          <w:tcPr>
            <w:tcW w:w="1997" w:type="dxa"/>
            <w:shd w:val="clear" w:color="auto" w:fill="auto"/>
          </w:tcPr>
          <w:p w:rsidR="0093252B" w:rsidRPr="00870FB6" w:rsidRDefault="0093252B" w:rsidP="0093252B">
            <w:pPr>
              <w:pStyle w:val="BodyTextIndent2"/>
              <w:spacing w:line="23" w:lineRule="atLeast"/>
              <w:ind w:firstLine="0"/>
              <w:jc w:val="center"/>
              <w:rPr>
                <w:sz w:val="16"/>
                <w:szCs w:val="16"/>
              </w:rPr>
            </w:pPr>
            <w:r w:rsidRPr="00870FB6">
              <w:rPr>
                <w:sz w:val="16"/>
                <w:szCs w:val="16"/>
              </w:rPr>
              <w:t>2</w:t>
            </w:r>
          </w:p>
        </w:tc>
        <w:tc>
          <w:tcPr>
            <w:tcW w:w="900" w:type="dxa"/>
            <w:shd w:val="clear" w:color="auto" w:fill="auto"/>
          </w:tcPr>
          <w:p w:rsidR="0093252B" w:rsidRPr="00870FB6" w:rsidRDefault="0093252B" w:rsidP="0093252B">
            <w:pPr>
              <w:spacing w:line="23" w:lineRule="atLeast"/>
              <w:jc w:val="center"/>
              <w:rPr>
                <w:sz w:val="16"/>
                <w:szCs w:val="16"/>
              </w:rPr>
            </w:pPr>
            <w:r w:rsidRPr="00870FB6">
              <w:rPr>
                <w:sz w:val="16"/>
                <w:szCs w:val="16"/>
              </w:rPr>
              <w:t>3</w:t>
            </w:r>
          </w:p>
        </w:tc>
        <w:tc>
          <w:tcPr>
            <w:tcW w:w="1000" w:type="dxa"/>
            <w:shd w:val="clear" w:color="auto" w:fill="auto"/>
          </w:tcPr>
          <w:p w:rsidR="0093252B" w:rsidRPr="00870FB6" w:rsidRDefault="0093252B" w:rsidP="0093252B">
            <w:pPr>
              <w:spacing w:line="23" w:lineRule="atLeast"/>
              <w:jc w:val="center"/>
              <w:rPr>
                <w:sz w:val="16"/>
                <w:szCs w:val="16"/>
              </w:rPr>
            </w:pPr>
            <w:r w:rsidRPr="00870FB6">
              <w:rPr>
                <w:sz w:val="16"/>
                <w:szCs w:val="16"/>
              </w:rPr>
              <w:t>4=3/2</w:t>
            </w:r>
          </w:p>
        </w:tc>
        <w:tc>
          <w:tcPr>
            <w:tcW w:w="756" w:type="dxa"/>
            <w:shd w:val="clear" w:color="auto" w:fill="auto"/>
          </w:tcPr>
          <w:p w:rsidR="0093252B" w:rsidRPr="00870FB6" w:rsidRDefault="0093252B" w:rsidP="0093252B">
            <w:pPr>
              <w:spacing w:line="23" w:lineRule="atLeast"/>
              <w:jc w:val="center"/>
              <w:rPr>
                <w:sz w:val="16"/>
                <w:szCs w:val="16"/>
              </w:rPr>
            </w:pPr>
            <w:r w:rsidRPr="00870FB6">
              <w:rPr>
                <w:sz w:val="16"/>
                <w:szCs w:val="16"/>
              </w:rPr>
              <w:t>5</w:t>
            </w:r>
          </w:p>
        </w:tc>
        <w:tc>
          <w:tcPr>
            <w:tcW w:w="885" w:type="dxa"/>
            <w:shd w:val="clear" w:color="auto" w:fill="auto"/>
          </w:tcPr>
          <w:p w:rsidR="0093252B" w:rsidRPr="00870FB6" w:rsidRDefault="0093252B" w:rsidP="0093252B">
            <w:pPr>
              <w:spacing w:line="23" w:lineRule="atLeast"/>
              <w:jc w:val="center"/>
              <w:rPr>
                <w:sz w:val="16"/>
                <w:szCs w:val="16"/>
              </w:rPr>
            </w:pPr>
            <w:r w:rsidRPr="00870FB6">
              <w:rPr>
                <w:sz w:val="16"/>
                <w:szCs w:val="16"/>
              </w:rPr>
              <w:t>6</w:t>
            </w:r>
          </w:p>
        </w:tc>
        <w:tc>
          <w:tcPr>
            <w:tcW w:w="885" w:type="dxa"/>
            <w:shd w:val="clear" w:color="auto" w:fill="auto"/>
          </w:tcPr>
          <w:p w:rsidR="0093252B" w:rsidRPr="00870FB6" w:rsidRDefault="0093252B" w:rsidP="0093252B">
            <w:pPr>
              <w:spacing w:line="23" w:lineRule="atLeast"/>
              <w:jc w:val="center"/>
              <w:rPr>
                <w:sz w:val="16"/>
                <w:szCs w:val="16"/>
              </w:rPr>
            </w:pPr>
            <w:r w:rsidRPr="00870FB6">
              <w:rPr>
                <w:sz w:val="16"/>
                <w:szCs w:val="16"/>
              </w:rPr>
              <w:t>7=6/2</w:t>
            </w:r>
          </w:p>
        </w:tc>
        <w:tc>
          <w:tcPr>
            <w:tcW w:w="886" w:type="dxa"/>
            <w:shd w:val="clear" w:color="auto" w:fill="auto"/>
          </w:tcPr>
          <w:p w:rsidR="0093252B" w:rsidRPr="00870FB6" w:rsidRDefault="0093252B" w:rsidP="0093252B">
            <w:pPr>
              <w:spacing w:line="23" w:lineRule="atLeast"/>
              <w:jc w:val="center"/>
              <w:rPr>
                <w:sz w:val="16"/>
                <w:szCs w:val="16"/>
              </w:rPr>
            </w:pPr>
            <w:r w:rsidRPr="00870FB6">
              <w:rPr>
                <w:sz w:val="16"/>
                <w:szCs w:val="16"/>
              </w:rPr>
              <w:t>8</w:t>
            </w:r>
          </w:p>
        </w:tc>
      </w:tr>
      <w:tr w:rsidR="0093252B" w:rsidRPr="00870FB6" w:rsidTr="00045A4E">
        <w:trPr>
          <w:trHeight w:val="277"/>
          <w:jc w:val="center"/>
        </w:trPr>
        <w:tc>
          <w:tcPr>
            <w:tcW w:w="1696" w:type="dxa"/>
            <w:shd w:val="clear" w:color="auto" w:fill="auto"/>
          </w:tcPr>
          <w:p w:rsidR="0093252B" w:rsidRPr="00870FB6" w:rsidRDefault="0093252B" w:rsidP="0093252B">
            <w:pPr>
              <w:spacing w:line="23" w:lineRule="atLeast"/>
              <w:jc w:val="center"/>
              <w:rPr>
                <w:sz w:val="18"/>
                <w:szCs w:val="18"/>
              </w:rPr>
            </w:pPr>
            <w:r w:rsidRPr="00870FB6">
              <w:rPr>
                <w:sz w:val="18"/>
                <w:szCs w:val="18"/>
              </w:rPr>
              <w:t>Societă</w:t>
            </w:r>
            <w:r w:rsidR="000873E3">
              <w:rPr>
                <w:sz w:val="18"/>
                <w:szCs w:val="18"/>
              </w:rPr>
              <w:t>ț</w:t>
            </w:r>
            <w:r w:rsidRPr="00870FB6">
              <w:rPr>
                <w:sz w:val="18"/>
                <w:szCs w:val="18"/>
              </w:rPr>
              <w:t>i pe ac</w:t>
            </w:r>
            <w:r w:rsidR="000873E3">
              <w:rPr>
                <w:sz w:val="18"/>
                <w:szCs w:val="18"/>
              </w:rPr>
              <w:t>ț</w:t>
            </w:r>
            <w:r w:rsidRPr="00870FB6">
              <w:rPr>
                <w:sz w:val="18"/>
                <w:szCs w:val="18"/>
              </w:rPr>
              <w:t>iuni</w:t>
            </w:r>
          </w:p>
        </w:tc>
        <w:tc>
          <w:tcPr>
            <w:tcW w:w="1997" w:type="dxa"/>
            <w:shd w:val="clear" w:color="auto" w:fill="auto"/>
            <w:vAlign w:val="center"/>
          </w:tcPr>
          <w:p w:rsidR="0093252B" w:rsidRPr="00870FB6" w:rsidRDefault="0093252B" w:rsidP="0093252B">
            <w:pPr>
              <w:pStyle w:val="BodyTextIndent2"/>
              <w:spacing w:line="23" w:lineRule="atLeast"/>
              <w:ind w:firstLine="0"/>
              <w:jc w:val="center"/>
              <w:rPr>
                <w:sz w:val="18"/>
                <w:szCs w:val="18"/>
              </w:rPr>
            </w:pPr>
            <w:r w:rsidRPr="00870FB6">
              <w:rPr>
                <w:sz w:val="18"/>
                <w:szCs w:val="18"/>
              </w:rPr>
              <w:t>35</w:t>
            </w:r>
          </w:p>
        </w:tc>
        <w:tc>
          <w:tcPr>
            <w:tcW w:w="900" w:type="dxa"/>
            <w:shd w:val="clear" w:color="auto" w:fill="auto"/>
            <w:vAlign w:val="center"/>
          </w:tcPr>
          <w:p w:rsidR="0093252B" w:rsidRPr="00870FB6" w:rsidRDefault="0093252B" w:rsidP="0093252B">
            <w:pPr>
              <w:spacing w:line="23" w:lineRule="atLeast"/>
              <w:jc w:val="center"/>
              <w:rPr>
                <w:b/>
                <w:sz w:val="18"/>
                <w:szCs w:val="18"/>
              </w:rPr>
            </w:pPr>
            <w:r w:rsidRPr="00870FB6">
              <w:rPr>
                <w:b/>
                <w:sz w:val="18"/>
                <w:szCs w:val="18"/>
              </w:rPr>
              <w:t>8</w:t>
            </w:r>
          </w:p>
        </w:tc>
        <w:tc>
          <w:tcPr>
            <w:tcW w:w="1000" w:type="dxa"/>
            <w:shd w:val="clear" w:color="auto" w:fill="auto"/>
            <w:vAlign w:val="center"/>
          </w:tcPr>
          <w:p w:rsidR="0093252B" w:rsidRPr="00870FB6" w:rsidRDefault="0093252B" w:rsidP="0093252B">
            <w:pPr>
              <w:spacing w:line="23" w:lineRule="atLeast"/>
              <w:jc w:val="center"/>
              <w:rPr>
                <w:sz w:val="18"/>
                <w:szCs w:val="18"/>
              </w:rPr>
            </w:pPr>
            <w:r w:rsidRPr="00870FB6">
              <w:rPr>
                <w:sz w:val="18"/>
                <w:szCs w:val="18"/>
              </w:rPr>
              <w:t>22,9</w:t>
            </w:r>
          </w:p>
        </w:tc>
        <w:tc>
          <w:tcPr>
            <w:tcW w:w="756" w:type="dxa"/>
            <w:shd w:val="clear" w:color="auto" w:fill="auto"/>
            <w:vAlign w:val="center"/>
          </w:tcPr>
          <w:p w:rsidR="0093252B" w:rsidRPr="00870FB6" w:rsidRDefault="0093252B" w:rsidP="0093252B">
            <w:pPr>
              <w:spacing w:line="23" w:lineRule="atLeast"/>
              <w:jc w:val="center"/>
              <w:rPr>
                <w:sz w:val="18"/>
                <w:szCs w:val="18"/>
              </w:rPr>
            </w:pPr>
            <w:r w:rsidRPr="00870FB6">
              <w:rPr>
                <w:sz w:val="18"/>
                <w:szCs w:val="18"/>
              </w:rPr>
              <w:t>47,5</w:t>
            </w:r>
          </w:p>
        </w:tc>
        <w:tc>
          <w:tcPr>
            <w:tcW w:w="885" w:type="dxa"/>
            <w:shd w:val="clear" w:color="auto" w:fill="auto"/>
            <w:vAlign w:val="center"/>
          </w:tcPr>
          <w:p w:rsidR="0093252B" w:rsidRPr="00870FB6" w:rsidRDefault="0093252B" w:rsidP="0093252B">
            <w:pPr>
              <w:spacing w:line="23" w:lineRule="atLeast"/>
              <w:jc w:val="center"/>
              <w:rPr>
                <w:b/>
                <w:sz w:val="18"/>
                <w:szCs w:val="18"/>
              </w:rPr>
            </w:pPr>
            <w:r w:rsidRPr="00870FB6">
              <w:rPr>
                <w:b/>
                <w:sz w:val="18"/>
                <w:szCs w:val="18"/>
              </w:rPr>
              <w:t>27</w:t>
            </w:r>
          </w:p>
        </w:tc>
        <w:tc>
          <w:tcPr>
            <w:tcW w:w="885" w:type="dxa"/>
            <w:shd w:val="clear" w:color="auto" w:fill="auto"/>
            <w:vAlign w:val="center"/>
          </w:tcPr>
          <w:p w:rsidR="0093252B" w:rsidRPr="00870FB6" w:rsidRDefault="0093252B" w:rsidP="0093252B">
            <w:pPr>
              <w:spacing w:line="23" w:lineRule="atLeast"/>
              <w:jc w:val="center"/>
              <w:rPr>
                <w:sz w:val="18"/>
                <w:szCs w:val="18"/>
              </w:rPr>
            </w:pPr>
            <w:r w:rsidRPr="00870FB6">
              <w:rPr>
                <w:sz w:val="18"/>
                <w:szCs w:val="18"/>
              </w:rPr>
              <w:t>77,1</w:t>
            </w:r>
          </w:p>
        </w:tc>
        <w:tc>
          <w:tcPr>
            <w:tcW w:w="886" w:type="dxa"/>
            <w:shd w:val="clear" w:color="auto" w:fill="auto"/>
            <w:vAlign w:val="center"/>
          </w:tcPr>
          <w:p w:rsidR="0093252B" w:rsidRPr="00870FB6" w:rsidRDefault="0093252B" w:rsidP="0093252B">
            <w:pPr>
              <w:spacing w:line="23" w:lineRule="atLeast"/>
              <w:jc w:val="center"/>
              <w:rPr>
                <w:sz w:val="18"/>
                <w:szCs w:val="18"/>
              </w:rPr>
            </w:pPr>
            <w:r w:rsidRPr="00870FB6">
              <w:rPr>
                <w:sz w:val="18"/>
                <w:szCs w:val="18"/>
              </w:rPr>
              <w:t>437,7</w:t>
            </w:r>
          </w:p>
        </w:tc>
      </w:tr>
    </w:tbl>
    <w:p w:rsidR="00E27FE2" w:rsidRDefault="0093252B" w:rsidP="0093252B">
      <w:pPr>
        <w:pStyle w:val="BodyText2"/>
        <w:tabs>
          <w:tab w:val="clear" w:pos="2311"/>
          <w:tab w:val="left" w:pos="567"/>
        </w:tabs>
        <w:spacing w:line="276" w:lineRule="auto"/>
        <w:rPr>
          <w:color w:val="FF0000"/>
          <w:sz w:val="28"/>
          <w:szCs w:val="28"/>
        </w:rPr>
      </w:pPr>
      <w:r w:rsidRPr="00870FB6">
        <w:rPr>
          <w:color w:val="FF0000"/>
          <w:sz w:val="28"/>
          <w:szCs w:val="28"/>
        </w:rPr>
        <w:tab/>
      </w:r>
    </w:p>
    <w:p w:rsidR="0093252B" w:rsidRPr="00870FB6" w:rsidRDefault="001C22D6" w:rsidP="0093252B">
      <w:pPr>
        <w:pStyle w:val="BodyText2"/>
        <w:tabs>
          <w:tab w:val="clear" w:pos="2311"/>
          <w:tab w:val="left" w:pos="567"/>
        </w:tabs>
        <w:spacing w:line="276" w:lineRule="auto"/>
        <w:rPr>
          <w:color w:val="FF0000"/>
          <w:sz w:val="28"/>
          <w:szCs w:val="28"/>
        </w:rPr>
      </w:pPr>
      <w:r w:rsidRPr="00870FB6">
        <w:rPr>
          <w:color w:val="FF0000"/>
          <w:sz w:val="28"/>
          <w:szCs w:val="28"/>
        </w:rPr>
        <w:tab/>
      </w:r>
      <w:r w:rsidR="0093252B" w:rsidRPr="00870FB6">
        <w:rPr>
          <w:sz w:val="28"/>
          <w:szCs w:val="28"/>
        </w:rPr>
        <w:t>Este de remarcat faptul că, în compara</w:t>
      </w:r>
      <w:r w:rsidR="000873E3">
        <w:rPr>
          <w:sz w:val="28"/>
          <w:szCs w:val="28"/>
        </w:rPr>
        <w:t>ț</w:t>
      </w:r>
      <w:r w:rsidR="0093252B" w:rsidRPr="00870FB6">
        <w:rPr>
          <w:sz w:val="28"/>
          <w:szCs w:val="28"/>
        </w:rPr>
        <w:t>ie cu situa</w:t>
      </w:r>
      <w:r w:rsidR="000873E3">
        <w:rPr>
          <w:sz w:val="28"/>
          <w:szCs w:val="28"/>
        </w:rPr>
        <w:t>ț</w:t>
      </w:r>
      <w:r w:rsidR="0093252B" w:rsidRPr="00870FB6">
        <w:rPr>
          <w:sz w:val="28"/>
          <w:szCs w:val="28"/>
        </w:rPr>
        <w:t>ia aferentă anului 2016, se atestă diminu</w:t>
      </w:r>
      <w:r w:rsidR="00D81951">
        <w:rPr>
          <w:sz w:val="28"/>
          <w:szCs w:val="28"/>
        </w:rPr>
        <w:t>area</w:t>
      </w:r>
      <w:r w:rsidR="0093252B" w:rsidRPr="00870FB6">
        <w:rPr>
          <w:sz w:val="28"/>
          <w:szCs w:val="28"/>
        </w:rPr>
        <w:t xml:space="preserve"> procentul</w:t>
      </w:r>
      <w:r w:rsidR="00D81951">
        <w:rPr>
          <w:sz w:val="28"/>
          <w:szCs w:val="28"/>
        </w:rPr>
        <w:t>ui</w:t>
      </w:r>
      <w:r w:rsidR="0093252B" w:rsidRPr="00870FB6">
        <w:rPr>
          <w:sz w:val="28"/>
          <w:szCs w:val="28"/>
        </w:rPr>
        <w:t xml:space="preserve"> societă</w:t>
      </w:r>
      <w:r w:rsidR="000873E3">
        <w:rPr>
          <w:sz w:val="28"/>
          <w:szCs w:val="28"/>
        </w:rPr>
        <w:t>ț</w:t>
      </w:r>
      <w:r w:rsidR="0093252B" w:rsidRPr="00870FB6">
        <w:rPr>
          <w:sz w:val="28"/>
          <w:szCs w:val="28"/>
        </w:rPr>
        <w:t>ilor pe ac</w:t>
      </w:r>
      <w:r w:rsidR="000873E3">
        <w:rPr>
          <w:sz w:val="28"/>
          <w:szCs w:val="28"/>
        </w:rPr>
        <w:t>ț</w:t>
      </w:r>
      <w:r w:rsidR="0093252B" w:rsidRPr="00870FB6">
        <w:rPr>
          <w:sz w:val="28"/>
          <w:szCs w:val="28"/>
        </w:rPr>
        <w:t>iuni care au activat cu pierderi (de la</w:t>
      </w:r>
      <w:r w:rsidR="00D81951">
        <w:rPr>
          <w:sz w:val="28"/>
          <w:szCs w:val="28"/>
        </w:rPr>
        <w:t xml:space="preserve"> 29,7% la 22,9%) și majorarea</w:t>
      </w:r>
      <w:r w:rsidR="0093252B" w:rsidRPr="00870FB6">
        <w:rPr>
          <w:sz w:val="28"/>
          <w:szCs w:val="28"/>
        </w:rPr>
        <w:t xml:space="preserve"> ponder</w:t>
      </w:r>
      <w:r w:rsidR="00D81951">
        <w:rPr>
          <w:sz w:val="28"/>
          <w:szCs w:val="28"/>
        </w:rPr>
        <w:t>ii</w:t>
      </w:r>
      <w:r w:rsidR="0093252B" w:rsidRPr="00870FB6">
        <w:rPr>
          <w:sz w:val="28"/>
          <w:szCs w:val="28"/>
        </w:rPr>
        <w:t xml:space="preserve"> societă</w:t>
      </w:r>
      <w:r w:rsidR="000873E3">
        <w:rPr>
          <w:sz w:val="28"/>
          <w:szCs w:val="28"/>
        </w:rPr>
        <w:t>ț</w:t>
      </w:r>
      <w:r w:rsidR="0093252B" w:rsidRPr="00870FB6">
        <w:rPr>
          <w:sz w:val="28"/>
          <w:szCs w:val="28"/>
        </w:rPr>
        <w:t>ilor care au activat cu profit net (de la 70,3% la 77,1%).</w:t>
      </w:r>
    </w:p>
    <w:p w:rsidR="0093252B" w:rsidRPr="00870FB6" w:rsidRDefault="0093252B" w:rsidP="0093252B">
      <w:pPr>
        <w:spacing w:line="276" w:lineRule="auto"/>
        <w:ind w:firstLine="567"/>
        <w:jc w:val="both"/>
        <w:rPr>
          <w:sz w:val="28"/>
          <w:szCs w:val="28"/>
        </w:rPr>
      </w:pPr>
      <w:r w:rsidRPr="00870FB6">
        <w:rPr>
          <w:sz w:val="28"/>
          <w:szCs w:val="28"/>
        </w:rPr>
        <w:t>Din numărul total al societă</w:t>
      </w:r>
      <w:r w:rsidR="000873E3">
        <w:rPr>
          <w:sz w:val="28"/>
          <w:szCs w:val="28"/>
        </w:rPr>
        <w:t>ț</w:t>
      </w:r>
      <w:r w:rsidRPr="00870FB6">
        <w:rPr>
          <w:sz w:val="28"/>
          <w:szCs w:val="28"/>
        </w:rPr>
        <w:t>ilor pe ac</w:t>
      </w:r>
      <w:r w:rsidR="000873E3">
        <w:rPr>
          <w:sz w:val="28"/>
          <w:szCs w:val="28"/>
        </w:rPr>
        <w:t>ț</w:t>
      </w:r>
      <w:r w:rsidRPr="00870FB6">
        <w:rPr>
          <w:sz w:val="28"/>
          <w:szCs w:val="28"/>
        </w:rPr>
        <w:t>iuni ce au ob</w:t>
      </w:r>
      <w:r w:rsidR="000873E3">
        <w:rPr>
          <w:sz w:val="28"/>
          <w:szCs w:val="28"/>
        </w:rPr>
        <w:t>ț</w:t>
      </w:r>
      <w:r w:rsidRPr="00870FB6">
        <w:rPr>
          <w:sz w:val="28"/>
          <w:szCs w:val="28"/>
        </w:rPr>
        <w:t>inut profit net</w:t>
      </w:r>
      <w:r w:rsidR="006A3975" w:rsidRPr="00870FB6">
        <w:rPr>
          <w:sz w:val="28"/>
          <w:szCs w:val="28"/>
        </w:rPr>
        <w:t xml:space="preserve"> (27 societă</w:t>
      </w:r>
      <w:r w:rsidR="000873E3">
        <w:rPr>
          <w:sz w:val="28"/>
          <w:szCs w:val="28"/>
        </w:rPr>
        <w:t>ț</w:t>
      </w:r>
      <w:r w:rsidR="006A3975" w:rsidRPr="00870FB6">
        <w:rPr>
          <w:sz w:val="28"/>
          <w:szCs w:val="28"/>
        </w:rPr>
        <w:t>i)</w:t>
      </w:r>
      <w:r w:rsidRPr="00870FB6">
        <w:rPr>
          <w:sz w:val="28"/>
          <w:szCs w:val="28"/>
        </w:rPr>
        <w:t>, 14 societă</w:t>
      </w:r>
      <w:r w:rsidR="000873E3">
        <w:rPr>
          <w:sz w:val="28"/>
          <w:szCs w:val="28"/>
        </w:rPr>
        <w:t>ț</w:t>
      </w:r>
      <w:r w:rsidRPr="00870FB6">
        <w:rPr>
          <w:sz w:val="28"/>
          <w:szCs w:val="28"/>
        </w:rPr>
        <w:t xml:space="preserve">i sau 51,9% înregistrează </w:t>
      </w:r>
      <w:r w:rsidRPr="00870FB6">
        <w:rPr>
          <w:i/>
          <w:sz w:val="28"/>
          <w:szCs w:val="28"/>
        </w:rPr>
        <w:t>profit net mai mare de 1 milion lei</w:t>
      </w:r>
      <w:r w:rsidRPr="00870FB6">
        <w:rPr>
          <w:sz w:val="28"/>
          <w:szCs w:val="28"/>
        </w:rPr>
        <w:t>. Cele mai mari profituri au fost ob</w:t>
      </w:r>
      <w:r w:rsidR="000873E3">
        <w:rPr>
          <w:sz w:val="28"/>
          <w:szCs w:val="28"/>
        </w:rPr>
        <w:t>ț</w:t>
      </w:r>
      <w:r w:rsidRPr="00870FB6">
        <w:rPr>
          <w:sz w:val="28"/>
          <w:szCs w:val="28"/>
        </w:rPr>
        <w:t xml:space="preserve">inute de către: </w:t>
      </w:r>
    </w:p>
    <w:p w:rsidR="0093252B" w:rsidRPr="00870FB6" w:rsidRDefault="0093252B" w:rsidP="00FF3911">
      <w:pPr>
        <w:pStyle w:val="BodyText2"/>
        <w:numPr>
          <w:ilvl w:val="0"/>
          <w:numId w:val="2"/>
        </w:numPr>
        <w:tabs>
          <w:tab w:val="clear" w:pos="900"/>
          <w:tab w:val="clear" w:pos="2311"/>
          <w:tab w:val="left" w:pos="600"/>
          <w:tab w:val="num" w:pos="800"/>
        </w:tabs>
        <w:spacing w:line="276" w:lineRule="auto"/>
        <w:ind w:left="800" w:hanging="233"/>
        <w:rPr>
          <w:sz w:val="28"/>
          <w:szCs w:val="28"/>
        </w:rPr>
      </w:pPr>
      <w:r w:rsidRPr="00870FB6">
        <w:rPr>
          <w:sz w:val="28"/>
          <w:szCs w:val="28"/>
        </w:rPr>
        <w:t>S.A. „Furnizarea Energiei Electrice Nord” – 114,9 mil. lei;</w:t>
      </w:r>
    </w:p>
    <w:p w:rsidR="0093252B" w:rsidRPr="00870FB6" w:rsidRDefault="0093252B" w:rsidP="00FF3911">
      <w:pPr>
        <w:pStyle w:val="BodyText2"/>
        <w:numPr>
          <w:ilvl w:val="0"/>
          <w:numId w:val="2"/>
        </w:numPr>
        <w:tabs>
          <w:tab w:val="clear" w:pos="900"/>
          <w:tab w:val="clear" w:pos="2311"/>
          <w:tab w:val="left" w:pos="600"/>
          <w:tab w:val="num" w:pos="800"/>
        </w:tabs>
        <w:spacing w:line="276" w:lineRule="auto"/>
        <w:ind w:left="800" w:hanging="233"/>
        <w:rPr>
          <w:sz w:val="28"/>
          <w:szCs w:val="28"/>
        </w:rPr>
      </w:pPr>
      <w:r w:rsidRPr="00870FB6">
        <w:rPr>
          <w:sz w:val="28"/>
          <w:szCs w:val="28"/>
        </w:rPr>
        <w:t>S.A. „RED Nord” – 99,3 mil. lei;</w:t>
      </w:r>
    </w:p>
    <w:p w:rsidR="0093252B" w:rsidRPr="00870FB6" w:rsidRDefault="0093252B" w:rsidP="00FF3911">
      <w:pPr>
        <w:pStyle w:val="BodyText2"/>
        <w:numPr>
          <w:ilvl w:val="0"/>
          <w:numId w:val="2"/>
        </w:numPr>
        <w:tabs>
          <w:tab w:val="clear" w:pos="900"/>
          <w:tab w:val="clear" w:pos="2311"/>
          <w:tab w:val="left" w:pos="600"/>
          <w:tab w:val="num" w:pos="800"/>
        </w:tabs>
        <w:spacing w:line="276" w:lineRule="auto"/>
        <w:ind w:left="800" w:hanging="233"/>
        <w:rPr>
          <w:sz w:val="28"/>
          <w:szCs w:val="28"/>
        </w:rPr>
      </w:pPr>
      <w:r w:rsidRPr="00870FB6">
        <w:rPr>
          <w:sz w:val="28"/>
          <w:szCs w:val="28"/>
        </w:rPr>
        <w:t>S.A. „Moldtelecom” – 61,9 mil. lei;</w:t>
      </w:r>
    </w:p>
    <w:p w:rsidR="0093252B" w:rsidRPr="00870FB6" w:rsidRDefault="0093252B" w:rsidP="00FF3911">
      <w:pPr>
        <w:pStyle w:val="BodyText2"/>
        <w:numPr>
          <w:ilvl w:val="0"/>
          <w:numId w:val="2"/>
        </w:numPr>
        <w:tabs>
          <w:tab w:val="clear" w:pos="900"/>
          <w:tab w:val="clear" w:pos="2311"/>
          <w:tab w:val="num" w:pos="0"/>
          <w:tab w:val="left" w:pos="600"/>
          <w:tab w:val="num" w:pos="800"/>
        </w:tabs>
        <w:spacing w:line="276" w:lineRule="auto"/>
        <w:ind w:left="0" w:firstLine="567"/>
        <w:rPr>
          <w:sz w:val="28"/>
          <w:szCs w:val="28"/>
        </w:rPr>
      </w:pPr>
      <w:r w:rsidRPr="00870FB6">
        <w:rPr>
          <w:sz w:val="28"/>
          <w:szCs w:val="28"/>
        </w:rPr>
        <w:t>S.A. „Metalferos” – 43,3 mil. lei;</w:t>
      </w:r>
    </w:p>
    <w:p w:rsidR="0093252B" w:rsidRPr="00870FB6" w:rsidRDefault="0093252B" w:rsidP="00FF3911">
      <w:pPr>
        <w:pStyle w:val="BodyText2"/>
        <w:numPr>
          <w:ilvl w:val="0"/>
          <w:numId w:val="2"/>
        </w:numPr>
        <w:tabs>
          <w:tab w:val="clear" w:pos="2311"/>
          <w:tab w:val="left" w:pos="600"/>
          <w:tab w:val="num" w:pos="800"/>
        </w:tabs>
        <w:spacing w:line="276" w:lineRule="auto"/>
        <w:rPr>
          <w:sz w:val="28"/>
          <w:szCs w:val="28"/>
        </w:rPr>
      </w:pPr>
      <w:r w:rsidRPr="00870FB6">
        <w:rPr>
          <w:sz w:val="28"/>
          <w:szCs w:val="28"/>
        </w:rPr>
        <w:t>S.A. „Combinatul de Vinuri „Cricova” – 25,5 mil. lei.</w:t>
      </w:r>
    </w:p>
    <w:p w:rsidR="0093252B" w:rsidRPr="00870FB6" w:rsidRDefault="0093252B" w:rsidP="00503442">
      <w:pPr>
        <w:pStyle w:val="BodyText2"/>
        <w:tabs>
          <w:tab w:val="clear" w:pos="2311"/>
          <w:tab w:val="left" w:pos="567"/>
        </w:tabs>
        <w:spacing w:line="276" w:lineRule="auto"/>
        <w:rPr>
          <w:sz w:val="28"/>
          <w:szCs w:val="28"/>
        </w:rPr>
      </w:pPr>
      <w:r w:rsidRPr="00870FB6">
        <w:rPr>
          <w:sz w:val="28"/>
          <w:szCs w:val="28"/>
        </w:rPr>
        <w:tab/>
        <w:t>Rentabilitatea vînzărilor (profit net/venituri din vînzări) a societă</w:t>
      </w:r>
      <w:r w:rsidR="000873E3">
        <w:rPr>
          <w:sz w:val="28"/>
          <w:szCs w:val="28"/>
        </w:rPr>
        <w:t>ț</w:t>
      </w:r>
      <w:r w:rsidRPr="00870FB6">
        <w:rPr>
          <w:sz w:val="28"/>
          <w:szCs w:val="28"/>
        </w:rPr>
        <w:t>ilor pe ac</w:t>
      </w:r>
      <w:r w:rsidR="000873E3">
        <w:rPr>
          <w:sz w:val="28"/>
          <w:szCs w:val="28"/>
        </w:rPr>
        <w:t>ț</w:t>
      </w:r>
      <w:r w:rsidRPr="00870FB6">
        <w:rPr>
          <w:sz w:val="28"/>
          <w:szCs w:val="28"/>
        </w:rPr>
        <w:t>iuni  care în anul 2017 au înregistrat profit net constituie 3,36%, ceea ce semnifică faptul că  societă</w:t>
      </w:r>
      <w:r w:rsidR="000873E3">
        <w:rPr>
          <w:sz w:val="28"/>
          <w:szCs w:val="28"/>
        </w:rPr>
        <w:t>ț</w:t>
      </w:r>
      <w:r w:rsidRPr="00870FB6">
        <w:rPr>
          <w:sz w:val="28"/>
          <w:szCs w:val="28"/>
        </w:rPr>
        <w:t>ile respective au ob</w:t>
      </w:r>
      <w:r w:rsidR="000873E3">
        <w:rPr>
          <w:sz w:val="28"/>
          <w:szCs w:val="28"/>
        </w:rPr>
        <w:t>ț</w:t>
      </w:r>
      <w:r w:rsidRPr="00870FB6">
        <w:rPr>
          <w:sz w:val="28"/>
          <w:szCs w:val="28"/>
        </w:rPr>
        <w:t>inut în anul de gestiune</w:t>
      </w:r>
      <w:r w:rsidR="00D81951">
        <w:rPr>
          <w:sz w:val="28"/>
          <w:szCs w:val="28"/>
        </w:rPr>
        <w:t xml:space="preserve"> per total</w:t>
      </w:r>
      <w:r w:rsidRPr="00870FB6">
        <w:rPr>
          <w:sz w:val="28"/>
          <w:szCs w:val="28"/>
        </w:rPr>
        <w:t xml:space="preserve"> 3,36 bani profit net la </w:t>
      </w:r>
      <w:r w:rsidR="00D81951">
        <w:rPr>
          <w:sz w:val="28"/>
          <w:szCs w:val="28"/>
        </w:rPr>
        <w:t xml:space="preserve">                </w:t>
      </w:r>
      <w:r w:rsidRPr="00870FB6">
        <w:rPr>
          <w:sz w:val="28"/>
          <w:szCs w:val="28"/>
        </w:rPr>
        <w:t>1 leu venituri din vînzări.</w:t>
      </w:r>
      <w:r w:rsidR="00503442">
        <w:rPr>
          <w:sz w:val="28"/>
          <w:szCs w:val="28"/>
        </w:rPr>
        <w:t xml:space="preserve"> </w:t>
      </w:r>
      <w:r w:rsidRPr="00870FB6">
        <w:rPr>
          <w:sz w:val="28"/>
          <w:szCs w:val="28"/>
        </w:rPr>
        <w:t>Totodată, din 27 societă</w:t>
      </w:r>
      <w:r w:rsidR="000873E3">
        <w:rPr>
          <w:sz w:val="28"/>
          <w:szCs w:val="28"/>
        </w:rPr>
        <w:t>ț</w:t>
      </w:r>
      <w:r w:rsidRPr="00870FB6">
        <w:rPr>
          <w:sz w:val="28"/>
          <w:szCs w:val="28"/>
        </w:rPr>
        <w:t>i pe ac</w:t>
      </w:r>
      <w:r w:rsidR="000873E3">
        <w:rPr>
          <w:sz w:val="28"/>
          <w:szCs w:val="28"/>
        </w:rPr>
        <w:t>ț</w:t>
      </w:r>
      <w:r w:rsidRPr="00870FB6">
        <w:rPr>
          <w:sz w:val="28"/>
          <w:szCs w:val="28"/>
        </w:rPr>
        <w:t>iuni cu profit net, 8 societă</w:t>
      </w:r>
      <w:r w:rsidR="000873E3">
        <w:rPr>
          <w:sz w:val="28"/>
          <w:szCs w:val="28"/>
        </w:rPr>
        <w:t>ț</w:t>
      </w:r>
      <w:r w:rsidRPr="00870FB6">
        <w:rPr>
          <w:sz w:val="28"/>
          <w:szCs w:val="28"/>
        </w:rPr>
        <w:t>i pe ac</w:t>
      </w:r>
      <w:r w:rsidR="000873E3">
        <w:rPr>
          <w:sz w:val="28"/>
          <w:szCs w:val="28"/>
        </w:rPr>
        <w:t>ț</w:t>
      </w:r>
      <w:r w:rsidRPr="00870FB6">
        <w:rPr>
          <w:sz w:val="28"/>
          <w:szCs w:val="28"/>
        </w:rPr>
        <w:t>iuni înregistrează în anul 2017 un profit net mai mic în raport cu valoarea înregistrată în anul 2016.</w:t>
      </w:r>
    </w:p>
    <w:p w:rsidR="0093252B" w:rsidRPr="00870FB6" w:rsidRDefault="0093252B" w:rsidP="0008031F">
      <w:pPr>
        <w:pStyle w:val="BodyText2"/>
        <w:tabs>
          <w:tab w:val="clear" w:pos="2311"/>
          <w:tab w:val="left" w:pos="567"/>
          <w:tab w:val="left" w:pos="709"/>
        </w:tabs>
        <w:spacing w:line="276" w:lineRule="auto"/>
        <w:rPr>
          <w:sz w:val="28"/>
          <w:szCs w:val="28"/>
        </w:rPr>
      </w:pPr>
      <w:r w:rsidRPr="00870FB6">
        <w:rPr>
          <w:color w:val="FF0000"/>
          <w:sz w:val="28"/>
          <w:szCs w:val="28"/>
        </w:rPr>
        <w:tab/>
      </w:r>
      <w:r w:rsidRPr="00870FB6">
        <w:rPr>
          <w:sz w:val="28"/>
          <w:szCs w:val="28"/>
        </w:rPr>
        <w:t>Din numărul total al societă</w:t>
      </w:r>
      <w:r w:rsidR="000873E3">
        <w:rPr>
          <w:sz w:val="28"/>
          <w:szCs w:val="28"/>
        </w:rPr>
        <w:t>ț</w:t>
      </w:r>
      <w:r w:rsidRPr="00870FB6">
        <w:rPr>
          <w:sz w:val="28"/>
          <w:szCs w:val="28"/>
        </w:rPr>
        <w:t>ilor pe ac</w:t>
      </w:r>
      <w:r w:rsidR="000873E3">
        <w:rPr>
          <w:sz w:val="28"/>
          <w:szCs w:val="28"/>
        </w:rPr>
        <w:t>ț</w:t>
      </w:r>
      <w:r w:rsidRPr="00870FB6">
        <w:rPr>
          <w:sz w:val="28"/>
          <w:szCs w:val="28"/>
        </w:rPr>
        <w:t>iuni ce au ob</w:t>
      </w:r>
      <w:r w:rsidR="000873E3">
        <w:rPr>
          <w:sz w:val="28"/>
          <w:szCs w:val="28"/>
        </w:rPr>
        <w:t>ț</w:t>
      </w:r>
      <w:r w:rsidRPr="00870FB6">
        <w:rPr>
          <w:sz w:val="28"/>
          <w:szCs w:val="28"/>
        </w:rPr>
        <w:t>inut pierderi nete</w:t>
      </w:r>
      <w:r w:rsidR="006A3975" w:rsidRPr="00870FB6">
        <w:rPr>
          <w:sz w:val="28"/>
          <w:szCs w:val="28"/>
        </w:rPr>
        <w:t xml:space="preserve"> (8 societă</w:t>
      </w:r>
      <w:r w:rsidR="000873E3">
        <w:rPr>
          <w:sz w:val="28"/>
          <w:szCs w:val="28"/>
        </w:rPr>
        <w:t>ț</w:t>
      </w:r>
      <w:r w:rsidR="006A3975" w:rsidRPr="00870FB6">
        <w:rPr>
          <w:sz w:val="28"/>
          <w:szCs w:val="28"/>
        </w:rPr>
        <w:t>i)</w:t>
      </w:r>
      <w:r w:rsidRPr="00870FB6">
        <w:rPr>
          <w:sz w:val="28"/>
          <w:szCs w:val="28"/>
        </w:rPr>
        <w:t>, 2 societă</w:t>
      </w:r>
      <w:r w:rsidR="000873E3">
        <w:rPr>
          <w:sz w:val="28"/>
          <w:szCs w:val="28"/>
        </w:rPr>
        <w:t>ț</w:t>
      </w:r>
      <w:r w:rsidRPr="00870FB6">
        <w:rPr>
          <w:sz w:val="28"/>
          <w:szCs w:val="28"/>
        </w:rPr>
        <w:t>i pe ac</w:t>
      </w:r>
      <w:r w:rsidR="000873E3">
        <w:rPr>
          <w:sz w:val="28"/>
          <w:szCs w:val="28"/>
        </w:rPr>
        <w:t>ț</w:t>
      </w:r>
      <w:r w:rsidRPr="00870FB6">
        <w:rPr>
          <w:sz w:val="28"/>
          <w:szCs w:val="28"/>
        </w:rPr>
        <w:t xml:space="preserve">iuni sau 25,0% au generat </w:t>
      </w:r>
      <w:r w:rsidRPr="00870FB6">
        <w:rPr>
          <w:i/>
          <w:sz w:val="28"/>
          <w:szCs w:val="28"/>
        </w:rPr>
        <w:t>pierderi nete mai mari de 1 milion lei</w:t>
      </w:r>
      <w:r w:rsidRPr="00870FB6">
        <w:rPr>
          <w:sz w:val="28"/>
          <w:szCs w:val="28"/>
        </w:rPr>
        <w:t>, și anume</w:t>
      </w:r>
      <w:r w:rsidR="00D81951">
        <w:rPr>
          <w:sz w:val="28"/>
          <w:szCs w:val="28"/>
        </w:rPr>
        <w:t>:</w:t>
      </w:r>
      <w:r w:rsidR="0008031F">
        <w:rPr>
          <w:sz w:val="28"/>
          <w:szCs w:val="28"/>
        </w:rPr>
        <w:t xml:space="preserve"> S.A. „CET Nord” – 40,4 mil. lei și </w:t>
      </w:r>
      <w:r w:rsidRPr="00870FB6">
        <w:rPr>
          <w:sz w:val="28"/>
          <w:szCs w:val="28"/>
        </w:rPr>
        <w:t>S.A. „Răut” – 5,6 mil. lei.</w:t>
      </w:r>
    </w:p>
    <w:p w:rsidR="0093252B" w:rsidRPr="00870FB6" w:rsidRDefault="0093252B" w:rsidP="0093252B">
      <w:pPr>
        <w:pStyle w:val="BodyText2"/>
        <w:tabs>
          <w:tab w:val="clear" w:pos="2311"/>
          <w:tab w:val="left" w:pos="567"/>
        </w:tabs>
        <w:spacing w:line="276" w:lineRule="auto"/>
        <w:rPr>
          <w:sz w:val="28"/>
          <w:szCs w:val="28"/>
        </w:rPr>
      </w:pPr>
      <w:r w:rsidRPr="00870FB6">
        <w:rPr>
          <w:color w:val="FF0000"/>
          <w:sz w:val="28"/>
          <w:szCs w:val="28"/>
        </w:rPr>
        <w:tab/>
      </w:r>
      <w:r w:rsidRPr="00870FB6">
        <w:rPr>
          <w:sz w:val="28"/>
          <w:szCs w:val="28"/>
        </w:rPr>
        <w:t>Concomitent, se constată că, 2 societă</w:t>
      </w:r>
      <w:r w:rsidR="000873E3">
        <w:rPr>
          <w:sz w:val="28"/>
          <w:szCs w:val="28"/>
        </w:rPr>
        <w:t>ț</w:t>
      </w:r>
      <w:r w:rsidRPr="00870FB6">
        <w:rPr>
          <w:sz w:val="28"/>
          <w:szCs w:val="28"/>
        </w:rPr>
        <w:t>i pe ac</w:t>
      </w:r>
      <w:r w:rsidR="000873E3">
        <w:rPr>
          <w:sz w:val="28"/>
          <w:szCs w:val="28"/>
        </w:rPr>
        <w:t>ț</w:t>
      </w:r>
      <w:r w:rsidRPr="00870FB6">
        <w:rPr>
          <w:sz w:val="28"/>
          <w:szCs w:val="28"/>
        </w:rPr>
        <w:t>iuni care în anul 2016, au înregistrat profit net în mărime de 0,3 mil. lei, în anul 2017 au generat pierderi nete în mărime de 0,2 mil. lei</w:t>
      </w:r>
      <w:r w:rsidR="006A3975" w:rsidRPr="00870FB6">
        <w:rPr>
          <w:sz w:val="28"/>
          <w:szCs w:val="28"/>
        </w:rPr>
        <w:t xml:space="preserve"> (206,9 mii lei)</w:t>
      </w:r>
      <w:r w:rsidRPr="00870FB6">
        <w:rPr>
          <w:sz w:val="28"/>
          <w:szCs w:val="28"/>
        </w:rPr>
        <w:t>.</w:t>
      </w:r>
    </w:p>
    <w:p w:rsidR="0093252B" w:rsidRPr="00870FB6" w:rsidRDefault="0093252B" w:rsidP="0093252B">
      <w:pPr>
        <w:spacing w:line="360" w:lineRule="auto"/>
        <w:ind w:firstLine="567"/>
        <w:jc w:val="right"/>
        <w:rPr>
          <w:sz w:val="20"/>
          <w:szCs w:val="20"/>
        </w:rPr>
      </w:pPr>
      <w:r w:rsidRPr="00870FB6">
        <w:rPr>
          <w:sz w:val="20"/>
          <w:szCs w:val="20"/>
        </w:rPr>
        <w:t xml:space="preserve">Tabelul </w:t>
      </w:r>
      <w:r w:rsidR="005B67C6">
        <w:rPr>
          <w:sz w:val="20"/>
          <w:szCs w:val="20"/>
        </w:rPr>
        <w:t>13.</w:t>
      </w:r>
    </w:p>
    <w:p w:rsidR="0093252B" w:rsidRPr="00870FB6" w:rsidRDefault="0093252B" w:rsidP="0093252B">
      <w:pPr>
        <w:ind w:firstLine="567"/>
        <w:jc w:val="center"/>
        <w:rPr>
          <w:b/>
          <w:i/>
          <w:sz w:val="20"/>
          <w:szCs w:val="20"/>
        </w:rPr>
      </w:pPr>
      <w:r w:rsidRPr="00870FB6">
        <w:rPr>
          <w:b/>
          <w:i/>
          <w:sz w:val="20"/>
          <w:szCs w:val="20"/>
        </w:rPr>
        <w:t>Societă</w:t>
      </w:r>
      <w:r w:rsidR="000873E3">
        <w:rPr>
          <w:b/>
          <w:i/>
          <w:sz w:val="20"/>
          <w:szCs w:val="20"/>
        </w:rPr>
        <w:t>ț</w:t>
      </w:r>
      <w:r w:rsidRPr="00870FB6">
        <w:rPr>
          <w:b/>
          <w:i/>
          <w:sz w:val="20"/>
          <w:szCs w:val="20"/>
        </w:rPr>
        <w:t>ile pe ac</w:t>
      </w:r>
      <w:r w:rsidR="000873E3">
        <w:rPr>
          <w:b/>
          <w:i/>
          <w:sz w:val="20"/>
          <w:szCs w:val="20"/>
        </w:rPr>
        <w:t>ț</w:t>
      </w:r>
      <w:r w:rsidRPr="00870FB6">
        <w:rPr>
          <w:b/>
          <w:i/>
          <w:sz w:val="20"/>
          <w:szCs w:val="20"/>
        </w:rPr>
        <w:t xml:space="preserve">iuni cu pierderi nete în anul 2017 </w:t>
      </w:r>
    </w:p>
    <w:p w:rsidR="0093252B" w:rsidRPr="00870FB6" w:rsidRDefault="0093252B" w:rsidP="00503442">
      <w:pPr>
        <w:ind w:firstLine="567"/>
        <w:jc w:val="center"/>
        <w:rPr>
          <w:i/>
          <w:sz w:val="20"/>
          <w:szCs w:val="20"/>
        </w:rPr>
      </w:pPr>
      <w:r w:rsidRPr="00870FB6">
        <w:rPr>
          <w:b/>
          <w:i/>
          <w:sz w:val="20"/>
          <w:szCs w:val="20"/>
        </w:rPr>
        <w:lastRenderedPageBreak/>
        <w:t>şi profit net înregistrat în anul 2016</w:t>
      </w:r>
      <w:r w:rsidR="005B67C6">
        <w:rPr>
          <w:b/>
          <w:i/>
          <w:sz w:val="20"/>
          <w:szCs w:val="20"/>
        </w:rPr>
        <w:t>, mil.</w:t>
      </w:r>
      <w:r w:rsidR="00503442">
        <w:rPr>
          <w:b/>
          <w:i/>
          <w:sz w:val="20"/>
          <w:szCs w:val="20"/>
        </w:rPr>
        <w:t xml:space="preserve"> lei</w:t>
      </w:r>
      <w:r w:rsidRPr="00870FB6">
        <w:rPr>
          <w:b/>
          <w:i/>
          <w:sz w:val="20"/>
          <w:szCs w:val="20"/>
        </w:rPr>
        <w:t xml:space="preserve"> </w:t>
      </w:r>
      <w:r w:rsidR="001A2A5D">
        <w:rPr>
          <w: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58"/>
        <w:gridCol w:w="1276"/>
        <w:gridCol w:w="1792"/>
        <w:gridCol w:w="1326"/>
      </w:tblGrid>
      <w:tr w:rsidR="0093252B" w:rsidRPr="00870FB6" w:rsidTr="001C22D6">
        <w:trPr>
          <w:jc w:val="center"/>
        </w:trPr>
        <w:tc>
          <w:tcPr>
            <w:tcW w:w="675" w:type="dxa"/>
            <w:shd w:val="clear" w:color="auto" w:fill="auto"/>
            <w:vAlign w:val="center"/>
          </w:tcPr>
          <w:p w:rsidR="0093252B" w:rsidRPr="0023156D" w:rsidRDefault="0093252B" w:rsidP="0093252B">
            <w:pPr>
              <w:spacing w:line="276" w:lineRule="auto"/>
              <w:jc w:val="center"/>
              <w:rPr>
                <w:b/>
                <w:i/>
                <w:iCs/>
                <w:sz w:val="20"/>
                <w:szCs w:val="20"/>
              </w:rPr>
            </w:pPr>
            <w:r w:rsidRPr="0023156D">
              <w:rPr>
                <w:b/>
                <w:i/>
                <w:iCs/>
                <w:sz w:val="20"/>
                <w:szCs w:val="20"/>
              </w:rPr>
              <w:t>Nr.</w:t>
            </w:r>
          </w:p>
          <w:p w:rsidR="0093252B" w:rsidRPr="0023156D" w:rsidRDefault="0093252B" w:rsidP="0093252B">
            <w:pPr>
              <w:spacing w:line="276" w:lineRule="auto"/>
              <w:jc w:val="center"/>
              <w:rPr>
                <w:b/>
                <w:i/>
                <w:iCs/>
                <w:sz w:val="20"/>
                <w:szCs w:val="20"/>
              </w:rPr>
            </w:pPr>
            <w:r w:rsidRPr="0023156D">
              <w:rPr>
                <w:b/>
                <w:i/>
                <w:iCs/>
                <w:sz w:val="20"/>
                <w:szCs w:val="20"/>
              </w:rPr>
              <w:t>d/o</w:t>
            </w:r>
          </w:p>
        </w:tc>
        <w:tc>
          <w:tcPr>
            <w:tcW w:w="4058" w:type="dxa"/>
            <w:shd w:val="clear" w:color="auto" w:fill="auto"/>
            <w:vAlign w:val="center"/>
          </w:tcPr>
          <w:p w:rsidR="0093252B" w:rsidRPr="0023156D" w:rsidRDefault="0093252B" w:rsidP="00503442">
            <w:pPr>
              <w:pStyle w:val="NoSpacing"/>
              <w:jc w:val="center"/>
              <w:rPr>
                <w:b/>
                <w:sz w:val="20"/>
                <w:szCs w:val="20"/>
              </w:rPr>
            </w:pPr>
            <w:r w:rsidRPr="0023156D">
              <w:rPr>
                <w:b/>
                <w:sz w:val="20"/>
                <w:szCs w:val="20"/>
              </w:rPr>
              <w:t>Denumirea societă</w:t>
            </w:r>
            <w:r w:rsidR="000873E3">
              <w:rPr>
                <w:b/>
                <w:sz w:val="20"/>
                <w:szCs w:val="20"/>
              </w:rPr>
              <w:t>ț</w:t>
            </w:r>
            <w:r w:rsidRPr="0023156D">
              <w:rPr>
                <w:b/>
                <w:sz w:val="20"/>
                <w:szCs w:val="20"/>
              </w:rPr>
              <w:t>ii</w:t>
            </w:r>
          </w:p>
        </w:tc>
        <w:tc>
          <w:tcPr>
            <w:tcW w:w="1276" w:type="dxa"/>
            <w:shd w:val="clear" w:color="auto" w:fill="auto"/>
            <w:vAlign w:val="center"/>
          </w:tcPr>
          <w:p w:rsidR="0093252B" w:rsidRPr="0023156D" w:rsidRDefault="0093252B" w:rsidP="00503442">
            <w:pPr>
              <w:pStyle w:val="NoSpacing"/>
              <w:jc w:val="center"/>
              <w:rPr>
                <w:b/>
                <w:sz w:val="20"/>
                <w:szCs w:val="20"/>
              </w:rPr>
            </w:pPr>
            <w:r w:rsidRPr="0023156D">
              <w:rPr>
                <w:b/>
                <w:sz w:val="20"/>
                <w:szCs w:val="20"/>
              </w:rPr>
              <w:t>Profit net,</w:t>
            </w:r>
          </w:p>
          <w:p w:rsidR="0093252B" w:rsidRPr="0023156D" w:rsidRDefault="0093252B" w:rsidP="00503442">
            <w:pPr>
              <w:pStyle w:val="NoSpacing"/>
              <w:jc w:val="center"/>
              <w:rPr>
                <w:b/>
                <w:sz w:val="20"/>
                <w:szCs w:val="20"/>
              </w:rPr>
            </w:pPr>
            <w:r w:rsidRPr="0023156D">
              <w:rPr>
                <w:b/>
                <w:sz w:val="20"/>
                <w:szCs w:val="20"/>
              </w:rPr>
              <w:t>anul 2016</w:t>
            </w:r>
          </w:p>
        </w:tc>
        <w:tc>
          <w:tcPr>
            <w:tcW w:w="1792" w:type="dxa"/>
            <w:shd w:val="clear" w:color="auto" w:fill="auto"/>
            <w:vAlign w:val="center"/>
          </w:tcPr>
          <w:p w:rsidR="0093252B" w:rsidRPr="0023156D" w:rsidRDefault="0093252B" w:rsidP="00503442">
            <w:pPr>
              <w:pStyle w:val="NoSpacing"/>
              <w:jc w:val="center"/>
              <w:rPr>
                <w:b/>
                <w:sz w:val="20"/>
                <w:szCs w:val="20"/>
              </w:rPr>
            </w:pPr>
            <w:r w:rsidRPr="0023156D">
              <w:rPr>
                <w:b/>
                <w:sz w:val="20"/>
                <w:szCs w:val="20"/>
              </w:rPr>
              <w:t>Pierdere netă,</w:t>
            </w:r>
          </w:p>
          <w:p w:rsidR="0093252B" w:rsidRPr="0023156D" w:rsidRDefault="0093252B" w:rsidP="00503442">
            <w:pPr>
              <w:pStyle w:val="NoSpacing"/>
              <w:jc w:val="center"/>
              <w:rPr>
                <w:b/>
                <w:sz w:val="20"/>
                <w:szCs w:val="20"/>
              </w:rPr>
            </w:pPr>
            <w:r w:rsidRPr="0023156D">
              <w:rPr>
                <w:b/>
                <w:sz w:val="20"/>
                <w:szCs w:val="20"/>
              </w:rPr>
              <w:t>anul 2017</w:t>
            </w:r>
          </w:p>
        </w:tc>
        <w:tc>
          <w:tcPr>
            <w:tcW w:w="1326" w:type="dxa"/>
            <w:shd w:val="clear" w:color="auto" w:fill="auto"/>
            <w:vAlign w:val="center"/>
          </w:tcPr>
          <w:p w:rsidR="0093252B" w:rsidRPr="0023156D" w:rsidRDefault="0093252B" w:rsidP="0093252B">
            <w:pPr>
              <w:spacing w:line="276" w:lineRule="auto"/>
              <w:jc w:val="center"/>
              <w:rPr>
                <w:b/>
                <w:i/>
                <w:iCs/>
                <w:sz w:val="20"/>
                <w:szCs w:val="20"/>
              </w:rPr>
            </w:pPr>
            <w:r w:rsidRPr="0023156D">
              <w:rPr>
                <w:b/>
                <w:i/>
                <w:iCs/>
                <w:sz w:val="20"/>
                <w:szCs w:val="20"/>
              </w:rPr>
              <w:t>Diferen</w:t>
            </w:r>
            <w:r w:rsidR="000873E3">
              <w:rPr>
                <w:b/>
                <w:i/>
                <w:iCs/>
                <w:sz w:val="20"/>
                <w:szCs w:val="20"/>
              </w:rPr>
              <w:t>ț</w:t>
            </w:r>
            <w:r w:rsidRPr="0023156D">
              <w:rPr>
                <w:b/>
                <w:i/>
                <w:iCs/>
                <w:sz w:val="20"/>
                <w:szCs w:val="20"/>
              </w:rPr>
              <w:t>a</w:t>
            </w:r>
          </w:p>
        </w:tc>
      </w:tr>
      <w:tr w:rsidR="0093252B" w:rsidRPr="00870FB6" w:rsidTr="001C22D6">
        <w:trPr>
          <w:jc w:val="center"/>
        </w:trPr>
        <w:tc>
          <w:tcPr>
            <w:tcW w:w="675" w:type="dxa"/>
            <w:shd w:val="clear" w:color="auto" w:fill="auto"/>
          </w:tcPr>
          <w:p w:rsidR="0093252B" w:rsidRPr="00870FB6" w:rsidRDefault="0093252B" w:rsidP="0093252B">
            <w:pPr>
              <w:spacing w:line="276" w:lineRule="auto"/>
              <w:jc w:val="center"/>
              <w:rPr>
                <w:sz w:val="20"/>
                <w:szCs w:val="20"/>
              </w:rPr>
            </w:pPr>
            <w:r w:rsidRPr="00870FB6">
              <w:rPr>
                <w:sz w:val="20"/>
                <w:szCs w:val="20"/>
              </w:rPr>
              <w:t>1.</w:t>
            </w:r>
          </w:p>
        </w:tc>
        <w:tc>
          <w:tcPr>
            <w:tcW w:w="4058" w:type="dxa"/>
            <w:shd w:val="clear" w:color="auto" w:fill="auto"/>
          </w:tcPr>
          <w:p w:rsidR="0093252B" w:rsidRPr="00870FB6" w:rsidRDefault="0093252B" w:rsidP="0093252B">
            <w:pPr>
              <w:spacing w:line="276" w:lineRule="auto"/>
              <w:rPr>
                <w:sz w:val="20"/>
                <w:szCs w:val="20"/>
              </w:rPr>
            </w:pPr>
            <w:r w:rsidRPr="00870FB6">
              <w:rPr>
                <w:sz w:val="20"/>
                <w:szCs w:val="20"/>
              </w:rPr>
              <w:t>S.A. „Moldcinema”</w:t>
            </w:r>
          </w:p>
        </w:tc>
        <w:tc>
          <w:tcPr>
            <w:tcW w:w="1276" w:type="dxa"/>
            <w:shd w:val="clear" w:color="auto" w:fill="auto"/>
          </w:tcPr>
          <w:p w:rsidR="0093252B" w:rsidRPr="00870FB6" w:rsidRDefault="0093252B" w:rsidP="0093252B">
            <w:pPr>
              <w:spacing w:line="276" w:lineRule="auto"/>
              <w:jc w:val="center"/>
              <w:rPr>
                <w:sz w:val="20"/>
                <w:szCs w:val="20"/>
              </w:rPr>
            </w:pPr>
            <w:r w:rsidRPr="00870FB6">
              <w:rPr>
                <w:sz w:val="20"/>
                <w:szCs w:val="20"/>
              </w:rPr>
              <w:t>2,9</w:t>
            </w:r>
          </w:p>
        </w:tc>
        <w:tc>
          <w:tcPr>
            <w:tcW w:w="1792" w:type="dxa"/>
            <w:shd w:val="clear" w:color="auto" w:fill="auto"/>
          </w:tcPr>
          <w:p w:rsidR="0093252B" w:rsidRPr="00870FB6" w:rsidRDefault="0093252B" w:rsidP="0093252B">
            <w:pPr>
              <w:spacing w:line="276" w:lineRule="auto"/>
              <w:jc w:val="center"/>
              <w:rPr>
                <w:sz w:val="20"/>
                <w:szCs w:val="20"/>
              </w:rPr>
            </w:pPr>
            <w:r w:rsidRPr="00870FB6">
              <w:rPr>
                <w:sz w:val="20"/>
                <w:szCs w:val="20"/>
              </w:rPr>
              <w:t>59,7</w:t>
            </w:r>
          </w:p>
        </w:tc>
        <w:tc>
          <w:tcPr>
            <w:tcW w:w="1326" w:type="dxa"/>
            <w:shd w:val="clear" w:color="auto" w:fill="auto"/>
          </w:tcPr>
          <w:p w:rsidR="0093252B" w:rsidRPr="00870FB6" w:rsidRDefault="0093252B" w:rsidP="0093252B">
            <w:pPr>
              <w:spacing w:line="276" w:lineRule="auto"/>
              <w:jc w:val="center"/>
              <w:rPr>
                <w:sz w:val="20"/>
                <w:szCs w:val="20"/>
              </w:rPr>
            </w:pPr>
            <w:r w:rsidRPr="00870FB6">
              <w:rPr>
                <w:sz w:val="20"/>
                <w:szCs w:val="20"/>
              </w:rPr>
              <w:t>-62,6</w:t>
            </w:r>
          </w:p>
        </w:tc>
      </w:tr>
      <w:tr w:rsidR="0093252B" w:rsidRPr="00870FB6" w:rsidTr="001C22D6">
        <w:trPr>
          <w:jc w:val="center"/>
        </w:trPr>
        <w:tc>
          <w:tcPr>
            <w:tcW w:w="675" w:type="dxa"/>
            <w:shd w:val="clear" w:color="auto" w:fill="auto"/>
          </w:tcPr>
          <w:p w:rsidR="0093252B" w:rsidRPr="00870FB6" w:rsidRDefault="0093252B" w:rsidP="0093252B">
            <w:pPr>
              <w:spacing w:line="276" w:lineRule="auto"/>
              <w:jc w:val="center"/>
              <w:rPr>
                <w:sz w:val="20"/>
                <w:szCs w:val="20"/>
              </w:rPr>
            </w:pPr>
            <w:r w:rsidRPr="00870FB6">
              <w:rPr>
                <w:sz w:val="20"/>
                <w:szCs w:val="20"/>
              </w:rPr>
              <w:t>2.</w:t>
            </w:r>
          </w:p>
        </w:tc>
        <w:tc>
          <w:tcPr>
            <w:tcW w:w="4058" w:type="dxa"/>
            <w:shd w:val="clear" w:color="auto" w:fill="auto"/>
          </w:tcPr>
          <w:p w:rsidR="0093252B" w:rsidRPr="00870FB6" w:rsidRDefault="0093252B" w:rsidP="0093252B">
            <w:pPr>
              <w:spacing w:line="276" w:lineRule="auto"/>
              <w:rPr>
                <w:sz w:val="20"/>
                <w:szCs w:val="20"/>
              </w:rPr>
            </w:pPr>
            <w:r w:rsidRPr="00870FB6">
              <w:rPr>
                <w:sz w:val="20"/>
                <w:szCs w:val="20"/>
              </w:rPr>
              <w:t>S.A. „Circul din Chișinău”</w:t>
            </w:r>
          </w:p>
        </w:tc>
        <w:tc>
          <w:tcPr>
            <w:tcW w:w="1276" w:type="dxa"/>
            <w:shd w:val="clear" w:color="auto" w:fill="auto"/>
          </w:tcPr>
          <w:p w:rsidR="0093252B" w:rsidRPr="00870FB6" w:rsidRDefault="0093252B" w:rsidP="0093252B">
            <w:pPr>
              <w:spacing w:line="276" w:lineRule="auto"/>
              <w:jc w:val="center"/>
              <w:rPr>
                <w:sz w:val="20"/>
                <w:szCs w:val="20"/>
              </w:rPr>
            </w:pPr>
            <w:r w:rsidRPr="00870FB6">
              <w:rPr>
                <w:sz w:val="20"/>
                <w:szCs w:val="20"/>
              </w:rPr>
              <w:t>317,8</w:t>
            </w:r>
          </w:p>
        </w:tc>
        <w:tc>
          <w:tcPr>
            <w:tcW w:w="1792" w:type="dxa"/>
            <w:shd w:val="clear" w:color="auto" w:fill="auto"/>
          </w:tcPr>
          <w:p w:rsidR="0093252B" w:rsidRPr="00870FB6" w:rsidRDefault="0093252B" w:rsidP="0093252B">
            <w:pPr>
              <w:spacing w:line="276" w:lineRule="auto"/>
              <w:jc w:val="center"/>
              <w:rPr>
                <w:sz w:val="20"/>
                <w:szCs w:val="20"/>
              </w:rPr>
            </w:pPr>
            <w:r w:rsidRPr="00870FB6">
              <w:rPr>
                <w:sz w:val="20"/>
                <w:szCs w:val="20"/>
              </w:rPr>
              <w:t>147,2</w:t>
            </w:r>
          </w:p>
        </w:tc>
        <w:tc>
          <w:tcPr>
            <w:tcW w:w="1326" w:type="dxa"/>
            <w:shd w:val="clear" w:color="auto" w:fill="auto"/>
          </w:tcPr>
          <w:p w:rsidR="0093252B" w:rsidRPr="00870FB6" w:rsidRDefault="0093252B" w:rsidP="0093252B">
            <w:pPr>
              <w:spacing w:line="276" w:lineRule="auto"/>
              <w:jc w:val="center"/>
              <w:rPr>
                <w:sz w:val="20"/>
                <w:szCs w:val="20"/>
              </w:rPr>
            </w:pPr>
            <w:r w:rsidRPr="00870FB6">
              <w:rPr>
                <w:sz w:val="20"/>
                <w:szCs w:val="20"/>
              </w:rPr>
              <w:t>-465,0</w:t>
            </w:r>
          </w:p>
        </w:tc>
      </w:tr>
    </w:tbl>
    <w:p w:rsidR="0093252B" w:rsidRPr="00870FB6" w:rsidRDefault="0093252B" w:rsidP="0093252B">
      <w:pPr>
        <w:pStyle w:val="BodyText2"/>
        <w:tabs>
          <w:tab w:val="clear" w:pos="2311"/>
          <w:tab w:val="left" w:pos="600"/>
        </w:tabs>
        <w:spacing w:line="120" w:lineRule="auto"/>
        <w:rPr>
          <w:color w:val="FF0000"/>
          <w:sz w:val="28"/>
          <w:szCs w:val="28"/>
        </w:rPr>
      </w:pPr>
    </w:p>
    <w:p w:rsidR="00045A4E" w:rsidRPr="00045A4E" w:rsidRDefault="00045A4E" w:rsidP="0093252B">
      <w:pPr>
        <w:spacing w:line="276" w:lineRule="auto"/>
        <w:ind w:firstLine="567"/>
        <w:jc w:val="both"/>
        <w:rPr>
          <w:sz w:val="10"/>
          <w:szCs w:val="10"/>
        </w:rPr>
      </w:pPr>
    </w:p>
    <w:p w:rsidR="0093252B" w:rsidRPr="00870FB6" w:rsidRDefault="0093252B" w:rsidP="0093252B">
      <w:pPr>
        <w:spacing w:line="276" w:lineRule="auto"/>
        <w:ind w:firstLine="567"/>
        <w:jc w:val="both"/>
        <w:rPr>
          <w:sz w:val="28"/>
          <w:szCs w:val="28"/>
        </w:rPr>
      </w:pPr>
      <w:r w:rsidRPr="00870FB6">
        <w:rPr>
          <w:sz w:val="28"/>
          <w:szCs w:val="28"/>
        </w:rPr>
        <w:t xml:space="preserve">Suplimentar, </w:t>
      </w:r>
      <w:r w:rsidR="00C25682">
        <w:rPr>
          <w:sz w:val="28"/>
          <w:szCs w:val="28"/>
        </w:rPr>
        <w:t xml:space="preserve">se </w:t>
      </w:r>
      <w:r w:rsidR="006A3975" w:rsidRPr="00870FB6">
        <w:rPr>
          <w:sz w:val="28"/>
          <w:szCs w:val="28"/>
        </w:rPr>
        <w:t>eviden</w:t>
      </w:r>
      <w:r w:rsidR="000873E3">
        <w:rPr>
          <w:sz w:val="28"/>
          <w:szCs w:val="28"/>
        </w:rPr>
        <w:t>ț</w:t>
      </w:r>
      <w:r w:rsidR="00C25682">
        <w:rPr>
          <w:sz w:val="28"/>
          <w:szCs w:val="28"/>
        </w:rPr>
        <w:t>iază</w:t>
      </w:r>
      <w:r w:rsidRPr="00870FB6">
        <w:rPr>
          <w:sz w:val="28"/>
          <w:szCs w:val="28"/>
        </w:rPr>
        <w:t xml:space="preserve"> că S.A. „Moldfarm” în anul 2017 a înregistrat pierderi nete de 0,2 mil. lei, în timp ce în anul </w:t>
      </w:r>
      <w:r w:rsidR="006A3975" w:rsidRPr="00870FB6">
        <w:rPr>
          <w:sz w:val="28"/>
          <w:szCs w:val="28"/>
        </w:rPr>
        <w:t>2016 nu a înregistrat rezultat</w:t>
      </w:r>
      <w:r w:rsidRPr="00870FB6">
        <w:rPr>
          <w:sz w:val="28"/>
          <w:szCs w:val="28"/>
        </w:rPr>
        <w:t xml:space="preserve"> al activită</w:t>
      </w:r>
      <w:r w:rsidR="000873E3">
        <w:rPr>
          <w:sz w:val="28"/>
          <w:szCs w:val="28"/>
        </w:rPr>
        <w:t>ț</w:t>
      </w:r>
      <w:r w:rsidRPr="00870FB6">
        <w:rPr>
          <w:sz w:val="28"/>
          <w:szCs w:val="28"/>
        </w:rPr>
        <w:t>ii, dat fiind constituirea acestei</w:t>
      </w:r>
      <w:r w:rsidR="006A3975" w:rsidRPr="00870FB6">
        <w:rPr>
          <w:sz w:val="28"/>
          <w:szCs w:val="28"/>
        </w:rPr>
        <w:t>a</w:t>
      </w:r>
      <w:r w:rsidRPr="00870FB6">
        <w:rPr>
          <w:sz w:val="28"/>
          <w:szCs w:val="28"/>
        </w:rPr>
        <w:t xml:space="preserve"> la finele anului 2016. </w:t>
      </w:r>
    </w:p>
    <w:p w:rsidR="0093252B" w:rsidRPr="00870FB6" w:rsidRDefault="0093252B" w:rsidP="0093252B">
      <w:pPr>
        <w:spacing w:line="276" w:lineRule="auto"/>
        <w:ind w:firstLine="567"/>
        <w:jc w:val="both"/>
        <w:rPr>
          <w:sz w:val="28"/>
          <w:szCs w:val="28"/>
        </w:rPr>
      </w:pPr>
      <w:r w:rsidRPr="00870FB6">
        <w:rPr>
          <w:sz w:val="28"/>
          <w:szCs w:val="28"/>
        </w:rPr>
        <w:t>Prin urmare, raportul dintre pierderea netă a societă</w:t>
      </w:r>
      <w:r w:rsidR="000873E3">
        <w:rPr>
          <w:sz w:val="28"/>
          <w:szCs w:val="28"/>
        </w:rPr>
        <w:t>ț</w:t>
      </w:r>
      <w:r w:rsidRPr="00870FB6">
        <w:rPr>
          <w:sz w:val="28"/>
          <w:szCs w:val="28"/>
        </w:rPr>
        <w:t>ilor pe ac</w:t>
      </w:r>
      <w:r w:rsidR="000873E3">
        <w:rPr>
          <w:sz w:val="28"/>
          <w:szCs w:val="28"/>
        </w:rPr>
        <w:t>ț</w:t>
      </w:r>
      <w:r w:rsidRPr="00870FB6">
        <w:rPr>
          <w:sz w:val="28"/>
          <w:szCs w:val="28"/>
        </w:rPr>
        <w:t>iuni care în anul 2017 generează pierderi nete şi veniturile din vînzări ob</w:t>
      </w:r>
      <w:r w:rsidR="000873E3">
        <w:rPr>
          <w:sz w:val="28"/>
          <w:szCs w:val="28"/>
        </w:rPr>
        <w:t>ț</w:t>
      </w:r>
      <w:r w:rsidRPr="00870FB6">
        <w:rPr>
          <w:sz w:val="28"/>
          <w:szCs w:val="28"/>
        </w:rPr>
        <w:t>inute de acestea constituie aproximativ 18,45%, ceea ce semnifică faptul că, societă</w:t>
      </w:r>
      <w:r w:rsidR="000873E3">
        <w:rPr>
          <w:sz w:val="28"/>
          <w:szCs w:val="28"/>
        </w:rPr>
        <w:t>ț</w:t>
      </w:r>
      <w:r w:rsidRPr="00870FB6">
        <w:rPr>
          <w:sz w:val="28"/>
          <w:szCs w:val="28"/>
        </w:rPr>
        <w:t xml:space="preserve">ile respective generează </w:t>
      </w:r>
      <w:r w:rsidR="00D81951">
        <w:rPr>
          <w:sz w:val="28"/>
          <w:szCs w:val="28"/>
        </w:rPr>
        <w:t xml:space="preserve">per total </w:t>
      </w:r>
      <w:r w:rsidRPr="00870FB6">
        <w:rPr>
          <w:sz w:val="28"/>
          <w:szCs w:val="28"/>
        </w:rPr>
        <w:t>18,45 bani pierderi nete la 1 leu venituri din vînzări.</w:t>
      </w:r>
    </w:p>
    <w:p w:rsidR="00D81951" w:rsidRDefault="0093252B" w:rsidP="00D81951">
      <w:pPr>
        <w:pStyle w:val="NoSpacing"/>
        <w:spacing w:line="276" w:lineRule="auto"/>
        <w:ind w:firstLine="567"/>
        <w:jc w:val="both"/>
        <w:rPr>
          <w:sz w:val="28"/>
          <w:szCs w:val="28"/>
        </w:rPr>
      </w:pPr>
      <w:r w:rsidRPr="00870FB6">
        <w:rPr>
          <w:sz w:val="28"/>
          <w:szCs w:val="28"/>
        </w:rPr>
        <w:t xml:space="preserve">La finele anului 2017, </w:t>
      </w:r>
      <w:r w:rsidRPr="005B67C6">
        <w:rPr>
          <w:i/>
          <w:sz w:val="28"/>
          <w:szCs w:val="28"/>
        </w:rPr>
        <w:t>crean</w:t>
      </w:r>
      <w:r w:rsidR="000873E3" w:rsidRPr="005B67C6">
        <w:rPr>
          <w:i/>
          <w:sz w:val="28"/>
          <w:szCs w:val="28"/>
        </w:rPr>
        <w:t>ț</w:t>
      </w:r>
      <w:r w:rsidRPr="005B67C6">
        <w:rPr>
          <w:i/>
          <w:sz w:val="28"/>
          <w:szCs w:val="28"/>
        </w:rPr>
        <w:t>ele societă</w:t>
      </w:r>
      <w:r w:rsidR="000873E3" w:rsidRPr="005B67C6">
        <w:rPr>
          <w:i/>
          <w:sz w:val="28"/>
          <w:szCs w:val="28"/>
        </w:rPr>
        <w:t>ț</w:t>
      </w:r>
      <w:r w:rsidRPr="005B67C6">
        <w:rPr>
          <w:i/>
          <w:sz w:val="28"/>
          <w:szCs w:val="28"/>
        </w:rPr>
        <w:t>ilor pe ac</w:t>
      </w:r>
      <w:r w:rsidR="000873E3" w:rsidRPr="005B67C6">
        <w:rPr>
          <w:i/>
          <w:sz w:val="28"/>
          <w:szCs w:val="28"/>
        </w:rPr>
        <w:t>ț</w:t>
      </w:r>
      <w:r w:rsidRPr="005B67C6">
        <w:rPr>
          <w:i/>
          <w:sz w:val="28"/>
          <w:szCs w:val="28"/>
        </w:rPr>
        <w:t>iuni</w:t>
      </w:r>
      <w:r w:rsidRPr="00870FB6">
        <w:rPr>
          <w:sz w:val="28"/>
          <w:szCs w:val="28"/>
        </w:rPr>
        <w:t xml:space="preserve"> constituie 3159,5 mil. lei acestea fiind cu 130,3 mil. lei mai mar</w:t>
      </w:r>
      <w:r w:rsidR="00D21506">
        <w:rPr>
          <w:sz w:val="28"/>
          <w:szCs w:val="28"/>
        </w:rPr>
        <w:t>i fa</w:t>
      </w:r>
      <w:r w:rsidR="000873E3">
        <w:rPr>
          <w:sz w:val="28"/>
          <w:szCs w:val="28"/>
        </w:rPr>
        <w:t>ț</w:t>
      </w:r>
      <w:r w:rsidR="00D21506">
        <w:rPr>
          <w:sz w:val="28"/>
          <w:szCs w:val="28"/>
        </w:rPr>
        <w:t>ă de începutul anului 2017</w:t>
      </w:r>
      <w:r w:rsidRPr="00870FB6">
        <w:rPr>
          <w:sz w:val="28"/>
          <w:szCs w:val="28"/>
        </w:rPr>
        <w:t>. Crean</w:t>
      </w:r>
      <w:r w:rsidR="000873E3">
        <w:rPr>
          <w:sz w:val="28"/>
          <w:szCs w:val="28"/>
        </w:rPr>
        <w:t>ț</w:t>
      </w:r>
      <w:r w:rsidRPr="00870FB6">
        <w:rPr>
          <w:sz w:val="28"/>
          <w:szCs w:val="28"/>
        </w:rPr>
        <w:t>ele curente constituie 81,9% sau 2586,2  mil. lei din total crean</w:t>
      </w:r>
      <w:r w:rsidR="000873E3">
        <w:rPr>
          <w:sz w:val="28"/>
          <w:szCs w:val="28"/>
        </w:rPr>
        <w:t>ț</w:t>
      </w:r>
      <w:r w:rsidRPr="00870FB6">
        <w:rPr>
          <w:sz w:val="28"/>
          <w:szCs w:val="28"/>
        </w:rPr>
        <w:t>e şi s-au majorat în raport cu începutul anului 2017 cu 132,6 mil. lei. Majorarea respectivă se explică prin majorarea considerabilă a altor crean</w:t>
      </w:r>
      <w:r w:rsidR="000873E3">
        <w:rPr>
          <w:sz w:val="28"/>
          <w:szCs w:val="28"/>
        </w:rPr>
        <w:t>ț</w:t>
      </w:r>
      <w:r w:rsidRPr="00870FB6">
        <w:rPr>
          <w:sz w:val="28"/>
          <w:szCs w:val="28"/>
        </w:rPr>
        <w:t>e curente.</w:t>
      </w:r>
      <w:r w:rsidR="00D81951" w:rsidRPr="00D81951">
        <w:rPr>
          <w:sz w:val="28"/>
          <w:szCs w:val="28"/>
        </w:rPr>
        <w:t xml:space="preserve"> </w:t>
      </w:r>
    </w:p>
    <w:p w:rsidR="00D81951" w:rsidRPr="00870FB6" w:rsidRDefault="00D81951" w:rsidP="00D81951">
      <w:pPr>
        <w:pStyle w:val="NoSpacing"/>
        <w:spacing w:line="276" w:lineRule="auto"/>
        <w:ind w:firstLine="567"/>
        <w:jc w:val="both"/>
        <w:rPr>
          <w:sz w:val="28"/>
          <w:szCs w:val="28"/>
        </w:rPr>
      </w:pPr>
      <w:r w:rsidRPr="00870FB6">
        <w:rPr>
          <w:sz w:val="28"/>
          <w:szCs w:val="28"/>
        </w:rPr>
        <w:t>Crean</w:t>
      </w:r>
      <w:r>
        <w:rPr>
          <w:sz w:val="28"/>
          <w:szCs w:val="28"/>
        </w:rPr>
        <w:t>ț</w:t>
      </w:r>
      <w:r w:rsidRPr="00870FB6">
        <w:rPr>
          <w:sz w:val="28"/>
          <w:szCs w:val="28"/>
        </w:rPr>
        <w:t>ele pe termen lung, inclusiv avansurile pe termen lung constituie 18,1% din total crean</w:t>
      </w:r>
      <w:r>
        <w:rPr>
          <w:sz w:val="28"/>
          <w:szCs w:val="28"/>
        </w:rPr>
        <w:t>ț</w:t>
      </w:r>
      <w:r w:rsidRPr="00870FB6">
        <w:rPr>
          <w:sz w:val="28"/>
          <w:szCs w:val="28"/>
        </w:rPr>
        <w:t>e sau 573,3 mil. lei, ceea ce reprezintă cu 2,3 mil. lei mai pu</w:t>
      </w:r>
      <w:r>
        <w:rPr>
          <w:sz w:val="28"/>
          <w:szCs w:val="28"/>
        </w:rPr>
        <w:t>ț</w:t>
      </w:r>
      <w:r w:rsidRPr="00870FB6">
        <w:rPr>
          <w:sz w:val="28"/>
          <w:szCs w:val="28"/>
        </w:rPr>
        <w:t>in fa</w:t>
      </w:r>
      <w:r>
        <w:rPr>
          <w:sz w:val="28"/>
          <w:szCs w:val="28"/>
        </w:rPr>
        <w:t>ț</w:t>
      </w:r>
      <w:r w:rsidRPr="00870FB6">
        <w:rPr>
          <w:sz w:val="28"/>
          <w:szCs w:val="28"/>
        </w:rPr>
        <w:t>ă de valoarea înregistrată la începutul anului 2017.</w:t>
      </w:r>
    </w:p>
    <w:p w:rsidR="0093252B" w:rsidRPr="00870FB6" w:rsidRDefault="000A59CF" w:rsidP="0093252B">
      <w:pPr>
        <w:pStyle w:val="BodyTextIndent2"/>
        <w:ind w:firstLine="0"/>
        <w:jc w:val="center"/>
        <w:rPr>
          <w:color w:val="FF0000"/>
          <w:szCs w:val="28"/>
        </w:rPr>
      </w:pPr>
      <w:r w:rsidRPr="00870FB6">
        <w:rPr>
          <w:noProof/>
          <w:color w:val="FF0000"/>
          <w:szCs w:val="28"/>
          <w:lang w:val="ru-RU"/>
        </w:rPr>
        <w:drawing>
          <wp:inline distT="0" distB="0" distL="0" distR="0">
            <wp:extent cx="5153025" cy="1447800"/>
            <wp:effectExtent l="0" t="0" r="0" b="0"/>
            <wp:docPr id="4"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252B" w:rsidRPr="00870FB6" w:rsidRDefault="005B67C6" w:rsidP="0093252B">
      <w:pPr>
        <w:pStyle w:val="BodyTextIndent2"/>
        <w:ind w:firstLine="0"/>
        <w:jc w:val="center"/>
        <w:rPr>
          <w:b/>
          <w:i/>
          <w:sz w:val="20"/>
        </w:rPr>
      </w:pPr>
      <w:r>
        <w:rPr>
          <w:b/>
          <w:i/>
          <w:sz w:val="20"/>
        </w:rPr>
        <w:t>Figura 4.</w:t>
      </w:r>
      <w:r w:rsidR="0093252B" w:rsidRPr="00870FB6">
        <w:rPr>
          <w:b/>
          <w:i/>
          <w:sz w:val="20"/>
        </w:rPr>
        <w:t xml:space="preserve"> Evolu</w:t>
      </w:r>
      <w:r w:rsidR="000873E3">
        <w:rPr>
          <w:b/>
          <w:i/>
          <w:sz w:val="20"/>
        </w:rPr>
        <w:t>ț</w:t>
      </w:r>
      <w:r w:rsidR="0093252B" w:rsidRPr="00870FB6">
        <w:rPr>
          <w:b/>
          <w:i/>
          <w:sz w:val="20"/>
        </w:rPr>
        <w:t>ia crean</w:t>
      </w:r>
      <w:r w:rsidR="000873E3">
        <w:rPr>
          <w:b/>
          <w:i/>
          <w:sz w:val="20"/>
        </w:rPr>
        <w:t>ț</w:t>
      </w:r>
      <w:r w:rsidR="0093252B" w:rsidRPr="00870FB6">
        <w:rPr>
          <w:b/>
          <w:i/>
          <w:sz w:val="20"/>
        </w:rPr>
        <w:t>elor și datoriilor societă</w:t>
      </w:r>
      <w:r w:rsidR="000873E3">
        <w:rPr>
          <w:b/>
          <w:i/>
          <w:sz w:val="20"/>
        </w:rPr>
        <w:t>ț</w:t>
      </w:r>
      <w:r w:rsidR="0093252B" w:rsidRPr="00870FB6">
        <w:rPr>
          <w:b/>
          <w:i/>
          <w:sz w:val="20"/>
        </w:rPr>
        <w:t>ilor pe ac</w:t>
      </w:r>
      <w:r w:rsidR="000873E3">
        <w:rPr>
          <w:b/>
          <w:i/>
          <w:sz w:val="20"/>
        </w:rPr>
        <w:t>ț</w:t>
      </w:r>
      <w:r w:rsidR="0093252B" w:rsidRPr="00870FB6">
        <w:rPr>
          <w:b/>
          <w:i/>
          <w:sz w:val="20"/>
        </w:rPr>
        <w:t>iuni în perioada anului 2017, mil. lei</w:t>
      </w:r>
    </w:p>
    <w:p w:rsidR="0093252B" w:rsidRPr="00870FB6" w:rsidRDefault="0093252B" w:rsidP="0093252B">
      <w:pPr>
        <w:pStyle w:val="BodyTextIndent2"/>
        <w:ind w:firstLine="0"/>
        <w:jc w:val="center"/>
        <w:rPr>
          <w:b/>
          <w:i/>
          <w:color w:val="FF0000"/>
          <w:sz w:val="20"/>
        </w:rPr>
      </w:pPr>
    </w:p>
    <w:p w:rsidR="0093252B" w:rsidRPr="00870FB6" w:rsidRDefault="0093252B" w:rsidP="0093252B">
      <w:pPr>
        <w:pStyle w:val="NoSpacing"/>
        <w:spacing w:line="276" w:lineRule="auto"/>
        <w:ind w:firstLine="567"/>
        <w:jc w:val="both"/>
        <w:rPr>
          <w:sz w:val="28"/>
          <w:szCs w:val="28"/>
        </w:rPr>
      </w:pPr>
      <w:r w:rsidRPr="00870FB6">
        <w:rPr>
          <w:sz w:val="28"/>
          <w:szCs w:val="28"/>
        </w:rPr>
        <w:t xml:space="preserve">Concomitent, pe parcursul anului 2017, </w:t>
      </w:r>
      <w:r w:rsidRPr="005B67C6">
        <w:rPr>
          <w:i/>
          <w:sz w:val="28"/>
          <w:szCs w:val="28"/>
        </w:rPr>
        <w:t>datoriile societă</w:t>
      </w:r>
      <w:r w:rsidR="000873E3" w:rsidRPr="005B67C6">
        <w:rPr>
          <w:i/>
          <w:sz w:val="28"/>
          <w:szCs w:val="28"/>
        </w:rPr>
        <w:t>ț</w:t>
      </w:r>
      <w:r w:rsidRPr="005B67C6">
        <w:rPr>
          <w:i/>
          <w:sz w:val="28"/>
          <w:szCs w:val="28"/>
        </w:rPr>
        <w:t>ilor pe ac</w:t>
      </w:r>
      <w:r w:rsidR="000873E3" w:rsidRPr="005B67C6">
        <w:rPr>
          <w:i/>
          <w:sz w:val="28"/>
          <w:szCs w:val="28"/>
        </w:rPr>
        <w:t>ț</w:t>
      </w:r>
      <w:r w:rsidRPr="005B67C6">
        <w:rPr>
          <w:i/>
          <w:sz w:val="28"/>
          <w:szCs w:val="28"/>
        </w:rPr>
        <w:t>iuni</w:t>
      </w:r>
      <w:r w:rsidRPr="00870FB6">
        <w:rPr>
          <w:sz w:val="28"/>
          <w:szCs w:val="28"/>
        </w:rPr>
        <w:t xml:space="preserve"> s-au  diminuat per total cu 218,6 mil. le</w:t>
      </w:r>
      <w:r w:rsidR="00D21506">
        <w:rPr>
          <w:sz w:val="28"/>
          <w:szCs w:val="28"/>
        </w:rPr>
        <w:t>i şi constituie 6926,0 mil. lei</w:t>
      </w:r>
      <w:r w:rsidRPr="00870FB6">
        <w:rPr>
          <w:sz w:val="28"/>
          <w:szCs w:val="28"/>
        </w:rPr>
        <w:t xml:space="preserve">. </w:t>
      </w:r>
    </w:p>
    <w:p w:rsidR="00357232" w:rsidRPr="00870FB6" w:rsidRDefault="0093252B" w:rsidP="0093252B">
      <w:pPr>
        <w:pStyle w:val="NoSpacing"/>
        <w:spacing w:line="276" w:lineRule="auto"/>
        <w:ind w:firstLine="567"/>
        <w:jc w:val="both"/>
        <w:rPr>
          <w:sz w:val="28"/>
          <w:szCs w:val="28"/>
        </w:rPr>
      </w:pPr>
      <w:r w:rsidRPr="00870FB6">
        <w:rPr>
          <w:sz w:val="28"/>
          <w:szCs w:val="28"/>
        </w:rPr>
        <w:t>Ponderea datoriilor pe termen lung în total</w:t>
      </w:r>
      <w:r w:rsidR="00E25525">
        <w:rPr>
          <w:sz w:val="28"/>
          <w:szCs w:val="28"/>
        </w:rPr>
        <w:t>ul</w:t>
      </w:r>
      <w:r w:rsidRPr="00870FB6">
        <w:rPr>
          <w:sz w:val="28"/>
          <w:szCs w:val="28"/>
        </w:rPr>
        <w:t xml:space="preserve"> datorii</w:t>
      </w:r>
      <w:r w:rsidR="00E25525">
        <w:rPr>
          <w:sz w:val="28"/>
          <w:szCs w:val="28"/>
        </w:rPr>
        <w:t>lor</w:t>
      </w:r>
      <w:r w:rsidRPr="00870FB6">
        <w:rPr>
          <w:sz w:val="28"/>
          <w:szCs w:val="28"/>
        </w:rPr>
        <w:t xml:space="preserve"> societă</w:t>
      </w:r>
      <w:r w:rsidR="000873E3">
        <w:rPr>
          <w:sz w:val="28"/>
          <w:szCs w:val="28"/>
        </w:rPr>
        <w:t>ț</w:t>
      </w:r>
      <w:r w:rsidRPr="00870FB6">
        <w:rPr>
          <w:sz w:val="28"/>
          <w:szCs w:val="28"/>
        </w:rPr>
        <w:t>ilor este de 62,2% (sau 4307,0 mil. lei). Datoriile pe termen lung s-au majorat în perioada de gestiune cu 50,1 mil. lei, ca rezultat al creşterii considerabile a împrumuturilor pe termen lung cu 175,1 mil. lei. Din totalul datoriilor pe termen lung, creditele bancare pe termen lung constituie 353,2 mil. lei sau 8,2%, împrumuturile pe termen lung - 501,2 mil. lei sau 11,6%, iar alte datorii pe termen lung -</w:t>
      </w:r>
      <w:r w:rsidR="00357232" w:rsidRPr="00870FB6">
        <w:rPr>
          <w:sz w:val="28"/>
          <w:szCs w:val="28"/>
        </w:rPr>
        <w:t xml:space="preserve"> </w:t>
      </w:r>
      <w:r w:rsidRPr="00870FB6">
        <w:rPr>
          <w:sz w:val="28"/>
          <w:szCs w:val="28"/>
        </w:rPr>
        <w:t>3452,2 mil</w:t>
      </w:r>
      <w:r w:rsidR="00357232" w:rsidRPr="00870FB6">
        <w:rPr>
          <w:sz w:val="28"/>
          <w:szCs w:val="28"/>
        </w:rPr>
        <w:t>.</w:t>
      </w:r>
      <w:r w:rsidRPr="00870FB6">
        <w:rPr>
          <w:sz w:val="28"/>
          <w:szCs w:val="28"/>
        </w:rPr>
        <w:t xml:space="preserve"> lei sau 80,2 la sută. De remarcat, că o pondere a altor datorii pe termen lung este de</w:t>
      </w:r>
      <w:r w:rsidR="000873E3">
        <w:rPr>
          <w:sz w:val="28"/>
          <w:szCs w:val="28"/>
        </w:rPr>
        <w:t>ț</w:t>
      </w:r>
      <w:r w:rsidRPr="00870FB6">
        <w:rPr>
          <w:sz w:val="28"/>
          <w:szCs w:val="28"/>
        </w:rPr>
        <w:t>inută de terenurile societă</w:t>
      </w:r>
      <w:r w:rsidR="000873E3">
        <w:rPr>
          <w:sz w:val="28"/>
          <w:szCs w:val="28"/>
        </w:rPr>
        <w:t>ț</w:t>
      </w:r>
      <w:r w:rsidRPr="00870FB6">
        <w:rPr>
          <w:sz w:val="28"/>
          <w:szCs w:val="28"/>
        </w:rPr>
        <w:t>ilor pe ac</w:t>
      </w:r>
      <w:r w:rsidR="000873E3">
        <w:rPr>
          <w:sz w:val="28"/>
          <w:szCs w:val="28"/>
        </w:rPr>
        <w:t>ț</w:t>
      </w:r>
      <w:r w:rsidRPr="00870FB6">
        <w:rPr>
          <w:sz w:val="28"/>
          <w:szCs w:val="28"/>
        </w:rPr>
        <w:t xml:space="preserve">iuni, primite în gestiune economică și care, conform </w:t>
      </w:r>
      <w:r w:rsidR="006A3975" w:rsidRPr="00870FB6">
        <w:rPr>
          <w:sz w:val="28"/>
          <w:szCs w:val="28"/>
        </w:rPr>
        <w:t>Standardelor Na</w:t>
      </w:r>
      <w:r w:rsidR="000873E3">
        <w:rPr>
          <w:sz w:val="28"/>
          <w:szCs w:val="28"/>
        </w:rPr>
        <w:t>ț</w:t>
      </w:r>
      <w:r w:rsidR="006A3975" w:rsidRPr="00870FB6">
        <w:rPr>
          <w:sz w:val="28"/>
          <w:szCs w:val="28"/>
        </w:rPr>
        <w:t xml:space="preserve">ionale de Contabilitate și </w:t>
      </w:r>
      <w:r w:rsidRPr="00870FB6">
        <w:rPr>
          <w:sz w:val="28"/>
          <w:szCs w:val="28"/>
        </w:rPr>
        <w:t xml:space="preserve">Planului general de conturi contabile, se înregistrează la compartimentul „Alte datorii de pe termen lung”. </w:t>
      </w:r>
    </w:p>
    <w:p w:rsidR="0093252B" w:rsidRPr="00870FB6" w:rsidRDefault="0093252B" w:rsidP="0093252B">
      <w:pPr>
        <w:pStyle w:val="NoSpacing"/>
        <w:spacing w:line="276" w:lineRule="auto"/>
        <w:ind w:firstLine="567"/>
        <w:jc w:val="both"/>
        <w:rPr>
          <w:sz w:val="28"/>
          <w:szCs w:val="28"/>
        </w:rPr>
      </w:pPr>
      <w:r w:rsidRPr="00870FB6">
        <w:rPr>
          <w:sz w:val="28"/>
          <w:szCs w:val="28"/>
        </w:rPr>
        <w:lastRenderedPageBreak/>
        <w:t>Datoriile curente ale societă</w:t>
      </w:r>
      <w:r w:rsidR="000873E3">
        <w:rPr>
          <w:sz w:val="28"/>
          <w:szCs w:val="28"/>
        </w:rPr>
        <w:t>ț</w:t>
      </w:r>
      <w:r w:rsidRPr="00870FB6">
        <w:rPr>
          <w:sz w:val="28"/>
          <w:szCs w:val="28"/>
        </w:rPr>
        <w:t>ilor pe ac</w:t>
      </w:r>
      <w:r w:rsidR="000873E3">
        <w:rPr>
          <w:sz w:val="28"/>
          <w:szCs w:val="28"/>
        </w:rPr>
        <w:t>ț</w:t>
      </w:r>
      <w:r w:rsidRPr="00870FB6">
        <w:rPr>
          <w:sz w:val="28"/>
          <w:szCs w:val="28"/>
        </w:rPr>
        <w:t>iuni s-au diminuat, per ansamblu, cu 268,7 mil. lei fa</w:t>
      </w:r>
      <w:r w:rsidR="000873E3">
        <w:rPr>
          <w:sz w:val="28"/>
          <w:szCs w:val="28"/>
        </w:rPr>
        <w:t>ț</w:t>
      </w:r>
      <w:r w:rsidRPr="00870FB6">
        <w:rPr>
          <w:sz w:val="28"/>
          <w:szCs w:val="28"/>
        </w:rPr>
        <w:t>ă de începutul anului 2017 şi la data raportării constituie 2619,0 mil. lei sau 37,8% din totalul datoriilor societă</w:t>
      </w:r>
      <w:r w:rsidR="000873E3">
        <w:rPr>
          <w:sz w:val="28"/>
          <w:szCs w:val="28"/>
        </w:rPr>
        <w:t>ț</w:t>
      </w:r>
      <w:r w:rsidRPr="00870FB6">
        <w:rPr>
          <w:sz w:val="28"/>
          <w:szCs w:val="28"/>
        </w:rPr>
        <w:t>ilor pe ac</w:t>
      </w:r>
      <w:r w:rsidR="000873E3">
        <w:rPr>
          <w:sz w:val="28"/>
          <w:szCs w:val="28"/>
        </w:rPr>
        <w:t>ț</w:t>
      </w:r>
      <w:r w:rsidRPr="00870FB6">
        <w:rPr>
          <w:sz w:val="28"/>
          <w:szCs w:val="28"/>
        </w:rPr>
        <w:t>iuni. Această diminuare a fost condi</w:t>
      </w:r>
      <w:r w:rsidR="000873E3">
        <w:rPr>
          <w:sz w:val="28"/>
          <w:szCs w:val="28"/>
        </w:rPr>
        <w:t>ț</w:t>
      </w:r>
      <w:r w:rsidRPr="00870FB6">
        <w:rPr>
          <w:sz w:val="28"/>
          <w:szCs w:val="28"/>
        </w:rPr>
        <w:t xml:space="preserve">ionată în special de micșorarea datoriilor comerciale cu 377,7 mil. lei, rambursarea totală a împrumuturilor pe termen scurt în sumă de 9,6 mil. lei, micșorarea </w:t>
      </w:r>
      <w:r w:rsidR="006A3975" w:rsidRPr="00870FB6">
        <w:rPr>
          <w:sz w:val="28"/>
          <w:szCs w:val="28"/>
        </w:rPr>
        <w:t xml:space="preserve"> altor datorii curente</w:t>
      </w:r>
      <w:r w:rsidRPr="00870FB6">
        <w:rPr>
          <w:sz w:val="28"/>
          <w:szCs w:val="28"/>
        </w:rPr>
        <w:t xml:space="preserve"> cu 15,2 mil. lei și a datoriilor privind asigurările sociale și medicale – cu 6,5 mil. lei.</w:t>
      </w:r>
    </w:p>
    <w:p w:rsidR="006A3975" w:rsidRPr="00870FB6" w:rsidRDefault="0093252B" w:rsidP="0093252B">
      <w:pPr>
        <w:pStyle w:val="NoSpacing"/>
        <w:spacing w:line="276" w:lineRule="auto"/>
        <w:ind w:firstLine="567"/>
        <w:jc w:val="both"/>
        <w:rPr>
          <w:sz w:val="28"/>
          <w:szCs w:val="28"/>
        </w:rPr>
      </w:pPr>
      <w:r w:rsidRPr="00870FB6">
        <w:rPr>
          <w:sz w:val="28"/>
          <w:szCs w:val="28"/>
        </w:rPr>
        <w:t>Totodată, în componen</w:t>
      </w:r>
      <w:r w:rsidR="000873E3">
        <w:rPr>
          <w:sz w:val="28"/>
          <w:szCs w:val="28"/>
        </w:rPr>
        <w:t>ț</w:t>
      </w:r>
      <w:r w:rsidRPr="00870FB6">
        <w:rPr>
          <w:sz w:val="28"/>
          <w:szCs w:val="28"/>
        </w:rPr>
        <w:t>a datoriilor curente au fost înregistrate şi majorări valorice, din care: creditele bancare pe termen scurt s-au majorat cu 38,3 mil. lei, avansurile primite curente – cu 28,6 mil. lei, datoriile fa</w:t>
      </w:r>
      <w:r w:rsidR="000873E3">
        <w:rPr>
          <w:sz w:val="28"/>
          <w:szCs w:val="28"/>
        </w:rPr>
        <w:t>ț</w:t>
      </w:r>
      <w:r w:rsidRPr="00870FB6">
        <w:rPr>
          <w:sz w:val="28"/>
          <w:szCs w:val="28"/>
        </w:rPr>
        <w:t>ă de buget</w:t>
      </w:r>
      <w:r w:rsidR="006A3975" w:rsidRPr="00870FB6">
        <w:rPr>
          <w:sz w:val="28"/>
          <w:szCs w:val="28"/>
        </w:rPr>
        <w:t xml:space="preserve"> </w:t>
      </w:r>
      <w:r w:rsidRPr="00870FB6">
        <w:rPr>
          <w:sz w:val="28"/>
          <w:szCs w:val="28"/>
        </w:rPr>
        <w:t>– cu 27,2 mil. lei</w:t>
      </w:r>
      <w:r w:rsidR="006A3975" w:rsidRPr="00870FB6">
        <w:rPr>
          <w:sz w:val="28"/>
          <w:szCs w:val="28"/>
        </w:rPr>
        <w:t xml:space="preserve"> (care includ și plă</w:t>
      </w:r>
      <w:r w:rsidR="000873E3">
        <w:rPr>
          <w:sz w:val="28"/>
          <w:szCs w:val="28"/>
        </w:rPr>
        <w:t>ț</w:t>
      </w:r>
      <w:r w:rsidR="006A3975" w:rsidRPr="00870FB6">
        <w:rPr>
          <w:sz w:val="28"/>
          <w:szCs w:val="28"/>
        </w:rPr>
        <w:t>i al căror termen de achitare nu a parvenit)</w:t>
      </w:r>
      <w:r w:rsidRPr="00870FB6">
        <w:rPr>
          <w:sz w:val="28"/>
          <w:szCs w:val="28"/>
        </w:rPr>
        <w:t>, provizioanele curente – cu 25,4 mil. lei etc.</w:t>
      </w:r>
      <w:r w:rsidR="00357232" w:rsidRPr="00870FB6">
        <w:rPr>
          <w:sz w:val="28"/>
          <w:szCs w:val="28"/>
        </w:rPr>
        <w:t xml:space="preserve"> </w:t>
      </w:r>
    </w:p>
    <w:p w:rsidR="0093252B" w:rsidRPr="00870FB6" w:rsidRDefault="00357232" w:rsidP="0093252B">
      <w:pPr>
        <w:pStyle w:val="NoSpacing"/>
        <w:spacing w:line="276" w:lineRule="auto"/>
        <w:ind w:firstLine="567"/>
        <w:jc w:val="both"/>
        <w:rPr>
          <w:sz w:val="28"/>
          <w:szCs w:val="28"/>
        </w:rPr>
      </w:pPr>
      <w:r w:rsidRPr="00870FB6">
        <w:rPr>
          <w:sz w:val="28"/>
          <w:szCs w:val="28"/>
        </w:rPr>
        <w:t>Per total autorită</w:t>
      </w:r>
      <w:r w:rsidR="000873E3">
        <w:rPr>
          <w:sz w:val="28"/>
          <w:szCs w:val="28"/>
        </w:rPr>
        <w:t>ț</w:t>
      </w:r>
      <w:r w:rsidRPr="00870FB6">
        <w:rPr>
          <w:sz w:val="28"/>
          <w:szCs w:val="28"/>
        </w:rPr>
        <w:t>i ale administra</w:t>
      </w:r>
      <w:r w:rsidR="000873E3">
        <w:rPr>
          <w:sz w:val="28"/>
          <w:szCs w:val="28"/>
        </w:rPr>
        <w:t>ț</w:t>
      </w:r>
      <w:r w:rsidRPr="00870FB6">
        <w:rPr>
          <w:sz w:val="28"/>
          <w:szCs w:val="28"/>
        </w:rPr>
        <w:t>iei</w:t>
      </w:r>
      <w:r w:rsidR="0093252B" w:rsidRPr="00870FB6">
        <w:rPr>
          <w:sz w:val="28"/>
          <w:szCs w:val="28"/>
        </w:rPr>
        <w:t xml:space="preserve"> publice care administrează societă</w:t>
      </w:r>
      <w:r w:rsidR="000873E3">
        <w:rPr>
          <w:sz w:val="28"/>
          <w:szCs w:val="28"/>
        </w:rPr>
        <w:t>ț</w:t>
      </w:r>
      <w:r w:rsidR="0093252B" w:rsidRPr="00870FB6">
        <w:rPr>
          <w:sz w:val="28"/>
          <w:szCs w:val="28"/>
        </w:rPr>
        <w:t>i pe ac</w:t>
      </w:r>
      <w:r w:rsidR="000873E3">
        <w:rPr>
          <w:sz w:val="28"/>
          <w:szCs w:val="28"/>
        </w:rPr>
        <w:t>ț</w:t>
      </w:r>
      <w:r w:rsidR="0093252B" w:rsidRPr="00870FB6">
        <w:rPr>
          <w:sz w:val="28"/>
          <w:szCs w:val="28"/>
        </w:rPr>
        <w:t>iuni</w:t>
      </w:r>
      <w:r w:rsidRPr="00870FB6">
        <w:rPr>
          <w:sz w:val="28"/>
          <w:szCs w:val="28"/>
        </w:rPr>
        <w:t>, se înregistrează diminuări</w:t>
      </w:r>
      <w:r w:rsidR="0093252B" w:rsidRPr="00870FB6">
        <w:rPr>
          <w:sz w:val="28"/>
          <w:szCs w:val="28"/>
        </w:rPr>
        <w:t xml:space="preserve"> ale datoriilor. </w:t>
      </w:r>
    </w:p>
    <w:p w:rsidR="0093252B" w:rsidRPr="00870FB6" w:rsidRDefault="00357232" w:rsidP="006A3975">
      <w:pPr>
        <w:ind w:firstLine="539"/>
        <w:jc w:val="right"/>
        <w:rPr>
          <w:sz w:val="20"/>
          <w:szCs w:val="20"/>
        </w:rPr>
      </w:pPr>
      <w:r w:rsidRPr="00870FB6">
        <w:rPr>
          <w:sz w:val="20"/>
          <w:szCs w:val="20"/>
        </w:rPr>
        <w:t xml:space="preserve">Tabelul </w:t>
      </w:r>
      <w:r w:rsidR="00924587">
        <w:rPr>
          <w:sz w:val="20"/>
          <w:szCs w:val="20"/>
        </w:rPr>
        <w:t>1</w:t>
      </w:r>
      <w:r w:rsidR="005B67C6">
        <w:rPr>
          <w:sz w:val="20"/>
          <w:szCs w:val="20"/>
        </w:rPr>
        <w:t>4.</w:t>
      </w:r>
    </w:p>
    <w:p w:rsidR="0093252B" w:rsidRPr="005B67C6" w:rsidRDefault="0093252B" w:rsidP="006A3975">
      <w:pPr>
        <w:ind w:firstLine="539"/>
        <w:jc w:val="center"/>
        <w:rPr>
          <w:b/>
          <w:i/>
          <w:sz w:val="20"/>
          <w:szCs w:val="20"/>
        </w:rPr>
      </w:pPr>
      <w:r w:rsidRPr="005B67C6">
        <w:rPr>
          <w:b/>
          <w:i/>
          <w:sz w:val="20"/>
          <w:szCs w:val="20"/>
        </w:rPr>
        <w:t>Diminuări ale datoriilor,</w:t>
      </w:r>
    </w:p>
    <w:p w:rsidR="0093252B" w:rsidRPr="005B67C6" w:rsidRDefault="0093252B" w:rsidP="006A3975">
      <w:pPr>
        <w:ind w:firstLine="539"/>
        <w:jc w:val="center"/>
        <w:rPr>
          <w:b/>
          <w:i/>
          <w:sz w:val="20"/>
          <w:szCs w:val="20"/>
        </w:rPr>
      </w:pPr>
      <w:r w:rsidRPr="005B67C6">
        <w:rPr>
          <w:b/>
          <w:i/>
          <w:sz w:val="20"/>
          <w:szCs w:val="20"/>
        </w:rPr>
        <w:t>clasificate pe autorită</w:t>
      </w:r>
      <w:r w:rsidR="000873E3" w:rsidRPr="005B67C6">
        <w:rPr>
          <w:b/>
          <w:i/>
          <w:sz w:val="20"/>
          <w:szCs w:val="20"/>
        </w:rPr>
        <w:t>ț</w:t>
      </w:r>
      <w:r w:rsidRPr="005B67C6">
        <w:rPr>
          <w:b/>
          <w:i/>
          <w:sz w:val="20"/>
          <w:szCs w:val="20"/>
        </w:rPr>
        <w:t>i ale administra</w:t>
      </w:r>
      <w:r w:rsidR="000873E3" w:rsidRPr="005B67C6">
        <w:rPr>
          <w:b/>
          <w:i/>
          <w:sz w:val="20"/>
          <w:szCs w:val="20"/>
        </w:rPr>
        <w:t>ț</w:t>
      </w:r>
      <w:r w:rsidRPr="005B67C6">
        <w:rPr>
          <w:b/>
          <w:i/>
          <w:sz w:val="20"/>
          <w:szCs w:val="20"/>
        </w:rPr>
        <w:t xml:space="preserve">iei publice </w:t>
      </w:r>
    </w:p>
    <w:p w:rsidR="006A3975" w:rsidRPr="00870FB6" w:rsidRDefault="006A3975" w:rsidP="006A3975">
      <w:pPr>
        <w:spacing w:line="120" w:lineRule="auto"/>
        <w:ind w:firstLine="539"/>
        <w:jc w:val="center"/>
        <w:rPr>
          <w:b/>
          <w:i/>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291"/>
        <w:gridCol w:w="2693"/>
      </w:tblGrid>
      <w:tr w:rsidR="0093252B" w:rsidRPr="00870FB6" w:rsidTr="0093252B">
        <w:trPr>
          <w:jc w:val="center"/>
        </w:trPr>
        <w:tc>
          <w:tcPr>
            <w:tcW w:w="666" w:type="dxa"/>
            <w:vMerge w:val="restart"/>
          </w:tcPr>
          <w:p w:rsidR="0093252B" w:rsidRPr="00870FB6" w:rsidRDefault="0093252B" w:rsidP="0093252B">
            <w:pPr>
              <w:spacing w:line="276" w:lineRule="auto"/>
              <w:jc w:val="center"/>
              <w:rPr>
                <w:b/>
                <w:i/>
                <w:iCs/>
                <w:sz w:val="20"/>
                <w:szCs w:val="20"/>
              </w:rPr>
            </w:pPr>
            <w:r w:rsidRPr="00870FB6">
              <w:rPr>
                <w:b/>
                <w:i/>
                <w:iCs/>
                <w:sz w:val="20"/>
                <w:szCs w:val="20"/>
              </w:rPr>
              <w:t>Nr.</w:t>
            </w:r>
          </w:p>
          <w:p w:rsidR="0093252B" w:rsidRPr="00870FB6" w:rsidRDefault="0093252B" w:rsidP="0093252B">
            <w:pPr>
              <w:spacing w:line="276" w:lineRule="auto"/>
              <w:jc w:val="center"/>
              <w:rPr>
                <w:b/>
                <w:i/>
                <w:iCs/>
                <w:sz w:val="20"/>
                <w:szCs w:val="20"/>
              </w:rPr>
            </w:pPr>
            <w:r w:rsidRPr="00870FB6">
              <w:rPr>
                <w:b/>
                <w:i/>
                <w:iCs/>
                <w:sz w:val="20"/>
                <w:szCs w:val="20"/>
              </w:rPr>
              <w:t>d/o</w:t>
            </w:r>
          </w:p>
        </w:tc>
        <w:tc>
          <w:tcPr>
            <w:tcW w:w="6984" w:type="dxa"/>
            <w:gridSpan w:val="2"/>
          </w:tcPr>
          <w:p w:rsidR="0093252B" w:rsidRPr="00870FB6" w:rsidRDefault="0093252B" w:rsidP="0093252B">
            <w:pPr>
              <w:jc w:val="center"/>
              <w:rPr>
                <w:b/>
                <w:i/>
                <w:iCs/>
                <w:sz w:val="20"/>
                <w:szCs w:val="20"/>
              </w:rPr>
            </w:pPr>
            <w:r w:rsidRPr="00870FB6">
              <w:rPr>
                <w:b/>
                <w:i/>
                <w:iCs/>
                <w:sz w:val="20"/>
                <w:szCs w:val="20"/>
              </w:rPr>
              <w:t>Diminuări ale datoriilor comparativ cu 01.01.2017</w:t>
            </w:r>
          </w:p>
        </w:tc>
      </w:tr>
      <w:tr w:rsidR="0093252B" w:rsidRPr="00870FB6" w:rsidTr="0023156D">
        <w:trPr>
          <w:trHeight w:val="180"/>
          <w:jc w:val="center"/>
        </w:trPr>
        <w:tc>
          <w:tcPr>
            <w:tcW w:w="666" w:type="dxa"/>
            <w:vMerge/>
          </w:tcPr>
          <w:p w:rsidR="0093252B" w:rsidRPr="00870FB6" w:rsidRDefault="0093252B" w:rsidP="0093252B">
            <w:pPr>
              <w:spacing w:line="276" w:lineRule="auto"/>
              <w:jc w:val="center"/>
              <w:rPr>
                <w:sz w:val="20"/>
                <w:szCs w:val="20"/>
              </w:rPr>
            </w:pPr>
          </w:p>
        </w:tc>
        <w:tc>
          <w:tcPr>
            <w:tcW w:w="4291" w:type="dxa"/>
          </w:tcPr>
          <w:p w:rsidR="0093252B" w:rsidRPr="00870FB6" w:rsidRDefault="0093252B" w:rsidP="0093252B">
            <w:pPr>
              <w:jc w:val="center"/>
              <w:rPr>
                <w:b/>
                <w:sz w:val="20"/>
                <w:szCs w:val="20"/>
              </w:rPr>
            </w:pPr>
            <w:r w:rsidRPr="00870FB6">
              <w:rPr>
                <w:b/>
                <w:sz w:val="20"/>
                <w:szCs w:val="20"/>
              </w:rPr>
              <w:t>Ac</w:t>
            </w:r>
            <w:r w:rsidR="000873E3">
              <w:rPr>
                <w:b/>
                <w:sz w:val="20"/>
                <w:szCs w:val="20"/>
              </w:rPr>
              <w:t>ț</w:t>
            </w:r>
            <w:r w:rsidRPr="00870FB6">
              <w:rPr>
                <w:b/>
                <w:sz w:val="20"/>
                <w:szCs w:val="20"/>
              </w:rPr>
              <w:t>ionar majoritar</w:t>
            </w:r>
          </w:p>
        </w:tc>
        <w:tc>
          <w:tcPr>
            <w:tcW w:w="2693" w:type="dxa"/>
          </w:tcPr>
          <w:p w:rsidR="0093252B" w:rsidRPr="00870FB6" w:rsidRDefault="0093252B" w:rsidP="0093252B">
            <w:pPr>
              <w:jc w:val="center"/>
              <w:rPr>
                <w:b/>
                <w:sz w:val="20"/>
                <w:szCs w:val="20"/>
              </w:rPr>
            </w:pPr>
            <w:r w:rsidRPr="00870FB6">
              <w:rPr>
                <w:b/>
                <w:sz w:val="20"/>
                <w:szCs w:val="20"/>
              </w:rPr>
              <w:t>Valoarea diminuării, mil. lei</w:t>
            </w:r>
          </w:p>
        </w:tc>
      </w:tr>
      <w:tr w:rsidR="0093252B" w:rsidRPr="00870FB6" w:rsidTr="0093252B">
        <w:trPr>
          <w:jc w:val="center"/>
        </w:trPr>
        <w:tc>
          <w:tcPr>
            <w:tcW w:w="666" w:type="dxa"/>
          </w:tcPr>
          <w:p w:rsidR="0093252B" w:rsidRPr="00870FB6" w:rsidRDefault="0093252B" w:rsidP="0093252B">
            <w:pPr>
              <w:spacing w:line="276" w:lineRule="auto"/>
              <w:jc w:val="center"/>
              <w:rPr>
                <w:sz w:val="20"/>
                <w:szCs w:val="20"/>
              </w:rPr>
            </w:pPr>
            <w:r w:rsidRPr="00870FB6">
              <w:rPr>
                <w:sz w:val="20"/>
                <w:szCs w:val="20"/>
              </w:rPr>
              <w:t>1.</w:t>
            </w:r>
          </w:p>
        </w:tc>
        <w:tc>
          <w:tcPr>
            <w:tcW w:w="4291" w:type="dxa"/>
          </w:tcPr>
          <w:p w:rsidR="0093252B" w:rsidRPr="00870FB6" w:rsidRDefault="0093252B" w:rsidP="0093252B">
            <w:pPr>
              <w:rPr>
                <w:sz w:val="20"/>
                <w:szCs w:val="20"/>
              </w:rPr>
            </w:pPr>
            <w:r w:rsidRPr="00870FB6">
              <w:rPr>
                <w:sz w:val="20"/>
                <w:szCs w:val="20"/>
              </w:rPr>
              <w:t>Agen</w:t>
            </w:r>
            <w:r w:rsidR="000873E3">
              <w:rPr>
                <w:sz w:val="20"/>
                <w:szCs w:val="20"/>
              </w:rPr>
              <w:t>ț</w:t>
            </w:r>
            <w:r w:rsidRPr="00870FB6">
              <w:rPr>
                <w:sz w:val="20"/>
                <w:szCs w:val="20"/>
              </w:rPr>
              <w:t>ia Proprietă</w:t>
            </w:r>
            <w:r w:rsidR="000873E3">
              <w:rPr>
                <w:sz w:val="20"/>
                <w:szCs w:val="20"/>
              </w:rPr>
              <w:t>ț</w:t>
            </w:r>
            <w:r w:rsidRPr="00870FB6">
              <w:rPr>
                <w:sz w:val="20"/>
                <w:szCs w:val="20"/>
              </w:rPr>
              <w:t>ii Publice</w:t>
            </w:r>
          </w:p>
        </w:tc>
        <w:tc>
          <w:tcPr>
            <w:tcW w:w="2693" w:type="dxa"/>
          </w:tcPr>
          <w:p w:rsidR="0093252B" w:rsidRPr="00870FB6" w:rsidRDefault="0093252B" w:rsidP="0093252B">
            <w:pPr>
              <w:jc w:val="center"/>
              <w:rPr>
                <w:sz w:val="20"/>
                <w:szCs w:val="20"/>
              </w:rPr>
            </w:pPr>
            <w:r w:rsidRPr="00870FB6">
              <w:rPr>
                <w:sz w:val="20"/>
                <w:szCs w:val="20"/>
              </w:rPr>
              <w:t>198,3</w:t>
            </w:r>
          </w:p>
        </w:tc>
      </w:tr>
      <w:tr w:rsidR="0093252B" w:rsidRPr="00870FB6" w:rsidTr="0093252B">
        <w:trPr>
          <w:jc w:val="center"/>
        </w:trPr>
        <w:tc>
          <w:tcPr>
            <w:tcW w:w="666" w:type="dxa"/>
          </w:tcPr>
          <w:p w:rsidR="0093252B" w:rsidRPr="00870FB6" w:rsidRDefault="0093252B" w:rsidP="0093252B">
            <w:pPr>
              <w:spacing w:line="276" w:lineRule="auto"/>
              <w:jc w:val="center"/>
              <w:rPr>
                <w:sz w:val="20"/>
                <w:szCs w:val="20"/>
              </w:rPr>
            </w:pPr>
            <w:r w:rsidRPr="00870FB6">
              <w:rPr>
                <w:sz w:val="20"/>
                <w:szCs w:val="20"/>
              </w:rPr>
              <w:t>2.</w:t>
            </w:r>
          </w:p>
        </w:tc>
        <w:tc>
          <w:tcPr>
            <w:tcW w:w="4291" w:type="dxa"/>
          </w:tcPr>
          <w:p w:rsidR="0093252B" w:rsidRPr="00870FB6" w:rsidRDefault="0093252B" w:rsidP="0093252B">
            <w:pPr>
              <w:rPr>
                <w:sz w:val="20"/>
                <w:szCs w:val="20"/>
              </w:rPr>
            </w:pPr>
            <w:r w:rsidRPr="00870FB6">
              <w:rPr>
                <w:sz w:val="20"/>
                <w:szCs w:val="20"/>
              </w:rPr>
              <w:t>Ministerul Sănătă</w:t>
            </w:r>
            <w:r w:rsidR="000873E3">
              <w:rPr>
                <w:sz w:val="20"/>
                <w:szCs w:val="20"/>
              </w:rPr>
              <w:t>ț</w:t>
            </w:r>
            <w:r w:rsidRPr="00870FB6">
              <w:rPr>
                <w:sz w:val="20"/>
                <w:szCs w:val="20"/>
              </w:rPr>
              <w:t>ii, Muncii și Protec</w:t>
            </w:r>
            <w:r w:rsidR="000873E3">
              <w:rPr>
                <w:sz w:val="20"/>
                <w:szCs w:val="20"/>
              </w:rPr>
              <w:t>ț</w:t>
            </w:r>
            <w:r w:rsidRPr="00870FB6">
              <w:rPr>
                <w:sz w:val="20"/>
                <w:szCs w:val="20"/>
              </w:rPr>
              <w:t>iei Sociale</w:t>
            </w:r>
          </w:p>
        </w:tc>
        <w:tc>
          <w:tcPr>
            <w:tcW w:w="2693" w:type="dxa"/>
          </w:tcPr>
          <w:p w:rsidR="0093252B" w:rsidRPr="00870FB6" w:rsidRDefault="0093252B" w:rsidP="0093252B">
            <w:pPr>
              <w:jc w:val="center"/>
              <w:rPr>
                <w:sz w:val="20"/>
                <w:szCs w:val="20"/>
              </w:rPr>
            </w:pPr>
            <w:r w:rsidRPr="00870FB6">
              <w:rPr>
                <w:sz w:val="20"/>
                <w:szCs w:val="20"/>
              </w:rPr>
              <w:t>16,2</w:t>
            </w:r>
          </w:p>
        </w:tc>
      </w:tr>
      <w:tr w:rsidR="0093252B" w:rsidRPr="00870FB6" w:rsidTr="0093252B">
        <w:trPr>
          <w:jc w:val="center"/>
        </w:trPr>
        <w:tc>
          <w:tcPr>
            <w:tcW w:w="666" w:type="dxa"/>
          </w:tcPr>
          <w:p w:rsidR="0093252B" w:rsidRPr="00870FB6" w:rsidRDefault="0093252B" w:rsidP="0093252B">
            <w:pPr>
              <w:spacing w:line="276" w:lineRule="auto"/>
              <w:jc w:val="center"/>
              <w:rPr>
                <w:sz w:val="20"/>
                <w:szCs w:val="20"/>
              </w:rPr>
            </w:pPr>
            <w:r w:rsidRPr="00870FB6">
              <w:rPr>
                <w:sz w:val="20"/>
                <w:szCs w:val="20"/>
              </w:rPr>
              <w:t>3.</w:t>
            </w:r>
          </w:p>
        </w:tc>
        <w:tc>
          <w:tcPr>
            <w:tcW w:w="4291" w:type="dxa"/>
          </w:tcPr>
          <w:p w:rsidR="0093252B" w:rsidRPr="00870FB6" w:rsidRDefault="0093252B" w:rsidP="0093252B">
            <w:pPr>
              <w:rPr>
                <w:sz w:val="20"/>
                <w:szCs w:val="20"/>
              </w:rPr>
            </w:pPr>
            <w:r w:rsidRPr="00870FB6">
              <w:rPr>
                <w:sz w:val="20"/>
                <w:szCs w:val="20"/>
              </w:rPr>
              <w:t>Ministerul Educa</w:t>
            </w:r>
            <w:r w:rsidR="000873E3">
              <w:rPr>
                <w:sz w:val="20"/>
                <w:szCs w:val="20"/>
              </w:rPr>
              <w:t>ț</w:t>
            </w:r>
            <w:r w:rsidRPr="00870FB6">
              <w:rPr>
                <w:sz w:val="20"/>
                <w:szCs w:val="20"/>
              </w:rPr>
              <w:t>iei, Culturii și Cercetării</w:t>
            </w:r>
          </w:p>
        </w:tc>
        <w:tc>
          <w:tcPr>
            <w:tcW w:w="2693" w:type="dxa"/>
          </w:tcPr>
          <w:p w:rsidR="0093252B" w:rsidRPr="00870FB6" w:rsidRDefault="0093252B" w:rsidP="0093252B">
            <w:pPr>
              <w:jc w:val="center"/>
              <w:rPr>
                <w:sz w:val="20"/>
                <w:szCs w:val="20"/>
              </w:rPr>
            </w:pPr>
            <w:r w:rsidRPr="00870FB6">
              <w:rPr>
                <w:sz w:val="20"/>
                <w:szCs w:val="20"/>
              </w:rPr>
              <w:t>3,5</w:t>
            </w:r>
          </w:p>
        </w:tc>
      </w:tr>
      <w:tr w:rsidR="0093252B" w:rsidRPr="00870FB6" w:rsidTr="0093252B">
        <w:trPr>
          <w:jc w:val="center"/>
        </w:trPr>
        <w:tc>
          <w:tcPr>
            <w:tcW w:w="666" w:type="dxa"/>
          </w:tcPr>
          <w:p w:rsidR="0093252B" w:rsidRPr="00870FB6" w:rsidRDefault="0093252B" w:rsidP="0093252B">
            <w:pPr>
              <w:jc w:val="center"/>
              <w:rPr>
                <w:sz w:val="20"/>
                <w:szCs w:val="20"/>
              </w:rPr>
            </w:pPr>
            <w:r w:rsidRPr="00870FB6">
              <w:rPr>
                <w:sz w:val="20"/>
                <w:szCs w:val="20"/>
              </w:rPr>
              <w:t>4.</w:t>
            </w:r>
          </w:p>
        </w:tc>
        <w:tc>
          <w:tcPr>
            <w:tcW w:w="4291" w:type="dxa"/>
          </w:tcPr>
          <w:p w:rsidR="0093252B" w:rsidRPr="00870FB6" w:rsidRDefault="0093252B" w:rsidP="0093252B">
            <w:pPr>
              <w:rPr>
                <w:sz w:val="20"/>
                <w:szCs w:val="20"/>
              </w:rPr>
            </w:pPr>
            <w:r w:rsidRPr="00870FB6">
              <w:rPr>
                <w:sz w:val="20"/>
                <w:szCs w:val="20"/>
              </w:rPr>
              <w:t>Ministerul Economiei și Infrastructurii</w:t>
            </w:r>
          </w:p>
        </w:tc>
        <w:tc>
          <w:tcPr>
            <w:tcW w:w="2693" w:type="dxa"/>
          </w:tcPr>
          <w:p w:rsidR="0093252B" w:rsidRPr="00870FB6" w:rsidRDefault="0093252B" w:rsidP="0093252B">
            <w:pPr>
              <w:jc w:val="center"/>
              <w:rPr>
                <w:sz w:val="20"/>
                <w:szCs w:val="20"/>
              </w:rPr>
            </w:pPr>
            <w:r w:rsidRPr="00870FB6">
              <w:rPr>
                <w:sz w:val="20"/>
                <w:szCs w:val="20"/>
              </w:rPr>
              <w:t>0,6</w:t>
            </w:r>
          </w:p>
        </w:tc>
      </w:tr>
      <w:tr w:rsidR="0093252B" w:rsidRPr="00870FB6" w:rsidTr="0093252B">
        <w:trPr>
          <w:jc w:val="center"/>
        </w:trPr>
        <w:tc>
          <w:tcPr>
            <w:tcW w:w="666" w:type="dxa"/>
          </w:tcPr>
          <w:p w:rsidR="0093252B" w:rsidRPr="00870FB6" w:rsidRDefault="0093252B" w:rsidP="0093252B">
            <w:pPr>
              <w:jc w:val="center"/>
              <w:rPr>
                <w:b/>
                <w:sz w:val="20"/>
                <w:szCs w:val="20"/>
              </w:rPr>
            </w:pPr>
          </w:p>
        </w:tc>
        <w:tc>
          <w:tcPr>
            <w:tcW w:w="4291" w:type="dxa"/>
          </w:tcPr>
          <w:p w:rsidR="0093252B" w:rsidRPr="00870FB6" w:rsidRDefault="0093252B" w:rsidP="0093252B">
            <w:pPr>
              <w:rPr>
                <w:b/>
                <w:sz w:val="20"/>
                <w:szCs w:val="20"/>
              </w:rPr>
            </w:pPr>
            <w:r w:rsidRPr="00870FB6">
              <w:rPr>
                <w:b/>
                <w:sz w:val="20"/>
                <w:szCs w:val="20"/>
              </w:rPr>
              <w:t>Total</w:t>
            </w:r>
          </w:p>
        </w:tc>
        <w:tc>
          <w:tcPr>
            <w:tcW w:w="2693" w:type="dxa"/>
          </w:tcPr>
          <w:p w:rsidR="0093252B" w:rsidRPr="00870FB6" w:rsidRDefault="0093252B" w:rsidP="0093252B">
            <w:pPr>
              <w:jc w:val="center"/>
              <w:rPr>
                <w:b/>
                <w:sz w:val="20"/>
                <w:szCs w:val="20"/>
              </w:rPr>
            </w:pPr>
            <w:r w:rsidRPr="00870FB6">
              <w:rPr>
                <w:b/>
                <w:sz w:val="20"/>
                <w:szCs w:val="20"/>
              </w:rPr>
              <w:t>218,6</w:t>
            </w:r>
          </w:p>
        </w:tc>
      </w:tr>
    </w:tbl>
    <w:p w:rsidR="00045A4E" w:rsidRPr="00045A4E" w:rsidRDefault="00045A4E" w:rsidP="00562B17">
      <w:pPr>
        <w:pStyle w:val="NoSpacing"/>
        <w:spacing w:line="276" w:lineRule="auto"/>
        <w:ind w:firstLine="567"/>
        <w:jc w:val="both"/>
        <w:rPr>
          <w:sz w:val="20"/>
          <w:szCs w:val="20"/>
        </w:rPr>
      </w:pPr>
    </w:p>
    <w:p w:rsidR="006A3975" w:rsidRPr="00870FB6" w:rsidRDefault="006A3975" w:rsidP="00562B17">
      <w:pPr>
        <w:pStyle w:val="NoSpacing"/>
        <w:spacing w:line="276" w:lineRule="auto"/>
        <w:ind w:firstLine="567"/>
        <w:jc w:val="both"/>
        <w:rPr>
          <w:sz w:val="28"/>
          <w:szCs w:val="28"/>
        </w:rPr>
      </w:pPr>
      <w:r w:rsidRPr="00870FB6">
        <w:rPr>
          <w:sz w:val="28"/>
          <w:szCs w:val="28"/>
        </w:rPr>
        <w:t>În particular, cele mai mari diminuări ale datoriilor, comparativ cu începutul anului 2017, se eviden</w:t>
      </w:r>
      <w:r w:rsidR="000873E3">
        <w:rPr>
          <w:sz w:val="28"/>
          <w:szCs w:val="28"/>
        </w:rPr>
        <w:t>ț</w:t>
      </w:r>
      <w:r w:rsidRPr="00870FB6">
        <w:rPr>
          <w:sz w:val="28"/>
          <w:szCs w:val="28"/>
        </w:rPr>
        <w:t>iază la S.A. „Energocom” – cu 324,6 mil. lei, S.A. „Moldtelecom” – cu 176,5 mil. lei, S.A. „Furnizarea Energiei Electrice Nord” – cu 36,5 mil. lei și S.A. „Franzelu</w:t>
      </w:r>
      <w:r w:rsidR="000873E3">
        <w:rPr>
          <w:sz w:val="28"/>
          <w:szCs w:val="28"/>
        </w:rPr>
        <w:t>ț</w:t>
      </w:r>
      <w:r w:rsidRPr="00870FB6">
        <w:rPr>
          <w:sz w:val="28"/>
          <w:szCs w:val="28"/>
        </w:rPr>
        <w:t>a” – cu 30,1 mil. lei.</w:t>
      </w:r>
      <w:r w:rsidR="00562B17">
        <w:rPr>
          <w:sz w:val="28"/>
          <w:szCs w:val="28"/>
        </w:rPr>
        <w:t xml:space="preserve"> </w:t>
      </w:r>
      <w:r w:rsidRPr="00870FB6">
        <w:rPr>
          <w:sz w:val="28"/>
          <w:szCs w:val="28"/>
        </w:rPr>
        <w:t>În același timp, cele mai mari majorări ale datoriilor, comparativ cu începutul anului 2017, se eviden</w:t>
      </w:r>
      <w:r w:rsidR="000873E3">
        <w:rPr>
          <w:sz w:val="28"/>
          <w:szCs w:val="28"/>
        </w:rPr>
        <w:t>ț</w:t>
      </w:r>
      <w:r w:rsidRPr="00870FB6">
        <w:rPr>
          <w:sz w:val="28"/>
          <w:szCs w:val="28"/>
        </w:rPr>
        <w:t xml:space="preserve">iază la S.A. „Termoelectrica” – cu 183,0 mil. lei, S.A. „RED Nord” – cu 162,4 mil. lei, S.A.„CET-Nord” – cu 26,9 mil. lei și S.A. „Barza Albă” – cu 19,8 mil. lei. </w:t>
      </w:r>
    </w:p>
    <w:p w:rsidR="0093252B" w:rsidRDefault="0093252B" w:rsidP="0093252B">
      <w:pPr>
        <w:pStyle w:val="NoSpacing"/>
        <w:spacing w:line="276" w:lineRule="auto"/>
        <w:ind w:firstLine="567"/>
        <w:jc w:val="both"/>
        <w:rPr>
          <w:sz w:val="28"/>
          <w:szCs w:val="28"/>
        </w:rPr>
      </w:pPr>
      <w:r w:rsidRPr="00870FB6">
        <w:rPr>
          <w:sz w:val="28"/>
          <w:szCs w:val="28"/>
        </w:rPr>
        <w:t>În rezultatul analizei situa</w:t>
      </w:r>
      <w:r w:rsidR="000873E3">
        <w:rPr>
          <w:sz w:val="28"/>
          <w:szCs w:val="28"/>
        </w:rPr>
        <w:t>ț</w:t>
      </w:r>
      <w:r w:rsidRPr="00870FB6">
        <w:rPr>
          <w:sz w:val="28"/>
          <w:szCs w:val="28"/>
        </w:rPr>
        <w:t>iilor financiare, la 7 societă</w:t>
      </w:r>
      <w:r w:rsidR="000873E3">
        <w:rPr>
          <w:sz w:val="28"/>
          <w:szCs w:val="28"/>
        </w:rPr>
        <w:t>ț</w:t>
      </w:r>
      <w:r w:rsidRPr="00870FB6">
        <w:rPr>
          <w:sz w:val="28"/>
          <w:szCs w:val="28"/>
        </w:rPr>
        <w:t>i pe ac</w:t>
      </w:r>
      <w:r w:rsidR="000873E3">
        <w:rPr>
          <w:sz w:val="28"/>
          <w:szCs w:val="28"/>
        </w:rPr>
        <w:t>ț</w:t>
      </w:r>
      <w:r w:rsidRPr="00870FB6">
        <w:rPr>
          <w:sz w:val="28"/>
          <w:szCs w:val="28"/>
        </w:rPr>
        <w:t>iuni sau 20,0% din totalul societă</w:t>
      </w:r>
      <w:r w:rsidR="000873E3">
        <w:rPr>
          <w:sz w:val="28"/>
          <w:szCs w:val="28"/>
        </w:rPr>
        <w:t>ț</w:t>
      </w:r>
      <w:r w:rsidRPr="00870FB6">
        <w:rPr>
          <w:sz w:val="28"/>
          <w:szCs w:val="28"/>
        </w:rPr>
        <w:t>ilor monitorizate (S.A. „CET-Nord”, S.A.</w:t>
      </w:r>
      <w:r w:rsidR="00045A4E">
        <w:rPr>
          <w:sz w:val="28"/>
          <w:szCs w:val="28"/>
        </w:rPr>
        <w:t xml:space="preserve"> </w:t>
      </w:r>
      <w:r w:rsidRPr="00870FB6">
        <w:rPr>
          <w:sz w:val="28"/>
          <w:szCs w:val="28"/>
        </w:rPr>
        <w:t>„Red Nord” (situa</w:t>
      </w:r>
      <w:r w:rsidR="000873E3">
        <w:rPr>
          <w:sz w:val="28"/>
          <w:szCs w:val="28"/>
        </w:rPr>
        <w:t>ț</w:t>
      </w:r>
      <w:r w:rsidRPr="00870FB6">
        <w:rPr>
          <w:sz w:val="28"/>
          <w:szCs w:val="28"/>
        </w:rPr>
        <w:t xml:space="preserve">ie atestată </w:t>
      </w:r>
      <w:r w:rsidR="00E25525">
        <w:rPr>
          <w:sz w:val="28"/>
          <w:szCs w:val="28"/>
          <w:lang w:val="ro-MD"/>
        </w:rPr>
        <w:t xml:space="preserve">în </w:t>
      </w:r>
      <w:r w:rsidRPr="00870FB6">
        <w:rPr>
          <w:sz w:val="28"/>
          <w:szCs w:val="28"/>
        </w:rPr>
        <w:t>rezultatul absorb</w:t>
      </w:r>
      <w:r w:rsidR="000873E3">
        <w:rPr>
          <w:sz w:val="28"/>
          <w:szCs w:val="28"/>
        </w:rPr>
        <w:t>ț</w:t>
      </w:r>
      <w:r w:rsidRPr="00870FB6">
        <w:rPr>
          <w:sz w:val="28"/>
          <w:szCs w:val="28"/>
        </w:rPr>
        <w:t>iei S.A.</w:t>
      </w:r>
      <w:r w:rsidR="006A3975" w:rsidRPr="00870FB6">
        <w:rPr>
          <w:sz w:val="28"/>
          <w:szCs w:val="28"/>
        </w:rPr>
        <w:t xml:space="preserve"> </w:t>
      </w:r>
      <w:r w:rsidRPr="00870FB6">
        <w:rPr>
          <w:sz w:val="28"/>
          <w:szCs w:val="28"/>
        </w:rPr>
        <w:t>„Red Nord-Vest”), S.A.</w:t>
      </w:r>
      <w:r w:rsidR="00045A4E">
        <w:rPr>
          <w:sz w:val="28"/>
          <w:szCs w:val="28"/>
        </w:rPr>
        <w:t xml:space="preserve"> </w:t>
      </w:r>
      <w:r w:rsidRPr="00870FB6">
        <w:rPr>
          <w:sz w:val="28"/>
          <w:szCs w:val="28"/>
        </w:rPr>
        <w:t>„Gara Nord”, S.A. „Moldtelecom” etc</w:t>
      </w:r>
      <w:r w:rsidR="006A3975" w:rsidRPr="00870FB6">
        <w:rPr>
          <w:sz w:val="28"/>
          <w:szCs w:val="28"/>
        </w:rPr>
        <w:t>.</w:t>
      </w:r>
      <w:r w:rsidRPr="00870FB6">
        <w:rPr>
          <w:sz w:val="28"/>
          <w:szCs w:val="28"/>
        </w:rPr>
        <w:t>) s-a constatat că la situa</w:t>
      </w:r>
      <w:r w:rsidR="000873E3">
        <w:rPr>
          <w:sz w:val="28"/>
          <w:szCs w:val="28"/>
        </w:rPr>
        <w:t>ț</w:t>
      </w:r>
      <w:r w:rsidRPr="00870FB6">
        <w:rPr>
          <w:sz w:val="28"/>
          <w:szCs w:val="28"/>
        </w:rPr>
        <w:t xml:space="preserve">ia din 31.12.2017 </w:t>
      </w:r>
      <w:r w:rsidRPr="00870FB6">
        <w:rPr>
          <w:i/>
          <w:sz w:val="28"/>
          <w:szCs w:val="28"/>
        </w:rPr>
        <w:t xml:space="preserve">datoriile curente </w:t>
      </w:r>
      <w:r w:rsidR="00045A4E">
        <w:rPr>
          <w:i/>
          <w:sz w:val="28"/>
          <w:szCs w:val="28"/>
        </w:rPr>
        <w:t>depășesc</w:t>
      </w:r>
      <w:r w:rsidRPr="00870FB6">
        <w:rPr>
          <w:i/>
          <w:sz w:val="28"/>
          <w:szCs w:val="28"/>
        </w:rPr>
        <w:t xml:space="preserve"> activele circulante</w:t>
      </w:r>
      <w:r w:rsidRPr="00870FB6">
        <w:rPr>
          <w:sz w:val="28"/>
          <w:szCs w:val="28"/>
        </w:rPr>
        <w:t>, fapt care se reflectă negativ asupra dezvoltării economice a entită</w:t>
      </w:r>
      <w:r w:rsidR="000873E3">
        <w:rPr>
          <w:sz w:val="28"/>
          <w:szCs w:val="28"/>
        </w:rPr>
        <w:t>ț</w:t>
      </w:r>
      <w:r w:rsidRPr="00870FB6">
        <w:rPr>
          <w:sz w:val="28"/>
          <w:szCs w:val="28"/>
        </w:rPr>
        <w:t>ilor (fondul de rulment net este negativ).</w:t>
      </w:r>
    </w:p>
    <w:p w:rsidR="00C25682" w:rsidRDefault="00D2086A" w:rsidP="00C25682">
      <w:pPr>
        <w:pStyle w:val="BodyTextIndent2"/>
        <w:shd w:val="clear" w:color="auto" w:fill="FFFFFF"/>
        <w:spacing w:line="276" w:lineRule="auto"/>
        <w:ind w:firstLine="539"/>
        <w:rPr>
          <w:color w:val="000000"/>
          <w:szCs w:val="28"/>
        </w:rPr>
      </w:pPr>
      <w:r w:rsidRPr="00D2086A">
        <w:rPr>
          <w:szCs w:val="28"/>
        </w:rPr>
        <w:t xml:space="preserve">În contextul evaluării şi analizei riscurilor bugetar-fiscale aferente activităţii economico-financiare a </w:t>
      </w:r>
      <w:r>
        <w:rPr>
          <w:szCs w:val="28"/>
        </w:rPr>
        <w:t>societăților pe acțiuni</w:t>
      </w:r>
      <w:r w:rsidRPr="00D2086A">
        <w:rPr>
          <w:szCs w:val="28"/>
        </w:rPr>
        <w:t xml:space="preserve">, se prezintă în tabelul </w:t>
      </w:r>
      <w:r>
        <w:rPr>
          <w:szCs w:val="28"/>
        </w:rPr>
        <w:t>15</w:t>
      </w:r>
      <w:r w:rsidRPr="00D2086A">
        <w:rPr>
          <w:szCs w:val="28"/>
        </w:rPr>
        <w:t xml:space="preserve"> principalii indicatori economico-financiari a celor mai mari </w:t>
      </w:r>
      <w:r>
        <w:rPr>
          <w:szCs w:val="28"/>
        </w:rPr>
        <w:t>societăți pe acțiuni</w:t>
      </w:r>
      <w:r w:rsidRPr="00D2086A">
        <w:rPr>
          <w:szCs w:val="28"/>
        </w:rPr>
        <w:t>, selectate după active, venituri din vînzări și datorii înregistrate.</w:t>
      </w:r>
      <w:r w:rsidR="00C25682">
        <w:rPr>
          <w:szCs w:val="28"/>
        </w:rPr>
        <w:t xml:space="preserve"> </w:t>
      </w:r>
      <w:r w:rsidR="00C25682">
        <w:rPr>
          <w:color w:val="000000"/>
          <w:szCs w:val="28"/>
        </w:rPr>
        <w:t xml:space="preserve">Veniturile din vînzări totale ale  societăților menționate în tabel reprezintă 92,5% din veniturile din vînzări </w:t>
      </w:r>
      <w:r w:rsidR="00C25682">
        <w:rPr>
          <w:color w:val="000000"/>
          <w:szCs w:val="28"/>
        </w:rPr>
        <w:lastRenderedPageBreak/>
        <w:t>înregistrate în anul 2017 de către toate societățile pe acțiuni monitorizate, activele acestora reprezintă 91,9% din totalul activelor societăților pe acțiuni, iar datoriile (curente și pe termen lung) – 95,3% din suma datoriilor totale ale societăților pe acțiuni.</w:t>
      </w:r>
    </w:p>
    <w:p w:rsidR="00D2086A" w:rsidRDefault="00D2086A" w:rsidP="00D2086A">
      <w:pPr>
        <w:jc w:val="right"/>
        <w:rPr>
          <w:color w:val="000000"/>
        </w:rPr>
      </w:pPr>
      <w:r>
        <w:rPr>
          <w:color w:val="000000"/>
          <w:sz w:val="20"/>
          <w:szCs w:val="20"/>
        </w:rPr>
        <w:t xml:space="preserve">Tabelul 15. </w:t>
      </w:r>
    </w:p>
    <w:p w:rsidR="00D2086A" w:rsidRPr="00D2086A" w:rsidRDefault="00D2086A" w:rsidP="00D2086A">
      <w:pPr>
        <w:jc w:val="center"/>
        <w:rPr>
          <w:color w:val="000000"/>
          <w:sz w:val="20"/>
          <w:szCs w:val="20"/>
        </w:rPr>
      </w:pPr>
      <w:r w:rsidRPr="00D2086A">
        <w:rPr>
          <w:b/>
          <w:i/>
          <w:color w:val="000000"/>
          <w:sz w:val="20"/>
          <w:szCs w:val="20"/>
        </w:rPr>
        <w:t xml:space="preserve">Analiza principalilor indicatori economici aferenți activității </w:t>
      </w:r>
    </w:p>
    <w:p w:rsidR="00D2086A" w:rsidRPr="00D2086A" w:rsidRDefault="00D2086A" w:rsidP="00D2086A">
      <w:pPr>
        <w:jc w:val="center"/>
        <w:rPr>
          <w:color w:val="000000"/>
          <w:sz w:val="20"/>
          <w:szCs w:val="20"/>
        </w:rPr>
      </w:pPr>
      <w:r w:rsidRPr="00D2086A">
        <w:rPr>
          <w:b/>
          <w:i/>
          <w:color w:val="000000"/>
          <w:sz w:val="20"/>
          <w:szCs w:val="20"/>
        </w:rPr>
        <w:t>unor societăți pe acțiuni, la 31.12.2017</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2027"/>
        <w:gridCol w:w="806"/>
        <w:gridCol w:w="816"/>
        <w:gridCol w:w="1089"/>
        <w:gridCol w:w="1238"/>
        <w:gridCol w:w="1138"/>
        <w:gridCol w:w="1134"/>
        <w:gridCol w:w="974"/>
      </w:tblGrid>
      <w:tr w:rsidR="00D2086A" w:rsidRPr="002547EA" w:rsidTr="001F2A6D">
        <w:trPr>
          <w:trHeight w:val="690"/>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b/>
                <w:i/>
                <w:sz w:val="18"/>
                <w:szCs w:val="18"/>
              </w:rPr>
              <w:t>Nr.</w:t>
            </w:r>
          </w:p>
          <w:p w:rsidR="00D2086A" w:rsidRPr="002547EA" w:rsidRDefault="00D2086A" w:rsidP="001F2A6D">
            <w:pPr>
              <w:jc w:val="center"/>
              <w:rPr>
                <w:sz w:val="18"/>
                <w:szCs w:val="18"/>
              </w:rPr>
            </w:pPr>
            <w:r w:rsidRPr="002547EA">
              <w:rPr>
                <w:rFonts w:eastAsia="SimSun"/>
                <w:b/>
                <w:i/>
                <w:sz w:val="18"/>
                <w:szCs w:val="18"/>
              </w:rPr>
              <w:t>d/o</w:t>
            </w:r>
          </w:p>
        </w:tc>
        <w:tc>
          <w:tcPr>
            <w:tcW w:w="2027"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b/>
                <w:i/>
                <w:sz w:val="18"/>
                <w:szCs w:val="18"/>
              </w:rPr>
              <w:t>Denumirea societății</w:t>
            </w:r>
          </w:p>
        </w:tc>
        <w:tc>
          <w:tcPr>
            <w:tcW w:w="80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pStyle w:val="ListParagraph"/>
              <w:ind w:left="0"/>
              <w:jc w:val="center"/>
              <w:rPr>
                <w:sz w:val="18"/>
                <w:szCs w:val="18"/>
              </w:rPr>
            </w:pPr>
            <w:r w:rsidRPr="002547EA">
              <w:rPr>
                <w:rFonts w:eastAsia="SimSun"/>
                <w:b/>
                <w:i/>
                <w:sz w:val="18"/>
                <w:szCs w:val="18"/>
              </w:rPr>
              <w:t>Active, mil. lei</w:t>
            </w:r>
          </w:p>
        </w:tc>
        <w:tc>
          <w:tcPr>
            <w:tcW w:w="81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b/>
                <w:i/>
                <w:sz w:val="18"/>
                <w:szCs w:val="18"/>
              </w:rPr>
              <w:t>Datorii, mil. lei</w:t>
            </w:r>
          </w:p>
        </w:tc>
        <w:tc>
          <w:tcPr>
            <w:tcW w:w="1089"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b/>
                <w:i/>
                <w:sz w:val="18"/>
                <w:szCs w:val="18"/>
              </w:rPr>
              <w:t>Venituri din        vînzări, mil. lei</w:t>
            </w:r>
          </w:p>
        </w:tc>
        <w:tc>
          <w:tcPr>
            <w:tcW w:w="12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b/>
                <w:i/>
                <w:sz w:val="18"/>
                <w:szCs w:val="18"/>
              </w:rPr>
              <w:t>Profit net (pierdere netă), mil. lei</w:t>
            </w:r>
          </w:p>
        </w:tc>
        <w:tc>
          <w:tcPr>
            <w:tcW w:w="1138" w:type="dxa"/>
            <w:tcBorders>
              <w:top w:val="single" w:sz="4" w:space="0" w:color="auto"/>
              <w:left w:val="single" w:sz="4" w:space="0" w:color="auto"/>
              <w:bottom w:val="single" w:sz="4" w:space="0" w:color="auto"/>
              <w:right w:val="single" w:sz="4" w:space="0" w:color="auto"/>
            </w:tcBorders>
            <w:vAlign w:val="center"/>
            <w:hideMark/>
          </w:tcPr>
          <w:p w:rsidR="00D2086A" w:rsidRPr="00D81951" w:rsidRDefault="00D2086A" w:rsidP="00D81951">
            <w:pPr>
              <w:jc w:val="center"/>
              <w:rPr>
                <w:sz w:val="18"/>
                <w:szCs w:val="18"/>
                <w:vertAlign w:val="superscript"/>
              </w:rPr>
            </w:pPr>
            <w:r w:rsidRPr="002547EA">
              <w:rPr>
                <w:b/>
                <w:bCs/>
                <w:i/>
                <w:iCs/>
                <w:sz w:val="18"/>
                <w:szCs w:val="18"/>
              </w:rPr>
              <w:t>Lichiditatea curentă, coef.</w:t>
            </w:r>
            <w:r w:rsidR="00D81951">
              <w:rPr>
                <w:b/>
                <w:bCs/>
                <w:i/>
                <w:iCs/>
                <w:sz w:val="18"/>
                <w:szCs w:val="18"/>
                <w:vertAlign w:val="superscript"/>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86A" w:rsidRPr="00D81951" w:rsidRDefault="00D2086A" w:rsidP="00D81951">
            <w:pPr>
              <w:jc w:val="center"/>
              <w:rPr>
                <w:sz w:val="18"/>
                <w:szCs w:val="18"/>
                <w:vertAlign w:val="superscript"/>
              </w:rPr>
            </w:pPr>
            <w:r w:rsidRPr="002547EA">
              <w:rPr>
                <w:b/>
                <w:bCs/>
                <w:i/>
                <w:iCs/>
                <w:sz w:val="18"/>
                <w:szCs w:val="18"/>
              </w:rPr>
              <w:t>Marja profitului operațional,          %</w:t>
            </w:r>
            <w:r w:rsidR="00D81951">
              <w:rPr>
                <w:b/>
                <w:bCs/>
                <w:i/>
                <w:iCs/>
                <w:sz w:val="18"/>
                <w:szCs w:val="18"/>
                <w:vertAlign w:val="superscript"/>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D2086A" w:rsidRPr="00D81951" w:rsidRDefault="00D2086A" w:rsidP="00D81951">
            <w:pPr>
              <w:jc w:val="center"/>
              <w:rPr>
                <w:sz w:val="18"/>
                <w:szCs w:val="18"/>
                <w:vertAlign w:val="superscript"/>
              </w:rPr>
            </w:pPr>
            <w:r w:rsidRPr="002547EA">
              <w:rPr>
                <w:b/>
                <w:bCs/>
                <w:i/>
                <w:iCs/>
                <w:sz w:val="18"/>
                <w:szCs w:val="18"/>
              </w:rPr>
              <w:t>Levierul financiar</w:t>
            </w:r>
            <w:bookmarkStart w:id="2" w:name="_ftnref3"/>
            <w:bookmarkEnd w:id="2"/>
            <w:r w:rsidRPr="002547EA">
              <w:rPr>
                <w:b/>
                <w:bCs/>
                <w:i/>
                <w:iCs/>
                <w:sz w:val="18"/>
                <w:szCs w:val="18"/>
              </w:rPr>
              <w:t>, coef.</w:t>
            </w:r>
            <w:r w:rsidR="00D81951">
              <w:rPr>
                <w:b/>
                <w:bCs/>
                <w:i/>
                <w:iCs/>
                <w:sz w:val="18"/>
                <w:szCs w:val="18"/>
                <w:vertAlign w:val="superscript"/>
              </w:rPr>
              <w:t>9</w:t>
            </w:r>
          </w:p>
        </w:tc>
      </w:tr>
      <w:tr w:rsidR="00D2086A" w:rsidRPr="002547EA" w:rsidTr="001F2A6D">
        <w:trPr>
          <w:trHeight w:val="152"/>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rPr>
                <w:sz w:val="18"/>
                <w:szCs w:val="18"/>
              </w:rPr>
            </w:pPr>
            <w:r w:rsidRPr="002547EA">
              <w:rPr>
                <w:bCs/>
                <w:sz w:val="18"/>
                <w:szCs w:val="18"/>
              </w:rPr>
              <w:t>S.A. „Red Nord”</w:t>
            </w:r>
          </w:p>
        </w:tc>
        <w:tc>
          <w:tcPr>
            <w:tcW w:w="8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1895,2</w:t>
            </w:r>
          </w:p>
        </w:tc>
        <w:tc>
          <w:tcPr>
            <w:tcW w:w="81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246,2</w:t>
            </w:r>
          </w:p>
        </w:tc>
        <w:tc>
          <w:tcPr>
            <w:tcW w:w="1089"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667,3</w:t>
            </w:r>
          </w:p>
        </w:tc>
        <w:tc>
          <w:tcPr>
            <w:tcW w:w="12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99,3</w:t>
            </w:r>
          </w:p>
        </w:tc>
        <w:tc>
          <w:tcPr>
            <w:tcW w:w="1138" w:type="dxa"/>
            <w:tcBorders>
              <w:top w:val="single" w:sz="4" w:space="0" w:color="auto"/>
              <w:left w:val="single" w:sz="4" w:space="0" w:color="auto"/>
              <w:bottom w:val="single" w:sz="4" w:space="0" w:color="auto"/>
              <w:right w:val="single" w:sz="4" w:space="0" w:color="auto"/>
            </w:tcBorders>
            <w:hideMark/>
          </w:tcPr>
          <w:p w:rsidR="00D2086A" w:rsidRPr="003A7175" w:rsidRDefault="00D2086A" w:rsidP="001F2A6D">
            <w:pPr>
              <w:jc w:val="center"/>
              <w:rPr>
                <w:b/>
                <w:sz w:val="18"/>
                <w:szCs w:val="18"/>
              </w:rPr>
            </w:pPr>
            <w:r w:rsidRPr="003A7175">
              <w:rPr>
                <w:rFonts w:eastAsia="SimSun"/>
                <w:b/>
                <w:sz w:val="18"/>
                <w:szCs w:val="18"/>
              </w:rPr>
              <w:t>0,66</w:t>
            </w:r>
          </w:p>
        </w:tc>
        <w:tc>
          <w:tcPr>
            <w:tcW w:w="1134" w:type="dxa"/>
            <w:tcBorders>
              <w:top w:val="single" w:sz="4" w:space="0" w:color="auto"/>
              <w:left w:val="single" w:sz="4" w:space="0" w:color="auto"/>
              <w:bottom w:val="single" w:sz="4" w:space="0" w:color="auto"/>
              <w:right w:val="single" w:sz="4" w:space="0" w:color="auto"/>
            </w:tcBorders>
          </w:tcPr>
          <w:p w:rsidR="00D2086A" w:rsidRPr="003A7175" w:rsidRDefault="00D2086A" w:rsidP="001F2A6D">
            <w:pPr>
              <w:jc w:val="center"/>
              <w:rPr>
                <w:sz w:val="18"/>
                <w:szCs w:val="18"/>
                <w:lang w:val="ro-MD"/>
              </w:rPr>
            </w:pPr>
            <w:r>
              <w:rPr>
                <w:sz w:val="18"/>
                <w:szCs w:val="18"/>
              </w:rPr>
              <w:t>18,73</w:t>
            </w:r>
          </w:p>
        </w:tc>
        <w:tc>
          <w:tcPr>
            <w:tcW w:w="974"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1,15</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2.</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spacing w:line="276" w:lineRule="auto"/>
              <w:rPr>
                <w:sz w:val="18"/>
                <w:szCs w:val="18"/>
              </w:rPr>
            </w:pPr>
            <w:r w:rsidRPr="002547EA">
              <w:rPr>
                <w:sz w:val="18"/>
                <w:szCs w:val="18"/>
              </w:rPr>
              <w:t xml:space="preserve">S.A.„Termoelectrica” </w:t>
            </w:r>
          </w:p>
        </w:tc>
        <w:tc>
          <w:tcPr>
            <w:tcW w:w="8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5468,7</w:t>
            </w:r>
          </w:p>
        </w:tc>
        <w:tc>
          <w:tcPr>
            <w:tcW w:w="81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3696,5</w:t>
            </w:r>
          </w:p>
        </w:tc>
        <w:tc>
          <w:tcPr>
            <w:tcW w:w="1089"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2389,7</w:t>
            </w:r>
          </w:p>
        </w:tc>
        <w:tc>
          <w:tcPr>
            <w:tcW w:w="12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38,1</w:t>
            </w:r>
          </w:p>
        </w:tc>
        <w:tc>
          <w:tcPr>
            <w:tcW w:w="11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9,3</w:t>
            </w:r>
            <w:r>
              <w:rPr>
                <w:rFonts w:eastAsia="SimSu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2086A" w:rsidRPr="003A7175" w:rsidRDefault="00D2086A" w:rsidP="001F2A6D">
            <w:pPr>
              <w:jc w:val="center"/>
              <w:rPr>
                <w:b/>
                <w:sz w:val="18"/>
                <w:szCs w:val="18"/>
              </w:rPr>
            </w:pPr>
            <w:r w:rsidRPr="003A7175">
              <w:rPr>
                <w:b/>
                <w:sz w:val="18"/>
                <w:szCs w:val="18"/>
              </w:rPr>
              <w:t>-0,67</w:t>
            </w:r>
          </w:p>
        </w:tc>
        <w:tc>
          <w:tcPr>
            <w:tcW w:w="974" w:type="dxa"/>
            <w:tcBorders>
              <w:top w:val="single" w:sz="4" w:space="0" w:color="auto"/>
              <w:left w:val="single" w:sz="4" w:space="0" w:color="auto"/>
              <w:bottom w:val="single" w:sz="4" w:space="0" w:color="auto"/>
              <w:right w:val="single" w:sz="4" w:space="0" w:color="auto"/>
            </w:tcBorders>
            <w:hideMark/>
          </w:tcPr>
          <w:p w:rsidR="00D2086A" w:rsidRPr="006603E1" w:rsidRDefault="00D2086A" w:rsidP="001F2A6D">
            <w:pPr>
              <w:jc w:val="center"/>
              <w:rPr>
                <w:b/>
                <w:sz w:val="18"/>
                <w:szCs w:val="18"/>
              </w:rPr>
            </w:pPr>
            <w:r w:rsidRPr="006603E1">
              <w:rPr>
                <w:rFonts w:eastAsia="SimSun"/>
                <w:b/>
                <w:sz w:val="18"/>
                <w:szCs w:val="18"/>
              </w:rPr>
              <w:t>3,09</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3.</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rPr>
                <w:sz w:val="18"/>
                <w:szCs w:val="18"/>
              </w:rPr>
            </w:pPr>
            <w:r w:rsidRPr="002547EA">
              <w:rPr>
                <w:sz w:val="18"/>
                <w:szCs w:val="18"/>
              </w:rPr>
              <w:t xml:space="preserve">S.A. „CET-Nord” </w:t>
            </w:r>
          </w:p>
        </w:tc>
        <w:tc>
          <w:tcPr>
            <w:tcW w:w="8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606,1</w:t>
            </w:r>
          </w:p>
        </w:tc>
        <w:tc>
          <w:tcPr>
            <w:tcW w:w="81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366,6</w:t>
            </w:r>
          </w:p>
        </w:tc>
        <w:tc>
          <w:tcPr>
            <w:tcW w:w="1089"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242,1</w:t>
            </w:r>
          </w:p>
        </w:tc>
        <w:tc>
          <w:tcPr>
            <w:tcW w:w="12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-40,4</w:t>
            </w:r>
          </w:p>
        </w:tc>
        <w:tc>
          <w:tcPr>
            <w:tcW w:w="1138" w:type="dxa"/>
            <w:tcBorders>
              <w:top w:val="single" w:sz="4" w:space="0" w:color="auto"/>
              <w:left w:val="single" w:sz="4" w:space="0" w:color="auto"/>
              <w:bottom w:val="single" w:sz="4" w:space="0" w:color="auto"/>
              <w:right w:val="single" w:sz="4" w:space="0" w:color="auto"/>
            </w:tcBorders>
            <w:hideMark/>
          </w:tcPr>
          <w:p w:rsidR="00D2086A" w:rsidRPr="003A7175" w:rsidRDefault="00D2086A" w:rsidP="001F2A6D">
            <w:pPr>
              <w:jc w:val="center"/>
              <w:rPr>
                <w:b/>
                <w:sz w:val="18"/>
                <w:szCs w:val="18"/>
              </w:rPr>
            </w:pPr>
            <w:r w:rsidRPr="003A7175">
              <w:rPr>
                <w:rFonts w:eastAsia="SimSun"/>
                <w:b/>
                <w:sz w:val="18"/>
                <w:szCs w:val="18"/>
              </w:rPr>
              <w:t>0,76</w:t>
            </w:r>
          </w:p>
        </w:tc>
        <w:tc>
          <w:tcPr>
            <w:tcW w:w="1134" w:type="dxa"/>
            <w:tcBorders>
              <w:top w:val="single" w:sz="4" w:space="0" w:color="auto"/>
              <w:left w:val="single" w:sz="4" w:space="0" w:color="auto"/>
              <w:bottom w:val="single" w:sz="4" w:space="0" w:color="auto"/>
              <w:right w:val="single" w:sz="4" w:space="0" w:color="auto"/>
            </w:tcBorders>
          </w:tcPr>
          <w:p w:rsidR="00D2086A" w:rsidRPr="003A7175" w:rsidRDefault="00D2086A" w:rsidP="001F2A6D">
            <w:pPr>
              <w:jc w:val="center"/>
              <w:rPr>
                <w:b/>
                <w:sz w:val="18"/>
                <w:szCs w:val="18"/>
              </w:rPr>
            </w:pPr>
            <w:r w:rsidRPr="003A7175">
              <w:rPr>
                <w:b/>
                <w:sz w:val="18"/>
                <w:szCs w:val="18"/>
              </w:rPr>
              <w:t>-17,76</w:t>
            </w:r>
          </w:p>
        </w:tc>
        <w:tc>
          <w:tcPr>
            <w:tcW w:w="974" w:type="dxa"/>
            <w:tcBorders>
              <w:top w:val="single" w:sz="4" w:space="0" w:color="auto"/>
              <w:left w:val="single" w:sz="4" w:space="0" w:color="auto"/>
              <w:bottom w:val="single" w:sz="4" w:space="0" w:color="auto"/>
              <w:right w:val="single" w:sz="4" w:space="0" w:color="auto"/>
            </w:tcBorders>
            <w:hideMark/>
          </w:tcPr>
          <w:p w:rsidR="00D2086A" w:rsidRPr="006603E1" w:rsidRDefault="00D2086A" w:rsidP="001F2A6D">
            <w:pPr>
              <w:jc w:val="center"/>
              <w:rPr>
                <w:b/>
                <w:sz w:val="18"/>
                <w:szCs w:val="18"/>
              </w:rPr>
            </w:pPr>
            <w:r w:rsidRPr="006603E1">
              <w:rPr>
                <w:rFonts w:eastAsia="SimSun"/>
                <w:b/>
                <w:sz w:val="18"/>
                <w:szCs w:val="18"/>
              </w:rPr>
              <w:t>2,53</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4.</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rPr>
                <w:sz w:val="18"/>
                <w:szCs w:val="18"/>
              </w:rPr>
            </w:pPr>
            <w:r w:rsidRPr="002547EA">
              <w:rPr>
                <w:sz w:val="18"/>
                <w:szCs w:val="18"/>
              </w:rPr>
              <w:t>S.A. „Furnizarea Energiei Electrice Nord”</w:t>
            </w:r>
          </w:p>
        </w:tc>
        <w:tc>
          <w:tcPr>
            <w:tcW w:w="80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269,8</w:t>
            </w:r>
          </w:p>
        </w:tc>
        <w:tc>
          <w:tcPr>
            <w:tcW w:w="81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164,3</w:t>
            </w:r>
          </w:p>
        </w:tc>
        <w:tc>
          <w:tcPr>
            <w:tcW w:w="1089"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1892,9</w:t>
            </w:r>
          </w:p>
        </w:tc>
        <w:tc>
          <w:tcPr>
            <w:tcW w:w="12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114,9</w:t>
            </w:r>
          </w:p>
        </w:tc>
        <w:tc>
          <w:tcPr>
            <w:tcW w:w="11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1,55</w:t>
            </w:r>
          </w:p>
        </w:tc>
        <w:tc>
          <w:tcPr>
            <w:tcW w:w="1134" w:type="dxa"/>
            <w:tcBorders>
              <w:top w:val="single" w:sz="4" w:space="0" w:color="auto"/>
              <w:left w:val="single" w:sz="4" w:space="0" w:color="auto"/>
              <w:bottom w:val="single" w:sz="4" w:space="0" w:color="auto"/>
              <w:right w:val="single" w:sz="4" w:space="0" w:color="auto"/>
            </w:tcBorders>
            <w:vAlign w:val="center"/>
          </w:tcPr>
          <w:p w:rsidR="00D2086A" w:rsidRPr="002547EA" w:rsidRDefault="00D2086A" w:rsidP="001F2A6D">
            <w:pPr>
              <w:jc w:val="center"/>
              <w:rPr>
                <w:sz w:val="18"/>
                <w:szCs w:val="18"/>
              </w:rPr>
            </w:pPr>
            <w:r>
              <w:rPr>
                <w:sz w:val="18"/>
                <w:szCs w:val="18"/>
              </w:rPr>
              <w:t>6,67</w:t>
            </w:r>
          </w:p>
        </w:tc>
        <w:tc>
          <w:tcPr>
            <w:tcW w:w="974" w:type="dxa"/>
            <w:tcBorders>
              <w:top w:val="single" w:sz="4" w:space="0" w:color="auto"/>
              <w:left w:val="single" w:sz="4" w:space="0" w:color="auto"/>
              <w:bottom w:val="single" w:sz="4" w:space="0" w:color="auto"/>
              <w:right w:val="single" w:sz="4" w:space="0" w:color="auto"/>
            </w:tcBorders>
            <w:vAlign w:val="center"/>
            <w:hideMark/>
          </w:tcPr>
          <w:p w:rsidR="00D2086A" w:rsidRPr="006603E1" w:rsidRDefault="00D2086A" w:rsidP="001F2A6D">
            <w:pPr>
              <w:jc w:val="center"/>
              <w:rPr>
                <w:b/>
                <w:sz w:val="18"/>
                <w:szCs w:val="18"/>
              </w:rPr>
            </w:pPr>
            <w:r w:rsidRPr="006603E1">
              <w:rPr>
                <w:rFonts w:eastAsia="SimSun"/>
                <w:b/>
                <w:sz w:val="18"/>
                <w:szCs w:val="18"/>
              </w:rPr>
              <w:t>2,56</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5.</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rPr>
                <w:sz w:val="18"/>
                <w:szCs w:val="18"/>
              </w:rPr>
            </w:pPr>
            <w:r w:rsidRPr="002547EA">
              <w:rPr>
                <w:sz w:val="18"/>
                <w:szCs w:val="18"/>
              </w:rPr>
              <w:t>S.A. „Metalferos”</w:t>
            </w:r>
          </w:p>
        </w:tc>
        <w:tc>
          <w:tcPr>
            <w:tcW w:w="80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381,0</w:t>
            </w:r>
          </w:p>
        </w:tc>
        <w:tc>
          <w:tcPr>
            <w:tcW w:w="81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19,7</w:t>
            </w:r>
          </w:p>
        </w:tc>
        <w:tc>
          <w:tcPr>
            <w:tcW w:w="1089"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1291,6</w:t>
            </w:r>
          </w:p>
        </w:tc>
        <w:tc>
          <w:tcPr>
            <w:tcW w:w="12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43,3</w:t>
            </w:r>
          </w:p>
        </w:tc>
        <w:tc>
          <w:tcPr>
            <w:tcW w:w="11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15,47</w:t>
            </w:r>
          </w:p>
        </w:tc>
        <w:tc>
          <w:tcPr>
            <w:tcW w:w="1134" w:type="dxa"/>
            <w:tcBorders>
              <w:top w:val="single" w:sz="4" w:space="0" w:color="auto"/>
              <w:left w:val="single" w:sz="4" w:space="0" w:color="auto"/>
              <w:bottom w:val="single" w:sz="4" w:space="0" w:color="auto"/>
              <w:right w:val="single" w:sz="4" w:space="0" w:color="auto"/>
            </w:tcBorders>
            <w:vAlign w:val="center"/>
          </w:tcPr>
          <w:p w:rsidR="00D2086A" w:rsidRPr="002547EA" w:rsidRDefault="00D2086A" w:rsidP="001F2A6D">
            <w:pPr>
              <w:jc w:val="center"/>
              <w:rPr>
                <w:sz w:val="18"/>
                <w:szCs w:val="18"/>
              </w:rPr>
            </w:pPr>
            <w:r>
              <w:rPr>
                <w:sz w:val="18"/>
                <w:szCs w:val="18"/>
              </w:rPr>
              <w:t>4,92</w:t>
            </w:r>
          </w:p>
        </w:tc>
        <w:tc>
          <w:tcPr>
            <w:tcW w:w="974"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1,05</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6.</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pStyle w:val="NoSpacing"/>
              <w:rPr>
                <w:sz w:val="18"/>
                <w:szCs w:val="18"/>
              </w:rPr>
            </w:pPr>
            <w:r w:rsidRPr="002547EA">
              <w:rPr>
                <w:sz w:val="18"/>
                <w:szCs w:val="18"/>
              </w:rPr>
              <w:t>S.A. „EnergoCom”</w:t>
            </w:r>
          </w:p>
        </w:tc>
        <w:tc>
          <w:tcPr>
            <w:tcW w:w="80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113,3</w:t>
            </w:r>
          </w:p>
        </w:tc>
        <w:tc>
          <w:tcPr>
            <w:tcW w:w="81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82,3</w:t>
            </w:r>
          </w:p>
        </w:tc>
        <w:tc>
          <w:tcPr>
            <w:tcW w:w="1089"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2998,9</w:t>
            </w:r>
          </w:p>
        </w:tc>
        <w:tc>
          <w:tcPr>
            <w:tcW w:w="12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5,9</w:t>
            </w:r>
          </w:p>
        </w:tc>
        <w:tc>
          <w:tcPr>
            <w:tcW w:w="11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1,37</w:t>
            </w:r>
          </w:p>
        </w:tc>
        <w:tc>
          <w:tcPr>
            <w:tcW w:w="1134" w:type="dxa"/>
            <w:tcBorders>
              <w:top w:val="single" w:sz="4" w:space="0" w:color="auto"/>
              <w:left w:val="single" w:sz="4" w:space="0" w:color="auto"/>
              <w:bottom w:val="single" w:sz="4" w:space="0" w:color="auto"/>
              <w:right w:val="single" w:sz="4" w:space="0" w:color="auto"/>
            </w:tcBorders>
            <w:vAlign w:val="center"/>
          </w:tcPr>
          <w:p w:rsidR="00D2086A" w:rsidRPr="002547EA" w:rsidRDefault="00D2086A" w:rsidP="001F2A6D">
            <w:pPr>
              <w:jc w:val="center"/>
              <w:rPr>
                <w:sz w:val="18"/>
                <w:szCs w:val="18"/>
              </w:rPr>
            </w:pPr>
            <w:r>
              <w:rPr>
                <w:sz w:val="18"/>
                <w:szCs w:val="18"/>
              </w:rPr>
              <w:t>0,61</w:t>
            </w:r>
          </w:p>
        </w:tc>
        <w:tc>
          <w:tcPr>
            <w:tcW w:w="974" w:type="dxa"/>
            <w:tcBorders>
              <w:top w:val="single" w:sz="4" w:space="0" w:color="auto"/>
              <w:left w:val="single" w:sz="4" w:space="0" w:color="auto"/>
              <w:bottom w:val="single" w:sz="4" w:space="0" w:color="auto"/>
              <w:right w:val="single" w:sz="4" w:space="0" w:color="auto"/>
            </w:tcBorders>
            <w:vAlign w:val="center"/>
            <w:hideMark/>
          </w:tcPr>
          <w:p w:rsidR="00D2086A" w:rsidRPr="006603E1" w:rsidRDefault="00D2086A" w:rsidP="001F2A6D">
            <w:pPr>
              <w:jc w:val="center"/>
              <w:rPr>
                <w:b/>
                <w:sz w:val="18"/>
                <w:szCs w:val="18"/>
              </w:rPr>
            </w:pPr>
            <w:r w:rsidRPr="006603E1">
              <w:rPr>
                <w:rFonts w:eastAsia="SimSun"/>
                <w:b/>
                <w:sz w:val="18"/>
                <w:szCs w:val="18"/>
              </w:rPr>
              <w:t>3,67</w:t>
            </w:r>
          </w:p>
        </w:tc>
      </w:tr>
      <w:tr w:rsidR="00D2086A" w:rsidRPr="002547EA" w:rsidTr="001F2A6D">
        <w:trPr>
          <w:trHeight w:val="252"/>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7.</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pStyle w:val="NoSpacing"/>
              <w:rPr>
                <w:sz w:val="18"/>
                <w:szCs w:val="18"/>
              </w:rPr>
            </w:pPr>
            <w:r w:rsidRPr="002547EA">
              <w:rPr>
                <w:bCs/>
                <w:sz w:val="18"/>
                <w:szCs w:val="18"/>
              </w:rPr>
              <w:t>S.A. „Combinatul de Vinuri Cricova”</w:t>
            </w:r>
          </w:p>
        </w:tc>
        <w:tc>
          <w:tcPr>
            <w:tcW w:w="80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605,8</w:t>
            </w:r>
          </w:p>
        </w:tc>
        <w:tc>
          <w:tcPr>
            <w:tcW w:w="816"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309,0</w:t>
            </w:r>
          </w:p>
        </w:tc>
        <w:tc>
          <w:tcPr>
            <w:tcW w:w="1089"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260,9</w:t>
            </w:r>
          </w:p>
        </w:tc>
        <w:tc>
          <w:tcPr>
            <w:tcW w:w="12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25,5</w:t>
            </w:r>
          </w:p>
        </w:tc>
        <w:tc>
          <w:tcPr>
            <w:tcW w:w="1138" w:type="dxa"/>
            <w:tcBorders>
              <w:top w:val="single" w:sz="4" w:space="0" w:color="auto"/>
              <w:left w:val="single" w:sz="4" w:space="0" w:color="auto"/>
              <w:bottom w:val="single" w:sz="4" w:space="0" w:color="auto"/>
              <w:right w:val="single" w:sz="4" w:space="0" w:color="auto"/>
            </w:tcBorders>
            <w:vAlign w:val="center"/>
            <w:hideMark/>
          </w:tcPr>
          <w:p w:rsidR="00D2086A" w:rsidRPr="002547EA" w:rsidRDefault="00D2086A" w:rsidP="001F2A6D">
            <w:pPr>
              <w:jc w:val="center"/>
              <w:rPr>
                <w:sz w:val="18"/>
                <w:szCs w:val="18"/>
              </w:rPr>
            </w:pPr>
            <w:r w:rsidRPr="002547EA">
              <w:rPr>
                <w:rFonts w:eastAsia="SimSun"/>
                <w:sz w:val="18"/>
                <w:szCs w:val="18"/>
              </w:rPr>
              <w:t>2,5</w:t>
            </w:r>
            <w:r>
              <w:rPr>
                <w:rFonts w:eastAsia="SimSu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D2086A" w:rsidRPr="002547EA" w:rsidRDefault="00D2086A" w:rsidP="001F2A6D">
            <w:pPr>
              <w:jc w:val="center"/>
              <w:rPr>
                <w:sz w:val="18"/>
                <w:szCs w:val="18"/>
              </w:rPr>
            </w:pPr>
            <w:r>
              <w:rPr>
                <w:sz w:val="18"/>
                <w:szCs w:val="18"/>
              </w:rPr>
              <w:t>9,77</w:t>
            </w:r>
          </w:p>
        </w:tc>
        <w:tc>
          <w:tcPr>
            <w:tcW w:w="974" w:type="dxa"/>
            <w:tcBorders>
              <w:top w:val="single" w:sz="4" w:space="0" w:color="auto"/>
              <w:left w:val="single" w:sz="4" w:space="0" w:color="auto"/>
              <w:bottom w:val="single" w:sz="4" w:space="0" w:color="auto"/>
              <w:right w:val="single" w:sz="4" w:space="0" w:color="auto"/>
            </w:tcBorders>
            <w:vAlign w:val="center"/>
            <w:hideMark/>
          </w:tcPr>
          <w:p w:rsidR="00D2086A" w:rsidRPr="006603E1" w:rsidRDefault="00D2086A" w:rsidP="001F2A6D">
            <w:pPr>
              <w:jc w:val="center"/>
              <w:rPr>
                <w:b/>
                <w:sz w:val="18"/>
                <w:szCs w:val="18"/>
              </w:rPr>
            </w:pPr>
            <w:r w:rsidRPr="006603E1">
              <w:rPr>
                <w:rFonts w:eastAsia="SimSun"/>
                <w:b/>
                <w:sz w:val="18"/>
                <w:szCs w:val="18"/>
              </w:rPr>
              <w:t>2,04</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8.</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pStyle w:val="NoSpacing"/>
              <w:rPr>
                <w:sz w:val="18"/>
                <w:szCs w:val="18"/>
              </w:rPr>
            </w:pPr>
            <w:r w:rsidRPr="002547EA">
              <w:rPr>
                <w:bCs/>
                <w:sz w:val="18"/>
                <w:szCs w:val="18"/>
              </w:rPr>
              <w:t>S.A. „Moldtelecom”</w:t>
            </w:r>
          </w:p>
        </w:tc>
        <w:tc>
          <w:tcPr>
            <w:tcW w:w="8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5948,3</w:t>
            </w:r>
          </w:p>
        </w:tc>
        <w:tc>
          <w:tcPr>
            <w:tcW w:w="81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1606,3</w:t>
            </w:r>
          </w:p>
        </w:tc>
        <w:tc>
          <w:tcPr>
            <w:tcW w:w="1089"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1770,8</w:t>
            </w:r>
          </w:p>
        </w:tc>
        <w:tc>
          <w:tcPr>
            <w:tcW w:w="12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61,9</w:t>
            </w:r>
          </w:p>
        </w:tc>
        <w:tc>
          <w:tcPr>
            <w:tcW w:w="1138" w:type="dxa"/>
            <w:tcBorders>
              <w:top w:val="single" w:sz="4" w:space="0" w:color="auto"/>
              <w:left w:val="single" w:sz="4" w:space="0" w:color="auto"/>
              <w:bottom w:val="single" w:sz="4" w:space="0" w:color="auto"/>
              <w:right w:val="single" w:sz="4" w:space="0" w:color="auto"/>
            </w:tcBorders>
            <w:hideMark/>
          </w:tcPr>
          <w:p w:rsidR="00D2086A" w:rsidRPr="003A7175" w:rsidRDefault="00D2086A" w:rsidP="001F2A6D">
            <w:pPr>
              <w:jc w:val="center"/>
              <w:rPr>
                <w:b/>
                <w:sz w:val="18"/>
                <w:szCs w:val="18"/>
              </w:rPr>
            </w:pPr>
            <w:r w:rsidRPr="003A7175">
              <w:rPr>
                <w:rFonts w:eastAsia="SimSun"/>
                <w:b/>
                <w:sz w:val="18"/>
                <w:szCs w:val="18"/>
              </w:rPr>
              <w:t>0,31</w:t>
            </w:r>
          </w:p>
        </w:tc>
        <w:tc>
          <w:tcPr>
            <w:tcW w:w="1134" w:type="dxa"/>
            <w:tcBorders>
              <w:top w:val="single" w:sz="4" w:space="0" w:color="auto"/>
              <w:left w:val="single" w:sz="4" w:space="0" w:color="auto"/>
              <w:bottom w:val="single" w:sz="4" w:space="0" w:color="auto"/>
              <w:right w:val="single" w:sz="4" w:space="0" w:color="auto"/>
            </w:tcBorders>
          </w:tcPr>
          <w:p w:rsidR="00D2086A" w:rsidRPr="002547EA" w:rsidRDefault="00D2086A" w:rsidP="001F2A6D">
            <w:pPr>
              <w:jc w:val="center"/>
              <w:rPr>
                <w:sz w:val="18"/>
                <w:szCs w:val="18"/>
              </w:rPr>
            </w:pPr>
            <w:r>
              <w:rPr>
                <w:sz w:val="18"/>
                <w:szCs w:val="18"/>
              </w:rPr>
              <w:t>1,29</w:t>
            </w:r>
          </w:p>
        </w:tc>
        <w:tc>
          <w:tcPr>
            <w:tcW w:w="974"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1,37</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9.</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pStyle w:val="NoSpacing"/>
              <w:rPr>
                <w:sz w:val="18"/>
                <w:szCs w:val="18"/>
              </w:rPr>
            </w:pPr>
            <w:r w:rsidRPr="002547EA">
              <w:rPr>
                <w:bCs/>
                <w:sz w:val="18"/>
                <w:szCs w:val="18"/>
              </w:rPr>
              <w:t>S.A. „Tutun CTC”</w:t>
            </w:r>
          </w:p>
        </w:tc>
        <w:tc>
          <w:tcPr>
            <w:tcW w:w="8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390,4</w:t>
            </w:r>
          </w:p>
        </w:tc>
        <w:tc>
          <w:tcPr>
            <w:tcW w:w="81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17,9</w:t>
            </w:r>
          </w:p>
        </w:tc>
        <w:tc>
          <w:tcPr>
            <w:tcW w:w="1089"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133,8</w:t>
            </w:r>
          </w:p>
        </w:tc>
        <w:tc>
          <w:tcPr>
            <w:tcW w:w="12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13,3</w:t>
            </w:r>
          </w:p>
        </w:tc>
        <w:tc>
          <w:tcPr>
            <w:tcW w:w="11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14,88</w:t>
            </w:r>
          </w:p>
        </w:tc>
        <w:tc>
          <w:tcPr>
            <w:tcW w:w="1134" w:type="dxa"/>
            <w:tcBorders>
              <w:top w:val="single" w:sz="4" w:space="0" w:color="auto"/>
              <w:left w:val="single" w:sz="4" w:space="0" w:color="auto"/>
              <w:bottom w:val="single" w:sz="4" w:space="0" w:color="auto"/>
              <w:right w:val="single" w:sz="4" w:space="0" w:color="auto"/>
            </w:tcBorders>
          </w:tcPr>
          <w:p w:rsidR="00D2086A" w:rsidRPr="002547EA" w:rsidRDefault="00D2086A" w:rsidP="001F2A6D">
            <w:pPr>
              <w:jc w:val="center"/>
              <w:rPr>
                <w:sz w:val="18"/>
                <w:szCs w:val="18"/>
              </w:rPr>
            </w:pPr>
            <w:r>
              <w:rPr>
                <w:sz w:val="18"/>
                <w:szCs w:val="18"/>
              </w:rPr>
              <w:t>12,41</w:t>
            </w:r>
          </w:p>
        </w:tc>
        <w:tc>
          <w:tcPr>
            <w:tcW w:w="974"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1,05</w:t>
            </w:r>
          </w:p>
        </w:tc>
      </w:tr>
      <w:tr w:rsidR="00D2086A" w:rsidRPr="002547EA" w:rsidTr="001F2A6D">
        <w:trPr>
          <w:jc w:val="center"/>
        </w:trPr>
        <w:tc>
          <w:tcPr>
            <w:tcW w:w="5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10.</w:t>
            </w:r>
          </w:p>
        </w:tc>
        <w:tc>
          <w:tcPr>
            <w:tcW w:w="2027"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pStyle w:val="NoSpacing"/>
              <w:rPr>
                <w:sz w:val="18"/>
                <w:szCs w:val="18"/>
              </w:rPr>
            </w:pPr>
            <w:r w:rsidRPr="002547EA">
              <w:rPr>
                <w:bCs/>
                <w:sz w:val="18"/>
                <w:szCs w:val="18"/>
              </w:rPr>
              <w:t>S.A. „Franzeluța”</w:t>
            </w:r>
          </w:p>
        </w:tc>
        <w:tc>
          <w:tcPr>
            <w:tcW w:w="80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374,5</w:t>
            </w:r>
          </w:p>
        </w:tc>
        <w:tc>
          <w:tcPr>
            <w:tcW w:w="816"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92,8</w:t>
            </w:r>
          </w:p>
        </w:tc>
        <w:tc>
          <w:tcPr>
            <w:tcW w:w="1089"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632,3</w:t>
            </w:r>
          </w:p>
        </w:tc>
        <w:tc>
          <w:tcPr>
            <w:tcW w:w="12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14,1</w:t>
            </w:r>
          </w:p>
        </w:tc>
        <w:tc>
          <w:tcPr>
            <w:tcW w:w="1138"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1,76</w:t>
            </w:r>
          </w:p>
        </w:tc>
        <w:tc>
          <w:tcPr>
            <w:tcW w:w="1134" w:type="dxa"/>
            <w:tcBorders>
              <w:top w:val="single" w:sz="4" w:space="0" w:color="auto"/>
              <w:left w:val="single" w:sz="4" w:space="0" w:color="auto"/>
              <w:bottom w:val="single" w:sz="4" w:space="0" w:color="auto"/>
              <w:right w:val="single" w:sz="4" w:space="0" w:color="auto"/>
            </w:tcBorders>
          </w:tcPr>
          <w:p w:rsidR="00D2086A" w:rsidRPr="002547EA" w:rsidRDefault="00D2086A" w:rsidP="001F2A6D">
            <w:pPr>
              <w:jc w:val="center"/>
              <w:rPr>
                <w:sz w:val="18"/>
                <w:szCs w:val="18"/>
              </w:rPr>
            </w:pPr>
            <w:r>
              <w:rPr>
                <w:sz w:val="18"/>
                <w:szCs w:val="18"/>
              </w:rPr>
              <w:t>2,78</w:t>
            </w:r>
          </w:p>
        </w:tc>
        <w:tc>
          <w:tcPr>
            <w:tcW w:w="974" w:type="dxa"/>
            <w:tcBorders>
              <w:top w:val="single" w:sz="4" w:space="0" w:color="auto"/>
              <w:left w:val="single" w:sz="4" w:space="0" w:color="auto"/>
              <w:bottom w:val="single" w:sz="4" w:space="0" w:color="auto"/>
              <w:right w:val="single" w:sz="4" w:space="0" w:color="auto"/>
            </w:tcBorders>
            <w:hideMark/>
          </w:tcPr>
          <w:p w:rsidR="00D2086A" w:rsidRPr="002547EA" w:rsidRDefault="00D2086A" w:rsidP="001F2A6D">
            <w:pPr>
              <w:jc w:val="center"/>
              <w:rPr>
                <w:sz w:val="18"/>
                <w:szCs w:val="18"/>
              </w:rPr>
            </w:pPr>
            <w:r w:rsidRPr="002547EA">
              <w:rPr>
                <w:rFonts w:eastAsia="SimSun"/>
                <w:sz w:val="18"/>
                <w:szCs w:val="18"/>
              </w:rPr>
              <w:t>1,33</w:t>
            </w:r>
          </w:p>
        </w:tc>
      </w:tr>
    </w:tbl>
    <w:p w:rsidR="00D2086A" w:rsidRDefault="00D2086A" w:rsidP="00D2086A">
      <w:pPr>
        <w:spacing w:line="120" w:lineRule="auto"/>
        <w:ind w:firstLine="539"/>
        <w:jc w:val="both"/>
        <w:rPr>
          <w:color w:val="000000"/>
        </w:rPr>
      </w:pPr>
      <w:r>
        <w:rPr>
          <w:color w:val="000000"/>
          <w:sz w:val="28"/>
          <w:szCs w:val="28"/>
        </w:rPr>
        <w:t> </w:t>
      </w:r>
    </w:p>
    <w:p w:rsidR="00D2086A" w:rsidRDefault="00D2086A" w:rsidP="00D81951">
      <w:pPr>
        <w:pStyle w:val="NoSpacing"/>
        <w:spacing w:line="120" w:lineRule="auto"/>
        <w:ind w:firstLine="567"/>
        <w:jc w:val="both"/>
        <w:rPr>
          <w:sz w:val="28"/>
          <w:szCs w:val="28"/>
        </w:rPr>
      </w:pPr>
    </w:p>
    <w:p w:rsidR="00D2086A" w:rsidRPr="00D2086A" w:rsidRDefault="00D2086A" w:rsidP="00D2086A">
      <w:pPr>
        <w:tabs>
          <w:tab w:val="left" w:pos="284"/>
        </w:tabs>
        <w:jc w:val="both"/>
        <w:rPr>
          <w:b/>
          <w:i/>
          <w:sz w:val="28"/>
          <w:szCs w:val="28"/>
        </w:rPr>
      </w:pPr>
      <w:r w:rsidRPr="00D2086A">
        <w:rPr>
          <w:b/>
          <w:i/>
          <w:sz w:val="28"/>
          <w:szCs w:val="28"/>
        </w:rPr>
        <w:t>II. Sinteza rezultatelor monitoringului financiar al activității economico-financiare în semestrul I, 2018 a întreprinderilor de stat și societăților comerciale cu capital</w:t>
      </w:r>
      <w:r w:rsidR="00D81951">
        <w:rPr>
          <w:b/>
          <w:i/>
          <w:sz w:val="28"/>
          <w:szCs w:val="28"/>
        </w:rPr>
        <w:t xml:space="preserve"> integral sau majoritar de stat</w:t>
      </w:r>
    </w:p>
    <w:p w:rsidR="00D2086A" w:rsidRPr="00210B8A" w:rsidRDefault="00D2086A" w:rsidP="00D2086A">
      <w:pPr>
        <w:pStyle w:val="Bodytext30"/>
        <w:shd w:val="clear" w:color="auto" w:fill="auto"/>
        <w:spacing w:line="220" w:lineRule="exact"/>
        <w:rPr>
          <w:lang w:val="en-US"/>
        </w:rPr>
      </w:pPr>
    </w:p>
    <w:p w:rsidR="00D2086A" w:rsidRPr="00570811" w:rsidRDefault="00D2086A" w:rsidP="00D2086A">
      <w:pPr>
        <w:spacing w:line="276" w:lineRule="auto"/>
        <w:ind w:firstLine="567"/>
        <w:jc w:val="both"/>
        <w:rPr>
          <w:sz w:val="28"/>
          <w:szCs w:val="28"/>
        </w:rPr>
      </w:pPr>
      <w:r w:rsidRPr="00570811">
        <w:rPr>
          <w:sz w:val="28"/>
          <w:szCs w:val="28"/>
        </w:rPr>
        <w:t>La situa</w:t>
      </w:r>
      <w:r>
        <w:rPr>
          <w:sz w:val="28"/>
          <w:szCs w:val="28"/>
        </w:rPr>
        <w:t>ț</w:t>
      </w:r>
      <w:r w:rsidRPr="00570811">
        <w:rPr>
          <w:sz w:val="28"/>
          <w:szCs w:val="28"/>
        </w:rPr>
        <w:t>ia din 30</w:t>
      </w:r>
      <w:r w:rsidR="00D81951">
        <w:rPr>
          <w:sz w:val="28"/>
          <w:szCs w:val="28"/>
        </w:rPr>
        <w:t>.06.</w:t>
      </w:r>
      <w:r w:rsidRPr="00570811">
        <w:rPr>
          <w:sz w:val="28"/>
          <w:szCs w:val="28"/>
        </w:rPr>
        <w:t xml:space="preserve">2018, în Registrul patrimoniului public </w:t>
      </w:r>
      <w:r>
        <w:rPr>
          <w:sz w:val="28"/>
          <w:szCs w:val="28"/>
        </w:rPr>
        <w:t>ț</w:t>
      </w:r>
      <w:r w:rsidRPr="00570811">
        <w:rPr>
          <w:sz w:val="28"/>
          <w:szCs w:val="28"/>
        </w:rPr>
        <w:t>inut de către Agen</w:t>
      </w:r>
      <w:r>
        <w:rPr>
          <w:sz w:val="28"/>
          <w:szCs w:val="28"/>
        </w:rPr>
        <w:t>ț</w:t>
      </w:r>
      <w:r w:rsidRPr="00570811">
        <w:rPr>
          <w:sz w:val="28"/>
          <w:szCs w:val="28"/>
        </w:rPr>
        <w:t>ia Proprietă</w:t>
      </w:r>
      <w:r>
        <w:rPr>
          <w:sz w:val="28"/>
          <w:szCs w:val="28"/>
        </w:rPr>
        <w:t>ț</w:t>
      </w:r>
      <w:r w:rsidRPr="00570811">
        <w:rPr>
          <w:sz w:val="28"/>
          <w:szCs w:val="28"/>
        </w:rPr>
        <w:t>ii Publice, sunt incluse:</w:t>
      </w:r>
    </w:p>
    <w:p w:rsidR="00D2086A" w:rsidRPr="00570811" w:rsidRDefault="00D2086A" w:rsidP="00D2086A">
      <w:pPr>
        <w:spacing w:line="276" w:lineRule="auto"/>
        <w:ind w:firstLine="567"/>
        <w:jc w:val="both"/>
        <w:rPr>
          <w:sz w:val="28"/>
          <w:szCs w:val="28"/>
        </w:rPr>
      </w:pPr>
      <w:r w:rsidRPr="00570811">
        <w:rPr>
          <w:sz w:val="28"/>
          <w:szCs w:val="28"/>
        </w:rPr>
        <w:t xml:space="preserve">- 228 întreprinderi de stat, cu capital social în mărime de </w:t>
      </w:r>
      <w:r w:rsidRPr="00570811">
        <w:rPr>
          <w:rStyle w:val="Bodytext295pt"/>
          <w:sz w:val="28"/>
          <w:szCs w:val="28"/>
        </w:rPr>
        <w:t xml:space="preserve">6240,5 </w:t>
      </w:r>
      <w:r w:rsidRPr="00570811">
        <w:rPr>
          <w:sz w:val="28"/>
          <w:szCs w:val="28"/>
        </w:rPr>
        <w:t>mil. lei;</w:t>
      </w:r>
    </w:p>
    <w:p w:rsidR="00D2086A" w:rsidRDefault="00D2086A" w:rsidP="00D2086A">
      <w:pPr>
        <w:spacing w:line="276" w:lineRule="auto"/>
        <w:ind w:firstLine="567"/>
        <w:jc w:val="both"/>
        <w:rPr>
          <w:sz w:val="28"/>
          <w:szCs w:val="28"/>
        </w:rPr>
      </w:pPr>
      <w:r w:rsidRPr="00570811">
        <w:rPr>
          <w:sz w:val="28"/>
          <w:szCs w:val="28"/>
        </w:rPr>
        <w:t>- 91 societă</w:t>
      </w:r>
      <w:r>
        <w:rPr>
          <w:sz w:val="28"/>
          <w:szCs w:val="28"/>
        </w:rPr>
        <w:t>ț</w:t>
      </w:r>
      <w:r w:rsidRPr="00570811">
        <w:rPr>
          <w:sz w:val="28"/>
          <w:szCs w:val="28"/>
        </w:rPr>
        <w:t>i comerciale cu capital de stat, capitalul social al cărora este în mărime de 4926,4 mil. lei, din care proprietatea statului – 3738,0 mil. lei</w:t>
      </w:r>
      <w:r w:rsidR="002431BE">
        <w:rPr>
          <w:sz w:val="28"/>
          <w:szCs w:val="28"/>
        </w:rPr>
        <w:t xml:space="preserve"> (</w:t>
      </w:r>
      <w:r w:rsidRPr="00570811">
        <w:rPr>
          <w:sz w:val="28"/>
          <w:szCs w:val="28"/>
        </w:rPr>
        <w:t>75,9</w:t>
      </w:r>
      <w:r w:rsidR="002431BE">
        <w:rPr>
          <w:sz w:val="28"/>
          <w:szCs w:val="28"/>
        </w:rPr>
        <w:t>%)</w:t>
      </w:r>
      <w:r w:rsidRPr="00570811">
        <w:rPr>
          <w:sz w:val="28"/>
          <w:szCs w:val="28"/>
        </w:rPr>
        <w:t>. Din numărul total al societă</w:t>
      </w:r>
      <w:r>
        <w:rPr>
          <w:sz w:val="28"/>
          <w:szCs w:val="28"/>
        </w:rPr>
        <w:t>ț</w:t>
      </w:r>
      <w:r w:rsidRPr="00570811">
        <w:rPr>
          <w:sz w:val="28"/>
          <w:szCs w:val="28"/>
        </w:rPr>
        <w:t>ilor comerciale, 65 societă</w:t>
      </w:r>
      <w:r>
        <w:rPr>
          <w:sz w:val="28"/>
          <w:szCs w:val="28"/>
        </w:rPr>
        <w:t>ț</w:t>
      </w:r>
      <w:r w:rsidRPr="00570811">
        <w:rPr>
          <w:sz w:val="28"/>
          <w:szCs w:val="28"/>
        </w:rPr>
        <w:t>i comerciale de</w:t>
      </w:r>
      <w:r>
        <w:rPr>
          <w:sz w:val="28"/>
          <w:szCs w:val="28"/>
        </w:rPr>
        <w:t>ț</w:t>
      </w:r>
      <w:r w:rsidRPr="00570811">
        <w:rPr>
          <w:sz w:val="28"/>
          <w:szCs w:val="28"/>
        </w:rPr>
        <w:t>in capital integral sau majoritar de stat, capitalul social al cărora este în mărime de 3388,4 mil. lei, din care proprietatea statului – 3230,5 mil. lei</w:t>
      </w:r>
      <w:r w:rsidR="002431BE">
        <w:rPr>
          <w:sz w:val="28"/>
          <w:szCs w:val="28"/>
        </w:rPr>
        <w:t xml:space="preserve"> (</w:t>
      </w:r>
      <w:r w:rsidRPr="00570811">
        <w:rPr>
          <w:sz w:val="28"/>
          <w:szCs w:val="28"/>
        </w:rPr>
        <w:t>95,3</w:t>
      </w:r>
      <w:r w:rsidR="002431BE">
        <w:rPr>
          <w:sz w:val="28"/>
          <w:szCs w:val="28"/>
        </w:rPr>
        <w:t>%)</w:t>
      </w:r>
      <w:r w:rsidRPr="00570811">
        <w:rPr>
          <w:sz w:val="28"/>
          <w:szCs w:val="28"/>
        </w:rPr>
        <w:t>.</w:t>
      </w:r>
    </w:p>
    <w:p w:rsidR="00611074" w:rsidRDefault="00611074" w:rsidP="00D2086A">
      <w:pPr>
        <w:spacing w:line="276" w:lineRule="auto"/>
        <w:ind w:firstLine="567"/>
        <w:jc w:val="both"/>
        <w:rPr>
          <w:sz w:val="28"/>
          <w:szCs w:val="28"/>
        </w:rPr>
      </w:pPr>
    </w:p>
    <w:p w:rsidR="00611074" w:rsidRDefault="00611074" w:rsidP="00D2086A">
      <w:pPr>
        <w:spacing w:line="276" w:lineRule="auto"/>
        <w:ind w:firstLine="567"/>
        <w:jc w:val="both"/>
        <w:rPr>
          <w:sz w:val="28"/>
          <w:szCs w:val="28"/>
        </w:rPr>
      </w:pPr>
    </w:p>
    <w:p w:rsidR="00611074" w:rsidRPr="00570811" w:rsidRDefault="00611074" w:rsidP="00D2086A">
      <w:pPr>
        <w:spacing w:line="276" w:lineRule="auto"/>
        <w:ind w:firstLine="567"/>
        <w:jc w:val="both"/>
        <w:rPr>
          <w:sz w:val="28"/>
          <w:szCs w:val="28"/>
        </w:rPr>
      </w:pPr>
    </w:p>
    <w:p w:rsidR="00D2086A" w:rsidRPr="002431BE" w:rsidRDefault="00D2086A" w:rsidP="00D2086A">
      <w:pPr>
        <w:pStyle w:val="Bodytext40"/>
        <w:shd w:val="clear" w:color="auto" w:fill="auto"/>
        <w:spacing w:line="190" w:lineRule="exact"/>
        <w:jc w:val="both"/>
        <w:rPr>
          <w:sz w:val="20"/>
          <w:szCs w:val="20"/>
          <w:lang w:val="en-US"/>
        </w:rPr>
      </w:pPr>
      <w:r w:rsidRPr="00210B8A">
        <w:rPr>
          <w:lang w:val="en-US"/>
        </w:rPr>
        <w:t xml:space="preserve">                                                                                                                                                                                      </w:t>
      </w:r>
      <w:r w:rsidRPr="002431BE">
        <w:rPr>
          <w:sz w:val="20"/>
          <w:szCs w:val="20"/>
          <w:lang w:val="en-US"/>
        </w:rPr>
        <w:t xml:space="preserve">Tabelul </w:t>
      </w:r>
      <w:r w:rsidR="002431BE" w:rsidRPr="002431BE">
        <w:rPr>
          <w:sz w:val="20"/>
          <w:szCs w:val="20"/>
          <w:lang w:val="en-US"/>
        </w:rPr>
        <w:t>16.</w:t>
      </w:r>
    </w:p>
    <w:p w:rsidR="00D2086A" w:rsidRPr="002431BE" w:rsidRDefault="00D2086A" w:rsidP="00D2086A">
      <w:pPr>
        <w:jc w:val="center"/>
        <w:rPr>
          <w:rStyle w:val="Tablecaption20"/>
          <w:b/>
          <w:iCs w:val="0"/>
          <w:u w:val="none"/>
        </w:rPr>
      </w:pPr>
      <w:r w:rsidRPr="002431BE">
        <w:rPr>
          <w:b/>
          <w:i/>
          <w:sz w:val="20"/>
          <w:szCs w:val="20"/>
        </w:rPr>
        <w:t xml:space="preserve">Informația consolidată privind numărul întreprinderilor de stat </w:t>
      </w:r>
      <w:r w:rsidRPr="002431BE">
        <w:rPr>
          <w:rStyle w:val="Tablecaption20"/>
          <w:b/>
          <w:iCs w:val="0"/>
          <w:u w:val="none"/>
        </w:rPr>
        <w:t>și societăților comerciale</w:t>
      </w:r>
    </w:p>
    <w:p w:rsidR="00D2086A" w:rsidRPr="002431BE" w:rsidRDefault="00D2086A" w:rsidP="00D2086A">
      <w:pPr>
        <w:jc w:val="center"/>
        <w:rPr>
          <w:rStyle w:val="Tablecaption20"/>
          <w:b/>
          <w:iCs w:val="0"/>
          <w:u w:val="none"/>
        </w:rPr>
      </w:pPr>
      <w:r w:rsidRPr="002431BE">
        <w:rPr>
          <w:rStyle w:val="Tablecaption20"/>
          <w:b/>
          <w:iCs w:val="0"/>
          <w:u w:val="none"/>
        </w:rPr>
        <w:t>cu capital de stat conform Registrului patrimoniului public, la 30.06.2018</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3"/>
        <w:gridCol w:w="637"/>
        <w:gridCol w:w="692"/>
        <w:gridCol w:w="599"/>
        <w:gridCol w:w="762"/>
        <w:gridCol w:w="1061"/>
        <w:gridCol w:w="756"/>
        <w:gridCol w:w="642"/>
        <w:gridCol w:w="1382"/>
      </w:tblGrid>
      <w:tr w:rsidR="00D2086A" w:rsidTr="00C25682">
        <w:trPr>
          <w:tblHeader/>
          <w:jc w:val="center"/>
        </w:trPr>
        <w:tc>
          <w:tcPr>
            <w:tcW w:w="3103"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ind w:left="-404"/>
              <w:jc w:val="both"/>
              <w:rPr>
                <w:sz w:val="20"/>
                <w:szCs w:val="20"/>
              </w:rPr>
            </w:pPr>
            <w:r w:rsidRPr="00D14A04">
              <w:rPr>
                <w:sz w:val="20"/>
                <w:szCs w:val="20"/>
              </w:rPr>
              <w:t> </w:t>
            </w:r>
          </w:p>
        </w:tc>
        <w:tc>
          <w:tcPr>
            <w:tcW w:w="1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center"/>
              <w:rPr>
                <w:sz w:val="18"/>
                <w:szCs w:val="18"/>
              </w:rPr>
            </w:pPr>
            <w:r w:rsidRPr="00D14A04">
              <w:rPr>
                <w:b/>
                <w:bCs/>
                <w:sz w:val="18"/>
                <w:szCs w:val="18"/>
              </w:rPr>
              <w:t>Î.S.</w:t>
            </w:r>
          </w:p>
        </w:tc>
        <w:tc>
          <w:tcPr>
            <w:tcW w:w="5202" w:type="dxa"/>
            <w:gridSpan w:val="6"/>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bCs/>
                <w:sz w:val="18"/>
                <w:szCs w:val="18"/>
              </w:rPr>
            </w:pPr>
            <w:r w:rsidRPr="00D14A04">
              <w:rPr>
                <w:b/>
                <w:bCs/>
                <w:sz w:val="18"/>
                <w:szCs w:val="18"/>
              </w:rPr>
              <w:t>S.A.</w:t>
            </w:r>
          </w:p>
        </w:tc>
      </w:tr>
      <w:tr w:rsidR="00D2086A" w:rsidTr="00C25682">
        <w:trPr>
          <w:tblHeader/>
          <w:jc w:val="center"/>
        </w:trPr>
        <w:tc>
          <w:tcPr>
            <w:tcW w:w="3103" w:type="dxa"/>
            <w:vMerge/>
            <w:tcBorders>
              <w:left w:val="single" w:sz="4" w:space="0" w:color="auto"/>
              <w:right w:val="single" w:sz="4" w:space="0" w:color="auto"/>
            </w:tcBorders>
            <w:vAlign w:val="center"/>
            <w:hideMark/>
          </w:tcPr>
          <w:p w:rsidR="00D2086A" w:rsidRPr="00D14A04" w:rsidRDefault="00D2086A" w:rsidP="001F2A6D">
            <w:pPr>
              <w:rPr>
                <w:sz w:val="20"/>
                <w:szCs w:val="20"/>
              </w:rPr>
            </w:pPr>
          </w:p>
        </w:tc>
        <w:tc>
          <w:tcPr>
            <w:tcW w:w="637" w:type="dxa"/>
            <w:vMerge w:val="restart"/>
            <w:tcBorders>
              <w:top w:val="single" w:sz="4" w:space="0" w:color="auto"/>
              <w:left w:val="single" w:sz="4" w:space="0" w:color="auto"/>
              <w:right w:val="single" w:sz="4" w:space="0" w:color="auto"/>
            </w:tcBorders>
            <w:hideMark/>
          </w:tcPr>
          <w:p w:rsidR="00D2086A" w:rsidRPr="00D14A04" w:rsidRDefault="00D2086A" w:rsidP="001F2A6D">
            <w:pPr>
              <w:spacing w:before="100" w:beforeAutospacing="1" w:after="100" w:afterAutospacing="1"/>
              <w:jc w:val="center"/>
              <w:rPr>
                <w:b/>
                <w:sz w:val="20"/>
                <w:szCs w:val="20"/>
              </w:rPr>
            </w:pPr>
            <w:r w:rsidRPr="00D14A04">
              <w:rPr>
                <w:b/>
                <w:sz w:val="20"/>
                <w:szCs w:val="20"/>
              </w:rPr>
              <w:t>Unită</w:t>
            </w:r>
            <w:r>
              <w:rPr>
                <w:b/>
                <w:sz w:val="20"/>
                <w:szCs w:val="20"/>
              </w:rPr>
              <w:t>ț</w:t>
            </w:r>
            <w:r w:rsidRPr="00D14A04">
              <w:rPr>
                <w:b/>
                <w:sz w:val="20"/>
                <w:szCs w:val="20"/>
              </w:rPr>
              <w:t>i</w:t>
            </w:r>
          </w:p>
        </w:tc>
        <w:tc>
          <w:tcPr>
            <w:tcW w:w="692" w:type="dxa"/>
            <w:vMerge w:val="restart"/>
            <w:tcBorders>
              <w:top w:val="single" w:sz="4" w:space="0" w:color="auto"/>
              <w:left w:val="single" w:sz="4" w:space="0" w:color="auto"/>
              <w:right w:val="single" w:sz="4" w:space="0" w:color="auto"/>
            </w:tcBorders>
            <w:hideMark/>
          </w:tcPr>
          <w:p w:rsidR="00D2086A" w:rsidRPr="00D14A04" w:rsidRDefault="00D2086A" w:rsidP="001F2A6D">
            <w:pPr>
              <w:spacing w:before="100" w:beforeAutospacing="1" w:after="100" w:afterAutospacing="1"/>
              <w:jc w:val="center"/>
              <w:rPr>
                <w:b/>
                <w:sz w:val="18"/>
                <w:szCs w:val="18"/>
              </w:rPr>
            </w:pPr>
            <w:r w:rsidRPr="00D14A04">
              <w:rPr>
                <w:b/>
                <w:sz w:val="18"/>
                <w:szCs w:val="18"/>
              </w:rPr>
              <w:t>Capital social</w:t>
            </w:r>
          </w:p>
          <w:p w:rsidR="00D2086A" w:rsidRPr="00D14A04" w:rsidRDefault="00D2086A" w:rsidP="001F2A6D">
            <w:pPr>
              <w:spacing w:before="100" w:beforeAutospacing="1" w:after="100" w:afterAutospacing="1"/>
              <w:jc w:val="center"/>
              <w:rPr>
                <w:b/>
                <w:sz w:val="18"/>
                <w:szCs w:val="18"/>
              </w:rPr>
            </w:pPr>
            <w:r w:rsidRPr="00D14A04">
              <w:rPr>
                <w:b/>
                <w:sz w:val="18"/>
                <w:szCs w:val="18"/>
              </w:rPr>
              <w:t>(mil.lei)</w:t>
            </w:r>
          </w:p>
        </w:tc>
        <w:tc>
          <w:tcPr>
            <w:tcW w:w="24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ind w:left="-129" w:right="-79"/>
              <w:jc w:val="center"/>
              <w:rPr>
                <w:sz w:val="18"/>
                <w:szCs w:val="18"/>
              </w:rPr>
            </w:pPr>
            <w:r w:rsidRPr="00D14A04">
              <w:rPr>
                <w:b/>
                <w:bCs/>
                <w:sz w:val="18"/>
                <w:szCs w:val="18"/>
              </w:rPr>
              <w:t>Cu cota statului în capitalul social</w:t>
            </w:r>
          </w:p>
        </w:tc>
        <w:tc>
          <w:tcPr>
            <w:tcW w:w="2780" w:type="dxa"/>
            <w:gridSpan w:val="3"/>
            <w:tcBorders>
              <w:top w:val="single" w:sz="4" w:space="0" w:color="auto"/>
              <w:left w:val="single" w:sz="4" w:space="0" w:color="auto"/>
              <w:right w:val="single" w:sz="4" w:space="0" w:color="auto"/>
            </w:tcBorders>
          </w:tcPr>
          <w:p w:rsidR="00D2086A" w:rsidRPr="00D14A04" w:rsidRDefault="00D2086A" w:rsidP="001F2A6D">
            <w:pPr>
              <w:spacing w:before="100" w:beforeAutospacing="1" w:after="100" w:afterAutospacing="1"/>
              <w:jc w:val="center"/>
              <w:rPr>
                <w:sz w:val="18"/>
                <w:szCs w:val="18"/>
              </w:rPr>
            </w:pPr>
            <w:r w:rsidRPr="00D14A04">
              <w:rPr>
                <w:b/>
                <w:bCs/>
                <w:sz w:val="18"/>
                <w:szCs w:val="18"/>
              </w:rPr>
              <w:t>din care cu cota statului mai mare de 50%</w:t>
            </w:r>
          </w:p>
        </w:tc>
      </w:tr>
      <w:tr w:rsidR="00D2086A" w:rsidTr="00C25682">
        <w:trPr>
          <w:tblHeader/>
          <w:jc w:val="center"/>
        </w:trPr>
        <w:tc>
          <w:tcPr>
            <w:tcW w:w="3103" w:type="dxa"/>
            <w:vMerge/>
            <w:tcBorders>
              <w:left w:val="single" w:sz="4" w:space="0" w:color="auto"/>
              <w:right w:val="single" w:sz="4" w:space="0" w:color="auto"/>
            </w:tcBorders>
            <w:vAlign w:val="center"/>
            <w:hideMark/>
          </w:tcPr>
          <w:p w:rsidR="00D2086A" w:rsidRPr="00D14A04" w:rsidRDefault="00D2086A" w:rsidP="001F2A6D">
            <w:pPr>
              <w:rPr>
                <w:sz w:val="20"/>
                <w:szCs w:val="20"/>
              </w:rPr>
            </w:pPr>
          </w:p>
        </w:tc>
        <w:tc>
          <w:tcPr>
            <w:tcW w:w="637" w:type="dxa"/>
            <w:vMerge/>
            <w:tcBorders>
              <w:left w:val="single" w:sz="4" w:space="0" w:color="auto"/>
              <w:right w:val="single" w:sz="4" w:space="0" w:color="auto"/>
            </w:tcBorders>
            <w:vAlign w:val="center"/>
            <w:hideMark/>
          </w:tcPr>
          <w:p w:rsidR="00D2086A" w:rsidRPr="00D14A04" w:rsidRDefault="00D2086A" w:rsidP="001F2A6D">
            <w:pPr>
              <w:rPr>
                <w:b/>
                <w:sz w:val="20"/>
                <w:szCs w:val="20"/>
              </w:rPr>
            </w:pPr>
          </w:p>
        </w:tc>
        <w:tc>
          <w:tcPr>
            <w:tcW w:w="692" w:type="dxa"/>
            <w:vMerge/>
            <w:tcBorders>
              <w:left w:val="single" w:sz="4" w:space="0" w:color="auto"/>
              <w:right w:val="single" w:sz="4" w:space="0" w:color="auto"/>
            </w:tcBorders>
            <w:vAlign w:val="center"/>
            <w:hideMark/>
          </w:tcPr>
          <w:p w:rsidR="00D2086A" w:rsidRPr="00D14A04" w:rsidRDefault="00D2086A" w:rsidP="001F2A6D">
            <w:pPr>
              <w:rPr>
                <w:b/>
                <w:sz w:val="18"/>
                <w:szCs w:val="18"/>
              </w:rPr>
            </w:pPr>
          </w:p>
        </w:tc>
        <w:tc>
          <w:tcPr>
            <w:tcW w:w="599"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ind w:left="-157" w:right="-153"/>
              <w:jc w:val="center"/>
              <w:rPr>
                <w:b/>
                <w:sz w:val="18"/>
                <w:szCs w:val="18"/>
              </w:rPr>
            </w:pPr>
            <w:r w:rsidRPr="00D14A04">
              <w:rPr>
                <w:b/>
                <w:sz w:val="18"/>
                <w:szCs w:val="18"/>
              </w:rPr>
              <w:t>Unită</w:t>
            </w:r>
            <w:r>
              <w:rPr>
                <w:b/>
                <w:sz w:val="18"/>
                <w:szCs w:val="18"/>
              </w:rPr>
              <w:t>ț</w:t>
            </w:r>
            <w:r w:rsidRPr="00D14A04">
              <w:rPr>
                <w:b/>
                <w:sz w:val="18"/>
                <w:szCs w:val="18"/>
              </w:rPr>
              <w:t xml:space="preserve">i </w:t>
            </w:r>
          </w:p>
        </w:tc>
        <w:tc>
          <w:tcPr>
            <w:tcW w:w="1823" w:type="dxa"/>
            <w:gridSpan w:val="2"/>
            <w:tcBorders>
              <w:top w:val="single" w:sz="4" w:space="0" w:color="auto"/>
              <w:left w:val="single" w:sz="4" w:space="0" w:color="auto"/>
              <w:bottom w:val="single" w:sz="4" w:space="0" w:color="auto"/>
              <w:right w:val="single" w:sz="4" w:space="0" w:color="auto"/>
            </w:tcBorders>
            <w:hideMark/>
          </w:tcPr>
          <w:p w:rsidR="00D2086A" w:rsidRPr="00D14A04" w:rsidRDefault="00D2086A" w:rsidP="001F2A6D">
            <w:pPr>
              <w:spacing w:before="100" w:beforeAutospacing="1" w:after="100" w:afterAutospacing="1"/>
              <w:jc w:val="center"/>
              <w:rPr>
                <w:b/>
                <w:sz w:val="18"/>
                <w:szCs w:val="18"/>
              </w:rPr>
            </w:pPr>
            <w:r w:rsidRPr="00D14A04">
              <w:rPr>
                <w:b/>
                <w:sz w:val="18"/>
                <w:szCs w:val="18"/>
              </w:rPr>
              <w:t>Capital social (mil.lei)</w:t>
            </w:r>
          </w:p>
        </w:tc>
        <w:tc>
          <w:tcPr>
            <w:tcW w:w="756" w:type="dxa"/>
            <w:vMerge w:val="restart"/>
            <w:tcBorders>
              <w:left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center"/>
              <w:rPr>
                <w:b/>
                <w:sz w:val="20"/>
                <w:szCs w:val="20"/>
              </w:rPr>
            </w:pPr>
            <w:r w:rsidRPr="00D14A04">
              <w:rPr>
                <w:b/>
                <w:sz w:val="18"/>
                <w:szCs w:val="18"/>
              </w:rPr>
              <w:t>Unită</w:t>
            </w:r>
            <w:r>
              <w:rPr>
                <w:b/>
                <w:sz w:val="18"/>
                <w:szCs w:val="18"/>
              </w:rPr>
              <w:t>ț</w:t>
            </w:r>
            <w:r w:rsidRPr="00D14A04">
              <w:rPr>
                <w:b/>
                <w:sz w:val="18"/>
                <w:szCs w:val="18"/>
              </w:rPr>
              <w:t>i</w:t>
            </w:r>
          </w:p>
        </w:tc>
        <w:tc>
          <w:tcPr>
            <w:tcW w:w="2024" w:type="dxa"/>
            <w:gridSpan w:val="2"/>
            <w:tcBorders>
              <w:left w:val="single" w:sz="4" w:space="0" w:color="auto"/>
              <w:right w:val="single" w:sz="4" w:space="0" w:color="auto"/>
            </w:tcBorders>
          </w:tcPr>
          <w:p w:rsidR="00D2086A" w:rsidRPr="00D14A04" w:rsidRDefault="00D2086A" w:rsidP="001F2A6D">
            <w:r w:rsidRPr="00D14A04">
              <w:rPr>
                <w:b/>
                <w:sz w:val="18"/>
                <w:szCs w:val="18"/>
              </w:rPr>
              <w:t>Capital social (mil.lei)</w:t>
            </w:r>
          </w:p>
        </w:tc>
      </w:tr>
      <w:tr w:rsidR="00D2086A" w:rsidTr="00C25682">
        <w:trPr>
          <w:trHeight w:val="230"/>
          <w:tblHeader/>
          <w:jc w:val="center"/>
        </w:trPr>
        <w:tc>
          <w:tcPr>
            <w:tcW w:w="3103" w:type="dxa"/>
            <w:vMerge/>
            <w:tcBorders>
              <w:left w:val="single" w:sz="4" w:space="0" w:color="auto"/>
              <w:right w:val="single" w:sz="4" w:space="0" w:color="auto"/>
            </w:tcBorders>
            <w:vAlign w:val="center"/>
            <w:hideMark/>
          </w:tcPr>
          <w:p w:rsidR="00D2086A" w:rsidRPr="00D14A04" w:rsidRDefault="00D2086A" w:rsidP="001F2A6D">
            <w:pPr>
              <w:rPr>
                <w:sz w:val="20"/>
                <w:szCs w:val="20"/>
              </w:rPr>
            </w:pPr>
          </w:p>
        </w:tc>
        <w:tc>
          <w:tcPr>
            <w:tcW w:w="637" w:type="dxa"/>
            <w:vMerge/>
            <w:tcBorders>
              <w:left w:val="single" w:sz="4" w:space="0" w:color="auto"/>
              <w:right w:val="single" w:sz="4" w:space="0" w:color="auto"/>
            </w:tcBorders>
            <w:vAlign w:val="center"/>
            <w:hideMark/>
          </w:tcPr>
          <w:p w:rsidR="00D2086A" w:rsidRPr="00D14A04" w:rsidRDefault="00D2086A" w:rsidP="001F2A6D">
            <w:pPr>
              <w:rPr>
                <w:b/>
                <w:sz w:val="20"/>
                <w:szCs w:val="20"/>
              </w:rPr>
            </w:pPr>
          </w:p>
        </w:tc>
        <w:tc>
          <w:tcPr>
            <w:tcW w:w="692" w:type="dxa"/>
            <w:vMerge/>
            <w:tcBorders>
              <w:left w:val="single" w:sz="4" w:space="0" w:color="auto"/>
              <w:right w:val="single" w:sz="4" w:space="0" w:color="auto"/>
            </w:tcBorders>
            <w:vAlign w:val="center"/>
            <w:hideMark/>
          </w:tcPr>
          <w:p w:rsidR="00D2086A" w:rsidRPr="00D14A04" w:rsidRDefault="00D2086A" w:rsidP="001F2A6D">
            <w:pPr>
              <w:rPr>
                <w:b/>
                <w:sz w:val="20"/>
                <w:szCs w:val="20"/>
              </w:rPr>
            </w:pPr>
          </w:p>
        </w:tc>
        <w:tc>
          <w:tcPr>
            <w:tcW w:w="599" w:type="dxa"/>
            <w:vMerge/>
            <w:tcBorders>
              <w:left w:val="single" w:sz="4" w:space="0" w:color="auto"/>
              <w:right w:val="single" w:sz="4" w:space="0" w:color="auto"/>
            </w:tcBorders>
            <w:vAlign w:val="center"/>
            <w:hideMark/>
          </w:tcPr>
          <w:p w:rsidR="00D2086A" w:rsidRPr="00D14A04" w:rsidRDefault="00D2086A" w:rsidP="001F2A6D">
            <w:pPr>
              <w:rPr>
                <w:b/>
                <w:sz w:val="20"/>
                <w:szCs w:val="20"/>
              </w:rPr>
            </w:pPr>
          </w:p>
        </w:tc>
        <w:tc>
          <w:tcPr>
            <w:tcW w:w="762" w:type="dxa"/>
            <w:tcBorders>
              <w:top w:val="single" w:sz="4" w:space="0" w:color="auto"/>
              <w:left w:val="single" w:sz="4" w:space="0" w:color="auto"/>
              <w:right w:val="single" w:sz="4" w:space="0" w:color="auto"/>
            </w:tcBorders>
            <w:hideMark/>
          </w:tcPr>
          <w:p w:rsidR="00D2086A" w:rsidRPr="00D14A04" w:rsidRDefault="00D2086A" w:rsidP="001F2A6D">
            <w:pPr>
              <w:spacing w:before="100" w:beforeAutospacing="1" w:after="100" w:afterAutospacing="1"/>
              <w:jc w:val="center"/>
              <w:rPr>
                <w:b/>
                <w:sz w:val="18"/>
                <w:szCs w:val="18"/>
              </w:rPr>
            </w:pPr>
            <w:r w:rsidRPr="00D14A04">
              <w:rPr>
                <w:b/>
                <w:sz w:val="18"/>
                <w:szCs w:val="18"/>
              </w:rPr>
              <w:t>Total</w:t>
            </w:r>
          </w:p>
        </w:tc>
        <w:tc>
          <w:tcPr>
            <w:tcW w:w="1061" w:type="dxa"/>
            <w:tcBorders>
              <w:top w:val="single" w:sz="4" w:space="0" w:color="auto"/>
              <w:left w:val="single" w:sz="4" w:space="0" w:color="auto"/>
              <w:right w:val="single" w:sz="4" w:space="0" w:color="auto"/>
            </w:tcBorders>
            <w:hideMark/>
          </w:tcPr>
          <w:p w:rsidR="00D2086A" w:rsidRPr="00D14A04" w:rsidRDefault="00D2086A" w:rsidP="001F2A6D">
            <w:pPr>
              <w:spacing w:before="100" w:beforeAutospacing="1" w:after="100" w:afterAutospacing="1"/>
              <w:jc w:val="center"/>
              <w:rPr>
                <w:b/>
                <w:sz w:val="18"/>
                <w:szCs w:val="18"/>
              </w:rPr>
            </w:pPr>
            <w:r w:rsidRPr="00D14A04">
              <w:rPr>
                <w:b/>
                <w:sz w:val="18"/>
                <w:szCs w:val="18"/>
              </w:rPr>
              <w:t>inclusiv cota statului</w:t>
            </w:r>
          </w:p>
        </w:tc>
        <w:tc>
          <w:tcPr>
            <w:tcW w:w="756" w:type="dxa"/>
            <w:vMerge/>
            <w:tcBorders>
              <w:left w:val="single" w:sz="4" w:space="0" w:color="auto"/>
              <w:bottom w:val="single" w:sz="4" w:space="0" w:color="auto"/>
              <w:right w:val="single" w:sz="4" w:space="0" w:color="auto"/>
            </w:tcBorders>
            <w:vAlign w:val="center"/>
            <w:hideMark/>
          </w:tcPr>
          <w:p w:rsidR="00D2086A" w:rsidRPr="00D14A04" w:rsidRDefault="00D2086A" w:rsidP="001F2A6D">
            <w:pPr>
              <w:rPr>
                <w:b/>
                <w:sz w:val="20"/>
                <w:szCs w:val="20"/>
              </w:rPr>
            </w:pPr>
          </w:p>
        </w:tc>
        <w:tc>
          <w:tcPr>
            <w:tcW w:w="642" w:type="dxa"/>
            <w:tcBorders>
              <w:left w:val="single" w:sz="4" w:space="0" w:color="auto"/>
              <w:bottom w:val="single" w:sz="4" w:space="0" w:color="auto"/>
              <w:right w:val="single" w:sz="4" w:space="0" w:color="auto"/>
            </w:tcBorders>
          </w:tcPr>
          <w:p w:rsidR="00D2086A" w:rsidRPr="00D14A04" w:rsidRDefault="00D2086A" w:rsidP="001F2A6D">
            <w:pPr>
              <w:jc w:val="center"/>
              <w:rPr>
                <w:b/>
                <w:sz w:val="20"/>
                <w:szCs w:val="20"/>
              </w:rPr>
            </w:pPr>
            <w:r w:rsidRPr="00D14A04">
              <w:rPr>
                <w:b/>
                <w:sz w:val="18"/>
                <w:szCs w:val="18"/>
              </w:rPr>
              <w:t>Total</w:t>
            </w:r>
          </w:p>
        </w:tc>
        <w:tc>
          <w:tcPr>
            <w:tcW w:w="1382" w:type="dxa"/>
            <w:tcBorders>
              <w:left w:val="single" w:sz="4" w:space="0" w:color="auto"/>
              <w:bottom w:val="single" w:sz="4" w:space="0" w:color="auto"/>
              <w:right w:val="single" w:sz="4" w:space="0" w:color="auto"/>
            </w:tcBorders>
            <w:vAlign w:val="center"/>
          </w:tcPr>
          <w:p w:rsidR="00D2086A" w:rsidRPr="00D14A04" w:rsidRDefault="00D2086A" w:rsidP="001F2A6D">
            <w:pPr>
              <w:jc w:val="center"/>
              <w:rPr>
                <w:b/>
                <w:sz w:val="20"/>
                <w:szCs w:val="20"/>
              </w:rPr>
            </w:pPr>
            <w:r w:rsidRPr="00D14A04">
              <w:rPr>
                <w:b/>
                <w:sz w:val="18"/>
                <w:szCs w:val="18"/>
              </w:rPr>
              <w:t>inclusiv cota statului</w:t>
            </w:r>
          </w:p>
        </w:tc>
      </w:tr>
      <w:tr w:rsidR="00D2086A" w:rsidTr="001F2A6D">
        <w:trPr>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sz w:val="20"/>
                <w:szCs w:val="20"/>
              </w:rPr>
            </w:pPr>
            <w:r w:rsidRPr="00D14A04">
              <w:rPr>
                <w:b/>
                <w:bCs/>
                <w:sz w:val="20"/>
                <w:szCs w:val="20"/>
              </w:rPr>
              <w:t>Total conform Registrului patrimoniului public</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Pr="00D14A04" w:rsidRDefault="00D2086A" w:rsidP="001F2A6D">
            <w:pPr>
              <w:spacing w:line="190" w:lineRule="exact"/>
              <w:jc w:val="center"/>
              <w:rPr>
                <w:b/>
              </w:rPr>
            </w:pPr>
            <w:r w:rsidRPr="00D14A04">
              <w:rPr>
                <w:rStyle w:val="Bodytext295pt"/>
                <w:b/>
              </w:rPr>
              <w:t>228</w:t>
            </w:r>
          </w:p>
        </w:tc>
        <w:tc>
          <w:tcPr>
            <w:tcW w:w="69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6240,5</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Pr="00D14A04" w:rsidRDefault="00D2086A" w:rsidP="001F2A6D">
            <w:pPr>
              <w:spacing w:line="190" w:lineRule="exact"/>
              <w:jc w:val="center"/>
              <w:rPr>
                <w:b/>
              </w:rPr>
            </w:pPr>
            <w:r w:rsidRPr="00D14A04">
              <w:rPr>
                <w:rStyle w:val="Bodytext295pt"/>
                <w:b/>
              </w:rPr>
              <w:t>91</w:t>
            </w:r>
          </w:p>
        </w:tc>
        <w:tc>
          <w:tcPr>
            <w:tcW w:w="76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4926,4</w:t>
            </w:r>
          </w:p>
        </w:tc>
        <w:tc>
          <w:tcPr>
            <w:tcW w:w="1061"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3738,0</w:t>
            </w:r>
          </w:p>
        </w:tc>
        <w:tc>
          <w:tcPr>
            <w:tcW w:w="756"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65</w:t>
            </w:r>
          </w:p>
        </w:tc>
        <w:tc>
          <w:tcPr>
            <w:tcW w:w="64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r>
              <w:rPr>
                <w:b/>
                <w:sz w:val="20"/>
                <w:szCs w:val="20"/>
              </w:rPr>
              <w:t>3388,4</w:t>
            </w:r>
          </w:p>
        </w:tc>
        <w:tc>
          <w:tcPr>
            <w:tcW w:w="138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r>
              <w:rPr>
                <w:b/>
                <w:sz w:val="20"/>
                <w:szCs w:val="20"/>
              </w:rPr>
              <w:t>3230,5</w:t>
            </w:r>
          </w:p>
        </w:tc>
      </w:tr>
      <w:tr w:rsidR="00D2086A" w:rsidTr="001F2A6D">
        <w:trPr>
          <w:trHeight w:val="74"/>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bCs/>
                <w:i/>
                <w:sz w:val="20"/>
                <w:szCs w:val="20"/>
              </w:rPr>
            </w:pPr>
            <w:r w:rsidRPr="00D14A04">
              <w:rPr>
                <w:bCs/>
                <w:i/>
                <w:sz w:val="20"/>
                <w:szCs w:val="20"/>
              </w:rPr>
              <w:t>din care:</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Default="00D2086A" w:rsidP="001F2A6D">
            <w:pPr>
              <w:jc w:val="center"/>
              <w:rPr>
                <w:sz w:val="10"/>
                <w:szCs w:val="10"/>
              </w:rPr>
            </w:pPr>
          </w:p>
        </w:tc>
        <w:tc>
          <w:tcPr>
            <w:tcW w:w="692" w:type="dxa"/>
            <w:tcBorders>
              <w:top w:val="single" w:sz="4" w:space="0" w:color="auto"/>
              <w:left w:val="single" w:sz="4" w:space="0" w:color="auto"/>
              <w:bottom w:val="single" w:sz="4" w:space="0" w:color="auto"/>
              <w:right w:val="single" w:sz="4" w:space="0" w:color="auto"/>
            </w:tcBorders>
          </w:tcPr>
          <w:p w:rsidR="00D2086A" w:rsidRDefault="00D2086A" w:rsidP="001F2A6D">
            <w:pPr>
              <w:jc w:val="center"/>
              <w:rPr>
                <w:sz w:val="10"/>
                <w:szCs w:val="10"/>
              </w:rPr>
            </w:pP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Pr="00B83EFC" w:rsidRDefault="00D2086A" w:rsidP="001F2A6D">
            <w:pPr>
              <w:jc w:val="center"/>
              <w:rPr>
                <w:sz w:val="10"/>
                <w:szCs w:val="10"/>
                <w:highlight w:val="yellow"/>
              </w:rPr>
            </w:pPr>
          </w:p>
        </w:tc>
        <w:tc>
          <w:tcPr>
            <w:tcW w:w="762" w:type="dxa"/>
            <w:tcBorders>
              <w:top w:val="single" w:sz="4" w:space="0" w:color="auto"/>
              <w:left w:val="single" w:sz="4" w:space="0" w:color="auto"/>
              <w:bottom w:val="single" w:sz="4" w:space="0" w:color="auto"/>
              <w:right w:val="single" w:sz="4" w:space="0" w:color="auto"/>
            </w:tcBorders>
          </w:tcPr>
          <w:p w:rsidR="00D2086A" w:rsidRPr="00B83EFC" w:rsidRDefault="00D2086A" w:rsidP="001F2A6D">
            <w:pPr>
              <w:jc w:val="center"/>
              <w:rPr>
                <w:sz w:val="10"/>
                <w:szCs w:val="10"/>
                <w:highlight w:val="yellow"/>
              </w:rPr>
            </w:pPr>
          </w:p>
        </w:tc>
        <w:tc>
          <w:tcPr>
            <w:tcW w:w="1061" w:type="dxa"/>
            <w:tcBorders>
              <w:top w:val="single" w:sz="4" w:space="0" w:color="auto"/>
              <w:left w:val="single" w:sz="4" w:space="0" w:color="auto"/>
              <w:bottom w:val="single" w:sz="4" w:space="0" w:color="auto"/>
              <w:right w:val="single" w:sz="4" w:space="0" w:color="auto"/>
            </w:tcBorders>
          </w:tcPr>
          <w:p w:rsidR="00D2086A" w:rsidRPr="00B83EFC" w:rsidRDefault="00D2086A" w:rsidP="001F2A6D">
            <w:pPr>
              <w:jc w:val="center"/>
              <w:rPr>
                <w:sz w:val="10"/>
                <w:szCs w:val="10"/>
                <w:highlight w:val="yellow"/>
              </w:rPr>
            </w:pPr>
          </w:p>
        </w:tc>
        <w:tc>
          <w:tcPr>
            <w:tcW w:w="756" w:type="dxa"/>
            <w:tcBorders>
              <w:top w:val="single" w:sz="4" w:space="0" w:color="auto"/>
              <w:left w:val="single" w:sz="4" w:space="0" w:color="auto"/>
              <w:bottom w:val="single" w:sz="4" w:space="0" w:color="auto"/>
              <w:right w:val="single" w:sz="4" w:space="0" w:color="auto"/>
            </w:tcBorders>
          </w:tcPr>
          <w:p w:rsidR="00D2086A" w:rsidRPr="00B83EFC" w:rsidRDefault="00D2086A" w:rsidP="001F2A6D">
            <w:pPr>
              <w:jc w:val="center"/>
              <w:rPr>
                <w:sz w:val="10"/>
                <w:szCs w:val="10"/>
                <w:highlight w:val="yellow"/>
              </w:rPr>
            </w:pPr>
          </w:p>
        </w:tc>
        <w:tc>
          <w:tcPr>
            <w:tcW w:w="64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p>
        </w:tc>
        <w:tc>
          <w:tcPr>
            <w:tcW w:w="138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p>
        </w:tc>
      </w:tr>
      <w:tr w:rsidR="00D2086A" w:rsidTr="001F2A6D">
        <w:trPr>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i/>
                <w:sz w:val="20"/>
                <w:szCs w:val="20"/>
              </w:rPr>
            </w:pPr>
            <w:r w:rsidRPr="00D14A04">
              <w:rPr>
                <w:i/>
                <w:iCs/>
                <w:sz w:val="20"/>
                <w:szCs w:val="20"/>
              </w:rPr>
              <w:t>- pe teritoriul Ucrainei</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Default="00D2086A" w:rsidP="001F2A6D">
            <w:pPr>
              <w:spacing w:line="190" w:lineRule="exact"/>
              <w:jc w:val="center"/>
            </w:pPr>
            <w:r>
              <w:rPr>
                <w:rStyle w:val="Bodytext295pt"/>
              </w:rPr>
              <w:t>4</w:t>
            </w:r>
          </w:p>
        </w:tc>
        <w:tc>
          <w:tcPr>
            <w:tcW w:w="692" w:type="dxa"/>
            <w:tcBorders>
              <w:top w:val="single" w:sz="4" w:space="0" w:color="auto"/>
              <w:left w:val="single" w:sz="4" w:space="0" w:color="auto"/>
              <w:bottom w:val="single" w:sz="4" w:space="0" w:color="auto"/>
              <w:right w:val="single" w:sz="4" w:space="0" w:color="auto"/>
            </w:tcBorders>
          </w:tcPr>
          <w:p w:rsidR="00D2086A" w:rsidRDefault="00D2086A" w:rsidP="001F2A6D">
            <w:pPr>
              <w:spacing w:line="190" w:lineRule="exact"/>
              <w:jc w:val="center"/>
            </w:pPr>
            <w:r>
              <w:rPr>
                <w:rStyle w:val="Bodytext295pt"/>
              </w:rPr>
              <w:t>26,9</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Pr="001474C7" w:rsidRDefault="00D2086A" w:rsidP="001F2A6D">
            <w:pPr>
              <w:spacing w:line="80" w:lineRule="exact"/>
              <w:jc w:val="center"/>
            </w:pPr>
            <w:r w:rsidRPr="001474C7">
              <w:rPr>
                <w:rStyle w:val="Bodytext24pt"/>
              </w:rPr>
              <w:t>-</w:t>
            </w:r>
          </w:p>
        </w:tc>
        <w:tc>
          <w:tcPr>
            <w:tcW w:w="762"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80" w:lineRule="exact"/>
              <w:jc w:val="center"/>
            </w:pPr>
            <w:r w:rsidRPr="001474C7">
              <w:rPr>
                <w:rStyle w:val="Bodytext24pt"/>
              </w:rPr>
              <w:t>-</w:t>
            </w:r>
          </w:p>
        </w:tc>
        <w:tc>
          <w:tcPr>
            <w:tcW w:w="1061"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80" w:lineRule="exact"/>
              <w:jc w:val="center"/>
            </w:pPr>
            <w:r w:rsidRPr="001474C7">
              <w:rPr>
                <w:rStyle w:val="Bodytext24pt"/>
              </w:rPr>
              <w:t>-</w:t>
            </w:r>
          </w:p>
        </w:tc>
        <w:tc>
          <w:tcPr>
            <w:tcW w:w="756"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80" w:lineRule="exact"/>
              <w:jc w:val="center"/>
            </w:pPr>
            <w:r w:rsidRPr="001474C7">
              <w:rPr>
                <w:rStyle w:val="Bodytext24pt"/>
              </w:rPr>
              <w:t>-</w:t>
            </w:r>
          </w:p>
        </w:tc>
        <w:tc>
          <w:tcPr>
            <w:tcW w:w="64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sz w:val="20"/>
                <w:szCs w:val="20"/>
              </w:rPr>
            </w:pPr>
          </w:p>
        </w:tc>
        <w:tc>
          <w:tcPr>
            <w:tcW w:w="138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sz w:val="20"/>
                <w:szCs w:val="20"/>
              </w:rPr>
            </w:pPr>
          </w:p>
        </w:tc>
      </w:tr>
      <w:tr w:rsidR="00D2086A" w:rsidTr="001F2A6D">
        <w:trPr>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i/>
                <w:sz w:val="20"/>
                <w:szCs w:val="20"/>
              </w:rPr>
            </w:pPr>
            <w:r w:rsidRPr="00D14A04">
              <w:rPr>
                <w:i/>
                <w:iCs/>
                <w:sz w:val="20"/>
                <w:szCs w:val="20"/>
              </w:rPr>
              <w:t>-în procedura lichidării</w:t>
            </w:r>
            <w:r>
              <w:rPr>
                <w:i/>
                <w:iCs/>
                <w:sz w:val="20"/>
                <w:szCs w:val="20"/>
              </w:rPr>
              <w:t xml:space="preserve"> </w:t>
            </w:r>
            <w:r w:rsidRPr="00D14A04">
              <w:rPr>
                <w:i/>
                <w:iCs/>
                <w:sz w:val="20"/>
                <w:szCs w:val="20"/>
              </w:rPr>
              <w:t>sau insolvabilită</w:t>
            </w:r>
            <w:r>
              <w:rPr>
                <w:i/>
                <w:iCs/>
                <w:sz w:val="20"/>
                <w:szCs w:val="20"/>
              </w:rPr>
              <w:t>ț</w:t>
            </w:r>
            <w:r w:rsidRPr="00D14A04">
              <w:rPr>
                <w:i/>
                <w:iCs/>
                <w:sz w:val="20"/>
                <w:szCs w:val="20"/>
              </w:rPr>
              <w:t>ii</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Default="00D2086A" w:rsidP="001F2A6D">
            <w:pPr>
              <w:spacing w:line="190" w:lineRule="exact"/>
              <w:jc w:val="center"/>
            </w:pPr>
            <w:r>
              <w:rPr>
                <w:rStyle w:val="Bodytext295pt"/>
              </w:rPr>
              <w:t>29</w:t>
            </w:r>
          </w:p>
        </w:tc>
        <w:tc>
          <w:tcPr>
            <w:tcW w:w="692" w:type="dxa"/>
            <w:tcBorders>
              <w:top w:val="single" w:sz="4" w:space="0" w:color="auto"/>
              <w:left w:val="single" w:sz="4" w:space="0" w:color="auto"/>
              <w:bottom w:val="single" w:sz="4" w:space="0" w:color="auto"/>
              <w:right w:val="single" w:sz="4" w:space="0" w:color="auto"/>
            </w:tcBorders>
          </w:tcPr>
          <w:p w:rsidR="00D2086A" w:rsidRDefault="00D2086A" w:rsidP="001F2A6D">
            <w:pPr>
              <w:spacing w:line="190" w:lineRule="exact"/>
              <w:jc w:val="center"/>
            </w:pPr>
            <w:r>
              <w:rPr>
                <w:rStyle w:val="Bodytext295pt"/>
              </w:rPr>
              <w:t>285,2</w:t>
            </w:r>
          </w:p>
        </w:tc>
        <w:tc>
          <w:tcPr>
            <w:tcW w:w="599" w:type="dxa"/>
            <w:tcBorders>
              <w:top w:val="single" w:sz="4" w:space="0" w:color="auto"/>
              <w:left w:val="single" w:sz="4" w:space="0" w:color="auto"/>
              <w:bottom w:val="single" w:sz="4" w:space="0" w:color="auto"/>
              <w:right w:val="single" w:sz="4" w:space="0" w:color="auto"/>
            </w:tcBorders>
          </w:tcPr>
          <w:p w:rsidR="00D2086A" w:rsidRPr="00B83EFC" w:rsidRDefault="00D2086A" w:rsidP="001F2A6D">
            <w:pPr>
              <w:spacing w:line="190" w:lineRule="exact"/>
              <w:jc w:val="center"/>
              <w:rPr>
                <w:highlight w:val="yellow"/>
              </w:rPr>
            </w:pPr>
            <w:r>
              <w:rPr>
                <w:rStyle w:val="Bodytext295pt"/>
              </w:rPr>
              <w:t>35</w:t>
            </w:r>
          </w:p>
        </w:tc>
        <w:tc>
          <w:tcPr>
            <w:tcW w:w="762"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pPr>
            <w:r w:rsidRPr="001474C7">
              <w:rPr>
                <w:rStyle w:val="Bodytext295pt"/>
              </w:rPr>
              <w:t>587,</w:t>
            </w:r>
            <w:r>
              <w:rPr>
                <w:rStyle w:val="Bodytext295pt"/>
              </w:rPr>
              <w:t>5</w:t>
            </w:r>
          </w:p>
        </w:tc>
        <w:tc>
          <w:tcPr>
            <w:tcW w:w="1061"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pPr>
            <w:r w:rsidRPr="001474C7">
              <w:rPr>
                <w:rStyle w:val="Bodytext295pt"/>
              </w:rPr>
              <w:t>361,6</w:t>
            </w:r>
          </w:p>
        </w:tc>
        <w:tc>
          <w:tcPr>
            <w:tcW w:w="756" w:type="dxa"/>
            <w:tcBorders>
              <w:top w:val="single" w:sz="4" w:space="0" w:color="auto"/>
              <w:left w:val="single" w:sz="4" w:space="0" w:color="auto"/>
              <w:bottom w:val="single" w:sz="4" w:space="0" w:color="auto"/>
              <w:right w:val="single" w:sz="4" w:space="0" w:color="auto"/>
            </w:tcBorders>
          </w:tcPr>
          <w:p w:rsidR="00D2086A" w:rsidRPr="00B83EFC" w:rsidRDefault="00D2086A" w:rsidP="001F2A6D">
            <w:pPr>
              <w:spacing w:line="190" w:lineRule="exact"/>
              <w:jc w:val="center"/>
              <w:rPr>
                <w:highlight w:val="yellow"/>
              </w:rPr>
            </w:pPr>
            <w:r>
              <w:rPr>
                <w:rStyle w:val="Bodytext295pt"/>
              </w:rPr>
              <w:t>20</w:t>
            </w:r>
          </w:p>
        </w:tc>
        <w:tc>
          <w:tcPr>
            <w:tcW w:w="64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sz w:val="20"/>
                <w:szCs w:val="20"/>
              </w:rPr>
            </w:pPr>
            <w:r>
              <w:rPr>
                <w:sz w:val="20"/>
                <w:szCs w:val="20"/>
              </w:rPr>
              <w:t>417,9</w:t>
            </w:r>
          </w:p>
        </w:tc>
        <w:tc>
          <w:tcPr>
            <w:tcW w:w="138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sz w:val="20"/>
                <w:szCs w:val="20"/>
              </w:rPr>
            </w:pPr>
            <w:r>
              <w:rPr>
                <w:sz w:val="20"/>
                <w:szCs w:val="20"/>
              </w:rPr>
              <w:t>329,9</w:t>
            </w:r>
          </w:p>
        </w:tc>
      </w:tr>
      <w:tr w:rsidR="00D2086A" w:rsidTr="001F2A6D">
        <w:trPr>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i/>
                <w:sz w:val="20"/>
                <w:szCs w:val="20"/>
              </w:rPr>
            </w:pPr>
            <w:r w:rsidRPr="00D14A04">
              <w:rPr>
                <w:i/>
                <w:iCs/>
                <w:sz w:val="20"/>
                <w:szCs w:val="20"/>
              </w:rPr>
              <w:lastRenderedPageBreak/>
              <w:t xml:space="preserve">- nu desfășoară activitate dar sunt înregistrate la Î.S. </w:t>
            </w:r>
            <w:r>
              <w:rPr>
                <w:i/>
                <w:iCs/>
                <w:sz w:val="20"/>
                <w:szCs w:val="20"/>
              </w:rPr>
              <w:t>„</w:t>
            </w:r>
            <w:r w:rsidRPr="00D14A04">
              <w:rPr>
                <w:i/>
                <w:iCs/>
                <w:sz w:val="20"/>
                <w:szCs w:val="20"/>
              </w:rPr>
              <w:t>Agen</w:t>
            </w:r>
            <w:r>
              <w:rPr>
                <w:i/>
                <w:iCs/>
                <w:sz w:val="20"/>
                <w:szCs w:val="20"/>
              </w:rPr>
              <w:t>ț</w:t>
            </w:r>
            <w:r w:rsidRPr="00D14A04">
              <w:rPr>
                <w:i/>
                <w:iCs/>
                <w:sz w:val="20"/>
                <w:szCs w:val="20"/>
              </w:rPr>
              <w:t>ia Servicii  Publice”</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Default="00D2086A" w:rsidP="001F2A6D">
            <w:pPr>
              <w:spacing w:line="190" w:lineRule="exact"/>
              <w:jc w:val="center"/>
            </w:pPr>
            <w:r>
              <w:rPr>
                <w:rStyle w:val="Bodytext295pt"/>
              </w:rPr>
              <w:t>25</w:t>
            </w:r>
          </w:p>
        </w:tc>
        <w:tc>
          <w:tcPr>
            <w:tcW w:w="692" w:type="dxa"/>
            <w:tcBorders>
              <w:top w:val="single" w:sz="4" w:space="0" w:color="auto"/>
              <w:left w:val="single" w:sz="4" w:space="0" w:color="auto"/>
              <w:bottom w:val="single" w:sz="4" w:space="0" w:color="auto"/>
              <w:right w:val="single" w:sz="4" w:space="0" w:color="auto"/>
            </w:tcBorders>
          </w:tcPr>
          <w:p w:rsidR="00D2086A" w:rsidRDefault="00D2086A" w:rsidP="001F2A6D">
            <w:pPr>
              <w:spacing w:line="190" w:lineRule="exact"/>
              <w:jc w:val="center"/>
            </w:pPr>
            <w:r>
              <w:rPr>
                <w:rStyle w:val="Bodytext295pt"/>
              </w:rPr>
              <w:t>23,3</w:t>
            </w:r>
          </w:p>
        </w:tc>
        <w:tc>
          <w:tcPr>
            <w:tcW w:w="599" w:type="dxa"/>
            <w:tcBorders>
              <w:top w:val="single" w:sz="4" w:space="0" w:color="auto"/>
              <w:left w:val="single" w:sz="4" w:space="0" w:color="auto"/>
              <w:bottom w:val="single" w:sz="4" w:space="0" w:color="auto"/>
              <w:right w:val="single" w:sz="4" w:space="0" w:color="auto"/>
            </w:tcBorders>
          </w:tcPr>
          <w:p w:rsidR="00D2086A" w:rsidRPr="00B83EFC" w:rsidRDefault="00D2086A" w:rsidP="001F2A6D">
            <w:pPr>
              <w:spacing w:line="190" w:lineRule="exact"/>
              <w:jc w:val="center"/>
              <w:rPr>
                <w:highlight w:val="yellow"/>
              </w:rPr>
            </w:pPr>
            <w:r w:rsidRPr="001474C7">
              <w:rPr>
                <w:rStyle w:val="Bodytext295pt"/>
              </w:rPr>
              <w:t>11</w:t>
            </w:r>
          </w:p>
        </w:tc>
        <w:tc>
          <w:tcPr>
            <w:tcW w:w="762"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pPr>
            <w:r w:rsidRPr="001474C7">
              <w:rPr>
                <w:rStyle w:val="Bodytext295pt"/>
              </w:rPr>
              <w:t>24,</w:t>
            </w:r>
            <w:r>
              <w:rPr>
                <w:rStyle w:val="Bodytext295pt"/>
              </w:rPr>
              <w:t>5</w:t>
            </w:r>
          </w:p>
        </w:tc>
        <w:tc>
          <w:tcPr>
            <w:tcW w:w="1061"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rPr>
                <w:rStyle w:val="Bodytext295pt"/>
              </w:rPr>
            </w:pPr>
            <w:r w:rsidRPr="001474C7">
              <w:rPr>
                <w:rStyle w:val="Bodytext295pt"/>
              </w:rPr>
              <w:t>14,5</w:t>
            </w:r>
          </w:p>
          <w:p w:rsidR="00D2086A" w:rsidRPr="001474C7" w:rsidRDefault="00D2086A" w:rsidP="001F2A6D">
            <w:pPr>
              <w:spacing w:line="190" w:lineRule="exact"/>
              <w:jc w:val="center"/>
            </w:pPr>
          </w:p>
        </w:tc>
        <w:tc>
          <w:tcPr>
            <w:tcW w:w="756" w:type="dxa"/>
            <w:tcBorders>
              <w:top w:val="single" w:sz="4" w:space="0" w:color="auto"/>
              <w:left w:val="single" w:sz="4" w:space="0" w:color="auto"/>
              <w:bottom w:val="single" w:sz="4" w:space="0" w:color="auto"/>
              <w:right w:val="single" w:sz="4" w:space="0" w:color="auto"/>
            </w:tcBorders>
          </w:tcPr>
          <w:p w:rsidR="00D2086A" w:rsidRPr="00B83EFC" w:rsidRDefault="00D2086A" w:rsidP="001F2A6D">
            <w:pPr>
              <w:spacing w:line="190" w:lineRule="exact"/>
              <w:jc w:val="center"/>
              <w:rPr>
                <w:highlight w:val="yellow"/>
              </w:rPr>
            </w:pPr>
            <w:r w:rsidRPr="001474C7">
              <w:rPr>
                <w:rStyle w:val="Bodytext295pt"/>
              </w:rPr>
              <w:t>9</w:t>
            </w:r>
          </w:p>
        </w:tc>
        <w:tc>
          <w:tcPr>
            <w:tcW w:w="64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sz w:val="20"/>
                <w:szCs w:val="20"/>
              </w:rPr>
            </w:pPr>
            <w:r>
              <w:rPr>
                <w:sz w:val="20"/>
                <w:szCs w:val="20"/>
              </w:rPr>
              <w:t>23,0</w:t>
            </w:r>
          </w:p>
        </w:tc>
        <w:tc>
          <w:tcPr>
            <w:tcW w:w="138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sz w:val="20"/>
                <w:szCs w:val="20"/>
              </w:rPr>
            </w:pPr>
            <w:r>
              <w:rPr>
                <w:sz w:val="20"/>
                <w:szCs w:val="20"/>
              </w:rPr>
              <w:t>14,5</w:t>
            </w:r>
          </w:p>
        </w:tc>
      </w:tr>
      <w:tr w:rsidR="00D2086A" w:rsidTr="001F2A6D">
        <w:trPr>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b/>
                <w:sz w:val="20"/>
                <w:szCs w:val="20"/>
              </w:rPr>
            </w:pPr>
            <w:r w:rsidRPr="00D14A04">
              <w:rPr>
                <w:b/>
                <w:iCs/>
                <w:sz w:val="20"/>
                <w:szCs w:val="20"/>
              </w:rPr>
              <w:t>Incluse în Lista monitorizată de MF</w:t>
            </w:r>
            <w:r>
              <w:rPr>
                <w:b/>
                <w:iCs/>
                <w:sz w:val="20"/>
                <w:szCs w:val="20"/>
              </w:rPr>
              <w:t xml:space="preserve"> în semestrul I, 2018, din care:</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Pr="00D14A04" w:rsidRDefault="00D2086A" w:rsidP="001F2A6D">
            <w:pPr>
              <w:spacing w:line="190" w:lineRule="exact"/>
              <w:jc w:val="center"/>
              <w:rPr>
                <w:b/>
              </w:rPr>
            </w:pPr>
            <w:r w:rsidRPr="00D14A04">
              <w:rPr>
                <w:rStyle w:val="Bodytext295pt"/>
                <w:b/>
              </w:rPr>
              <w:t>170</w:t>
            </w:r>
          </w:p>
        </w:tc>
        <w:tc>
          <w:tcPr>
            <w:tcW w:w="69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5905,1</w:t>
            </w:r>
          </w:p>
        </w:tc>
        <w:tc>
          <w:tcPr>
            <w:tcW w:w="599"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w:t>
            </w:r>
          </w:p>
        </w:tc>
        <w:tc>
          <w:tcPr>
            <w:tcW w:w="76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w:t>
            </w:r>
          </w:p>
        </w:tc>
        <w:tc>
          <w:tcPr>
            <w:tcW w:w="1061"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w:t>
            </w:r>
          </w:p>
        </w:tc>
        <w:tc>
          <w:tcPr>
            <w:tcW w:w="756"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36</w:t>
            </w:r>
          </w:p>
        </w:tc>
        <w:tc>
          <w:tcPr>
            <w:tcW w:w="64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r>
              <w:rPr>
                <w:b/>
                <w:sz w:val="20"/>
                <w:szCs w:val="20"/>
              </w:rPr>
              <w:t>2947,5</w:t>
            </w:r>
          </w:p>
        </w:tc>
        <w:tc>
          <w:tcPr>
            <w:tcW w:w="138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r>
              <w:rPr>
                <w:b/>
                <w:sz w:val="20"/>
                <w:szCs w:val="20"/>
              </w:rPr>
              <w:t>2886,1</w:t>
            </w:r>
          </w:p>
        </w:tc>
      </w:tr>
      <w:tr w:rsidR="00D2086A" w:rsidTr="001F2A6D">
        <w:trPr>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sz w:val="20"/>
                <w:szCs w:val="20"/>
              </w:rPr>
            </w:pPr>
            <w:r w:rsidRPr="00D14A04">
              <w:rPr>
                <w:i/>
                <w:iCs/>
                <w:sz w:val="20"/>
                <w:szCs w:val="20"/>
              </w:rPr>
              <w:t xml:space="preserve">- Nu au prezentat </w:t>
            </w:r>
            <w:r>
              <w:rPr>
                <w:i/>
                <w:iCs/>
                <w:sz w:val="20"/>
                <w:szCs w:val="20"/>
              </w:rPr>
              <w:t>rapoartele statistice</w:t>
            </w:r>
            <w:r w:rsidRPr="00D14A04">
              <w:rPr>
                <w:b/>
                <w:iCs/>
                <w:sz w:val="20"/>
                <w:szCs w:val="20"/>
              </w:rPr>
              <w:t xml:space="preserve"> </w:t>
            </w:r>
            <w:r w:rsidRPr="00D14A04">
              <w:rPr>
                <w:i/>
                <w:iCs/>
                <w:sz w:val="20"/>
                <w:szCs w:val="20"/>
              </w:rPr>
              <w:t>la BNS</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Default="00D2086A" w:rsidP="001F2A6D">
            <w:pPr>
              <w:spacing w:line="190" w:lineRule="exact"/>
              <w:jc w:val="center"/>
            </w:pPr>
            <w:r>
              <w:rPr>
                <w:rStyle w:val="Bodytext295pt"/>
              </w:rPr>
              <w:t>9</w:t>
            </w:r>
          </w:p>
        </w:tc>
        <w:tc>
          <w:tcPr>
            <w:tcW w:w="692" w:type="dxa"/>
            <w:tcBorders>
              <w:top w:val="single" w:sz="4" w:space="0" w:color="auto"/>
              <w:left w:val="single" w:sz="4" w:space="0" w:color="auto"/>
              <w:bottom w:val="single" w:sz="4" w:space="0" w:color="auto"/>
              <w:right w:val="single" w:sz="4" w:space="0" w:color="auto"/>
            </w:tcBorders>
          </w:tcPr>
          <w:p w:rsidR="00D2086A" w:rsidRDefault="00D2086A" w:rsidP="001F2A6D">
            <w:pPr>
              <w:spacing w:line="190" w:lineRule="exact"/>
              <w:jc w:val="center"/>
            </w:pPr>
            <w:r>
              <w:rPr>
                <w:rStyle w:val="Bodytext295pt"/>
              </w:rPr>
              <w:t>6,1</w:t>
            </w:r>
          </w:p>
        </w:tc>
        <w:tc>
          <w:tcPr>
            <w:tcW w:w="599"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pPr>
            <w:r w:rsidRPr="001474C7">
              <w:rPr>
                <w:rStyle w:val="Bodytext295pt"/>
              </w:rPr>
              <w:t>-</w:t>
            </w:r>
          </w:p>
        </w:tc>
        <w:tc>
          <w:tcPr>
            <w:tcW w:w="762"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pPr>
            <w:r w:rsidRPr="001474C7">
              <w:rPr>
                <w:rStyle w:val="Bodytext295pt"/>
              </w:rPr>
              <w:t>-</w:t>
            </w:r>
          </w:p>
        </w:tc>
        <w:tc>
          <w:tcPr>
            <w:tcW w:w="1061"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pPr>
            <w:r w:rsidRPr="001474C7">
              <w:rPr>
                <w:rStyle w:val="Bodytext295pt"/>
              </w:rPr>
              <w:t>-</w:t>
            </w:r>
          </w:p>
        </w:tc>
        <w:tc>
          <w:tcPr>
            <w:tcW w:w="756" w:type="dxa"/>
            <w:tcBorders>
              <w:top w:val="single" w:sz="4" w:space="0" w:color="auto"/>
              <w:left w:val="single" w:sz="4" w:space="0" w:color="auto"/>
              <w:bottom w:val="single" w:sz="4" w:space="0" w:color="auto"/>
              <w:right w:val="single" w:sz="4" w:space="0" w:color="auto"/>
            </w:tcBorders>
          </w:tcPr>
          <w:p w:rsidR="00D2086A" w:rsidRPr="001474C7" w:rsidRDefault="00D2086A" w:rsidP="001F2A6D">
            <w:pPr>
              <w:spacing w:line="190" w:lineRule="exact"/>
              <w:jc w:val="center"/>
            </w:pPr>
            <w:r>
              <w:rPr>
                <w:rStyle w:val="Bodytext295pt"/>
              </w:rPr>
              <w:t>3</w:t>
            </w:r>
          </w:p>
        </w:tc>
        <w:tc>
          <w:tcPr>
            <w:tcW w:w="642" w:type="dxa"/>
            <w:tcBorders>
              <w:top w:val="single" w:sz="4" w:space="0" w:color="auto"/>
              <w:left w:val="single" w:sz="4" w:space="0" w:color="auto"/>
              <w:bottom w:val="single" w:sz="4" w:space="0" w:color="auto"/>
              <w:right w:val="single" w:sz="4" w:space="0" w:color="auto"/>
            </w:tcBorders>
          </w:tcPr>
          <w:p w:rsidR="00D2086A" w:rsidRPr="00CF6E2F" w:rsidRDefault="00D2086A" w:rsidP="001F2A6D">
            <w:pPr>
              <w:spacing w:before="100" w:beforeAutospacing="1" w:after="100" w:afterAutospacing="1"/>
              <w:jc w:val="center"/>
              <w:rPr>
                <w:sz w:val="20"/>
                <w:szCs w:val="20"/>
              </w:rPr>
            </w:pPr>
            <w:r w:rsidRPr="00CF6E2F">
              <w:rPr>
                <w:sz w:val="20"/>
                <w:szCs w:val="20"/>
              </w:rPr>
              <w:t>18</w:t>
            </w:r>
            <w:r>
              <w:rPr>
                <w:sz w:val="20"/>
                <w:szCs w:val="20"/>
              </w:rPr>
              <w:t>,2</w:t>
            </w:r>
          </w:p>
        </w:tc>
        <w:tc>
          <w:tcPr>
            <w:tcW w:w="1382" w:type="dxa"/>
            <w:tcBorders>
              <w:top w:val="single" w:sz="4" w:space="0" w:color="auto"/>
              <w:left w:val="single" w:sz="4" w:space="0" w:color="auto"/>
              <w:bottom w:val="single" w:sz="4" w:space="0" w:color="auto"/>
              <w:right w:val="single" w:sz="4" w:space="0" w:color="auto"/>
            </w:tcBorders>
          </w:tcPr>
          <w:p w:rsidR="00D2086A" w:rsidRPr="00CF6E2F" w:rsidRDefault="00D2086A" w:rsidP="001F2A6D">
            <w:pPr>
              <w:spacing w:before="100" w:beforeAutospacing="1" w:after="100" w:afterAutospacing="1"/>
              <w:jc w:val="center"/>
              <w:rPr>
                <w:sz w:val="20"/>
                <w:szCs w:val="20"/>
              </w:rPr>
            </w:pPr>
            <w:r w:rsidRPr="00CF6E2F">
              <w:rPr>
                <w:sz w:val="20"/>
                <w:szCs w:val="20"/>
              </w:rPr>
              <w:t>17</w:t>
            </w:r>
            <w:r>
              <w:rPr>
                <w:sz w:val="20"/>
                <w:szCs w:val="20"/>
              </w:rPr>
              <w:t>,6</w:t>
            </w:r>
          </w:p>
        </w:tc>
      </w:tr>
      <w:tr w:rsidR="00D2086A" w:rsidTr="001F2A6D">
        <w:trPr>
          <w:jc w:val="center"/>
        </w:trPr>
        <w:tc>
          <w:tcPr>
            <w:tcW w:w="3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86A" w:rsidRPr="00D14A04" w:rsidRDefault="00D2086A" w:rsidP="001F2A6D">
            <w:pPr>
              <w:spacing w:before="100" w:beforeAutospacing="1" w:after="100" w:afterAutospacing="1"/>
              <w:jc w:val="both"/>
              <w:rPr>
                <w:b/>
                <w:sz w:val="20"/>
                <w:szCs w:val="20"/>
              </w:rPr>
            </w:pPr>
            <w:r>
              <w:rPr>
                <w:b/>
                <w:iCs/>
                <w:sz w:val="20"/>
                <w:szCs w:val="20"/>
              </w:rPr>
              <w:t>Total</w:t>
            </w:r>
            <w:r w:rsidRPr="00D14A04">
              <w:rPr>
                <w:b/>
                <w:iCs/>
                <w:sz w:val="20"/>
                <w:szCs w:val="20"/>
              </w:rPr>
              <w:t xml:space="preserve"> supuse monitoringului financiar </w:t>
            </w:r>
            <w:r>
              <w:rPr>
                <w:b/>
                <w:iCs/>
                <w:sz w:val="20"/>
                <w:szCs w:val="20"/>
              </w:rPr>
              <w:t>în semestrul I, 2018</w:t>
            </w:r>
          </w:p>
        </w:tc>
        <w:tc>
          <w:tcPr>
            <w:tcW w:w="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086A" w:rsidRPr="00D14A04" w:rsidRDefault="00D2086A" w:rsidP="001F2A6D">
            <w:pPr>
              <w:spacing w:line="190" w:lineRule="exact"/>
              <w:jc w:val="center"/>
              <w:rPr>
                <w:b/>
              </w:rPr>
            </w:pPr>
            <w:r w:rsidRPr="00D14A04">
              <w:rPr>
                <w:rStyle w:val="Bodytext295pt"/>
                <w:b/>
              </w:rPr>
              <w:t>161</w:t>
            </w:r>
          </w:p>
        </w:tc>
        <w:tc>
          <w:tcPr>
            <w:tcW w:w="69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5899,0</w:t>
            </w:r>
          </w:p>
        </w:tc>
        <w:tc>
          <w:tcPr>
            <w:tcW w:w="599"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jc w:val="center"/>
              <w:rPr>
                <w:b/>
                <w:sz w:val="10"/>
                <w:szCs w:val="10"/>
              </w:rPr>
            </w:pPr>
          </w:p>
        </w:tc>
        <w:tc>
          <w:tcPr>
            <w:tcW w:w="76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w:t>
            </w:r>
          </w:p>
        </w:tc>
        <w:tc>
          <w:tcPr>
            <w:tcW w:w="1061"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w:t>
            </w:r>
          </w:p>
        </w:tc>
        <w:tc>
          <w:tcPr>
            <w:tcW w:w="756"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line="190" w:lineRule="exact"/>
              <w:jc w:val="center"/>
              <w:rPr>
                <w:b/>
              </w:rPr>
            </w:pPr>
            <w:r w:rsidRPr="00D14A04">
              <w:rPr>
                <w:rStyle w:val="Bodytext295pt"/>
                <w:b/>
              </w:rPr>
              <w:t>33</w:t>
            </w:r>
          </w:p>
        </w:tc>
        <w:tc>
          <w:tcPr>
            <w:tcW w:w="64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r>
              <w:rPr>
                <w:b/>
                <w:sz w:val="20"/>
                <w:szCs w:val="20"/>
              </w:rPr>
              <w:t>2929,3</w:t>
            </w:r>
          </w:p>
        </w:tc>
        <w:tc>
          <w:tcPr>
            <w:tcW w:w="1382" w:type="dxa"/>
            <w:tcBorders>
              <w:top w:val="single" w:sz="4" w:space="0" w:color="auto"/>
              <w:left w:val="single" w:sz="4" w:space="0" w:color="auto"/>
              <w:bottom w:val="single" w:sz="4" w:space="0" w:color="auto"/>
              <w:right w:val="single" w:sz="4" w:space="0" w:color="auto"/>
            </w:tcBorders>
          </w:tcPr>
          <w:p w:rsidR="00D2086A" w:rsidRPr="00D14A04" w:rsidRDefault="00D2086A" w:rsidP="001F2A6D">
            <w:pPr>
              <w:spacing w:before="100" w:beforeAutospacing="1" w:after="100" w:afterAutospacing="1"/>
              <w:jc w:val="center"/>
              <w:rPr>
                <w:b/>
                <w:sz w:val="20"/>
                <w:szCs w:val="20"/>
              </w:rPr>
            </w:pPr>
            <w:r>
              <w:rPr>
                <w:b/>
                <w:sz w:val="20"/>
                <w:szCs w:val="20"/>
              </w:rPr>
              <w:t>2868,5</w:t>
            </w:r>
          </w:p>
        </w:tc>
      </w:tr>
    </w:tbl>
    <w:p w:rsidR="00D2086A" w:rsidRPr="00570811" w:rsidRDefault="00D2086A" w:rsidP="00D2086A">
      <w:pPr>
        <w:spacing w:line="276" w:lineRule="auto"/>
        <w:ind w:firstLine="567"/>
        <w:jc w:val="both"/>
        <w:rPr>
          <w:sz w:val="28"/>
          <w:szCs w:val="28"/>
        </w:rPr>
      </w:pPr>
      <w:r w:rsidRPr="00570811">
        <w:rPr>
          <w:sz w:val="28"/>
          <w:szCs w:val="28"/>
        </w:rPr>
        <w:t xml:space="preserve">În perioada analizată, </w:t>
      </w:r>
      <w:r w:rsidRPr="00570811">
        <w:rPr>
          <w:rStyle w:val="Bodytext213ptItalic"/>
          <w:sz w:val="28"/>
          <w:szCs w:val="28"/>
        </w:rPr>
        <w:t>au fost supuse monitorizării financiare</w:t>
      </w:r>
      <w:r w:rsidRPr="00570811">
        <w:rPr>
          <w:sz w:val="28"/>
          <w:szCs w:val="28"/>
        </w:rPr>
        <w:t xml:space="preserve"> </w:t>
      </w:r>
      <w:r w:rsidRPr="00570811">
        <w:rPr>
          <w:rStyle w:val="Bodytext213ptItalic"/>
          <w:sz w:val="28"/>
          <w:szCs w:val="28"/>
        </w:rPr>
        <w:t>162 întreprinderi de stat</w:t>
      </w:r>
      <w:r w:rsidR="00D81951">
        <w:rPr>
          <w:rStyle w:val="FootnoteReference"/>
          <w:i/>
          <w:iCs/>
          <w:color w:val="000000"/>
          <w:sz w:val="28"/>
          <w:szCs w:val="28"/>
          <w:shd w:val="clear" w:color="auto" w:fill="FFFFFF"/>
          <w:lang w:eastAsia="ro-RO" w:bidi="ro-RO"/>
        </w:rPr>
        <w:footnoteReference w:id="10"/>
      </w:r>
      <w:r w:rsidRPr="00570811">
        <w:rPr>
          <w:rStyle w:val="Bodytext213ptItalic"/>
          <w:sz w:val="28"/>
          <w:szCs w:val="28"/>
        </w:rPr>
        <w:t xml:space="preserve"> și 33 societă</w:t>
      </w:r>
      <w:r>
        <w:rPr>
          <w:rStyle w:val="Bodytext213ptItalic"/>
          <w:sz w:val="28"/>
          <w:szCs w:val="28"/>
        </w:rPr>
        <w:t>ț</w:t>
      </w:r>
      <w:r w:rsidRPr="00570811">
        <w:rPr>
          <w:rStyle w:val="Bodytext213ptItalic"/>
          <w:sz w:val="28"/>
          <w:szCs w:val="28"/>
        </w:rPr>
        <w:t>i comerciale cu capital integral sau majoritar de stat,</w:t>
      </w:r>
      <w:r w:rsidRPr="00570811">
        <w:rPr>
          <w:sz w:val="28"/>
          <w:szCs w:val="28"/>
        </w:rPr>
        <w:t xml:space="preserve"> inclusiv 11 societă</w:t>
      </w:r>
      <w:r>
        <w:rPr>
          <w:sz w:val="28"/>
          <w:szCs w:val="28"/>
        </w:rPr>
        <w:t>ț</w:t>
      </w:r>
      <w:r w:rsidRPr="00570811">
        <w:rPr>
          <w:sz w:val="28"/>
          <w:szCs w:val="28"/>
        </w:rPr>
        <w:t>i comerciale cu capital integral de stat</w:t>
      </w:r>
      <w:r w:rsidR="002431BE">
        <w:rPr>
          <w:sz w:val="28"/>
          <w:szCs w:val="28"/>
        </w:rPr>
        <w:t xml:space="preserve"> (în continuare – societăți pe acțiuni)</w:t>
      </w:r>
      <w:r w:rsidRPr="00570811">
        <w:rPr>
          <w:sz w:val="28"/>
          <w:szCs w:val="28"/>
        </w:rPr>
        <w:t>, care au prezentat rapoartele statistice trimestriale Biroului Na</w:t>
      </w:r>
      <w:r>
        <w:rPr>
          <w:sz w:val="28"/>
          <w:szCs w:val="28"/>
        </w:rPr>
        <w:t>ț</w:t>
      </w:r>
      <w:r w:rsidRPr="00570811">
        <w:rPr>
          <w:sz w:val="28"/>
          <w:szCs w:val="28"/>
        </w:rPr>
        <w:t>ional de Statistică</w:t>
      </w:r>
      <w:r w:rsidR="002431BE">
        <w:rPr>
          <w:sz w:val="28"/>
          <w:szCs w:val="28"/>
        </w:rPr>
        <w:t xml:space="preserve"> (BNS)</w:t>
      </w:r>
      <w:r w:rsidRPr="00570811">
        <w:rPr>
          <w:sz w:val="28"/>
          <w:szCs w:val="28"/>
        </w:rPr>
        <w:t xml:space="preserve"> și au fost incluse în sfera de cercetare</w:t>
      </w:r>
      <w:r w:rsidR="002431BE">
        <w:rPr>
          <w:sz w:val="28"/>
          <w:szCs w:val="28"/>
        </w:rPr>
        <w:t xml:space="preserve"> a BNS</w:t>
      </w:r>
      <w:r w:rsidRPr="00570811">
        <w:rPr>
          <w:sz w:val="28"/>
          <w:szCs w:val="28"/>
        </w:rPr>
        <w:t>.</w:t>
      </w:r>
    </w:p>
    <w:p w:rsidR="00D2086A" w:rsidRDefault="00D2086A" w:rsidP="002431BE">
      <w:pPr>
        <w:tabs>
          <w:tab w:val="left" w:pos="9781"/>
        </w:tabs>
        <w:spacing w:line="276" w:lineRule="auto"/>
        <w:ind w:right="328" w:firstLine="567"/>
        <w:jc w:val="right"/>
        <w:rPr>
          <w:sz w:val="20"/>
          <w:szCs w:val="20"/>
        </w:rPr>
      </w:pPr>
      <w:r w:rsidRPr="00EC4E94">
        <w:rPr>
          <w:sz w:val="20"/>
          <w:szCs w:val="20"/>
        </w:rPr>
        <w:t xml:space="preserve">Tabelul </w:t>
      </w:r>
      <w:r w:rsidR="002431BE">
        <w:rPr>
          <w:sz w:val="20"/>
          <w:szCs w:val="20"/>
        </w:rPr>
        <w:t>17.</w:t>
      </w:r>
    </w:p>
    <w:p w:rsidR="002431BE" w:rsidRDefault="00D2086A" w:rsidP="00D2086A">
      <w:pPr>
        <w:jc w:val="center"/>
        <w:rPr>
          <w:b/>
          <w:i/>
          <w:sz w:val="20"/>
          <w:szCs w:val="20"/>
          <w:lang w:val="ro-MD"/>
        </w:rPr>
      </w:pPr>
      <w:r w:rsidRPr="002431BE">
        <w:rPr>
          <w:b/>
          <w:i/>
          <w:sz w:val="20"/>
          <w:szCs w:val="20"/>
        </w:rPr>
        <w:t>Inform</w:t>
      </w:r>
      <w:r w:rsidRPr="002431BE">
        <w:rPr>
          <w:b/>
          <w:i/>
          <w:sz w:val="20"/>
          <w:szCs w:val="20"/>
          <w:lang w:val="ro-MD"/>
        </w:rPr>
        <w:t xml:space="preserve">ația consolidată a principalilor indicatori economici ai întreprinderilor de stat și societăților pe acțiuni           </w:t>
      </w:r>
    </w:p>
    <w:p w:rsidR="00D2086A" w:rsidRPr="002431BE" w:rsidRDefault="00D2086A" w:rsidP="00D2086A">
      <w:pPr>
        <w:jc w:val="center"/>
        <w:rPr>
          <w:b/>
          <w:i/>
          <w:sz w:val="20"/>
          <w:szCs w:val="20"/>
          <w:lang w:val="ro-MD"/>
        </w:rPr>
      </w:pPr>
      <w:r w:rsidRPr="002431BE">
        <w:rPr>
          <w:b/>
          <w:i/>
          <w:sz w:val="20"/>
          <w:szCs w:val="20"/>
          <w:lang w:val="ro-MD"/>
        </w:rPr>
        <w:t xml:space="preserve"> în 6 luni ale anului 2018, conform bazei comparabile, mil. lei</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1134"/>
        <w:gridCol w:w="1134"/>
        <w:gridCol w:w="992"/>
        <w:gridCol w:w="1134"/>
        <w:gridCol w:w="1134"/>
        <w:gridCol w:w="850"/>
      </w:tblGrid>
      <w:tr w:rsidR="00D2086A" w:rsidRPr="004E60D6" w:rsidTr="002431BE">
        <w:trPr>
          <w:jc w:val="center"/>
        </w:trPr>
        <w:tc>
          <w:tcPr>
            <w:tcW w:w="3046" w:type="dxa"/>
            <w:vMerge w:val="restart"/>
            <w:shd w:val="clear" w:color="auto" w:fill="auto"/>
            <w:vAlign w:val="center"/>
          </w:tcPr>
          <w:p w:rsidR="00D2086A" w:rsidRPr="00FF3911" w:rsidRDefault="00D2086A" w:rsidP="001F2A6D">
            <w:pPr>
              <w:spacing w:line="276" w:lineRule="auto"/>
              <w:ind w:right="-61"/>
              <w:jc w:val="center"/>
              <w:rPr>
                <w:b/>
                <w:sz w:val="20"/>
                <w:szCs w:val="20"/>
              </w:rPr>
            </w:pPr>
            <w:r w:rsidRPr="00FF3911">
              <w:rPr>
                <w:b/>
                <w:sz w:val="20"/>
                <w:szCs w:val="20"/>
              </w:rPr>
              <w:t>Indicatori</w:t>
            </w:r>
          </w:p>
        </w:tc>
        <w:tc>
          <w:tcPr>
            <w:tcW w:w="3260" w:type="dxa"/>
            <w:gridSpan w:val="3"/>
            <w:shd w:val="clear" w:color="auto" w:fill="auto"/>
            <w:vAlign w:val="center"/>
          </w:tcPr>
          <w:p w:rsidR="00D2086A" w:rsidRPr="00FF3911" w:rsidRDefault="00D2086A" w:rsidP="001F2A6D">
            <w:pPr>
              <w:spacing w:line="276" w:lineRule="auto"/>
              <w:ind w:right="328"/>
              <w:jc w:val="center"/>
              <w:rPr>
                <w:b/>
                <w:sz w:val="20"/>
                <w:szCs w:val="20"/>
              </w:rPr>
            </w:pPr>
            <w:r w:rsidRPr="00FF3911">
              <w:rPr>
                <w:b/>
                <w:sz w:val="20"/>
                <w:szCs w:val="20"/>
              </w:rPr>
              <w:t>Întreprinderi de stat</w:t>
            </w:r>
          </w:p>
        </w:tc>
        <w:tc>
          <w:tcPr>
            <w:tcW w:w="3118" w:type="dxa"/>
            <w:gridSpan w:val="3"/>
            <w:shd w:val="clear" w:color="auto" w:fill="auto"/>
            <w:vAlign w:val="center"/>
          </w:tcPr>
          <w:p w:rsidR="00D2086A" w:rsidRPr="00FF3911" w:rsidRDefault="00D2086A" w:rsidP="001F2A6D">
            <w:pPr>
              <w:spacing w:line="276" w:lineRule="auto"/>
              <w:ind w:right="328"/>
              <w:jc w:val="center"/>
              <w:rPr>
                <w:b/>
                <w:sz w:val="20"/>
                <w:szCs w:val="20"/>
              </w:rPr>
            </w:pPr>
            <w:r w:rsidRPr="00FF3911">
              <w:rPr>
                <w:b/>
                <w:sz w:val="20"/>
                <w:szCs w:val="20"/>
              </w:rPr>
              <w:t>Societăți pe acțiuni</w:t>
            </w:r>
          </w:p>
        </w:tc>
      </w:tr>
      <w:tr w:rsidR="00D2086A" w:rsidRPr="004E60D6" w:rsidTr="002431BE">
        <w:trPr>
          <w:jc w:val="center"/>
        </w:trPr>
        <w:tc>
          <w:tcPr>
            <w:tcW w:w="3046" w:type="dxa"/>
            <w:vMerge/>
            <w:shd w:val="clear" w:color="auto" w:fill="auto"/>
            <w:vAlign w:val="center"/>
          </w:tcPr>
          <w:p w:rsidR="00D2086A" w:rsidRPr="00FF3911" w:rsidRDefault="00D2086A" w:rsidP="001F2A6D">
            <w:pPr>
              <w:spacing w:line="276" w:lineRule="auto"/>
              <w:ind w:right="328"/>
              <w:jc w:val="center"/>
              <w:rPr>
                <w:b/>
                <w:sz w:val="20"/>
                <w:szCs w:val="20"/>
              </w:rPr>
            </w:pPr>
          </w:p>
        </w:tc>
        <w:tc>
          <w:tcPr>
            <w:tcW w:w="1134" w:type="dxa"/>
            <w:shd w:val="clear" w:color="auto" w:fill="auto"/>
            <w:vAlign w:val="center"/>
          </w:tcPr>
          <w:p w:rsidR="00D2086A" w:rsidRPr="00FF3911" w:rsidRDefault="00D2086A" w:rsidP="001F2A6D">
            <w:pPr>
              <w:spacing w:line="276" w:lineRule="auto"/>
              <w:ind w:left="-112" w:right="-69"/>
              <w:jc w:val="center"/>
              <w:rPr>
                <w:b/>
                <w:sz w:val="20"/>
                <w:szCs w:val="20"/>
              </w:rPr>
            </w:pPr>
            <w:r w:rsidRPr="00FF3911">
              <w:rPr>
                <w:b/>
                <w:sz w:val="20"/>
                <w:szCs w:val="20"/>
              </w:rPr>
              <w:t>sem. I, 2017</w:t>
            </w:r>
          </w:p>
        </w:tc>
        <w:tc>
          <w:tcPr>
            <w:tcW w:w="1134" w:type="dxa"/>
            <w:shd w:val="clear" w:color="auto" w:fill="auto"/>
            <w:vAlign w:val="center"/>
          </w:tcPr>
          <w:p w:rsidR="00D2086A" w:rsidRPr="00FF3911" w:rsidRDefault="00D2086A" w:rsidP="001F2A6D">
            <w:pPr>
              <w:tabs>
                <w:tab w:val="left" w:pos="0"/>
              </w:tabs>
              <w:spacing w:line="276" w:lineRule="auto"/>
              <w:ind w:left="-112" w:right="-69"/>
              <w:jc w:val="center"/>
              <w:rPr>
                <w:b/>
                <w:sz w:val="20"/>
                <w:szCs w:val="20"/>
              </w:rPr>
            </w:pPr>
            <w:r w:rsidRPr="00FF3911">
              <w:rPr>
                <w:b/>
                <w:sz w:val="20"/>
                <w:szCs w:val="20"/>
              </w:rPr>
              <w:t>sem. I, 2018</w:t>
            </w:r>
          </w:p>
        </w:tc>
        <w:tc>
          <w:tcPr>
            <w:tcW w:w="992" w:type="dxa"/>
            <w:shd w:val="clear" w:color="auto" w:fill="auto"/>
            <w:vAlign w:val="center"/>
          </w:tcPr>
          <w:p w:rsidR="00D2086A" w:rsidRPr="00FF3911" w:rsidRDefault="00D2086A" w:rsidP="001F2A6D">
            <w:pPr>
              <w:spacing w:line="276" w:lineRule="auto"/>
              <w:ind w:left="-112" w:right="-69"/>
              <w:jc w:val="center"/>
              <w:rPr>
                <w:b/>
                <w:sz w:val="20"/>
                <w:szCs w:val="20"/>
              </w:rPr>
            </w:pPr>
            <w:r w:rsidRPr="00FF3911">
              <w:rPr>
                <w:b/>
                <w:sz w:val="20"/>
                <w:szCs w:val="20"/>
              </w:rPr>
              <w:t>abaterea</w:t>
            </w:r>
          </w:p>
        </w:tc>
        <w:tc>
          <w:tcPr>
            <w:tcW w:w="1134" w:type="dxa"/>
            <w:shd w:val="clear" w:color="auto" w:fill="auto"/>
            <w:vAlign w:val="center"/>
          </w:tcPr>
          <w:p w:rsidR="00D2086A" w:rsidRPr="00FF3911" w:rsidRDefault="00D2086A" w:rsidP="001F2A6D">
            <w:pPr>
              <w:spacing w:line="276" w:lineRule="auto"/>
              <w:ind w:left="-112" w:right="-69"/>
              <w:jc w:val="center"/>
              <w:rPr>
                <w:b/>
                <w:sz w:val="20"/>
                <w:szCs w:val="20"/>
              </w:rPr>
            </w:pPr>
            <w:r w:rsidRPr="00FF3911">
              <w:rPr>
                <w:b/>
                <w:sz w:val="20"/>
                <w:szCs w:val="20"/>
              </w:rPr>
              <w:t>sem. I, 2017</w:t>
            </w:r>
          </w:p>
        </w:tc>
        <w:tc>
          <w:tcPr>
            <w:tcW w:w="1134" w:type="dxa"/>
            <w:shd w:val="clear" w:color="auto" w:fill="auto"/>
            <w:vAlign w:val="center"/>
          </w:tcPr>
          <w:p w:rsidR="00D2086A" w:rsidRPr="00FF3911" w:rsidRDefault="00D2086A" w:rsidP="001F2A6D">
            <w:pPr>
              <w:spacing w:line="276" w:lineRule="auto"/>
              <w:ind w:left="-112" w:right="-69"/>
              <w:jc w:val="center"/>
              <w:rPr>
                <w:b/>
                <w:sz w:val="20"/>
                <w:szCs w:val="20"/>
              </w:rPr>
            </w:pPr>
            <w:r w:rsidRPr="00FF3911">
              <w:rPr>
                <w:b/>
                <w:sz w:val="20"/>
                <w:szCs w:val="20"/>
              </w:rPr>
              <w:t>sem. I, 2018</w:t>
            </w:r>
          </w:p>
        </w:tc>
        <w:tc>
          <w:tcPr>
            <w:tcW w:w="850" w:type="dxa"/>
            <w:shd w:val="clear" w:color="auto" w:fill="auto"/>
            <w:vAlign w:val="center"/>
          </w:tcPr>
          <w:p w:rsidR="00D2086A" w:rsidRPr="00FF3911" w:rsidRDefault="00D2086A" w:rsidP="001F2A6D">
            <w:pPr>
              <w:spacing w:line="276" w:lineRule="auto"/>
              <w:ind w:left="-112" w:right="-69"/>
              <w:jc w:val="center"/>
              <w:rPr>
                <w:b/>
                <w:sz w:val="20"/>
                <w:szCs w:val="20"/>
              </w:rPr>
            </w:pPr>
            <w:r w:rsidRPr="00FF3911">
              <w:rPr>
                <w:b/>
                <w:sz w:val="20"/>
                <w:szCs w:val="20"/>
              </w:rPr>
              <w:t>abaterea</w:t>
            </w:r>
          </w:p>
        </w:tc>
      </w:tr>
      <w:tr w:rsidR="00D2086A" w:rsidRPr="004E60D6" w:rsidTr="002431BE">
        <w:trPr>
          <w:jc w:val="center"/>
        </w:trPr>
        <w:tc>
          <w:tcPr>
            <w:tcW w:w="3046" w:type="dxa"/>
            <w:shd w:val="clear" w:color="auto" w:fill="auto"/>
          </w:tcPr>
          <w:p w:rsidR="00D2086A" w:rsidRPr="00FF3911" w:rsidRDefault="00D2086A" w:rsidP="001F2A6D">
            <w:pPr>
              <w:spacing w:line="276" w:lineRule="auto"/>
              <w:ind w:right="328"/>
              <w:jc w:val="both"/>
              <w:rPr>
                <w:b/>
                <w:sz w:val="20"/>
                <w:szCs w:val="20"/>
              </w:rPr>
            </w:pPr>
            <w:r w:rsidRPr="00FF3911">
              <w:rPr>
                <w:b/>
                <w:sz w:val="20"/>
                <w:szCs w:val="20"/>
              </w:rPr>
              <w:t>Venituri din vînzări</w:t>
            </w:r>
          </w:p>
        </w:tc>
        <w:tc>
          <w:tcPr>
            <w:tcW w:w="1134" w:type="dxa"/>
            <w:shd w:val="clear" w:color="auto" w:fill="auto"/>
          </w:tcPr>
          <w:p w:rsidR="00D2086A" w:rsidRPr="00FF3911" w:rsidRDefault="00D2086A" w:rsidP="001F2A6D">
            <w:pPr>
              <w:spacing w:line="276" w:lineRule="auto"/>
              <w:ind w:right="-9"/>
              <w:jc w:val="center"/>
              <w:rPr>
                <w:sz w:val="20"/>
                <w:szCs w:val="20"/>
              </w:rPr>
            </w:pPr>
            <w:r w:rsidRPr="00FF3911">
              <w:rPr>
                <w:sz w:val="20"/>
                <w:szCs w:val="20"/>
              </w:rPr>
              <w:t>2985,7</w:t>
            </w:r>
          </w:p>
        </w:tc>
        <w:tc>
          <w:tcPr>
            <w:tcW w:w="1134" w:type="dxa"/>
            <w:shd w:val="clear" w:color="auto" w:fill="auto"/>
          </w:tcPr>
          <w:p w:rsidR="00D2086A" w:rsidRPr="00FF3911" w:rsidRDefault="00D2086A" w:rsidP="001F2A6D">
            <w:pPr>
              <w:tabs>
                <w:tab w:val="left" w:pos="0"/>
              </w:tabs>
              <w:spacing w:line="276" w:lineRule="auto"/>
              <w:ind w:right="-14"/>
              <w:jc w:val="center"/>
              <w:rPr>
                <w:sz w:val="20"/>
                <w:szCs w:val="20"/>
              </w:rPr>
            </w:pPr>
            <w:r w:rsidRPr="00FF3911">
              <w:rPr>
                <w:sz w:val="20"/>
                <w:szCs w:val="20"/>
              </w:rPr>
              <w:t>3266,0</w:t>
            </w:r>
          </w:p>
        </w:tc>
        <w:tc>
          <w:tcPr>
            <w:tcW w:w="992" w:type="dxa"/>
            <w:shd w:val="clear" w:color="auto" w:fill="auto"/>
          </w:tcPr>
          <w:p w:rsidR="00D2086A" w:rsidRPr="00FF3911" w:rsidRDefault="00D2086A" w:rsidP="001F2A6D">
            <w:pPr>
              <w:spacing w:line="276" w:lineRule="auto"/>
              <w:ind w:right="-106"/>
              <w:jc w:val="center"/>
              <w:rPr>
                <w:sz w:val="20"/>
                <w:szCs w:val="20"/>
              </w:rPr>
            </w:pPr>
            <w:r w:rsidRPr="00FF3911">
              <w:rPr>
                <w:sz w:val="20"/>
                <w:szCs w:val="20"/>
              </w:rPr>
              <w:t>+280,3</w:t>
            </w:r>
          </w:p>
        </w:tc>
        <w:tc>
          <w:tcPr>
            <w:tcW w:w="1134" w:type="dxa"/>
            <w:shd w:val="clear" w:color="auto" w:fill="auto"/>
          </w:tcPr>
          <w:p w:rsidR="00D2086A" w:rsidRPr="00FF3911" w:rsidRDefault="00D2086A" w:rsidP="001F2A6D">
            <w:pPr>
              <w:spacing w:line="276" w:lineRule="auto"/>
              <w:ind w:right="-109"/>
              <w:jc w:val="center"/>
              <w:rPr>
                <w:sz w:val="20"/>
                <w:szCs w:val="20"/>
              </w:rPr>
            </w:pPr>
            <w:r w:rsidRPr="00FF3911">
              <w:rPr>
                <w:sz w:val="20"/>
                <w:szCs w:val="20"/>
              </w:rPr>
              <w:t>6697,6</w:t>
            </w:r>
          </w:p>
        </w:tc>
        <w:tc>
          <w:tcPr>
            <w:tcW w:w="1134" w:type="dxa"/>
            <w:shd w:val="clear" w:color="auto" w:fill="auto"/>
          </w:tcPr>
          <w:p w:rsidR="00D2086A" w:rsidRPr="00FF3911" w:rsidRDefault="00D2086A" w:rsidP="001F2A6D">
            <w:pPr>
              <w:spacing w:line="276" w:lineRule="auto"/>
              <w:ind w:right="-104"/>
              <w:jc w:val="center"/>
              <w:rPr>
                <w:sz w:val="20"/>
                <w:szCs w:val="20"/>
              </w:rPr>
            </w:pPr>
            <w:r w:rsidRPr="00FF3911">
              <w:rPr>
                <w:sz w:val="20"/>
                <w:szCs w:val="20"/>
              </w:rPr>
              <w:t>6987,6</w:t>
            </w:r>
          </w:p>
        </w:tc>
        <w:tc>
          <w:tcPr>
            <w:tcW w:w="850" w:type="dxa"/>
            <w:shd w:val="clear" w:color="auto" w:fill="auto"/>
          </w:tcPr>
          <w:p w:rsidR="00D2086A" w:rsidRPr="00FF3911" w:rsidRDefault="00D2086A" w:rsidP="001F2A6D">
            <w:pPr>
              <w:spacing w:line="276" w:lineRule="auto"/>
              <w:jc w:val="center"/>
              <w:rPr>
                <w:sz w:val="20"/>
                <w:szCs w:val="20"/>
              </w:rPr>
            </w:pPr>
            <w:r w:rsidRPr="00FF3911">
              <w:rPr>
                <w:sz w:val="20"/>
                <w:szCs w:val="20"/>
              </w:rPr>
              <w:t>+290,0</w:t>
            </w:r>
          </w:p>
        </w:tc>
      </w:tr>
      <w:tr w:rsidR="00D2086A" w:rsidRPr="004E60D6" w:rsidTr="002431BE">
        <w:trPr>
          <w:jc w:val="center"/>
        </w:trPr>
        <w:tc>
          <w:tcPr>
            <w:tcW w:w="3046" w:type="dxa"/>
            <w:shd w:val="clear" w:color="auto" w:fill="auto"/>
          </w:tcPr>
          <w:p w:rsidR="00D2086A" w:rsidRPr="00FF3911" w:rsidRDefault="00D2086A" w:rsidP="001F2A6D">
            <w:pPr>
              <w:spacing w:line="276" w:lineRule="auto"/>
              <w:ind w:right="328"/>
              <w:jc w:val="both"/>
              <w:rPr>
                <w:b/>
                <w:sz w:val="20"/>
                <w:szCs w:val="20"/>
              </w:rPr>
            </w:pPr>
            <w:r w:rsidRPr="00FF3911">
              <w:rPr>
                <w:b/>
                <w:sz w:val="20"/>
                <w:szCs w:val="20"/>
              </w:rPr>
              <w:t>Costuri și cheltuieli</w:t>
            </w:r>
          </w:p>
        </w:tc>
        <w:tc>
          <w:tcPr>
            <w:tcW w:w="1134" w:type="dxa"/>
            <w:shd w:val="clear" w:color="auto" w:fill="auto"/>
          </w:tcPr>
          <w:p w:rsidR="00D2086A" w:rsidRPr="00FF3911" w:rsidRDefault="00D2086A" w:rsidP="001F2A6D">
            <w:pPr>
              <w:spacing w:line="276" w:lineRule="auto"/>
              <w:ind w:right="-9"/>
              <w:jc w:val="center"/>
              <w:rPr>
                <w:sz w:val="20"/>
                <w:szCs w:val="20"/>
              </w:rPr>
            </w:pPr>
            <w:r w:rsidRPr="00FF3911">
              <w:rPr>
                <w:sz w:val="20"/>
                <w:szCs w:val="20"/>
              </w:rPr>
              <w:t>3300,8</w:t>
            </w:r>
          </w:p>
        </w:tc>
        <w:tc>
          <w:tcPr>
            <w:tcW w:w="1134" w:type="dxa"/>
            <w:shd w:val="clear" w:color="auto" w:fill="auto"/>
          </w:tcPr>
          <w:p w:rsidR="00D2086A" w:rsidRPr="00FF3911" w:rsidRDefault="00D2086A" w:rsidP="001F2A6D">
            <w:pPr>
              <w:spacing w:line="276" w:lineRule="auto"/>
              <w:ind w:right="-14"/>
              <w:jc w:val="center"/>
              <w:rPr>
                <w:sz w:val="20"/>
                <w:szCs w:val="20"/>
              </w:rPr>
            </w:pPr>
            <w:r w:rsidRPr="00FF3911">
              <w:rPr>
                <w:sz w:val="20"/>
                <w:szCs w:val="20"/>
              </w:rPr>
              <w:t>3534,2</w:t>
            </w:r>
          </w:p>
        </w:tc>
        <w:tc>
          <w:tcPr>
            <w:tcW w:w="992" w:type="dxa"/>
            <w:shd w:val="clear" w:color="auto" w:fill="auto"/>
          </w:tcPr>
          <w:p w:rsidR="00D2086A" w:rsidRPr="00FF3911" w:rsidRDefault="00D2086A" w:rsidP="001F2A6D">
            <w:pPr>
              <w:spacing w:line="276" w:lineRule="auto"/>
              <w:ind w:right="-106"/>
              <w:jc w:val="center"/>
              <w:rPr>
                <w:sz w:val="20"/>
                <w:szCs w:val="20"/>
              </w:rPr>
            </w:pPr>
            <w:r w:rsidRPr="00FF3911">
              <w:rPr>
                <w:sz w:val="20"/>
                <w:szCs w:val="20"/>
              </w:rPr>
              <w:t>+233,4</w:t>
            </w:r>
          </w:p>
        </w:tc>
        <w:tc>
          <w:tcPr>
            <w:tcW w:w="1134" w:type="dxa"/>
            <w:shd w:val="clear" w:color="auto" w:fill="auto"/>
          </w:tcPr>
          <w:p w:rsidR="00D2086A" w:rsidRPr="00FF3911" w:rsidRDefault="00D2086A" w:rsidP="001F2A6D">
            <w:pPr>
              <w:tabs>
                <w:tab w:val="left" w:pos="0"/>
              </w:tabs>
              <w:spacing w:line="276" w:lineRule="auto"/>
              <w:ind w:right="-109"/>
              <w:jc w:val="center"/>
              <w:rPr>
                <w:sz w:val="20"/>
                <w:szCs w:val="20"/>
              </w:rPr>
            </w:pPr>
            <w:r w:rsidRPr="00FF3911">
              <w:rPr>
                <w:sz w:val="20"/>
                <w:szCs w:val="20"/>
              </w:rPr>
              <w:t>4083,5</w:t>
            </w:r>
          </w:p>
        </w:tc>
        <w:tc>
          <w:tcPr>
            <w:tcW w:w="1134" w:type="dxa"/>
            <w:shd w:val="clear" w:color="auto" w:fill="auto"/>
          </w:tcPr>
          <w:p w:rsidR="00D2086A" w:rsidRPr="00FF3911" w:rsidRDefault="00D2086A" w:rsidP="001F2A6D">
            <w:pPr>
              <w:spacing w:line="276" w:lineRule="auto"/>
              <w:ind w:right="-104"/>
              <w:jc w:val="center"/>
              <w:rPr>
                <w:sz w:val="20"/>
                <w:szCs w:val="20"/>
              </w:rPr>
            </w:pPr>
            <w:r w:rsidRPr="00FF3911">
              <w:rPr>
                <w:sz w:val="20"/>
                <w:szCs w:val="20"/>
              </w:rPr>
              <w:t>4192,2</w:t>
            </w:r>
          </w:p>
        </w:tc>
        <w:tc>
          <w:tcPr>
            <w:tcW w:w="850" w:type="dxa"/>
            <w:shd w:val="clear" w:color="auto" w:fill="auto"/>
          </w:tcPr>
          <w:p w:rsidR="00D2086A" w:rsidRPr="00FF3911" w:rsidRDefault="00D2086A" w:rsidP="001F2A6D">
            <w:pPr>
              <w:spacing w:line="276" w:lineRule="auto"/>
              <w:jc w:val="center"/>
              <w:rPr>
                <w:sz w:val="20"/>
                <w:szCs w:val="20"/>
              </w:rPr>
            </w:pPr>
            <w:r w:rsidRPr="00FF3911">
              <w:rPr>
                <w:sz w:val="20"/>
                <w:szCs w:val="20"/>
              </w:rPr>
              <w:t>+108,6</w:t>
            </w:r>
          </w:p>
        </w:tc>
      </w:tr>
      <w:tr w:rsidR="00D2086A" w:rsidRPr="004E60D6" w:rsidTr="002431BE">
        <w:trPr>
          <w:jc w:val="center"/>
        </w:trPr>
        <w:tc>
          <w:tcPr>
            <w:tcW w:w="3046" w:type="dxa"/>
            <w:shd w:val="clear" w:color="auto" w:fill="auto"/>
          </w:tcPr>
          <w:p w:rsidR="00D2086A" w:rsidRPr="00FF3911" w:rsidRDefault="00D2086A" w:rsidP="001F2A6D">
            <w:pPr>
              <w:spacing w:line="276" w:lineRule="auto"/>
              <w:ind w:right="328"/>
              <w:jc w:val="both"/>
              <w:rPr>
                <w:b/>
                <w:sz w:val="20"/>
                <w:szCs w:val="20"/>
              </w:rPr>
            </w:pPr>
            <w:r w:rsidRPr="00FF3911">
              <w:rPr>
                <w:b/>
                <w:sz w:val="20"/>
                <w:szCs w:val="20"/>
              </w:rPr>
              <w:t>Profit (pierderi) total, din care:</w:t>
            </w:r>
          </w:p>
        </w:tc>
        <w:tc>
          <w:tcPr>
            <w:tcW w:w="1134" w:type="dxa"/>
            <w:shd w:val="clear" w:color="auto" w:fill="auto"/>
          </w:tcPr>
          <w:p w:rsidR="00D2086A" w:rsidRPr="00FF3911" w:rsidRDefault="00D2086A" w:rsidP="001F2A6D">
            <w:pPr>
              <w:spacing w:line="276" w:lineRule="auto"/>
              <w:ind w:right="328"/>
              <w:jc w:val="center"/>
              <w:rPr>
                <w:sz w:val="20"/>
                <w:szCs w:val="20"/>
              </w:rPr>
            </w:pPr>
            <w:r w:rsidRPr="00FF3911">
              <w:rPr>
                <w:sz w:val="20"/>
                <w:szCs w:val="20"/>
              </w:rPr>
              <w:t>-</w:t>
            </w:r>
          </w:p>
        </w:tc>
        <w:tc>
          <w:tcPr>
            <w:tcW w:w="1134" w:type="dxa"/>
            <w:shd w:val="clear" w:color="auto" w:fill="auto"/>
          </w:tcPr>
          <w:p w:rsidR="00D2086A" w:rsidRPr="00FF3911" w:rsidRDefault="00D2086A" w:rsidP="001F2A6D">
            <w:pPr>
              <w:spacing w:line="276" w:lineRule="auto"/>
              <w:ind w:right="-14"/>
              <w:jc w:val="center"/>
              <w:rPr>
                <w:sz w:val="20"/>
                <w:szCs w:val="20"/>
              </w:rPr>
            </w:pPr>
            <w:r w:rsidRPr="00FF3911">
              <w:rPr>
                <w:sz w:val="20"/>
                <w:szCs w:val="20"/>
              </w:rPr>
              <w:t>-125,2</w:t>
            </w:r>
          </w:p>
        </w:tc>
        <w:tc>
          <w:tcPr>
            <w:tcW w:w="992" w:type="dxa"/>
            <w:shd w:val="clear" w:color="auto" w:fill="auto"/>
          </w:tcPr>
          <w:p w:rsidR="00D2086A" w:rsidRPr="00FF3911" w:rsidRDefault="00D2086A" w:rsidP="001F2A6D">
            <w:pPr>
              <w:spacing w:line="276" w:lineRule="auto"/>
              <w:ind w:right="328"/>
              <w:jc w:val="center"/>
              <w:rPr>
                <w:sz w:val="20"/>
                <w:szCs w:val="20"/>
              </w:rPr>
            </w:pPr>
            <w:r w:rsidRPr="00FF3911">
              <w:rPr>
                <w:sz w:val="20"/>
                <w:szCs w:val="20"/>
              </w:rPr>
              <w:t>-</w:t>
            </w:r>
          </w:p>
        </w:tc>
        <w:tc>
          <w:tcPr>
            <w:tcW w:w="1134" w:type="dxa"/>
            <w:shd w:val="clear" w:color="auto" w:fill="auto"/>
          </w:tcPr>
          <w:p w:rsidR="00D2086A" w:rsidRPr="00FF3911" w:rsidRDefault="00D2086A" w:rsidP="001F2A6D">
            <w:pPr>
              <w:spacing w:line="276" w:lineRule="auto"/>
              <w:ind w:right="328"/>
              <w:jc w:val="center"/>
              <w:rPr>
                <w:sz w:val="20"/>
                <w:szCs w:val="20"/>
              </w:rPr>
            </w:pPr>
            <w:r w:rsidRPr="00FF3911">
              <w:rPr>
                <w:sz w:val="20"/>
                <w:szCs w:val="20"/>
              </w:rPr>
              <w:t>-</w:t>
            </w:r>
          </w:p>
        </w:tc>
        <w:tc>
          <w:tcPr>
            <w:tcW w:w="1134" w:type="dxa"/>
            <w:shd w:val="clear" w:color="auto" w:fill="auto"/>
          </w:tcPr>
          <w:p w:rsidR="00D2086A" w:rsidRPr="00FF3911" w:rsidRDefault="00D2086A" w:rsidP="001F2A6D">
            <w:pPr>
              <w:tabs>
                <w:tab w:val="left" w:pos="0"/>
              </w:tabs>
              <w:spacing w:line="276" w:lineRule="auto"/>
              <w:ind w:right="-104"/>
              <w:jc w:val="center"/>
              <w:rPr>
                <w:sz w:val="20"/>
                <w:szCs w:val="20"/>
              </w:rPr>
            </w:pPr>
            <w:r w:rsidRPr="00FF3911">
              <w:rPr>
                <w:sz w:val="20"/>
                <w:szCs w:val="20"/>
              </w:rPr>
              <w:t>+460,9</w:t>
            </w:r>
          </w:p>
        </w:tc>
        <w:tc>
          <w:tcPr>
            <w:tcW w:w="850" w:type="dxa"/>
            <w:shd w:val="clear" w:color="auto" w:fill="auto"/>
          </w:tcPr>
          <w:p w:rsidR="00D2086A" w:rsidRPr="00FF3911" w:rsidRDefault="00D2086A" w:rsidP="001F2A6D">
            <w:pPr>
              <w:spacing w:line="276" w:lineRule="auto"/>
              <w:ind w:right="328"/>
              <w:jc w:val="center"/>
              <w:rPr>
                <w:sz w:val="20"/>
                <w:szCs w:val="20"/>
              </w:rPr>
            </w:pPr>
            <w:r w:rsidRPr="00FF3911">
              <w:rPr>
                <w:sz w:val="20"/>
                <w:szCs w:val="20"/>
              </w:rPr>
              <w:t>-</w:t>
            </w:r>
          </w:p>
        </w:tc>
      </w:tr>
      <w:tr w:rsidR="00D2086A" w:rsidRPr="004E60D6" w:rsidTr="002431BE">
        <w:trPr>
          <w:jc w:val="center"/>
        </w:trPr>
        <w:tc>
          <w:tcPr>
            <w:tcW w:w="3046" w:type="dxa"/>
            <w:shd w:val="clear" w:color="auto" w:fill="auto"/>
          </w:tcPr>
          <w:p w:rsidR="00D2086A" w:rsidRPr="00FF3911" w:rsidRDefault="00D2086A" w:rsidP="001F2A6D">
            <w:pPr>
              <w:spacing w:line="276" w:lineRule="auto"/>
              <w:ind w:right="328"/>
              <w:jc w:val="both"/>
              <w:rPr>
                <w:i/>
                <w:sz w:val="20"/>
                <w:szCs w:val="20"/>
              </w:rPr>
            </w:pPr>
            <w:r w:rsidRPr="00FF3911">
              <w:rPr>
                <w:i/>
                <w:sz w:val="20"/>
                <w:szCs w:val="20"/>
              </w:rPr>
              <w:t>Cu profit (76 Î</w:t>
            </w:r>
            <w:r w:rsidR="002431BE">
              <w:rPr>
                <w:i/>
                <w:sz w:val="20"/>
                <w:szCs w:val="20"/>
              </w:rPr>
              <w:t>.</w:t>
            </w:r>
            <w:r w:rsidRPr="00FF3911">
              <w:rPr>
                <w:i/>
                <w:sz w:val="20"/>
                <w:szCs w:val="20"/>
              </w:rPr>
              <w:t>S</w:t>
            </w:r>
            <w:r w:rsidR="002431BE">
              <w:rPr>
                <w:i/>
                <w:sz w:val="20"/>
                <w:szCs w:val="20"/>
              </w:rPr>
              <w:t>.</w:t>
            </w:r>
            <w:r w:rsidRPr="00FF3911">
              <w:rPr>
                <w:i/>
                <w:sz w:val="20"/>
                <w:szCs w:val="20"/>
              </w:rPr>
              <w:t>/ 21 S</w:t>
            </w:r>
            <w:r w:rsidR="002431BE">
              <w:rPr>
                <w:i/>
                <w:sz w:val="20"/>
                <w:szCs w:val="20"/>
              </w:rPr>
              <w:t>.</w:t>
            </w:r>
            <w:r w:rsidRPr="00FF3911">
              <w:rPr>
                <w:i/>
                <w:sz w:val="20"/>
                <w:szCs w:val="20"/>
              </w:rPr>
              <w:t>A</w:t>
            </w:r>
            <w:r w:rsidR="002431BE">
              <w:rPr>
                <w:i/>
                <w:sz w:val="20"/>
                <w:szCs w:val="20"/>
              </w:rPr>
              <w:t>.</w:t>
            </w:r>
            <w:r w:rsidRPr="00FF3911">
              <w:rPr>
                <w:i/>
                <w:sz w:val="20"/>
                <w:szCs w:val="20"/>
              </w:rPr>
              <w:t>)</w:t>
            </w:r>
          </w:p>
        </w:tc>
        <w:tc>
          <w:tcPr>
            <w:tcW w:w="1134" w:type="dxa"/>
            <w:shd w:val="clear" w:color="auto" w:fill="auto"/>
          </w:tcPr>
          <w:p w:rsidR="00D2086A" w:rsidRPr="00FF3911" w:rsidRDefault="00D2086A" w:rsidP="001F2A6D">
            <w:pPr>
              <w:spacing w:line="276" w:lineRule="auto"/>
              <w:ind w:right="328"/>
              <w:jc w:val="center"/>
              <w:rPr>
                <w:i/>
                <w:sz w:val="20"/>
                <w:szCs w:val="20"/>
              </w:rPr>
            </w:pPr>
            <w:r w:rsidRPr="00FF3911">
              <w:rPr>
                <w:i/>
                <w:sz w:val="20"/>
                <w:szCs w:val="20"/>
              </w:rPr>
              <w:t>-</w:t>
            </w:r>
          </w:p>
        </w:tc>
        <w:tc>
          <w:tcPr>
            <w:tcW w:w="1134" w:type="dxa"/>
            <w:shd w:val="clear" w:color="auto" w:fill="auto"/>
          </w:tcPr>
          <w:p w:rsidR="00D2086A" w:rsidRPr="00FF3911" w:rsidRDefault="00D2086A" w:rsidP="001F2A6D">
            <w:pPr>
              <w:spacing w:line="276" w:lineRule="auto"/>
              <w:ind w:right="-14"/>
              <w:jc w:val="center"/>
              <w:rPr>
                <w:i/>
                <w:sz w:val="20"/>
                <w:szCs w:val="20"/>
              </w:rPr>
            </w:pPr>
            <w:r w:rsidRPr="00FF3911">
              <w:rPr>
                <w:i/>
                <w:sz w:val="20"/>
                <w:szCs w:val="20"/>
              </w:rPr>
              <w:t>147,0</w:t>
            </w:r>
          </w:p>
        </w:tc>
        <w:tc>
          <w:tcPr>
            <w:tcW w:w="992" w:type="dxa"/>
            <w:shd w:val="clear" w:color="auto" w:fill="auto"/>
          </w:tcPr>
          <w:p w:rsidR="00D2086A" w:rsidRPr="00FF3911" w:rsidRDefault="00D2086A" w:rsidP="001F2A6D">
            <w:pPr>
              <w:spacing w:line="276" w:lineRule="auto"/>
              <w:ind w:right="328"/>
              <w:jc w:val="center"/>
              <w:rPr>
                <w:i/>
                <w:sz w:val="20"/>
                <w:szCs w:val="20"/>
              </w:rPr>
            </w:pPr>
          </w:p>
        </w:tc>
        <w:tc>
          <w:tcPr>
            <w:tcW w:w="1134" w:type="dxa"/>
            <w:shd w:val="clear" w:color="auto" w:fill="auto"/>
          </w:tcPr>
          <w:p w:rsidR="00D2086A" w:rsidRPr="00FF3911" w:rsidRDefault="00D2086A" w:rsidP="001F2A6D">
            <w:pPr>
              <w:spacing w:line="276" w:lineRule="auto"/>
              <w:ind w:right="328"/>
              <w:jc w:val="center"/>
              <w:rPr>
                <w:i/>
                <w:sz w:val="20"/>
                <w:szCs w:val="20"/>
              </w:rPr>
            </w:pPr>
          </w:p>
        </w:tc>
        <w:tc>
          <w:tcPr>
            <w:tcW w:w="1134" w:type="dxa"/>
            <w:shd w:val="clear" w:color="auto" w:fill="auto"/>
          </w:tcPr>
          <w:p w:rsidR="00D2086A" w:rsidRPr="00FF3911" w:rsidRDefault="00D2086A" w:rsidP="001F2A6D">
            <w:pPr>
              <w:tabs>
                <w:tab w:val="left" w:pos="0"/>
              </w:tabs>
              <w:spacing w:line="276" w:lineRule="auto"/>
              <w:ind w:right="-104"/>
              <w:jc w:val="center"/>
              <w:rPr>
                <w:i/>
                <w:sz w:val="20"/>
                <w:szCs w:val="20"/>
              </w:rPr>
            </w:pPr>
            <w:r w:rsidRPr="00FF3911">
              <w:rPr>
                <w:i/>
                <w:sz w:val="20"/>
                <w:szCs w:val="20"/>
              </w:rPr>
              <w:t>482,2</w:t>
            </w:r>
          </w:p>
        </w:tc>
        <w:tc>
          <w:tcPr>
            <w:tcW w:w="850" w:type="dxa"/>
            <w:shd w:val="clear" w:color="auto" w:fill="auto"/>
          </w:tcPr>
          <w:p w:rsidR="00D2086A" w:rsidRPr="00FF3911" w:rsidRDefault="00D2086A" w:rsidP="001F2A6D">
            <w:pPr>
              <w:spacing w:line="276" w:lineRule="auto"/>
              <w:ind w:right="328"/>
              <w:jc w:val="center"/>
              <w:rPr>
                <w:i/>
                <w:sz w:val="20"/>
                <w:szCs w:val="20"/>
              </w:rPr>
            </w:pPr>
            <w:r w:rsidRPr="00FF3911">
              <w:rPr>
                <w:i/>
                <w:sz w:val="20"/>
                <w:szCs w:val="20"/>
              </w:rPr>
              <w:t>-</w:t>
            </w:r>
          </w:p>
        </w:tc>
      </w:tr>
      <w:tr w:rsidR="00D2086A" w:rsidRPr="004E60D6" w:rsidTr="002431BE">
        <w:trPr>
          <w:jc w:val="center"/>
        </w:trPr>
        <w:tc>
          <w:tcPr>
            <w:tcW w:w="3046" w:type="dxa"/>
            <w:shd w:val="clear" w:color="auto" w:fill="auto"/>
          </w:tcPr>
          <w:p w:rsidR="00D2086A" w:rsidRPr="00FF3911" w:rsidRDefault="00D2086A" w:rsidP="001F2A6D">
            <w:pPr>
              <w:spacing w:line="276" w:lineRule="auto"/>
              <w:ind w:right="328"/>
              <w:jc w:val="both"/>
              <w:rPr>
                <w:i/>
                <w:sz w:val="20"/>
                <w:szCs w:val="20"/>
              </w:rPr>
            </w:pPr>
            <w:r w:rsidRPr="00FF3911">
              <w:rPr>
                <w:i/>
                <w:sz w:val="20"/>
                <w:szCs w:val="20"/>
              </w:rPr>
              <w:t>Cu pierderi (76 Î</w:t>
            </w:r>
            <w:r w:rsidR="002431BE">
              <w:rPr>
                <w:i/>
                <w:sz w:val="20"/>
                <w:szCs w:val="20"/>
              </w:rPr>
              <w:t>.</w:t>
            </w:r>
            <w:r w:rsidRPr="00FF3911">
              <w:rPr>
                <w:i/>
                <w:sz w:val="20"/>
                <w:szCs w:val="20"/>
              </w:rPr>
              <w:t>S</w:t>
            </w:r>
            <w:r w:rsidR="002431BE">
              <w:rPr>
                <w:i/>
                <w:sz w:val="20"/>
                <w:szCs w:val="20"/>
              </w:rPr>
              <w:t>.</w:t>
            </w:r>
            <w:r w:rsidRPr="00FF3911">
              <w:rPr>
                <w:i/>
                <w:sz w:val="20"/>
                <w:szCs w:val="20"/>
              </w:rPr>
              <w:t>/ 12 S</w:t>
            </w:r>
            <w:r w:rsidR="002431BE">
              <w:rPr>
                <w:i/>
                <w:sz w:val="20"/>
                <w:szCs w:val="20"/>
              </w:rPr>
              <w:t>.</w:t>
            </w:r>
            <w:r w:rsidRPr="00FF3911">
              <w:rPr>
                <w:i/>
                <w:sz w:val="20"/>
                <w:szCs w:val="20"/>
              </w:rPr>
              <w:t>A</w:t>
            </w:r>
            <w:r w:rsidR="002431BE">
              <w:rPr>
                <w:i/>
                <w:sz w:val="20"/>
                <w:szCs w:val="20"/>
              </w:rPr>
              <w:t>.</w:t>
            </w:r>
            <w:r w:rsidRPr="00FF3911">
              <w:rPr>
                <w:i/>
                <w:sz w:val="20"/>
                <w:szCs w:val="20"/>
              </w:rPr>
              <w:t>)</w:t>
            </w:r>
          </w:p>
        </w:tc>
        <w:tc>
          <w:tcPr>
            <w:tcW w:w="1134" w:type="dxa"/>
            <w:shd w:val="clear" w:color="auto" w:fill="auto"/>
          </w:tcPr>
          <w:p w:rsidR="00D2086A" w:rsidRPr="00FF3911" w:rsidRDefault="00D2086A" w:rsidP="001F2A6D">
            <w:pPr>
              <w:spacing w:line="276" w:lineRule="auto"/>
              <w:ind w:right="328"/>
              <w:jc w:val="center"/>
              <w:rPr>
                <w:i/>
                <w:sz w:val="20"/>
                <w:szCs w:val="20"/>
              </w:rPr>
            </w:pPr>
            <w:r w:rsidRPr="00FF3911">
              <w:rPr>
                <w:i/>
                <w:sz w:val="20"/>
                <w:szCs w:val="20"/>
              </w:rPr>
              <w:t>-</w:t>
            </w:r>
          </w:p>
        </w:tc>
        <w:tc>
          <w:tcPr>
            <w:tcW w:w="1134" w:type="dxa"/>
            <w:shd w:val="clear" w:color="auto" w:fill="auto"/>
          </w:tcPr>
          <w:p w:rsidR="00D2086A" w:rsidRPr="00FF3911" w:rsidRDefault="00D2086A" w:rsidP="001F2A6D">
            <w:pPr>
              <w:spacing w:line="276" w:lineRule="auto"/>
              <w:ind w:right="-14"/>
              <w:jc w:val="center"/>
              <w:rPr>
                <w:i/>
                <w:sz w:val="20"/>
                <w:szCs w:val="20"/>
              </w:rPr>
            </w:pPr>
            <w:r w:rsidRPr="00FF3911">
              <w:rPr>
                <w:i/>
                <w:sz w:val="20"/>
                <w:szCs w:val="20"/>
              </w:rPr>
              <w:t>-272,2</w:t>
            </w:r>
          </w:p>
        </w:tc>
        <w:tc>
          <w:tcPr>
            <w:tcW w:w="992" w:type="dxa"/>
            <w:shd w:val="clear" w:color="auto" w:fill="auto"/>
          </w:tcPr>
          <w:p w:rsidR="00D2086A" w:rsidRPr="00FF3911" w:rsidRDefault="00D2086A" w:rsidP="001F2A6D">
            <w:pPr>
              <w:spacing w:line="276" w:lineRule="auto"/>
              <w:ind w:right="328"/>
              <w:jc w:val="center"/>
              <w:rPr>
                <w:i/>
                <w:sz w:val="20"/>
                <w:szCs w:val="20"/>
              </w:rPr>
            </w:pPr>
          </w:p>
        </w:tc>
        <w:tc>
          <w:tcPr>
            <w:tcW w:w="1134" w:type="dxa"/>
            <w:shd w:val="clear" w:color="auto" w:fill="auto"/>
          </w:tcPr>
          <w:p w:rsidR="00D2086A" w:rsidRPr="00FF3911" w:rsidRDefault="00D2086A" w:rsidP="001F2A6D">
            <w:pPr>
              <w:spacing w:line="276" w:lineRule="auto"/>
              <w:ind w:right="328"/>
              <w:jc w:val="center"/>
              <w:rPr>
                <w:i/>
                <w:sz w:val="20"/>
                <w:szCs w:val="20"/>
              </w:rPr>
            </w:pPr>
          </w:p>
        </w:tc>
        <w:tc>
          <w:tcPr>
            <w:tcW w:w="1134" w:type="dxa"/>
            <w:shd w:val="clear" w:color="auto" w:fill="auto"/>
          </w:tcPr>
          <w:p w:rsidR="00D2086A" w:rsidRPr="00FF3911" w:rsidRDefault="00D2086A" w:rsidP="001F2A6D">
            <w:pPr>
              <w:tabs>
                <w:tab w:val="left" w:pos="0"/>
              </w:tabs>
              <w:spacing w:line="276" w:lineRule="auto"/>
              <w:ind w:right="-104"/>
              <w:jc w:val="center"/>
              <w:rPr>
                <w:i/>
                <w:sz w:val="20"/>
                <w:szCs w:val="20"/>
              </w:rPr>
            </w:pPr>
            <w:r w:rsidRPr="00FF3911">
              <w:rPr>
                <w:i/>
                <w:sz w:val="20"/>
                <w:szCs w:val="20"/>
              </w:rPr>
              <w:t>-21,3</w:t>
            </w:r>
          </w:p>
        </w:tc>
        <w:tc>
          <w:tcPr>
            <w:tcW w:w="850" w:type="dxa"/>
            <w:shd w:val="clear" w:color="auto" w:fill="auto"/>
          </w:tcPr>
          <w:p w:rsidR="00D2086A" w:rsidRPr="00FF3911" w:rsidRDefault="00D2086A" w:rsidP="001F2A6D">
            <w:pPr>
              <w:spacing w:line="276" w:lineRule="auto"/>
              <w:ind w:right="328"/>
              <w:jc w:val="center"/>
              <w:rPr>
                <w:i/>
                <w:sz w:val="20"/>
                <w:szCs w:val="20"/>
              </w:rPr>
            </w:pPr>
            <w:r w:rsidRPr="00FF3911">
              <w:rPr>
                <w:i/>
                <w:sz w:val="20"/>
                <w:szCs w:val="20"/>
              </w:rPr>
              <w:t>-</w:t>
            </w:r>
          </w:p>
        </w:tc>
      </w:tr>
      <w:tr w:rsidR="00D2086A" w:rsidRPr="004E60D6" w:rsidTr="002431BE">
        <w:trPr>
          <w:jc w:val="center"/>
        </w:trPr>
        <w:tc>
          <w:tcPr>
            <w:tcW w:w="3046" w:type="dxa"/>
            <w:shd w:val="clear" w:color="auto" w:fill="auto"/>
          </w:tcPr>
          <w:p w:rsidR="00D2086A" w:rsidRPr="00FF3911" w:rsidRDefault="00D2086A" w:rsidP="001F2A6D">
            <w:pPr>
              <w:spacing w:line="276" w:lineRule="auto"/>
              <w:ind w:right="328"/>
              <w:jc w:val="both"/>
              <w:rPr>
                <w:b/>
                <w:sz w:val="20"/>
                <w:szCs w:val="20"/>
              </w:rPr>
            </w:pPr>
            <w:r w:rsidRPr="00FF3911">
              <w:rPr>
                <w:b/>
                <w:sz w:val="20"/>
                <w:szCs w:val="20"/>
              </w:rPr>
              <w:t>Achitările impozitelor și taxelor în BPN</w:t>
            </w:r>
          </w:p>
        </w:tc>
        <w:tc>
          <w:tcPr>
            <w:tcW w:w="1134" w:type="dxa"/>
            <w:shd w:val="clear" w:color="auto" w:fill="auto"/>
          </w:tcPr>
          <w:p w:rsidR="00D2086A" w:rsidRPr="00FF3911" w:rsidRDefault="00D2086A" w:rsidP="001F2A6D">
            <w:pPr>
              <w:tabs>
                <w:tab w:val="left" w:pos="0"/>
              </w:tabs>
              <w:spacing w:line="276" w:lineRule="auto"/>
              <w:ind w:right="-9"/>
              <w:jc w:val="center"/>
              <w:rPr>
                <w:sz w:val="20"/>
                <w:szCs w:val="20"/>
              </w:rPr>
            </w:pPr>
            <w:r w:rsidRPr="00FF3911">
              <w:rPr>
                <w:sz w:val="20"/>
                <w:szCs w:val="20"/>
              </w:rPr>
              <w:t>720,1</w:t>
            </w:r>
          </w:p>
        </w:tc>
        <w:tc>
          <w:tcPr>
            <w:tcW w:w="1134" w:type="dxa"/>
            <w:shd w:val="clear" w:color="auto" w:fill="auto"/>
          </w:tcPr>
          <w:p w:rsidR="00D2086A" w:rsidRPr="00FF3911" w:rsidRDefault="00D2086A" w:rsidP="001F2A6D">
            <w:pPr>
              <w:spacing w:line="276" w:lineRule="auto"/>
              <w:ind w:right="-156"/>
              <w:jc w:val="center"/>
              <w:rPr>
                <w:sz w:val="20"/>
                <w:szCs w:val="20"/>
              </w:rPr>
            </w:pPr>
            <w:r w:rsidRPr="00FF3911">
              <w:rPr>
                <w:sz w:val="20"/>
                <w:szCs w:val="20"/>
              </w:rPr>
              <w:t>673,9</w:t>
            </w:r>
          </w:p>
        </w:tc>
        <w:tc>
          <w:tcPr>
            <w:tcW w:w="992" w:type="dxa"/>
            <w:shd w:val="clear" w:color="auto" w:fill="auto"/>
          </w:tcPr>
          <w:p w:rsidR="00D2086A" w:rsidRPr="00FF3911" w:rsidRDefault="00D2086A" w:rsidP="001F2A6D">
            <w:pPr>
              <w:spacing w:line="276" w:lineRule="auto"/>
              <w:ind w:right="-106"/>
              <w:jc w:val="center"/>
              <w:rPr>
                <w:sz w:val="20"/>
                <w:szCs w:val="20"/>
              </w:rPr>
            </w:pPr>
            <w:r w:rsidRPr="00FF3911">
              <w:rPr>
                <w:sz w:val="20"/>
                <w:szCs w:val="20"/>
              </w:rPr>
              <w:t>-46,2</w:t>
            </w:r>
          </w:p>
        </w:tc>
        <w:tc>
          <w:tcPr>
            <w:tcW w:w="1134" w:type="dxa"/>
            <w:shd w:val="clear" w:color="auto" w:fill="auto"/>
          </w:tcPr>
          <w:p w:rsidR="00D2086A" w:rsidRPr="00FF3911" w:rsidRDefault="00D2086A" w:rsidP="001F2A6D">
            <w:pPr>
              <w:spacing w:line="276" w:lineRule="auto"/>
              <w:ind w:right="-109"/>
              <w:jc w:val="center"/>
              <w:rPr>
                <w:sz w:val="20"/>
                <w:szCs w:val="20"/>
              </w:rPr>
            </w:pPr>
            <w:r w:rsidRPr="00FF3911">
              <w:rPr>
                <w:sz w:val="20"/>
                <w:szCs w:val="20"/>
              </w:rPr>
              <w:t>571,8</w:t>
            </w:r>
          </w:p>
        </w:tc>
        <w:tc>
          <w:tcPr>
            <w:tcW w:w="1134" w:type="dxa"/>
            <w:shd w:val="clear" w:color="auto" w:fill="auto"/>
          </w:tcPr>
          <w:p w:rsidR="00D2086A" w:rsidRPr="00FF3911" w:rsidRDefault="00D2086A" w:rsidP="001F2A6D">
            <w:pPr>
              <w:spacing w:line="276" w:lineRule="auto"/>
              <w:ind w:right="-104"/>
              <w:jc w:val="center"/>
              <w:rPr>
                <w:sz w:val="20"/>
                <w:szCs w:val="20"/>
              </w:rPr>
            </w:pPr>
            <w:r w:rsidRPr="00FF3911">
              <w:rPr>
                <w:sz w:val="20"/>
                <w:szCs w:val="20"/>
              </w:rPr>
              <w:t>659,2</w:t>
            </w:r>
          </w:p>
        </w:tc>
        <w:tc>
          <w:tcPr>
            <w:tcW w:w="850" w:type="dxa"/>
            <w:shd w:val="clear" w:color="auto" w:fill="auto"/>
          </w:tcPr>
          <w:p w:rsidR="00D2086A" w:rsidRPr="00FF3911" w:rsidRDefault="00D2086A" w:rsidP="001F2A6D">
            <w:pPr>
              <w:spacing w:line="276" w:lineRule="auto"/>
              <w:ind w:right="-109"/>
              <w:jc w:val="center"/>
              <w:rPr>
                <w:sz w:val="20"/>
                <w:szCs w:val="20"/>
              </w:rPr>
            </w:pPr>
            <w:r w:rsidRPr="00FF3911">
              <w:rPr>
                <w:sz w:val="20"/>
                <w:szCs w:val="20"/>
              </w:rPr>
              <w:t>+87,4</w:t>
            </w:r>
          </w:p>
        </w:tc>
      </w:tr>
      <w:tr w:rsidR="00D2086A" w:rsidRPr="004E60D6" w:rsidTr="002431BE">
        <w:trPr>
          <w:jc w:val="center"/>
        </w:trPr>
        <w:tc>
          <w:tcPr>
            <w:tcW w:w="3046" w:type="dxa"/>
            <w:shd w:val="clear" w:color="auto" w:fill="auto"/>
          </w:tcPr>
          <w:p w:rsidR="00D2086A" w:rsidRPr="00FF3911" w:rsidRDefault="002431BE" w:rsidP="001F2A6D">
            <w:pPr>
              <w:spacing w:line="276" w:lineRule="auto"/>
              <w:ind w:right="328"/>
              <w:jc w:val="both"/>
              <w:rPr>
                <w:b/>
                <w:sz w:val="20"/>
                <w:szCs w:val="20"/>
              </w:rPr>
            </w:pPr>
            <w:r>
              <w:rPr>
                <w:b/>
                <w:sz w:val="20"/>
                <w:szCs w:val="20"/>
              </w:rPr>
              <w:t>Datorii față de BPN, la 30.06</w:t>
            </w:r>
          </w:p>
        </w:tc>
        <w:tc>
          <w:tcPr>
            <w:tcW w:w="1134" w:type="dxa"/>
            <w:shd w:val="clear" w:color="auto" w:fill="auto"/>
          </w:tcPr>
          <w:p w:rsidR="00D2086A" w:rsidRPr="00FF3911" w:rsidRDefault="00D2086A" w:rsidP="001F2A6D">
            <w:pPr>
              <w:tabs>
                <w:tab w:val="left" w:pos="0"/>
              </w:tabs>
              <w:spacing w:line="276" w:lineRule="auto"/>
              <w:ind w:right="-9"/>
              <w:jc w:val="center"/>
              <w:rPr>
                <w:sz w:val="20"/>
                <w:szCs w:val="20"/>
              </w:rPr>
            </w:pPr>
            <w:r w:rsidRPr="00FF3911">
              <w:rPr>
                <w:sz w:val="20"/>
                <w:szCs w:val="20"/>
              </w:rPr>
              <w:t>157,2</w:t>
            </w:r>
          </w:p>
        </w:tc>
        <w:tc>
          <w:tcPr>
            <w:tcW w:w="1134" w:type="dxa"/>
            <w:shd w:val="clear" w:color="auto" w:fill="auto"/>
          </w:tcPr>
          <w:p w:rsidR="00D2086A" w:rsidRPr="00FF3911" w:rsidRDefault="00D2086A" w:rsidP="001F2A6D">
            <w:pPr>
              <w:spacing w:line="276" w:lineRule="auto"/>
              <w:ind w:right="-156"/>
              <w:jc w:val="center"/>
              <w:rPr>
                <w:sz w:val="20"/>
                <w:szCs w:val="20"/>
              </w:rPr>
            </w:pPr>
            <w:r w:rsidRPr="00FF3911">
              <w:rPr>
                <w:sz w:val="20"/>
                <w:szCs w:val="20"/>
              </w:rPr>
              <w:t>58,7</w:t>
            </w:r>
          </w:p>
        </w:tc>
        <w:tc>
          <w:tcPr>
            <w:tcW w:w="992" w:type="dxa"/>
            <w:shd w:val="clear" w:color="auto" w:fill="auto"/>
          </w:tcPr>
          <w:p w:rsidR="00D2086A" w:rsidRPr="00FF3911" w:rsidRDefault="00D2086A" w:rsidP="001F2A6D">
            <w:pPr>
              <w:spacing w:line="276" w:lineRule="auto"/>
              <w:ind w:right="-106"/>
              <w:jc w:val="center"/>
              <w:rPr>
                <w:sz w:val="20"/>
                <w:szCs w:val="20"/>
              </w:rPr>
            </w:pPr>
            <w:r w:rsidRPr="00FF3911">
              <w:rPr>
                <w:sz w:val="20"/>
                <w:szCs w:val="20"/>
              </w:rPr>
              <w:t>-98,5</w:t>
            </w:r>
          </w:p>
        </w:tc>
        <w:tc>
          <w:tcPr>
            <w:tcW w:w="1134" w:type="dxa"/>
            <w:shd w:val="clear" w:color="auto" w:fill="auto"/>
          </w:tcPr>
          <w:p w:rsidR="00D2086A" w:rsidRPr="00FF3911" w:rsidRDefault="00D2086A" w:rsidP="001F2A6D">
            <w:pPr>
              <w:tabs>
                <w:tab w:val="left" w:pos="0"/>
              </w:tabs>
              <w:spacing w:line="276" w:lineRule="auto"/>
              <w:ind w:right="-109"/>
              <w:jc w:val="center"/>
              <w:rPr>
                <w:sz w:val="20"/>
                <w:szCs w:val="20"/>
              </w:rPr>
            </w:pPr>
            <w:r w:rsidRPr="00FF3911">
              <w:rPr>
                <w:sz w:val="20"/>
                <w:szCs w:val="20"/>
              </w:rPr>
              <w:t>21,4</w:t>
            </w:r>
          </w:p>
        </w:tc>
        <w:tc>
          <w:tcPr>
            <w:tcW w:w="1134" w:type="dxa"/>
            <w:shd w:val="clear" w:color="auto" w:fill="auto"/>
          </w:tcPr>
          <w:p w:rsidR="00D2086A" w:rsidRPr="00FF3911" w:rsidRDefault="00D2086A" w:rsidP="001F2A6D">
            <w:pPr>
              <w:spacing w:line="276" w:lineRule="auto"/>
              <w:ind w:right="-104"/>
              <w:jc w:val="center"/>
              <w:rPr>
                <w:sz w:val="20"/>
                <w:szCs w:val="20"/>
              </w:rPr>
            </w:pPr>
            <w:r w:rsidRPr="00FF3911">
              <w:rPr>
                <w:sz w:val="20"/>
                <w:szCs w:val="20"/>
              </w:rPr>
              <w:t>42,4</w:t>
            </w:r>
          </w:p>
        </w:tc>
        <w:tc>
          <w:tcPr>
            <w:tcW w:w="850" w:type="dxa"/>
            <w:shd w:val="clear" w:color="auto" w:fill="auto"/>
          </w:tcPr>
          <w:p w:rsidR="00D2086A" w:rsidRPr="00FF3911" w:rsidRDefault="00D2086A" w:rsidP="001F2A6D">
            <w:pPr>
              <w:spacing w:line="276" w:lineRule="auto"/>
              <w:ind w:right="-109"/>
              <w:jc w:val="center"/>
              <w:rPr>
                <w:sz w:val="20"/>
                <w:szCs w:val="20"/>
              </w:rPr>
            </w:pPr>
            <w:r w:rsidRPr="00FF3911">
              <w:rPr>
                <w:sz w:val="20"/>
                <w:szCs w:val="20"/>
              </w:rPr>
              <w:t>+21,0</w:t>
            </w:r>
          </w:p>
        </w:tc>
      </w:tr>
    </w:tbl>
    <w:p w:rsidR="00D2086A" w:rsidRDefault="00D2086A" w:rsidP="00D2086A">
      <w:pPr>
        <w:pStyle w:val="Bodytext30"/>
        <w:shd w:val="clear" w:color="auto" w:fill="auto"/>
        <w:spacing w:line="276" w:lineRule="auto"/>
        <w:ind w:right="325" w:firstLine="567"/>
        <w:jc w:val="both"/>
        <w:rPr>
          <w:b w:val="0"/>
          <w:i w:val="0"/>
        </w:rPr>
      </w:pPr>
    </w:p>
    <w:p w:rsidR="00D2086A" w:rsidRPr="0023156D" w:rsidRDefault="00D2086A" w:rsidP="00D2086A">
      <w:pPr>
        <w:pStyle w:val="Bodytext30"/>
        <w:shd w:val="clear" w:color="auto" w:fill="auto"/>
        <w:spacing w:line="276" w:lineRule="auto"/>
        <w:ind w:firstLine="567"/>
        <w:jc w:val="both"/>
        <w:rPr>
          <w:b w:val="0"/>
          <w:i w:val="0"/>
          <w:lang w:val="ro-RO"/>
        </w:rPr>
      </w:pPr>
      <w:r w:rsidRPr="0023156D">
        <w:rPr>
          <w:b w:val="0"/>
          <w:i w:val="0"/>
          <w:lang w:val="ro-RO"/>
        </w:rPr>
        <w:t>La studierea rezultatelor monitoringului financiar al întreprinderilor de stat şi societă</w:t>
      </w:r>
      <w:r>
        <w:rPr>
          <w:b w:val="0"/>
          <w:i w:val="0"/>
          <w:lang w:val="ro-RO"/>
        </w:rPr>
        <w:t>ț</w:t>
      </w:r>
      <w:r w:rsidRPr="0023156D">
        <w:rPr>
          <w:b w:val="0"/>
          <w:i w:val="0"/>
          <w:lang w:val="ro-RO"/>
        </w:rPr>
        <w:t xml:space="preserve">ilor comerciale cu capital integral sau majoritar de stat, urmează a se </w:t>
      </w:r>
      <w:r>
        <w:rPr>
          <w:b w:val="0"/>
          <w:i w:val="0"/>
          <w:lang w:val="ro-RO"/>
        </w:rPr>
        <w:t>ț</w:t>
      </w:r>
      <w:r w:rsidRPr="0023156D">
        <w:rPr>
          <w:b w:val="0"/>
          <w:i w:val="0"/>
          <w:lang w:val="ro-RO"/>
        </w:rPr>
        <w:t>ine cont de faptul că, unele din întreprinderile de stat nu au fost supuse monitorizării financiare în semestrul I al anului 2017. În acest sens, întru neadmiterea distorsionării datelor, evolu</w:t>
      </w:r>
      <w:r>
        <w:rPr>
          <w:b w:val="0"/>
          <w:i w:val="0"/>
          <w:lang w:val="ro-RO"/>
        </w:rPr>
        <w:t>ț</w:t>
      </w:r>
      <w:r w:rsidRPr="0023156D">
        <w:rPr>
          <w:b w:val="0"/>
          <w:i w:val="0"/>
          <w:lang w:val="ro-RO"/>
        </w:rPr>
        <w:t>ia veniturilor din vînzări, a costurilor şi cheltuielilor și a profitului (pierderilor) va fi analizată luînd în calcul baza comparabilă a întreprinderilor de stat, ce nu include, la totalul generalizat al indicatorilor, valoarea indicatorilor întreprinderilor de stat, care în perioada similară a anului 2017, fie nu au prezentat raportul „Cercetare statistică trimestrială Nr. 5-CI „Consumurile și cheltuielile întreprinderii” (fie pentru trimestrul I fie pentru trimestrul II, 2017) fie nu au fost incluse în sfera de cuprindere a cercetării.</w:t>
      </w:r>
    </w:p>
    <w:p w:rsidR="00D2086A" w:rsidRPr="0023156D" w:rsidRDefault="00D2086A" w:rsidP="00D2086A">
      <w:pPr>
        <w:spacing w:line="365" w:lineRule="exact"/>
        <w:ind w:firstLine="580"/>
        <w:jc w:val="both"/>
        <w:rPr>
          <w:sz w:val="28"/>
          <w:szCs w:val="28"/>
        </w:rPr>
      </w:pPr>
      <w:r w:rsidRPr="0023156D">
        <w:rPr>
          <w:sz w:val="28"/>
          <w:szCs w:val="28"/>
        </w:rPr>
        <w:lastRenderedPageBreak/>
        <w:t>Totodată, în conformitate cu Hotărîrea Guvernului nr.605</w:t>
      </w:r>
      <w:r w:rsidR="002431BE">
        <w:rPr>
          <w:sz w:val="28"/>
          <w:szCs w:val="28"/>
        </w:rPr>
        <w:t>/</w:t>
      </w:r>
      <w:r w:rsidRPr="0023156D">
        <w:rPr>
          <w:sz w:val="28"/>
          <w:szCs w:val="28"/>
        </w:rPr>
        <w:t>2017 cu privire la reorganizarea unor societă</w:t>
      </w:r>
      <w:r>
        <w:rPr>
          <w:sz w:val="28"/>
          <w:szCs w:val="28"/>
        </w:rPr>
        <w:t>ț</w:t>
      </w:r>
      <w:r w:rsidRPr="0023156D">
        <w:rPr>
          <w:sz w:val="28"/>
          <w:szCs w:val="28"/>
        </w:rPr>
        <w:t>i pe ac</w:t>
      </w:r>
      <w:r>
        <w:rPr>
          <w:sz w:val="28"/>
          <w:szCs w:val="28"/>
        </w:rPr>
        <w:t>ț</w:t>
      </w:r>
      <w:r w:rsidRPr="0023156D">
        <w:rPr>
          <w:sz w:val="28"/>
          <w:szCs w:val="28"/>
        </w:rPr>
        <w:t>iuni, S.A. „Re</w:t>
      </w:r>
      <w:r>
        <w:rPr>
          <w:sz w:val="28"/>
          <w:szCs w:val="28"/>
        </w:rPr>
        <w:t>ț</w:t>
      </w:r>
      <w:r w:rsidRPr="0023156D">
        <w:rPr>
          <w:sz w:val="28"/>
          <w:szCs w:val="28"/>
        </w:rPr>
        <w:t>elele Electrice de Distribu</w:t>
      </w:r>
      <w:r>
        <w:rPr>
          <w:sz w:val="28"/>
          <w:szCs w:val="28"/>
        </w:rPr>
        <w:t>ț</w:t>
      </w:r>
      <w:r w:rsidRPr="0023156D">
        <w:rPr>
          <w:sz w:val="28"/>
          <w:szCs w:val="28"/>
        </w:rPr>
        <w:t>ie Nord” (S.A. „RED Nord”) a fost reorganizată prin fuziune (absorb</w:t>
      </w:r>
      <w:r>
        <w:rPr>
          <w:sz w:val="28"/>
          <w:szCs w:val="28"/>
        </w:rPr>
        <w:t>ț</w:t>
      </w:r>
      <w:r w:rsidRPr="0023156D">
        <w:rPr>
          <w:sz w:val="28"/>
          <w:szCs w:val="28"/>
        </w:rPr>
        <w:t>ie) cu S.A. „Re</w:t>
      </w:r>
      <w:r>
        <w:rPr>
          <w:sz w:val="28"/>
          <w:szCs w:val="28"/>
        </w:rPr>
        <w:t>ț</w:t>
      </w:r>
      <w:r w:rsidRPr="0023156D">
        <w:rPr>
          <w:sz w:val="28"/>
          <w:szCs w:val="28"/>
        </w:rPr>
        <w:t>elele Electrice de Distribu</w:t>
      </w:r>
      <w:r>
        <w:rPr>
          <w:sz w:val="28"/>
          <w:szCs w:val="28"/>
        </w:rPr>
        <w:t>ț</w:t>
      </w:r>
      <w:r w:rsidRPr="0023156D">
        <w:rPr>
          <w:sz w:val="28"/>
          <w:szCs w:val="28"/>
        </w:rPr>
        <w:t>ie Nord-Vest” (în calitate de societate absorbită), proces finalizat în trimestrul III, 2017. În rezultatul reorganizării societă</w:t>
      </w:r>
      <w:r>
        <w:rPr>
          <w:sz w:val="28"/>
          <w:szCs w:val="28"/>
        </w:rPr>
        <w:t>ț</w:t>
      </w:r>
      <w:r w:rsidRPr="0023156D">
        <w:rPr>
          <w:sz w:val="28"/>
          <w:szCs w:val="28"/>
        </w:rPr>
        <w:t xml:space="preserve">ilor vizate, </w:t>
      </w:r>
      <w:r w:rsidR="002431BE">
        <w:rPr>
          <w:sz w:val="28"/>
          <w:szCs w:val="28"/>
        </w:rPr>
        <w:t xml:space="preserve">se </w:t>
      </w:r>
      <w:r w:rsidRPr="0023156D">
        <w:rPr>
          <w:sz w:val="28"/>
          <w:szCs w:val="28"/>
        </w:rPr>
        <w:t>men</w:t>
      </w:r>
      <w:r>
        <w:rPr>
          <w:sz w:val="28"/>
          <w:szCs w:val="28"/>
        </w:rPr>
        <w:t>ț</w:t>
      </w:r>
      <w:r w:rsidR="002431BE">
        <w:rPr>
          <w:sz w:val="28"/>
          <w:szCs w:val="28"/>
        </w:rPr>
        <w:t>ionează</w:t>
      </w:r>
      <w:r w:rsidRPr="0023156D">
        <w:rPr>
          <w:sz w:val="28"/>
          <w:szCs w:val="28"/>
        </w:rPr>
        <w:t xml:space="preserve"> că, indicatorii veniturilor din vînzări, costurilor şi cheltuielilor, profitului (pierderilor) înregistra</w:t>
      </w:r>
      <w:r>
        <w:rPr>
          <w:sz w:val="28"/>
          <w:szCs w:val="28"/>
        </w:rPr>
        <w:t>ț</w:t>
      </w:r>
      <w:r w:rsidRPr="0023156D">
        <w:rPr>
          <w:sz w:val="28"/>
          <w:szCs w:val="28"/>
        </w:rPr>
        <w:t>i de S.A. „RED Nord” în semestrul I, 2017 respectiv trimestrul II, 2017, nu includ indicatorii înregistra</w:t>
      </w:r>
      <w:r>
        <w:rPr>
          <w:sz w:val="28"/>
          <w:szCs w:val="28"/>
        </w:rPr>
        <w:t>ț</w:t>
      </w:r>
      <w:r w:rsidRPr="0023156D">
        <w:rPr>
          <w:sz w:val="28"/>
          <w:szCs w:val="28"/>
        </w:rPr>
        <w:t>i de S.A. „RED Nord-Vest” în aceeaşi perioadă, motiv pentru care nu poate fi apreciată la justa valoare evolu</w:t>
      </w:r>
      <w:r>
        <w:rPr>
          <w:sz w:val="28"/>
          <w:szCs w:val="28"/>
        </w:rPr>
        <w:t>ț</w:t>
      </w:r>
      <w:r w:rsidRPr="0023156D">
        <w:rPr>
          <w:sz w:val="28"/>
          <w:szCs w:val="28"/>
        </w:rPr>
        <w:t>ia indicatorilor S.A. „RED Nord” în perioada analizată a anului 2018. Astfel, întru neadmiterea distorsionării datelor, evolu</w:t>
      </w:r>
      <w:r>
        <w:rPr>
          <w:sz w:val="28"/>
          <w:szCs w:val="28"/>
        </w:rPr>
        <w:t>ț</w:t>
      </w:r>
      <w:r w:rsidRPr="0023156D">
        <w:rPr>
          <w:sz w:val="28"/>
          <w:szCs w:val="28"/>
        </w:rPr>
        <w:t>ia veniturilor din vînzări, a costurilor şi cheltuielilor și profitului (pierderilor) societă</w:t>
      </w:r>
      <w:r>
        <w:rPr>
          <w:sz w:val="28"/>
          <w:szCs w:val="28"/>
        </w:rPr>
        <w:t>ț</w:t>
      </w:r>
      <w:r w:rsidRPr="0023156D">
        <w:rPr>
          <w:sz w:val="28"/>
          <w:szCs w:val="28"/>
        </w:rPr>
        <w:t>ilor pe ac</w:t>
      </w:r>
      <w:r>
        <w:rPr>
          <w:sz w:val="28"/>
          <w:szCs w:val="28"/>
        </w:rPr>
        <w:t>ț</w:t>
      </w:r>
      <w:r w:rsidRPr="0023156D">
        <w:rPr>
          <w:sz w:val="28"/>
          <w:szCs w:val="28"/>
        </w:rPr>
        <w:t>iuni va fi analizată luînd în calcul baza comparabilă a acestora, unde la indicatorii generaliza</w:t>
      </w:r>
      <w:r>
        <w:rPr>
          <w:sz w:val="28"/>
          <w:szCs w:val="28"/>
        </w:rPr>
        <w:t>ț</w:t>
      </w:r>
      <w:r w:rsidRPr="0023156D">
        <w:rPr>
          <w:sz w:val="28"/>
          <w:szCs w:val="28"/>
        </w:rPr>
        <w:t>i ai veniturilor din vînzări, costurilor şi cheltuielilor și profitului (pierderilor) din semestrul I, 2017 și trimestrul II, 2017 au fost însuma</w:t>
      </w:r>
      <w:r>
        <w:rPr>
          <w:sz w:val="28"/>
          <w:szCs w:val="28"/>
        </w:rPr>
        <w:t>ț</w:t>
      </w:r>
      <w:r w:rsidRPr="0023156D">
        <w:rPr>
          <w:sz w:val="28"/>
          <w:szCs w:val="28"/>
        </w:rPr>
        <w:t>i indicatorii S.A. „RED Nord-Vest” pentru perioada corespunzătoare.</w:t>
      </w:r>
    </w:p>
    <w:p w:rsidR="00D2086A" w:rsidRPr="0023156D" w:rsidRDefault="00D2086A" w:rsidP="00D2086A">
      <w:pPr>
        <w:spacing w:line="276" w:lineRule="auto"/>
        <w:ind w:firstLine="567"/>
        <w:jc w:val="both"/>
        <w:rPr>
          <w:sz w:val="28"/>
          <w:szCs w:val="28"/>
        </w:rPr>
      </w:pPr>
      <w:r w:rsidRPr="0023156D">
        <w:rPr>
          <w:sz w:val="28"/>
          <w:szCs w:val="28"/>
        </w:rPr>
        <w:t>Astfel,</w:t>
      </w:r>
      <w:r w:rsidRPr="0023156D">
        <w:rPr>
          <w:b/>
          <w:sz w:val="28"/>
          <w:szCs w:val="28"/>
        </w:rPr>
        <w:t xml:space="preserve"> </w:t>
      </w:r>
      <w:r w:rsidRPr="0023156D">
        <w:rPr>
          <w:rStyle w:val="Bodytext213ptItalic"/>
          <w:sz w:val="28"/>
          <w:szCs w:val="28"/>
        </w:rPr>
        <w:t>întreprinderile de stat au înregistrat venituri din vînzări aferente activită</w:t>
      </w:r>
      <w:r>
        <w:rPr>
          <w:rStyle w:val="Bodytext213ptItalic"/>
          <w:sz w:val="28"/>
          <w:szCs w:val="28"/>
        </w:rPr>
        <w:t>ț</w:t>
      </w:r>
      <w:r w:rsidRPr="0023156D">
        <w:rPr>
          <w:rStyle w:val="Bodytext213ptItalic"/>
          <w:sz w:val="28"/>
          <w:szCs w:val="28"/>
        </w:rPr>
        <w:t>ii desfășurate în 6 luni ale anu</w:t>
      </w:r>
      <w:r w:rsidR="002431BE">
        <w:rPr>
          <w:rStyle w:val="Bodytext213ptItalic"/>
          <w:sz w:val="28"/>
          <w:szCs w:val="28"/>
        </w:rPr>
        <w:t>lui 2018 în mărime de 3285,1 mil.</w:t>
      </w:r>
      <w:r w:rsidRPr="0023156D">
        <w:rPr>
          <w:rStyle w:val="Bodytext213ptItalic"/>
          <w:sz w:val="28"/>
          <w:szCs w:val="28"/>
        </w:rPr>
        <w:t xml:space="preserve"> lei.</w:t>
      </w:r>
      <w:r w:rsidRPr="0023156D">
        <w:rPr>
          <w:sz w:val="28"/>
          <w:szCs w:val="28"/>
        </w:rPr>
        <w:t xml:space="preserve"> Conform bazei comparabile, valoarea veniturilor din vînzări încasate de întreprinderile de stat este de 3266,0 mil. lei, fiind cu 280,3 mil. lei mai mare fa</w:t>
      </w:r>
      <w:r>
        <w:rPr>
          <w:sz w:val="28"/>
          <w:szCs w:val="28"/>
        </w:rPr>
        <w:t>ț</w:t>
      </w:r>
      <w:r w:rsidRPr="0023156D">
        <w:rPr>
          <w:sz w:val="28"/>
          <w:szCs w:val="28"/>
        </w:rPr>
        <w:t>ă de semestrul I al anului 2017. Majorarea respectivă a fost generată în mare parte, de creșterea cu peste 1,0 mil. lei a veniturilor din vînzări a 23 întreprinderi de stat, cele mai considerabile majorări</w:t>
      </w:r>
      <w:r w:rsidR="002431BE">
        <w:rPr>
          <w:sz w:val="28"/>
          <w:szCs w:val="28"/>
        </w:rPr>
        <w:t xml:space="preserve"> fiind reflectate în tabelul 18</w:t>
      </w:r>
      <w:r w:rsidRPr="0023156D">
        <w:rPr>
          <w:sz w:val="28"/>
          <w:szCs w:val="28"/>
        </w:rPr>
        <w:t xml:space="preserve">. </w:t>
      </w:r>
    </w:p>
    <w:p w:rsidR="00D2086A" w:rsidRPr="0023156D" w:rsidRDefault="00D2086A" w:rsidP="00D2086A">
      <w:pPr>
        <w:spacing w:line="276" w:lineRule="auto"/>
        <w:ind w:firstLine="567"/>
        <w:jc w:val="both"/>
        <w:rPr>
          <w:sz w:val="28"/>
          <w:szCs w:val="28"/>
        </w:rPr>
      </w:pPr>
      <w:r w:rsidRPr="0023156D">
        <w:rPr>
          <w:sz w:val="28"/>
          <w:szCs w:val="28"/>
        </w:rPr>
        <w:t xml:space="preserve">În particular, din numărul total al întreprinderilor de stat, conform bazei comparabile, la 83 întreprinderi de stat, veniturile din vînzări s-au majorat cu 376,6 mil. lei, iar la 66 întreprinderi, veniturile din vînzări s-au micșorat cu 96,3 mil. lei. Alte 3 întreprinderi de stat nu înregistrează în semestrul I, anii 2017-2018, venituri din vînzări, iar o întreprindere nu înregistrează dinamică a veniturilor comparativ cu semestrul I, 2017. </w:t>
      </w:r>
    </w:p>
    <w:p w:rsidR="00D2086A" w:rsidRPr="003D724E" w:rsidRDefault="00D2086A" w:rsidP="00D2086A">
      <w:pPr>
        <w:spacing w:line="276" w:lineRule="auto"/>
        <w:ind w:firstLine="567"/>
        <w:rPr>
          <w:sz w:val="20"/>
          <w:szCs w:val="20"/>
        </w:rPr>
      </w:pPr>
      <w:r>
        <w:rPr>
          <w:sz w:val="20"/>
          <w:szCs w:val="20"/>
        </w:rPr>
        <w:t xml:space="preserve">                                                                                                                                                             </w:t>
      </w:r>
      <w:r w:rsidR="002431BE">
        <w:rPr>
          <w:sz w:val="20"/>
          <w:szCs w:val="20"/>
        </w:rPr>
        <w:t>Tabelul 18.</w:t>
      </w:r>
    </w:p>
    <w:p w:rsidR="00D2086A" w:rsidRPr="002431BE" w:rsidRDefault="00D2086A" w:rsidP="00D2086A">
      <w:pPr>
        <w:tabs>
          <w:tab w:val="left" w:leader="underscore" w:pos="594"/>
          <w:tab w:val="left" w:leader="underscore" w:pos="1760"/>
          <w:tab w:val="left" w:leader="underscore" w:pos="8968"/>
        </w:tabs>
        <w:jc w:val="center"/>
        <w:rPr>
          <w:b/>
          <w:i/>
          <w:sz w:val="20"/>
          <w:szCs w:val="20"/>
        </w:rPr>
      </w:pPr>
      <w:r w:rsidRPr="002431BE">
        <w:rPr>
          <w:b/>
          <w:i/>
          <w:sz w:val="20"/>
          <w:szCs w:val="20"/>
        </w:rPr>
        <w:t>Întreprinderile de stat și societățile pe acțiuni cu cele mai mari majorări ale</w:t>
      </w:r>
    </w:p>
    <w:p w:rsidR="00D2086A" w:rsidRPr="002431BE" w:rsidRDefault="00D2086A" w:rsidP="00D2086A">
      <w:pPr>
        <w:tabs>
          <w:tab w:val="left" w:leader="underscore" w:pos="594"/>
          <w:tab w:val="left" w:leader="underscore" w:pos="1760"/>
          <w:tab w:val="left" w:leader="underscore" w:pos="8968"/>
        </w:tabs>
        <w:jc w:val="center"/>
        <w:rPr>
          <w:i/>
          <w:sz w:val="20"/>
          <w:szCs w:val="20"/>
          <w:highlight w:val="yellow"/>
        </w:rPr>
      </w:pPr>
      <w:r w:rsidRPr="002431BE">
        <w:rPr>
          <w:b/>
          <w:i/>
          <w:sz w:val="20"/>
          <w:szCs w:val="20"/>
        </w:rPr>
        <w:t>veniturilor din</w:t>
      </w:r>
      <w:r w:rsidRPr="002431BE">
        <w:rPr>
          <w:i/>
          <w:sz w:val="20"/>
          <w:szCs w:val="20"/>
        </w:rPr>
        <w:t xml:space="preserve"> </w:t>
      </w:r>
      <w:r w:rsidRPr="002431BE">
        <w:rPr>
          <w:rStyle w:val="Tablecaption0"/>
          <w:b/>
          <w:bCs/>
          <w:i/>
          <w:iCs/>
          <w:sz w:val="20"/>
          <w:szCs w:val="20"/>
          <w:u w:val="none"/>
        </w:rPr>
        <w:t>vînzări, în perioada semestrului I al anului 2018</w:t>
      </w:r>
      <w:r w:rsidRPr="002431BE">
        <w:rPr>
          <w:rStyle w:val="TablecaptionNotBoldNotItalic"/>
          <w:i w:val="0"/>
          <w:sz w:val="20"/>
          <w:szCs w:val="20"/>
        </w:rPr>
        <w:t xml:space="preserve"> </w:t>
      </w:r>
      <w:r w:rsidRPr="002431BE">
        <w:rPr>
          <w:rStyle w:val="Tablecaption95ptNotBoldNotItalic"/>
          <w:sz w:val="20"/>
          <w:szCs w:val="20"/>
          <w:u w:val="none"/>
        </w:rPr>
        <w:t>(mil. lei)</w:t>
      </w:r>
    </w:p>
    <w:tbl>
      <w:tblPr>
        <w:tblOverlap w:val="never"/>
        <w:tblW w:w="9375" w:type="dxa"/>
        <w:jc w:val="center"/>
        <w:tblLayout w:type="fixed"/>
        <w:tblCellMar>
          <w:left w:w="10" w:type="dxa"/>
          <w:right w:w="10" w:type="dxa"/>
        </w:tblCellMar>
        <w:tblLook w:val="04A0" w:firstRow="1" w:lastRow="0" w:firstColumn="1" w:lastColumn="0" w:noHBand="0" w:noVBand="1"/>
      </w:tblPr>
      <w:tblGrid>
        <w:gridCol w:w="655"/>
        <w:gridCol w:w="6843"/>
        <w:gridCol w:w="1877"/>
      </w:tblGrid>
      <w:tr w:rsidR="00D2086A" w:rsidRPr="00786ADB" w:rsidTr="00C25682">
        <w:trPr>
          <w:trHeight w:val="464"/>
          <w:tblHeader/>
          <w:jc w:val="center"/>
        </w:trPr>
        <w:tc>
          <w:tcPr>
            <w:tcW w:w="655" w:type="dxa"/>
            <w:tcBorders>
              <w:top w:val="single" w:sz="4" w:space="0" w:color="auto"/>
              <w:left w:val="single" w:sz="4" w:space="0" w:color="auto"/>
            </w:tcBorders>
            <w:shd w:val="clear" w:color="auto" w:fill="FFFFFF"/>
            <w:vAlign w:val="center"/>
          </w:tcPr>
          <w:p w:rsidR="00D2086A" w:rsidRPr="003D724E" w:rsidRDefault="00D2086A" w:rsidP="001F2A6D">
            <w:pPr>
              <w:spacing w:line="200" w:lineRule="exact"/>
              <w:jc w:val="center"/>
              <w:rPr>
                <w:b/>
                <w:i/>
                <w:sz w:val="20"/>
                <w:szCs w:val="20"/>
              </w:rPr>
            </w:pPr>
            <w:r w:rsidRPr="003D724E">
              <w:rPr>
                <w:rStyle w:val="Bodytext210ptItalic"/>
                <w:b/>
              </w:rPr>
              <w:t>Nr.</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200" w:lineRule="exact"/>
              <w:jc w:val="center"/>
              <w:rPr>
                <w:b/>
                <w:i/>
                <w:sz w:val="20"/>
                <w:szCs w:val="20"/>
              </w:rPr>
            </w:pPr>
            <w:r w:rsidRPr="003D724E">
              <w:rPr>
                <w:rStyle w:val="Bodytext210ptItalic"/>
                <w:b/>
              </w:rPr>
              <w:t>Denumirea agentului economic</w:t>
            </w:r>
          </w:p>
        </w:tc>
        <w:tc>
          <w:tcPr>
            <w:tcW w:w="1877" w:type="dxa"/>
            <w:tcBorders>
              <w:top w:val="single" w:sz="4" w:space="0" w:color="auto"/>
              <w:left w:val="single" w:sz="4" w:space="0" w:color="auto"/>
              <w:right w:val="single" w:sz="4" w:space="0" w:color="auto"/>
            </w:tcBorders>
            <w:shd w:val="clear" w:color="auto" w:fill="FFFFFF"/>
            <w:vAlign w:val="bottom"/>
          </w:tcPr>
          <w:p w:rsidR="00D2086A" w:rsidRPr="003D724E" w:rsidRDefault="00D2086A" w:rsidP="001F2A6D">
            <w:pPr>
              <w:spacing w:line="220" w:lineRule="exact"/>
              <w:jc w:val="center"/>
              <w:rPr>
                <w:b/>
                <w:i/>
                <w:sz w:val="20"/>
                <w:szCs w:val="20"/>
              </w:rPr>
            </w:pPr>
            <w:r w:rsidRPr="003D724E">
              <w:rPr>
                <w:rStyle w:val="Bodytext210ptItalic"/>
                <w:b/>
              </w:rPr>
              <w:t>Majorarea fa</w:t>
            </w:r>
            <w:r>
              <w:rPr>
                <w:rStyle w:val="Bodytext210ptItalic"/>
                <w:b/>
              </w:rPr>
              <w:t>ță</w:t>
            </w:r>
            <w:r w:rsidRPr="003D724E">
              <w:rPr>
                <w:rStyle w:val="Bodytext210ptItalic"/>
                <w:b/>
              </w:rPr>
              <w:t xml:space="preserve"> de semestrul I, 2017</w:t>
            </w:r>
          </w:p>
        </w:tc>
      </w:tr>
      <w:tr w:rsidR="00D2086A" w:rsidRPr="00786ADB" w:rsidTr="00C25682">
        <w:trPr>
          <w:trHeight w:val="190"/>
          <w:jc w:val="center"/>
        </w:trPr>
        <w:tc>
          <w:tcPr>
            <w:tcW w:w="655"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rStyle w:val="Bodytext295pt"/>
                <w:sz w:val="20"/>
                <w:szCs w:val="20"/>
              </w:rPr>
              <w:t>1.</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rPr>
                <w:sz w:val="20"/>
                <w:szCs w:val="20"/>
              </w:rPr>
            </w:pPr>
            <w:r>
              <w:rPr>
                <w:rStyle w:val="Bodytext295pt"/>
                <w:sz w:val="20"/>
                <w:szCs w:val="20"/>
              </w:rPr>
              <w:t>Î</w:t>
            </w:r>
            <w:r w:rsidRPr="003D724E">
              <w:rPr>
                <w:rStyle w:val="Bodytext295pt"/>
                <w:sz w:val="20"/>
                <w:szCs w:val="20"/>
              </w:rPr>
              <w:t>.S. Compania Aerian</w:t>
            </w:r>
            <w:r>
              <w:rPr>
                <w:rStyle w:val="Bodytext295pt"/>
                <w:sz w:val="20"/>
                <w:szCs w:val="20"/>
              </w:rPr>
              <w:t>ă</w:t>
            </w:r>
            <w:r w:rsidRPr="003D724E">
              <w:rPr>
                <w:rStyle w:val="Bodytext295pt"/>
                <w:sz w:val="20"/>
                <w:szCs w:val="20"/>
              </w:rPr>
              <w:t xml:space="preserve"> „Air Moldova”</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171,4</w:t>
            </w:r>
          </w:p>
        </w:tc>
      </w:tr>
      <w:tr w:rsidR="00D2086A" w:rsidRPr="00786ADB" w:rsidTr="00C25682">
        <w:trPr>
          <w:trHeight w:val="136"/>
          <w:jc w:val="center"/>
        </w:trPr>
        <w:tc>
          <w:tcPr>
            <w:tcW w:w="655"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rStyle w:val="Bodytext295pt"/>
                <w:sz w:val="20"/>
                <w:szCs w:val="20"/>
              </w:rPr>
              <w:t>2</w:t>
            </w:r>
            <w:r>
              <w:rPr>
                <w:rStyle w:val="Bodytext295pt"/>
                <w:sz w:val="20"/>
                <w:szCs w:val="20"/>
              </w:rPr>
              <w:t>.</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rPr>
                <w:rStyle w:val="Bodytext295pt"/>
                <w:sz w:val="20"/>
                <w:szCs w:val="20"/>
              </w:rPr>
            </w:pPr>
            <w:r>
              <w:rPr>
                <w:rStyle w:val="Bodytext295pt"/>
                <w:sz w:val="20"/>
                <w:szCs w:val="20"/>
              </w:rPr>
              <w:t>Î</w:t>
            </w:r>
            <w:r w:rsidRPr="003D724E">
              <w:rPr>
                <w:rStyle w:val="Bodytext295pt"/>
                <w:sz w:val="20"/>
                <w:szCs w:val="20"/>
              </w:rPr>
              <w:t>.S. „Fabrica de Sticl</w:t>
            </w:r>
            <w:r>
              <w:rPr>
                <w:rStyle w:val="Bodytext295pt"/>
                <w:sz w:val="20"/>
                <w:szCs w:val="20"/>
              </w:rPr>
              <w:t>ă</w:t>
            </w:r>
            <w:r w:rsidRPr="003D724E">
              <w:rPr>
                <w:rStyle w:val="Bodytext295pt"/>
                <w:sz w:val="20"/>
                <w:szCs w:val="20"/>
              </w:rPr>
              <w:t xml:space="preserve"> din Chi</w:t>
            </w:r>
            <w:r>
              <w:rPr>
                <w:rStyle w:val="Bodytext295pt"/>
                <w:sz w:val="20"/>
                <w:szCs w:val="20"/>
              </w:rPr>
              <w:t>ș</w:t>
            </w:r>
            <w:r w:rsidRPr="003D724E">
              <w:rPr>
                <w:rStyle w:val="Bodytext295pt"/>
                <w:sz w:val="20"/>
                <w:szCs w:val="20"/>
              </w:rPr>
              <w:t>in</w:t>
            </w:r>
            <w:r>
              <w:rPr>
                <w:rStyle w:val="Bodytext295pt"/>
                <w:sz w:val="20"/>
                <w:szCs w:val="20"/>
              </w:rPr>
              <w:t>ă</w:t>
            </w:r>
            <w:r w:rsidRPr="003D724E">
              <w:rPr>
                <w:rStyle w:val="Bodytext295pt"/>
                <w:sz w:val="20"/>
                <w:szCs w:val="20"/>
              </w:rPr>
              <w:t>u”</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117,7</w:t>
            </w:r>
          </w:p>
        </w:tc>
      </w:tr>
      <w:tr w:rsidR="00D2086A" w:rsidRPr="00786ADB" w:rsidTr="00C25682">
        <w:trPr>
          <w:trHeight w:val="238"/>
          <w:jc w:val="center"/>
        </w:trPr>
        <w:tc>
          <w:tcPr>
            <w:tcW w:w="655" w:type="dxa"/>
            <w:tcBorders>
              <w:top w:val="single" w:sz="4" w:space="0" w:color="auto"/>
              <w:left w:val="single" w:sz="4" w:space="0" w:color="auto"/>
            </w:tcBorders>
            <w:shd w:val="clear" w:color="auto" w:fill="FFFFFF"/>
            <w:vAlign w:val="center"/>
          </w:tcPr>
          <w:p w:rsidR="00D2086A" w:rsidRPr="00D44149" w:rsidRDefault="00D2086A" w:rsidP="001F2A6D">
            <w:pPr>
              <w:spacing w:line="190" w:lineRule="exact"/>
              <w:jc w:val="center"/>
              <w:rPr>
                <w:sz w:val="20"/>
                <w:szCs w:val="20"/>
              </w:rPr>
            </w:pPr>
            <w:r w:rsidRPr="00D44149">
              <w:rPr>
                <w:rStyle w:val="Bodytext295pt"/>
                <w:sz w:val="20"/>
                <w:szCs w:val="20"/>
              </w:rPr>
              <w:t>3</w:t>
            </w:r>
            <w:r>
              <w:rPr>
                <w:rStyle w:val="Bodytext295pt"/>
                <w:sz w:val="20"/>
                <w:szCs w:val="20"/>
              </w:rPr>
              <w:t>.</w:t>
            </w:r>
          </w:p>
        </w:tc>
        <w:tc>
          <w:tcPr>
            <w:tcW w:w="6843" w:type="dxa"/>
            <w:tcBorders>
              <w:top w:val="single" w:sz="4" w:space="0" w:color="auto"/>
              <w:left w:val="single" w:sz="4" w:space="0" w:color="auto"/>
            </w:tcBorders>
            <w:shd w:val="clear" w:color="auto" w:fill="FFFFFF"/>
            <w:vAlign w:val="center"/>
          </w:tcPr>
          <w:p w:rsidR="00D2086A" w:rsidRPr="00DB3883" w:rsidRDefault="00D2086A" w:rsidP="001F2A6D">
            <w:pPr>
              <w:spacing w:line="190" w:lineRule="exact"/>
              <w:rPr>
                <w:rStyle w:val="Bodytext295pt"/>
                <w:sz w:val="20"/>
                <w:szCs w:val="20"/>
              </w:rPr>
            </w:pPr>
            <w:r>
              <w:rPr>
                <w:rStyle w:val="Bodytext295pt"/>
                <w:sz w:val="20"/>
                <w:szCs w:val="20"/>
              </w:rPr>
              <w:t>Î</w:t>
            </w:r>
            <w:r w:rsidRPr="00DB3883">
              <w:rPr>
                <w:rStyle w:val="Bodytext295pt"/>
                <w:sz w:val="20"/>
                <w:szCs w:val="20"/>
              </w:rPr>
              <w:t>.S. „</w:t>
            </w:r>
            <w:r w:rsidRPr="00AE385D">
              <w:rPr>
                <w:rStyle w:val="Bodytext295pt"/>
                <w:sz w:val="20"/>
                <w:szCs w:val="20"/>
              </w:rPr>
              <w:t>Institutul de Tehnic</w:t>
            </w:r>
            <w:r>
              <w:rPr>
                <w:rStyle w:val="Bodytext295pt"/>
                <w:sz w:val="20"/>
                <w:szCs w:val="20"/>
              </w:rPr>
              <w:t>ă Agricolă</w:t>
            </w:r>
            <w:r w:rsidRPr="00AE385D">
              <w:rPr>
                <w:rStyle w:val="Bodytext295pt"/>
                <w:sz w:val="20"/>
                <w:szCs w:val="20"/>
              </w:rPr>
              <w:t xml:space="preserve"> </w:t>
            </w:r>
            <w:r w:rsidRPr="00DB3883">
              <w:rPr>
                <w:rStyle w:val="Bodytext295pt"/>
                <w:sz w:val="20"/>
                <w:szCs w:val="20"/>
              </w:rPr>
              <w:t>„</w:t>
            </w:r>
            <w:r w:rsidRPr="00AE385D">
              <w:rPr>
                <w:rStyle w:val="Bodytext295pt"/>
                <w:sz w:val="20"/>
                <w:szCs w:val="20"/>
              </w:rPr>
              <w:t>Mecagro</w:t>
            </w:r>
            <w:r w:rsidRPr="00DB3883">
              <w:rPr>
                <w:rStyle w:val="Bodytext295pt"/>
                <w:sz w:val="20"/>
                <w:szCs w:val="20"/>
              </w:rPr>
              <w:t>”</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D44149" w:rsidRDefault="00D2086A" w:rsidP="001F2A6D">
            <w:pPr>
              <w:spacing w:line="190" w:lineRule="exact"/>
              <w:jc w:val="center"/>
              <w:rPr>
                <w:sz w:val="20"/>
                <w:szCs w:val="20"/>
              </w:rPr>
            </w:pPr>
            <w:r>
              <w:rPr>
                <w:sz w:val="20"/>
                <w:szCs w:val="20"/>
              </w:rPr>
              <w:t>13,5</w:t>
            </w:r>
          </w:p>
        </w:tc>
      </w:tr>
      <w:tr w:rsidR="00D2086A" w:rsidRPr="00786ADB" w:rsidTr="00C25682">
        <w:trPr>
          <w:trHeight w:val="238"/>
          <w:jc w:val="center"/>
        </w:trPr>
        <w:tc>
          <w:tcPr>
            <w:tcW w:w="655" w:type="dxa"/>
            <w:tcBorders>
              <w:top w:val="single" w:sz="4" w:space="0" w:color="auto"/>
              <w:left w:val="single" w:sz="4" w:space="0" w:color="auto"/>
            </w:tcBorders>
            <w:shd w:val="clear" w:color="auto" w:fill="FFFFFF"/>
            <w:vAlign w:val="center"/>
          </w:tcPr>
          <w:p w:rsidR="00D2086A" w:rsidRPr="00DB3883" w:rsidRDefault="00D2086A" w:rsidP="001F2A6D">
            <w:pPr>
              <w:spacing w:line="190" w:lineRule="exact"/>
              <w:jc w:val="center"/>
              <w:rPr>
                <w:sz w:val="20"/>
                <w:szCs w:val="20"/>
              </w:rPr>
            </w:pPr>
            <w:r w:rsidRPr="00DB3883">
              <w:rPr>
                <w:rStyle w:val="Bodytext295pt"/>
                <w:sz w:val="20"/>
                <w:szCs w:val="20"/>
              </w:rPr>
              <w:t>4</w:t>
            </w:r>
            <w:r>
              <w:rPr>
                <w:rStyle w:val="Bodytext295pt"/>
                <w:sz w:val="20"/>
                <w:szCs w:val="20"/>
              </w:rPr>
              <w:t>.</w:t>
            </w:r>
          </w:p>
        </w:tc>
        <w:tc>
          <w:tcPr>
            <w:tcW w:w="6843" w:type="dxa"/>
            <w:tcBorders>
              <w:top w:val="single" w:sz="4" w:space="0" w:color="auto"/>
              <w:left w:val="single" w:sz="4" w:space="0" w:color="auto"/>
            </w:tcBorders>
            <w:shd w:val="clear" w:color="auto" w:fill="FFFFFF"/>
            <w:vAlign w:val="center"/>
          </w:tcPr>
          <w:p w:rsidR="00D2086A" w:rsidRPr="00786ADB" w:rsidRDefault="00D2086A" w:rsidP="001F2A6D">
            <w:pPr>
              <w:spacing w:line="190" w:lineRule="exact"/>
              <w:rPr>
                <w:rStyle w:val="Bodytext295pt"/>
                <w:sz w:val="20"/>
                <w:szCs w:val="20"/>
                <w:highlight w:val="yellow"/>
              </w:rPr>
            </w:pPr>
            <w:r>
              <w:rPr>
                <w:rStyle w:val="Bodytext295pt"/>
                <w:sz w:val="20"/>
                <w:szCs w:val="20"/>
              </w:rPr>
              <w:t>Î</w:t>
            </w:r>
            <w:r w:rsidRPr="00DB3883">
              <w:rPr>
                <w:rStyle w:val="Bodytext295pt"/>
                <w:sz w:val="20"/>
                <w:szCs w:val="20"/>
              </w:rPr>
              <w:t>.S. „</w:t>
            </w:r>
            <w:r>
              <w:rPr>
                <w:rStyle w:val="Bodytext295pt"/>
                <w:sz w:val="20"/>
                <w:szCs w:val="20"/>
              </w:rPr>
              <w:t>Poșta Moldovei</w:t>
            </w:r>
            <w:r w:rsidRPr="00DB3883">
              <w:rPr>
                <w:rStyle w:val="Bodytext295pt"/>
                <w:sz w:val="20"/>
                <w:szCs w:val="20"/>
              </w:rPr>
              <w:t>”</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D44149" w:rsidRDefault="00D2086A" w:rsidP="001F2A6D">
            <w:pPr>
              <w:spacing w:line="190" w:lineRule="exact"/>
              <w:jc w:val="center"/>
              <w:rPr>
                <w:sz w:val="20"/>
                <w:szCs w:val="20"/>
              </w:rPr>
            </w:pPr>
            <w:r w:rsidRPr="00D44149">
              <w:rPr>
                <w:sz w:val="20"/>
                <w:szCs w:val="20"/>
              </w:rPr>
              <w:t>9,8</w:t>
            </w:r>
          </w:p>
        </w:tc>
      </w:tr>
      <w:tr w:rsidR="00D2086A" w:rsidRPr="00786ADB" w:rsidTr="00C25682">
        <w:trPr>
          <w:trHeight w:val="238"/>
          <w:jc w:val="center"/>
        </w:trPr>
        <w:tc>
          <w:tcPr>
            <w:tcW w:w="655" w:type="dxa"/>
            <w:tcBorders>
              <w:top w:val="single" w:sz="4" w:space="0" w:color="auto"/>
              <w:left w:val="single" w:sz="4" w:space="0" w:color="auto"/>
            </w:tcBorders>
            <w:shd w:val="clear" w:color="auto" w:fill="FFFFFF"/>
            <w:vAlign w:val="center"/>
          </w:tcPr>
          <w:p w:rsidR="00D2086A" w:rsidRPr="00D44149" w:rsidRDefault="00D2086A" w:rsidP="001F2A6D">
            <w:pPr>
              <w:spacing w:line="190" w:lineRule="exact"/>
              <w:jc w:val="center"/>
              <w:rPr>
                <w:rStyle w:val="Bodytext295pt"/>
                <w:sz w:val="20"/>
                <w:szCs w:val="20"/>
              </w:rPr>
            </w:pPr>
            <w:r>
              <w:rPr>
                <w:rStyle w:val="Bodytext295pt"/>
                <w:sz w:val="20"/>
                <w:szCs w:val="20"/>
              </w:rPr>
              <w:t>5.</w:t>
            </w:r>
          </w:p>
        </w:tc>
        <w:tc>
          <w:tcPr>
            <w:tcW w:w="6843" w:type="dxa"/>
            <w:tcBorders>
              <w:top w:val="single" w:sz="4" w:space="0" w:color="auto"/>
              <w:left w:val="single" w:sz="4" w:space="0" w:color="auto"/>
            </w:tcBorders>
            <w:shd w:val="clear" w:color="auto" w:fill="FFFFFF"/>
            <w:vAlign w:val="center"/>
          </w:tcPr>
          <w:p w:rsidR="00D2086A" w:rsidRPr="00D44149" w:rsidRDefault="00D2086A" w:rsidP="001F2A6D">
            <w:pPr>
              <w:spacing w:line="190" w:lineRule="exact"/>
              <w:rPr>
                <w:sz w:val="20"/>
                <w:szCs w:val="20"/>
              </w:rPr>
            </w:pPr>
            <w:r>
              <w:rPr>
                <w:rStyle w:val="Bodytext295pt"/>
                <w:sz w:val="20"/>
                <w:szCs w:val="20"/>
              </w:rPr>
              <w:t>Î</w:t>
            </w:r>
            <w:r w:rsidRPr="00D44149">
              <w:rPr>
                <w:rStyle w:val="Bodytext295pt"/>
                <w:sz w:val="20"/>
                <w:szCs w:val="20"/>
              </w:rPr>
              <w:t>.S. „Moldelectrica”</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D44149" w:rsidRDefault="00D2086A" w:rsidP="001F2A6D">
            <w:pPr>
              <w:spacing w:line="190" w:lineRule="exact"/>
              <w:jc w:val="center"/>
              <w:rPr>
                <w:sz w:val="20"/>
                <w:szCs w:val="20"/>
              </w:rPr>
            </w:pPr>
            <w:r w:rsidRPr="00D44149">
              <w:rPr>
                <w:sz w:val="20"/>
                <w:szCs w:val="20"/>
              </w:rPr>
              <w:t>9,2</w:t>
            </w:r>
          </w:p>
        </w:tc>
      </w:tr>
      <w:tr w:rsidR="00D2086A" w:rsidRPr="00786ADB" w:rsidTr="00C25682">
        <w:trPr>
          <w:trHeight w:val="238"/>
          <w:jc w:val="center"/>
        </w:trPr>
        <w:tc>
          <w:tcPr>
            <w:tcW w:w="655" w:type="dxa"/>
            <w:tcBorders>
              <w:top w:val="single" w:sz="4" w:space="0" w:color="auto"/>
              <w:left w:val="single" w:sz="4" w:space="0" w:color="auto"/>
              <w:bottom w:val="single" w:sz="4" w:space="0" w:color="auto"/>
            </w:tcBorders>
            <w:shd w:val="clear" w:color="auto" w:fill="FFFFFF"/>
            <w:vAlign w:val="center"/>
          </w:tcPr>
          <w:p w:rsidR="00D2086A" w:rsidRPr="00D44149" w:rsidRDefault="00D2086A" w:rsidP="001F2A6D">
            <w:pPr>
              <w:spacing w:line="190" w:lineRule="exact"/>
              <w:jc w:val="center"/>
              <w:rPr>
                <w:rStyle w:val="Bodytext295pt"/>
                <w:sz w:val="20"/>
                <w:szCs w:val="20"/>
              </w:rPr>
            </w:pPr>
            <w:r>
              <w:rPr>
                <w:rStyle w:val="Bodytext295pt"/>
                <w:sz w:val="20"/>
                <w:szCs w:val="20"/>
              </w:rPr>
              <w:t>6.</w:t>
            </w:r>
          </w:p>
        </w:tc>
        <w:tc>
          <w:tcPr>
            <w:tcW w:w="6843" w:type="dxa"/>
            <w:tcBorders>
              <w:top w:val="single" w:sz="4" w:space="0" w:color="auto"/>
              <w:left w:val="single" w:sz="4" w:space="0" w:color="auto"/>
              <w:bottom w:val="single" w:sz="4" w:space="0" w:color="auto"/>
            </w:tcBorders>
            <w:shd w:val="clear" w:color="auto" w:fill="FFFFFF"/>
            <w:vAlign w:val="center"/>
          </w:tcPr>
          <w:p w:rsidR="00D2086A" w:rsidRPr="00D44149" w:rsidRDefault="00D2086A" w:rsidP="001F2A6D">
            <w:pPr>
              <w:spacing w:line="190" w:lineRule="exact"/>
              <w:rPr>
                <w:rStyle w:val="Bodytext295pt"/>
                <w:sz w:val="20"/>
                <w:szCs w:val="20"/>
              </w:rPr>
            </w:pPr>
            <w:r>
              <w:rPr>
                <w:rStyle w:val="Bodytext295pt"/>
                <w:sz w:val="20"/>
                <w:szCs w:val="20"/>
              </w:rPr>
              <w:t>Î</w:t>
            </w:r>
            <w:r w:rsidRPr="00D44149">
              <w:rPr>
                <w:rStyle w:val="Bodytext295pt"/>
                <w:sz w:val="20"/>
                <w:szCs w:val="20"/>
              </w:rPr>
              <w:t xml:space="preserve">.S. </w:t>
            </w:r>
            <w:r>
              <w:rPr>
                <w:rStyle w:val="Bodytext295pt"/>
                <w:sz w:val="20"/>
                <w:szCs w:val="20"/>
              </w:rPr>
              <w:t>„</w:t>
            </w:r>
            <w:r w:rsidRPr="00D44149">
              <w:rPr>
                <w:rStyle w:val="Bodytext295pt"/>
                <w:sz w:val="20"/>
                <w:szCs w:val="20"/>
              </w:rPr>
              <w:t>Administra</w:t>
            </w:r>
            <w:r>
              <w:rPr>
                <w:rStyle w:val="Bodytext295pt"/>
                <w:sz w:val="20"/>
                <w:szCs w:val="20"/>
              </w:rPr>
              <w:t>ț</w:t>
            </w:r>
            <w:r w:rsidRPr="00D44149">
              <w:rPr>
                <w:rStyle w:val="Bodytext295pt"/>
                <w:sz w:val="20"/>
                <w:szCs w:val="20"/>
              </w:rPr>
              <w:t>ia de Stat a Drumurilor</w:t>
            </w:r>
            <w:r>
              <w:rPr>
                <w:rStyle w:val="Bodytext295pt"/>
                <w:sz w:val="20"/>
                <w:szCs w:val="20"/>
              </w:rPr>
              <w:t>”</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D2086A" w:rsidRPr="00D44149" w:rsidRDefault="00D2086A" w:rsidP="001F2A6D">
            <w:pPr>
              <w:spacing w:line="190" w:lineRule="exact"/>
              <w:jc w:val="center"/>
              <w:rPr>
                <w:sz w:val="20"/>
                <w:szCs w:val="20"/>
              </w:rPr>
            </w:pPr>
            <w:r w:rsidRPr="00D44149">
              <w:rPr>
                <w:sz w:val="20"/>
                <w:szCs w:val="20"/>
              </w:rPr>
              <w:t>6,5</w:t>
            </w:r>
          </w:p>
        </w:tc>
      </w:tr>
      <w:tr w:rsidR="00D2086A" w:rsidRPr="00786ADB" w:rsidTr="00C25682">
        <w:trPr>
          <w:trHeight w:val="238"/>
          <w:jc w:val="center"/>
        </w:trPr>
        <w:tc>
          <w:tcPr>
            <w:tcW w:w="655" w:type="dxa"/>
            <w:tcBorders>
              <w:top w:val="single" w:sz="4" w:space="0" w:color="auto"/>
              <w:left w:val="single" w:sz="4" w:space="0" w:color="auto"/>
              <w:bottom w:val="thinThickSmallGap" w:sz="24" w:space="0" w:color="auto"/>
            </w:tcBorders>
            <w:shd w:val="clear" w:color="auto" w:fill="FFFFFF"/>
            <w:vAlign w:val="center"/>
          </w:tcPr>
          <w:p w:rsidR="00D2086A" w:rsidRPr="00896A99" w:rsidRDefault="00D2086A" w:rsidP="001F2A6D">
            <w:pPr>
              <w:spacing w:line="190" w:lineRule="exact"/>
              <w:jc w:val="center"/>
              <w:rPr>
                <w:sz w:val="20"/>
                <w:szCs w:val="20"/>
              </w:rPr>
            </w:pPr>
            <w:r w:rsidRPr="00896A99">
              <w:rPr>
                <w:sz w:val="20"/>
                <w:szCs w:val="20"/>
              </w:rPr>
              <w:t>7.</w:t>
            </w:r>
          </w:p>
        </w:tc>
        <w:tc>
          <w:tcPr>
            <w:tcW w:w="6843" w:type="dxa"/>
            <w:tcBorders>
              <w:top w:val="single" w:sz="4" w:space="0" w:color="auto"/>
              <w:left w:val="single" w:sz="4" w:space="0" w:color="auto"/>
              <w:bottom w:val="thinThickSmallGap" w:sz="24" w:space="0" w:color="auto"/>
            </w:tcBorders>
            <w:shd w:val="clear" w:color="auto" w:fill="FFFFFF"/>
            <w:vAlign w:val="center"/>
          </w:tcPr>
          <w:p w:rsidR="00D2086A" w:rsidRPr="00896A99" w:rsidRDefault="00D2086A" w:rsidP="001F2A6D">
            <w:pPr>
              <w:spacing w:line="190" w:lineRule="exact"/>
              <w:rPr>
                <w:sz w:val="20"/>
                <w:szCs w:val="20"/>
              </w:rPr>
            </w:pPr>
            <w:r w:rsidRPr="00896A99">
              <w:rPr>
                <w:rStyle w:val="Bodytext295pt"/>
                <w:sz w:val="20"/>
                <w:szCs w:val="20"/>
              </w:rPr>
              <w:t>Î.S. pentru utilizarea spa</w:t>
            </w:r>
            <w:r>
              <w:rPr>
                <w:rStyle w:val="Bodytext295pt"/>
                <w:sz w:val="20"/>
                <w:szCs w:val="20"/>
              </w:rPr>
              <w:t>ț</w:t>
            </w:r>
            <w:r w:rsidRPr="00896A99">
              <w:rPr>
                <w:rStyle w:val="Bodytext295pt"/>
                <w:sz w:val="20"/>
                <w:szCs w:val="20"/>
              </w:rPr>
              <w:t>iului aerian și deservirea traficului aerian „MoldATSA”</w:t>
            </w:r>
          </w:p>
        </w:tc>
        <w:tc>
          <w:tcPr>
            <w:tcW w:w="1877" w:type="dxa"/>
            <w:tcBorders>
              <w:top w:val="single" w:sz="4" w:space="0" w:color="auto"/>
              <w:left w:val="single" w:sz="4" w:space="0" w:color="auto"/>
              <w:bottom w:val="thinThickSmallGap" w:sz="24" w:space="0" w:color="auto"/>
              <w:right w:val="single" w:sz="4" w:space="0" w:color="auto"/>
            </w:tcBorders>
            <w:shd w:val="clear" w:color="auto" w:fill="FFFFFF"/>
            <w:vAlign w:val="center"/>
          </w:tcPr>
          <w:p w:rsidR="00D2086A" w:rsidRPr="00896A99" w:rsidRDefault="00D2086A" w:rsidP="001F2A6D">
            <w:pPr>
              <w:spacing w:line="190" w:lineRule="exact"/>
              <w:jc w:val="center"/>
              <w:rPr>
                <w:sz w:val="20"/>
                <w:szCs w:val="20"/>
                <w:highlight w:val="yellow"/>
              </w:rPr>
            </w:pPr>
            <w:r w:rsidRPr="00896A99">
              <w:rPr>
                <w:sz w:val="20"/>
                <w:szCs w:val="20"/>
              </w:rPr>
              <w:t>4,8</w:t>
            </w:r>
          </w:p>
        </w:tc>
      </w:tr>
      <w:tr w:rsidR="00D2086A" w:rsidRPr="00786ADB" w:rsidTr="00C25682">
        <w:trPr>
          <w:trHeight w:val="108"/>
          <w:jc w:val="center"/>
        </w:trPr>
        <w:tc>
          <w:tcPr>
            <w:tcW w:w="655" w:type="dxa"/>
            <w:tcBorders>
              <w:top w:val="thinThickSmallGap" w:sz="24" w:space="0" w:color="auto"/>
              <w:lef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rStyle w:val="Bodytext295pt"/>
                <w:sz w:val="20"/>
                <w:szCs w:val="20"/>
              </w:rPr>
              <w:t>1.</w:t>
            </w:r>
          </w:p>
        </w:tc>
        <w:tc>
          <w:tcPr>
            <w:tcW w:w="6843" w:type="dxa"/>
            <w:tcBorders>
              <w:top w:val="thinThickSmallGap" w:sz="24" w:space="0" w:color="auto"/>
              <w:left w:val="single" w:sz="4" w:space="0" w:color="auto"/>
            </w:tcBorders>
            <w:shd w:val="clear" w:color="auto" w:fill="FFFFFF"/>
            <w:vAlign w:val="center"/>
          </w:tcPr>
          <w:p w:rsidR="00D2086A" w:rsidRPr="003D724E" w:rsidRDefault="00D2086A" w:rsidP="001F2A6D">
            <w:pPr>
              <w:spacing w:line="190" w:lineRule="exact"/>
              <w:rPr>
                <w:sz w:val="20"/>
                <w:szCs w:val="20"/>
              </w:rPr>
            </w:pPr>
            <w:r w:rsidRPr="003D724E">
              <w:rPr>
                <w:rStyle w:val="Bodytext295pt"/>
                <w:sz w:val="20"/>
                <w:szCs w:val="20"/>
              </w:rPr>
              <w:t>S.A. „Metalferos”</w:t>
            </w:r>
          </w:p>
        </w:tc>
        <w:tc>
          <w:tcPr>
            <w:tcW w:w="1877" w:type="dxa"/>
            <w:tcBorders>
              <w:top w:val="thinThickSmallGap" w:sz="2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127,7</w:t>
            </w:r>
          </w:p>
        </w:tc>
      </w:tr>
      <w:tr w:rsidR="00D2086A" w:rsidRPr="00786ADB" w:rsidTr="00C25682">
        <w:trPr>
          <w:trHeight w:val="140"/>
          <w:jc w:val="center"/>
        </w:trPr>
        <w:tc>
          <w:tcPr>
            <w:tcW w:w="655"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rStyle w:val="Bodytext295pt"/>
                <w:sz w:val="20"/>
                <w:szCs w:val="20"/>
              </w:rPr>
              <w:t>2</w:t>
            </w:r>
            <w:r>
              <w:rPr>
                <w:rStyle w:val="Bodytext295pt"/>
                <w:sz w:val="20"/>
                <w:szCs w:val="20"/>
              </w:rPr>
              <w:t>.</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rPr>
                <w:sz w:val="20"/>
                <w:szCs w:val="20"/>
              </w:rPr>
            </w:pPr>
            <w:r w:rsidRPr="003D724E">
              <w:rPr>
                <w:rStyle w:val="Bodytext295pt"/>
                <w:sz w:val="20"/>
                <w:szCs w:val="20"/>
              </w:rPr>
              <w:t>S.A. „Termoelectrica”</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121,2</w:t>
            </w:r>
          </w:p>
        </w:tc>
      </w:tr>
      <w:tr w:rsidR="00D2086A" w:rsidRPr="00786ADB" w:rsidTr="00C25682">
        <w:trPr>
          <w:trHeight w:val="140"/>
          <w:jc w:val="center"/>
        </w:trPr>
        <w:tc>
          <w:tcPr>
            <w:tcW w:w="655" w:type="dxa"/>
            <w:tcBorders>
              <w:top w:val="single" w:sz="4" w:space="0" w:color="auto"/>
              <w:left w:val="single" w:sz="4" w:space="0" w:color="auto"/>
            </w:tcBorders>
            <w:shd w:val="clear" w:color="auto" w:fill="FFFFFF"/>
            <w:vAlign w:val="center"/>
          </w:tcPr>
          <w:p w:rsidR="00D2086A" w:rsidRPr="00D44149" w:rsidRDefault="00D2086A" w:rsidP="001F2A6D">
            <w:pPr>
              <w:spacing w:line="190" w:lineRule="exact"/>
              <w:jc w:val="center"/>
              <w:rPr>
                <w:sz w:val="20"/>
                <w:szCs w:val="20"/>
              </w:rPr>
            </w:pPr>
            <w:r w:rsidRPr="00D44149">
              <w:rPr>
                <w:rStyle w:val="Bodytext295pt"/>
                <w:sz w:val="20"/>
                <w:szCs w:val="20"/>
              </w:rPr>
              <w:t>3</w:t>
            </w:r>
            <w:r>
              <w:rPr>
                <w:rStyle w:val="Bodytext295pt"/>
                <w:sz w:val="20"/>
                <w:szCs w:val="20"/>
              </w:rPr>
              <w:t>.</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rPr>
                <w:sz w:val="20"/>
                <w:szCs w:val="20"/>
              </w:rPr>
            </w:pPr>
            <w:r w:rsidRPr="003D724E">
              <w:rPr>
                <w:rStyle w:val="Bodytext295pt"/>
                <w:sz w:val="20"/>
                <w:szCs w:val="20"/>
              </w:rPr>
              <w:t>S.A. „CET-Nord”</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45,4</w:t>
            </w:r>
          </w:p>
        </w:tc>
      </w:tr>
      <w:tr w:rsidR="00D2086A" w:rsidRPr="00786ADB" w:rsidTr="00C25682">
        <w:trPr>
          <w:trHeight w:val="43"/>
          <w:jc w:val="center"/>
        </w:trPr>
        <w:tc>
          <w:tcPr>
            <w:tcW w:w="655" w:type="dxa"/>
            <w:tcBorders>
              <w:top w:val="single" w:sz="4" w:space="0" w:color="auto"/>
              <w:left w:val="single" w:sz="4" w:space="0" w:color="auto"/>
            </w:tcBorders>
            <w:shd w:val="clear" w:color="auto" w:fill="FFFFFF"/>
            <w:vAlign w:val="center"/>
          </w:tcPr>
          <w:p w:rsidR="00D2086A" w:rsidRPr="00DB3883" w:rsidRDefault="00D2086A" w:rsidP="001F2A6D">
            <w:pPr>
              <w:spacing w:line="190" w:lineRule="exact"/>
              <w:jc w:val="center"/>
              <w:rPr>
                <w:sz w:val="20"/>
                <w:szCs w:val="20"/>
              </w:rPr>
            </w:pPr>
            <w:r w:rsidRPr="00DB3883">
              <w:rPr>
                <w:rStyle w:val="Bodytext295pt"/>
                <w:sz w:val="20"/>
                <w:szCs w:val="20"/>
              </w:rPr>
              <w:t>4</w:t>
            </w:r>
            <w:r>
              <w:rPr>
                <w:rStyle w:val="Bodytext295pt"/>
                <w:sz w:val="20"/>
                <w:szCs w:val="20"/>
              </w:rPr>
              <w:t>.</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rPr>
                <w:rStyle w:val="Bodytext295pt"/>
                <w:sz w:val="20"/>
                <w:szCs w:val="20"/>
              </w:rPr>
            </w:pPr>
            <w:r w:rsidRPr="003D724E">
              <w:rPr>
                <w:rStyle w:val="Bodytext295pt"/>
                <w:sz w:val="20"/>
                <w:szCs w:val="20"/>
              </w:rPr>
              <w:t>S.A. „Furnizarea Energiei Electrice Nord</w:t>
            </w:r>
            <w:r>
              <w:rPr>
                <w:rStyle w:val="Bodytext295pt"/>
                <w:sz w:val="20"/>
                <w:szCs w:val="20"/>
              </w:rPr>
              <w:t>”</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Pr>
                <w:sz w:val="20"/>
                <w:szCs w:val="20"/>
              </w:rPr>
              <w:t>35,3</w:t>
            </w:r>
          </w:p>
        </w:tc>
      </w:tr>
      <w:tr w:rsidR="00D2086A" w:rsidRPr="00786ADB" w:rsidTr="00C25682">
        <w:trPr>
          <w:trHeight w:val="234"/>
          <w:jc w:val="center"/>
        </w:trPr>
        <w:tc>
          <w:tcPr>
            <w:tcW w:w="655" w:type="dxa"/>
            <w:tcBorders>
              <w:top w:val="single" w:sz="4" w:space="0" w:color="auto"/>
              <w:left w:val="single" w:sz="4" w:space="0" w:color="auto"/>
            </w:tcBorders>
            <w:shd w:val="clear" w:color="auto" w:fill="FFFFFF"/>
            <w:vAlign w:val="center"/>
          </w:tcPr>
          <w:p w:rsidR="00D2086A" w:rsidRPr="00D44149" w:rsidRDefault="00D2086A" w:rsidP="001F2A6D">
            <w:pPr>
              <w:spacing w:line="190" w:lineRule="exact"/>
              <w:jc w:val="center"/>
              <w:rPr>
                <w:rStyle w:val="Bodytext295pt"/>
                <w:sz w:val="20"/>
                <w:szCs w:val="20"/>
              </w:rPr>
            </w:pPr>
            <w:r>
              <w:rPr>
                <w:rStyle w:val="Bodytext295pt"/>
                <w:sz w:val="20"/>
                <w:szCs w:val="20"/>
              </w:rPr>
              <w:t>5.</w:t>
            </w:r>
          </w:p>
        </w:tc>
        <w:tc>
          <w:tcPr>
            <w:tcW w:w="6843" w:type="dxa"/>
            <w:tcBorders>
              <w:top w:val="single" w:sz="4" w:space="0" w:color="auto"/>
              <w:left w:val="single" w:sz="4" w:space="0" w:color="auto"/>
            </w:tcBorders>
            <w:shd w:val="clear" w:color="auto" w:fill="FFFFFF"/>
            <w:vAlign w:val="center"/>
          </w:tcPr>
          <w:p w:rsidR="00D2086A" w:rsidRPr="00786ADB" w:rsidRDefault="00D2086A" w:rsidP="001F2A6D">
            <w:pPr>
              <w:spacing w:line="190" w:lineRule="exact"/>
              <w:rPr>
                <w:sz w:val="20"/>
                <w:szCs w:val="20"/>
                <w:highlight w:val="yellow"/>
              </w:rPr>
            </w:pPr>
            <w:r w:rsidRPr="003D724E">
              <w:rPr>
                <w:rStyle w:val="Bodytext295pt"/>
                <w:sz w:val="20"/>
                <w:szCs w:val="20"/>
              </w:rPr>
              <w:t>S.A. „</w:t>
            </w:r>
            <w:r>
              <w:rPr>
                <w:rStyle w:val="Bodytext295pt"/>
                <w:sz w:val="20"/>
                <w:szCs w:val="20"/>
              </w:rPr>
              <w:t>EnergoCom</w:t>
            </w:r>
            <w:r w:rsidRPr="003D724E">
              <w:rPr>
                <w:rStyle w:val="Bodytext295pt"/>
                <w:sz w:val="20"/>
                <w:szCs w:val="20"/>
              </w:rPr>
              <w:t>”</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786ADB" w:rsidRDefault="00D2086A" w:rsidP="001F2A6D">
            <w:pPr>
              <w:spacing w:line="190" w:lineRule="exact"/>
              <w:jc w:val="center"/>
              <w:rPr>
                <w:sz w:val="20"/>
                <w:szCs w:val="20"/>
                <w:highlight w:val="yellow"/>
              </w:rPr>
            </w:pPr>
            <w:r w:rsidRPr="003D724E">
              <w:rPr>
                <w:sz w:val="20"/>
                <w:szCs w:val="20"/>
              </w:rPr>
              <w:t>33,1</w:t>
            </w:r>
          </w:p>
        </w:tc>
      </w:tr>
      <w:tr w:rsidR="00D2086A" w:rsidRPr="00786ADB" w:rsidTr="00C25682">
        <w:trPr>
          <w:trHeight w:val="234"/>
          <w:jc w:val="center"/>
        </w:trPr>
        <w:tc>
          <w:tcPr>
            <w:tcW w:w="655" w:type="dxa"/>
            <w:tcBorders>
              <w:top w:val="single" w:sz="4" w:space="0" w:color="auto"/>
              <w:left w:val="single" w:sz="4" w:space="0" w:color="auto"/>
            </w:tcBorders>
            <w:shd w:val="clear" w:color="auto" w:fill="FFFFFF"/>
            <w:vAlign w:val="center"/>
          </w:tcPr>
          <w:p w:rsidR="00D2086A" w:rsidRPr="00D44149" w:rsidRDefault="00D2086A" w:rsidP="001F2A6D">
            <w:pPr>
              <w:spacing w:line="190" w:lineRule="exact"/>
              <w:jc w:val="center"/>
              <w:rPr>
                <w:rStyle w:val="Bodytext295pt"/>
                <w:sz w:val="20"/>
                <w:szCs w:val="20"/>
              </w:rPr>
            </w:pPr>
            <w:r>
              <w:rPr>
                <w:rStyle w:val="Bodytext295pt"/>
                <w:sz w:val="20"/>
                <w:szCs w:val="20"/>
              </w:rPr>
              <w:t>6.</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rPr>
                <w:sz w:val="20"/>
                <w:szCs w:val="20"/>
              </w:rPr>
            </w:pPr>
            <w:r w:rsidRPr="003D724E">
              <w:rPr>
                <w:rStyle w:val="Bodytext295pt"/>
                <w:sz w:val="20"/>
                <w:szCs w:val="20"/>
              </w:rPr>
              <w:t>S.A. „Barza Alb</w:t>
            </w:r>
            <w:r>
              <w:rPr>
                <w:rStyle w:val="Bodytext295pt"/>
                <w:sz w:val="20"/>
                <w:szCs w:val="20"/>
              </w:rPr>
              <w:t>ă</w:t>
            </w:r>
            <w:r w:rsidRPr="003D724E">
              <w:rPr>
                <w:rStyle w:val="Bodytext295pt"/>
                <w:sz w:val="20"/>
                <w:szCs w:val="20"/>
              </w:rPr>
              <w:t>”</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21,6</w:t>
            </w:r>
          </w:p>
        </w:tc>
      </w:tr>
      <w:tr w:rsidR="00D2086A" w:rsidRPr="00786ADB" w:rsidTr="00C25682">
        <w:trPr>
          <w:trHeight w:val="122"/>
          <w:jc w:val="center"/>
        </w:trPr>
        <w:tc>
          <w:tcPr>
            <w:tcW w:w="655" w:type="dxa"/>
            <w:tcBorders>
              <w:top w:val="single" w:sz="4" w:space="0" w:color="auto"/>
              <w:left w:val="single" w:sz="4" w:space="0" w:color="auto"/>
            </w:tcBorders>
            <w:shd w:val="clear" w:color="auto" w:fill="FFFFFF"/>
            <w:vAlign w:val="center"/>
          </w:tcPr>
          <w:p w:rsidR="00D2086A" w:rsidRPr="00D44149" w:rsidRDefault="00D2086A" w:rsidP="001F2A6D">
            <w:pPr>
              <w:spacing w:line="190" w:lineRule="exact"/>
              <w:jc w:val="center"/>
              <w:rPr>
                <w:sz w:val="20"/>
                <w:szCs w:val="20"/>
              </w:rPr>
            </w:pPr>
            <w:r>
              <w:rPr>
                <w:sz w:val="20"/>
                <w:szCs w:val="20"/>
              </w:rPr>
              <w:lastRenderedPageBreak/>
              <w:t>7.</w:t>
            </w:r>
          </w:p>
        </w:tc>
        <w:tc>
          <w:tcPr>
            <w:tcW w:w="6843" w:type="dxa"/>
            <w:tcBorders>
              <w:top w:val="single" w:sz="4" w:space="0" w:color="auto"/>
              <w:left w:val="single" w:sz="4" w:space="0" w:color="auto"/>
            </w:tcBorders>
            <w:shd w:val="clear" w:color="auto" w:fill="FFFFFF"/>
            <w:vAlign w:val="center"/>
          </w:tcPr>
          <w:p w:rsidR="00D2086A" w:rsidRPr="003D724E" w:rsidRDefault="00D2086A" w:rsidP="001F2A6D">
            <w:pPr>
              <w:spacing w:line="190" w:lineRule="exact"/>
              <w:rPr>
                <w:sz w:val="20"/>
                <w:szCs w:val="20"/>
              </w:rPr>
            </w:pPr>
            <w:r w:rsidRPr="003D724E">
              <w:rPr>
                <w:rStyle w:val="Bodytext295pt"/>
                <w:sz w:val="20"/>
                <w:szCs w:val="20"/>
              </w:rPr>
              <w:t>S.A. „Combinatul de Vinuri „Cricova”</w:t>
            </w:r>
          </w:p>
        </w:tc>
        <w:tc>
          <w:tcPr>
            <w:tcW w:w="1877" w:type="dxa"/>
            <w:tcBorders>
              <w:top w:val="single" w:sz="4" w:space="0" w:color="auto"/>
              <w:left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19,7</w:t>
            </w:r>
          </w:p>
        </w:tc>
      </w:tr>
      <w:tr w:rsidR="00D2086A" w:rsidRPr="00786ADB" w:rsidTr="00C25682">
        <w:trPr>
          <w:trHeight w:val="122"/>
          <w:jc w:val="center"/>
        </w:trPr>
        <w:tc>
          <w:tcPr>
            <w:tcW w:w="655" w:type="dxa"/>
            <w:tcBorders>
              <w:top w:val="single" w:sz="4" w:space="0" w:color="auto"/>
              <w:left w:val="single" w:sz="4" w:space="0" w:color="auto"/>
              <w:bottom w:val="single" w:sz="4" w:space="0" w:color="auto"/>
            </w:tcBorders>
            <w:shd w:val="clear" w:color="auto" w:fill="FFFFFF"/>
            <w:vAlign w:val="center"/>
          </w:tcPr>
          <w:p w:rsidR="00D2086A" w:rsidRPr="003D724E" w:rsidRDefault="00D2086A" w:rsidP="001F2A6D">
            <w:pPr>
              <w:spacing w:line="190" w:lineRule="exact"/>
              <w:jc w:val="center"/>
              <w:rPr>
                <w:sz w:val="20"/>
                <w:szCs w:val="20"/>
              </w:rPr>
            </w:pPr>
            <w:r>
              <w:rPr>
                <w:sz w:val="20"/>
                <w:szCs w:val="20"/>
              </w:rPr>
              <w:t>8.</w:t>
            </w:r>
          </w:p>
        </w:tc>
        <w:tc>
          <w:tcPr>
            <w:tcW w:w="6843" w:type="dxa"/>
            <w:tcBorders>
              <w:top w:val="single" w:sz="4" w:space="0" w:color="auto"/>
              <w:left w:val="single" w:sz="4" w:space="0" w:color="auto"/>
              <w:bottom w:val="single" w:sz="4" w:space="0" w:color="auto"/>
            </w:tcBorders>
            <w:shd w:val="clear" w:color="auto" w:fill="FFFFFF"/>
            <w:vAlign w:val="center"/>
          </w:tcPr>
          <w:p w:rsidR="00D2086A" w:rsidRPr="003D724E" w:rsidRDefault="00D2086A" w:rsidP="001F2A6D">
            <w:pPr>
              <w:spacing w:line="190" w:lineRule="exact"/>
              <w:rPr>
                <w:sz w:val="20"/>
                <w:szCs w:val="20"/>
              </w:rPr>
            </w:pPr>
            <w:r w:rsidRPr="003D724E">
              <w:rPr>
                <w:rStyle w:val="Bodytext295pt"/>
                <w:sz w:val="20"/>
                <w:szCs w:val="20"/>
              </w:rPr>
              <w:t>S.A. Drumuri „R</w:t>
            </w:r>
            <w:r>
              <w:rPr>
                <w:rStyle w:val="Bodytext295pt"/>
                <w:sz w:val="20"/>
                <w:szCs w:val="20"/>
              </w:rPr>
              <w:t>îș</w:t>
            </w:r>
            <w:r w:rsidRPr="003D724E">
              <w:rPr>
                <w:rStyle w:val="Bodytext295pt"/>
                <w:sz w:val="20"/>
                <w:szCs w:val="20"/>
              </w:rPr>
              <w:t>cani”</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D2086A" w:rsidRPr="003D724E" w:rsidRDefault="00D2086A" w:rsidP="001F2A6D">
            <w:pPr>
              <w:spacing w:line="190" w:lineRule="exact"/>
              <w:jc w:val="center"/>
              <w:rPr>
                <w:sz w:val="20"/>
                <w:szCs w:val="20"/>
              </w:rPr>
            </w:pPr>
            <w:r w:rsidRPr="003D724E">
              <w:rPr>
                <w:sz w:val="20"/>
                <w:szCs w:val="20"/>
              </w:rPr>
              <w:t>8,6</w:t>
            </w:r>
          </w:p>
        </w:tc>
      </w:tr>
    </w:tbl>
    <w:p w:rsidR="00D2086A" w:rsidRDefault="00D2086A" w:rsidP="00D2086A">
      <w:pPr>
        <w:spacing w:line="276" w:lineRule="auto"/>
        <w:ind w:right="325" w:firstLine="567"/>
      </w:pPr>
    </w:p>
    <w:p w:rsidR="00D2086A" w:rsidRPr="0023156D" w:rsidRDefault="00D2086A" w:rsidP="00D2086A">
      <w:pPr>
        <w:spacing w:line="276" w:lineRule="auto"/>
        <w:ind w:firstLine="567"/>
        <w:jc w:val="both"/>
        <w:rPr>
          <w:sz w:val="28"/>
          <w:szCs w:val="28"/>
        </w:rPr>
      </w:pPr>
      <w:r w:rsidRPr="0023156D">
        <w:rPr>
          <w:sz w:val="28"/>
          <w:szCs w:val="28"/>
        </w:rPr>
        <w:t xml:space="preserve">De asemenea, s-a constatat că, </w:t>
      </w:r>
      <w:r w:rsidRPr="002431BE">
        <w:rPr>
          <w:rStyle w:val="Bodytext213ptItalic"/>
          <w:sz w:val="28"/>
          <w:szCs w:val="28"/>
        </w:rPr>
        <w:t xml:space="preserve">societățile </w:t>
      </w:r>
      <w:r w:rsidRPr="002431BE">
        <w:rPr>
          <w:i/>
          <w:sz w:val="28"/>
          <w:szCs w:val="28"/>
        </w:rPr>
        <w:t>pe acț</w:t>
      </w:r>
      <w:r w:rsidR="002431BE" w:rsidRPr="002431BE">
        <w:rPr>
          <w:i/>
          <w:sz w:val="28"/>
          <w:szCs w:val="28"/>
        </w:rPr>
        <w:t>iuni</w:t>
      </w:r>
      <w:r w:rsidRPr="0023156D">
        <w:rPr>
          <w:sz w:val="28"/>
          <w:szCs w:val="28"/>
        </w:rPr>
        <w:t xml:space="preserve"> </w:t>
      </w:r>
      <w:r w:rsidRPr="0023156D">
        <w:rPr>
          <w:rStyle w:val="Bodytext213ptItalic"/>
          <w:sz w:val="28"/>
          <w:szCs w:val="28"/>
        </w:rPr>
        <w:t>au ob</w:t>
      </w:r>
      <w:r>
        <w:rPr>
          <w:rStyle w:val="Bodytext213ptItalic"/>
          <w:sz w:val="28"/>
          <w:szCs w:val="28"/>
        </w:rPr>
        <w:t>ț</w:t>
      </w:r>
      <w:r w:rsidRPr="0023156D">
        <w:rPr>
          <w:rStyle w:val="Bodytext213ptItalic"/>
          <w:sz w:val="28"/>
          <w:szCs w:val="28"/>
        </w:rPr>
        <w:t>inut în semestrul I al anului 2018 venituri din</w:t>
      </w:r>
      <w:r w:rsidR="002431BE">
        <w:rPr>
          <w:rStyle w:val="Bodytext213ptItalic"/>
          <w:sz w:val="28"/>
          <w:szCs w:val="28"/>
        </w:rPr>
        <w:t xml:space="preserve"> vînzări în mărime de 6987,6 mil.</w:t>
      </w:r>
      <w:r w:rsidRPr="0023156D">
        <w:rPr>
          <w:rStyle w:val="Bodytext213ptItalic"/>
          <w:sz w:val="28"/>
          <w:szCs w:val="28"/>
        </w:rPr>
        <w:t xml:space="preserve"> lei. </w:t>
      </w:r>
      <w:r w:rsidRPr="0023156D">
        <w:rPr>
          <w:sz w:val="28"/>
          <w:szCs w:val="28"/>
        </w:rPr>
        <w:t>Conform bazei comparabile, valoarea veniturilor din vînzări încasate de societă</w:t>
      </w:r>
      <w:r>
        <w:rPr>
          <w:sz w:val="28"/>
          <w:szCs w:val="28"/>
        </w:rPr>
        <w:t>ț</w:t>
      </w:r>
      <w:r w:rsidRPr="0023156D">
        <w:rPr>
          <w:sz w:val="28"/>
          <w:szCs w:val="28"/>
        </w:rPr>
        <w:t>ile pe ac</w:t>
      </w:r>
      <w:r>
        <w:rPr>
          <w:sz w:val="28"/>
          <w:szCs w:val="28"/>
        </w:rPr>
        <w:t>ț</w:t>
      </w:r>
      <w:r w:rsidRPr="0023156D">
        <w:rPr>
          <w:sz w:val="28"/>
          <w:szCs w:val="28"/>
        </w:rPr>
        <w:t>iuni s-a majorat cu 290,0 mil. lei fa</w:t>
      </w:r>
      <w:r>
        <w:rPr>
          <w:sz w:val="28"/>
          <w:szCs w:val="28"/>
        </w:rPr>
        <w:t>ț</w:t>
      </w:r>
      <w:r w:rsidRPr="0023156D">
        <w:rPr>
          <w:sz w:val="28"/>
          <w:szCs w:val="28"/>
        </w:rPr>
        <w:t>ă de semestrul I, 2017. Majorarea respectivă s-a datorat creșterii cu peste 1,0 mil. lei a veniturilor din vînzări la 14 societă</w:t>
      </w:r>
      <w:r>
        <w:rPr>
          <w:sz w:val="28"/>
          <w:szCs w:val="28"/>
        </w:rPr>
        <w:t>ț</w:t>
      </w:r>
      <w:r w:rsidRPr="0023156D">
        <w:rPr>
          <w:sz w:val="28"/>
          <w:szCs w:val="28"/>
        </w:rPr>
        <w:t>i pe ac</w:t>
      </w:r>
      <w:r>
        <w:rPr>
          <w:sz w:val="28"/>
          <w:szCs w:val="28"/>
        </w:rPr>
        <w:t>ț</w:t>
      </w:r>
      <w:r w:rsidRPr="0023156D">
        <w:rPr>
          <w:sz w:val="28"/>
          <w:szCs w:val="28"/>
        </w:rPr>
        <w:t>iuni, cele mai considerabile venituri înregistrate</w:t>
      </w:r>
      <w:r w:rsidR="002431BE">
        <w:rPr>
          <w:sz w:val="28"/>
          <w:szCs w:val="28"/>
        </w:rPr>
        <w:t xml:space="preserve"> fiind reflectate în tabelul 18</w:t>
      </w:r>
      <w:r w:rsidRPr="0023156D">
        <w:rPr>
          <w:sz w:val="28"/>
          <w:szCs w:val="28"/>
        </w:rPr>
        <w:t xml:space="preserve">. </w:t>
      </w:r>
    </w:p>
    <w:p w:rsidR="00D2086A" w:rsidRPr="0023156D" w:rsidRDefault="00D2086A" w:rsidP="00D2086A">
      <w:pPr>
        <w:spacing w:line="276" w:lineRule="auto"/>
        <w:ind w:firstLine="567"/>
        <w:jc w:val="both"/>
        <w:rPr>
          <w:sz w:val="28"/>
          <w:szCs w:val="28"/>
        </w:rPr>
      </w:pPr>
      <w:r w:rsidRPr="0023156D">
        <w:rPr>
          <w:sz w:val="28"/>
          <w:szCs w:val="28"/>
        </w:rPr>
        <w:t>Din numărul total al societă</w:t>
      </w:r>
      <w:r>
        <w:rPr>
          <w:sz w:val="28"/>
          <w:szCs w:val="28"/>
        </w:rPr>
        <w:t>ț</w:t>
      </w:r>
      <w:r w:rsidRPr="0023156D">
        <w:rPr>
          <w:sz w:val="28"/>
          <w:szCs w:val="28"/>
        </w:rPr>
        <w:t>ilor pe ac</w:t>
      </w:r>
      <w:r>
        <w:rPr>
          <w:sz w:val="28"/>
          <w:szCs w:val="28"/>
        </w:rPr>
        <w:t>ț</w:t>
      </w:r>
      <w:r w:rsidRPr="0023156D">
        <w:rPr>
          <w:sz w:val="28"/>
          <w:szCs w:val="28"/>
        </w:rPr>
        <w:t>iuni, conform bazei comparabile, la                  12 societă</w:t>
      </w:r>
      <w:r>
        <w:rPr>
          <w:sz w:val="28"/>
          <w:szCs w:val="28"/>
        </w:rPr>
        <w:t>ț</w:t>
      </w:r>
      <w:r w:rsidRPr="0023156D">
        <w:rPr>
          <w:sz w:val="28"/>
          <w:szCs w:val="28"/>
        </w:rPr>
        <w:t>i veniturile din vînzări s-au micșorat cu 140,7 mil. lei, iar la alte 21 societă</w:t>
      </w:r>
      <w:r>
        <w:rPr>
          <w:sz w:val="28"/>
          <w:szCs w:val="28"/>
        </w:rPr>
        <w:t>ț</w:t>
      </w:r>
      <w:r w:rsidRPr="0023156D">
        <w:rPr>
          <w:sz w:val="28"/>
          <w:szCs w:val="28"/>
        </w:rPr>
        <w:t>i - veniturile s-au majorat cu 430,7 mil. lei.</w:t>
      </w:r>
    </w:p>
    <w:p w:rsidR="00D2086A" w:rsidRPr="0023156D" w:rsidRDefault="00D2086A" w:rsidP="00D2086A">
      <w:pPr>
        <w:spacing w:line="276" w:lineRule="auto"/>
        <w:ind w:firstLine="567"/>
        <w:jc w:val="both"/>
        <w:rPr>
          <w:sz w:val="28"/>
          <w:szCs w:val="28"/>
        </w:rPr>
      </w:pPr>
      <w:r w:rsidRPr="0023156D">
        <w:rPr>
          <w:sz w:val="28"/>
          <w:szCs w:val="28"/>
        </w:rPr>
        <w:t xml:space="preserve">Totodată, din numărul total al întreprinderilor de stat, 18 întreprinderi de stat au înregistrat în semestrul I, 2018, </w:t>
      </w:r>
      <w:r w:rsidRPr="0023156D">
        <w:rPr>
          <w:i/>
          <w:sz w:val="28"/>
          <w:szCs w:val="28"/>
        </w:rPr>
        <w:t xml:space="preserve">diminuări ale veniturilor din vînzări mai mari de </w:t>
      </w:r>
      <w:r w:rsidR="00DA61B5">
        <w:rPr>
          <w:i/>
          <w:sz w:val="28"/>
          <w:szCs w:val="28"/>
        </w:rPr>
        <w:t xml:space="preserve">                 </w:t>
      </w:r>
      <w:r w:rsidRPr="0023156D">
        <w:rPr>
          <w:i/>
          <w:sz w:val="28"/>
          <w:szCs w:val="28"/>
        </w:rPr>
        <w:t>1 milion lei</w:t>
      </w:r>
      <w:r w:rsidRPr="0023156D">
        <w:rPr>
          <w:sz w:val="28"/>
          <w:szCs w:val="28"/>
        </w:rPr>
        <w:t>, comparativ cu semestrul I, 2017 dintre acestea eviden</w:t>
      </w:r>
      <w:r>
        <w:rPr>
          <w:sz w:val="28"/>
          <w:szCs w:val="28"/>
        </w:rPr>
        <w:t>ț</w:t>
      </w:r>
      <w:r w:rsidRPr="0023156D">
        <w:rPr>
          <w:sz w:val="28"/>
          <w:szCs w:val="28"/>
        </w:rPr>
        <w:t>iindu-se: Î.S. „Calea Ferată din Moldova” (cu 31,9 mil. lei), Î.S. „Aeroportul Interna</w:t>
      </w:r>
      <w:r>
        <w:rPr>
          <w:sz w:val="28"/>
          <w:szCs w:val="28"/>
        </w:rPr>
        <w:t>ț</w:t>
      </w:r>
      <w:r w:rsidRPr="0023156D">
        <w:rPr>
          <w:sz w:val="28"/>
          <w:szCs w:val="28"/>
        </w:rPr>
        <w:t>ional Mărculești” (cu 12,2 mil. lei), Î.S. Întreprinderea Editorial-Poligrafică „Știin</w:t>
      </w:r>
      <w:r>
        <w:rPr>
          <w:sz w:val="28"/>
          <w:szCs w:val="28"/>
        </w:rPr>
        <w:t>ț</w:t>
      </w:r>
      <w:r w:rsidRPr="0023156D">
        <w:rPr>
          <w:sz w:val="28"/>
          <w:szCs w:val="28"/>
        </w:rPr>
        <w:t>a” (cu 5,6 mil. lei), Î.S. Combinatul Poligrafic (cu 4,8 mil. lei).</w:t>
      </w:r>
    </w:p>
    <w:p w:rsidR="00D2086A" w:rsidRPr="0023156D" w:rsidRDefault="00D2086A" w:rsidP="00D2086A">
      <w:pPr>
        <w:spacing w:line="276" w:lineRule="auto"/>
        <w:ind w:firstLine="567"/>
        <w:jc w:val="both"/>
        <w:rPr>
          <w:sz w:val="28"/>
          <w:szCs w:val="28"/>
        </w:rPr>
      </w:pPr>
      <w:r w:rsidRPr="0023156D">
        <w:rPr>
          <w:sz w:val="28"/>
          <w:szCs w:val="28"/>
        </w:rPr>
        <w:t>Din numărul societă</w:t>
      </w:r>
      <w:r>
        <w:rPr>
          <w:sz w:val="28"/>
          <w:szCs w:val="28"/>
        </w:rPr>
        <w:t>ț</w:t>
      </w:r>
      <w:r w:rsidRPr="0023156D">
        <w:rPr>
          <w:sz w:val="28"/>
          <w:szCs w:val="28"/>
        </w:rPr>
        <w:t>ilor monitorizare, micșorarea veniturilor din vînzări cu peste 1,0 mil. lei s-a înregistrat la 10 societă</w:t>
      </w:r>
      <w:r>
        <w:rPr>
          <w:sz w:val="28"/>
          <w:szCs w:val="28"/>
        </w:rPr>
        <w:t>ț</w:t>
      </w:r>
      <w:r w:rsidRPr="0023156D">
        <w:rPr>
          <w:sz w:val="28"/>
          <w:szCs w:val="28"/>
        </w:rPr>
        <w:t>i, din care la S.A. „Moldtelecom” acestea s-au diminuat cu 41,3 mil. lei, la S.A. „Drumuri Criuleni” - cu 22,5 mil. lei, la S.A. „Franzelu</w:t>
      </w:r>
      <w:r>
        <w:rPr>
          <w:sz w:val="28"/>
          <w:szCs w:val="28"/>
        </w:rPr>
        <w:t>ț</w:t>
      </w:r>
      <w:r w:rsidRPr="0023156D">
        <w:rPr>
          <w:sz w:val="28"/>
          <w:szCs w:val="28"/>
        </w:rPr>
        <w:t>a” – cu 15,8 mil. lei și la S.A. „SanfarmPrim” – cu 15,3 mil. lei.</w:t>
      </w:r>
    </w:p>
    <w:p w:rsidR="00D2086A" w:rsidRPr="002431BE" w:rsidRDefault="00D2086A" w:rsidP="00D2086A">
      <w:pPr>
        <w:spacing w:line="276" w:lineRule="auto"/>
        <w:ind w:firstLine="567"/>
        <w:jc w:val="both"/>
        <w:rPr>
          <w:sz w:val="28"/>
          <w:szCs w:val="28"/>
        </w:rPr>
      </w:pPr>
      <w:r w:rsidRPr="0023156D">
        <w:rPr>
          <w:sz w:val="28"/>
          <w:szCs w:val="28"/>
        </w:rPr>
        <w:t>Micșorarea veniturilor din vînzări, la întreprinderile de stat și societă</w:t>
      </w:r>
      <w:r>
        <w:rPr>
          <w:sz w:val="28"/>
          <w:szCs w:val="28"/>
        </w:rPr>
        <w:t>ț</w:t>
      </w:r>
      <w:r w:rsidRPr="0023156D">
        <w:rPr>
          <w:sz w:val="28"/>
          <w:szCs w:val="28"/>
        </w:rPr>
        <w:t>ile pe ac</w:t>
      </w:r>
      <w:r>
        <w:rPr>
          <w:sz w:val="28"/>
          <w:szCs w:val="28"/>
        </w:rPr>
        <w:t>ț</w:t>
      </w:r>
      <w:r w:rsidRPr="0023156D">
        <w:rPr>
          <w:sz w:val="28"/>
          <w:szCs w:val="28"/>
        </w:rPr>
        <w:t>iuni respective, comparativ cu perioada corespunzătoare a anului precedent, poate condi</w:t>
      </w:r>
      <w:r>
        <w:rPr>
          <w:sz w:val="28"/>
          <w:szCs w:val="28"/>
        </w:rPr>
        <w:t>ț</w:t>
      </w:r>
      <w:r w:rsidRPr="0023156D">
        <w:rPr>
          <w:sz w:val="28"/>
          <w:szCs w:val="28"/>
        </w:rPr>
        <w:t xml:space="preserve">iona micșorarea taxei pe valoarea adăugată încasată în bugetul de stat, fapt ce reprezintă </w:t>
      </w:r>
      <w:r w:rsidRPr="00DA61B5">
        <w:rPr>
          <w:i/>
          <w:sz w:val="28"/>
          <w:szCs w:val="28"/>
        </w:rPr>
        <w:t>un risc fiscal pentru bugetul public național</w:t>
      </w:r>
      <w:r w:rsidRPr="0023156D">
        <w:rPr>
          <w:sz w:val="28"/>
          <w:szCs w:val="28"/>
        </w:rPr>
        <w:t>.</w:t>
      </w:r>
    </w:p>
    <w:p w:rsidR="00D2086A" w:rsidRPr="002431BE" w:rsidRDefault="00D2086A" w:rsidP="00D2086A">
      <w:pPr>
        <w:spacing w:line="276" w:lineRule="auto"/>
        <w:ind w:firstLine="567"/>
        <w:jc w:val="both"/>
        <w:rPr>
          <w:sz w:val="28"/>
          <w:szCs w:val="28"/>
        </w:rPr>
      </w:pPr>
      <w:r w:rsidRPr="002431BE">
        <w:rPr>
          <w:rStyle w:val="Bodytext213ptItalic"/>
          <w:i w:val="0"/>
          <w:sz w:val="28"/>
          <w:szCs w:val="28"/>
        </w:rPr>
        <w:t>C</w:t>
      </w:r>
      <w:r w:rsidRPr="002431BE">
        <w:rPr>
          <w:sz w:val="28"/>
          <w:szCs w:val="28"/>
        </w:rPr>
        <w:t xml:space="preserve">onform datelor cumulate ale raportului statistic generalizat, </w:t>
      </w:r>
      <w:r w:rsidRPr="002431BE">
        <w:rPr>
          <w:rStyle w:val="Bodytext213ptItalic"/>
          <w:sz w:val="28"/>
          <w:szCs w:val="28"/>
        </w:rPr>
        <w:t>întreprinderile de stat aveau înregistrate costuri și cheltuieli aferente activității</w:t>
      </w:r>
      <w:r w:rsidRPr="0023156D">
        <w:rPr>
          <w:rStyle w:val="Bodytext213ptItalic"/>
          <w:sz w:val="28"/>
          <w:szCs w:val="28"/>
        </w:rPr>
        <w:t xml:space="preserve"> desfășurate în 6 luni, 2018 în sumă de 3556,0 mil. lei</w:t>
      </w:r>
      <w:r w:rsidRPr="0023156D">
        <w:rPr>
          <w:sz w:val="28"/>
          <w:szCs w:val="28"/>
        </w:rPr>
        <w:t xml:space="preserve">. Potrivit bazei comparabile, mărimea costurilor și cheltuielilor înregistrate de întreprinderi este de 3534,2 mil. lei, cu 233,4 mil. lei mai mult comparativ cu </w:t>
      </w:r>
      <w:r w:rsidRPr="002431BE">
        <w:rPr>
          <w:sz w:val="28"/>
          <w:szCs w:val="28"/>
        </w:rPr>
        <w:t>semestrul I, 2017.</w:t>
      </w:r>
    </w:p>
    <w:p w:rsidR="00D2086A" w:rsidRPr="0023156D" w:rsidRDefault="00D2086A" w:rsidP="00D2086A">
      <w:pPr>
        <w:spacing w:line="276" w:lineRule="auto"/>
        <w:ind w:firstLine="567"/>
        <w:jc w:val="both"/>
        <w:rPr>
          <w:sz w:val="28"/>
          <w:szCs w:val="28"/>
        </w:rPr>
      </w:pPr>
      <w:r w:rsidRPr="002431BE">
        <w:rPr>
          <w:sz w:val="28"/>
          <w:szCs w:val="28"/>
        </w:rPr>
        <w:t xml:space="preserve">Concomitent, se constată că, </w:t>
      </w:r>
      <w:r w:rsidRPr="002431BE">
        <w:rPr>
          <w:rStyle w:val="Bodytext213ptItalic"/>
          <w:sz w:val="28"/>
          <w:szCs w:val="28"/>
        </w:rPr>
        <w:t>societățile pe acțiuni aveau înregistrate costuri și cheltuieli aferente activității</w:t>
      </w:r>
      <w:r w:rsidRPr="0023156D">
        <w:rPr>
          <w:rStyle w:val="Bodytext213ptItalic"/>
          <w:sz w:val="28"/>
          <w:szCs w:val="28"/>
        </w:rPr>
        <w:t xml:space="preserve"> desfășurate în 6 luni ale anului 2018 în sumă de                             </w:t>
      </w:r>
      <w:r w:rsidRPr="0023156D">
        <w:rPr>
          <w:i/>
          <w:sz w:val="28"/>
          <w:szCs w:val="28"/>
        </w:rPr>
        <w:t>4192,2</w:t>
      </w:r>
      <w:r w:rsidRPr="0023156D">
        <w:rPr>
          <w:sz w:val="28"/>
          <w:szCs w:val="28"/>
        </w:rPr>
        <w:t xml:space="preserve"> </w:t>
      </w:r>
      <w:r w:rsidRPr="0023156D">
        <w:rPr>
          <w:rStyle w:val="Bodytext213ptItalic"/>
          <w:sz w:val="28"/>
          <w:szCs w:val="28"/>
        </w:rPr>
        <w:t xml:space="preserve">mil. lei. </w:t>
      </w:r>
      <w:r w:rsidRPr="0023156D">
        <w:rPr>
          <w:sz w:val="28"/>
          <w:szCs w:val="28"/>
        </w:rPr>
        <w:t xml:space="preserve">Potrivit bazei comparabile, mărimea costurilor și cheltuielilor înregistrate de </w:t>
      </w:r>
      <w:r w:rsidRPr="0023156D">
        <w:rPr>
          <w:rStyle w:val="Bodytext213ptItalic"/>
          <w:sz w:val="28"/>
          <w:szCs w:val="28"/>
        </w:rPr>
        <w:t>societă</w:t>
      </w:r>
      <w:r>
        <w:rPr>
          <w:rStyle w:val="Bodytext213ptItalic"/>
          <w:sz w:val="28"/>
          <w:szCs w:val="28"/>
        </w:rPr>
        <w:t>ț</w:t>
      </w:r>
      <w:r w:rsidRPr="0023156D">
        <w:rPr>
          <w:rStyle w:val="Bodytext213ptItalic"/>
          <w:sz w:val="28"/>
          <w:szCs w:val="28"/>
        </w:rPr>
        <w:t>i</w:t>
      </w:r>
      <w:r w:rsidR="00C25682">
        <w:rPr>
          <w:rStyle w:val="Bodytext213ptItalic"/>
          <w:sz w:val="28"/>
          <w:szCs w:val="28"/>
        </w:rPr>
        <w:t xml:space="preserve"> </w:t>
      </w:r>
      <w:r w:rsidRPr="0023156D">
        <w:rPr>
          <w:sz w:val="28"/>
          <w:szCs w:val="28"/>
        </w:rPr>
        <w:t>s-a majorat cu 108,6 mil. lei fa</w:t>
      </w:r>
      <w:r>
        <w:rPr>
          <w:sz w:val="28"/>
          <w:szCs w:val="28"/>
        </w:rPr>
        <w:t>ț</w:t>
      </w:r>
      <w:r w:rsidRPr="0023156D">
        <w:rPr>
          <w:sz w:val="28"/>
          <w:szCs w:val="28"/>
        </w:rPr>
        <w:t>ă de semestrul I al anului 2017.</w:t>
      </w:r>
    </w:p>
    <w:p w:rsidR="002431BE" w:rsidRDefault="00D2086A" w:rsidP="00D2086A">
      <w:pPr>
        <w:spacing w:line="276" w:lineRule="auto"/>
        <w:ind w:firstLine="567"/>
        <w:jc w:val="both"/>
        <w:rPr>
          <w:rStyle w:val="Bodytext295pt"/>
          <w:sz w:val="28"/>
          <w:szCs w:val="28"/>
        </w:rPr>
      </w:pPr>
      <w:r w:rsidRPr="0023156D">
        <w:rPr>
          <w:sz w:val="28"/>
          <w:szCs w:val="28"/>
        </w:rPr>
        <w:t>Suplimentar, urmează să men</w:t>
      </w:r>
      <w:r>
        <w:rPr>
          <w:sz w:val="28"/>
          <w:szCs w:val="28"/>
        </w:rPr>
        <w:t>ț</w:t>
      </w:r>
      <w:r w:rsidRPr="0023156D">
        <w:rPr>
          <w:sz w:val="28"/>
          <w:szCs w:val="28"/>
        </w:rPr>
        <w:t>ionăm că</w:t>
      </w:r>
      <w:r w:rsidRPr="0023156D">
        <w:rPr>
          <w:rStyle w:val="Bodytext213ptItalic"/>
          <w:sz w:val="28"/>
          <w:szCs w:val="28"/>
        </w:rPr>
        <w:t xml:space="preserve"> în </w:t>
      </w:r>
      <w:r w:rsidRPr="002431BE">
        <w:rPr>
          <w:rStyle w:val="Bodytext213ptItalic"/>
          <w:sz w:val="28"/>
          <w:szCs w:val="28"/>
        </w:rPr>
        <w:t>semestrul I, 2018, întreprinderile de stat</w:t>
      </w:r>
      <w:r w:rsidRPr="002431BE">
        <w:rPr>
          <w:sz w:val="28"/>
          <w:szCs w:val="28"/>
        </w:rPr>
        <w:t xml:space="preserve"> au generat, potrivit bazei comparabile, per total</w:t>
      </w:r>
      <w:r w:rsidRPr="0023156D">
        <w:rPr>
          <w:sz w:val="28"/>
          <w:szCs w:val="28"/>
        </w:rPr>
        <w:t xml:space="preserve"> pierderi în mărime de 125,2 </w:t>
      </w:r>
      <w:r w:rsidRPr="0023156D">
        <w:rPr>
          <w:sz w:val="28"/>
          <w:szCs w:val="28"/>
        </w:rPr>
        <w:lastRenderedPageBreak/>
        <w:t xml:space="preserve">mil. lei. Cele mai considerabile pierderi au fost generate de </w:t>
      </w:r>
      <w:r w:rsidRPr="0023156D">
        <w:rPr>
          <w:rStyle w:val="Bodytext295pt"/>
          <w:sz w:val="28"/>
          <w:szCs w:val="28"/>
        </w:rPr>
        <w:t xml:space="preserve">Î.S. Compania Aeriană „Air Moldova” și Î.S. „Calea Ferată din Moldova”. </w:t>
      </w:r>
    </w:p>
    <w:p w:rsidR="004D333B" w:rsidRPr="004D333B" w:rsidRDefault="004D333B" w:rsidP="004D333B">
      <w:pPr>
        <w:pStyle w:val="Bodytext21"/>
        <w:shd w:val="clear" w:color="auto" w:fill="auto"/>
        <w:spacing w:before="0" w:line="240" w:lineRule="auto"/>
        <w:ind w:right="353" w:firstLine="567"/>
        <w:jc w:val="right"/>
        <w:rPr>
          <w:sz w:val="20"/>
          <w:szCs w:val="20"/>
          <w:lang w:val="en-US"/>
        </w:rPr>
      </w:pPr>
      <w:r>
        <w:rPr>
          <w:sz w:val="20"/>
          <w:szCs w:val="20"/>
          <w:lang w:val="en-US"/>
        </w:rPr>
        <w:t>Tabelul 19.</w:t>
      </w:r>
    </w:p>
    <w:p w:rsidR="004D333B" w:rsidRPr="004D333B" w:rsidRDefault="004D333B" w:rsidP="004D333B">
      <w:pPr>
        <w:tabs>
          <w:tab w:val="left" w:leader="underscore" w:pos="594"/>
          <w:tab w:val="left" w:leader="underscore" w:pos="1760"/>
          <w:tab w:val="left" w:leader="underscore" w:pos="8968"/>
        </w:tabs>
        <w:jc w:val="center"/>
        <w:rPr>
          <w:b/>
          <w:i/>
          <w:sz w:val="20"/>
          <w:szCs w:val="20"/>
        </w:rPr>
      </w:pPr>
      <w:r>
        <w:rPr>
          <w:b/>
          <w:i/>
          <w:sz w:val="20"/>
          <w:szCs w:val="20"/>
        </w:rPr>
        <w:t>Î</w:t>
      </w:r>
      <w:r w:rsidRPr="004D333B">
        <w:rPr>
          <w:b/>
          <w:i/>
          <w:sz w:val="20"/>
          <w:szCs w:val="20"/>
        </w:rPr>
        <w:t xml:space="preserve">ntreprinderile de stat cu cele mai mari pierderi și </w:t>
      </w:r>
    </w:p>
    <w:p w:rsidR="004D333B" w:rsidRPr="004D333B" w:rsidRDefault="004D333B" w:rsidP="004D333B">
      <w:pPr>
        <w:tabs>
          <w:tab w:val="left" w:leader="underscore" w:pos="594"/>
          <w:tab w:val="left" w:leader="underscore" w:pos="1760"/>
          <w:tab w:val="left" w:leader="underscore" w:pos="8968"/>
        </w:tabs>
        <w:jc w:val="center"/>
        <w:rPr>
          <w:b/>
          <w:i/>
          <w:sz w:val="20"/>
          <w:szCs w:val="20"/>
          <w:highlight w:val="yellow"/>
        </w:rPr>
      </w:pPr>
      <w:r w:rsidRPr="004D333B">
        <w:rPr>
          <w:b/>
          <w:i/>
          <w:sz w:val="20"/>
          <w:szCs w:val="20"/>
        </w:rPr>
        <w:t xml:space="preserve">cele mai mari profituri înregistrate </w:t>
      </w:r>
      <w:r w:rsidRPr="004D333B">
        <w:rPr>
          <w:rStyle w:val="Tablecaption0"/>
          <w:b/>
          <w:bCs/>
          <w:i/>
          <w:iCs/>
          <w:sz w:val="20"/>
          <w:szCs w:val="20"/>
          <w:u w:val="none"/>
        </w:rPr>
        <w:t>în semestrul I al anului 2018, inclusiv trimestrul II, 2018</w:t>
      </w:r>
      <w:r w:rsidRPr="004D333B">
        <w:rPr>
          <w:rStyle w:val="TablecaptionNotBoldNotItalic"/>
          <w:b w:val="0"/>
          <w:i w:val="0"/>
          <w:sz w:val="20"/>
          <w:szCs w:val="20"/>
        </w:rPr>
        <w:t xml:space="preserve"> </w:t>
      </w:r>
      <w:r w:rsidRPr="004D333B">
        <w:rPr>
          <w:rStyle w:val="Tablecaption95ptNotBoldNotItalic"/>
          <w:sz w:val="20"/>
          <w:szCs w:val="20"/>
          <w:u w:val="none"/>
        </w:rPr>
        <w:t>(mil.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5879"/>
        <w:gridCol w:w="1418"/>
        <w:gridCol w:w="1701"/>
      </w:tblGrid>
      <w:tr w:rsidR="004D333B" w:rsidRPr="00534F8A" w:rsidTr="00534F8A">
        <w:trPr>
          <w:tblHeader/>
          <w:jc w:val="center"/>
        </w:trPr>
        <w:tc>
          <w:tcPr>
            <w:tcW w:w="500" w:type="dxa"/>
            <w:shd w:val="clear" w:color="auto" w:fill="auto"/>
            <w:vAlign w:val="center"/>
          </w:tcPr>
          <w:p w:rsidR="004D333B" w:rsidRPr="00534F8A" w:rsidRDefault="004D333B" w:rsidP="00534F8A">
            <w:pPr>
              <w:pStyle w:val="Bodytext21"/>
              <w:shd w:val="clear" w:color="auto" w:fill="auto"/>
              <w:spacing w:before="0"/>
              <w:ind w:left="-11" w:right="-322" w:hanging="238"/>
              <w:jc w:val="center"/>
              <w:rPr>
                <w:b/>
                <w:sz w:val="20"/>
                <w:szCs w:val="20"/>
              </w:rPr>
            </w:pPr>
            <w:r w:rsidRPr="00534F8A">
              <w:rPr>
                <w:b/>
                <w:sz w:val="20"/>
                <w:szCs w:val="20"/>
              </w:rPr>
              <w:t>Nr.</w:t>
            </w:r>
          </w:p>
        </w:tc>
        <w:tc>
          <w:tcPr>
            <w:tcW w:w="5879" w:type="dxa"/>
            <w:shd w:val="clear" w:color="auto" w:fill="auto"/>
            <w:vAlign w:val="center"/>
          </w:tcPr>
          <w:p w:rsidR="004D333B" w:rsidRPr="00534F8A" w:rsidRDefault="004D333B" w:rsidP="00534F8A">
            <w:pPr>
              <w:pStyle w:val="Bodytext21"/>
              <w:shd w:val="clear" w:color="auto" w:fill="auto"/>
              <w:spacing w:before="0"/>
              <w:jc w:val="center"/>
              <w:rPr>
                <w:sz w:val="20"/>
                <w:szCs w:val="20"/>
              </w:rPr>
            </w:pPr>
            <w:r w:rsidRPr="00534F8A">
              <w:rPr>
                <w:rStyle w:val="Bodytext210ptItalic"/>
                <w:b/>
                <w:i w:val="0"/>
              </w:rPr>
              <w:t>Denumirea agentului economic</w:t>
            </w:r>
          </w:p>
        </w:tc>
        <w:tc>
          <w:tcPr>
            <w:tcW w:w="1418" w:type="dxa"/>
            <w:shd w:val="clear" w:color="auto" w:fill="auto"/>
            <w:vAlign w:val="center"/>
          </w:tcPr>
          <w:p w:rsidR="004D333B" w:rsidRPr="00534F8A" w:rsidRDefault="004D333B" w:rsidP="00534F8A">
            <w:pPr>
              <w:pStyle w:val="NoSpacing"/>
              <w:jc w:val="center"/>
              <w:rPr>
                <w:b/>
                <w:sz w:val="20"/>
                <w:szCs w:val="20"/>
              </w:rPr>
            </w:pPr>
            <w:r w:rsidRPr="00534F8A">
              <w:rPr>
                <w:b/>
                <w:sz w:val="20"/>
                <w:szCs w:val="20"/>
              </w:rPr>
              <w:t>Semestrul I, 2018, mil. lei</w:t>
            </w:r>
          </w:p>
        </w:tc>
        <w:tc>
          <w:tcPr>
            <w:tcW w:w="1701" w:type="dxa"/>
            <w:shd w:val="clear" w:color="auto" w:fill="auto"/>
            <w:vAlign w:val="center"/>
          </w:tcPr>
          <w:p w:rsidR="004D333B" w:rsidRPr="00534F8A" w:rsidRDefault="004D333B" w:rsidP="00534F8A">
            <w:pPr>
              <w:pStyle w:val="NoSpacing"/>
              <w:jc w:val="center"/>
              <w:rPr>
                <w:b/>
                <w:sz w:val="20"/>
                <w:szCs w:val="20"/>
              </w:rPr>
            </w:pPr>
            <w:r w:rsidRPr="00534F8A">
              <w:rPr>
                <w:b/>
                <w:sz w:val="20"/>
                <w:szCs w:val="20"/>
              </w:rPr>
              <w:t>din care trim. II, 2018, mil. lei</w:t>
            </w:r>
          </w:p>
        </w:tc>
      </w:tr>
      <w:tr w:rsidR="004D333B" w:rsidRPr="00534F8A" w:rsidTr="00534F8A">
        <w:trPr>
          <w:trHeight w:val="162"/>
          <w:jc w:val="center"/>
        </w:trPr>
        <w:tc>
          <w:tcPr>
            <w:tcW w:w="500" w:type="dxa"/>
            <w:shd w:val="clear" w:color="auto" w:fill="auto"/>
          </w:tcPr>
          <w:p w:rsidR="004D333B" w:rsidRPr="00534F8A" w:rsidRDefault="004D333B" w:rsidP="004D333B">
            <w:pPr>
              <w:pStyle w:val="NoSpacing"/>
              <w:rPr>
                <w:sz w:val="20"/>
                <w:szCs w:val="20"/>
              </w:rPr>
            </w:pPr>
          </w:p>
        </w:tc>
        <w:tc>
          <w:tcPr>
            <w:tcW w:w="5879" w:type="dxa"/>
            <w:shd w:val="clear" w:color="auto" w:fill="auto"/>
          </w:tcPr>
          <w:p w:rsidR="004D333B" w:rsidRPr="00534F8A" w:rsidRDefault="004D333B" w:rsidP="00534F8A">
            <w:pPr>
              <w:pStyle w:val="Bodytext21"/>
              <w:shd w:val="clear" w:color="auto" w:fill="auto"/>
              <w:spacing w:before="0" w:line="240" w:lineRule="auto"/>
              <w:jc w:val="left"/>
              <w:rPr>
                <w:rStyle w:val="Bodytext295pt"/>
                <w:b/>
                <w:i/>
                <w:sz w:val="20"/>
                <w:szCs w:val="20"/>
              </w:rPr>
            </w:pPr>
            <w:r w:rsidRPr="00534F8A">
              <w:rPr>
                <w:rStyle w:val="Bodytext295pt"/>
                <w:b/>
                <w:i/>
                <w:sz w:val="20"/>
                <w:szCs w:val="20"/>
              </w:rPr>
              <w:t>Pierderi:</w:t>
            </w:r>
          </w:p>
        </w:tc>
        <w:tc>
          <w:tcPr>
            <w:tcW w:w="1418" w:type="dxa"/>
            <w:shd w:val="clear" w:color="auto" w:fill="auto"/>
          </w:tcPr>
          <w:p w:rsidR="004D333B" w:rsidRPr="00534F8A" w:rsidRDefault="004D333B" w:rsidP="00534F8A">
            <w:pPr>
              <w:pStyle w:val="Bodytext21"/>
              <w:shd w:val="clear" w:color="auto" w:fill="auto"/>
              <w:spacing w:before="0" w:line="240" w:lineRule="auto"/>
              <w:rPr>
                <w:sz w:val="20"/>
                <w:szCs w:val="20"/>
                <w:lang w:val="ro-RO"/>
              </w:rPr>
            </w:pPr>
          </w:p>
        </w:tc>
        <w:tc>
          <w:tcPr>
            <w:tcW w:w="1701" w:type="dxa"/>
            <w:shd w:val="clear" w:color="auto" w:fill="auto"/>
          </w:tcPr>
          <w:p w:rsidR="004D333B" w:rsidRPr="00534F8A" w:rsidRDefault="004D333B" w:rsidP="004D333B">
            <w:pPr>
              <w:pStyle w:val="NoSpacing"/>
              <w:rPr>
                <w:sz w:val="20"/>
                <w:szCs w:val="20"/>
              </w:rPr>
            </w:pPr>
          </w:p>
        </w:tc>
      </w:tr>
      <w:tr w:rsidR="004D333B" w:rsidRPr="00534F8A" w:rsidTr="00534F8A">
        <w:trPr>
          <w:trHeight w:val="125"/>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1.</w:t>
            </w:r>
          </w:p>
        </w:tc>
        <w:tc>
          <w:tcPr>
            <w:tcW w:w="5879" w:type="dxa"/>
            <w:shd w:val="clear" w:color="auto" w:fill="auto"/>
          </w:tcPr>
          <w:p w:rsidR="004D333B" w:rsidRPr="00534F8A" w:rsidRDefault="004D333B" w:rsidP="00534F8A">
            <w:pPr>
              <w:pStyle w:val="NoSpacing"/>
              <w:rPr>
                <w:sz w:val="20"/>
                <w:szCs w:val="20"/>
              </w:rPr>
            </w:pPr>
            <w:r w:rsidRPr="00534F8A">
              <w:rPr>
                <w:rStyle w:val="Bodytext295pt"/>
                <w:sz w:val="20"/>
                <w:szCs w:val="20"/>
              </w:rPr>
              <w:t>Î.S. Compania Aeriană „Air Moldova”</w:t>
            </w:r>
          </w:p>
        </w:tc>
        <w:tc>
          <w:tcPr>
            <w:tcW w:w="1418" w:type="dxa"/>
            <w:shd w:val="clear" w:color="auto" w:fill="auto"/>
          </w:tcPr>
          <w:p w:rsidR="004D333B" w:rsidRPr="00534F8A" w:rsidRDefault="004D333B" w:rsidP="00534F8A">
            <w:pPr>
              <w:pStyle w:val="NoSpacing"/>
              <w:jc w:val="center"/>
              <w:rPr>
                <w:sz w:val="20"/>
                <w:szCs w:val="20"/>
              </w:rPr>
            </w:pPr>
            <w:r w:rsidRPr="00534F8A">
              <w:rPr>
                <w:sz w:val="20"/>
                <w:szCs w:val="20"/>
              </w:rPr>
              <w:t>-141,2</w:t>
            </w:r>
          </w:p>
        </w:tc>
        <w:tc>
          <w:tcPr>
            <w:tcW w:w="1701" w:type="dxa"/>
            <w:shd w:val="clear" w:color="auto" w:fill="auto"/>
          </w:tcPr>
          <w:p w:rsidR="004D333B" w:rsidRPr="00534F8A" w:rsidRDefault="004D333B" w:rsidP="00534F8A">
            <w:pPr>
              <w:pStyle w:val="NoSpacing"/>
              <w:jc w:val="center"/>
              <w:rPr>
                <w:sz w:val="20"/>
                <w:szCs w:val="20"/>
              </w:rPr>
            </w:pPr>
            <w:r w:rsidRPr="00534F8A">
              <w:rPr>
                <w:sz w:val="20"/>
                <w:szCs w:val="20"/>
              </w:rPr>
              <w:t>-34,1</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2.</w:t>
            </w:r>
          </w:p>
        </w:tc>
        <w:tc>
          <w:tcPr>
            <w:tcW w:w="5879" w:type="dxa"/>
            <w:shd w:val="clear" w:color="auto" w:fill="auto"/>
          </w:tcPr>
          <w:p w:rsidR="004D333B" w:rsidRPr="00534F8A" w:rsidRDefault="004D333B" w:rsidP="00534F8A">
            <w:pPr>
              <w:pStyle w:val="NoSpacing"/>
              <w:rPr>
                <w:rStyle w:val="Bodytext295pt"/>
                <w:sz w:val="20"/>
                <w:szCs w:val="20"/>
              </w:rPr>
            </w:pPr>
            <w:r w:rsidRPr="00534F8A">
              <w:rPr>
                <w:rStyle w:val="Bodytext295pt"/>
                <w:sz w:val="20"/>
                <w:szCs w:val="20"/>
              </w:rPr>
              <w:t>Î.S. „Calea Ferată din Moldova”</w:t>
            </w:r>
          </w:p>
        </w:tc>
        <w:tc>
          <w:tcPr>
            <w:tcW w:w="1418" w:type="dxa"/>
            <w:shd w:val="clear" w:color="auto" w:fill="auto"/>
          </w:tcPr>
          <w:p w:rsidR="004D333B" w:rsidRPr="00534F8A" w:rsidRDefault="004D333B" w:rsidP="00534F8A">
            <w:pPr>
              <w:pStyle w:val="NoSpacing"/>
              <w:jc w:val="center"/>
              <w:rPr>
                <w:sz w:val="20"/>
                <w:szCs w:val="20"/>
              </w:rPr>
            </w:pPr>
            <w:r w:rsidRPr="00534F8A">
              <w:rPr>
                <w:sz w:val="20"/>
                <w:szCs w:val="20"/>
              </w:rPr>
              <w:t>-68,9</w:t>
            </w:r>
          </w:p>
        </w:tc>
        <w:tc>
          <w:tcPr>
            <w:tcW w:w="1701" w:type="dxa"/>
            <w:shd w:val="clear" w:color="auto" w:fill="auto"/>
          </w:tcPr>
          <w:p w:rsidR="004D333B" w:rsidRPr="00534F8A" w:rsidRDefault="004D333B" w:rsidP="00534F8A">
            <w:pPr>
              <w:pStyle w:val="NoSpacing"/>
              <w:jc w:val="center"/>
              <w:rPr>
                <w:sz w:val="20"/>
                <w:szCs w:val="20"/>
              </w:rPr>
            </w:pPr>
            <w:r w:rsidRPr="00534F8A">
              <w:rPr>
                <w:sz w:val="20"/>
                <w:szCs w:val="20"/>
              </w:rPr>
              <w:t>-51,4</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3.</w:t>
            </w:r>
          </w:p>
        </w:tc>
        <w:tc>
          <w:tcPr>
            <w:tcW w:w="5879" w:type="dxa"/>
            <w:shd w:val="clear" w:color="auto" w:fill="auto"/>
          </w:tcPr>
          <w:p w:rsidR="004D333B" w:rsidRPr="00534F8A" w:rsidRDefault="004D333B" w:rsidP="00534F8A">
            <w:pPr>
              <w:pStyle w:val="NoSpacing"/>
              <w:rPr>
                <w:rStyle w:val="Bodytext295pt"/>
                <w:sz w:val="20"/>
                <w:szCs w:val="20"/>
              </w:rPr>
            </w:pPr>
            <w:r w:rsidRPr="00534F8A">
              <w:rPr>
                <w:rStyle w:val="Bodytext295pt"/>
                <w:sz w:val="20"/>
                <w:szCs w:val="20"/>
              </w:rPr>
              <w:t>Î.S. „Aeroportul Internațional Mărculești”</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-9,0</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-4,1</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4.</w:t>
            </w:r>
          </w:p>
        </w:tc>
        <w:tc>
          <w:tcPr>
            <w:tcW w:w="5879" w:type="dxa"/>
            <w:shd w:val="clear" w:color="auto" w:fill="auto"/>
          </w:tcPr>
          <w:p w:rsidR="004D333B" w:rsidRPr="00534F8A" w:rsidRDefault="004D333B" w:rsidP="00534F8A">
            <w:pPr>
              <w:pStyle w:val="NoSpacing"/>
              <w:rPr>
                <w:rStyle w:val="Bodytext295pt"/>
                <w:sz w:val="20"/>
                <w:szCs w:val="20"/>
              </w:rPr>
            </w:pPr>
            <w:r w:rsidRPr="00534F8A">
              <w:rPr>
                <w:rStyle w:val="Bodytext295pt"/>
                <w:sz w:val="20"/>
                <w:szCs w:val="20"/>
              </w:rPr>
              <w:t>Î.S. „Centrul Informațional Agricol”</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-6,5</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-3,5</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5.</w:t>
            </w:r>
          </w:p>
        </w:tc>
        <w:tc>
          <w:tcPr>
            <w:tcW w:w="5879" w:type="dxa"/>
            <w:shd w:val="clear" w:color="auto" w:fill="auto"/>
          </w:tcPr>
          <w:p w:rsidR="004D333B" w:rsidRPr="00534F8A" w:rsidRDefault="004D333B" w:rsidP="00534F8A">
            <w:pPr>
              <w:pStyle w:val="NoSpacing"/>
              <w:rPr>
                <w:rStyle w:val="Bodytext295pt"/>
                <w:sz w:val="20"/>
                <w:szCs w:val="20"/>
              </w:rPr>
            </w:pPr>
            <w:r w:rsidRPr="00534F8A">
              <w:rPr>
                <w:rStyle w:val="Bodytext295pt"/>
                <w:sz w:val="20"/>
                <w:szCs w:val="20"/>
              </w:rPr>
              <w:t>Î.S. Organizația Concertistică și de Impresariat „Moldova-Concert”</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-5,1</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-1,3</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p>
        </w:tc>
        <w:tc>
          <w:tcPr>
            <w:tcW w:w="5879" w:type="dxa"/>
            <w:shd w:val="clear" w:color="auto" w:fill="auto"/>
          </w:tcPr>
          <w:p w:rsidR="004D333B" w:rsidRPr="00534F8A" w:rsidRDefault="004D333B" w:rsidP="00534F8A">
            <w:pPr>
              <w:pStyle w:val="NoSpacing"/>
              <w:rPr>
                <w:b/>
                <w:i/>
                <w:sz w:val="20"/>
                <w:szCs w:val="20"/>
              </w:rPr>
            </w:pPr>
            <w:r w:rsidRPr="00534F8A">
              <w:rPr>
                <w:b/>
                <w:i/>
                <w:sz w:val="20"/>
                <w:szCs w:val="20"/>
              </w:rPr>
              <w:t>Profit:</w:t>
            </w:r>
          </w:p>
        </w:tc>
        <w:tc>
          <w:tcPr>
            <w:tcW w:w="1418" w:type="dxa"/>
            <w:shd w:val="clear" w:color="auto" w:fill="auto"/>
            <w:vAlign w:val="center"/>
          </w:tcPr>
          <w:p w:rsidR="004D333B" w:rsidRPr="00534F8A" w:rsidRDefault="004D333B" w:rsidP="00534F8A">
            <w:pPr>
              <w:pStyle w:val="NoSpacing"/>
              <w:jc w:val="center"/>
              <w:rPr>
                <w:sz w:val="20"/>
                <w:szCs w:val="20"/>
              </w:rPr>
            </w:pPr>
          </w:p>
        </w:tc>
        <w:tc>
          <w:tcPr>
            <w:tcW w:w="1701" w:type="dxa"/>
            <w:shd w:val="clear" w:color="auto" w:fill="auto"/>
            <w:vAlign w:val="center"/>
          </w:tcPr>
          <w:p w:rsidR="004D333B" w:rsidRPr="00534F8A" w:rsidRDefault="004D333B" w:rsidP="00534F8A">
            <w:pPr>
              <w:pStyle w:val="NoSpacing"/>
              <w:jc w:val="center"/>
              <w:rPr>
                <w:sz w:val="20"/>
                <w:szCs w:val="20"/>
              </w:rPr>
            </w:pP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1.</w:t>
            </w:r>
          </w:p>
        </w:tc>
        <w:tc>
          <w:tcPr>
            <w:tcW w:w="5879" w:type="dxa"/>
            <w:shd w:val="clear" w:color="auto" w:fill="auto"/>
          </w:tcPr>
          <w:p w:rsidR="004D333B" w:rsidRPr="00534F8A" w:rsidRDefault="004D333B" w:rsidP="00534F8A">
            <w:pPr>
              <w:pStyle w:val="NoSpacing"/>
              <w:rPr>
                <w:sz w:val="20"/>
                <w:szCs w:val="20"/>
              </w:rPr>
            </w:pPr>
            <w:r w:rsidRPr="00534F8A">
              <w:rPr>
                <w:rStyle w:val="Bodytext295pt"/>
                <w:sz w:val="20"/>
                <w:szCs w:val="20"/>
              </w:rPr>
              <w:t>Î.S. „Moldelectrica”</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27,9</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0,2</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2.</w:t>
            </w:r>
          </w:p>
        </w:tc>
        <w:tc>
          <w:tcPr>
            <w:tcW w:w="5879" w:type="dxa"/>
            <w:shd w:val="clear" w:color="auto" w:fill="auto"/>
          </w:tcPr>
          <w:p w:rsidR="004D333B" w:rsidRPr="00534F8A" w:rsidRDefault="004D333B" w:rsidP="00534F8A">
            <w:pPr>
              <w:pStyle w:val="NoSpacing"/>
              <w:rPr>
                <w:rStyle w:val="Bodytext295pt"/>
                <w:sz w:val="20"/>
                <w:szCs w:val="20"/>
              </w:rPr>
            </w:pPr>
            <w:r w:rsidRPr="00534F8A">
              <w:rPr>
                <w:rStyle w:val="Bodytext295pt"/>
                <w:sz w:val="20"/>
                <w:szCs w:val="20"/>
              </w:rPr>
              <w:t>Î.S. „Institutul de Tehnică Agricolă „Mecagro”</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11,0</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4,4</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3.</w:t>
            </w:r>
          </w:p>
        </w:tc>
        <w:tc>
          <w:tcPr>
            <w:tcW w:w="5879" w:type="dxa"/>
            <w:shd w:val="clear" w:color="auto" w:fill="auto"/>
          </w:tcPr>
          <w:p w:rsidR="004D333B" w:rsidRPr="00534F8A" w:rsidRDefault="004D333B" w:rsidP="00534F8A">
            <w:pPr>
              <w:pStyle w:val="NoSpacing"/>
              <w:rPr>
                <w:sz w:val="20"/>
                <w:szCs w:val="20"/>
              </w:rPr>
            </w:pPr>
            <w:r w:rsidRPr="00534F8A">
              <w:rPr>
                <w:rStyle w:val="Bodytext295pt"/>
                <w:sz w:val="20"/>
                <w:szCs w:val="20"/>
              </w:rPr>
              <w:t>Î.S. „Fabrica de Sticlă din Chișinău”</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10,1</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7,9</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4.</w:t>
            </w:r>
          </w:p>
        </w:tc>
        <w:tc>
          <w:tcPr>
            <w:tcW w:w="5879" w:type="dxa"/>
            <w:shd w:val="clear" w:color="auto" w:fill="auto"/>
          </w:tcPr>
          <w:p w:rsidR="004D333B" w:rsidRPr="00534F8A" w:rsidRDefault="004D333B" w:rsidP="00534F8A">
            <w:pPr>
              <w:pStyle w:val="NoSpacing"/>
              <w:rPr>
                <w:rStyle w:val="Bodytext295pt"/>
                <w:sz w:val="20"/>
                <w:szCs w:val="20"/>
                <w:highlight w:val="yellow"/>
              </w:rPr>
            </w:pPr>
            <w:r w:rsidRPr="00534F8A">
              <w:rPr>
                <w:rStyle w:val="Bodytext295pt"/>
                <w:sz w:val="20"/>
                <w:szCs w:val="20"/>
              </w:rPr>
              <w:t>Î.S. „Poșta Moldovei”</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9,3</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2,5</w:t>
            </w:r>
          </w:p>
        </w:tc>
      </w:tr>
      <w:tr w:rsidR="004D333B" w:rsidRPr="00534F8A" w:rsidTr="00534F8A">
        <w:trPr>
          <w:jc w:val="center"/>
        </w:trPr>
        <w:tc>
          <w:tcPr>
            <w:tcW w:w="500" w:type="dxa"/>
            <w:shd w:val="clear" w:color="auto" w:fill="auto"/>
          </w:tcPr>
          <w:p w:rsidR="004D333B" w:rsidRPr="00534F8A" w:rsidRDefault="004D333B" w:rsidP="00534F8A">
            <w:pPr>
              <w:pStyle w:val="NoSpacing"/>
              <w:jc w:val="center"/>
              <w:rPr>
                <w:sz w:val="20"/>
                <w:szCs w:val="20"/>
              </w:rPr>
            </w:pPr>
            <w:r w:rsidRPr="00534F8A">
              <w:rPr>
                <w:sz w:val="20"/>
                <w:szCs w:val="20"/>
              </w:rPr>
              <w:t>5.</w:t>
            </w:r>
          </w:p>
        </w:tc>
        <w:tc>
          <w:tcPr>
            <w:tcW w:w="5879" w:type="dxa"/>
            <w:shd w:val="clear" w:color="auto" w:fill="auto"/>
          </w:tcPr>
          <w:p w:rsidR="004D333B" w:rsidRPr="00534F8A" w:rsidRDefault="004D333B" w:rsidP="00534F8A">
            <w:pPr>
              <w:pStyle w:val="NoSpacing"/>
              <w:rPr>
                <w:sz w:val="20"/>
                <w:szCs w:val="20"/>
              </w:rPr>
            </w:pPr>
            <w:r w:rsidRPr="00534F8A">
              <w:rPr>
                <w:rStyle w:val="Bodytext295pt"/>
                <w:sz w:val="20"/>
                <w:szCs w:val="20"/>
              </w:rPr>
              <w:t>Î.S. pentru utilizarea spațiului aerian și deservirea traficului aerian „MoldATSA”</w:t>
            </w:r>
          </w:p>
        </w:tc>
        <w:tc>
          <w:tcPr>
            <w:tcW w:w="1418"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8,8</w:t>
            </w:r>
          </w:p>
        </w:tc>
        <w:tc>
          <w:tcPr>
            <w:tcW w:w="1701" w:type="dxa"/>
            <w:shd w:val="clear" w:color="auto" w:fill="auto"/>
            <w:vAlign w:val="center"/>
          </w:tcPr>
          <w:p w:rsidR="004D333B" w:rsidRPr="00534F8A" w:rsidRDefault="004D333B" w:rsidP="00534F8A">
            <w:pPr>
              <w:pStyle w:val="NoSpacing"/>
              <w:jc w:val="center"/>
              <w:rPr>
                <w:sz w:val="20"/>
                <w:szCs w:val="20"/>
              </w:rPr>
            </w:pPr>
            <w:r w:rsidRPr="00534F8A">
              <w:rPr>
                <w:sz w:val="20"/>
                <w:szCs w:val="20"/>
              </w:rPr>
              <w:t>9,7</w:t>
            </w:r>
          </w:p>
        </w:tc>
      </w:tr>
    </w:tbl>
    <w:p w:rsidR="004D333B" w:rsidRDefault="004D333B" w:rsidP="00D2086A">
      <w:pPr>
        <w:spacing w:line="276" w:lineRule="auto"/>
        <w:ind w:firstLine="567"/>
        <w:jc w:val="both"/>
        <w:rPr>
          <w:rStyle w:val="Bodytext295pt"/>
          <w:sz w:val="28"/>
          <w:szCs w:val="28"/>
        </w:rPr>
      </w:pPr>
    </w:p>
    <w:p w:rsidR="00D2086A" w:rsidRPr="0023156D" w:rsidRDefault="00D2086A" w:rsidP="00D2086A">
      <w:pPr>
        <w:spacing w:line="276" w:lineRule="auto"/>
        <w:ind w:firstLine="567"/>
        <w:jc w:val="both"/>
        <w:rPr>
          <w:sz w:val="28"/>
          <w:szCs w:val="28"/>
        </w:rPr>
      </w:pPr>
      <w:r w:rsidRPr="0023156D">
        <w:rPr>
          <w:rStyle w:val="Bodytext295pt"/>
          <w:sz w:val="28"/>
          <w:szCs w:val="28"/>
        </w:rPr>
        <w:t>Totodată, cele mai mari profituri în semestrul I, 2018 au fost înregistrate de Î.S. „Moldelectrica” și Î.S. „Institutul de Tehnică Agricolă „Mecagro”, în timp ce în trimestrul II, 2018 cel mai mare profit a fost ob</w:t>
      </w:r>
      <w:r>
        <w:rPr>
          <w:rStyle w:val="Bodytext295pt"/>
          <w:sz w:val="28"/>
          <w:szCs w:val="28"/>
        </w:rPr>
        <w:t>ț</w:t>
      </w:r>
      <w:r w:rsidRPr="0023156D">
        <w:rPr>
          <w:rStyle w:val="Bodytext295pt"/>
          <w:sz w:val="28"/>
          <w:szCs w:val="28"/>
        </w:rPr>
        <w:t>inut de către Î.S. pentru utilizarea spa</w:t>
      </w:r>
      <w:r>
        <w:rPr>
          <w:rStyle w:val="Bodytext295pt"/>
          <w:sz w:val="28"/>
          <w:szCs w:val="28"/>
        </w:rPr>
        <w:t>ț</w:t>
      </w:r>
      <w:r w:rsidRPr="0023156D">
        <w:rPr>
          <w:rStyle w:val="Bodytext295pt"/>
          <w:sz w:val="28"/>
          <w:szCs w:val="28"/>
        </w:rPr>
        <w:t>iului aerian și deservirea traficului aerian „MoldATSA” și Î.S. „Fabrica de Sticlă din Chișinău”</w:t>
      </w:r>
      <w:r w:rsidRPr="0023156D">
        <w:rPr>
          <w:sz w:val="28"/>
          <w:szCs w:val="28"/>
        </w:rPr>
        <w:t xml:space="preserve"> (tabelul </w:t>
      </w:r>
      <w:r w:rsidR="004D333B">
        <w:rPr>
          <w:sz w:val="28"/>
          <w:szCs w:val="28"/>
        </w:rPr>
        <w:t>19</w:t>
      </w:r>
      <w:r w:rsidRPr="0023156D">
        <w:rPr>
          <w:sz w:val="28"/>
          <w:szCs w:val="28"/>
        </w:rPr>
        <w:t xml:space="preserve">). </w:t>
      </w:r>
    </w:p>
    <w:p w:rsidR="004D333B" w:rsidRDefault="00D2086A" w:rsidP="00D2086A">
      <w:pPr>
        <w:spacing w:line="276" w:lineRule="auto"/>
        <w:ind w:firstLine="567"/>
        <w:jc w:val="both"/>
        <w:rPr>
          <w:rStyle w:val="Bodytext295pt"/>
          <w:sz w:val="28"/>
          <w:szCs w:val="28"/>
        </w:rPr>
      </w:pPr>
      <w:r w:rsidRPr="004D333B">
        <w:rPr>
          <w:i/>
          <w:sz w:val="28"/>
          <w:szCs w:val="28"/>
        </w:rPr>
        <w:t>Societățile pe acțiuni</w:t>
      </w:r>
      <w:r w:rsidRPr="0023156D">
        <w:rPr>
          <w:rStyle w:val="Bodytext213ptItalic"/>
          <w:sz w:val="28"/>
          <w:szCs w:val="28"/>
        </w:rPr>
        <w:t>, în semestrul I al anului 2018,</w:t>
      </w:r>
      <w:r w:rsidRPr="0023156D">
        <w:rPr>
          <w:sz w:val="28"/>
          <w:szCs w:val="28"/>
        </w:rPr>
        <w:t xml:space="preserve"> au ob</w:t>
      </w:r>
      <w:r>
        <w:rPr>
          <w:sz w:val="28"/>
          <w:szCs w:val="28"/>
        </w:rPr>
        <w:t>ț</w:t>
      </w:r>
      <w:r w:rsidRPr="0023156D">
        <w:rPr>
          <w:sz w:val="28"/>
          <w:szCs w:val="28"/>
        </w:rPr>
        <w:t xml:space="preserve">inut în total profit în mărime de 460,9 mil. lei. </w:t>
      </w:r>
      <w:r w:rsidRPr="0023156D">
        <w:rPr>
          <w:rStyle w:val="Bodytext295pt"/>
          <w:sz w:val="28"/>
          <w:szCs w:val="28"/>
        </w:rPr>
        <w:t>Cel mai mare profit ob</w:t>
      </w:r>
      <w:r>
        <w:rPr>
          <w:rStyle w:val="Bodytext295pt"/>
          <w:sz w:val="28"/>
          <w:szCs w:val="28"/>
        </w:rPr>
        <w:t>ț</w:t>
      </w:r>
      <w:r w:rsidRPr="0023156D">
        <w:rPr>
          <w:rStyle w:val="Bodytext295pt"/>
          <w:sz w:val="28"/>
          <w:szCs w:val="28"/>
        </w:rPr>
        <w:t xml:space="preserve">inut în perioada respectivă se înregistrează la S.A. „Termoelectrica”, S.A. „Moldtelecom” și S.A. „Furnizarea Energiei Electrice Nord”. </w:t>
      </w:r>
    </w:p>
    <w:p w:rsidR="004D333B" w:rsidRPr="004D333B" w:rsidRDefault="004D333B" w:rsidP="004D333B">
      <w:pPr>
        <w:widowControl w:val="0"/>
        <w:spacing w:line="360" w:lineRule="exact"/>
        <w:ind w:right="353" w:firstLine="567"/>
        <w:jc w:val="right"/>
        <w:rPr>
          <w:sz w:val="20"/>
          <w:szCs w:val="20"/>
          <w:lang w:eastAsia="ro-RO" w:bidi="ro-RO"/>
        </w:rPr>
      </w:pPr>
      <w:r w:rsidRPr="004D333B">
        <w:rPr>
          <w:sz w:val="28"/>
          <w:szCs w:val="28"/>
          <w:lang w:eastAsia="ro-RO" w:bidi="ro-RO"/>
        </w:rPr>
        <w:t xml:space="preserve">                                                                                                              </w:t>
      </w:r>
      <w:r w:rsidRPr="004D333B">
        <w:rPr>
          <w:sz w:val="20"/>
          <w:szCs w:val="20"/>
          <w:lang w:eastAsia="ro-RO" w:bidi="ro-RO"/>
        </w:rPr>
        <w:t>Tabelul 20.</w:t>
      </w:r>
    </w:p>
    <w:p w:rsidR="004D333B" w:rsidRPr="004D333B" w:rsidRDefault="004D333B" w:rsidP="004D333B">
      <w:pPr>
        <w:widowControl w:val="0"/>
        <w:tabs>
          <w:tab w:val="left" w:leader="underscore" w:pos="594"/>
          <w:tab w:val="left" w:leader="underscore" w:pos="1760"/>
          <w:tab w:val="left" w:leader="underscore" w:pos="8968"/>
        </w:tabs>
        <w:jc w:val="center"/>
        <w:rPr>
          <w:rFonts w:eastAsia="Microsoft Sans Serif"/>
          <w:b/>
          <w:i/>
          <w:color w:val="000000"/>
          <w:sz w:val="20"/>
          <w:szCs w:val="20"/>
          <w:lang w:eastAsia="ro-RO" w:bidi="ro-RO"/>
        </w:rPr>
      </w:pPr>
      <w:r w:rsidRPr="004D333B">
        <w:rPr>
          <w:rFonts w:eastAsia="Microsoft Sans Serif"/>
          <w:b/>
          <w:i/>
          <w:color w:val="000000"/>
          <w:sz w:val="20"/>
          <w:szCs w:val="20"/>
          <w:lang w:eastAsia="ro-RO" w:bidi="ro-RO"/>
        </w:rPr>
        <w:t xml:space="preserve">Societățile pe acțiuni cu cele mai mari pierderi și </w:t>
      </w:r>
    </w:p>
    <w:p w:rsidR="004D333B" w:rsidRPr="004D333B" w:rsidRDefault="004D333B" w:rsidP="004D333B">
      <w:pPr>
        <w:widowControl w:val="0"/>
        <w:tabs>
          <w:tab w:val="left" w:leader="underscore" w:pos="594"/>
          <w:tab w:val="left" w:leader="underscore" w:pos="1760"/>
          <w:tab w:val="left" w:leader="underscore" w:pos="8968"/>
        </w:tabs>
        <w:jc w:val="center"/>
        <w:rPr>
          <w:rFonts w:eastAsia="Microsoft Sans Serif"/>
          <w:b/>
          <w:i/>
          <w:color w:val="000000"/>
          <w:sz w:val="20"/>
          <w:szCs w:val="20"/>
          <w:highlight w:val="yellow"/>
          <w:lang w:eastAsia="ro-RO" w:bidi="ro-RO"/>
        </w:rPr>
      </w:pPr>
      <w:r w:rsidRPr="004D333B">
        <w:rPr>
          <w:rFonts w:eastAsia="Microsoft Sans Serif"/>
          <w:b/>
          <w:i/>
          <w:color w:val="000000"/>
          <w:sz w:val="20"/>
          <w:szCs w:val="20"/>
          <w:lang w:eastAsia="ro-RO" w:bidi="ro-RO"/>
        </w:rPr>
        <w:t>cele mai mari profituri obținute în semestrul I al anului 2018, inclusiv trimestrul II, 2018</w:t>
      </w:r>
      <w:r w:rsidRPr="004D333B">
        <w:rPr>
          <w:rFonts w:eastAsia="Microsoft Sans Serif"/>
          <w:b/>
          <w:bCs/>
          <w:i/>
          <w:iCs/>
          <w:color w:val="000000"/>
          <w:sz w:val="20"/>
          <w:szCs w:val="20"/>
          <w:lang w:eastAsia="ro-RO" w:bidi="ro-RO"/>
        </w:rPr>
        <w:t xml:space="preserve"> (mil.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9"/>
        <w:gridCol w:w="1418"/>
        <w:gridCol w:w="1701"/>
      </w:tblGrid>
      <w:tr w:rsidR="004D333B" w:rsidRPr="004D333B" w:rsidTr="00534F8A">
        <w:trPr>
          <w:jc w:val="center"/>
        </w:trPr>
        <w:tc>
          <w:tcPr>
            <w:tcW w:w="562" w:type="dxa"/>
            <w:shd w:val="clear" w:color="auto" w:fill="auto"/>
          </w:tcPr>
          <w:p w:rsidR="004D333B" w:rsidRPr="004D333B" w:rsidRDefault="004D333B" w:rsidP="00534F8A">
            <w:pPr>
              <w:widowControl w:val="0"/>
              <w:spacing w:line="360" w:lineRule="exact"/>
              <w:jc w:val="center"/>
              <w:rPr>
                <w:rFonts w:eastAsia="Microsoft Sans Serif"/>
                <w:b/>
                <w:sz w:val="20"/>
                <w:szCs w:val="20"/>
                <w:lang w:eastAsia="ro-RO" w:bidi="ro-RO"/>
              </w:rPr>
            </w:pPr>
            <w:r w:rsidRPr="004D333B">
              <w:rPr>
                <w:rFonts w:eastAsia="Microsoft Sans Serif"/>
                <w:b/>
                <w:sz w:val="20"/>
                <w:szCs w:val="20"/>
                <w:lang w:eastAsia="ro-RO" w:bidi="ro-RO"/>
              </w:rPr>
              <w:t>Nr.</w:t>
            </w:r>
          </w:p>
        </w:tc>
        <w:tc>
          <w:tcPr>
            <w:tcW w:w="4399" w:type="dxa"/>
            <w:shd w:val="clear" w:color="auto" w:fill="auto"/>
          </w:tcPr>
          <w:p w:rsidR="004D333B" w:rsidRPr="004D333B" w:rsidRDefault="004D333B" w:rsidP="00534F8A">
            <w:pPr>
              <w:widowControl w:val="0"/>
              <w:spacing w:line="360" w:lineRule="exact"/>
              <w:jc w:val="center"/>
              <w:rPr>
                <w:rFonts w:eastAsia="Microsoft Sans Serif"/>
                <w:sz w:val="20"/>
                <w:szCs w:val="20"/>
                <w:lang w:eastAsia="ro-RO" w:bidi="ro-RO"/>
              </w:rPr>
            </w:pPr>
            <w:r w:rsidRPr="00534F8A">
              <w:rPr>
                <w:rFonts w:eastAsia="Microsoft Sans Serif"/>
                <w:b/>
                <w:iCs/>
                <w:color w:val="000000"/>
                <w:sz w:val="20"/>
                <w:szCs w:val="20"/>
                <w:shd w:val="clear" w:color="auto" w:fill="FFFFFF"/>
                <w:lang w:eastAsia="ro-RO" w:bidi="ro-RO"/>
              </w:rPr>
              <w:t>Denumirea agentului economic</w:t>
            </w:r>
          </w:p>
        </w:tc>
        <w:tc>
          <w:tcPr>
            <w:tcW w:w="1418" w:type="dxa"/>
            <w:shd w:val="clear" w:color="auto" w:fill="auto"/>
          </w:tcPr>
          <w:p w:rsidR="004D333B" w:rsidRPr="004D333B" w:rsidRDefault="004D333B" w:rsidP="00534F8A">
            <w:pPr>
              <w:widowControl w:val="0"/>
              <w:jc w:val="center"/>
              <w:rPr>
                <w:rFonts w:eastAsia="Microsoft Sans Serif"/>
                <w:b/>
                <w:sz w:val="20"/>
                <w:szCs w:val="20"/>
              </w:rPr>
            </w:pPr>
            <w:r w:rsidRPr="004D333B">
              <w:rPr>
                <w:rFonts w:eastAsia="Microsoft Sans Serif"/>
                <w:b/>
                <w:sz w:val="20"/>
                <w:szCs w:val="20"/>
              </w:rPr>
              <w:t>Semestrul I, 2018, mil. lei</w:t>
            </w:r>
          </w:p>
        </w:tc>
        <w:tc>
          <w:tcPr>
            <w:tcW w:w="1701" w:type="dxa"/>
            <w:shd w:val="clear" w:color="auto" w:fill="auto"/>
          </w:tcPr>
          <w:p w:rsidR="004D333B" w:rsidRPr="004D333B" w:rsidRDefault="004D333B" w:rsidP="00534F8A">
            <w:pPr>
              <w:widowControl w:val="0"/>
              <w:jc w:val="center"/>
              <w:rPr>
                <w:rFonts w:eastAsia="Microsoft Sans Serif"/>
                <w:b/>
                <w:sz w:val="20"/>
                <w:szCs w:val="20"/>
              </w:rPr>
            </w:pPr>
            <w:r w:rsidRPr="004D333B">
              <w:rPr>
                <w:rFonts w:eastAsia="Microsoft Sans Serif"/>
                <w:b/>
                <w:sz w:val="20"/>
                <w:szCs w:val="20"/>
              </w:rPr>
              <w:t>din care trim. II, 2018, mil. lei</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p>
        </w:tc>
        <w:tc>
          <w:tcPr>
            <w:tcW w:w="4399" w:type="dxa"/>
            <w:shd w:val="clear" w:color="auto" w:fill="auto"/>
            <w:vAlign w:val="center"/>
          </w:tcPr>
          <w:p w:rsidR="004D333B" w:rsidRPr="00534F8A" w:rsidRDefault="004D333B" w:rsidP="00534F8A">
            <w:pPr>
              <w:widowControl w:val="0"/>
              <w:rPr>
                <w:rFonts w:eastAsia="Microsoft Sans Serif"/>
                <w:b/>
                <w:i/>
                <w:color w:val="000000"/>
                <w:sz w:val="20"/>
                <w:szCs w:val="20"/>
                <w:shd w:val="clear" w:color="auto" w:fill="FFFFFF"/>
                <w:lang w:eastAsia="ro-RO" w:bidi="ro-RO"/>
              </w:rPr>
            </w:pPr>
            <w:r w:rsidRPr="00534F8A">
              <w:rPr>
                <w:rFonts w:eastAsia="Microsoft Sans Serif"/>
                <w:b/>
                <w:i/>
                <w:color w:val="000000"/>
                <w:sz w:val="20"/>
                <w:szCs w:val="20"/>
                <w:shd w:val="clear" w:color="auto" w:fill="FFFFFF"/>
                <w:lang w:eastAsia="ro-RO" w:bidi="ro-RO"/>
              </w:rPr>
              <w:t>Pierderi:</w:t>
            </w:r>
          </w:p>
        </w:tc>
        <w:tc>
          <w:tcPr>
            <w:tcW w:w="1418" w:type="dxa"/>
            <w:shd w:val="clear" w:color="auto" w:fill="auto"/>
          </w:tcPr>
          <w:p w:rsidR="004D333B" w:rsidRPr="004D333B" w:rsidRDefault="004D333B" w:rsidP="00534F8A">
            <w:pPr>
              <w:widowControl w:val="0"/>
              <w:rPr>
                <w:rFonts w:eastAsia="Microsoft Sans Serif"/>
                <w:sz w:val="20"/>
                <w:szCs w:val="20"/>
              </w:rPr>
            </w:pPr>
          </w:p>
        </w:tc>
        <w:tc>
          <w:tcPr>
            <w:tcW w:w="1701" w:type="dxa"/>
            <w:shd w:val="clear" w:color="auto" w:fill="auto"/>
          </w:tcPr>
          <w:p w:rsidR="004D333B" w:rsidRPr="004D333B" w:rsidRDefault="004D333B" w:rsidP="00534F8A">
            <w:pPr>
              <w:widowControl w:val="0"/>
              <w:rPr>
                <w:rFonts w:eastAsia="Microsoft Sans Serif"/>
                <w:sz w:val="20"/>
                <w:szCs w:val="20"/>
              </w:rPr>
            </w:pP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w:t>
            </w:r>
          </w:p>
        </w:tc>
        <w:tc>
          <w:tcPr>
            <w:tcW w:w="4399" w:type="dxa"/>
            <w:shd w:val="clear" w:color="auto" w:fill="auto"/>
            <w:vAlign w:val="center"/>
          </w:tcPr>
          <w:p w:rsidR="004D333B" w:rsidRPr="00534F8A" w:rsidRDefault="004D333B" w:rsidP="00534F8A">
            <w:pPr>
              <w:widowControl w:val="0"/>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„Tutun-CTC”</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-7,1</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-4,0</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2.</w:t>
            </w:r>
          </w:p>
        </w:tc>
        <w:tc>
          <w:tcPr>
            <w:tcW w:w="4399" w:type="dxa"/>
            <w:shd w:val="clear" w:color="auto" w:fill="auto"/>
            <w:vAlign w:val="center"/>
          </w:tcPr>
          <w:p w:rsidR="004D333B" w:rsidRPr="00534F8A" w:rsidRDefault="004D333B" w:rsidP="00534F8A">
            <w:pPr>
              <w:widowControl w:val="0"/>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„Rif-Acvaaparat”</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-3,0</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-1,5</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3.</w:t>
            </w:r>
          </w:p>
        </w:tc>
        <w:tc>
          <w:tcPr>
            <w:tcW w:w="4399" w:type="dxa"/>
            <w:shd w:val="clear" w:color="auto" w:fill="auto"/>
            <w:vAlign w:val="center"/>
          </w:tcPr>
          <w:p w:rsidR="004D333B" w:rsidRPr="00534F8A" w:rsidRDefault="004D333B" w:rsidP="00534F8A">
            <w:pPr>
              <w:widowControl w:val="0"/>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„Drumuri Soroca”</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-2,8</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-1,5</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4.</w:t>
            </w:r>
          </w:p>
        </w:tc>
        <w:tc>
          <w:tcPr>
            <w:tcW w:w="4399" w:type="dxa"/>
            <w:shd w:val="clear" w:color="auto" w:fill="auto"/>
            <w:vAlign w:val="center"/>
          </w:tcPr>
          <w:p w:rsidR="004D333B" w:rsidRPr="00534F8A" w:rsidRDefault="004D333B" w:rsidP="00534F8A">
            <w:pPr>
              <w:widowControl w:val="0"/>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„RĂUT”</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-2,3</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-1,6</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5.</w:t>
            </w:r>
          </w:p>
        </w:tc>
        <w:tc>
          <w:tcPr>
            <w:tcW w:w="4399" w:type="dxa"/>
            <w:shd w:val="clear" w:color="auto" w:fill="auto"/>
            <w:vAlign w:val="center"/>
          </w:tcPr>
          <w:p w:rsidR="004D333B" w:rsidRPr="00534F8A" w:rsidRDefault="004D333B" w:rsidP="00534F8A">
            <w:pPr>
              <w:widowControl w:val="0"/>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„SanfarmPrim”</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-1,7</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-1,9</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p>
        </w:tc>
        <w:tc>
          <w:tcPr>
            <w:tcW w:w="4399" w:type="dxa"/>
            <w:shd w:val="clear" w:color="auto" w:fill="auto"/>
          </w:tcPr>
          <w:p w:rsidR="004D333B" w:rsidRPr="004D333B" w:rsidRDefault="004D333B" w:rsidP="00534F8A">
            <w:pPr>
              <w:widowControl w:val="0"/>
              <w:rPr>
                <w:rFonts w:eastAsia="Microsoft Sans Serif"/>
                <w:b/>
                <w:i/>
                <w:sz w:val="20"/>
                <w:szCs w:val="20"/>
              </w:rPr>
            </w:pPr>
            <w:r w:rsidRPr="004D333B">
              <w:rPr>
                <w:rFonts w:eastAsia="Microsoft Sans Serif"/>
                <w:b/>
                <w:i/>
                <w:sz w:val="20"/>
                <w:szCs w:val="20"/>
              </w:rPr>
              <w:t>Profit:</w:t>
            </w:r>
          </w:p>
        </w:tc>
        <w:tc>
          <w:tcPr>
            <w:tcW w:w="1418" w:type="dxa"/>
            <w:shd w:val="clear" w:color="auto" w:fill="auto"/>
          </w:tcPr>
          <w:p w:rsidR="004D333B" w:rsidRPr="004D333B" w:rsidRDefault="004D333B" w:rsidP="00534F8A">
            <w:pPr>
              <w:widowControl w:val="0"/>
              <w:jc w:val="center"/>
              <w:rPr>
                <w:rFonts w:eastAsia="Microsoft Sans Serif"/>
                <w:sz w:val="20"/>
                <w:szCs w:val="20"/>
              </w:rPr>
            </w:pPr>
          </w:p>
        </w:tc>
        <w:tc>
          <w:tcPr>
            <w:tcW w:w="1701" w:type="dxa"/>
            <w:shd w:val="clear" w:color="auto" w:fill="auto"/>
          </w:tcPr>
          <w:p w:rsidR="004D333B" w:rsidRPr="004D333B" w:rsidRDefault="004D333B" w:rsidP="00534F8A">
            <w:pPr>
              <w:widowControl w:val="0"/>
              <w:jc w:val="center"/>
              <w:rPr>
                <w:rFonts w:eastAsia="Microsoft Sans Serif"/>
                <w:sz w:val="20"/>
                <w:szCs w:val="20"/>
              </w:rPr>
            </w:pP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w:t>
            </w:r>
          </w:p>
        </w:tc>
        <w:tc>
          <w:tcPr>
            <w:tcW w:w="4399" w:type="dxa"/>
            <w:shd w:val="clear" w:color="auto" w:fill="auto"/>
            <w:vAlign w:val="center"/>
          </w:tcPr>
          <w:p w:rsidR="004D333B" w:rsidRPr="004D333B" w:rsidRDefault="004D333B" w:rsidP="00534F8A">
            <w:pPr>
              <w:widowControl w:val="0"/>
              <w:spacing w:line="190" w:lineRule="exact"/>
              <w:rPr>
                <w:rFonts w:eastAsia="Microsoft Sans Serif"/>
                <w:sz w:val="20"/>
                <w:szCs w:val="20"/>
                <w:lang w:eastAsia="ro-RO" w:bidi="ro-RO"/>
              </w:rPr>
            </w:pPr>
            <w:r w:rsidRPr="00534F8A">
              <w:rPr>
                <w:rFonts w:eastAsia="Microsoft Sans Serif"/>
                <w:color w:val="000000"/>
                <w:sz w:val="20"/>
                <w:szCs w:val="20"/>
                <w:shd w:val="clear" w:color="auto" w:fill="FFFFFF"/>
                <w:lang w:eastAsia="ro-RO" w:bidi="ro-RO"/>
              </w:rPr>
              <w:t>S.A. „Termoelectrica”</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166,9</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-147,6</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2.</w:t>
            </w:r>
          </w:p>
        </w:tc>
        <w:tc>
          <w:tcPr>
            <w:tcW w:w="4399" w:type="dxa"/>
            <w:shd w:val="clear" w:color="auto" w:fill="auto"/>
            <w:vAlign w:val="center"/>
          </w:tcPr>
          <w:p w:rsidR="004D333B" w:rsidRPr="00534F8A" w:rsidRDefault="004D333B" w:rsidP="00534F8A">
            <w:pPr>
              <w:widowControl w:val="0"/>
              <w:spacing w:line="190" w:lineRule="exact"/>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„Moldtelecom”</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100,8</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41,1</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3.</w:t>
            </w:r>
          </w:p>
        </w:tc>
        <w:tc>
          <w:tcPr>
            <w:tcW w:w="4399" w:type="dxa"/>
            <w:shd w:val="clear" w:color="auto" w:fill="auto"/>
            <w:vAlign w:val="center"/>
          </w:tcPr>
          <w:p w:rsidR="004D333B" w:rsidRPr="00534F8A" w:rsidRDefault="004D333B" w:rsidP="00534F8A">
            <w:pPr>
              <w:widowControl w:val="0"/>
              <w:spacing w:line="190" w:lineRule="exact"/>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„Furnizarea Energiei Electrice Nord”</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74,7</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46,4</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4.</w:t>
            </w:r>
          </w:p>
        </w:tc>
        <w:tc>
          <w:tcPr>
            <w:tcW w:w="4399" w:type="dxa"/>
            <w:shd w:val="clear" w:color="auto" w:fill="auto"/>
            <w:vAlign w:val="center"/>
          </w:tcPr>
          <w:p w:rsidR="004D333B" w:rsidRPr="00534F8A" w:rsidRDefault="004D333B" w:rsidP="00534F8A">
            <w:pPr>
              <w:widowControl w:val="0"/>
              <w:spacing w:line="190" w:lineRule="exact"/>
              <w:rPr>
                <w:rFonts w:eastAsia="Microsoft Sans Serif"/>
                <w:color w:val="000000"/>
                <w:sz w:val="20"/>
                <w:szCs w:val="20"/>
                <w:shd w:val="clear" w:color="auto" w:fill="FFFFFF"/>
                <w:lang w:eastAsia="ro-RO" w:bidi="ro-RO"/>
              </w:rPr>
            </w:pPr>
            <w:r w:rsidRPr="00534F8A">
              <w:rPr>
                <w:rFonts w:eastAsia="Microsoft Sans Serif"/>
                <w:color w:val="000000"/>
                <w:sz w:val="20"/>
                <w:szCs w:val="20"/>
                <w:shd w:val="clear" w:color="auto" w:fill="FFFFFF"/>
                <w:lang w:eastAsia="ro-RO" w:bidi="ro-RO"/>
              </w:rPr>
              <w:t>S.A. „RED Nord”</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56,2</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15,0</w:t>
            </w:r>
          </w:p>
        </w:tc>
      </w:tr>
      <w:tr w:rsidR="004D333B" w:rsidRPr="004D333B" w:rsidTr="00534F8A">
        <w:trPr>
          <w:jc w:val="center"/>
        </w:trPr>
        <w:tc>
          <w:tcPr>
            <w:tcW w:w="562"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5.</w:t>
            </w:r>
          </w:p>
        </w:tc>
        <w:tc>
          <w:tcPr>
            <w:tcW w:w="4399" w:type="dxa"/>
            <w:shd w:val="clear" w:color="auto" w:fill="auto"/>
            <w:vAlign w:val="center"/>
          </w:tcPr>
          <w:p w:rsidR="004D333B" w:rsidRPr="004D333B" w:rsidRDefault="004D333B" w:rsidP="00534F8A">
            <w:pPr>
              <w:widowControl w:val="0"/>
              <w:spacing w:line="190" w:lineRule="exact"/>
              <w:rPr>
                <w:rFonts w:eastAsia="Microsoft Sans Serif"/>
                <w:sz w:val="20"/>
                <w:szCs w:val="20"/>
                <w:lang w:eastAsia="ro-RO" w:bidi="ro-RO"/>
              </w:rPr>
            </w:pPr>
            <w:r w:rsidRPr="00534F8A">
              <w:rPr>
                <w:rFonts w:eastAsia="Microsoft Sans Serif"/>
                <w:color w:val="000000"/>
                <w:sz w:val="20"/>
                <w:szCs w:val="20"/>
                <w:shd w:val="clear" w:color="auto" w:fill="FFFFFF"/>
                <w:lang w:eastAsia="ro-RO" w:bidi="ro-RO"/>
              </w:rPr>
              <w:t>S.A. „Metalferos”</w:t>
            </w:r>
          </w:p>
        </w:tc>
        <w:tc>
          <w:tcPr>
            <w:tcW w:w="1418"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44,1</w:t>
            </w:r>
          </w:p>
        </w:tc>
        <w:tc>
          <w:tcPr>
            <w:tcW w:w="1701" w:type="dxa"/>
            <w:shd w:val="clear" w:color="auto" w:fill="auto"/>
          </w:tcPr>
          <w:p w:rsidR="004D333B" w:rsidRPr="004D333B" w:rsidRDefault="004D333B" w:rsidP="00534F8A">
            <w:pPr>
              <w:widowControl w:val="0"/>
              <w:jc w:val="center"/>
              <w:rPr>
                <w:rFonts w:eastAsia="Microsoft Sans Serif"/>
                <w:sz w:val="20"/>
                <w:szCs w:val="20"/>
              </w:rPr>
            </w:pPr>
            <w:r w:rsidRPr="004D333B">
              <w:rPr>
                <w:rFonts w:eastAsia="Microsoft Sans Serif"/>
                <w:sz w:val="20"/>
                <w:szCs w:val="20"/>
              </w:rPr>
              <w:t>33,0</w:t>
            </w:r>
          </w:p>
        </w:tc>
      </w:tr>
    </w:tbl>
    <w:p w:rsidR="004D333B" w:rsidRDefault="004D333B" w:rsidP="00235BF0">
      <w:pPr>
        <w:widowControl w:val="0"/>
        <w:spacing w:line="120" w:lineRule="auto"/>
        <w:ind w:right="329" w:firstLine="567"/>
        <w:jc w:val="both"/>
        <w:rPr>
          <w:sz w:val="28"/>
          <w:szCs w:val="28"/>
          <w:lang w:eastAsia="ro-RO" w:bidi="ro-RO"/>
        </w:rPr>
      </w:pPr>
      <w:r w:rsidRPr="004D333B">
        <w:rPr>
          <w:sz w:val="28"/>
          <w:szCs w:val="28"/>
          <w:lang w:eastAsia="ro-RO" w:bidi="ro-RO"/>
        </w:rPr>
        <w:t xml:space="preserve"> </w:t>
      </w:r>
    </w:p>
    <w:p w:rsidR="00235BF0" w:rsidRPr="004D333B" w:rsidRDefault="00235BF0" w:rsidP="00235BF0">
      <w:pPr>
        <w:widowControl w:val="0"/>
        <w:spacing w:line="120" w:lineRule="auto"/>
        <w:ind w:right="329" w:firstLine="567"/>
        <w:jc w:val="both"/>
        <w:rPr>
          <w:rStyle w:val="Bodytext295pt"/>
          <w:sz w:val="28"/>
          <w:szCs w:val="28"/>
        </w:rPr>
      </w:pPr>
    </w:p>
    <w:p w:rsidR="00D2086A" w:rsidRPr="0023156D" w:rsidRDefault="00D2086A" w:rsidP="00D2086A">
      <w:pPr>
        <w:spacing w:line="276" w:lineRule="auto"/>
        <w:ind w:firstLine="567"/>
        <w:jc w:val="both"/>
        <w:rPr>
          <w:sz w:val="28"/>
          <w:szCs w:val="28"/>
        </w:rPr>
      </w:pPr>
      <w:r w:rsidRPr="0023156D">
        <w:rPr>
          <w:sz w:val="28"/>
          <w:szCs w:val="28"/>
        </w:rPr>
        <w:t xml:space="preserve">Cele mai considerabile pierderi înregistrate în semestrul I, 2018, au fost generate de </w:t>
      </w:r>
      <w:r w:rsidRPr="0023156D">
        <w:rPr>
          <w:rStyle w:val="Bodytext295pt"/>
          <w:sz w:val="28"/>
          <w:szCs w:val="28"/>
        </w:rPr>
        <w:t>S.A.„Tutun-CTC” și S.A.„Rif-Acvaaparat”</w:t>
      </w:r>
      <w:r w:rsidRPr="0023156D">
        <w:rPr>
          <w:sz w:val="28"/>
          <w:szCs w:val="28"/>
        </w:rPr>
        <w:t xml:space="preserve">. De altfel, în trimestrul II, 2018, cele mai mari pierderi au fost generate de </w:t>
      </w:r>
      <w:r w:rsidRPr="0023156D">
        <w:rPr>
          <w:rStyle w:val="Bodytext295pt"/>
          <w:sz w:val="28"/>
          <w:szCs w:val="28"/>
        </w:rPr>
        <w:t xml:space="preserve">S.A. „Termoelectrica” și S.A. </w:t>
      </w:r>
      <w:r w:rsidRPr="0023156D">
        <w:rPr>
          <w:rStyle w:val="Bodytext295pt"/>
          <w:sz w:val="28"/>
          <w:szCs w:val="28"/>
        </w:rPr>
        <w:lastRenderedPageBreak/>
        <w:t>„CET Nord”, fapt cauzat în principal de specificul activită</w:t>
      </w:r>
      <w:r>
        <w:rPr>
          <w:rStyle w:val="Bodytext295pt"/>
          <w:sz w:val="28"/>
          <w:szCs w:val="28"/>
        </w:rPr>
        <w:t>ț</w:t>
      </w:r>
      <w:r w:rsidRPr="0023156D">
        <w:rPr>
          <w:rStyle w:val="Bodytext295pt"/>
          <w:sz w:val="28"/>
          <w:szCs w:val="28"/>
        </w:rPr>
        <w:t>ii sezoniere a societă</w:t>
      </w:r>
      <w:r>
        <w:rPr>
          <w:rStyle w:val="Bodytext295pt"/>
          <w:sz w:val="28"/>
          <w:szCs w:val="28"/>
        </w:rPr>
        <w:t>ț</w:t>
      </w:r>
      <w:r w:rsidRPr="0023156D">
        <w:rPr>
          <w:rStyle w:val="Bodytext295pt"/>
          <w:sz w:val="28"/>
          <w:szCs w:val="28"/>
        </w:rPr>
        <w:t>ilor (termoficare).</w:t>
      </w:r>
    </w:p>
    <w:p w:rsidR="00E27FE2" w:rsidRDefault="00E27FE2" w:rsidP="00DE3D6F">
      <w:pPr>
        <w:pStyle w:val="NoSpacing"/>
        <w:spacing w:line="276" w:lineRule="auto"/>
        <w:rPr>
          <w:b/>
          <w:i/>
          <w:sz w:val="28"/>
          <w:szCs w:val="28"/>
        </w:rPr>
      </w:pPr>
    </w:p>
    <w:p w:rsidR="0005263F" w:rsidRPr="00870FB6" w:rsidRDefault="00D2086A" w:rsidP="00D2086A">
      <w:pPr>
        <w:pStyle w:val="NoSpacing"/>
        <w:spacing w:line="276" w:lineRule="auto"/>
        <w:jc w:val="both"/>
        <w:rPr>
          <w:b/>
          <w:i/>
          <w:sz w:val="28"/>
          <w:szCs w:val="28"/>
        </w:rPr>
      </w:pPr>
      <w:r>
        <w:rPr>
          <w:b/>
          <w:i/>
          <w:sz w:val="28"/>
          <w:szCs w:val="28"/>
        </w:rPr>
        <w:t xml:space="preserve">III. </w:t>
      </w:r>
      <w:r w:rsidR="009A1045" w:rsidRPr="00870FB6">
        <w:rPr>
          <w:b/>
          <w:i/>
          <w:sz w:val="28"/>
          <w:szCs w:val="28"/>
        </w:rPr>
        <w:t>Informa</w:t>
      </w:r>
      <w:r w:rsidR="000873E3">
        <w:rPr>
          <w:b/>
          <w:i/>
          <w:sz w:val="28"/>
          <w:szCs w:val="28"/>
        </w:rPr>
        <w:t>ț</w:t>
      </w:r>
      <w:r w:rsidR="009A1045" w:rsidRPr="00870FB6">
        <w:rPr>
          <w:b/>
          <w:i/>
          <w:sz w:val="28"/>
          <w:szCs w:val="28"/>
        </w:rPr>
        <w:t>ia privind datoria întreprinderilor de stat și a societă</w:t>
      </w:r>
      <w:r w:rsidR="000873E3">
        <w:rPr>
          <w:b/>
          <w:i/>
          <w:sz w:val="28"/>
          <w:szCs w:val="28"/>
        </w:rPr>
        <w:t>ț</w:t>
      </w:r>
      <w:r w:rsidR="009A1045" w:rsidRPr="00870FB6">
        <w:rPr>
          <w:b/>
          <w:i/>
          <w:sz w:val="28"/>
          <w:szCs w:val="28"/>
        </w:rPr>
        <w:t>ilor comerciale cu capital integral sau majoritar de stat, monitorizată în condi</w:t>
      </w:r>
      <w:r w:rsidR="000873E3">
        <w:rPr>
          <w:b/>
          <w:i/>
          <w:sz w:val="28"/>
          <w:szCs w:val="28"/>
        </w:rPr>
        <w:t>ț</w:t>
      </w:r>
      <w:r w:rsidR="009A1045" w:rsidRPr="00870FB6">
        <w:rPr>
          <w:b/>
          <w:i/>
          <w:sz w:val="28"/>
          <w:szCs w:val="28"/>
        </w:rPr>
        <w:t>iile Legii nr. 419-XVI din 22 decembrie 2006 cu privire la datoria sectorului public, garan</w:t>
      </w:r>
      <w:r w:rsidR="000873E3">
        <w:rPr>
          <w:b/>
          <w:i/>
          <w:sz w:val="28"/>
          <w:szCs w:val="28"/>
        </w:rPr>
        <w:t>ț</w:t>
      </w:r>
      <w:r w:rsidR="009A1045" w:rsidRPr="00870FB6">
        <w:rPr>
          <w:b/>
          <w:i/>
          <w:sz w:val="28"/>
          <w:szCs w:val="28"/>
        </w:rPr>
        <w:t>iile de stat și recreditarea de stat</w:t>
      </w:r>
      <w:r w:rsidR="00DA61B5">
        <w:rPr>
          <w:b/>
          <w:i/>
          <w:sz w:val="28"/>
          <w:szCs w:val="28"/>
        </w:rPr>
        <w:t>, la situația din 30.06.2018</w:t>
      </w:r>
    </w:p>
    <w:p w:rsidR="009A1045" w:rsidRPr="00870FB6" w:rsidRDefault="009A1045" w:rsidP="00817C32">
      <w:pPr>
        <w:pStyle w:val="NoSpacing"/>
        <w:spacing w:line="120" w:lineRule="auto"/>
        <w:ind w:firstLine="567"/>
        <w:jc w:val="both"/>
        <w:rPr>
          <w:color w:val="FF0000"/>
          <w:sz w:val="28"/>
          <w:szCs w:val="28"/>
        </w:rPr>
      </w:pPr>
    </w:p>
    <w:p w:rsidR="00D2086A" w:rsidRPr="0023156D" w:rsidRDefault="00647BCE" w:rsidP="00D2086A">
      <w:pPr>
        <w:pStyle w:val="NoSpacing"/>
        <w:spacing w:line="276" w:lineRule="auto"/>
        <w:ind w:firstLine="567"/>
        <w:jc w:val="both"/>
        <w:rPr>
          <w:sz w:val="28"/>
          <w:szCs w:val="28"/>
        </w:rPr>
      </w:pPr>
      <w:r>
        <w:rPr>
          <w:sz w:val="28"/>
          <w:szCs w:val="28"/>
        </w:rPr>
        <w:t>P</w:t>
      </w:r>
      <w:r w:rsidRPr="00870FB6">
        <w:rPr>
          <w:sz w:val="28"/>
          <w:szCs w:val="28"/>
        </w:rPr>
        <w:t xml:space="preserve">otrivit datelor privind </w:t>
      </w:r>
      <w:r w:rsidRPr="00870FB6">
        <w:rPr>
          <w:i/>
          <w:sz w:val="28"/>
          <w:szCs w:val="28"/>
        </w:rPr>
        <w:t>fluxul şi soldul împrumuturilor interne</w:t>
      </w:r>
      <w:r w:rsidRPr="00870FB6">
        <w:rPr>
          <w:sz w:val="28"/>
          <w:szCs w:val="28"/>
        </w:rPr>
        <w:t xml:space="preserve">, întreprinderile de stat și societățile pe acțiuni monitorizate, care au contractat credite de la băncile comerciale pe o perioadă de un an și mai mare, au înregistrat, la situația din </w:t>
      </w:r>
      <w:r w:rsidR="00D2086A" w:rsidRPr="0023156D">
        <w:rPr>
          <w:sz w:val="28"/>
          <w:szCs w:val="28"/>
        </w:rPr>
        <w:t>30</w:t>
      </w:r>
      <w:r>
        <w:rPr>
          <w:sz w:val="28"/>
          <w:szCs w:val="28"/>
        </w:rPr>
        <w:t>.06.</w:t>
      </w:r>
      <w:r w:rsidR="00D2086A" w:rsidRPr="0023156D">
        <w:rPr>
          <w:sz w:val="28"/>
          <w:szCs w:val="28"/>
        </w:rPr>
        <w:t xml:space="preserve">2018, un sold al împrumuturilor interne în sumă de 1285,88 mil. lei, din care 26,9 mil. lei constituie stocul de arierate – sume restante ce nu au fost achitate conform contractelor încheiate. </w:t>
      </w:r>
    </w:p>
    <w:p w:rsidR="00D2086A" w:rsidRPr="00503442" w:rsidRDefault="00D2086A" w:rsidP="00D2086A">
      <w:pPr>
        <w:pStyle w:val="NoSpacing"/>
        <w:spacing w:line="276" w:lineRule="auto"/>
        <w:jc w:val="both"/>
        <w:rPr>
          <w:sz w:val="20"/>
          <w:szCs w:val="20"/>
        </w:rPr>
      </w:pPr>
      <w:r>
        <w:rPr>
          <w:sz w:val="20"/>
          <w:szCs w:val="20"/>
        </w:rPr>
        <w:t xml:space="preserve">                                                                                                                                                                        </w:t>
      </w:r>
      <w:r w:rsidR="00235BF0" w:rsidRPr="00C25682">
        <w:rPr>
          <w:sz w:val="20"/>
          <w:szCs w:val="20"/>
        </w:rPr>
        <w:t>Tabelul 21</w:t>
      </w:r>
      <w:r w:rsidR="00235BF0">
        <w:rPr>
          <w:sz w:val="20"/>
          <w:szCs w:val="20"/>
        </w:rPr>
        <w:t>.</w:t>
      </w:r>
    </w:p>
    <w:p w:rsidR="00647BCE" w:rsidRPr="00647BCE" w:rsidRDefault="00647BCE" w:rsidP="001F2A6D">
      <w:pPr>
        <w:jc w:val="center"/>
        <w:rPr>
          <w:b/>
          <w:i/>
          <w:sz w:val="20"/>
          <w:szCs w:val="20"/>
        </w:rPr>
      </w:pPr>
      <w:r w:rsidRPr="00647BCE">
        <w:rPr>
          <w:b/>
          <w:i/>
          <w:sz w:val="20"/>
          <w:szCs w:val="20"/>
        </w:rPr>
        <w:t xml:space="preserve">Informația privind fluxul și soldul împrumuturilor interne, </w:t>
      </w:r>
    </w:p>
    <w:p w:rsidR="00647BCE" w:rsidRPr="00647BCE" w:rsidRDefault="00647BCE" w:rsidP="00647BCE">
      <w:pPr>
        <w:jc w:val="center"/>
        <w:rPr>
          <w:b/>
          <w:i/>
          <w:sz w:val="20"/>
          <w:szCs w:val="20"/>
        </w:rPr>
      </w:pPr>
      <w:r w:rsidRPr="00647BCE">
        <w:rPr>
          <w:b/>
          <w:i/>
          <w:sz w:val="20"/>
          <w:szCs w:val="20"/>
        </w:rPr>
        <w:t>la situația din 30.06.2018, ale întreprinderilor de stat și societăților pe acțiuni monitorizate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680"/>
        <w:gridCol w:w="1134"/>
        <w:gridCol w:w="1134"/>
        <w:gridCol w:w="1131"/>
        <w:gridCol w:w="1276"/>
      </w:tblGrid>
      <w:tr w:rsidR="00D2086A" w:rsidRPr="00DB1CB4" w:rsidTr="00235BF0">
        <w:trPr>
          <w:trHeight w:val="386"/>
          <w:tblHeader/>
          <w:jc w:val="center"/>
        </w:trPr>
        <w:tc>
          <w:tcPr>
            <w:tcW w:w="421" w:type="dxa"/>
            <w:noWrap/>
            <w:hideMark/>
          </w:tcPr>
          <w:p w:rsidR="00D2086A" w:rsidRPr="0023156D" w:rsidRDefault="00D2086A" w:rsidP="001F2A6D">
            <w:pPr>
              <w:pStyle w:val="NoSpacing"/>
              <w:ind w:left="-110" w:right="-109"/>
              <w:jc w:val="center"/>
              <w:rPr>
                <w:b/>
                <w:iCs/>
                <w:sz w:val="20"/>
                <w:szCs w:val="20"/>
              </w:rPr>
            </w:pPr>
            <w:r w:rsidRPr="0023156D">
              <w:rPr>
                <w:b/>
                <w:iCs/>
                <w:sz w:val="20"/>
                <w:szCs w:val="20"/>
              </w:rPr>
              <w:t>Nr.</w:t>
            </w:r>
          </w:p>
          <w:p w:rsidR="00D2086A" w:rsidRPr="0023156D" w:rsidRDefault="00D2086A" w:rsidP="001F2A6D">
            <w:pPr>
              <w:pStyle w:val="NoSpacing"/>
              <w:ind w:left="-110" w:right="-109"/>
              <w:jc w:val="center"/>
              <w:rPr>
                <w:b/>
                <w:iCs/>
                <w:sz w:val="20"/>
                <w:szCs w:val="20"/>
              </w:rPr>
            </w:pPr>
            <w:r w:rsidRPr="0023156D">
              <w:rPr>
                <w:b/>
                <w:iCs/>
                <w:sz w:val="20"/>
                <w:szCs w:val="20"/>
              </w:rPr>
              <w:t>d/o</w:t>
            </w:r>
          </w:p>
        </w:tc>
        <w:tc>
          <w:tcPr>
            <w:tcW w:w="4680" w:type="dxa"/>
            <w:vAlign w:val="center"/>
            <w:hideMark/>
          </w:tcPr>
          <w:p w:rsidR="00D2086A" w:rsidRPr="0023156D" w:rsidRDefault="00D2086A" w:rsidP="001F2A6D">
            <w:pPr>
              <w:pStyle w:val="NoSpacing"/>
              <w:ind w:left="-394" w:right="-109" w:firstLine="31"/>
              <w:jc w:val="center"/>
              <w:rPr>
                <w:b/>
                <w:iCs/>
                <w:sz w:val="20"/>
                <w:szCs w:val="20"/>
              </w:rPr>
            </w:pPr>
            <w:r w:rsidRPr="0023156D">
              <w:rPr>
                <w:b/>
                <w:iCs/>
                <w:sz w:val="20"/>
                <w:szCs w:val="20"/>
              </w:rPr>
              <w:t>Debitorul</w:t>
            </w:r>
          </w:p>
        </w:tc>
        <w:tc>
          <w:tcPr>
            <w:tcW w:w="1134" w:type="dxa"/>
            <w:vAlign w:val="center"/>
          </w:tcPr>
          <w:p w:rsidR="00D2086A" w:rsidRPr="00570811" w:rsidRDefault="00D2086A" w:rsidP="001F2A6D">
            <w:pPr>
              <w:pStyle w:val="NoSpacing"/>
              <w:ind w:left="-107" w:right="-109"/>
              <w:jc w:val="center"/>
              <w:rPr>
                <w:b/>
                <w:iCs/>
                <w:sz w:val="20"/>
                <w:szCs w:val="20"/>
              </w:rPr>
            </w:pPr>
            <w:r w:rsidRPr="00570811">
              <w:rPr>
                <w:b/>
                <w:iCs/>
                <w:sz w:val="20"/>
                <w:szCs w:val="20"/>
              </w:rPr>
              <w:t>Sold la</w:t>
            </w:r>
          </w:p>
          <w:p w:rsidR="00D2086A" w:rsidRPr="00570811" w:rsidRDefault="00D2086A" w:rsidP="001F2A6D">
            <w:pPr>
              <w:pStyle w:val="NoSpacing"/>
              <w:ind w:left="-107" w:right="-109"/>
              <w:jc w:val="center"/>
              <w:rPr>
                <w:b/>
                <w:iCs/>
                <w:sz w:val="20"/>
                <w:szCs w:val="20"/>
              </w:rPr>
            </w:pPr>
            <w:r w:rsidRPr="00570811">
              <w:rPr>
                <w:b/>
                <w:iCs/>
                <w:sz w:val="20"/>
                <w:szCs w:val="20"/>
              </w:rPr>
              <w:t>30.06.2017,                  mil. lei</w:t>
            </w:r>
          </w:p>
        </w:tc>
        <w:tc>
          <w:tcPr>
            <w:tcW w:w="1134" w:type="dxa"/>
            <w:vAlign w:val="center"/>
          </w:tcPr>
          <w:p w:rsidR="00D2086A" w:rsidRPr="00570811" w:rsidRDefault="00D2086A" w:rsidP="001F2A6D">
            <w:pPr>
              <w:pStyle w:val="NoSpacing"/>
              <w:ind w:left="-107" w:right="-109"/>
              <w:jc w:val="center"/>
              <w:rPr>
                <w:b/>
                <w:iCs/>
                <w:sz w:val="20"/>
                <w:szCs w:val="20"/>
              </w:rPr>
            </w:pPr>
            <w:r w:rsidRPr="00570811">
              <w:rPr>
                <w:b/>
                <w:iCs/>
                <w:sz w:val="20"/>
                <w:szCs w:val="20"/>
              </w:rPr>
              <w:t>Sold la</w:t>
            </w:r>
          </w:p>
          <w:p w:rsidR="00D2086A" w:rsidRPr="00570811" w:rsidRDefault="00D2086A" w:rsidP="001F2A6D">
            <w:pPr>
              <w:pStyle w:val="NoSpacing"/>
              <w:ind w:left="-107" w:right="-109"/>
              <w:jc w:val="center"/>
              <w:rPr>
                <w:b/>
                <w:iCs/>
                <w:sz w:val="20"/>
                <w:szCs w:val="20"/>
              </w:rPr>
            </w:pPr>
            <w:r w:rsidRPr="00570811">
              <w:rPr>
                <w:b/>
                <w:iCs/>
                <w:sz w:val="20"/>
                <w:szCs w:val="20"/>
              </w:rPr>
              <w:t>30.06.2018, mil. lei</w:t>
            </w:r>
          </w:p>
        </w:tc>
        <w:tc>
          <w:tcPr>
            <w:tcW w:w="1131" w:type="dxa"/>
            <w:vAlign w:val="center"/>
          </w:tcPr>
          <w:p w:rsidR="00D2086A" w:rsidRPr="00570811" w:rsidRDefault="00D2086A" w:rsidP="001F2A6D">
            <w:pPr>
              <w:pStyle w:val="NoSpacing"/>
              <w:ind w:left="-107" w:right="-109"/>
              <w:jc w:val="center"/>
              <w:rPr>
                <w:b/>
                <w:iCs/>
                <w:sz w:val="20"/>
                <w:szCs w:val="20"/>
              </w:rPr>
            </w:pPr>
            <w:r w:rsidRPr="00570811">
              <w:rPr>
                <w:b/>
                <w:iCs/>
                <w:sz w:val="20"/>
                <w:szCs w:val="20"/>
              </w:rPr>
              <w:t>Abaterea, +/- mil. lei</w:t>
            </w:r>
          </w:p>
        </w:tc>
        <w:tc>
          <w:tcPr>
            <w:tcW w:w="1276" w:type="dxa"/>
            <w:vAlign w:val="center"/>
          </w:tcPr>
          <w:p w:rsidR="00D2086A" w:rsidRPr="00570811" w:rsidRDefault="00D2086A" w:rsidP="001F2A6D">
            <w:pPr>
              <w:pStyle w:val="NoSpacing"/>
              <w:jc w:val="center"/>
              <w:rPr>
                <w:b/>
                <w:sz w:val="20"/>
                <w:szCs w:val="20"/>
              </w:rPr>
            </w:pPr>
            <w:r w:rsidRPr="00570811">
              <w:rPr>
                <w:b/>
                <w:sz w:val="20"/>
                <w:szCs w:val="20"/>
              </w:rPr>
              <w:t>Stoc de arierate la 30.06.2018, mil. lei</w:t>
            </w:r>
          </w:p>
        </w:tc>
      </w:tr>
      <w:tr w:rsidR="00D2086A" w:rsidRPr="00DB1CB4" w:rsidTr="00235BF0">
        <w:trPr>
          <w:trHeight w:val="199"/>
          <w:jc w:val="center"/>
        </w:trPr>
        <w:tc>
          <w:tcPr>
            <w:tcW w:w="421" w:type="dxa"/>
            <w:noWrap/>
          </w:tcPr>
          <w:p w:rsidR="00D2086A" w:rsidRPr="00916D6C" w:rsidRDefault="00D2086A" w:rsidP="001F2A6D">
            <w:pPr>
              <w:ind w:right="-111"/>
              <w:jc w:val="center"/>
              <w:rPr>
                <w:sz w:val="20"/>
                <w:szCs w:val="20"/>
              </w:rPr>
            </w:pPr>
            <w:r w:rsidRPr="00916D6C">
              <w:rPr>
                <w:sz w:val="20"/>
                <w:szCs w:val="20"/>
              </w:rPr>
              <w:t>1.</w:t>
            </w:r>
          </w:p>
        </w:tc>
        <w:tc>
          <w:tcPr>
            <w:tcW w:w="4680" w:type="dxa"/>
          </w:tcPr>
          <w:p w:rsidR="00D2086A" w:rsidRPr="00570811" w:rsidRDefault="00D2086A" w:rsidP="001F2A6D">
            <w:pPr>
              <w:tabs>
                <w:tab w:val="left" w:pos="3424"/>
              </w:tabs>
              <w:ind w:right="-110"/>
              <w:jc w:val="both"/>
              <w:rPr>
                <w:bCs/>
                <w:sz w:val="20"/>
                <w:szCs w:val="20"/>
              </w:rPr>
            </w:pPr>
            <w:r w:rsidRPr="00570811">
              <w:rPr>
                <w:bCs/>
                <w:sz w:val="20"/>
                <w:szCs w:val="20"/>
              </w:rPr>
              <w:t>S.A. „Moldtelecom”</w:t>
            </w:r>
          </w:p>
        </w:tc>
        <w:tc>
          <w:tcPr>
            <w:tcW w:w="1134" w:type="dxa"/>
          </w:tcPr>
          <w:p w:rsidR="00D2086A" w:rsidRPr="0023156D" w:rsidRDefault="00D2086A" w:rsidP="001F2A6D">
            <w:pPr>
              <w:ind w:firstLine="34"/>
              <w:jc w:val="center"/>
              <w:rPr>
                <w:bCs/>
                <w:sz w:val="20"/>
                <w:szCs w:val="20"/>
              </w:rPr>
            </w:pPr>
            <w:r w:rsidRPr="0023156D">
              <w:rPr>
                <w:bCs/>
                <w:sz w:val="20"/>
                <w:szCs w:val="20"/>
              </w:rPr>
              <w:t>671,7</w:t>
            </w:r>
          </w:p>
        </w:tc>
        <w:tc>
          <w:tcPr>
            <w:tcW w:w="1134" w:type="dxa"/>
          </w:tcPr>
          <w:p w:rsidR="00D2086A" w:rsidRPr="0023156D" w:rsidRDefault="00D2086A" w:rsidP="001F2A6D">
            <w:pPr>
              <w:ind w:firstLine="34"/>
              <w:jc w:val="center"/>
              <w:rPr>
                <w:bCs/>
                <w:sz w:val="20"/>
                <w:szCs w:val="20"/>
              </w:rPr>
            </w:pPr>
            <w:r w:rsidRPr="0023156D">
              <w:rPr>
                <w:bCs/>
                <w:sz w:val="20"/>
                <w:szCs w:val="20"/>
              </w:rPr>
              <w:t>685,2</w:t>
            </w:r>
          </w:p>
        </w:tc>
        <w:tc>
          <w:tcPr>
            <w:tcW w:w="1131" w:type="dxa"/>
          </w:tcPr>
          <w:p w:rsidR="00D2086A" w:rsidRPr="0023156D" w:rsidRDefault="00D2086A" w:rsidP="001F2A6D">
            <w:pPr>
              <w:ind w:firstLine="34"/>
              <w:jc w:val="center"/>
              <w:rPr>
                <w:bCs/>
                <w:sz w:val="20"/>
                <w:szCs w:val="20"/>
              </w:rPr>
            </w:pPr>
            <w:r w:rsidRPr="0023156D">
              <w:rPr>
                <w:bCs/>
                <w:sz w:val="20"/>
                <w:szCs w:val="20"/>
              </w:rPr>
              <w:t>+13,5</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2.</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S.A. „Combinatul de Vinuri Cricova”</w:t>
            </w:r>
          </w:p>
        </w:tc>
        <w:tc>
          <w:tcPr>
            <w:tcW w:w="1134" w:type="dxa"/>
          </w:tcPr>
          <w:p w:rsidR="00D2086A" w:rsidRPr="0023156D" w:rsidRDefault="00D2086A" w:rsidP="001F2A6D">
            <w:pPr>
              <w:ind w:firstLine="34"/>
              <w:jc w:val="center"/>
              <w:rPr>
                <w:bCs/>
                <w:sz w:val="20"/>
                <w:szCs w:val="20"/>
              </w:rPr>
            </w:pPr>
            <w:r w:rsidRPr="0023156D">
              <w:rPr>
                <w:bCs/>
                <w:sz w:val="20"/>
                <w:szCs w:val="20"/>
              </w:rPr>
              <w:t>213,9</w:t>
            </w:r>
          </w:p>
        </w:tc>
        <w:tc>
          <w:tcPr>
            <w:tcW w:w="1134" w:type="dxa"/>
          </w:tcPr>
          <w:p w:rsidR="00D2086A" w:rsidRPr="0023156D" w:rsidRDefault="00D2086A" w:rsidP="001F2A6D">
            <w:pPr>
              <w:ind w:firstLine="34"/>
              <w:jc w:val="center"/>
              <w:rPr>
                <w:bCs/>
                <w:sz w:val="20"/>
                <w:szCs w:val="20"/>
              </w:rPr>
            </w:pPr>
            <w:r w:rsidRPr="0023156D">
              <w:rPr>
                <w:bCs/>
                <w:sz w:val="20"/>
                <w:szCs w:val="20"/>
              </w:rPr>
              <w:t>204,3</w:t>
            </w:r>
          </w:p>
        </w:tc>
        <w:tc>
          <w:tcPr>
            <w:tcW w:w="1131" w:type="dxa"/>
          </w:tcPr>
          <w:p w:rsidR="00D2086A" w:rsidRPr="0023156D" w:rsidRDefault="00D2086A" w:rsidP="001F2A6D">
            <w:pPr>
              <w:ind w:firstLine="34"/>
              <w:jc w:val="center"/>
              <w:rPr>
                <w:bCs/>
                <w:sz w:val="20"/>
                <w:szCs w:val="20"/>
              </w:rPr>
            </w:pPr>
            <w:r w:rsidRPr="0023156D">
              <w:rPr>
                <w:bCs/>
                <w:sz w:val="20"/>
                <w:szCs w:val="20"/>
              </w:rPr>
              <w:t>-9,6</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3.</w:t>
            </w:r>
          </w:p>
        </w:tc>
        <w:tc>
          <w:tcPr>
            <w:tcW w:w="4680" w:type="dxa"/>
          </w:tcPr>
          <w:p w:rsidR="00D2086A" w:rsidRPr="00570811" w:rsidRDefault="00D2086A" w:rsidP="001F2A6D">
            <w:pPr>
              <w:pStyle w:val="NoSpacing"/>
              <w:tabs>
                <w:tab w:val="left" w:pos="3424"/>
              </w:tabs>
              <w:ind w:right="-110"/>
              <w:rPr>
                <w:sz w:val="20"/>
                <w:szCs w:val="20"/>
              </w:rPr>
            </w:pPr>
            <w:r w:rsidRPr="00570811">
              <w:rPr>
                <w:sz w:val="20"/>
                <w:szCs w:val="20"/>
              </w:rPr>
              <w:t>Î.S. Compania Aeriană „AIR Moldova”</w:t>
            </w:r>
          </w:p>
        </w:tc>
        <w:tc>
          <w:tcPr>
            <w:tcW w:w="1134" w:type="dxa"/>
          </w:tcPr>
          <w:p w:rsidR="00D2086A" w:rsidRPr="0023156D" w:rsidRDefault="00D2086A" w:rsidP="001F2A6D">
            <w:pPr>
              <w:pStyle w:val="NoSpacing"/>
              <w:ind w:firstLine="34"/>
              <w:jc w:val="center"/>
              <w:rPr>
                <w:sz w:val="20"/>
                <w:szCs w:val="20"/>
              </w:rPr>
            </w:pPr>
            <w:r w:rsidRPr="0023156D">
              <w:rPr>
                <w:sz w:val="20"/>
                <w:szCs w:val="20"/>
              </w:rPr>
              <w:t>249,1</w:t>
            </w:r>
          </w:p>
        </w:tc>
        <w:tc>
          <w:tcPr>
            <w:tcW w:w="1134" w:type="dxa"/>
          </w:tcPr>
          <w:p w:rsidR="00D2086A" w:rsidRPr="0023156D" w:rsidRDefault="00D2086A" w:rsidP="001F2A6D">
            <w:pPr>
              <w:pStyle w:val="NoSpacing"/>
              <w:ind w:firstLine="34"/>
              <w:jc w:val="center"/>
              <w:rPr>
                <w:sz w:val="20"/>
                <w:szCs w:val="20"/>
              </w:rPr>
            </w:pPr>
            <w:r w:rsidRPr="0023156D">
              <w:rPr>
                <w:sz w:val="20"/>
                <w:szCs w:val="20"/>
              </w:rPr>
              <w:t>152,6</w:t>
            </w:r>
          </w:p>
        </w:tc>
        <w:tc>
          <w:tcPr>
            <w:tcW w:w="1131" w:type="dxa"/>
          </w:tcPr>
          <w:p w:rsidR="00D2086A" w:rsidRPr="0023156D" w:rsidRDefault="00D2086A" w:rsidP="001F2A6D">
            <w:pPr>
              <w:pStyle w:val="NoSpacing"/>
              <w:ind w:firstLine="34"/>
              <w:jc w:val="center"/>
              <w:rPr>
                <w:sz w:val="20"/>
                <w:szCs w:val="20"/>
              </w:rPr>
            </w:pPr>
            <w:r w:rsidRPr="0023156D">
              <w:rPr>
                <w:sz w:val="20"/>
                <w:szCs w:val="20"/>
              </w:rPr>
              <w:t>-96,5</w:t>
            </w:r>
          </w:p>
        </w:tc>
        <w:tc>
          <w:tcPr>
            <w:tcW w:w="1276" w:type="dxa"/>
          </w:tcPr>
          <w:p w:rsidR="00D2086A" w:rsidRPr="0023156D" w:rsidRDefault="00D2086A" w:rsidP="001F2A6D">
            <w:pPr>
              <w:pStyle w:val="NoSpacing"/>
              <w:ind w:firstLine="34"/>
              <w:jc w:val="center"/>
              <w:rPr>
                <w:sz w:val="20"/>
                <w:szCs w:val="20"/>
              </w:rPr>
            </w:pPr>
            <w:r w:rsidRPr="0023156D">
              <w:rPr>
                <w:sz w:val="20"/>
                <w:szCs w:val="20"/>
              </w:rPr>
              <w:t>20,5</w:t>
            </w:r>
          </w:p>
        </w:tc>
      </w:tr>
      <w:tr w:rsidR="00D2086A" w:rsidRPr="00DB1CB4" w:rsidTr="00235BF0">
        <w:trPr>
          <w:trHeight w:val="163"/>
          <w:jc w:val="center"/>
        </w:trPr>
        <w:tc>
          <w:tcPr>
            <w:tcW w:w="421" w:type="dxa"/>
            <w:noWrap/>
            <w:vAlign w:val="center"/>
          </w:tcPr>
          <w:p w:rsidR="00D2086A" w:rsidRPr="00916D6C" w:rsidRDefault="00D2086A" w:rsidP="001F2A6D">
            <w:pPr>
              <w:pStyle w:val="NoSpacing"/>
              <w:ind w:left="32" w:right="-107"/>
              <w:jc w:val="center"/>
              <w:rPr>
                <w:sz w:val="20"/>
                <w:szCs w:val="20"/>
              </w:rPr>
            </w:pPr>
            <w:r w:rsidRPr="00916D6C">
              <w:rPr>
                <w:sz w:val="20"/>
                <w:szCs w:val="20"/>
              </w:rPr>
              <w:t>4.</w:t>
            </w:r>
          </w:p>
        </w:tc>
        <w:tc>
          <w:tcPr>
            <w:tcW w:w="4680" w:type="dxa"/>
          </w:tcPr>
          <w:p w:rsidR="00D2086A" w:rsidRPr="00570811" w:rsidRDefault="00D2086A" w:rsidP="001F2A6D">
            <w:pPr>
              <w:pStyle w:val="NoSpacing"/>
              <w:tabs>
                <w:tab w:val="left" w:pos="3424"/>
              </w:tabs>
              <w:ind w:right="-110"/>
              <w:rPr>
                <w:sz w:val="20"/>
                <w:szCs w:val="20"/>
              </w:rPr>
            </w:pPr>
            <w:r w:rsidRPr="00570811">
              <w:rPr>
                <w:sz w:val="20"/>
                <w:szCs w:val="20"/>
              </w:rPr>
              <w:t>Î.S. „Calea Ferată din Moldova”</w:t>
            </w:r>
          </w:p>
        </w:tc>
        <w:tc>
          <w:tcPr>
            <w:tcW w:w="1134" w:type="dxa"/>
          </w:tcPr>
          <w:p w:rsidR="00D2086A" w:rsidRPr="0023156D" w:rsidRDefault="00D2086A" w:rsidP="001F2A6D">
            <w:pPr>
              <w:pStyle w:val="NoSpacing"/>
              <w:ind w:firstLine="34"/>
              <w:jc w:val="center"/>
              <w:rPr>
                <w:sz w:val="20"/>
                <w:szCs w:val="20"/>
              </w:rPr>
            </w:pPr>
            <w:r w:rsidRPr="0023156D">
              <w:rPr>
                <w:sz w:val="20"/>
                <w:szCs w:val="20"/>
              </w:rPr>
              <w:t>177,4</w:t>
            </w:r>
          </w:p>
        </w:tc>
        <w:tc>
          <w:tcPr>
            <w:tcW w:w="1134" w:type="dxa"/>
          </w:tcPr>
          <w:p w:rsidR="00D2086A" w:rsidRPr="0023156D" w:rsidRDefault="00D2086A" w:rsidP="001F2A6D">
            <w:pPr>
              <w:pStyle w:val="NoSpacing"/>
              <w:ind w:firstLine="34"/>
              <w:jc w:val="center"/>
              <w:rPr>
                <w:sz w:val="20"/>
                <w:szCs w:val="20"/>
              </w:rPr>
            </w:pPr>
            <w:r w:rsidRPr="0023156D">
              <w:rPr>
                <w:sz w:val="20"/>
                <w:szCs w:val="20"/>
              </w:rPr>
              <w:t>132,6</w:t>
            </w:r>
          </w:p>
        </w:tc>
        <w:tc>
          <w:tcPr>
            <w:tcW w:w="1131" w:type="dxa"/>
          </w:tcPr>
          <w:p w:rsidR="00D2086A" w:rsidRPr="0023156D" w:rsidRDefault="00D2086A" w:rsidP="001F2A6D">
            <w:pPr>
              <w:pStyle w:val="NoSpacing"/>
              <w:ind w:firstLine="34"/>
              <w:jc w:val="center"/>
              <w:rPr>
                <w:sz w:val="20"/>
                <w:szCs w:val="20"/>
              </w:rPr>
            </w:pPr>
            <w:r w:rsidRPr="0023156D">
              <w:rPr>
                <w:sz w:val="20"/>
                <w:szCs w:val="20"/>
              </w:rPr>
              <w:t>-44,8</w:t>
            </w:r>
          </w:p>
        </w:tc>
        <w:tc>
          <w:tcPr>
            <w:tcW w:w="1276" w:type="dxa"/>
          </w:tcPr>
          <w:p w:rsidR="00D2086A" w:rsidRPr="0023156D" w:rsidRDefault="00D2086A" w:rsidP="001F2A6D">
            <w:pPr>
              <w:pStyle w:val="NoSpacing"/>
              <w:ind w:firstLine="34"/>
              <w:jc w:val="center"/>
              <w:rPr>
                <w:sz w:val="20"/>
                <w:szCs w:val="20"/>
              </w:rPr>
            </w:pPr>
            <w:r w:rsidRPr="0023156D">
              <w:rPr>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pStyle w:val="NoSpacing"/>
              <w:ind w:left="32" w:right="-107"/>
              <w:jc w:val="center"/>
              <w:rPr>
                <w:sz w:val="20"/>
                <w:szCs w:val="20"/>
              </w:rPr>
            </w:pPr>
            <w:r w:rsidRPr="00916D6C">
              <w:rPr>
                <w:sz w:val="20"/>
                <w:szCs w:val="20"/>
              </w:rPr>
              <w:t>5.</w:t>
            </w:r>
          </w:p>
        </w:tc>
        <w:tc>
          <w:tcPr>
            <w:tcW w:w="4680" w:type="dxa"/>
          </w:tcPr>
          <w:p w:rsidR="00D2086A" w:rsidRPr="00570811" w:rsidRDefault="00D2086A" w:rsidP="001F2A6D">
            <w:pPr>
              <w:pStyle w:val="NoSpacing"/>
              <w:tabs>
                <w:tab w:val="left" w:pos="3424"/>
              </w:tabs>
              <w:ind w:right="-110"/>
              <w:rPr>
                <w:sz w:val="20"/>
                <w:szCs w:val="20"/>
              </w:rPr>
            </w:pPr>
            <w:r w:rsidRPr="00570811">
              <w:rPr>
                <w:sz w:val="20"/>
                <w:szCs w:val="20"/>
              </w:rPr>
              <w:t>Î.S. „Fabrica de Sticlă din Chișinău”</w:t>
            </w:r>
          </w:p>
        </w:tc>
        <w:tc>
          <w:tcPr>
            <w:tcW w:w="1134" w:type="dxa"/>
          </w:tcPr>
          <w:p w:rsidR="00D2086A" w:rsidRPr="0023156D" w:rsidRDefault="00D2086A" w:rsidP="001F2A6D">
            <w:pPr>
              <w:pStyle w:val="NoSpacing"/>
              <w:ind w:firstLine="34"/>
              <w:jc w:val="center"/>
              <w:rPr>
                <w:sz w:val="20"/>
                <w:szCs w:val="20"/>
              </w:rPr>
            </w:pPr>
            <w:r w:rsidRPr="0023156D">
              <w:rPr>
                <w:sz w:val="20"/>
                <w:szCs w:val="20"/>
              </w:rPr>
              <w:t>58,8</w:t>
            </w:r>
          </w:p>
        </w:tc>
        <w:tc>
          <w:tcPr>
            <w:tcW w:w="1134" w:type="dxa"/>
          </w:tcPr>
          <w:p w:rsidR="00D2086A" w:rsidRPr="0023156D" w:rsidRDefault="00D2086A" w:rsidP="001F2A6D">
            <w:pPr>
              <w:pStyle w:val="NoSpacing"/>
              <w:ind w:firstLine="34"/>
              <w:jc w:val="center"/>
              <w:rPr>
                <w:sz w:val="20"/>
                <w:szCs w:val="20"/>
              </w:rPr>
            </w:pPr>
            <w:r w:rsidRPr="0023156D">
              <w:rPr>
                <w:sz w:val="20"/>
                <w:szCs w:val="20"/>
              </w:rPr>
              <w:t>29,3</w:t>
            </w:r>
          </w:p>
        </w:tc>
        <w:tc>
          <w:tcPr>
            <w:tcW w:w="1131" w:type="dxa"/>
          </w:tcPr>
          <w:p w:rsidR="00D2086A" w:rsidRPr="0023156D" w:rsidRDefault="00D2086A" w:rsidP="001F2A6D">
            <w:pPr>
              <w:pStyle w:val="NoSpacing"/>
              <w:ind w:firstLine="34"/>
              <w:jc w:val="center"/>
              <w:rPr>
                <w:sz w:val="20"/>
                <w:szCs w:val="20"/>
              </w:rPr>
            </w:pPr>
            <w:r w:rsidRPr="0023156D">
              <w:rPr>
                <w:sz w:val="20"/>
                <w:szCs w:val="20"/>
              </w:rPr>
              <w:t>-29,5</w:t>
            </w:r>
          </w:p>
        </w:tc>
        <w:tc>
          <w:tcPr>
            <w:tcW w:w="1276" w:type="dxa"/>
          </w:tcPr>
          <w:p w:rsidR="00D2086A" w:rsidRPr="0023156D" w:rsidRDefault="00D2086A" w:rsidP="001F2A6D">
            <w:pPr>
              <w:pStyle w:val="NoSpacing"/>
              <w:ind w:firstLine="34"/>
              <w:jc w:val="center"/>
              <w:rPr>
                <w:sz w:val="20"/>
                <w:szCs w:val="20"/>
              </w:rPr>
            </w:pPr>
            <w:r w:rsidRPr="0023156D">
              <w:rPr>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6.</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S.A. „Franzelu</w:t>
            </w:r>
            <w:r>
              <w:rPr>
                <w:bCs/>
                <w:sz w:val="20"/>
                <w:szCs w:val="20"/>
              </w:rPr>
              <w:t>ț</w:t>
            </w:r>
            <w:r w:rsidRPr="00570811">
              <w:rPr>
                <w:bCs/>
                <w:sz w:val="20"/>
                <w:szCs w:val="20"/>
              </w:rPr>
              <w:t>a”</w:t>
            </w:r>
          </w:p>
        </w:tc>
        <w:tc>
          <w:tcPr>
            <w:tcW w:w="1134" w:type="dxa"/>
          </w:tcPr>
          <w:p w:rsidR="00D2086A" w:rsidRPr="0023156D" w:rsidRDefault="00D2086A" w:rsidP="001F2A6D">
            <w:pPr>
              <w:ind w:firstLine="34"/>
              <w:jc w:val="center"/>
              <w:rPr>
                <w:bCs/>
                <w:sz w:val="20"/>
                <w:szCs w:val="20"/>
              </w:rPr>
            </w:pPr>
            <w:r w:rsidRPr="0023156D">
              <w:rPr>
                <w:bCs/>
                <w:sz w:val="20"/>
                <w:szCs w:val="20"/>
              </w:rPr>
              <w:t>46,8</w:t>
            </w:r>
          </w:p>
        </w:tc>
        <w:tc>
          <w:tcPr>
            <w:tcW w:w="1134" w:type="dxa"/>
          </w:tcPr>
          <w:p w:rsidR="00D2086A" w:rsidRPr="0023156D" w:rsidRDefault="00D2086A" w:rsidP="001F2A6D">
            <w:pPr>
              <w:ind w:firstLine="34"/>
              <w:jc w:val="center"/>
              <w:rPr>
                <w:bCs/>
                <w:sz w:val="20"/>
                <w:szCs w:val="20"/>
              </w:rPr>
            </w:pPr>
            <w:r w:rsidRPr="0023156D">
              <w:rPr>
                <w:bCs/>
                <w:sz w:val="20"/>
                <w:szCs w:val="20"/>
              </w:rPr>
              <w:t>27,3</w:t>
            </w:r>
          </w:p>
        </w:tc>
        <w:tc>
          <w:tcPr>
            <w:tcW w:w="1131" w:type="dxa"/>
          </w:tcPr>
          <w:p w:rsidR="00D2086A" w:rsidRPr="0023156D" w:rsidRDefault="00D2086A" w:rsidP="001F2A6D">
            <w:pPr>
              <w:ind w:firstLine="34"/>
              <w:jc w:val="center"/>
              <w:rPr>
                <w:bCs/>
                <w:sz w:val="20"/>
                <w:szCs w:val="20"/>
              </w:rPr>
            </w:pPr>
            <w:r w:rsidRPr="0023156D">
              <w:rPr>
                <w:bCs/>
                <w:sz w:val="20"/>
                <w:szCs w:val="20"/>
              </w:rPr>
              <w:t>-19,5</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7.</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S.A. „Red Nord” (datoriile S.A. „Red Nord-Vest” absorbită în 2017)</w:t>
            </w:r>
          </w:p>
        </w:tc>
        <w:tc>
          <w:tcPr>
            <w:tcW w:w="1134" w:type="dxa"/>
          </w:tcPr>
          <w:p w:rsidR="00D2086A" w:rsidRPr="0023156D" w:rsidRDefault="00D2086A" w:rsidP="001F2A6D">
            <w:pPr>
              <w:ind w:firstLine="34"/>
              <w:jc w:val="center"/>
              <w:rPr>
                <w:bCs/>
                <w:sz w:val="20"/>
                <w:szCs w:val="20"/>
              </w:rPr>
            </w:pPr>
            <w:r w:rsidRPr="0023156D">
              <w:rPr>
                <w:bCs/>
                <w:sz w:val="20"/>
                <w:szCs w:val="20"/>
              </w:rPr>
              <w:t>38,3</w:t>
            </w:r>
          </w:p>
        </w:tc>
        <w:tc>
          <w:tcPr>
            <w:tcW w:w="1134" w:type="dxa"/>
          </w:tcPr>
          <w:p w:rsidR="00D2086A" w:rsidRPr="0023156D" w:rsidRDefault="00D2086A" w:rsidP="001F2A6D">
            <w:pPr>
              <w:ind w:firstLine="34"/>
              <w:jc w:val="center"/>
              <w:rPr>
                <w:bCs/>
                <w:sz w:val="20"/>
                <w:szCs w:val="20"/>
              </w:rPr>
            </w:pPr>
            <w:r w:rsidRPr="0023156D">
              <w:rPr>
                <w:bCs/>
                <w:sz w:val="20"/>
                <w:szCs w:val="20"/>
              </w:rPr>
              <w:t>13,1</w:t>
            </w:r>
          </w:p>
        </w:tc>
        <w:tc>
          <w:tcPr>
            <w:tcW w:w="1131" w:type="dxa"/>
          </w:tcPr>
          <w:p w:rsidR="00D2086A" w:rsidRPr="0023156D" w:rsidRDefault="00D2086A" w:rsidP="001F2A6D">
            <w:pPr>
              <w:ind w:firstLine="34"/>
              <w:jc w:val="center"/>
              <w:rPr>
                <w:bCs/>
                <w:sz w:val="20"/>
                <w:szCs w:val="20"/>
              </w:rPr>
            </w:pPr>
            <w:r w:rsidRPr="0023156D">
              <w:rPr>
                <w:bCs/>
                <w:sz w:val="20"/>
                <w:szCs w:val="20"/>
              </w:rPr>
              <w:t>-25,2</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pStyle w:val="NoSpacing"/>
              <w:ind w:left="32" w:right="-107"/>
              <w:jc w:val="center"/>
              <w:rPr>
                <w:sz w:val="20"/>
                <w:szCs w:val="20"/>
              </w:rPr>
            </w:pPr>
            <w:r w:rsidRPr="00916D6C">
              <w:rPr>
                <w:sz w:val="20"/>
                <w:szCs w:val="20"/>
              </w:rPr>
              <w:t>8.</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S.A. „Barza Albă”</w:t>
            </w:r>
          </w:p>
        </w:tc>
        <w:tc>
          <w:tcPr>
            <w:tcW w:w="1134" w:type="dxa"/>
          </w:tcPr>
          <w:p w:rsidR="00D2086A" w:rsidRPr="0023156D" w:rsidRDefault="00D2086A" w:rsidP="001F2A6D">
            <w:pPr>
              <w:ind w:firstLine="34"/>
              <w:jc w:val="center"/>
              <w:rPr>
                <w:bCs/>
                <w:sz w:val="20"/>
                <w:szCs w:val="20"/>
              </w:rPr>
            </w:pPr>
            <w:r w:rsidRPr="0023156D">
              <w:rPr>
                <w:bCs/>
                <w:sz w:val="20"/>
                <w:szCs w:val="20"/>
              </w:rPr>
              <w:t>5,0</w:t>
            </w:r>
          </w:p>
        </w:tc>
        <w:tc>
          <w:tcPr>
            <w:tcW w:w="1134" w:type="dxa"/>
          </w:tcPr>
          <w:p w:rsidR="00D2086A" w:rsidRPr="0023156D" w:rsidRDefault="00D2086A" w:rsidP="001F2A6D">
            <w:pPr>
              <w:ind w:firstLine="34"/>
              <w:jc w:val="center"/>
              <w:rPr>
                <w:bCs/>
                <w:sz w:val="20"/>
                <w:szCs w:val="20"/>
              </w:rPr>
            </w:pPr>
            <w:r w:rsidRPr="0023156D">
              <w:rPr>
                <w:bCs/>
                <w:sz w:val="20"/>
                <w:szCs w:val="20"/>
              </w:rPr>
              <w:t>13,1</w:t>
            </w:r>
          </w:p>
        </w:tc>
        <w:tc>
          <w:tcPr>
            <w:tcW w:w="1131" w:type="dxa"/>
          </w:tcPr>
          <w:p w:rsidR="00D2086A" w:rsidRPr="0023156D" w:rsidRDefault="00D2086A" w:rsidP="001F2A6D">
            <w:pPr>
              <w:ind w:firstLine="34"/>
              <w:jc w:val="center"/>
              <w:rPr>
                <w:bCs/>
                <w:sz w:val="20"/>
                <w:szCs w:val="20"/>
              </w:rPr>
            </w:pPr>
            <w:r w:rsidRPr="0023156D">
              <w:rPr>
                <w:bCs/>
                <w:sz w:val="20"/>
                <w:szCs w:val="20"/>
              </w:rPr>
              <w:t>+8,1</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9.</w:t>
            </w:r>
          </w:p>
        </w:tc>
        <w:tc>
          <w:tcPr>
            <w:tcW w:w="4680" w:type="dxa"/>
          </w:tcPr>
          <w:p w:rsidR="00D2086A" w:rsidRPr="00570811" w:rsidRDefault="00D2086A" w:rsidP="001F2A6D">
            <w:pPr>
              <w:pStyle w:val="NoSpacing"/>
              <w:tabs>
                <w:tab w:val="left" w:pos="3424"/>
              </w:tabs>
              <w:ind w:right="-110"/>
              <w:rPr>
                <w:sz w:val="20"/>
                <w:szCs w:val="20"/>
              </w:rPr>
            </w:pPr>
            <w:r w:rsidRPr="00570811">
              <w:rPr>
                <w:sz w:val="20"/>
                <w:szCs w:val="20"/>
              </w:rPr>
              <w:t xml:space="preserve">Î.S. Firma Editorial-Poligrafică „Tipografia Centrală” </w:t>
            </w:r>
          </w:p>
        </w:tc>
        <w:tc>
          <w:tcPr>
            <w:tcW w:w="1134" w:type="dxa"/>
          </w:tcPr>
          <w:p w:rsidR="00D2086A" w:rsidRPr="0023156D" w:rsidRDefault="00D2086A" w:rsidP="001F2A6D">
            <w:pPr>
              <w:pStyle w:val="NoSpacing"/>
              <w:ind w:firstLine="34"/>
              <w:jc w:val="center"/>
              <w:rPr>
                <w:sz w:val="20"/>
                <w:szCs w:val="20"/>
              </w:rPr>
            </w:pPr>
            <w:r w:rsidRPr="0023156D">
              <w:rPr>
                <w:sz w:val="20"/>
                <w:szCs w:val="20"/>
              </w:rPr>
              <w:t>13,4</w:t>
            </w:r>
          </w:p>
        </w:tc>
        <w:tc>
          <w:tcPr>
            <w:tcW w:w="1134" w:type="dxa"/>
          </w:tcPr>
          <w:p w:rsidR="00D2086A" w:rsidRPr="0023156D" w:rsidRDefault="00D2086A" w:rsidP="001F2A6D">
            <w:pPr>
              <w:pStyle w:val="NoSpacing"/>
              <w:ind w:firstLine="34"/>
              <w:jc w:val="center"/>
              <w:rPr>
                <w:sz w:val="20"/>
                <w:szCs w:val="20"/>
              </w:rPr>
            </w:pPr>
            <w:r w:rsidRPr="0023156D">
              <w:rPr>
                <w:sz w:val="20"/>
                <w:szCs w:val="20"/>
              </w:rPr>
              <w:t>9,8</w:t>
            </w:r>
          </w:p>
        </w:tc>
        <w:tc>
          <w:tcPr>
            <w:tcW w:w="1131" w:type="dxa"/>
          </w:tcPr>
          <w:p w:rsidR="00D2086A" w:rsidRPr="0023156D" w:rsidRDefault="00D2086A" w:rsidP="001F2A6D">
            <w:pPr>
              <w:pStyle w:val="NoSpacing"/>
              <w:ind w:firstLine="34"/>
              <w:jc w:val="center"/>
              <w:rPr>
                <w:sz w:val="20"/>
                <w:szCs w:val="20"/>
              </w:rPr>
            </w:pPr>
            <w:r w:rsidRPr="0023156D">
              <w:rPr>
                <w:sz w:val="20"/>
                <w:szCs w:val="20"/>
              </w:rPr>
              <w:t>-3,6</w:t>
            </w:r>
          </w:p>
        </w:tc>
        <w:tc>
          <w:tcPr>
            <w:tcW w:w="1276" w:type="dxa"/>
          </w:tcPr>
          <w:p w:rsidR="00D2086A" w:rsidRPr="0023156D" w:rsidRDefault="00D2086A" w:rsidP="001F2A6D">
            <w:pPr>
              <w:pStyle w:val="NoSpacing"/>
              <w:ind w:firstLine="34"/>
              <w:jc w:val="center"/>
              <w:rPr>
                <w:sz w:val="20"/>
                <w:szCs w:val="20"/>
              </w:rPr>
            </w:pPr>
            <w:r w:rsidRPr="0023156D">
              <w:rPr>
                <w:sz w:val="20"/>
                <w:szCs w:val="20"/>
              </w:rPr>
              <w:t>0,3</w:t>
            </w:r>
          </w:p>
        </w:tc>
      </w:tr>
      <w:tr w:rsidR="00D2086A" w:rsidRPr="00DB1CB4" w:rsidTr="00235BF0">
        <w:trPr>
          <w:trHeight w:val="163"/>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10.</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S.A. „Sanfarm Prim”</w:t>
            </w:r>
          </w:p>
        </w:tc>
        <w:tc>
          <w:tcPr>
            <w:tcW w:w="1134" w:type="dxa"/>
          </w:tcPr>
          <w:p w:rsidR="00D2086A" w:rsidRPr="0023156D" w:rsidRDefault="00D2086A" w:rsidP="001F2A6D">
            <w:pPr>
              <w:ind w:firstLine="34"/>
              <w:jc w:val="center"/>
              <w:rPr>
                <w:bCs/>
                <w:sz w:val="20"/>
                <w:szCs w:val="20"/>
              </w:rPr>
            </w:pPr>
            <w:r w:rsidRPr="0023156D">
              <w:rPr>
                <w:bCs/>
                <w:sz w:val="20"/>
                <w:szCs w:val="20"/>
              </w:rPr>
              <w:t>18,1</w:t>
            </w:r>
          </w:p>
        </w:tc>
        <w:tc>
          <w:tcPr>
            <w:tcW w:w="1134" w:type="dxa"/>
          </w:tcPr>
          <w:p w:rsidR="00D2086A" w:rsidRPr="0023156D" w:rsidRDefault="00D2086A" w:rsidP="001F2A6D">
            <w:pPr>
              <w:ind w:firstLine="34"/>
              <w:jc w:val="center"/>
              <w:rPr>
                <w:bCs/>
                <w:sz w:val="20"/>
                <w:szCs w:val="20"/>
              </w:rPr>
            </w:pPr>
            <w:r w:rsidRPr="0023156D">
              <w:rPr>
                <w:bCs/>
                <w:sz w:val="20"/>
                <w:szCs w:val="20"/>
              </w:rPr>
              <w:t>5,9</w:t>
            </w:r>
          </w:p>
        </w:tc>
        <w:tc>
          <w:tcPr>
            <w:tcW w:w="1131" w:type="dxa"/>
          </w:tcPr>
          <w:p w:rsidR="00D2086A" w:rsidRPr="0023156D" w:rsidRDefault="00D2086A" w:rsidP="001F2A6D">
            <w:pPr>
              <w:ind w:firstLine="34"/>
              <w:jc w:val="center"/>
              <w:rPr>
                <w:bCs/>
                <w:sz w:val="20"/>
                <w:szCs w:val="20"/>
              </w:rPr>
            </w:pPr>
            <w:r w:rsidRPr="0023156D">
              <w:rPr>
                <w:bCs/>
                <w:sz w:val="20"/>
                <w:szCs w:val="20"/>
              </w:rPr>
              <w:t>-12,2</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pStyle w:val="NoSpacing"/>
              <w:ind w:left="32" w:right="-107"/>
              <w:jc w:val="center"/>
              <w:rPr>
                <w:sz w:val="20"/>
                <w:szCs w:val="20"/>
              </w:rPr>
            </w:pPr>
            <w:r w:rsidRPr="00916D6C">
              <w:rPr>
                <w:sz w:val="20"/>
                <w:szCs w:val="20"/>
              </w:rPr>
              <w:t>11.</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S.A. „Răut”</w:t>
            </w:r>
          </w:p>
        </w:tc>
        <w:tc>
          <w:tcPr>
            <w:tcW w:w="1134" w:type="dxa"/>
          </w:tcPr>
          <w:p w:rsidR="00D2086A" w:rsidRPr="0023156D" w:rsidRDefault="00D2086A" w:rsidP="001F2A6D">
            <w:pPr>
              <w:ind w:firstLine="34"/>
              <w:jc w:val="center"/>
              <w:rPr>
                <w:bCs/>
                <w:sz w:val="20"/>
                <w:szCs w:val="20"/>
              </w:rPr>
            </w:pPr>
            <w:r w:rsidRPr="0023156D">
              <w:rPr>
                <w:bCs/>
                <w:sz w:val="20"/>
                <w:szCs w:val="20"/>
              </w:rPr>
              <w:t>7,1</w:t>
            </w:r>
          </w:p>
        </w:tc>
        <w:tc>
          <w:tcPr>
            <w:tcW w:w="1134" w:type="dxa"/>
          </w:tcPr>
          <w:p w:rsidR="00D2086A" w:rsidRPr="0023156D" w:rsidRDefault="00D2086A" w:rsidP="001F2A6D">
            <w:pPr>
              <w:ind w:firstLine="34"/>
              <w:jc w:val="center"/>
              <w:rPr>
                <w:bCs/>
                <w:sz w:val="20"/>
                <w:szCs w:val="20"/>
              </w:rPr>
            </w:pPr>
            <w:r w:rsidRPr="0023156D">
              <w:rPr>
                <w:bCs/>
                <w:sz w:val="20"/>
                <w:szCs w:val="20"/>
              </w:rPr>
              <w:t>5,1</w:t>
            </w:r>
          </w:p>
        </w:tc>
        <w:tc>
          <w:tcPr>
            <w:tcW w:w="1131" w:type="dxa"/>
          </w:tcPr>
          <w:p w:rsidR="00D2086A" w:rsidRPr="0023156D" w:rsidRDefault="00D2086A" w:rsidP="001F2A6D">
            <w:pPr>
              <w:ind w:firstLine="34"/>
              <w:jc w:val="center"/>
              <w:rPr>
                <w:bCs/>
                <w:sz w:val="20"/>
                <w:szCs w:val="20"/>
              </w:rPr>
            </w:pPr>
            <w:r w:rsidRPr="0023156D">
              <w:rPr>
                <w:bCs/>
                <w:sz w:val="20"/>
                <w:szCs w:val="20"/>
              </w:rPr>
              <w:t>-2,0</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163"/>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12.</w:t>
            </w:r>
          </w:p>
        </w:tc>
        <w:tc>
          <w:tcPr>
            <w:tcW w:w="4680" w:type="dxa"/>
          </w:tcPr>
          <w:p w:rsidR="00D2086A" w:rsidRPr="00570811" w:rsidRDefault="00D2086A" w:rsidP="001F2A6D">
            <w:pPr>
              <w:pStyle w:val="NoSpacing"/>
              <w:tabs>
                <w:tab w:val="left" w:pos="3424"/>
              </w:tabs>
              <w:ind w:right="-110"/>
              <w:rPr>
                <w:sz w:val="20"/>
                <w:szCs w:val="20"/>
              </w:rPr>
            </w:pPr>
            <w:r w:rsidRPr="00570811">
              <w:rPr>
                <w:sz w:val="20"/>
                <w:szCs w:val="20"/>
              </w:rPr>
              <w:t>Î.S. Editura „Universul”</w:t>
            </w:r>
          </w:p>
        </w:tc>
        <w:tc>
          <w:tcPr>
            <w:tcW w:w="1134" w:type="dxa"/>
          </w:tcPr>
          <w:p w:rsidR="00D2086A" w:rsidRPr="0023156D" w:rsidRDefault="00D2086A" w:rsidP="001F2A6D">
            <w:pPr>
              <w:pStyle w:val="NoSpacing"/>
              <w:ind w:firstLine="34"/>
              <w:jc w:val="center"/>
              <w:rPr>
                <w:sz w:val="20"/>
                <w:szCs w:val="20"/>
              </w:rPr>
            </w:pPr>
            <w:r w:rsidRPr="0023156D">
              <w:rPr>
                <w:sz w:val="20"/>
                <w:szCs w:val="20"/>
              </w:rPr>
              <w:t>5,5</w:t>
            </w:r>
          </w:p>
        </w:tc>
        <w:tc>
          <w:tcPr>
            <w:tcW w:w="1134" w:type="dxa"/>
          </w:tcPr>
          <w:p w:rsidR="00D2086A" w:rsidRPr="0023156D" w:rsidRDefault="00D2086A" w:rsidP="001F2A6D">
            <w:pPr>
              <w:pStyle w:val="NoSpacing"/>
              <w:ind w:firstLine="34"/>
              <w:jc w:val="center"/>
              <w:rPr>
                <w:sz w:val="20"/>
                <w:szCs w:val="20"/>
              </w:rPr>
            </w:pPr>
            <w:r w:rsidRPr="0023156D">
              <w:rPr>
                <w:sz w:val="20"/>
                <w:szCs w:val="20"/>
              </w:rPr>
              <w:t>5,2</w:t>
            </w:r>
          </w:p>
        </w:tc>
        <w:tc>
          <w:tcPr>
            <w:tcW w:w="1131" w:type="dxa"/>
          </w:tcPr>
          <w:p w:rsidR="00D2086A" w:rsidRPr="0023156D" w:rsidRDefault="00D2086A" w:rsidP="001F2A6D">
            <w:pPr>
              <w:pStyle w:val="NoSpacing"/>
              <w:ind w:firstLine="34"/>
              <w:jc w:val="center"/>
              <w:rPr>
                <w:sz w:val="20"/>
                <w:szCs w:val="20"/>
              </w:rPr>
            </w:pPr>
            <w:r w:rsidRPr="0023156D">
              <w:rPr>
                <w:sz w:val="20"/>
                <w:szCs w:val="20"/>
              </w:rPr>
              <w:t>-0,3</w:t>
            </w:r>
          </w:p>
        </w:tc>
        <w:tc>
          <w:tcPr>
            <w:tcW w:w="1276" w:type="dxa"/>
          </w:tcPr>
          <w:p w:rsidR="00D2086A" w:rsidRPr="0023156D" w:rsidRDefault="00D2086A" w:rsidP="001F2A6D">
            <w:pPr>
              <w:pStyle w:val="NoSpacing"/>
              <w:ind w:firstLine="34"/>
              <w:jc w:val="center"/>
              <w:rPr>
                <w:sz w:val="20"/>
                <w:szCs w:val="20"/>
              </w:rPr>
            </w:pPr>
            <w:r w:rsidRPr="0023156D">
              <w:rPr>
                <w:sz w:val="20"/>
                <w:szCs w:val="20"/>
              </w:rPr>
              <w:t>5,2</w:t>
            </w:r>
          </w:p>
        </w:tc>
      </w:tr>
      <w:tr w:rsidR="00D2086A" w:rsidRPr="00DB1CB4" w:rsidTr="00235BF0">
        <w:trPr>
          <w:trHeight w:val="62"/>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13.</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Î.S. Combinatul de vinuri de calitate „Mileștii Mici”</w:t>
            </w:r>
          </w:p>
        </w:tc>
        <w:tc>
          <w:tcPr>
            <w:tcW w:w="1134" w:type="dxa"/>
          </w:tcPr>
          <w:p w:rsidR="00D2086A" w:rsidRPr="0023156D" w:rsidRDefault="00D2086A" w:rsidP="001F2A6D">
            <w:pPr>
              <w:ind w:firstLine="34"/>
              <w:jc w:val="center"/>
              <w:rPr>
                <w:bCs/>
                <w:sz w:val="20"/>
                <w:szCs w:val="20"/>
              </w:rPr>
            </w:pPr>
            <w:r w:rsidRPr="0023156D">
              <w:rPr>
                <w:bCs/>
                <w:sz w:val="20"/>
                <w:szCs w:val="20"/>
              </w:rPr>
              <w:t>-</w:t>
            </w:r>
          </w:p>
        </w:tc>
        <w:tc>
          <w:tcPr>
            <w:tcW w:w="1134" w:type="dxa"/>
          </w:tcPr>
          <w:p w:rsidR="00D2086A" w:rsidRPr="0023156D" w:rsidRDefault="00D2086A" w:rsidP="001F2A6D">
            <w:pPr>
              <w:ind w:firstLine="34"/>
              <w:jc w:val="center"/>
              <w:rPr>
                <w:bCs/>
                <w:sz w:val="20"/>
                <w:szCs w:val="20"/>
              </w:rPr>
            </w:pPr>
            <w:r w:rsidRPr="0023156D">
              <w:rPr>
                <w:bCs/>
                <w:sz w:val="20"/>
                <w:szCs w:val="20"/>
              </w:rPr>
              <w:t>1,8</w:t>
            </w:r>
          </w:p>
        </w:tc>
        <w:tc>
          <w:tcPr>
            <w:tcW w:w="1131" w:type="dxa"/>
          </w:tcPr>
          <w:p w:rsidR="00D2086A" w:rsidRPr="0023156D" w:rsidRDefault="00D2086A" w:rsidP="001F2A6D">
            <w:pPr>
              <w:ind w:firstLine="34"/>
              <w:jc w:val="center"/>
              <w:rPr>
                <w:bCs/>
                <w:sz w:val="20"/>
                <w:szCs w:val="20"/>
              </w:rPr>
            </w:pPr>
            <w:r w:rsidRPr="0023156D">
              <w:rPr>
                <w:bCs/>
                <w:sz w:val="20"/>
                <w:szCs w:val="20"/>
              </w:rPr>
              <w:t>+1,8</w:t>
            </w:r>
          </w:p>
        </w:tc>
        <w:tc>
          <w:tcPr>
            <w:tcW w:w="1276" w:type="dxa"/>
          </w:tcPr>
          <w:p w:rsidR="00D2086A" w:rsidRPr="0023156D" w:rsidRDefault="00D2086A" w:rsidP="001F2A6D">
            <w:pPr>
              <w:ind w:firstLine="34"/>
              <w:jc w:val="center"/>
              <w:rPr>
                <w:bCs/>
                <w:sz w:val="20"/>
                <w:szCs w:val="20"/>
              </w:rPr>
            </w:pPr>
            <w:r w:rsidRPr="0023156D">
              <w:rPr>
                <w:bCs/>
                <w:sz w:val="20"/>
                <w:szCs w:val="20"/>
              </w:rPr>
              <w:t>0,9</w:t>
            </w:r>
          </w:p>
        </w:tc>
      </w:tr>
      <w:tr w:rsidR="00D2086A" w:rsidRPr="00DB1CB4" w:rsidTr="00235BF0">
        <w:trPr>
          <w:trHeight w:val="62"/>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14.</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Î.S. „Cartuș”</w:t>
            </w:r>
          </w:p>
        </w:tc>
        <w:tc>
          <w:tcPr>
            <w:tcW w:w="1134" w:type="dxa"/>
          </w:tcPr>
          <w:p w:rsidR="00D2086A" w:rsidRPr="0023156D" w:rsidRDefault="00D2086A" w:rsidP="001F2A6D">
            <w:pPr>
              <w:ind w:firstLine="34"/>
              <w:jc w:val="center"/>
              <w:rPr>
                <w:bCs/>
                <w:sz w:val="20"/>
                <w:szCs w:val="20"/>
              </w:rPr>
            </w:pPr>
            <w:r w:rsidRPr="0023156D">
              <w:rPr>
                <w:bCs/>
                <w:sz w:val="20"/>
                <w:szCs w:val="20"/>
              </w:rPr>
              <w:t>1,6</w:t>
            </w:r>
          </w:p>
        </w:tc>
        <w:tc>
          <w:tcPr>
            <w:tcW w:w="1134" w:type="dxa"/>
          </w:tcPr>
          <w:p w:rsidR="00D2086A" w:rsidRPr="0023156D" w:rsidRDefault="00D2086A" w:rsidP="001F2A6D">
            <w:pPr>
              <w:ind w:firstLine="34"/>
              <w:jc w:val="center"/>
              <w:rPr>
                <w:bCs/>
                <w:sz w:val="20"/>
                <w:szCs w:val="20"/>
              </w:rPr>
            </w:pPr>
            <w:r w:rsidRPr="0023156D">
              <w:rPr>
                <w:bCs/>
                <w:sz w:val="20"/>
                <w:szCs w:val="20"/>
              </w:rPr>
              <w:t>0,5</w:t>
            </w:r>
          </w:p>
        </w:tc>
        <w:tc>
          <w:tcPr>
            <w:tcW w:w="1131" w:type="dxa"/>
          </w:tcPr>
          <w:p w:rsidR="00D2086A" w:rsidRPr="0023156D" w:rsidRDefault="00D2086A" w:rsidP="001F2A6D">
            <w:pPr>
              <w:ind w:firstLine="34"/>
              <w:jc w:val="center"/>
              <w:rPr>
                <w:bCs/>
                <w:sz w:val="20"/>
                <w:szCs w:val="20"/>
              </w:rPr>
            </w:pPr>
            <w:r w:rsidRPr="0023156D">
              <w:rPr>
                <w:bCs/>
                <w:sz w:val="20"/>
                <w:szCs w:val="20"/>
              </w:rPr>
              <w:t>-1,1</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62"/>
          <w:jc w:val="center"/>
        </w:trPr>
        <w:tc>
          <w:tcPr>
            <w:tcW w:w="421" w:type="dxa"/>
            <w:noWrap/>
            <w:vAlign w:val="center"/>
          </w:tcPr>
          <w:p w:rsidR="00D2086A" w:rsidRPr="00916D6C" w:rsidRDefault="00D2086A" w:rsidP="001F2A6D">
            <w:pPr>
              <w:ind w:left="32" w:right="-107"/>
              <w:jc w:val="center"/>
              <w:rPr>
                <w:sz w:val="20"/>
                <w:szCs w:val="20"/>
              </w:rPr>
            </w:pPr>
            <w:r w:rsidRPr="00916D6C">
              <w:rPr>
                <w:sz w:val="20"/>
                <w:szCs w:val="20"/>
              </w:rPr>
              <w:t>15.</w:t>
            </w:r>
          </w:p>
        </w:tc>
        <w:tc>
          <w:tcPr>
            <w:tcW w:w="4680" w:type="dxa"/>
          </w:tcPr>
          <w:p w:rsidR="00D2086A" w:rsidRPr="00570811" w:rsidRDefault="00D2086A" w:rsidP="001F2A6D">
            <w:pPr>
              <w:tabs>
                <w:tab w:val="left" w:pos="3424"/>
              </w:tabs>
              <w:ind w:right="-110"/>
              <w:rPr>
                <w:bCs/>
                <w:sz w:val="20"/>
                <w:szCs w:val="20"/>
              </w:rPr>
            </w:pPr>
            <w:r w:rsidRPr="00570811">
              <w:rPr>
                <w:bCs/>
                <w:sz w:val="20"/>
                <w:szCs w:val="20"/>
              </w:rPr>
              <w:t>Î.S. „Russca”</w:t>
            </w:r>
          </w:p>
        </w:tc>
        <w:tc>
          <w:tcPr>
            <w:tcW w:w="1134" w:type="dxa"/>
          </w:tcPr>
          <w:p w:rsidR="00D2086A" w:rsidRPr="0023156D" w:rsidRDefault="00D2086A" w:rsidP="001F2A6D">
            <w:pPr>
              <w:ind w:firstLine="34"/>
              <w:jc w:val="center"/>
              <w:rPr>
                <w:bCs/>
                <w:sz w:val="20"/>
                <w:szCs w:val="20"/>
              </w:rPr>
            </w:pPr>
            <w:r w:rsidRPr="0023156D">
              <w:rPr>
                <w:bCs/>
                <w:sz w:val="20"/>
                <w:szCs w:val="20"/>
              </w:rPr>
              <w:t>-</w:t>
            </w:r>
          </w:p>
        </w:tc>
        <w:tc>
          <w:tcPr>
            <w:tcW w:w="1134" w:type="dxa"/>
          </w:tcPr>
          <w:p w:rsidR="00D2086A" w:rsidRPr="0023156D" w:rsidRDefault="00D2086A" w:rsidP="001F2A6D">
            <w:pPr>
              <w:ind w:firstLine="34"/>
              <w:jc w:val="center"/>
              <w:rPr>
                <w:bCs/>
                <w:sz w:val="20"/>
                <w:szCs w:val="20"/>
              </w:rPr>
            </w:pPr>
            <w:r w:rsidRPr="0023156D">
              <w:rPr>
                <w:bCs/>
                <w:sz w:val="20"/>
                <w:szCs w:val="20"/>
              </w:rPr>
              <w:t>0,08</w:t>
            </w:r>
          </w:p>
        </w:tc>
        <w:tc>
          <w:tcPr>
            <w:tcW w:w="1131" w:type="dxa"/>
          </w:tcPr>
          <w:p w:rsidR="00D2086A" w:rsidRPr="0023156D" w:rsidRDefault="00D2086A" w:rsidP="001F2A6D">
            <w:pPr>
              <w:ind w:firstLine="34"/>
              <w:jc w:val="center"/>
              <w:rPr>
                <w:bCs/>
                <w:sz w:val="20"/>
                <w:szCs w:val="20"/>
              </w:rPr>
            </w:pPr>
            <w:r w:rsidRPr="0023156D">
              <w:rPr>
                <w:bCs/>
                <w:sz w:val="20"/>
                <w:szCs w:val="20"/>
              </w:rPr>
              <w:t>+0,08</w:t>
            </w:r>
          </w:p>
        </w:tc>
        <w:tc>
          <w:tcPr>
            <w:tcW w:w="1276" w:type="dxa"/>
          </w:tcPr>
          <w:p w:rsidR="00D2086A" w:rsidRPr="0023156D" w:rsidRDefault="00D2086A" w:rsidP="001F2A6D">
            <w:pPr>
              <w:ind w:firstLine="34"/>
              <w:jc w:val="center"/>
              <w:rPr>
                <w:bCs/>
                <w:sz w:val="20"/>
                <w:szCs w:val="20"/>
              </w:rPr>
            </w:pPr>
            <w:r w:rsidRPr="0023156D">
              <w:rPr>
                <w:bCs/>
                <w:sz w:val="20"/>
                <w:szCs w:val="20"/>
              </w:rPr>
              <w:t>-</w:t>
            </w: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p>
        </w:tc>
        <w:tc>
          <w:tcPr>
            <w:tcW w:w="4680" w:type="dxa"/>
          </w:tcPr>
          <w:p w:rsidR="00D2086A" w:rsidRPr="007B293F" w:rsidRDefault="00D2086A" w:rsidP="001F2A6D">
            <w:pPr>
              <w:tabs>
                <w:tab w:val="left" w:pos="3424"/>
              </w:tabs>
              <w:ind w:right="-110"/>
              <w:rPr>
                <w:b/>
                <w:bCs/>
                <w:sz w:val="20"/>
                <w:szCs w:val="20"/>
              </w:rPr>
            </w:pPr>
            <w:r w:rsidRPr="007B293F">
              <w:rPr>
                <w:b/>
                <w:bCs/>
                <w:sz w:val="20"/>
                <w:szCs w:val="20"/>
              </w:rPr>
              <w:t>TOTAL:</w:t>
            </w:r>
          </w:p>
        </w:tc>
        <w:tc>
          <w:tcPr>
            <w:tcW w:w="1134" w:type="dxa"/>
          </w:tcPr>
          <w:p w:rsidR="00D2086A" w:rsidRPr="0023156D" w:rsidRDefault="00D2086A" w:rsidP="001F2A6D">
            <w:pPr>
              <w:ind w:firstLine="34"/>
              <w:jc w:val="center"/>
              <w:rPr>
                <w:b/>
                <w:bCs/>
                <w:sz w:val="20"/>
                <w:szCs w:val="20"/>
                <w:lang w:val="ro-MD"/>
              </w:rPr>
            </w:pPr>
            <w:r w:rsidRPr="0023156D">
              <w:rPr>
                <w:b/>
                <w:bCs/>
                <w:sz w:val="20"/>
                <w:szCs w:val="20"/>
              </w:rPr>
              <w:t>1506,7</w:t>
            </w:r>
          </w:p>
        </w:tc>
        <w:tc>
          <w:tcPr>
            <w:tcW w:w="1134" w:type="dxa"/>
          </w:tcPr>
          <w:p w:rsidR="00D2086A" w:rsidRPr="0023156D" w:rsidRDefault="00D2086A" w:rsidP="001F2A6D">
            <w:pPr>
              <w:ind w:firstLine="34"/>
              <w:jc w:val="center"/>
              <w:rPr>
                <w:b/>
                <w:bCs/>
                <w:sz w:val="20"/>
                <w:szCs w:val="20"/>
              </w:rPr>
            </w:pPr>
            <w:r w:rsidRPr="0023156D">
              <w:rPr>
                <w:b/>
                <w:bCs/>
                <w:sz w:val="20"/>
                <w:szCs w:val="20"/>
              </w:rPr>
              <w:t>1285,88</w:t>
            </w:r>
          </w:p>
        </w:tc>
        <w:tc>
          <w:tcPr>
            <w:tcW w:w="1131" w:type="dxa"/>
          </w:tcPr>
          <w:p w:rsidR="00D2086A" w:rsidRPr="0023156D" w:rsidRDefault="00D2086A" w:rsidP="001F2A6D">
            <w:pPr>
              <w:ind w:firstLine="34"/>
              <w:jc w:val="center"/>
              <w:rPr>
                <w:b/>
                <w:bCs/>
                <w:sz w:val="20"/>
                <w:szCs w:val="20"/>
              </w:rPr>
            </w:pPr>
            <w:r w:rsidRPr="0023156D">
              <w:rPr>
                <w:b/>
                <w:bCs/>
                <w:sz w:val="20"/>
                <w:szCs w:val="20"/>
              </w:rPr>
              <w:t>-220,82</w:t>
            </w:r>
          </w:p>
        </w:tc>
        <w:tc>
          <w:tcPr>
            <w:tcW w:w="1276" w:type="dxa"/>
          </w:tcPr>
          <w:p w:rsidR="00D2086A" w:rsidRPr="0023156D" w:rsidRDefault="00D2086A" w:rsidP="001F2A6D">
            <w:pPr>
              <w:ind w:firstLine="34"/>
              <w:jc w:val="center"/>
              <w:rPr>
                <w:b/>
                <w:bCs/>
                <w:sz w:val="20"/>
                <w:szCs w:val="20"/>
              </w:rPr>
            </w:pPr>
            <w:r w:rsidRPr="0023156D">
              <w:rPr>
                <w:b/>
                <w:bCs/>
                <w:sz w:val="20"/>
                <w:szCs w:val="20"/>
              </w:rPr>
              <w:t>26,9</w:t>
            </w: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p>
        </w:tc>
        <w:tc>
          <w:tcPr>
            <w:tcW w:w="4680" w:type="dxa"/>
          </w:tcPr>
          <w:p w:rsidR="00D2086A" w:rsidRPr="007B293F" w:rsidRDefault="00D2086A" w:rsidP="001F2A6D">
            <w:pPr>
              <w:tabs>
                <w:tab w:val="left" w:pos="3424"/>
              </w:tabs>
              <w:ind w:right="-110"/>
              <w:rPr>
                <w:b/>
                <w:bCs/>
                <w:sz w:val="20"/>
                <w:szCs w:val="20"/>
              </w:rPr>
            </w:pPr>
            <w:r w:rsidRPr="007B293F">
              <w:rPr>
                <w:b/>
                <w:bCs/>
                <w:sz w:val="20"/>
                <w:szCs w:val="20"/>
              </w:rPr>
              <w:t>Entită</w:t>
            </w:r>
            <w:r>
              <w:rPr>
                <w:b/>
                <w:bCs/>
                <w:sz w:val="20"/>
                <w:szCs w:val="20"/>
              </w:rPr>
              <w:t>ț</w:t>
            </w:r>
            <w:r w:rsidRPr="007B293F">
              <w:rPr>
                <w:b/>
                <w:bCs/>
                <w:sz w:val="20"/>
                <w:szCs w:val="20"/>
              </w:rPr>
              <w:t>i în procedura insolvabilită</w:t>
            </w:r>
            <w:r>
              <w:rPr>
                <w:b/>
                <w:bCs/>
                <w:sz w:val="20"/>
                <w:szCs w:val="20"/>
              </w:rPr>
              <w:t>ț</w:t>
            </w:r>
            <w:r w:rsidRPr="007B293F">
              <w:rPr>
                <w:b/>
                <w:bCs/>
                <w:sz w:val="20"/>
                <w:szCs w:val="20"/>
              </w:rPr>
              <w:t>ii:</w:t>
            </w:r>
          </w:p>
        </w:tc>
        <w:tc>
          <w:tcPr>
            <w:tcW w:w="1134" w:type="dxa"/>
          </w:tcPr>
          <w:p w:rsidR="00D2086A" w:rsidRPr="0023156D" w:rsidRDefault="00D2086A" w:rsidP="001F2A6D">
            <w:pPr>
              <w:ind w:firstLine="34"/>
              <w:jc w:val="center"/>
              <w:rPr>
                <w:bCs/>
                <w:sz w:val="20"/>
                <w:szCs w:val="20"/>
              </w:rPr>
            </w:pPr>
          </w:p>
        </w:tc>
        <w:tc>
          <w:tcPr>
            <w:tcW w:w="1134" w:type="dxa"/>
          </w:tcPr>
          <w:p w:rsidR="00D2086A" w:rsidRPr="0023156D" w:rsidRDefault="00D2086A" w:rsidP="001F2A6D">
            <w:pPr>
              <w:ind w:firstLine="34"/>
              <w:jc w:val="center"/>
              <w:rPr>
                <w:bCs/>
                <w:sz w:val="20"/>
                <w:szCs w:val="20"/>
              </w:rPr>
            </w:pPr>
          </w:p>
        </w:tc>
        <w:tc>
          <w:tcPr>
            <w:tcW w:w="1131" w:type="dxa"/>
          </w:tcPr>
          <w:p w:rsidR="00D2086A" w:rsidRPr="0023156D" w:rsidRDefault="00D2086A" w:rsidP="001F2A6D">
            <w:pPr>
              <w:ind w:firstLine="34"/>
              <w:jc w:val="center"/>
              <w:rPr>
                <w:bCs/>
                <w:sz w:val="20"/>
                <w:szCs w:val="20"/>
              </w:rPr>
            </w:pPr>
          </w:p>
        </w:tc>
        <w:tc>
          <w:tcPr>
            <w:tcW w:w="1276" w:type="dxa"/>
          </w:tcPr>
          <w:p w:rsidR="00D2086A" w:rsidRPr="0023156D" w:rsidRDefault="00D2086A" w:rsidP="001F2A6D">
            <w:pPr>
              <w:ind w:firstLine="34"/>
              <w:jc w:val="center"/>
              <w:rPr>
                <w:bCs/>
                <w:sz w:val="20"/>
                <w:szCs w:val="20"/>
              </w:rPr>
            </w:pP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r w:rsidRPr="007B293F">
              <w:rPr>
                <w:sz w:val="20"/>
                <w:szCs w:val="20"/>
              </w:rPr>
              <w:t>1.</w:t>
            </w:r>
          </w:p>
        </w:tc>
        <w:tc>
          <w:tcPr>
            <w:tcW w:w="4680" w:type="dxa"/>
          </w:tcPr>
          <w:p w:rsidR="00D2086A" w:rsidRPr="007B293F" w:rsidRDefault="00D2086A" w:rsidP="001F2A6D">
            <w:pPr>
              <w:tabs>
                <w:tab w:val="left" w:pos="3424"/>
              </w:tabs>
              <w:ind w:right="-110"/>
              <w:rPr>
                <w:sz w:val="20"/>
                <w:szCs w:val="20"/>
              </w:rPr>
            </w:pPr>
            <w:r w:rsidRPr="007B293F">
              <w:rPr>
                <w:sz w:val="20"/>
                <w:szCs w:val="20"/>
              </w:rPr>
              <w:t>S.A. „Aroma” (procedura planului)</w:t>
            </w:r>
          </w:p>
        </w:tc>
        <w:tc>
          <w:tcPr>
            <w:tcW w:w="1134" w:type="dxa"/>
          </w:tcPr>
          <w:p w:rsidR="00D2086A" w:rsidRPr="0023156D" w:rsidRDefault="00D2086A" w:rsidP="001F2A6D">
            <w:pPr>
              <w:ind w:firstLine="34"/>
              <w:jc w:val="center"/>
              <w:rPr>
                <w:sz w:val="20"/>
                <w:szCs w:val="20"/>
              </w:rPr>
            </w:pPr>
            <w:r w:rsidRPr="0023156D">
              <w:rPr>
                <w:sz w:val="20"/>
                <w:szCs w:val="20"/>
              </w:rPr>
              <w:t>104,9</w:t>
            </w:r>
          </w:p>
        </w:tc>
        <w:tc>
          <w:tcPr>
            <w:tcW w:w="1134" w:type="dxa"/>
          </w:tcPr>
          <w:p w:rsidR="00D2086A" w:rsidRPr="0023156D" w:rsidRDefault="00D2086A" w:rsidP="001F2A6D">
            <w:pPr>
              <w:ind w:firstLine="34"/>
              <w:jc w:val="center"/>
              <w:rPr>
                <w:sz w:val="20"/>
                <w:szCs w:val="20"/>
              </w:rPr>
            </w:pPr>
            <w:r w:rsidRPr="0023156D">
              <w:rPr>
                <w:sz w:val="20"/>
                <w:szCs w:val="20"/>
              </w:rPr>
              <w:t>78,9</w:t>
            </w:r>
          </w:p>
        </w:tc>
        <w:tc>
          <w:tcPr>
            <w:tcW w:w="1131" w:type="dxa"/>
          </w:tcPr>
          <w:p w:rsidR="00D2086A" w:rsidRPr="0023156D" w:rsidRDefault="00D2086A" w:rsidP="001F2A6D">
            <w:pPr>
              <w:ind w:firstLine="34"/>
              <w:jc w:val="center"/>
              <w:rPr>
                <w:sz w:val="20"/>
                <w:szCs w:val="20"/>
              </w:rPr>
            </w:pPr>
            <w:r w:rsidRPr="0023156D">
              <w:rPr>
                <w:sz w:val="20"/>
                <w:szCs w:val="20"/>
              </w:rPr>
              <w:t>-26,0</w:t>
            </w:r>
          </w:p>
        </w:tc>
        <w:tc>
          <w:tcPr>
            <w:tcW w:w="1276" w:type="dxa"/>
          </w:tcPr>
          <w:p w:rsidR="00D2086A" w:rsidRPr="0023156D" w:rsidRDefault="00D2086A" w:rsidP="001F2A6D">
            <w:pPr>
              <w:ind w:firstLine="34"/>
              <w:jc w:val="center"/>
              <w:rPr>
                <w:sz w:val="20"/>
                <w:szCs w:val="20"/>
              </w:rPr>
            </w:pPr>
            <w:r w:rsidRPr="0023156D">
              <w:rPr>
                <w:sz w:val="20"/>
                <w:szCs w:val="20"/>
              </w:rPr>
              <w:t>72,7</w:t>
            </w: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r w:rsidRPr="007B293F">
              <w:rPr>
                <w:sz w:val="20"/>
                <w:szCs w:val="20"/>
              </w:rPr>
              <w:t>2.</w:t>
            </w:r>
          </w:p>
        </w:tc>
        <w:tc>
          <w:tcPr>
            <w:tcW w:w="4680" w:type="dxa"/>
          </w:tcPr>
          <w:p w:rsidR="00D2086A" w:rsidRPr="007B293F" w:rsidRDefault="00D2086A" w:rsidP="001F2A6D">
            <w:pPr>
              <w:tabs>
                <w:tab w:val="left" w:pos="3424"/>
              </w:tabs>
              <w:ind w:right="-110"/>
              <w:rPr>
                <w:sz w:val="20"/>
                <w:szCs w:val="20"/>
              </w:rPr>
            </w:pPr>
            <w:r w:rsidRPr="007B293F">
              <w:rPr>
                <w:sz w:val="20"/>
                <w:szCs w:val="20"/>
              </w:rPr>
              <w:t>Î.S. „Moldresurse”</w:t>
            </w:r>
          </w:p>
        </w:tc>
        <w:tc>
          <w:tcPr>
            <w:tcW w:w="1134" w:type="dxa"/>
          </w:tcPr>
          <w:p w:rsidR="00D2086A" w:rsidRPr="0023156D" w:rsidRDefault="00D2086A" w:rsidP="001F2A6D">
            <w:pPr>
              <w:pStyle w:val="NoSpacing"/>
              <w:ind w:firstLine="34"/>
              <w:jc w:val="center"/>
              <w:rPr>
                <w:sz w:val="20"/>
                <w:szCs w:val="20"/>
              </w:rPr>
            </w:pPr>
            <w:r w:rsidRPr="0023156D">
              <w:rPr>
                <w:sz w:val="20"/>
                <w:szCs w:val="20"/>
              </w:rPr>
              <w:t>71,5</w:t>
            </w:r>
          </w:p>
        </w:tc>
        <w:tc>
          <w:tcPr>
            <w:tcW w:w="1134" w:type="dxa"/>
          </w:tcPr>
          <w:p w:rsidR="00D2086A" w:rsidRPr="0023156D" w:rsidRDefault="00D2086A" w:rsidP="001F2A6D">
            <w:pPr>
              <w:pStyle w:val="NoSpacing"/>
              <w:ind w:firstLine="34"/>
              <w:jc w:val="center"/>
              <w:rPr>
                <w:sz w:val="20"/>
                <w:szCs w:val="20"/>
              </w:rPr>
            </w:pPr>
            <w:r w:rsidRPr="0023156D">
              <w:rPr>
                <w:sz w:val="20"/>
                <w:szCs w:val="20"/>
              </w:rPr>
              <w:t>71,5</w:t>
            </w:r>
          </w:p>
        </w:tc>
        <w:tc>
          <w:tcPr>
            <w:tcW w:w="1131" w:type="dxa"/>
          </w:tcPr>
          <w:p w:rsidR="00D2086A" w:rsidRPr="0023156D" w:rsidRDefault="00D2086A" w:rsidP="001F2A6D">
            <w:pPr>
              <w:pStyle w:val="NoSpacing"/>
              <w:ind w:firstLine="34"/>
              <w:jc w:val="center"/>
              <w:rPr>
                <w:sz w:val="20"/>
                <w:szCs w:val="20"/>
              </w:rPr>
            </w:pPr>
            <w:r w:rsidRPr="0023156D">
              <w:rPr>
                <w:sz w:val="20"/>
                <w:szCs w:val="20"/>
              </w:rPr>
              <w:t>-</w:t>
            </w:r>
          </w:p>
        </w:tc>
        <w:tc>
          <w:tcPr>
            <w:tcW w:w="1276" w:type="dxa"/>
          </w:tcPr>
          <w:p w:rsidR="00D2086A" w:rsidRPr="0023156D" w:rsidRDefault="00D2086A" w:rsidP="001F2A6D">
            <w:pPr>
              <w:pStyle w:val="NoSpacing"/>
              <w:ind w:firstLine="34"/>
              <w:jc w:val="center"/>
              <w:rPr>
                <w:sz w:val="20"/>
                <w:szCs w:val="20"/>
              </w:rPr>
            </w:pPr>
            <w:r w:rsidRPr="0023156D">
              <w:rPr>
                <w:sz w:val="20"/>
                <w:szCs w:val="20"/>
              </w:rPr>
              <w:t>71,5</w:t>
            </w: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r w:rsidRPr="007B293F">
              <w:rPr>
                <w:sz w:val="20"/>
                <w:szCs w:val="20"/>
              </w:rPr>
              <w:t>3.</w:t>
            </w:r>
          </w:p>
        </w:tc>
        <w:tc>
          <w:tcPr>
            <w:tcW w:w="4680" w:type="dxa"/>
          </w:tcPr>
          <w:p w:rsidR="00D2086A" w:rsidRPr="007B293F" w:rsidRDefault="00D2086A" w:rsidP="001F2A6D">
            <w:pPr>
              <w:tabs>
                <w:tab w:val="left" w:pos="3424"/>
              </w:tabs>
              <w:ind w:right="-110"/>
              <w:rPr>
                <w:sz w:val="20"/>
                <w:szCs w:val="20"/>
              </w:rPr>
            </w:pPr>
            <w:r w:rsidRPr="007B293F">
              <w:rPr>
                <w:sz w:val="20"/>
                <w:szCs w:val="20"/>
              </w:rPr>
              <w:t>S.A. „Vinuri-Ialoveni”</w:t>
            </w:r>
          </w:p>
        </w:tc>
        <w:tc>
          <w:tcPr>
            <w:tcW w:w="1134" w:type="dxa"/>
          </w:tcPr>
          <w:p w:rsidR="00D2086A" w:rsidRPr="0023156D" w:rsidRDefault="00D2086A" w:rsidP="001F2A6D">
            <w:pPr>
              <w:ind w:firstLine="34"/>
              <w:jc w:val="center"/>
              <w:rPr>
                <w:sz w:val="20"/>
                <w:szCs w:val="20"/>
              </w:rPr>
            </w:pPr>
            <w:r w:rsidRPr="0023156D">
              <w:rPr>
                <w:sz w:val="20"/>
                <w:szCs w:val="20"/>
              </w:rPr>
              <w:t>17,5</w:t>
            </w:r>
          </w:p>
        </w:tc>
        <w:tc>
          <w:tcPr>
            <w:tcW w:w="1134" w:type="dxa"/>
          </w:tcPr>
          <w:p w:rsidR="00D2086A" w:rsidRPr="0023156D" w:rsidRDefault="00D2086A" w:rsidP="001F2A6D">
            <w:pPr>
              <w:ind w:firstLine="34"/>
              <w:jc w:val="center"/>
              <w:rPr>
                <w:sz w:val="20"/>
                <w:szCs w:val="20"/>
              </w:rPr>
            </w:pPr>
            <w:r w:rsidRPr="0023156D">
              <w:rPr>
                <w:sz w:val="20"/>
                <w:szCs w:val="20"/>
              </w:rPr>
              <w:t>10,0</w:t>
            </w:r>
          </w:p>
        </w:tc>
        <w:tc>
          <w:tcPr>
            <w:tcW w:w="1131" w:type="dxa"/>
          </w:tcPr>
          <w:p w:rsidR="00D2086A" w:rsidRPr="0023156D" w:rsidRDefault="00D2086A" w:rsidP="001F2A6D">
            <w:pPr>
              <w:ind w:firstLine="34"/>
              <w:jc w:val="center"/>
              <w:rPr>
                <w:sz w:val="20"/>
                <w:szCs w:val="20"/>
              </w:rPr>
            </w:pPr>
            <w:r w:rsidRPr="0023156D">
              <w:rPr>
                <w:sz w:val="20"/>
                <w:szCs w:val="20"/>
              </w:rPr>
              <w:t>-7,5</w:t>
            </w:r>
          </w:p>
        </w:tc>
        <w:tc>
          <w:tcPr>
            <w:tcW w:w="1276" w:type="dxa"/>
          </w:tcPr>
          <w:p w:rsidR="00D2086A" w:rsidRPr="0023156D" w:rsidRDefault="00D2086A" w:rsidP="001F2A6D">
            <w:pPr>
              <w:ind w:firstLine="34"/>
              <w:jc w:val="center"/>
              <w:rPr>
                <w:sz w:val="20"/>
                <w:szCs w:val="20"/>
              </w:rPr>
            </w:pPr>
            <w:r w:rsidRPr="0023156D">
              <w:rPr>
                <w:sz w:val="20"/>
                <w:szCs w:val="20"/>
              </w:rPr>
              <w:t>10,0</w:t>
            </w: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r w:rsidRPr="007B293F">
              <w:rPr>
                <w:sz w:val="20"/>
                <w:szCs w:val="20"/>
              </w:rPr>
              <w:t>4.</w:t>
            </w:r>
          </w:p>
        </w:tc>
        <w:tc>
          <w:tcPr>
            <w:tcW w:w="4680" w:type="dxa"/>
          </w:tcPr>
          <w:p w:rsidR="00D2086A" w:rsidRPr="007B293F" w:rsidRDefault="00D2086A" w:rsidP="001F2A6D">
            <w:pPr>
              <w:tabs>
                <w:tab w:val="left" w:pos="3424"/>
              </w:tabs>
              <w:ind w:right="-110"/>
              <w:rPr>
                <w:bCs/>
                <w:sz w:val="20"/>
                <w:szCs w:val="20"/>
              </w:rPr>
            </w:pPr>
            <w:r w:rsidRPr="007B293F">
              <w:rPr>
                <w:sz w:val="20"/>
                <w:szCs w:val="20"/>
              </w:rPr>
              <w:t>Î.S. Uzina de bijuterii din Chișinău Giuvaier”</w:t>
            </w:r>
          </w:p>
        </w:tc>
        <w:tc>
          <w:tcPr>
            <w:tcW w:w="1134" w:type="dxa"/>
          </w:tcPr>
          <w:p w:rsidR="00D2086A" w:rsidRPr="0023156D" w:rsidRDefault="00D2086A" w:rsidP="001F2A6D">
            <w:pPr>
              <w:ind w:firstLine="34"/>
              <w:jc w:val="center"/>
              <w:rPr>
                <w:bCs/>
                <w:sz w:val="20"/>
                <w:szCs w:val="20"/>
              </w:rPr>
            </w:pPr>
            <w:r w:rsidRPr="0023156D">
              <w:rPr>
                <w:bCs/>
                <w:sz w:val="20"/>
                <w:szCs w:val="20"/>
              </w:rPr>
              <w:t>7,5</w:t>
            </w:r>
          </w:p>
        </w:tc>
        <w:tc>
          <w:tcPr>
            <w:tcW w:w="1134" w:type="dxa"/>
          </w:tcPr>
          <w:p w:rsidR="00D2086A" w:rsidRPr="0023156D" w:rsidRDefault="00D2086A" w:rsidP="001F2A6D">
            <w:pPr>
              <w:ind w:firstLine="34"/>
              <w:jc w:val="center"/>
              <w:rPr>
                <w:bCs/>
                <w:sz w:val="20"/>
                <w:szCs w:val="20"/>
              </w:rPr>
            </w:pPr>
            <w:r w:rsidRPr="0023156D">
              <w:rPr>
                <w:bCs/>
                <w:sz w:val="20"/>
                <w:szCs w:val="20"/>
              </w:rPr>
              <w:t>7,1</w:t>
            </w:r>
          </w:p>
        </w:tc>
        <w:tc>
          <w:tcPr>
            <w:tcW w:w="1131" w:type="dxa"/>
          </w:tcPr>
          <w:p w:rsidR="00D2086A" w:rsidRPr="0023156D" w:rsidRDefault="00D2086A" w:rsidP="001F2A6D">
            <w:pPr>
              <w:ind w:firstLine="34"/>
              <w:jc w:val="center"/>
              <w:rPr>
                <w:bCs/>
                <w:sz w:val="20"/>
                <w:szCs w:val="20"/>
              </w:rPr>
            </w:pPr>
            <w:r w:rsidRPr="0023156D">
              <w:rPr>
                <w:bCs/>
                <w:sz w:val="20"/>
                <w:szCs w:val="20"/>
              </w:rPr>
              <w:t>-0,4</w:t>
            </w:r>
          </w:p>
        </w:tc>
        <w:tc>
          <w:tcPr>
            <w:tcW w:w="1276" w:type="dxa"/>
          </w:tcPr>
          <w:p w:rsidR="00D2086A" w:rsidRPr="0023156D" w:rsidRDefault="00D2086A" w:rsidP="001F2A6D">
            <w:pPr>
              <w:ind w:firstLine="34"/>
              <w:jc w:val="center"/>
              <w:rPr>
                <w:bCs/>
                <w:sz w:val="20"/>
                <w:szCs w:val="20"/>
              </w:rPr>
            </w:pPr>
            <w:r w:rsidRPr="0023156D">
              <w:rPr>
                <w:bCs/>
                <w:sz w:val="20"/>
                <w:szCs w:val="20"/>
              </w:rPr>
              <w:t>7,1</w:t>
            </w: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r w:rsidRPr="007B293F">
              <w:rPr>
                <w:sz w:val="20"/>
                <w:szCs w:val="20"/>
              </w:rPr>
              <w:t>5.</w:t>
            </w:r>
          </w:p>
        </w:tc>
        <w:tc>
          <w:tcPr>
            <w:tcW w:w="4680" w:type="dxa"/>
          </w:tcPr>
          <w:p w:rsidR="00D2086A" w:rsidRPr="007B293F" w:rsidRDefault="00D2086A" w:rsidP="001F2A6D">
            <w:pPr>
              <w:tabs>
                <w:tab w:val="left" w:pos="3424"/>
              </w:tabs>
              <w:ind w:right="-110"/>
              <w:rPr>
                <w:bCs/>
                <w:sz w:val="20"/>
                <w:szCs w:val="20"/>
              </w:rPr>
            </w:pPr>
            <w:r w:rsidRPr="007B293F">
              <w:rPr>
                <w:bCs/>
                <w:sz w:val="20"/>
                <w:szCs w:val="20"/>
              </w:rPr>
              <w:t>Î.S. Sta</w:t>
            </w:r>
            <w:r>
              <w:rPr>
                <w:bCs/>
                <w:sz w:val="20"/>
                <w:szCs w:val="20"/>
              </w:rPr>
              <w:t>ț</w:t>
            </w:r>
            <w:r w:rsidRPr="007B293F">
              <w:rPr>
                <w:bCs/>
                <w:sz w:val="20"/>
                <w:szCs w:val="20"/>
              </w:rPr>
              <w:t>iunea Didactico-Experimentală „Codrul”</w:t>
            </w:r>
          </w:p>
        </w:tc>
        <w:tc>
          <w:tcPr>
            <w:tcW w:w="1134" w:type="dxa"/>
          </w:tcPr>
          <w:p w:rsidR="00D2086A" w:rsidRPr="0023156D" w:rsidRDefault="00D2086A" w:rsidP="001F2A6D">
            <w:pPr>
              <w:ind w:firstLine="34"/>
              <w:jc w:val="center"/>
              <w:rPr>
                <w:bCs/>
                <w:sz w:val="20"/>
                <w:szCs w:val="20"/>
              </w:rPr>
            </w:pPr>
            <w:r w:rsidRPr="0023156D">
              <w:rPr>
                <w:bCs/>
                <w:sz w:val="20"/>
                <w:szCs w:val="20"/>
              </w:rPr>
              <w:t>2,0</w:t>
            </w:r>
          </w:p>
        </w:tc>
        <w:tc>
          <w:tcPr>
            <w:tcW w:w="1134" w:type="dxa"/>
          </w:tcPr>
          <w:p w:rsidR="00D2086A" w:rsidRPr="0023156D" w:rsidRDefault="00D2086A" w:rsidP="001F2A6D">
            <w:pPr>
              <w:ind w:firstLine="34"/>
              <w:jc w:val="center"/>
              <w:rPr>
                <w:bCs/>
                <w:sz w:val="20"/>
                <w:szCs w:val="20"/>
              </w:rPr>
            </w:pPr>
            <w:r w:rsidRPr="0023156D">
              <w:rPr>
                <w:bCs/>
                <w:sz w:val="20"/>
                <w:szCs w:val="20"/>
              </w:rPr>
              <w:t>1,8</w:t>
            </w:r>
          </w:p>
        </w:tc>
        <w:tc>
          <w:tcPr>
            <w:tcW w:w="1131" w:type="dxa"/>
          </w:tcPr>
          <w:p w:rsidR="00D2086A" w:rsidRPr="0023156D" w:rsidRDefault="00D2086A" w:rsidP="001F2A6D">
            <w:pPr>
              <w:ind w:firstLine="34"/>
              <w:jc w:val="center"/>
              <w:rPr>
                <w:bCs/>
                <w:sz w:val="20"/>
                <w:szCs w:val="20"/>
              </w:rPr>
            </w:pPr>
            <w:r w:rsidRPr="0023156D">
              <w:rPr>
                <w:bCs/>
                <w:sz w:val="20"/>
                <w:szCs w:val="20"/>
              </w:rPr>
              <w:t>-0,2</w:t>
            </w:r>
          </w:p>
        </w:tc>
        <w:tc>
          <w:tcPr>
            <w:tcW w:w="1276" w:type="dxa"/>
          </w:tcPr>
          <w:p w:rsidR="00D2086A" w:rsidRPr="0023156D" w:rsidRDefault="00D2086A" w:rsidP="001F2A6D">
            <w:pPr>
              <w:ind w:firstLine="34"/>
              <w:jc w:val="center"/>
              <w:rPr>
                <w:bCs/>
                <w:sz w:val="20"/>
                <w:szCs w:val="20"/>
              </w:rPr>
            </w:pPr>
            <w:r w:rsidRPr="0023156D">
              <w:rPr>
                <w:bCs/>
                <w:sz w:val="20"/>
                <w:szCs w:val="20"/>
              </w:rPr>
              <w:t>1,8</w:t>
            </w:r>
          </w:p>
        </w:tc>
      </w:tr>
      <w:tr w:rsidR="00D2086A" w:rsidRPr="00DB1CB4" w:rsidTr="00235BF0">
        <w:trPr>
          <w:trHeight w:val="62"/>
          <w:jc w:val="center"/>
        </w:trPr>
        <w:tc>
          <w:tcPr>
            <w:tcW w:w="421" w:type="dxa"/>
            <w:noWrap/>
            <w:vAlign w:val="center"/>
          </w:tcPr>
          <w:p w:rsidR="00D2086A" w:rsidRPr="007B293F" w:rsidRDefault="00D2086A" w:rsidP="001F2A6D">
            <w:pPr>
              <w:ind w:left="32" w:right="-107"/>
              <w:jc w:val="center"/>
              <w:rPr>
                <w:sz w:val="20"/>
                <w:szCs w:val="20"/>
              </w:rPr>
            </w:pPr>
            <w:r w:rsidRPr="007B293F">
              <w:rPr>
                <w:sz w:val="20"/>
                <w:szCs w:val="20"/>
              </w:rPr>
              <w:t>6.</w:t>
            </w:r>
          </w:p>
        </w:tc>
        <w:tc>
          <w:tcPr>
            <w:tcW w:w="4680" w:type="dxa"/>
          </w:tcPr>
          <w:p w:rsidR="00D2086A" w:rsidRPr="007B293F" w:rsidRDefault="00D2086A" w:rsidP="001F2A6D">
            <w:pPr>
              <w:tabs>
                <w:tab w:val="left" w:pos="3424"/>
              </w:tabs>
              <w:ind w:right="-110"/>
              <w:rPr>
                <w:bCs/>
                <w:sz w:val="20"/>
                <w:szCs w:val="20"/>
              </w:rPr>
            </w:pPr>
            <w:r w:rsidRPr="007B293F">
              <w:rPr>
                <w:bCs/>
                <w:sz w:val="20"/>
                <w:szCs w:val="20"/>
              </w:rPr>
              <w:t>Î.S. „Sta</w:t>
            </w:r>
            <w:r>
              <w:rPr>
                <w:bCs/>
                <w:sz w:val="20"/>
                <w:szCs w:val="20"/>
              </w:rPr>
              <w:t>ț</w:t>
            </w:r>
            <w:r w:rsidRPr="007B293F">
              <w:rPr>
                <w:bCs/>
                <w:sz w:val="20"/>
                <w:szCs w:val="20"/>
              </w:rPr>
              <w:t>iunea Tehnologico-Experimentală din Băl</w:t>
            </w:r>
            <w:r>
              <w:rPr>
                <w:bCs/>
                <w:sz w:val="20"/>
                <w:szCs w:val="20"/>
              </w:rPr>
              <w:t>ț</w:t>
            </w:r>
            <w:r w:rsidRPr="007B293F">
              <w:rPr>
                <w:bCs/>
                <w:sz w:val="20"/>
                <w:szCs w:val="20"/>
              </w:rPr>
              <w:t>i”</w:t>
            </w:r>
          </w:p>
        </w:tc>
        <w:tc>
          <w:tcPr>
            <w:tcW w:w="1134" w:type="dxa"/>
          </w:tcPr>
          <w:p w:rsidR="00D2086A" w:rsidRPr="0023156D" w:rsidRDefault="00D2086A" w:rsidP="001F2A6D">
            <w:pPr>
              <w:ind w:firstLine="34"/>
              <w:jc w:val="center"/>
              <w:rPr>
                <w:bCs/>
                <w:sz w:val="20"/>
                <w:szCs w:val="20"/>
              </w:rPr>
            </w:pPr>
            <w:r w:rsidRPr="0023156D">
              <w:rPr>
                <w:bCs/>
                <w:sz w:val="20"/>
                <w:szCs w:val="20"/>
              </w:rPr>
              <w:t>0,8</w:t>
            </w:r>
          </w:p>
        </w:tc>
        <w:tc>
          <w:tcPr>
            <w:tcW w:w="1134" w:type="dxa"/>
          </w:tcPr>
          <w:p w:rsidR="00D2086A" w:rsidRPr="0023156D" w:rsidRDefault="00D2086A" w:rsidP="001F2A6D">
            <w:pPr>
              <w:ind w:firstLine="34"/>
              <w:jc w:val="center"/>
              <w:rPr>
                <w:bCs/>
                <w:sz w:val="20"/>
                <w:szCs w:val="20"/>
              </w:rPr>
            </w:pPr>
            <w:r w:rsidRPr="0023156D">
              <w:rPr>
                <w:bCs/>
                <w:sz w:val="20"/>
                <w:szCs w:val="20"/>
              </w:rPr>
              <w:t>0,8</w:t>
            </w:r>
          </w:p>
        </w:tc>
        <w:tc>
          <w:tcPr>
            <w:tcW w:w="1131" w:type="dxa"/>
          </w:tcPr>
          <w:p w:rsidR="00D2086A" w:rsidRPr="0023156D" w:rsidRDefault="00D2086A" w:rsidP="001F2A6D">
            <w:pPr>
              <w:ind w:firstLine="34"/>
              <w:jc w:val="center"/>
              <w:rPr>
                <w:bCs/>
                <w:sz w:val="20"/>
                <w:szCs w:val="20"/>
              </w:rPr>
            </w:pPr>
            <w:r w:rsidRPr="0023156D">
              <w:rPr>
                <w:bCs/>
                <w:sz w:val="20"/>
                <w:szCs w:val="20"/>
              </w:rPr>
              <w:t>-</w:t>
            </w:r>
          </w:p>
        </w:tc>
        <w:tc>
          <w:tcPr>
            <w:tcW w:w="1276" w:type="dxa"/>
          </w:tcPr>
          <w:p w:rsidR="00D2086A" w:rsidRPr="0023156D" w:rsidRDefault="00D2086A" w:rsidP="001F2A6D">
            <w:pPr>
              <w:ind w:firstLine="34"/>
              <w:jc w:val="center"/>
              <w:rPr>
                <w:bCs/>
                <w:sz w:val="20"/>
                <w:szCs w:val="20"/>
              </w:rPr>
            </w:pPr>
            <w:r w:rsidRPr="0023156D">
              <w:rPr>
                <w:bCs/>
                <w:sz w:val="20"/>
                <w:szCs w:val="20"/>
              </w:rPr>
              <w:t>0,8</w:t>
            </w:r>
          </w:p>
        </w:tc>
      </w:tr>
    </w:tbl>
    <w:p w:rsidR="00D2086A" w:rsidRDefault="00D2086A" w:rsidP="00D2086A">
      <w:pPr>
        <w:pStyle w:val="NoSpacing"/>
        <w:spacing w:line="276" w:lineRule="auto"/>
        <w:ind w:right="328" w:firstLine="567"/>
        <w:jc w:val="both"/>
        <w:rPr>
          <w:sz w:val="28"/>
          <w:szCs w:val="28"/>
        </w:rPr>
      </w:pPr>
    </w:p>
    <w:p w:rsidR="00D2086A" w:rsidRPr="00DB1CB4" w:rsidRDefault="00D2086A" w:rsidP="00D2086A">
      <w:pPr>
        <w:pStyle w:val="NoSpacing"/>
        <w:spacing w:line="276" w:lineRule="auto"/>
        <w:ind w:firstLine="567"/>
        <w:jc w:val="both"/>
        <w:rPr>
          <w:sz w:val="28"/>
          <w:szCs w:val="28"/>
        </w:rPr>
      </w:pPr>
      <w:r>
        <w:rPr>
          <w:sz w:val="28"/>
          <w:szCs w:val="28"/>
        </w:rPr>
        <w:t>C</w:t>
      </w:r>
      <w:r w:rsidRPr="00DB1CB4">
        <w:rPr>
          <w:sz w:val="28"/>
          <w:szCs w:val="28"/>
        </w:rPr>
        <w:t>ele mai mari împrumuturi interne s-au înregistrat la S.A. „Moldtelecom” – 685,2 mil. lei, S.A. „Combinatul de Vinuri Cricova” – 204,3 mil. lei, Î.S. Compania Aeriană „AIR Moldova” – 152,6 mil. lei și Î.S. „Calea Ferată din Moldova” – 132,6 mil. lei.</w:t>
      </w:r>
    </w:p>
    <w:p w:rsidR="00D2086A" w:rsidRPr="00DB1CB4" w:rsidRDefault="00D2086A" w:rsidP="00D2086A">
      <w:pPr>
        <w:spacing w:line="276" w:lineRule="auto"/>
        <w:ind w:firstLine="567"/>
        <w:jc w:val="both"/>
        <w:rPr>
          <w:sz w:val="28"/>
          <w:szCs w:val="28"/>
        </w:rPr>
      </w:pPr>
      <w:r w:rsidRPr="00DB1CB4">
        <w:rPr>
          <w:sz w:val="28"/>
          <w:szCs w:val="28"/>
        </w:rPr>
        <w:t>Adi</w:t>
      </w:r>
      <w:r>
        <w:rPr>
          <w:sz w:val="28"/>
          <w:szCs w:val="28"/>
        </w:rPr>
        <w:t>ț</w:t>
      </w:r>
      <w:r w:rsidRPr="00DB1CB4">
        <w:rPr>
          <w:sz w:val="28"/>
          <w:szCs w:val="28"/>
        </w:rPr>
        <w:t>ional, la situa</w:t>
      </w:r>
      <w:r>
        <w:rPr>
          <w:sz w:val="28"/>
          <w:szCs w:val="28"/>
        </w:rPr>
        <w:t>ț</w:t>
      </w:r>
      <w:r w:rsidRPr="00DB1CB4">
        <w:rPr>
          <w:sz w:val="28"/>
          <w:szCs w:val="28"/>
        </w:rPr>
        <w:t>ia din 30.06.2018:</w:t>
      </w:r>
    </w:p>
    <w:p w:rsidR="00D2086A" w:rsidRPr="00DB1CB4" w:rsidRDefault="00D2086A" w:rsidP="00D2086A">
      <w:pPr>
        <w:tabs>
          <w:tab w:val="left" w:pos="851"/>
        </w:tabs>
        <w:spacing w:line="276" w:lineRule="auto"/>
        <w:ind w:firstLine="567"/>
        <w:jc w:val="both"/>
        <w:rPr>
          <w:sz w:val="28"/>
          <w:szCs w:val="28"/>
        </w:rPr>
      </w:pPr>
      <w:r w:rsidRPr="00DB1CB4">
        <w:rPr>
          <w:sz w:val="28"/>
          <w:szCs w:val="28"/>
        </w:rPr>
        <w:lastRenderedPageBreak/>
        <w:t>1.</w:t>
      </w:r>
      <w:r w:rsidRPr="00DB1CB4">
        <w:rPr>
          <w:sz w:val="28"/>
          <w:szCs w:val="28"/>
        </w:rPr>
        <w:tab/>
      </w:r>
      <w:r w:rsidRPr="00DB1CB4">
        <w:rPr>
          <w:sz w:val="28"/>
          <w:szCs w:val="28"/>
          <w:u w:val="single"/>
        </w:rPr>
        <w:t>de datorii pe împrumuturi recreditate din surse interne şi/sau externe fa</w:t>
      </w:r>
      <w:r>
        <w:rPr>
          <w:sz w:val="28"/>
          <w:szCs w:val="28"/>
          <w:u w:val="single"/>
        </w:rPr>
        <w:t>ț</w:t>
      </w:r>
      <w:r w:rsidRPr="00DB1CB4">
        <w:rPr>
          <w:sz w:val="28"/>
          <w:szCs w:val="28"/>
          <w:u w:val="single"/>
        </w:rPr>
        <w:t>ă de Ministerul Finan</w:t>
      </w:r>
      <w:r>
        <w:rPr>
          <w:sz w:val="28"/>
          <w:szCs w:val="28"/>
          <w:u w:val="single"/>
        </w:rPr>
        <w:t>ț</w:t>
      </w:r>
      <w:r w:rsidRPr="00DB1CB4">
        <w:rPr>
          <w:sz w:val="28"/>
          <w:szCs w:val="28"/>
          <w:u w:val="single"/>
        </w:rPr>
        <w:t>elor dispune:</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Î.S. „Moldtranselectro”, în mărime de 37,3 mil. lei și 1,62 mil. dolari SUA, care reprezintă solduri cu termen expirat;</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 xml:space="preserve">Î.S. „Moldelectrica”, în mărime de 16,0 mil. dolari SUA și 2,0 mil. EURO; </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Î.S. „Calea Ferată din Moldova”, în mărime de 0,5 mil. EURO (din care 0,32 mil. EURO reprezintă solduri expirate (comisionul unic de angajament și penalitatea calculată);</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S.A. „Termoelectrica”, în mărime de 31,4 mil. dolari SUA;</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S.A. „CET-Nord”, în mărime de 0,7 mil. EURO;</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Î.S. Combinatul Vitivinicol „Na</w:t>
      </w:r>
      <w:r>
        <w:rPr>
          <w:sz w:val="28"/>
          <w:szCs w:val="28"/>
        </w:rPr>
        <w:t>ț</w:t>
      </w:r>
      <w:r w:rsidRPr="00DB1CB4">
        <w:rPr>
          <w:sz w:val="28"/>
          <w:szCs w:val="28"/>
        </w:rPr>
        <w:t>ional-Vin” (în procedura insolvabilită</w:t>
      </w:r>
      <w:r>
        <w:rPr>
          <w:sz w:val="28"/>
          <w:szCs w:val="28"/>
        </w:rPr>
        <w:t>ț</w:t>
      </w:r>
      <w:r w:rsidRPr="00DB1CB4">
        <w:rPr>
          <w:sz w:val="28"/>
          <w:szCs w:val="28"/>
        </w:rPr>
        <w:t>ii), în mărime de 1,2 mil. dolari SUA (sold cu termen expirat).</w:t>
      </w:r>
    </w:p>
    <w:p w:rsidR="00D2086A" w:rsidRPr="00DB1CB4" w:rsidRDefault="00D2086A" w:rsidP="00D2086A">
      <w:pPr>
        <w:spacing w:line="276" w:lineRule="auto"/>
        <w:ind w:firstLine="567"/>
        <w:jc w:val="both"/>
        <w:rPr>
          <w:sz w:val="28"/>
          <w:szCs w:val="28"/>
        </w:rPr>
      </w:pPr>
      <w:r w:rsidRPr="00DB1CB4">
        <w:rPr>
          <w:b/>
          <w:sz w:val="28"/>
          <w:szCs w:val="28"/>
        </w:rPr>
        <w:t>TOTAL general:</w:t>
      </w:r>
      <w:r w:rsidRPr="00DB1CB4">
        <w:rPr>
          <w:sz w:val="28"/>
          <w:szCs w:val="28"/>
        </w:rPr>
        <w:t xml:space="preserve"> 945,4 mil. lei împrumuturi recreditate, din care circa 90,7 mil. lei reprezintă </w:t>
      </w:r>
      <w:r>
        <w:rPr>
          <w:sz w:val="28"/>
          <w:szCs w:val="28"/>
        </w:rPr>
        <w:t>plăți</w:t>
      </w:r>
      <w:r w:rsidRPr="00DB1CB4">
        <w:rPr>
          <w:sz w:val="28"/>
          <w:szCs w:val="28"/>
        </w:rPr>
        <w:t xml:space="preserve"> cu termen expirat.</w:t>
      </w:r>
    </w:p>
    <w:p w:rsidR="00D2086A" w:rsidRPr="00DB1CB4" w:rsidRDefault="00D2086A" w:rsidP="00D2086A">
      <w:pPr>
        <w:tabs>
          <w:tab w:val="left" w:pos="851"/>
        </w:tabs>
        <w:spacing w:line="276" w:lineRule="auto"/>
        <w:ind w:firstLine="567"/>
        <w:jc w:val="both"/>
        <w:rPr>
          <w:sz w:val="28"/>
          <w:szCs w:val="28"/>
        </w:rPr>
      </w:pPr>
      <w:r w:rsidRPr="00DB1CB4">
        <w:rPr>
          <w:sz w:val="28"/>
          <w:szCs w:val="28"/>
        </w:rPr>
        <w:t>2.</w:t>
      </w:r>
      <w:r w:rsidRPr="00DB1CB4">
        <w:rPr>
          <w:sz w:val="28"/>
          <w:szCs w:val="28"/>
        </w:rPr>
        <w:tab/>
      </w:r>
      <w:r w:rsidRPr="00DB1CB4">
        <w:rPr>
          <w:sz w:val="28"/>
          <w:szCs w:val="28"/>
          <w:u w:val="single"/>
        </w:rPr>
        <w:t>de datorie pe împrumutul extern acordat sub garan</w:t>
      </w:r>
      <w:r>
        <w:rPr>
          <w:sz w:val="28"/>
          <w:szCs w:val="28"/>
          <w:u w:val="single"/>
        </w:rPr>
        <w:t>ț</w:t>
      </w:r>
      <w:r w:rsidRPr="00DB1CB4">
        <w:rPr>
          <w:sz w:val="28"/>
          <w:szCs w:val="28"/>
          <w:u w:val="single"/>
        </w:rPr>
        <w:t>ia statului dispune:</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Î.S. „Moldtranselectro”, în mărime de 0,86 mil. dolari SUA (14,5 mil. lei), ce reprezintă sold cu termen expirat;</w:t>
      </w:r>
    </w:p>
    <w:p w:rsidR="00D2086A" w:rsidRPr="00DB1CB4" w:rsidRDefault="00D2086A" w:rsidP="00D2086A">
      <w:pPr>
        <w:spacing w:line="276" w:lineRule="auto"/>
        <w:ind w:firstLine="567"/>
        <w:jc w:val="both"/>
        <w:rPr>
          <w:sz w:val="28"/>
          <w:szCs w:val="28"/>
        </w:rPr>
      </w:pPr>
      <w:r w:rsidRPr="00DB1CB4">
        <w:rPr>
          <w:sz w:val="28"/>
          <w:szCs w:val="28"/>
        </w:rPr>
        <w:t>•</w:t>
      </w:r>
      <w:r w:rsidRPr="00DB1CB4">
        <w:rPr>
          <w:sz w:val="28"/>
          <w:szCs w:val="28"/>
        </w:rPr>
        <w:tab/>
        <w:t>Î.S. „Fabrica de Sticlă din Chișinău”, în mărime de 38,5 mii dolari SUA (648,9 mii lei), din care 30,3 mii dolari SUA (511,1 mii lei) reprezintă plă</w:t>
      </w:r>
      <w:r>
        <w:rPr>
          <w:sz w:val="28"/>
          <w:szCs w:val="28"/>
        </w:rPr>
        <w:t>ț</w:t>
      </w:r>
      <w:r w:rsidRPr="00DB1CB4">
        <w:rPr>
          <w:sz w:val="28"/>
          <w:szCs w:val="28"/>
        </w:rPr>
        <w:t>i cu termen expirat.</w:t>
      </w:r>
    </w:p>
    <w:p w:rsidR="00D2086A" w:rsidRPr="00DB1CB4" w:rsidRDefault="00D2086A" w:rsidP="00D2086A">
      <w:pPr>
        <w:spacing w:line="276" w:lineRule="auto"/>
        <w:ind w:firstLine="567"/>
        <w:jc w:val="both"/>
        <w:rPr>
          <w:sz w:val="28"/>
          <w:szCs w:val="28"/>
        </w:rPr>
      </w:pPr>
      <w:r w:rsidRPr="00DB1CB4">
        <w:rPr>
          <w:b/>
          <w:sz w:val="28"/>
          <w:szCs w:val="28"/>
        </w:rPr>
        <w:t>TOTAL general:</w:t>
      </w:r>
      <w:r w:rsidRPr="00DB1CB4">
        <w:rPr>
          <w:sz w:val="28"/>
          <w:szCs w:val="28"/>
        </w:rPr>
        <w:t xml:space="preserve"> 0,9 mil. dolari SUA (15,2 mil. lei) suma datoriilor pe garan</w:t>
      </w:r>
      <w:r>
        <w:rPr>
          <w:sz w:val="28"/>
          <w:szCs w:val="28"/>
        </w:rPr>
        <w:t>ț</w:t>
      </w:r>
      <w:r w:rsidRPr="00DB1CB4">
        <w:rPr>
          <w:sz w:val="28"/>
          <w:szCs w:val="28"/>
        </w:rPr>
        <w:t>iile de stat, din care 0,89 mil. dolari SUA (15,0 mil. lei) reprezintă plă</w:t>
      </w:r>
      <w:r>
        <w:rPr>
          <w:sz w:val="28"/>
          <w:szCs w:val="28"/>
        </w:rPr>
        <w:t>ț</w:t>
      </w:r>
      <w:r w:rsidRPr="00DB1CB4">
        <w:rPr>
          <w:sz w:val="28"/>
          <w:szCs w:val="28"/>
        </w:rPr>
        <w:t>i cu termen expirat.</w:t>
      </w:r>
    </w:p>
    <w:p w:rsidR="00817C32" w:rsidRPr="008A1B62" w:rsidRDefault="00D2086A" w:rsidP="00D2086A">
      <w:pPr>
        <w:spacing w:line="276" w:lineRule="auto"/>
        <w:ind w:firstLine="567"/>
        <w:jc w:val="both"/>
        <w:rPr>
          <w:sz w:val="28"/>
          <w:szCs w:val="28"/>
        </w:rPr>
      </w:pPr>
      <w:r w:rsidRPr="008A1B62">
        <w:rPr>
          <w:sz w:val="28"/>
          <w:szCs w:val="28"/>
        </w:rPr>
        <w:t>Este de remarcat că, neachitarea obligațiilor față de instituțiile financiare pe creditele interne şi externe creează o situație dificilă privind independența financiară a entităților economice. Totodată, neachitarea obligațiilor pe creditele acordate sub garanția statului, precum și cele recreditate generează riscul fiscal (financiar) de stingere a datoriilor din contul surselor bugetului de stat</w:t>
      </w:r>
      <w:r w:rsidR="00817C32" w:rsidRPr="008A1B62">
        <w:rPr>
          <w:sz w:val="28"/>
          <w:szCs w:val="28"/>
        </w:rPr>
        <w:t>, fapt încadrat în sistemul de riscuri bugetar-fiscale.</w:t>
      </w:r>
    </w:p>
    <w:p w:rsidR="009A1045" w:rsidRDefault="009A1045" w:rsidP="00EA451C">
      <w:pPr>
        <w:spacing w:line="276" w:lineRule="auto"/>
        <w:ind w:firstLine="567"/>
        <w:jc w:val="both"/>
        <w:rPr>
          <w:color w:val="FF0000"/>
          <w:sz w:val="28"/>
          <w:szCs w:val="28"/>
        </w:rPr>
      </w:pPr>
    </w:p>
    <w:p w:rsidR="00FB25C9" w:rsidRPr="00547CF6" w:rsidRDefault="008A1B62" w:rsidP="00547CF6">
      <w:pPr>
        <w:spacing w:after="240" w:line="276" w:lineRule="auto"/>
        <w:jc w:val="both"/>
        <w:rPr>
          <w:b/>
          <w:i/>
          <w:sz w:val="28"/>
          <w:szCs w:val="28"/>
        </w:rPr>
      </w:pPr>
      <w:r>
        <w:rPr>
          <w:b/>
          <w:i/>
          <w:sz w:val="28"/>
          <w:szCs w:val="28"/>
        </w:rPr>
        <w:t xml:space="preserve">IV. </w:t>
      </w:r>
      <w:r w:rsidR="00547CF6">
        <w:rPr>
          <w:b/>
          <w:i/>
          <w:sz w:val="28"/>
          <w:szCs w:val="28"/>
        </w:rPr>
        <w:t>Informația privind volumul d</w:t>
      </w:r>
      <w:r w:rsidR="00FB25C9" w:rsidRPr="005C427F">
        <w:rPr>
          <w:b/>
          <w:i/>
          <w:sz w:val="28"/>
          <w:szCs w:val="28"/>
        </w:rPr>
        <w:t>efalcări</w:t>
      </w:r>
      <w:r w:rsidR="00547CF6">
        <w:rPr>
          <w:b/>
          <w:i/>
          <w:sz w:val="28"/>
          <w:szCs w:val="28"/>
        </w:rPr>
        <w:t>lor</w:t>
      </w:r>
      <w:r w:rsidR="00FB25C9" w:rsidRPr="005C427F">
        <w:rPr>
          <w:b/>
          <w:i/>
          <w:sz w:val="28"/>
          <w:szCs w:val="28"/>
        </w:rPr>
        <w:t xml:space="preserve"> </w:t>
      </w:r>
      <w:r>
        <w:rPr>
          <w:b/>
          <w:i/>
          <w:sz w:val="28"/>
          <w:szCs w:val="28"/>
        </w:rPr>
        <w:t>și</w:t>
      </w:r>
      <w:r w:rsidR="00FB25C9" w:rsidRPr="005C427F">
        <w:rPr>
          <w:b/>
          <w:i/>
          <w:sz w:val="28"/>
          <w:szCs w:val="28"/>
        </w:rPr>
        <w:t xml:space="preserve"> dividende</w:t>
      </w:r>
      <w:r w:rsidR="00547CF6">
        <w:rPr>
          <w:b/>
          <w:i/>
          <w:sz w:val="28"/>
          <w:szCs w:val="28"/>
        </w:rPr>
        <w:t>lor</w:t>
      </w:r>
      <w:r>
        <w:rPr>
          <w:b/>
          <w:i/>
          <w:sz w:val="28"/>
          <w:szCs w:val="28"/>
        </w:rPr>
        <w:t xml:space="preserve"> achitate de întreprinderile de stat și societățile pe acțiuni în bugetul de stat</w:t>
      </w:r>
    </w:p>
    <w:p w:rsidR="00157EDA" w:rsidRPr="00870FB6" w:rsidRDefault="00FB25C9" w:rsidP="00157EDA">
      <w:pPr>
        <w:spacing w:line="276" w:lineRule="auto"/>
        <w:ind w:firstLine="567"/>
        <w:jc w:val="both"/>
        <w:rPr>
          <w:color w:val="FF0000"/>
          <w:sz w:val="28"/>
          <w:szCs w:val="28"/>
        </w:rPr>
      </w:pPr>
      <w:r>
        <w:rPr>
          <w:sz w:val="28"/>
          <w:szCs w:val="28"/>
        </w:rPr>
        <w:t>C</w:t>
      </w:r>
      <w:r w:rsidR="00157EDA" w:rsidRPr="00870FB6">
        <w:rPr>
          <w:sz w:val="28"/>
          <w:szCs w:val="28"/>
        </w:rPr>
        <w:t>onform datelor Trezoreriei de Stat,</w:t>
      </w:r>
      <w:r w:rsidR="000E228E" w:rsidRPr="00870FB6">
        <w:rPr>
          <w:sz w:val="28"/>
          <w:szCs w:val="28"/>
        </w:rPr>
        <w:t xml:space="preserve"> la situa</w:t>
      </w:r>
      <w:r w:rsidR="000873E3">
        <w:rPr>
          <w:sz w:val="28"/>
          <w:szCs w:val="28"/>
        </w:rPr>
        <w:t>ț</w:t>
      </w:r>
      <w:r w:rsidR="000E228E" w:rsidRPr="00870FB6">
        <w:rPr>
          <w:sz w:val="28"/>
          <w:szCs w:val="28"/>
        </w:rPr>
        <w:t>ia din 31</w:t>
      </w:r>
      <w:r w:rsidR="00DA61B5">
        <w:rPr>
          <w:sz w:val="28"/>
          <w:szCs w:val="28"/>
        </w:rPr>
        <w:t>.12.</w:t>
      </w:r>
      <w:r w:rsidR="000E228E" w:rsidRPr="00870FB6">
        <w:rPr>
          <w:sz w:val="28"/>
          <w:szCs w:val="28"/>
        </w:rPr>
        <w:t xml:space="preserve">2017, </w:t>
      </w:r>
      <w:r w:rsidR="00157EDA" w:rsidRPr="00870FB6">
        <w:rPr>
          <w:sz w:val="28"/>
          <w:szCs w:val="28"/>
        </w:rPr>
        <w:t>pentru rezultatele ob</w:t>
      </w:r>
      <w:r w:rsidR="000873E3">
        <w:rPr>
          <w:sz w:val="28"/>
          <w:szCs w:val="28"/>
        </w:rPr>
        <w:t>ț</w:t>
      </w:r>
      <w:r w:rsidR="00157EDA" w:rsidRPr="00870FB6">
        <w:rPr>
          <w:sz w:val="28"/>
          <w:szCs w:val="28"/>
        </w:rPr>
        <w:t>inute în anul 2016, întreprinderile de stat au transferat</w:t>
      </w:r>
      <w:r w:rsidR="008A1B62">
        <w:rPr>
          <w:sz w:val="28"/>
          <w:szCs w:val="28"/>
        </w:rPr>
        <w:t>, pe parcursul anului 2017,</w:t>
      </w:r>
      <w:r w:rsidR="00157EDA" w:rsidRPr="00870FB6">
        <w:rPr>
          <w:sz w:val="28"/>
          <w:szCs w:val="28"/>
        </w:rPr>
        <w:t xml:space="preserve"> la bugetul de stat defalcări în valoare totală de 44,375 mil.lei, conform rectificărilor la Legea bugetului de stat pe anul 2017 rata îndeplinirii fiind de 106,9%, iar societă</w:t>
      </w:r>
      <w:r w:rsidR="000873E3">
        <w:rPr>
          <w:sz w:val="28"/>
          <w:szCs w:val="28"/>
        </w:rPr>
        <w:t>ț</w:t>
      </w:r>
      <w:r w:rsidR="00157EDA" w:rsidRPr="00870FB6">
        <w:rPr>
          <w:sz w:val="28"/>
          <w:szCs w:val="28"/>
        </w:rPr>
        <w:t>ile pe ac</w:t>
      </w:r>
      <w:r w:rsidR="000873E3">
        <w:rPr>
          <w:sz w:val="28"/>
          <w:szCs w:val="28"/>
        </w:rPr>
        <w:t>ț</w:t>
      </w:r>
      <w:r w:rsidR="00157EDA" w:rsidRPr="00870FB6">
        <w:rPr>
          <w:sz w:val="28"/>
          <w:szCs w:val="28"/>
        </w:rPr>
        <w:t>iuni au transferat dividende în mărime de 122,731 mil.lei, conform rectificărilor prenotate rata îndeplinirii fiind de 100,8 la sută</w:t>
      </w:r>
      <w:r w:rsidR="00DA61B5">
        <w:rPr>
          <w:sz w:val="28"/>
          <w:szCs w:val="28"/>
        </w:rPr>
        <w:t xml:space="preserve"> (</w:t>
      </w:r>
      <w:r w:rsidR="00DA61B5" w:rsidRPr="00DA61B5">
        <w:rPr>
          <w:b/>
          <w:sz w:val="28"/>
          <w:szCs w:val="28"/>
        </w:rPr>
        <w:t>total încasat: 167,106 mil. lei</w:t>
      </w:r>
      <w:r w:rsidR="00DA61B5">
        <w:rPr>
          <w:sz w:val="28"/>
          <w:szCs w:val="28"/>
        </w:rPr>
        <w:t>)</w:t>
      </w:r>
      <w:r w:rsidR="00157EDA" w:rsidRPr="00870FB6">
        <w:rPr>
          <w:sz w:val="28"/>
          <w:szCs w:val="28"/>
        </w:rPr>
        <w:t>.</w:t>
      </w:r>
    </w:p>
    <w:p w:rsidR="00D2086A" w:rsidRPr="00995A2E" w:rsidRDefault="00D2086A" w:rsidP="00D2086A">
      <w:pPr>
        <w:pStyle w:val="NoSpacing"/>
        <w:spacing w:line="276" w:lineRule="auto"/>
        <w:ind w:firstLine="567"/>
        <w:jc w:val="both"/>
        <w:rPr>
          <w:sz w:val="28"/>
          <w:szCs w:val="28"/>
        </w:rPr>
      </w:pPr>
      <w:r>
        <w:rPr>
          <w:sz w:val="28"/>
          <w:szCs w:val="28"/>
        </w:rPr>
        <w:lastRenderedPageBreak/>
        <w:t>P</w:t>
      </w:r>
      <w:r w:rsidRPr="00A51E2A">
        <w:rPr>
          <w:sz w:val="28"/>
          <w:szCs w:val="28"/>
        </w:rPr>
        <w:t xml:space="preserve">otrivit </w:t>
      </w:r>
      <w:r w:rsidRPr="00995A2E">
        <w:rPr>
          <w:sz w:val="28"/>
          <w:szCs w:val="28"/>
        </w:rPr>
        <w:t xml:space="preserve">Legii bugetului de stat pe anul 2018 </w:t>
      </w:r>
      <w:r w:rsidRPr="00995A2E">
        <w:rPr>
          <w:bCs/>
          <w:sz w:val="28"/>
          <w:szCs w:val="28"/>
        </w:rPr>
        <w:t>nr. 289</w:t>
      </w:r>
      <w:r w:rsidR="00DA61B5">
        <w:rPr>
          <w:bCs/>
          <w:sz w:val="28"/>
          <w:szCs w:val="28"/>
        </w:rPr>
        <w:t>/</w:t>
      </w:r>
      <w:r w:rsidRPr="00995A2E">
        <w:rPr>
          <w:bCs/>
          <w:sz w:val="28"/>
          <w:szCs w:val="28"/>
        </w:rPr>
        <w:t>2017</w:t>
      </w:r>
      <w:r w:rsidRPr="00995A2E">
        <w:rPr>
          <w:sz w:val="28"/>
          <w:szCs w:val="28"/>
        </w:rPr>
        <w:t xml:space="preserve">, pentru rezultatele </w:t>
      </w:r>
      <w:r>
        <w:rPr>
          <w:sz w:val="28"/>
          <w:szCs w:val="28"/>
        </w:rPr>
        <w:t>întreprinderilor de stat și societăților pe acțiuni înregistrate</w:t>
      </w:r>
      <w:r w:rsidRPr="00995A2E">
        <w:rPr>
          <w:sz w:val="28"/>
          <w:szCs w:val="28"/>
        </w:rPr>
        <w:t xml:space="preserve"> în 2017, au fost prevă</w:t>
      </w:r>
      <w:r>
        <w:rPr>
          <w:sz w:val="28"/>
          <w:szCs w:val="28"/>
        </w:rPr>
        <w:t>z</w:t>
      </w:r>
      <w:r w:rsidRPr="00995A2E">
        <w:rPr>
          <w:sz w:val="28"/>
          <w:szCs w:val="28"/>
        </w:rPr>
        <w:t>ute venituri ce urme</w:t>
      </w:r>
      <w:r>
        <w:rPr>
          <w:sz w:val="28"/>
          <w:szCs w:val="28"/>
        </w:rPr>
        <w:t>a</w:t>
      </w:r>
      <w:r w:rsidRPr="00995A2E">
        <w:rPr>
          <w:sz w:val="28"/>
          <w:szCs w:val="28"/>
        </w:rPr>
        <w:t xml:space="preserve">ză a fi încasate la bugetul de stat </w:t>
      </w:r>
      <w:r w:rsidR="008A1B62">
        <w:rPr>
          <w:sz w:val="28"/>
          <w:szCs w:val="28"/>
        </w:rPr>
        <w:t xml:space="preserve">în anul 2018, </w:t>
      </w:r>
      <w:r w:rsidRPr="00995A2E">
        <w:rPr>
          <w:sz w:val="28"/>
          <w:szCs w:val="28"/>
        </w:rPr>
        <w:t>sub formă de defalcări și dividende în sumă de 16,5 mil.lei și respectiv, 55,0 mil.lei</w:t>
      </w:r>
      <w:r w:rsidR="00547CF6">
        <w:rPr>
          <w:sz w:val="28"/>
          <w:szCs w:val="28"/>
        </w:rPr>
        <w:t xml:space="preserve"> </w:t>
      </w:r>
      <w:r w:rsidR="00547CF6" w:rsidRPr="00547CF6">
        <w:rPr>
          <w:sz w:val="28"/>
          <w:szCs w:val="28"/>
        </w:rPr>
        <w:t>(total – 71,5 mil. lei).</w:t>
      </w:r>
    </w:p>
    <w:p w:rsidR="00D2086A" w:rsidRDefault="00D2086A" w:rsidP="00D2086A">
      <w:pPr>
        <w:pStyle w:val="NoSpacing"/>
        <w:spacing w:line="276" w:lineRule="auto"/>
        <w:ind w:firstLine="567"/>
        <w:jc w:val="both"/>
        <w:rPr>
          <w:sz w:val="28"/>
          <w:szCs w:val="28"/>
        </w:rPr>
      </w:pPr>
      <w:r w:rsidRPr="00995A2E">
        <w:rPr>
          <w:sz w:val="28"/>
          <w:szCs w:val="28"/>
        </w:rPr>
        <w:t>Astfel, conform datelor Trezoreriei de Stat, pentru rezultatele ob</w:t>
      </w:r>
      <w:r>
        <w:rPr>
          <w:sz w:val="28"/>
          <w:szCs w:val="28"/>
        </w:rPr>
        <w:t>ț</w:t>
      </w:r>
      <w:r w:rsidRPr="00995A2E">
        <w:rPr>
          <w:sz w:val="28"/>
          <w:szCs w:val="28"/>
        </w:rPr>
        <w:t xml:space="preserve">inute în anul 2017, întreprinderile de stat au </w:t>
      </w:r>
      <w:r w:rsidRPr="008814D5">
        <w:rPr>
          <w:sz w:val="28"/>
          <w:szCs w:val="28"/>
        </w:rPr>
        <w:t>transferat, la</w:t>
      </w:r>
      <w:r w:rsidR="00547CF6" w:rsidRPr="008814D5">
        <w:rPr>
          <w:sz w:val="28"/>
          <w:szCs w:val="28"/>
        </w:rPr>
        <w:t xml:space="preserve"> situația din</w:t>
      </w:r>
      <w:r w:rsidRPr="008814D5">
        <w:rPr>
          <w:sz w:val="28"/>
          <w:szCs w:val="28"/>
        </w:rPr>
        <w:t xml:space="preserve"> </w:t>
      </w:r>
      <w:r w:rsidR="003769C0">
        <w:rPr>
          <w:i/>
          <w:sz w:val="28"/>
          <w:szCs w:val="28"/>
        </w:rPr>
        <w:t>31</w:t>
      </w:r>
      <w:r w:rsidRPr="008814D5">
        <w:rPr>
          <w:i/>
          <w:sz w:val="28"/>
          <w:szCs w:val="28"/>
        </w:rPr>
        <w:t xml:space="preserve"> </w:t>
      </w:r>
      <w:r w:rsidR="001C1F9F" w:rsidRPr="008814D5">
        <w:rPr>
          <w:i/>
          <w:sz w:val="28"/>
          <w:szCs w:val="28"/>
        </w:rPr>
        <w:t>octombri</w:t>
      </w:r>
      <w:r w:rsidRPr="008814D5">
        <w:rPr>
          <w:i/>
          <w:sz w:val="28"/>
          <w:szCs w:val="28"/>
        </w:rPr>
        <w:t>e 2018</w:t>
      </w:r>
      <w:r w:rsidRPr="008814D5">
        <w:rPr>
          <w:sz w:val="28"/>
          <w:szCs w:val="28"/>
        </w:rPr>
        <w:t xml:space="preserve">, la bugetul de stat </w:t>
      </w:r>
      <w:r w:rsidRPr="008814D5">
        <w:rPr>
          <w:i/>
          <w:sz w:val="28"/>
          <w:szCs w:val="28"/>
        </w:rPr>
        <w:t xml:space="preserve">defalcări în valoare totală de </w:t>
      </w:r>
      <w:r w:rsidR="008814D5" w:rsidRPr="008814D5">
        <w:rPr>
          <w:i/>
          <w:sz w:val="28"/>
          <w:szCs w:val="28"/>
        </w:rPr>
        <w:t xml:space="preserve">48,6 </w:t>
      </w:r>
      <w:r w:rsidRPr="008814D5">
        <w:rPr>
          <w:i/>
          <w:sz w:val="28"/>
          <w:szCs w:val="28"/>
        </w:rPr>
        <w:t>mil.lei</w:t>
      </w:r>
      <w:r w:rsidRPr="008814D5">
        <w:rPr>
          <w:sz w:val="28"/>
          <w:szCs w:val="28"/>
        </w:rPr>
        <w:t xml:space="preserve">, sau de </w:t>
      </w:r>
      <w:r w:rsidR="008814D5" w:rsidRPr="008814D5">
        <w:rPr>
          <w:sz w:val="28"/>
          <w:szCs w:val="28"/>
        </w:rPr>
        <w:t>2,9</w:t>
      </w:r>
      <w:r w:rsidRPr="008814D5">
        <w:rPr>
          <w:sz w:val="28"/>
          <w:szCs w:val="28"/>
        </w:rPr>
        <w:t xml:space="preserve"> ori mai mult față de mărimea planificată, iar societățile pe acțiuni au transferat </w:t>
      </w:r>
      <w:r w:rsidRPr="008814D5">
        <w:rPr>
          <w:i/>
          <w:sz w:val="28"/>
          <w:szCs w:val="28"/>
        </w:rPr>
        <w:t>dividende</w:t>
      </w:r>
      <w:r w:rsidRPr="008814D5">
        <w:rPr>
          <w:sz w:val="28"/>
          <w:szCs w:val="28"/>
        </w:rPr>
        <w:t xml:space="preserve"> </w:t>
      </w:r>
      <w:r w:rsidRPr="008814D5">
        <w:rPr>
          <w:i/>
          <w:sz w:val="28"/>
          <w:szCs w:val="28"/>
        </w:rPr>
        <w:t xml:space="preserve">în mărime de </w:t>
      </w:r>
      <w:r w:rsidR="008814D5" w:rsidRPr="008814D5">
        <w:rPr>
          <w:i/>
          <w:sz w:val="28"/>
          <w:szCs w:val="28"/>
        </w:rPr>
        <w:t>148,6</w:t>
      </w:r>
      <w:r w:rsidRPr="008814D5">
        <w:rPr>
          <w:i/>
          <w:sz w:val="28"/>
          <w:szCs w:val="28"/>
        </w:rPr>
        <w:t xml:space="preserve"> mil.lei,</w:t>
      </w:r>
      <w:r w:rsidRPr="008814D5">
        <w:rPr>
          <w:sz w:val="28"/>
          <w:szCs w:val="28"/>
        </w:rPr>
        <w:t xml:space="preserve"> sau de </w:t>
      </w:r>
      <w:r w:rsidR="008814D5" w:rsidRPr="008814D5">
        <w:rPr>
          <w:sz w:val="28"/>
          <w:szCs w:val="28"/>
        </w:rPr>
        <w:t>2,7</w:t>
      </w:r>
      <w:r w:rsidRPr="008814D5">
        <w:rPr>
          <w:sz w:val="28"/>
          <w:szCs w:val="28"/>
        </w:rPr>
        <w:t xml:space="preserve"> ori mai mult față de mărimea planificată</w:t>
      </w:r>
      <w:r w:rsidR="00547CF6" w:rsidRPr="008814D5">
        <w:rPr>
          <w:sz w:val="28"/>
          <w:szCs w:val="28"/>
        </w:rPr>
        <w:t xml:space="preserve"> (</w:t>
      </w:r>
      <w:r w:rsidR="00547CF6" w:rsidRPr="00635801">
        <w:rPr>
          <w:b/>
          <w:sz w:val="28"/>
          <w:szCs w:val="28"/>
        </w:rPr>
        <w:t>total</w:t>
      </w:r>
      <w:r w:rsidR="00635801" w:rsidRPr="00635801">
        <w:rPr>
          <w:b/>
          <w:sz w:val="28"/>
          <w:szCs w:val="28"/>
        </w:rPr>
        <w:t xml:space="preserve"> încasat</w:t>
      </w:r>
      <w:r w:rsidR="00635801" w:rsidRPr="00DA61B5">
        <w:rPr>
          <w:b/>
          <w:sz w:val="28"/>
          <w:szCs w:val="28"/>
        </w:rPr>
        <w:t>:</w:t>
      </w:r>
      <w:r w:rsidR="00547CF6" w:rsidRPr="00635801">
        <w:rPr>
          <w:b/>
          <w:sz w:val="28"/>
          <w:szCs w:val="28"/>
        </w:rPr>
        <w:t xml:space="preserve"> </w:t>
      </w:r>
      <w:r w:rsidR="008814D5" w:rsidRPr="00635801">
        <w:rPr>
          <w:b/>
          <w:sz w:val="28"/>
          <w:szCs w:val="28"/>
        </w:rPr>
        <w:t xml:space="preserve">197,2 </w:t>
      </w:r>
      <w:r w:rsidR="00547CF6" w:rsidRPr="00635801">
        <w:rPr>
          <w:b/>
          <w:sz w:val="28"/>
          <w:szCs w:val="28"/>
        </w:rPr>
        <w:t>mil. lei</w:t>
      </w:r>
      <w:r w:rsidR="00547CF6" w:rsidRPr="008814D5">
        <w:rPr>
          <w:sz w:val="28"/>
          <w:szCs w:val="28"/>
        </w:rPr>
        <w:t>)</w:t>
      </w:r>
      <w:r w:rsidRPr="008814D5">
        <w:rPr>
          <w:sz w:val="28"/>
          <w:szCs w:val="28"/>
        </w:rPr>
        <w:t>.</w:t>
      </w:r>
    </w:p>
    <w:p w:rsidR="00547CF6" w:rsidRPr="00547CF6" w:rsidRDefault="00547CF6" w:rsidP="00547CF6">
      <w:pPr>
        <w:pStyle w:val="NoSpacing"/>
        <w:spacing w:line="276" w:lineRule="auto"/>
        <w:ind w:firstLine="567"/>
        <w:jc w:val="both"/>
        <w:rPr>
          <w:sz w:val="28"/>
          <w:szCs w:val="28"/>
        </w:rPr>
      </w:pPr>
      <w:r>
        <w:rPr>
          <w:sz w:val="28"/>
          <w:szCs w:val="28"/>
        </w:rPr>
        <w:t>C</w:t>
      </w:r>
      <w:r w:rsidRPr="00547CF6">
        <w:rPr>
          <w:sz w:val="28"/>
          <w:szCs w:val="28"/>
        </w:rPr>
        <w:t>ele mai mari defalcări/ dividende din profitul net obținut în anul 2017 au fost transferate de către:</w:t>
      </w:r>
    </w:p>
    <w:p w:rsidR="00547CF6" w:rsidRPr="00547CF6" w:rsidRDefault="00547CF6" w:rsidP="00547CF6">
      <w:pPr>
        <w:pStyle w:val="NoSpacing"/>
        <w:spacing w:line="276" w:lineRule="auto"/>
        <w:ind w:firstLine="567"/>
        <w:jc w:val="both"/>
        <w:rPr>
          <w:sz w:val="28"/>
          <w:szCs w:val="28"/>
        </w:rPr>
      </w:pPr>
      <w:r w:rsidRPr="00547CF6">
        <w:rPr>
          <w:sz w:val="28"/>
          <w:szCs w:val="28"/>
        </w:rPr>
        <w:t>- S.A. „Furnizarea Energiei Electrice Nord” – 57,5 mil. lei;</w:t>
      </w:r>
    </w:p>
    <w:p w:rsidR="00547CF6" w:rsidRPr="00547CF6" w:rsidRDefault="00547CF6" w:rsidP="00547CF6">
      <w:pPr>
        <w:pStyle w:val="NoSpacing"/>
        <w:spacing w:line="276" w:lineRule="auto"/>
        <w:ind w:firstLine="567"/>
        <w:jc w:val="both"/>
        <w:rPr>
          <w:sz w:val="28"/>
          <w:szCs w:val="28"/>
        </w:rPr>
      </w:pPr>
      <w:r w:rsidRPr="00547CF6">
        <w:rPr>
          <w:sz w:val="28"/>
          <w:szCs w:val="28"/>
        </w:rPr>
        <w:t>- S.A. „RED Nord” – 49,7 mil. lei;</w:t>
      </w:r>
    </w:p>
    <w:p w:rsidR="00547CF6" w:rsidRPr="00547CF6" w:rsidRDefault="00547CF6" w:rsidP="00547CF6">
      <w:pPr>
        <w:pStyle w:val="NoSpacing"/>
        <w:spacing w:line="276" w:lineRule="auto"/>
        <w:ind w:firstLine="567"/>
        <w:jc w:val="both"/>
        <w:rPr>
          <w:sz w:val="28"/>
          <w:szCs w:val="28"/>
        </w:rPr>
      </w:pPr>
      <w:r w:rsidRPr="00547CF6">
        <w:rPr>
          <w:sz w:val="28"/>
          <w:szCs w:val="28"/>
        </w:rPr>
        <w:t>- S.A. pentru achiziționarea, prelucrarea și livrarea metalelor feroase și neferoase „Metalferos” – 16,5 mil. lei;</w:t>
      </w:r>
    </w:p>
    <w:p w:rsidR="00547CF6" w:rsidRPr="00547CF6" w:rsidRDefault="00547CF6" w:rsidP="00547CF6">
      <w:pPr>
        <w:pStyle w:val="NoSpacing"/>
        <w:spacing w:line="276" w:lineRule="auto"/>
        <w:ind w:firstLine="567"/>
        <w:jc w:val="both"/>
        <w:rPr>
          <w:sz w:val="28"/>
          <w:szCs w:val="28"/>
        </w:rPr>
      </w:pPr>
      <w:r w:rsidRPr="00547CF6">
        <w:rPr>
          <w:sz w:val="28"/>
          <w:szCs w:val="28"/>
        </w:rPr>
        <w:t>- Î.S. „Moldelectrica” – 11,7 mil. lei;</w:t>
      </w:r>
    </w:p>
    <w:p w:rsidR="00547CF6" w:rsidRDefault="00547CF6" w:rsidP="00547CF6">
      <w:pPr>
        <w:pStyle w:val="NoSpacing"/>
        <w:spacing w:line="276" w:lineRule="auto"/>
        <w:ind w:firstLine="567"/>
        <w:jc w:val="both"/>
        <w:rPr>
          <w:sz w:val="28"/>
          <w:szCs w:val="28"/>
        </w:rPr>
      </w:pPr>
      <w:r w:rsidRPr="00547CF6">
        <w:rPr>
          <w:sz w:val="28"/>
          <w:szCs w:val="28"/>
        </w:rPr>
        <w:t xml:space="preserve">- </w:t>
      </w:r>
      <w:r>
        <w:rPr>
          <w:sz w:val="28"/>
          <w:szCs w:val="28"/>
        </w:rPr>
        <w:t xml:space="preserve">S.A. „Tutun-CTC” – 6,6 mil. lei. </w:t>
      </w:r>
    </w:p>
    <w:p w:rsidR="008A1B62" w:rsidRDefault="008A1B62" w:rsidP="008A1B62">
      <w:pPr>
        <w:pStyle w:val="Title"/>
        <w:jc w:val="left"/>
        <w:rPr>
          <w:bCs/>
          <w:iCs/>
          <w:sz w:val="28"/>
          <w:szCs w:val="28"/>
          <w:lang w:val="ro-RO"/>
        </w:rPr>
      </w:pPr>
    </w:p>
    <w:p w:rsidR="00E72302" w:rsidRPr="0034536D" w:rsidRDefault="008A1B62" w:rsidP="00547CF6">
      <w:pPr>
        <w:pStyle w:val="Title"/>
        <w:spacing w:after="240"/>
        <w:jc w:val="left"/>
        <w:rPr>
          <w:b/>
          <w:i/>
          <w:sz w:val="28"/>
          <w:szCs w:val="28"/>
          <w:lang w:val="ro-RO"/>
        </w:rPr>
      </w:pPr>
      <w:r w:rsidRPr="008A1B62">
        <w:rPr>
          <w:b/>
          <w:bCs/>
          <w:i/>
          <w:iCs/>
          <w:sz w:val="28"/>
          <w:szCs w:val="28"/>
          <w:lang w:val="ro-RO"/>
        </w:rPr>
        <w:t>V.</w:t>
      </w:r>
      <w:r>
        <w:rPr>
          <w:bCs/>
          <w:iCs/>
          <w:sz w:val="28"/>
          <w:szCs w:val="28"/>
          <w:lang w:val="ro-RO"/>
        </w:rPr>
        <w:t xml:space="preserve"> </w:t>
      </w:r>
      <w:r w:rsidR="00547CF6" w:rsidRPr="00547CF6">
        <w:rPr>
          <w:b/>
          <w:bCs/>
          <w:i/>
          <w:iCs/>
          <w:sz w:val="28"/>
          <w:szCs w:val="28"/>
          <w:lang w:val="ro-RO"/>
        </w:rPr>
        <w:t>Informația privind a</w:t>
      </w:r>
      <w:r w:rsidR="00E72302" w:rsidRPr="00547CF6">
        <w:rPr>
          <w:b/>
          <w:i/>
          <w:sz w:val="28"/>
          <w:szCs w:val="28"/>
          <w:lang w:val="ro-RO"/>
        </w:rPr>
        <w:t>udit</w:t>
      </w:r>
      <w:r w:rsidR="00E25525" w:rsidRPr="00547CF6">
        <w:rPr>
          <w:b/>
          <w:i/>
          <w:sz w:val="28"/>
          <w:szCs w:val="28"/>
          <w:lang w:val="ro-RO"/>
        </w:rPr>
        <w:t>ul</w:t>
      </w:r>
      <w:r w:rsidR="00E25525">
        <w:rPr>
          <w:b/>
          <w:i/>
          <w:sz w:val="28"/>
          <w:szCs w:val="28"/>
          <w:lang w:val="ro-RO"/>
        </w:rPr>
        <w:t xml:space="preserve"> extern şi inspectarea</w:t>
      </w:r>
      <w:r w:rsidR="00E72302" w:rsidRPr="0034536D">
        <w:rPr>
          <w:b/>
          <w:i/>
          <w:sz w:val="28"/>
          <w:szCs w:val="28"/>
          <w:lang w:val="ro-RO"/>
        </w:rPr>
        <w:t xml:space="preserve"> financiară</w:t>
      </w:r>
    </w:p>
    <w:p w:rsidR="00547CF6" w:rsidRDefault="005C427F" w:rsidP="005C427F">
      <w:pPr>
        <w:pStyle w:val="NormalWeb"/>
        <w:spacing w:line="276" w:lineRule="auto"/>
        <w:rPr>
          <w:sz w:val="28"/>
          <w:szCs w:val="28"/>
          <w:lang w:val="ro-RO"/>
        </w:rPr>
      </w:pPr>
      <w:r>
        <w:rPr>
          <w:sz w:val="28"/>
          <w:szCs w:val="28"/>
          <w:lang w:val="ro-RO"/>
        </w:rPr>
        <w:t>Î</w:t>
      </w:r>
      <w:r w:rsidR="002B5400" w:rsidRPr="00870FB6">
        <w:rPr>
          <w:sz w:val="28"/>
          <w:szCs w:val="28"/>
          <w:lang w:val="ro-RO"/>
        </w:rPr>
        <w:t xml:space="preserve">n anul 2017, </w:t>
      </w:r>
      <w:r w:rsidR="00C0260F">
        <w:rPr>
          <w:sz w:val="28"/>
          <w:szCs w:val="28"/>
          <w:lang w:val="ro-RO"/>
        </w:rPr>
        <w:t>Inspec</w:t>
      </w:r>
      <w:r w:rsidR="000873E3">
        <w:rPr>
          <w:sz w:val="28"/>
          <w:szCs w:val="28"/>
          <w:lang w:val="ro-RO"/>
        </w:rPr>
        <w:t>ț</w:t>
      </w:r>
      <w:r w:rsidR="00C0260F">
        <w:rPr>
          <w:sz w:val="28"/>
          <w:szCs w:val="28"/>
          <w:lang w:val="ro-RO"/>
        </w:rPr>
        <w:t>ia Financiară a efectuat</w:t>
      </w:r>
      <w:r w:rsidR="00547CF6">
        <w:rPr>
          <w:sz w:val="28"/>
          <w:szCs w:val="28"/>
          <w:lang w:val="ro-RO"/>
        </w:rPr>
        <w:t>:</w:t>
      </w:r>
    </w:p>
    <w:p w:rsidR="002B5400" w:rsidRPr="00870FB6" w:rsidRDefault="00547CF6" w:rsidP="00547CF6">
      <w:pPr>
        <w:pStyle w:val="NormalWeb"/>
        <w:spacing w:line="276" w:lineRule="auto"/>
        <w:rPr>
          <w:sz w:val="28"/>
          <w:szCs w:val="28"/>
          <w:lang w:val="ro-RO"/>
        </w:rPr>
      </w:pPr>
      <w:r>
        <w:rPr>
          <w:sz w:val="28"/>
          <w:szCs w:val="28"/>
          <w:lang w:val="ro-RO"/>
        </w:rPr>
        <w:t xml:space="preserve">- </w:t>
      </w:r>
      <w:r w:rsidR="005C427F" w:rsidRPr="005C427F">
        <w:rPr>
          <w:sz w:val="28"/>
          <w:szCs w:val="28"/>
          <w:lang w:val="ro-RO"/>
        </w:rPr>
        <w:t>l</w:t>
      </w:r>
      <w:r w:rsidR="00C0260F" w:rsidRPr="005C427F">
        <w:rPr>
          <w:sz w:val="28"/>
          <w:szCs w:val="28"/>
          <w:lang w:val="ro-RO"/>
        </w:rPr>
        <w:t>a întreprinderile de stat,</w:t>
      </w:r>
      <w:r w:rsidR="00C0260F">
        <w:rPr>
          <w:i/>
          <w:sz w:val="28"/>
          <w:szCs w:val="28"/>
          <w:lang w:val="ro-RO"/>
        </w:rPr>
        <w:t xml:space="preserve"> 36 inspectări, din care 7 inspectări conform planului de activitate, 16 inspectări în baza ordonan</w:t>
      </w:r>
      <w:r w:rsidR="000873E3">
        <w:rPr>
          <w:i/>
          <w:sz w:val="28"/>
          <w:szCs w:val="28"/>
          <w:lang w:val="ro-RO"/>
        </w:rPr>
        <w:t>ț</w:t>
      </w:r>
      <w:r w:rsidR="00C0260F">
        <w:rPr>
          <w:i/>
          <w:sz w:val="28"/>
          <w:szCs w:val="28"/>
          <w:lang w:val="ro-RO"/>
        </w:rPr>
        <w:t xml:space="preserve">elor organelor de control etc. </w:t>
      </w:r>
      <w:r w:rsidR="002B5400" w:rsidRPr="00870FB6">
        <w:rPr>
          <w:sz w:val="28"/>
          <w:szCs w:val="28"/>
          <w:lang w:val="ro-RO"/>
        </w:rPr>
        <w:t>(</w:t>
      </w:r>
      <w:r w:rsidR="00C0260F">
        <w:rPr>
          <w:sz w:val="28"/>
          <w:szCs w:val="28"/>
          <w:lang w:val="ro-RO"/>
        </w:rPr>
        <w:t xml:space="preserve">inclusiv la </w:t>
      </w:r>
      <w:r w:rsidR="002B5400" w:rsidRPr="00870FB6">
        <w:rPr>
          <w:sz w:val="28"/>
          <w:szCs w:val="28"/>
          <w:lang w:val="ro-RO"/>
        </w:rPr>
        <w:t>Întreprinderea de Stat pentru Silvicultură „Iargara”, Î.S. „Centrul Republican pentru Ameliorarea și Reproducerea Animalelor”, Î.S. „Institutul de Tehnică Agricolă „Mecagro”, Î.S. Sta</w:t>
      </w:r>
      <w:r w:rsidR="000873E3">
        <w:rPr>
          <w:sz w:val="28"/>
          <w:szCs w:val="28"/>
          <w:lang w:val="ro-RO"/>
        </w:rPr>
        <w:t>ț</w:t>
      </w:r>
      <w:r w:rsidR="002B5400" w:rsidRPr="00870FB6">
        <w:rPr>
          <w:sz w:val="28"/>
          <w:szCs w:val="28"/>
          <w:lang w:val="ro-RO"/>
        </w:rPr>
        <w:t>iunea Didactico-Experimentală „Criuleni”, Î.S. Combinatul Poligrafic din Chișinău, Î.S. Editura de Imprimate „Statistica”, Î.S. Institutul de cercetare, proiectare și Tehnologie ,,Energoproiect”, Î.S. Expedi</w:t>
      </w:r>
      <w:r w:rsidR="000873E3">
        <w:rPr>
          <w:sz w:val="28"/>
          <w:szCs w:val="28"/>
          <w:lang w:val="ro-RO"/>
        </w:rPr>
        <w:t>ț</w:t>
      </w:r>
      <w:r w:rsidR="002B5400" w:rsidRPr="00870FB6">
        <w:rPr>
          <w:sz w:val="28"/>
          <w:szCs w:val="28"/>
          <w:lang w:val="ro-RO"/>
        </w:rPr>
        <w:t>ia Hidro-Geologică din Moldova ,,EHGeoM”, Î.S. Sta</w:t>
      </w:r>
      <w:r w:rsidR="000873E3">
        <w:rPr>
          <w:sz w:val="28"/>
          <w:szCs w:val="28"/>
          <w:lang w:val="ro-RO"/>
        </w:rPr>
        <w:t>ț</w:t>
      </w:r>
      <w:r w:rsidR="002B5400" w:rsidRPr="00870FB6">
        <w:rPr>
          <w:sz w:val="28"/>
          <w:szCs w:val="28"/>
          <w:lang w:val="ro-RO"/>
        </w:rPr>
        <w:t xml:space="preserve">iunea </w:t>
      </w:r>
      <w:r w:rsidR="00BB30E0">
        <w:rPr>
          <w:sz w:val="28"/>
          <w:szCs w:val="28"/>
          <w:lang w:val="ro-RO"/>
        </w:rPr>
        <w:t>T</w:t>
      </w:r>
      <w:r w:rsidR="002B5400" w:rsidRPr="00870FB6">
        <w:rPr>
          <w:sz w:val="28"/>
          <w:szCs w:val="28"/>
          <w:lang w:val="ro-RO"/>
        </w:rPr>
        <w:t>ehnologică pentru Irigare Hîncești, Î.S. Teatrul Epic de Etnografie și Folclor ,,Ion Creangă”, Î.S. „Mold-Didactica”);</w:t>
      </w:r>
    </w:p>
    <w:p w:rsidR="002B5400" w:rsidRDefault="00C0260F" w:rsidP="00FF3911">
      <w:pPr>
        <w:pStyle w:val="NormalWeb"/>
        <w:numPr>
          <w:ilvl w:val="0"/>
          <w:numId w:val="4"/>
        </w:numPr>
        <w:tabs>
          <w:tab w:val="clear" w:pos="1560"/>
          <w:tab w:val="num" w:pos="567"/>
        </w:tabs>
        <w:spacing w:line="276" w:lineRule="auto"/>
        <w:ind w:left="0" w:firstLine="567"/>
        <w:rPr>
          <w:sz w:val="28"/>
          <w:szCs w:val="28"/>
          <w:lang w:val="ro-RO"/>
        </w:rPr>
      </w:pPr>
      <w:r w:rsidRPr="005C427F">
        <w:rPr>
          <w:sz w:val="28"/>
          <w:szCs w:val="28"/>
          <w:lang w:val="ro-RO"/>
        </w:rPr>
        <w:t>la societă</w:t>
      </w:r>
      <w:r w:rsidR="000873E3">
        <w:rPr>
          <w:sz w:val="28"/>
          <w:szCs w:val="28"/>
          <w:lang w:val="ro-RO"/>
        </w:rPr>
        <w:t>ț</w:t>
      </w:r>
      <w:r w:rsidRPr="005C427F">
        <w:rPr>
          <w:sz w:val="28"/>
          <w:szCs w:val="28"/>
          <w:lang w:val="ro-RO"/>
        </w:rPr>
        <w:t>ile pe ac</w:t>
      </w:r>
      <w:r w:rsidR="000873E3">
        <w:rPr>
          <w:sz w:val="28"/>
          <w:szCs w:val="28"/>
          <w:lang w:val="ro-RO"/>
        </w:rPr>
        <w:t>ț</w:t>
      </w:r>
      <w:r w:rsidRPr="005C427F">
        <w:rPr>
          <w:sz w:val="28"/>
          <w:szCs w:val="28"/>
          <w:lang w:val="ro-RO"/>
        </w:rPr>
        <w:t>iuni cu cota statului,</w:t>
      </w:r>
      <w:r>
        <w:rPr>
          <w:i/>
          <w:sz w:val="28"/>
          <w:szCs w:val="28"/>
          <w:lang w:val="ro-RO"/>
        </w:rPr>
        <w:t xml:space="preserve"> 14 inspectări, din care 10 inspectări conform planului de activitate și 4 inspectări la solicitarea organelor de drept </w:t>
      </w:r>
      <w:r w:rsidR="002B5400" w:rsidRPr="00870FB6">
        <w:rPr>
          <w:sz w:val="28"/>
          <w:szCs w:val="28"/>
          <w:lang w:val="ro-RO"/>
        </w:rPr>
        <w:t>(</w:t>
      </w:r>
      <w:r>
        <w:rPr>
          <w:sz w:val="28"/>
          <w:szCs w:val="28"/>
          <w:lang w:val="ro-RO"/>
        </w:rPr>
        <w:t xml:space="preserve">inclusiv la </w:t>
      </w:r>
      <w:r w:rsidR="002B5400" w:rsidRPr="00870FB6">
        <w:rPr>
          <w:sz w:val="28"/>
          <w:szCs w:val="28"/>
          <w:lang w:val="ro-RO"/>
        </w:rPr>
        <w:t>S.A. „Drumuri-Soroca”, S.A. „Termoelectrica”, S.A. „Energocom”, S.A. „Re</w:t>
      </w:r>
      <w:r w:rsidR="000873E3">
        <w:rPr>
          <w:sz w:val="28"/>
          <w:szCs w:val="28"/>
          <w:lang w:val="ro-RO"/>
        </w:rPr>
        <w:t>ț</w:t>
      </w:r>
      <w:r w:rsidR="002B5400" w:rsidRPr="00870FB6">
        <w:rPr>
          <w:sz w:val="28"/>
          <w:szCs w:val="28"/>
          <w:lang w:val="ro-RO"/>
        </w:rPr>
        <w:t>ele Electrice de Di</w:t>
      </w:r>
      <w:r w:rsidR="00BB30E0">
        <w:rPr>
          <w:sz w:val="28"/>
          <w:szCs w:val="28"/>
          <w:lang w:val="ro-RO"/>
        </w:rPr>
        <w:t>stribu</w:t>
      </w:r>
      <w:r w:rsidR="000873E3">
        <w:rPr>
          <w:sz w:val="28"/>
          <w:szCs w:val="28"/>
          <w:lang w:val="ro-RO"/>
        </w:rPr>
        <w:t>ț</w:t>
      </w:r>
      <w:r w:rsidR="00BB30E0">
        <w:rPr>
          <w:sz w:val="28"/>
          <w:szCs w:val="28"/>
          <w:lang w:val="ro-RO"/>
        </w:rPr>
        <w:t>ie Nord-Vest”, S.A. „CET-</w:t>
      </w:r>
      <w:r w:rsidR="002B5400" w:rsidRPr="00870FB6">
        <w:rPr>
          <w:sz w:val="28"/>
          <w:szCs w:val="28"/>
          <w:lang w:val="ro-RO"/>
        </w:rPr>
        <w:t>Nord”, S.A. „Furnizarea Energiei Electrice Nord”, S.A. „Drumuri-Criuleni”, S.A. „Drumuri-Orhei”, S.A. „Drumuri-Strășeni”, S.A. „Răut” și S.A. „Stadionul Republican”).</w:t>
      </w:r>
    </w:p>
    <w:p w:rsidR="00547CF6" w:rsidRPr="00826909" w:rsidRDefault="00547CF6" w:rsidP="00547CF6">
      <w:pPr>
        <w:spacing w:line="276" w:lineRule="auto"/>
        <w:ind w:firstLine="567"/>
        <w:jc w:val="both"/>
        <w:rPr>
          <w:sz w:val="28"/>
          <w:szCs w:val="28"/>
        </w:rPr>
      </w:pPr>
      <w:r w:rsidRPr="00826909">
        <w:rPr>
          <w:sz w:val="28"/>
          <w:szCs w:val="28"/>
        </w:rPr>
        <w:lastRenderedPageBreak/>
        <w:t>Cu referire la inspectarea financiară a activită</w:t>
      </w:r>
      <w:r>
        <w:rPr>
          <w:sz w:val="28"/>
          <w:szCs w:val="28"/>
        </w:rPr>
        <w:t>ț</w:t>
      </w:r>
      <w:r w:rsidRPr="00826909">
        <w:rPr>
          <w:sz w:val="28"/>
          <w:szCs w:val="28"/>
        </w:rPr>
        <w:t>ii economico-financiare a entită</w:t>
      </w:r>
      <w:r>
        <w:rPr>
          <w:sz w:val="28"/>
          <w:szCs w:val="28"/>
        </w:rPr>
        <w:t>ț</w:t>
      </w:r>
      <w:r w:rsidRPr="00826909">
        <w:rPr>
          <w:sz w:val="28"/>
          <w:szCs w:val="28"/>
        </w:rPr>
        <w:t>ilor economice cu proprietate de stat, în semestrul I al anului 2018, Inspec</w:t>
      </w:r>
      <w:r>
        <w:rPr>
          <w:sz w:val="28"/>
          <w:szCs w:val="28"/>
        </w:rPr>
        <w:t>ț</w:t>
      </w:r>
      <w:r w:rsidRPr="00826909">
        <w:rPr>
          <w:sz w:val="28"/>
          <w:szCs w:val="28"/>
        </w:rPr>
        <w:t>ia Financiară a efectuat:</w:t>
      </w:r>
    </w:p>
    <w:p w:rsidR="00547CF6" w:rsidRPr="00826909" w:rsidRDefault="00547CF6" w:rsidP="00547CF6">
      <w:pPr>
        <w:pStyle w:val="ListParagraph"/>
        <w:numPr>
          <w:ilvl w:val="0"/>
          <w:numId w:val="7"/>
        </w:numPr>
        <w:spacing w:line="276" w:lineRule="auto"/>
        <w:ind w:left="0" w:firstLine="567"/>
        <w:contextualSpacing/>
        <w:jc w:val="both"/>
        <w:rPr>
          <w:sz w:val="28"/>
          <w:szCs w:val="28"/>
        </w:rPr>
      </w:pPr>
      <w:r w:rsidRPr="00826909">
        <w:rPr>
          <w:i/>
          <w:sz w:val="28"/>
          <w:szCs w:val="28"/>
        </w:rPr>
        <w:t>23 inspectări la întreprinderile de stat, din care 21 inspectări tematice și</w:t>
      </w:r>
      <w:r>
        <w:rPr>
          <w:i/>
          <w:sz w:val="28"/>
          <w:szCs w:val="28"/>
        </w:rPr>
        <w:t xml:space="preserve">                             </w:t>
      </w:r>
      <w:r w:rsidRPr="00826909">
        <w:rPr>
          <w:i/>
          <w:sz w:val="28"/>
          <w:szCs w:val="28"/>
        </w:rPr>
        <w:t xml:space="preserve"> 2 inspectări complexe </w:t>
      </w:r>
      <w:r w:rsidRPr="00826909">
        <w:rPr>
          <w:sz w:val="28"/>
          <w:szCs w:val="28"/>
        </w:rPr>
        <w:t>(inclusiv la Î.S. „Calea Ferată din Moldova”, Î.S. „Sta</w:t>
      </w:r>
      <w:r>
        <w:rPr>
          <w:sz w:val="28"/>
          <w:szCs w:val="28"/>
        </w:rPr>
        <w:t>ț</w:t>
      </w:r>
      <w:r w:rsidRPr="00826909">
        <w:rPr>
          <w:sz w:val="28"/>
          <w:szCs w:val="28"/>
        </w:rPr>
        <w:t>iunea Didactico-Experimentală din Stăuceni”, Î.S. „Institutul de Proiectări pentru Organizarea Teritoriului”, Î.S. „Teatrul Na</w:t>
      </w:r>
      <w:r>
        <w:rPr>
          <w:sz w:val="28"/>
          <w:szCs w:val="28"/>
        </w:rPr>
        <w:t>ț</w:t>
      </w:r>
      <w:r w:rsidRPr="00826909">
        <w:rPr>
          <w:sz w:val="28"/>
          <w:szCs w:val="28"/>
        </w:rPr>
        <w:t>ional Eugene Ionesco”, Î.S. „Energorepara</w:t>
      </w:r>
      <w:r>
        <w:rPr>
          <w:sz w:val="28"/>
          <w:szCs w:val="28"/>
        </w:rPr>
        <w:t>ț</w:t>
      </w:r>
      <w:r w:rsidRPr="00826909">
        <w:rPr>
          <w:sz w:val="28"/>
          <w:szCs w:val="28"/>
        </w:rPr>
        <w:t>ii”, Î.S. „Silvo-Cinegetică Cimișlia”, Î.S. Editura „Universul”,</w:t>
      </w:r>
      <w:r w:rsidRPr="00826909">
        <w:t xml:space="preserve"> </w:t>
      </w:r>
      <w:r w:rsidRPr="00826909">
        <w:rPr>
          <w:sz w:val="28"/>
          <w:szCs w:val="28"/>
        </w:rPr>
        <w:t>Î.S. „Centrul Informa</w:t>
      </w:r>
      <w:r>
        <w:rPr>
          <w:sz w:val="28"/>
          <w:szCs w:val="28"/>
        </w:rPr>
        <w:t>ț</w:t>
      </w:r>
      <w:r w:rsidRPr="00826909">
        <w:rPr>
          <w:sz w:val="28"/>
          <w:szCs w:val="28"/>
        </w:rPr>
        <w:t>ional Agricol”, Î.S. „Întreprinderea pentru silvicultură Orhei”,</w:t>
      </w:r>
      <w:r w:rsidRPr="00826909">
        <w:t xml:space="preserve"> </w:t>
      </w:r>
      <w:r w:rsidRPr="00826909">
        <w:rPr>
          <w:sz w:val="28"/>
          <w:szCs w:val="28"/>
        </w:rPr>
        <w:t>Î.S. „Întreprinderea pentru silvicultură Șoldănești”, Î.S. „Poșta Moldovei”, Î.S. „Întreprinderea silvo-cinegetică Manta-V” etc.);</w:t>
      </w:r>
    </w:p>
    <w:p w:rsidR="00547CF6" w:rsidRPr="00826909" w:rsidRDefault="00547CF6" w:rsidP="00547CF6">
      <w:pPr>
        <w:pStyle w:val="ListParagraph"/>
        <w:numPr>
          <w:ilvl w:val="0"/>
          <w:numId w:val="7"/>
        </w:numPr>
        <w:spacing w:line="276" w:lineRule="auto"/>
        <w:ind w:left="0" w:firstLine="567"/>
        <w:contextualSpacing/>
        <w:jc w:val="both"/>
        <w:rPr>
          <w:sz w:val="28"/>
          <w:szCs w:val="28"/>
        </w:rPr>
      </w:pPr>
      <w:r w:rsidRPr="00826909">
        <w:rPr>
          <w:i/>
          <w:sz w:val="28"/>
          <w:szCs w:val="28"/>
        </w:rPr>
        <w:t>12 inspectări la societă</w:t>
      </w:r>
      <w:r>
        <w:rPr>
          <w:i/>
          <w:sz w:val="28"/>
          <w:szCs w:val="28"/>
        </w:rPr>
        <w:t>ț</w:t>
      </w:r>
      <w:r w:rsidRPr="00826909">
        <w:rPr>
          <w:i/>
          <w:sz w:val="28"/>
          <w:szCs w:val="28"/>
        </w:rPr>
        <w:t>ile pe ac</w:t>
      </w:r>
      <w:r>
        <w:rPr>
          <w:i/>
          <w:sz w:val="28"/>
          <w:szCs w:val="28"/>
        </w:rPr>
        <w:t>ț</w:t>
      </w:r>
      <w:r w:rsidRPr="00826909">
        <w:rPr>
          <w:i/>
          <w:sz w:val="28"/>
          <w:szCs w:val="28"/>
        </w:rPr>
        <w:t xml:space="preserve">iuni cu cota statului, din care o inspectare tematică și 11 inspectări complexe </w:t>
      </w:r>
      <w:r w:rsidRPr="00826909">
        <w:rPr>
          <w:sz w:val="28"/>
          <w:szCs w:val="28"/>
        </w:rPr>
        <w:t>(inclusiv la S.A. „Drumuri Băl</w:t>
      </w:r>
      <w:r>
        <w:rPr>
          <w:sz w:val="28"/>
          <w:szCs w:val="28"/>
        </w:rPr>
        <w:t>ț</w:t>
      </w:r>
      <w:r w:rsidRPr="00826909">
        <w:rPr>
          <w:sz w:val="28"/>
          <w:szCs w:val="28"/>
        </w:rPr>
        <w:t>i”, S.A. „Red-Nord”, S.A. „Drumuri Ialoveni”, S.A. „Barza Albă”, S.A. „Drumuri Criuleni”, S.A. „Tracom”, S.A. „Tutun</w:t>
      </w:r>
      <w:r>
        <w:rPr>
          <w:sz w:val="28"/>
          <w:szCs w:val="28"/>
        </w:rPr>
        <w:t>-</w:t>
      </w:r>
      <w:r w:rsidRPr="00826909">
        <w:rPr>
          <w:sz w:val="28"/>
          <w:szCs w:val="28"/>
        </w:rPr>
        <w:t>CTC”, S.A. „Drumuri Rîșcani”, S.A. „Drumuri</w:t>
      </w:r>
      <w:r>
        <w:rPr>
          <w:sz w:val="28"/>
          <w:szCs w:val="28"/>
        </w:rPr>
        <w:t xml:space="preserve"> </w:t>
      </w:r>
      <w:r w:rsidRPr="00826909">
        <w:rPr>
          <w:sz w:val="28"/>
          <w:szCs w:val="28"/>
        </w:rPr>
        <w:t>Strășeni”, S.A. Institutul de Cercetări Știin</w:t>
      </w:r>
      <w:r>
        <w:rPr>
          <w:sz w:val="28"/>
          <w:szCs w:val="28"/>
        </w:rPr>
        <w:t>ț</w:t>
      </w:r>
      <w:r w:rsidRPr="00826909">
        <w:rPr>
          <w:sz w:val="28"/>
          <w:szCs w:val="28"/>
        </w:rPr>
        <w:t>ifice „Rif-Acvaaparat”, S.A. „Răut” etc.).</w:t>
      </w:r>
    </w:p>
    <w:p w:rsidR="002B5400" w:rsidRDefault="00547CF6" w:rsidP="00235BF0">
      <w:pPr>
        <w:pStyle w:val="NormalWeb"/>
        <w:spacing w:after="240" w:line="276" w:lineRule="auto"/>
        <w:rPr>
          <w:sz w:val="28"/>
          <w:szCs w:val="28"/>
          <w:lang w:val="ro-RO"/>
        </w:rPr>
      </w:pPr>
      <w:r>
        <w:rPr>
          <w:sz w:val="28"/>
          <w:szCs w:val="28"/>
          <w:lang w:val="ro-RO"/>
        </w:rPr>
        <w:t>În rezultatul inspectărilor</w:t>
      </w:r>
      <w:r w:rsidR="002B5400" w:rsidRPr="00870FB6">
        <w:rPr>
          <w:sz w:val="28"/>
          <w:szCs w:val="28"/>
          <w:lang w:val="ro-RO"/>
        </w:rPr>
        <w:t xml:space="preserve"> au fost depistate </w:t>
      </w:r>
      <w:r w:rsidR="00BB30E0">
        <w:rPr>
          <w:sz w:val="28"/>
          <w:szCs w:val="28"/>
          <w:lang w:val="ro-RO"/>
        </w:rPr>
        <w:t>în mare parte</w:t>
      </w:r>
      <w:r w:rsidR="002B5400" w:rsidRPr="00870FB6">
        <w:rPr>
          <w:sz w:val="28"/>
          <w:szCs w:val="28"/>
          <w:lang w:val="ro-RO"/>
        </w:rPr>
        <w:t xml:space="preserve"> neajunsuri și încălcări ale legisla</w:t>
      </w:r>
      <w:r w:rsidR="000873E3">
        <w:rPr>
          <w:sz w:val="28"/>
          <w:szCs w:val="28"/>
          <w:lang w:val="ro-RO"/>
        </w:rPr>
        <w:t>ț</w:t>
      </w:r>
      <w:r w:rsidR="002B5400" w:rsidRPr="00870FB6">
        <w:rPr>
          <w:sz w:val="28"/>
          <w:szCs w:val="28"/>
          <w:lang w:val="ro-RO"/>
        </w:rPr>
        <w:t>iei în vigoare din domeniul financiar-contabil, precum și a legisla</w:t>
      </w:r>
      <w:r w:rsidR="000873E3">
        <w:rPr>
          <w:sz w:val="28"/>
          <w:szCs w:val="28"/>
          <w:lang w:val="ro-RO"/>
        </w:rPr>
        <w:t>ț</w:t>
      </w:r>
      <w:r w:rsidR="002B5400" w:rsidRPr="00870FB6">
        <w:rPr>
          <w:sz w:val="28"/>
          <w:szCs w:val="28"/>
          <w:lang w:val="ro-RO"/>
        </w:rPr>
        <w:t>iei aferente administrării patrimoniului public, unele din rezultatele inspectărilor fiind expediate organelor competente pentru examinare suplimentară. Despre ac</w:t>
      </w:r>
      <w:r w:rsidR="000873E3">
        <w:rPr>
          <w:sz w:val="28"/>
          <w:szCs w:val="28"/>
          <w:lang w:val="ro-RO"/>
        </w:rPr>
        <w:t>ț</w:t>
      </w:r>
      <w:r w:rsidR="002B5400" w:rsidRPr="00870FB6">
        <w:rPr>
          <w:sz w:val="28"/>
          <w:szCs w:val="28"/>
          <w:lang w:val="ro-RO"/>
        </w:rPr>
        <w:t>iunile întreprinse întru înlăturarea încălcărilor depistate</w:t>
      </w:r>
      <w:r w:rsidR="00C0260F">
        <w:rPr>
          <w:sz w:val="28"/>
          <w:szCs w:val="28"/>
          <w:lang w:val="ro-RO"/>
        </w:rPr>
        <w:t>,</w:t>
      </w:r>
      <w:r w:rsidR="002B5400" w:rsidRPr="00870FB6">
        <w:rPr>
          <w:sz w:val="28"/>
          <w:szCs w:val="28"/>
          <w:lang w:val="ro-RO"/>
        </w:rPr>
        <w:t xml:space="preserve"> entită</w:t>
      </w:r>
      <w:r w:rsidR="000873E3">
        <w:rPr>
          <w:sz w:val="28"/>
          <w:szCs w:val="28"/>
          <w:lang w:val="ro-RO"/>
        </w:rPr>
        <w:t>ț</w:t>
      </w:r>
      <w:r w:rsidR="002B5400" w:rsidRPr="00870FB6">
        <w:rPr>
          <w:sz w:val="28"/>
          <w:szCs w:val="28"/>
          <w:lang w:val="ro-RO"/>
        </w:rPr>
        <w:t>ile urmau să informeze în scris Inspec</w:t>
      </w:r>
      <w:r w:rsidR="000873E3">
        <w:rPr>
          <w:sz w:val="28"/>
          <w:szCs w:val="28"/>
          <w:lang w:val="ro-RO"/>
        </w:rPr>
        <w:t>ț</w:t>
      </w:r>
      <w:r w:rsidR="002B5400" w:rsidRPr="00870FB6">
        <w:rPr>
          <w:sz w:val="28"/>
          <w:szCs w:val="28"/>
          <w:lang w:val="ro-RO"/>
        </w:rPr>
        <w:t>ia Financiară, în termenii prescriși în actele de control, cu prezentarea documentelor confirmative.</w:t>
      </w:r>
    </w:p>
    <w:p w:rsidR="00661A1B" w:rsidRDefault="002B5400" w:rsidP="004670E4">
      <w:pPr>
        <w:spacing w:line="276" w:lineRule="auto"/>
        <w:ind w:firstLine="567"/>
        <w:jc w:val="both"/>
        <w:rPr>
          <w:sz w:val="28"/>
          <w:szCs w:val="28"/>
        </w:rPr>
      </w:pPr>
      <w:r w:rsidRPr="00870FB6">
        <w:rPr>
          <w:sz w:val="28"/>
          <w:szCs w:val="28"/>
        </w:rPr>
        <w:t>De asemenea, în anul 2017</w:t>
      </w:r>
      <w:r w:rsidR="00BD1D41" w:rsidRPr="00870FB6">
        <w:rPr>
          <w:sz w:val="28"/>
          <w:szCs w:val="28"/>
        </w:rPr>
        <w:t>, Curtea de Conturi a efectuat auditul</w:t>
      </w:r>
      <w:r w:rsidR="00C431DC" w:rsidRPr="00870FB6">
        <w:rPr>
          <w:sz w:val="28"/>
          <w:szCs w:val="28"/>
        </w:rPr>
        <w:t xml:space="preserve"> </w:t>
      </w:r>
      <w:r w:rsidR="00C431DC" w:rsidRPr="00870FB6">
        <w:rPr>
          <w:bCs/>
          <w:sz w:val="28"/>
          <w:szCs w:val="28"/>
        </w:rPr>
        <w:t>performan</w:t>
      </w:r>
      <w:r w:rsidR="000873E3">
        <w:rPr>
          <w:bCs/>
          <w:sz w:val="28"/>
          <w:szCs w:val="28"/>
        </w:rPr>
        <w:t>ț</w:t>
      </w:r>
      <w:r w:rsidR="00C431DC" w:rsidRPr="00870FB6">
        <w:rPr>
          <w:bCs/>
          <w:sz w:val="28"/>
          <w:szCs w:val="28"/>
        </w:rPr>
        <w:t>ei „Eficien</w:t>
      </w:r>
      <w:r w:rsidR="000873E3">
        <w:rPr>
          <w:bCs/>
          <w:sz w:val="28"/>
          <w:szCs w:val="28"/>
        </w:rPr>
        <w:t>ț</w:t>
      </w:r>
      <w:r w:rsidR="00C431DC" w:rsidRPr="00870FB6">
        <w:rPr>
          <w:bCs/>
          <w:sz w:val="28"/>
          <w:szCs w:val="28"/>
        </w:rPr>
        <w:t>a administrării</w:t>
      </w:r>
      <w:r w:rsidR="00C431DC" w:rsidRPr="00870FB6">
        <w:rPr>
          <w:sz w:val="28"/>
          <w:szCs w:val="28"/>
        </w:rPr>
        <w:t xml:space="preserve"> </w:t>
      </w:r>
      <w:r w:rsidR="00C431DC" w:rsidRPr="00870FB6">
        <w:rPr>
          <w:bCs/>
          <w:sz w:val="28"/>
          <w:szCs w:val="28"/>
        </w:rPr>
        <w:t>patrimoniului public de către Combinatul de Vinuri „Cricova” S.A. şi</w:t>
      </w:r>
      <w:r w:rsidR="00C431DC" w:rsidRPr="00870FB6">
        <w:rPr>
          <w:sz w:val="28"/>
          <w:szCs w:val="28"/>
        </w:rPr>
        <w:t xml:space="preserve"> </w:t>
      </w:r>
      <w:r w:rsidR="00C431DC" w:rsidRPr="00870FB6">
        <w:rPr>
          <w:bCs/>
          <w:sz w:val="28"/>
          <w:szCs w:val="28"/>
        </w:rPr>
        <w:t>Centrul de Business şi Turism „Cricova-Vin” S.A. în perioada 2015-2016” (Hotărîrea Cur</w:t>
      </w:r>
      <w:r w:rsidR="000873E3">
        <w:rPr>
          <w:bCs/>
          <w:sz w:val="28"/>
          <w:szCs w:val="28"/>
        </w:rPr>
        <w:t>ț</w:t>
      </w:r>
      <w:r w:rsidR="00C431DC" w:rsidRPr="00870FB6">
        <w:rPr>
          <w:bCs/>
          <w:sz w:val="28"/>
          <w:szCs w:val="28"/>
        </w:rPr>
        <w:t>ii de Conturi nr. 30</w:t>
      </w:r>
      <w:r w:rsidR="00C25682">
        <w:rPr>
          <w:bCs/>
          <w:sz w:val="28"/>
          <w:szCs w:val="28"/>
        </w:rPr>
        <w:t>/</w:t>
      </w:r>
      <w:r w:rsidR="004670E4" w:rsidRPr="00870FB6">
        <w:rPr>
          <w:bCs/>
          <w:sz w:val="28"/>
          <w:szCs w:val="28"/>
        </w:rPr>
        <w:t>2017</w:t>
      </w:r>
      <w:r w:rsidR="00C431DC" w:rsidRPr="00870FB6">
        <w:rPr>
          <w:bCs/>
          <w:sz w:val="28"/>
          <w:szCs w:val="28"/>
        </w:rPr>
        <w:t>)</w:t>
      </w:r>
      <w:r w:rsidR="00661A1B" w:rsidRPr="00870FB6">
        <w:rPr>
          <w:sz w:val="28"/>
          <w:szCs w:val="28"/>
        </w:rPr>
        <w:t>,</w:t>
      </w:r>
      <w:r w:rsidR="002E23F7" w:rsidRPr="00870FB6">
        <w:rPr>
          <w:sz w:val="28"/>
          <w:szCs w:val="28"/>
        </w:rPr>
        <w:t xml:space="preserve"> </w:t>
      </w:r>
      <w:r w:rsidR="004670E4" w:rsidRPr="00870FB6">
        <w:rPr>
          <w:sz w:val="28"/>
          <w:szCs w:val="28"/>
        </w:rPr>
        <w:t xml:space="preserve">precum și </w:t>
      </w:r>
      <w:r w:rsidR="004670E4" w:rsidRPr="00870FB6">
        <w:rPr>
          <w:bCs/>
          <w:sz w:val="28"/>
          <w:szCs w:val="28"/>
        </w:rPr>
        <w:t>auditul privind evaluarea gradului</w:t>
      </w:r>
      <w:r w:rsidR="004670E4" w:rsidRPr="00870FB6">
        <w:rPr>
          <w:sz w:val="28"/>
          <w:szCs w:val="28"/>
        </w:rPr>
        <w:t xml:space="preserve"> </w:t>
      </w:r>
      <w:r w:rsidR="004670E4" w:rsidRPr="00870FB6">
        <w:rPr>
          <w:bCs/>
          <w:sz w:val="28"/>
          <w:szCs w:val="28"/>
        </w:rPr>
        <w:t>de implementare a cerin</w:t>
      </w:r>
      <w:r w:rsidR="000873E3">
        <w:rPr>
          <w:bCs/>
          <w:sz w:val="28"/>
          <w:szCs w:val="28"/>
        </w:rPr>
        <w:t>ț</w:t>
      </w:r>
      <w:r w:rsidR="004670E4" w:rsidRPr="00870FB6">
        <w:rPr>
          <w:bCs/>
          <w:sz w:val="28"/>
          <w:szCs w:val="28"/>
        </w:rPr>
        <w:t>elor şi recomandărilor de audit dispuse</w:t>
      </w:r>
      <w:r w:rsidR="004670E4" w:rsidRPr="00870FB6">
        <w:rPr>
          <w:sz w:val="28"/>
          <w:szCs w:val="28"/>
        </w:rPr>
        <w:t xml:space="preserve"> </w:t>
      </w:r>
      <w:r w:rsidR="004670E4" w:rsidRPr="00870FB6">
        <w:rPr>
          <w:bCs/>
          <w:sz w:val="28"/>
          <w:szCs w:val="28"/>
        </w:rPr>
        <w:t>potrivit Hotărîrii Cur</w:t>
      </w:r>
      <w:r w:rsidR="000873E3">
        <w:rPr>
          <w:bCs/>
          <w:sz w:val="28"/>
          <w:szCs w:val="28"/>
        </w:rPr>
        <w:t>ț</w:t>
      </w:r>
      <w:r w:rsidR="004670E4" w:rsidRPr="00870FB6">
        <w:rPr>
          <w:bCs/>
          <w:sz w:val="28"/>
          <w:szCs w:val="28"/>
        </w:rPr>
        <w:t>ii de Conturi nr.55</w:t>
      </w:r>
      <w:r w:rsidR="00C25682">
        <w:rPr>
          <w:bCs/>
          <w:sz w:val="28"/>
          <w:szCs w:val="28"/>
        </w:rPr>
        <w:t>/</w:t>
      </w:r>
      <w:r w:rsidR="004670E4" w:rsidRPr="00870FB6">
        <w:rPr>
          <w:bCs/>
          <w:sz w:val="28"/>
          <w:szCs w:val="28"/>
        </w:rPr>
        <w:t>2014</w:t>
      </w:r>
      <w:r w:rsidR="00870FB6" w:rsidRPr="00870FB6">
        <w:rPr>
          <w:bCs/>
          <w:sz w:val="28"/>
          <w:szCs w:val="28"/>
        </w:rPr>
        <w:t xml:space="preserve"> (Hotărîrea Cur</w:t>
      </w:r>
      <w:r w:rsidR="000873E3">
        <w:rPr>
          <w:bCs/>
          <w:sz w:val="28"/>
          <w:szCs w:val="28"/>
        </w:rPr>
        <w:t>ț</w:t>
      </w:r>
      <w:r w:rsidR="00870FB6" w:rsidRPr="00870FB6">
        <w:rPr>
          <w:bCs/>
          <w:sz w:val="28"/>
          <w:szCs w:val="28"/>
        </w:rPr>
        <w:t>ii de Conturi nr. 1</w:t>
      </w:r>
      <w:r w:rsidR="00C25682">
        <w:rPr>
          <w:bCs/>
          <w:sz w:val="28"/>
          <w:szCs w:val="28"/>
        </w:rPr>
        <w:t>/</w:t>
      </w:r>
      <w:r w:rsidR="00870FB6" w:rsidRPr="00870FB6">
        <w:rPr>
          <w:bCs/>
          <w:sz w:val="28"/>
          <w:szCs w:val="28"/>
        </w:rPr>
        <w:t xml:space="preserve">2017), </w:t>
      </w:r>
      <w:r w:rsidR="00870FB6" w:rsidRPr="00870FB6">
        <w:rPr>
          <w:sz w:val="28"/>
          <w:szCs w:val="28"/>
        </w:rPr>
        <w:t>în rezultatul cărora</w:t>
      </w:r>
      <w:r w:rsidR="002E23F7" w:rsidRPr="00870FB6">
        <w:rPr>
          <w:sz w:val="28"/>
          <w:szCs w:val="28"/>
        </w:rPr>
        <w:t xml:space="preserve"> s-au înaintat recomandări de înlăturare a încălcărilor şi deficien</w:t>
      </w:r>
      <w:r w:rsidR="000873E3">
        <w:rPr>
          <w:sz w:val="28"/>
          <w:szCs w:val="28"/>
        </w:rPr>
        <w:t>ț</w:t>
      </w:r>
      <w:r w:rsidR="002E23F7" w:rsidRPr="00870FB6">
        <w:rPr>
          <w:sz w:val="28"/>
          <w:szCs w:val="28"/>
        </w:rPr>
        <w:t>elor depistate</w:t>
      </w:r>
      <w:r w:rsidR="00870FB6" w:rsidRPr="00870FB6">
        <w:rPr>
          <w:sz w:val="28"/>
          <w:szCs w:val="28"/>
        </w:rPr>
        <w:t xml:space="preserve"> la </w:t>
      </w:r>
      <w:r w:rsidR="00870FB6" w:rsidRPr="00870FB6">
        <w:rPr>
          <w:bCs/>
          <w:sz w:val="28"/>
          <w:szCs w:val="28"/>
        </w:rPr>
        <w:t>Combinatul de Vinuri „Cricova” S.A., precum și</w:t>
      </w:r>
      <w:r w:rsidR="00D67051" w:rsidRPr="00870FB6">
        <w:rPr>
          <w:sz w:val="28"/>
          <w:szCs w:val="28"/>
        </w:rPr>
        <w:t xml:space="preserve"> la Î.S. „</w:t>
      </w:r>
      <w:r w:rsidR="00870FB6" w:rsidRPr="00870FB6">
        <w:rPr>
          <w:sz w:val="28"/>
          <w:szCs w:val="28"/>
        </w:rPr>
        <w:t>Centrul Republican pentru Ameliorarea și Reproduc</w:t>
      </w:r>
      <w:r w:rsidR="000873E3">
        <w:rPr>
          <w:sz w:val="28"/>
          <w:szCs w:val="28"/>
        </w:rPr>
        <w:t>ț</w:t>
      </w:r>
      <w:r w:rsidR="00870FB6" w:rsidRPr="00870FB6">
        <w:rPr>
          <w:sz w:val="28"/>
          <w:szCs w:val="28"/>
        </w:rPr>
        <w:t>ia Animalelor</w:t>
      </w:r>
      <w:r w:rsidR="00D67051" w:rsidRPr="00870FB6">
        <w:rPr>
          <w:sz w:val="28"/>
          <w:szCs w:val="28"/>
        </w:rPr>
        <w:t>”.</w:t>
      </w:r>
      <w:r w:rsidR="002E23F7" w:rsidRPr="00870FB6">
        <w:rPr>
          <w:sz w:val="28"/>
          <w:szCs w:val="28"/>
        </w:rPr>
        <w:t xml:space="preserve"> </w:t>
      </w:r>
    </w:p>
    <w:p w:rsidR="00547CF6" w:rsidRPr="00210B8A" w:rsidRDefault="00547CF6" w:rsidP="00235BF0">
      <w:pPr>
        <w:pStyle w:val="tt"/>
        <w:spacing w:after="240" w:line="276" w:lineRule="auto"/>
        <w:ind w:firstLine="567"/>
        <w:jc w:val="both"/>
        <w:rPr>
          <w:b w:val="0"/>
          <w:sz w:val="28"/>
          <w:szCs w:val="28"/>
          <w:lang w:val="ro-RO"/>
        </w:rPr>
      </w:pPr>
      <w:r>
        <w:rPr>
          <w:b w:val="0"/>
          <w:sz w:val="28"/>
          <w:szCs w:val="28"/>
          <w:lang w:val="ro-RO"/>
        </w:rPr>
        <w:t>Î</w:t>
      </w:r>
      <w:r w:rsidRPr="00210B8A">
        <w:rPr>
          <w:b w:val="0"/>
          <w:sz w:val="28"/>
          <w:szCs w:val="28"/>
          <w:lang w:val="ro-RO"/>
        </w:rPr>
        <w:t>n semestrul I al anului 2018, Curtea de Conturi a efectuat auditul performan</w:t>
      </w:r>
      <w:r>
        <w:rPr>
          <w:b w:val="0"/>
          <w:sz w:val="28"/>
          <w:szCs w:val="28"/>
          <w:lang w:val="ro-RO"/>
        </w:rPr>
        <w:t>ț</w:t>
      </w:r>
      <w:r w:rsidRPr="00210B8A">
        <w:rPr>
          <w:b w:val="0"/>
          <w:sz w:val="28"/>
          <w:szCs w:val="28"/>
          <w:lang w:val="ro-RO"/>
        </w:rPr>
        <w:t>ei „Performan</w:t>
      </w:r>
      <w:r>
        <w:rPr>
          <w:b w:val="0"/>
          <w:sz w:val="28"/>
          <w:szCs w:val="28"/>
          <w:lang w:val="ro-RO"/>
        </w:rPr>
        <w:t>ț</w:t>
      </w:r>
      <w:r w:rsidRPr="00210B8A">
        <w:rPr>
          <w:b w:val="0"/>
          <w:sz w:val="28"/>
          <w:szCs w:val="28"/>
          <w:lang w:val="ro-RO"/>
        </w:rPr>
        <w:t>a sectorului feroviar este dependentă de implementarea coerentă a guvernan</w:t>
      </w:r>
      <w:r>
        <w:rPr>
          <w:b w:val="0"/>
          <w:sz w:val="28"/>
          <w:szCs w:val="28"/>
          <w:lang w:val="ro-RO"/>
        </w:rPr>
        <w:t>ț</w:t>
      </w:r>
      <w:r w:rsidRPr="00210B8A">
        <w:rPr>
          <w:b w:val="0"/>
          <w:sz w:val="28"/>
          <w:szCs w:val="28"/>
          <w:lang w:val="ro-RO"/>
        </w:rPr>
        <w:t>ei corporative și de investi</w:t>
      </w:r>
      <w:r>
        <w:rPr>
          <w:b w:val="0"/>
          <w:sz w:val="28"/>
          <w:szCs w:val="28"/>
          <w:lang w:val="ro-RO"/>
        </w:rPr>
        <w:t>ț</w:t>
      </w:r>
      <w:r w:rsidRPr="00210B8A">
        <w:rPr>
          <w:b w:val="0"/>
          <w:sz w:val="28"/>
          <w:szCs w:val="28"/>
          <w:lang w:val="ro-RO"/>
        </w:rPr>
        <w:t>iile efectuate în acest domeniu” în cadrul Î.S. „Calea Ferată din Moldova” (Hotărîrea Cur</w:t>
      </w:r>
      <w:r>
        <w:rPr>
          <w:b w:val="0"/>
          <w:sz w:val="28"/>
          <w:szCs w:val="28"/>
          <w:lang w:val="ro-RO"/>
        </w:rPr>
        <w:t>ț</w:t>
      </w:r>
      <w:r w:rsidRPr="00210B8A">
        <w:rPr>
          <w:b w:val="0"/>
          <w:sz w:val="28"/>
          <w:szCs w:val="28"/>
          <w:lang w:val="ro-RO"/>
        </w:rPr>
        <w:t>ii de Conturi nr. 8</w:t>
      </w:r>
      <w:r w:rsidR="00C25682">
        <w:rPr>
          <w:b w:val="0"/>
          <w:sz w:val="28"/>
          <w:szCs w:val="28"/>
          <w:lang w:val="ro-RO"/>
        </w:rPr>
        <w:t>/</w:t>
      </w:r>
      <w:r w:rsidRPr="00210B8A">
        <w:rPr>
          <w:b w:val="0"/>
          <w:sz w:val="28"/>
          <w:szCs w:val="28"/>
          <w:lang w:val="ro-RO"/>
        </w:rPr>
        <w:t xml:space="preserve">2018).  În rezultatul auditului s-au înaintat propuneri/recomandări de consolidare a </w:t>
      </w:r>
      <w:r w:rsidRPr="00210B8A">
        <w:rPr>
          <w:b w:val="0"/>
          <w:sz w:val="28"/>
          <w:szCs w:val="28"/>
          <w:lang w:val="ro-RO"/>
        </w:rPr>
        <w:lastRenderedPageBreak/>
        <w:t>guvernan</w:t>
      </w:r>
      <w:r>
        <w:rPr>
          <w:b w:val="0"/>
          <w:sz w:val="28"/>
          <w:szCs w:val="28"/>
          <w:lang w:val="ro-RO"/>
        </w:rPr>
        <w:t>ț</w:t>
      </w:r>
      <w:r w:rsidRPr="00210B8A">
        <w:rPr>
          <w:b w:val="0"/>
          <w:sz w:val="28"/>
          <w:szCs w:val="28"/>
          <w:lang w:val="ro-RO"/>
        </w:rPr>
        <w:t>ei corporative la întreprindere, gestionare eficientă a patrimoniului public, redresare a situa</w:t>
      </w:r>
      <w:r>
        <w:rPr>
          <w:b w:val="0"/>
          <w:sz w:val="28"/>
          <w:szCs w:val="28"/>
          <w:lang w:val="ro-RO"/>
        </w:rPr>
        <w:t>ț</w:t>
      </w:r>
      <w:r w:rsidRPr="00210B8A">
        <w:rPr>
          <w:b w:val="0"/>
          <w:sz w:val="28"/>
          <w:szCs w:val="28"/>
          <w:lang w:val="ro-RO"/>
        </w:rPr>
        <w:t>iei economice create etc.</w:t>
      </w:r>
    </w:p>
    <w:p w:rsidR="00B675B7" w:rsidRPr="000251FA" w:rsidRDefault="00B675B7" w:rsidP="00661A1B">
      <w:pPr>
        <w:spacing w:line="276" w:lineRule="auto"/>
        <w:ind w:firstLine="567"/>
        <w:jc w:val="both"/>
        <w:rPr>
          <w:sz w:val="28"/>
          <w:szCs w:val="28"/>
        </w:rPr>
      </w:pPr>
      <w:r w:rsidRPr="000251FA">
        <w:rPr>
          <w:sz w:val="28"/>
          <w:szCs w:val="28"/>
        </w:rPr>
        <w:t xml:space="preserve">Suplimentar, </w:t>
      </w:r>
      <w:r w:rsidR="005C427F">
        <w:rPr>
          <w:sz w:val="28"/>
          <w:szCs w:val="28"/>
        </w:rPr>
        <w:t>potrivit</w:t>
      </w:r>
      <w:r w:rsidRPr="000251FA">
        <w:rPr>
          <w:sz w:val="28"/>
          <w:szCs w:val="28"/>
        </w:rPr>
        <w:t xml:space="preserve"> </w:t>
      </w:r>
      <w:r w:rsidR="00870FB6" w:rsidRPr="000251FA">
        <w:rPr>
          <w:sz w:val="28"/>
          <w:szCs w:val="28"/>
        </w:rPr>
        <w:t>art. 11 al Legii nr. 246</w:t>
      </w:r>
      <w:r w:rsidR="00D16510">
        <w:rPr>
          <w:sz w:val="28"/>
          <w:szCs w:val="28"/>
        </w:rPr>
        <w:t>/</w:t>
      </w:r>
      <w:r w:rsidR="00870FB6" w:rsidRPr="000251FA">
        <w:rPr>
          <w:sz w:val="28"/>
          <w:szCs w:val="28"/>
        </w:rPr>
        <w:t>2017 cu privire la întreprinderea de stat și întreprinderea municipală, situa</w:t>
      </w:r>
      <w:r w:rsidR="000873E3">
        <w:rPr>
          <w:sz w:val="28"/>
          <w:szCs w:val="28"/>
        </w:rPr>
        <w:t>ț</w:t>
      </w:r>
      <w:r w:rsidR="00870FB6" w:rsidRPr="000251FA">
        <w:rPr>
          <w:sz w:val="28"/>
          <w:szCs w:val="28"/>
        </w:rPr>
        <w:t>iile financiare anuale ale întreprinderilor de stat</w:t>
      </w:r>
      <w:r w:rsidR="00C0260F">
        <w:rPr>
          <w:sz w:val="28"/>
          <w:szCs w:val="28"/>
        </w:rPr>
        <w:t xml:space="preserve"> </w:t>
      </w:r>
      <w:r w:rsidR="00870FB6" w:rsidRPr="000251FA">
        <w:rPr>
          <w:sz w:val="28"/>
          <w:szCs w:val="28"/>
        </w:rPr>
        <w:t>sînt supuse auditului obligatoriu, în cazul în care acestea fac parte din categoria entită</w:t>
      </w:r>
      <w:r w:rsidR="000873E3">
        <w:rPr>
          <w:sz w:val="28"/>
          <w:szCs w:val="28"/>
        </w:rPr>
        <w:t>ț</w:t>
      </w:r>
      <w:r w:rsidR="00870FB6" w:rsidRPr="000251FA">
        <w:rPr>
          <w:sz w:val="28"/>
          <w:szCs w:val="28"/>
        </w:rPr>
        <w:t>ilor mijlocii, a entită</w:t>
      </w:r>
      <w:r w:rsidR="000873E3">
        <w:rPr>
          <w:sz w:val="28"/>
          <w:szCs w:val="28"/>
        </w:rPr>
        <w:t>ț</w:t>
      </w:r>
      <w:r w:rsidR="00870FB6" w:rsidRPr="000251FA">
        <w:rPr>
          <w:sz w:val="28"/>
          <w:szCs w:val="28"/>
        </w:rPr>
        <w:t>ilor mari sau a entită</w:t>
      </w:r>
      <w:r w:rsidR="000873E3">
        <w:rPr>
          <w:sz w:val="28"/>
          <w:szCs w:val="28"/>
        </w:rPr>
        <w:t>ț</w:t>
      </w:r>
      <w:r w:rsidR="00870FB6" w:rsidRPr="000251FA">
        <w:rPr>
          <w:sz w:val="28"/>
          <w:szCs w:val="28"/>
        </w:rPr>
        <w:t xml:space="preserve">ilor de interes public, în corespundere cu </w:t>
      </w:r>
      <w:r w:rsidR="00E25525">
        <w:rPr>
          <w:sz w:val="28"/>
          <w:szCs w:val="28"/>
        </w:rPr>
        <w:t>Legea contabilită</w:t>
      </w:r>
      <w:r w:rsidR="000873E3">
        <w:rPr>
          <w:sz w:val="28"/>
          <w:szCs w:val="28"/>
        </w:rPr>
        <w:t>ț</w:t>
      </w:r>
      <w:r w:rsidR="00E25525">
        <w:rPr>
          <w:sz w:val="28"/>
          <w:szCs w:val="28"/>
        </w:rPr>
        <w:t>ii și raportării financiare nr. 287</w:t>
      </w:r>
      <w:r w:rsidR="00D16510">
        <w:rPr>
          <w:sz w:val="28"/>
          <w:szCs w:val="28"/>
        </w:rPr>
        <w:t>/</w:t>
      </w:r>
      <w:r w:rsidR="00E25525">
        <w:rPr>
          <w:sz w:val="28"/>
          <w:szCs w:val="28"/>
        </w:rPr>
        <w:t>2017</w:t>
      </w:r>
      <w:r w:rsidR="00870FB6" w:rsidRPr="000251FA">
        <w:rPr>
          <w:sz w:val="28"/>
          <w:szCs w:val="28"/>
        </w:rPr>
        <w:t>. T</w:t>
      </w:r>
      <w:r w:rsidR="000251FA" w:rsidRPr="000251FA">
        <w:rPr>
          <w:sz w:val="28"/>
          <w:szCs w:val="28"/>
        </w:rPr>
        <w:t>otodată, pentru auditarea situa</w:t>
      </w:r>
      <w:r w:rsidR="000873E3">
        <w:rPr>
          <w:sz w:val="28"/>
          <w:szCs w:val="28"/>
        </w:rPr>
        <w:t>ț</w:t>
      </w:r>
      <w:r w:rsidR="000251FA" w:rsidRPr="000251FA">
        <w:rPr>
          <w:sz w:val="28"/>
          <w:szCs w:val="28"/>
        </w:rPr>
        <w:t xml:space="preserve">iilor financiare ale întreprinderilor de stat, </w:t>
      </w:r>
      <w:r w:rsidR="00C0260F">
        <w:rPr>
          <w:sz w:val="28"/>
          <w:szCs w:val="28"/>
        </w:rPr>
        <w:t>aferente anului 2016</w:t>
      </w:r>
      <w:r w:rsidR="00D16510">
        <w:rPr>
          <w:sz w:val="28"/>
          <w:szCs w:val="28"/>
        </w:rPr>
        <w:t xml:space="preserve"> și 2017</w:t>
      </w:r>
      <w:r w:rsidR="000251FA" w:rsidRPr="000251FA">
        <w:rPr>
          <w:sz w:val="28"/>
          <w:szCs w:val="28"/>
        </w:rPr>
        <w:t>, au fost aplicabile prevederile</w:t>
      </w:r>
      <w:r w:rsidR="00D16510">
        <w:rPr>
          <w:sz w:val="28"/>
          <w:szCs w:val="28"/>
        </w:rPr>
        <w:t xml:space="preserve"> (criteriile din)</w:t>
      </w:r>
      <w:r w:rsidR="000251FA" w:rsidRPr="000251FA">
        <w:rPr>
          <w:sz w:val="28"/>
          <w:szCs w:val="28"/>
        </w:rPr>
        <w:t xml:space="preserve"> </w:t>
      </w:r>
      <w:r w:rsidRPr="000251FA">
        <w:rPr>
          <w:sz w:val="28"/>
          <w:szCs w:val="28"/>
        </w:rPr>
        <w:t>art.13</w:t>
      </w:r>
      <w:r w:rsidRPr="000251FA">
        <w:rPr>
          <w:sz w:val="28"/>
          <w:szCs w:val="28"/>
          <w:vertAlign w:val="superscript"/>
        </w:rPr>
        <w:t>1</w:t>
      </w:r>
      <w:r w:rsidRPr="000251FA">
        <w:rPr>
          <w:sz w:val="28"/>
          <w:szCs w:val="28"/>
        </w:rPr>
        <w:t xml:space="preserve"> al Legii nr.146</w:t>
      </w:r>
      <w:r w:rsidR="00D16510">
        <w:rPr>
          <w:sz w:val="28"/>
          <w:szCs w:val="28"/>
        </w:rPr>
        <w:t>/</w:t>
      </w:r>
      <w:r w:rsidRPr="000251FA">
        <w:rPr>
          <w:sz w:val="28"/>
          <w:szCs w:val="28"/>
        </w:rPr>
        <w:t>1994 cu privire la întreprinderea de stat</w:t>
      </w:r>
      <w:r w:rsidR="000251FA" w:rsidRPr="000251FA">
        <w:rPr>
          <w:sz w:val="28"/>
          <w:szCs w:val="28"/>
        </w:rPr>
        <w:t xml:space="preserve"> (abrogată la 22 decembrie 2017 prin Legea nr. 246</w:t>
      </w:r>
      <w:r w:rsidR="00D16510">
        <w:rPr>
          <w:sz w:val="28"/>
          <w:szCs w:val="28"/>
        </w:rPr>
        <w:t>/</w:t>
      </w:r>
      <w:r w:rsidR="000251FA" w:rsidRPr="000251FA">
        <w:rPr>
          <w:sz w:val="28"/>
          <w:szCs w:val="28"/>
        </w:rPr>
        <w:t>2017)</w:t>
      </w:r>
      <w:r w:rsidRPr="000251FA">
        <w:rPr>
          <w:sz w:val="28"/>
          <w:szCs w:val="28"/>
        </w:rPr>
        <w:t xml:space="preserve">, </w:t>
      </w:r>
      <w:r w:rsidR="000251FA" w:rsidRPr="000251FA">
        <w:rPr>
          <w:sz w:val="28"/>
          <w:szCs w:val="28"/>
        </w:rPr>
        <w:t xml:space="preserve">care stabileau că </w:t>
      </w:r>
      <w:r w:rsidRPr="000251FA">
        <w:rPr>
          <w:sz w:val="28"/>
          <w:szCs w:val="28"/>
        </w:rPr>
        <w:t>auditul obligatoriu al situa</w:t>
      </w:r>
      <w:r w:rsidR="000873E3">
        <w:rPr>
          <w:sz w:val="28"/>
          <w:szCs w:val="28"/>
        </w:rPr>
        <w:t>ț</w:t>
      </w:r>
      <w:r w:rsidRPr="000251FA">
        <w:rPr>
          <w:sz w:val="28"/>
          <w:szCs w:val="28"/>
        </w:rPr>
        <w:t>iilor financiare anuale se efectuează la întreprinderile care depăşesc, pentru ultimele două perioade consecutive de gestiune precedente, limitele a două din următoarele criterii:</w:t>
      </w:r>
    </w:p>
    <w:p w:rsidR="00661A1B" w:rsidRPr="000251FA" w:rsidRDefault="00B675B7" w:rsidP="00FF3911">
      <w:pPr>
        <w:pStyle w:val="ListParagraph"/>
        <w:numPr>
          <w:ilvl w:val="0"/>
          <w:numId w:val="4"/>
        </w:numPr>
        <w:tabs>
          <w:tab w:val="clear" w:pos="1560"/>
          <w:tab w:val="num" w:pos="851"/>
        </w:tabs>
        <w:spacing w:line="276" w:lineRule="auto"/>
        <w:ind w:hanging="993"/>
        <w:jc w:val="both"/>
        <w:rPr>
          <w:sz w:val="28"/>
          <w:szCs w:val="28"/>
        </w:rPr>
      </w:pPr>
      <w:r w:rsidRPr="000251FA">
        <w:rPr>
          <w:sz w:val="28"/>
          <w:szCs w:val="28"/>
        </w:rPr>
        <w:t>capital social – 500,0 mii lei;</w:t>
      </w:r>
    </w:p>
    <w:p w:rsidR="00661A1B" w:rsidRPr="000251FA" w:rsidRDefault="00B675B7" w:rsidP="00FF3911">
      <w:pPr>
        <w:pStyle w:val="ListParagraph"/>
        <w:numPr>
          <w:ilvl w:val="0"/>
          <w:numId w:val="4"/>
        </w:numPr>
        <w:tabs>
          <w:tab w:val="clear" w:pos="1560"/>
          <w:tab w:val="num" w:pos="851"/>
        </w:tabs>
        <w:spacing w:line="276" w:lineRule="auto"/>
        <w:ind w:hanging="993"/>
        <w:jc w:val="both"/>
        <w:rPr>
          <w:sz w:val="28"/>
          <w:szCs w:val="28"/>
        </w:rPr>
      </w:pPr>
      <w:r w:rsidRPr="000251FA">
        <w:rPr>
          <w:sz w:val="28"/>
          <w:szCs w:val="28"/>
        </w:rPr>
        <w:t>total venituri – 10000,0 mii lei;</w:t>
      </w:r>
    </w:p>
    <w:p w:rsidR="00B675B7" w:rsidRPr="000251FA" w:rsidRDefault="00B675B7" w:rsidP="00FF3911">
      <w:pPr>
        <w:pStyle w:val="ListParagraph"/>
        <w:numPr>
          <w:ilvl w:val="0"/>
          <w:numId w:val="4"/>
        </w:numPr>
        <w:tabs>
          <w:tab w:val="clear" w:pos="1560"/>
          <w:tab w:val="num" w:pos="851"/>
        </w:tabs>
        <w:spacing w:line="276" w:lineRule="auto"/>
        <w:ind w:hanging="993"/>
        <w:jc w:val="both"/>
        <w:rPr>
          <w:sz w:val="28"/>
          <w:szCs w:val="28"/>
        </w:rPr>
      </w:pPr>
      <w:r w:rsidRPr="000251FA">
        <w:rPr>
          <w:sz w:val="28"/>
          <w:szCs w:val="28"/>
        </w:rPr>
        <w:t xml:space="preserve">numărul mediu scriptic al personalului în perioada de gestiune – 100 persoane. </w:t>
      </w:r>
    </w:p>
    <w:p w:rsidR="00661A1B" w:rsidRPr="000251FA" w:rsidRDefault="00B675B7" w:rsidP="00661A1B">
      <w:pPr>
        <w:spacing w:line="276" w:lineRule="auto"/>
        <w:ind w:firstLine="567"/>
        <w:jc w:val="both"/>
        <w:rPr>
          <w:sz w:val="28"/>
          <w:szCs w:val="28"/>
        </w:rPr>
      </w:pPr>
      <w:r w:rsidRPr="000251FA">
        <w:rPr>
          <w:sz w:val="28"/>
          <w:szCs w:val="28"/>
        </w:rPr>
        <w:t>Totodată, potrivit art. 89 alin.(1) al Legii nr.1134</w:t>
      </w:r>
      <w:r w:rsidR="00D16510">
        <w:rPr>
          <w:sz w:val="28"/>
          <w:szCs w:val="28"/>
        </w:rPr>
        <w:t>/</w:t>
      </w:r>
      <w:r w:rsidRPr="000251FA">
        <w:rPr>
          <w:sz w:val="28"/>
          <w:szCs w:val="28"/>
        </w:rPr>
        <w:t>1997 privind societă</w:t>
      </w:r>
      <w:r w:rsidR="000873E3">
        <w:rPr>
          <w:sz w:val="28"/>
          <w:szCs w:val="28"/>
        </w:rPr>
        <w:t>ț</w:t>
      </w:r>
      <w:r w:rsidRPr="000251FA">
        <w:rPr>
          <w:sz w:val="28"/>
          <w:szCs w:val="28"/>
        </w:rPr>
        <w:t>ile pe ac</w:t>
      </w:r>
      <w:r w:rsidR="000873E3">
        <w:rPr>
          <w:sz w:val="28"/>
          <w:szCs w:val="28"/>
        </w:rPr>
        <w:t>ț</w:t>
      </w:r>
      <w:r w:rsidRPr="000251FA">
        <w:rPr>
          <w:sz w:val="28"/>
          <w:szCs w:val="28"/>
        </w:rPr>
        <w:t>iuni, auditul obligatoriu al situa</w:t>
      </w:r>
      <w:r w:rsidR="000873E3">
        <w:rPr>
          <w:sz w:val="28"/>
          <w:szCs w:val="28"/>
        </w:rPr>
        <w:t>ț</w:t>
      </w:r>
      <w:r w:rsidRPr="000251FA">
        <w:rPr>
          <w:sz w:val="28"/>
          <w:szCs w:val="28"/>
        </w:rPr>
        <w:t>iilor financiare anuale se efectuează la societatea în care cota statului depăşeşte 50% din capitalul social.</w:t>
      </w:r>
    </w:p>
    <w:p w:rsidR="00D16510" w:rsidRPr="00826909" w:rsidRDefault="00D16510" w:rsidP="00D16510">
      <w:pPr>
        <w:spacing w:line="276" w:lineRule="auto"/>
        <w:ind w:firstLine="567"/>
        <w:jc w:val="both"/>
        <w:rPr>
          <w:sz w:val="28"/>
          <w:szCs w:val="28"/>
        </w:rPr>
      </w:pPr>
      <w:r>
        <w:rPr>
          <w:sz w:val="28"/>
          <w:szCs w:val="28"/>
        </w:rPr>
        <w:t>Î</w:t>
      </w:r>
      <w:r w:rsidRPr="00826909">
        <w:rPr>
          <w:sz w:val="28"/>
          <w:szCs w:val="28"/>
        </w:rPr>
        <w:t>n conformitate cu lit.n)</w:t>
      </w:r>
      <w:r>
        <w:rPr>
          <w:sz w:val="28"/>
          <w:szCs w:val="28"/>
        </w:rPr>
        <w:t>,</w:t>
      </w:r>
      <w:r w:rsidRPr="00826909">
        <w:rPr>
          <w:sz w:val="28"/>
          <w:szCs w:val="28"/>
        </w:rPr>
        <w:t xml:space="preserve"> art.7 al Legii</w:t>
      </w:r>
      <w:r>
        <w:rPr>
          <w:sz w:val="28"/>
          <w:szCs w:val="28"/>
        </w:rPr>
        <w:t xml:space="preserve"> </w:t>
      </w:r>
      <w:r w:rsidRPr="00826909">
        <w:rPr>
          <w:sz w:val="28"/>
          <w:szCs w:val="28"/>
        </w:rPr>
        <w:t>nr.246</w:t>
      </w:r>
      <w:r>
        <w:rPr>
          <w:sz w:val="28"/>
          <w:szCs w:val="28"/>
        </w:rPr>
        <w:t>/</w:t>
      </w:r>
      <w:r w:rsidRPr="00826909">
        <w:rPr>
          <w:sz w:val="28"/>
          <w:szCs w:val="28"/>
        </w:rPr>
        <w:t>2017 și în conformitate cu alin.(6)</w:t>
      </w:r>
      <w:r>
        <w:rPr>
          <w:sz w:val="28"/>
          <w:szCs w:val="28"/>
        </w:rPr>
        <w:t xml:space="preserve">, </w:t>
      </w:r>
      <w:r w:rsidRPr="00826909">
        <w:rPr>
          <w:sz w:val="28"/>
          <w:szCs w:val="28"/>
        </w:rPr>
        <w:t>art.69 al Legii nr.1134</w:t>
      </w:r>
      <w:r>
        <w:rPr>
          <w:sz w:val="28"/>
          <w:szCs w:val="28"/>
        </w:rPr>
        <w:t>/</w:t>
      </w:r>
      <w:r w:rsidRPr="00826909">
        <w:rPr>
          <w:sz w:val="28"/>
          <w:szCs w:val="28"/>
        </w:rPr>
        <w:t>1997, fondatorul întreprinderii de stat și organul executiv al societă</w:t>
      </w:r>
      <w:r>
        <w:rPr>
          <w:sz w:val="28"/>
          <w:szCs w:val="28"/>
        </w:rPr>
        <w:t>ț</w:t>
      </w:r>
      <w:r w:rsidRPr="00826909">
        <w:rPr>
          <w:sz w:val="28"/>
          <w:szCs w:val="28"/>
        </w:rPr>
        <w:t>ii pe ac</w:t>
      </w:r>
      <w:r>
        <w:rPr>
          <w:sz w:val="28"/>
          <w:szCs w:val="28"/>
        </w:rPr>
        <w:t>ț</w:t>
      </w:r>
      <w:r w:rsidRPr="00826909">
        <w:rPr>
          <w:sz w:val="28"/>
          <w:szCs w:val="28"/>
        </w:rPr>
        <w:t>iuni în care cota statului reprezintă 50% plus o ac</w:t>
      </w:r>
      <w:r>
        <w:rPr>
          <w:sz w:val="28"/>
          <w:szCs w:val="28"/>
        </w:rPr>
        <w:t>ț</w:t>
      </w:r>
      <w:r w:rsidRPr="00826909">
        <w:rPr>
          <w:sz w:val="28"/>
          <w:szCs w:val="28"/>
        </w:rPr>
        <w:t>iune urmează să prezinte Ministerului Finan</w:t>
      </w:r>
      <w:r>
        <w:rPr>
          <w:sz w:val="28"/>
          <w:szCs w:val="28"/>
        </w:rPr>
        <w:t>ț</w:t>
      </w:r>
      <w:r w:rsidRPr="00826909">
        <w:rPr>
          <w:sz w:val="28"/>
          <w:szCs w:val="28"/>
        </w:rPr>
        <w:t xml:space="preserve">elor copia de pe raportul auditorului. </w:t>
      </w:r>
    </w:p>
    <w:p w:rsidR="000251FA" w:rsidRPr="000251FA" w:rsidRDefault="00D16510" w:rsidP="000251FA">
      <w:pPr>
        <w:spacing w:line="276" w:lineRule="auto"/>
        <w:ind w:firstLine="567"/>
        <w:jc w:val="both"/>
        <w:rPr>
          <w:sz w:val="28"/>
          <w:szCs w:val="28"/>
        </w:rPr>
      </w:pPr>
      <w:r>
        <w:rPr>
          <w:sz w:val="28"/>
          <w:szCs w:val="28"/>
        </w:rPr>
        <w:t>Astfel, a</w:t>
      </w:r>
      <w:r w:rsidR="00B675B7" w:rsidRPr="000251FA">
        <w:rPr>
          <w:sz w:val="28"/>
          <w:szCs w:val="28"/>
        </w:rPr>
        <w:t xml:space="preserve">nalizînd criteriile prenotate, </w:t>
      </w:r>
      <w:r w:rsidR="000251FA" w:rsidRPr="000251FA">
        <w:rPr>
          <w:sz w:val="28"/>
          <w:szCs w:val="28"/>
        </w:rPr>
        <w:t xml:space="preserve">s-a estimat că </w:t>
      </w:r>
      <w:r w:rsidR="000251FA" w:rsidRPr="00D16510">
        <w:rPr>
          <w:i/>
          <w:sz w:val="28"/>
          <w:szCs w:val="28"/>
        </w:rPr>
        <w:t>auditului obligatoriu al situa</w:t>
      </w:r>
      <w:r w:rsidR="000873E3" w:rsidRPr="00D16510">
        <w:rPr>
          <w:i/>
          <w:sz w:val="28"/>
          <w:szCs w:val="28"/>
        </w:rPr>
        <w:t>ț</w:t>
      </w:r>
      <w:r w:rsidR="000251FA" w:rsidRPr="00D16510">
        <w:rPr>
          <w:i/>
          <w:sz w:val="28"/>
          <w:szCs w:val="28"/>
        </w:rPr>
        <w:t>iilor financiare pentru anul 2016</w:t>
      </w:r>
      <w:r w:rsidR="000251FA" w:rsidRPr="000251FA">
        <w:rPr>
          <w:sz w:val="28"/>
          <w:szCs w:val="28"/>
        </w:rPr>
        <w:t xml:space="preserve"> urmau a fi supuse 67 întreprinderi de stat sau 38,1% din întreprinderile de stat care activează şi sunt supuse monitoringului economico-financiar efectuat de către Ministerul Finan</w:t>
      </w:r>
      <w:r w:rsidR="000873E3">
        <w:rPr>
          <w:sz w:val="28"/>
          <w:szCs w:val="28"/>
        </w:rPr>
        <w:t>ț</w:t>
      </w:r>
      <w:r w:rsidR="000251FA" w:rsidRPr="000251FA">
        <w:rPr>
          <w:sz w:val="28"/>
          <w:szCs w:val="28"/>
        </w:rPr>
        <w:t>elor. Totodată, auditului obligatoriu al situa</w:t>
      </w:r>
      <w:r w:rsidR="000873E3">
        <w:rPr>
          <w:sz w:val="28"/>
          <w:szCs w:val="28"/>
        </w:rPr>
        <w:t>ț</w:t>
      </w:r>
      <w:r w:rsidR="000251FA" w:rsidRPr="000251FA">
        <w:rPr>
          <w:sz w:val="28"/>
          <w:szCs w:val="28"/>
        </w:rPr>
        <w:t>iilor financiare pentru anul 2016, urmau a fi supuse 38 societă</w:t>
      </w:r>
      <w:r w:rsidR="000873E3">
        <w:rPr>
          <w:sz w:val="28"/>
          <w:szCs w:val="28"/>
        </w:rPr>
        <w:t>ț</w:t>
      </w:r>
      <w:r w:rsidR="000251FA" w:rsidRPr="000251FA">
        <w:rPr>
          <w:sz w:val="28"/>
          <w:szCs w:val="28"/>
        </w:rPr>
        <w:t>i pe ac</w:t>
      </w:r>
      <w:r w:rsidR="000873E3">
        <w:rPr>
          <w:sz w:val="28"/>
          <w:szCs w:val="28"/>
        </w:rPr>
        <w:t>ț</w:t>
      </w:r>
      <w:r w:rsidR="000251FA" w:rsidRPr="000251FA">
        <w:rPr>
          <w:sz w:val="28"/>
          <w:szCs w:val="28"/>
        </w:rPr>
        <w:t>iuni, respectiv 100% societă</w:t>
      </w:r>
      <w:r w:rsidR="000873E3">
        <w:rPr>
          <w:sz w:val="28"/>
          <w:szCs w:val="28"/>
        </w:rPr>
        <w:t>ț</w:t>
      </w:r>
      <w:r w:rsidR="000251FA" w:rsidRPr="000251FA">
        <w:rPr>
          <w:sz w:val="28"/>
          <w:szCs w:val="28"/>
        </w:rPr>
        <w:t>i pe ac</w:t>
      </w:r>
      <w:r w:rsidR="000873E3">
        <w:rPr>
          <w:sz w:val="28"/>
          <w:szCs w:val="28"/>
        </w:rPr>
        <w:t>ț</w:t>
      </w:r>
      <w:r w:rsidR="000251FA" w:rsidRPr="000251FA">
        <w:rPr>
          <w:sz w:val="28"/>
          <w:szCs w:val="28"/>
        </w:rPr>
        <w:t xml:space="preserve">iuni în care cota statului depăşeste 50% din capitalul social </w:t>
      </w:r>
      <w:r w:rsidR="00C0260F" w:rsidRPr="000251FA">
        <w:rPr>
          <w:sz w:val="28"/>
          <w:szCs w:val="28"/>
        </w:rPr>
        <w:t>(din care 3 societă</w:t>
      </w:r>
      <w:r w:rsidR="000873E3">
        <w:rPr>
          <w:sz w:val="28"/>
          <w:szCs w:val="28"/>
        </w:rPr>
        <w:t>ț</w:t>
      </w:r>
      <w:r w:rsidR="00C0260F" w:rsidRPr="000251FA">
        <w:rPr>
          <w:sz w:val="28"/>
          <w:szCs w:val="28"/>
        </w:rPr>
        <w:t>i pe ac</w:t>
      </w:r>
      <w:r w:rsidR="000873E3">
        <w:rPr>
          <w:sz w:val="28"/>
          <w:szCs w:val="28"/>
        </w:rPr>
        <w:t>ț</w:t>
      </w:r>
      <w:r w:rsidR="00C0260F" w:rsidRPr="000251FA">
        <w:rPr>
          <w:sz w:val="28"/>
          <w:szCs w:val="28"/>
        </w:rPr>
        <w:t>iuni nu înregistrau activitate)</w:t>
      </w:r>
      <w:r w:rsidR="000251FA" w:rsidRPr="000251FA">
        <w:rPr>
          <w:sz w:val="28"/>
          <w:szCs w:val="28"/>
        </w:rPr>
        <w:t>.</w:t>
      </w:r>
    </w:p>
    <w:p w:rsidR="003A7175" w:rsidRPr="003C4E7C" w:rsidRDefault="00D67051" w:rsidP="003A7175">
      <w:pPr>
        <w:spacing w:line="276" w:lineRule="auto"/>
        <w:ind w:firstLine="567"/>
        <w:jc w:val="both"/>
        <w:rPr>
          <w:sz w:val="28"/>
          <w:szCs w:val="28"/>
        </w:rPr>
      </w:pPr>
      <w:r w:rsidRPr="002E0D9A">
        <w:rPr>
          <w:sz w:val="28"/>
          <w:szCs w:val="28"/>
        </w:rPr>
        <w:t>Prin urmare, se enun</w:t>
      </w:r>
      <w:r w:rsidR="000873E3">
        <w:rPr>
          <w:sz w:val="28"/>
          <w:szCs w:val="28"/>
        </w:rPr>
        <w:t>ț</w:t>
      </w:r>
      <w:r w:rsidRPr="002E0D9A">
        <w:rPr>
          <w:sz w:val="28"/>
          <w:szCs w:val="28"/>
        </w:rPr>
        <w:t>ă că, în anul 201</w:t>
      </w:r>
      <w:r w:rsidR="002E0D9A" w:rsidRPr="002E0D9A">
        <w:rPr>
          <w:sz w:val="28"/>
          <w:szCs w:val="28"/>
        </w:rPr>
        <w:t>7</w:t>
      </w:r>
      <w:r w:rsidRPr="002E0D9A">
        <w:rPr>
          <w:sz w:val="28"/>
          <w:szCs w:val="28"/>
        </w:rPr>
        <w:t>, Ministerului Finan</w:t>
      </w:r>
      <w:r w:rsidR="000873E3">
        <w:rPr>
          <w:sz w:val="28"/>
          <w:szCs w:val="28"/>
        </w:rPr>
        <w:t>ț</w:t>
      </w:r>
      <w:r w:rsidRPr="002E0D9A">
        <w:rPr>
          <w:sz w:val="28"/>
          <w:szCs w:val="28"/>
        </w:rPr>
        <w:t>elor au fost prezentate</w:t>
      </w:r>
      <w:r w:rsidR="00E439C5" w:rsidRPr="002E0D9A">
        <w:rPr>
          <w:sz w:val="28"/>
          <w:szCs w:val="28"/>
        </w:rPr>
        <w:t xml:space="preserve"> copiile raportului de audit a </w:t>
      </w:r>
      <w:r w:rsidR="007E13E3" w:rsidRPr="00D16510">
        <w:rPr>
          <w:i/>
          <w:sz w:val="28"/>
          <w:szCs w:val="28"/>
        </w:rPr>
        <w:t>37</w:t>
      </w:r>
      <w:r w:rsidRPr="00D16510">
        <w:rPr>
          <w:i/>
          <w:sz w:val="28"/>
          <w:szCs w:val="28"/>
        </w:rPr>
        <w:t xml:space="preserve"> întreprinderi de stat sau </w:t>
      </w:r>
      <w:r w:rsidR="007E13E3" w:rsidRPr="00D16510">
        <w:rPr>
          <w:i/>
          <w:sz w:val="28"/>
          <w:szCs w:val="28"/>
        </w:rPr>
        <w:t>55,2</w:t>
      </w:r>
      <w:r w:rsidRPr="00D16510">
        <w:rPr>
          <w:i/>
          <w:sz w:val="28"/>
          <w:szCs w:val="28"/>
        </w:rPr>
        <w:t>%</w:t>
      </w:r>
      <w:r w:rsidRPr="00D16510">
        <w:rPr>
          <w:sz w:val="28"/>
          <w:szCs w:val="28"/>
        </w:rPr>
        <w:t xml:space="preserve"> din întreprinderile ce </w:t>
      </w:r>
      <w:r w:rsidR="00E25525" w:rsidRPr="00D16510">
        <w:rPr>
          <w:sz w:val="28"/>
          <w:szCs w:val="28"/>
        </w:rPr>
        <w:t xml:space="preserve">    </w:t>
      </w:r>
      <w:r w:rsidRPr="00D16510">
        <w:rPr>
          <w:sz w:val="28"/>
          <w:szCs w:val="28"/>
        </w:rPr>
        <w:t xml:space="preserve">s-au estimat a fi supuse auditului obligatoriu şi a </w:t>
      </w:r>
      <w:r w:rsidR="007E13E3" w:rsidRPr="00D16510">
        <w:rPr>
          <w:i/>
          <w:sz w:val="28"/>
          <w:szCs w:val="28"/>
        </w:rPr>
        <w:t xml:space="preserve">18 </w:t>
      </w:r>
      <w:r w:rsidR="00E439C5" w:rsidRPr="00D16510">
        <w:rPr>
          <w:i/>
          <w:sz w:val="28"/>
          <w:szCs w:val="28"/>
        </w:rPr>
        <w:t>societă</w:t>
      </w:r>
      <w:r w:rsidR="000873E3" w:rsidRPr="00D16510">
        <w:rPr>
          <w:i/>
          <w:sz w:val="28"/>
          <w:szCs w:val="28"/>
        </w:rPr>
        <w:t>ț</w:t>
      </w:r>
      <w:r w:rsidR="00E439C5" w:rsidRPr="00D16510">
        <w:rPr>
          <w:i/>
          <w:sz w:val="28"/>
          <w:szCs w:val="28"/>
        </w:rPr>
        <w:t>i pe ac</w:t>
      </w:r>
      <w:r w:rsidR="000873E3" w:rsidRPr="00D16510">
        <w:rPr>
          <w:i/>
          <w:sz w:val="28"/>
          <w:szCs w:val="28"/>
        </w:rPr>
        <w:t>ț</w:t>
      </w:r>
      <w:r w:rsidR="00E439C5" w:rsidRPr="00D16510">
        <w:rPr>
          <w:i/>
          <w:sz w:val="28"/>
          <w:szCs w:val="28"/>
        </w:rPr>
        <w:t xml:space="preserve">iuni sau </w:t>
      </w:r>
      <w:r w:rsidR="007E13E3" w:rsidRPr="00D16510">
        <w:rPr>
          <w:i/>
          <w:sz w:val="28"/>
          <w:szCs w:val="28"/>
        </w:rPr>
        <w:t>51,4</w:t>
      </w:r>
      <w:r w:rsidRPr="00D16510">
        <w:rPr>
          <w:i/>
          <w:sz w:val="28"/>
          <w:szCs w:val="28"/>
        </w:rPr>
        <w:t>%</w:t>
      </w:r>
      <w:r w:rsidRPr="007E13E3">
        <w:rPr>
          <w:sz w:val="28"/>
          <w:szCs w:val="28"/>
        </w:rPr>
        <w:t xml:space="preserve"> din societă</w:t>
      </w:r>
      <w:r w:rsidR="000873E3">
        <w:rPr>
          <w:sz w:val="28"/>
          <w:szCs w:val="28"/>
        </w:rPr>
        <w:t>ț</w:t>
      </w:r>
      <w:r w:rsidRPr="007E13E3">
        <w:rPr>
          <w:sz w:val="28"/>
          <w:szCs w:val="28"/>
        </w:rPr>
        <w:t>ile supuse auditului obligatoriu.</w:t>
      </w:r>
      <w:r w:rsidR="003A7175">
        <w:rPr>
          <w:sz w:val="28"/>
          <w:szCs w:val="28"/>
        </w:rPr>
        <w:t xml:space="preserve"> </w:t>
      </w:r>
      <w:r w:rsidR="003A7175" w:rsidRPr="003A7175">
        <w:rPr>
          <w:sz w:val="28"/>
          <w:szCs w:val="28"/>
        </w:rPr>
        <w:t>Concomitent, unele din întreprin</w:t>
      </w:r>
      <w:r w:rsidR="00C0260F">
        <w:rPr>
          <w:sz w:val="28"/>
          <w:szCs w:val="28"/>
        </w:rPr>
        <w:t>derile de stat care nu întruneau</w:t>
      </w:r>
      <w:r w:rsidR="003A7175" w:rsidRPr="003A7175">
        <w:rPr>
          <w:sz w:val="28"/>
          <w:szCs w:val="28"/>
        </w:rPr>
        <w:t xml:space="preserve"> criteriile prevăzute de Legea cu privire la întreprinderea de stat (9 </w:t>
      </w:r>
      <w:r w:rsidR="003A7175" w:rsidRPr="003C4E7C">
        <w:rPr>
          <w:sz w:val="28"/>
          <w:szCs w:val="28"/>
        </w:rPr>
        <w:t>la număr), de asemenea au efectuat auditul situa</w:t>
      </w:r>
      <w:r w:rsidR="000873E3">
        <w:rPr>
          <w:sz w:val="28"/>
          <w:szCs w:val="28"/>
        </w:rPr>
        <w:t>ț</w:t>
      </w:r>
      <w:r w:rsidR="003A7175" w:rsidRPr="003C4E7C">
        <w:rPr>
          <w:sz w:val="28"/>
          <w:szCs w:val="28"/>
        </w:rPr>
        <w:t>iilor financiare pentru anul 2016 în baza hotărîrii consiliului de administra</w:t>
      </w:r>
      <w:r w:rsidR="000873E3">
        <w:rPr>
          <w:sz w:val="28"/>
          <w:szCs w:val="28"/>
        </w:rPr>
        <w:t>ț</w:t>
      </w:r>
      <w:r w:rsidR="003A7175" w:rsidRPr="003C4E7C">
        <w:rPr>
          <w:sz w:val="28"/>
          <w:szCs w:val="28"/>
        </w:rPr>
        <w:t>ie şi au prezentat Ministerului Finan</w:t>
      </w:r>
      <w:r w:rsidR="000873E3">
        <w:rPr>
          <w:sz w:val="28"/>
          <w:szCs w:val="28"/>
        </w:rPr>
        <w:t>ț</w:t>
      </w:r>
      <w:r w:rsidR="003A7175" w:rsidRPr="003C4E7C">
        <w:rPr>
          <w:sz w:val="28"/>
          <w:szCs w:val="28"/>
        </w:rPr>
        <w:t>elor copiile</w:t>
      </w:r>
      <w:r w:rsidR="00E25525" w:rsidRPr="003C4E7C">
        <w:rPr>
          <w:sz w:val="28"/>
          <w:szCs w:val="28"/>
        </w:rPr>
        <w:t xml:space="preserve"> de pe rapoartele</w:t>
      </w:r>
      <w:r w:rsidR="003A7175" w:rsidRPr="003C4E7C">
        <w:rPr>
          <w:sz w:val="28"/>
          <w:szCs w:val="28"/>
        </w:rPr>
        <w:t xml:space="preserve"> de audit.</w:t>
      </w:r>
    </w:p>
    <w:p w:rsidR="00D16510" w:rsidRDefault="00DA61B5" w:rsidP="00D16510">
      <w:pPr>
        <w:spacing w:line="276" w:lineRule="auto"/>
        <w:ind w:firstLine="567"/>
        <w:jc w:val="both"/>
        <w:rPr>
          <w:sz w:val="28"/>
          <w:szCs w:val="28"/>
        </w:rPr>
      </w:pPr>
      <w:r>
        <w:rPr>
          <w:sz w:val="28"/>
          <w:szCs w:val="28"/>
        </w:rPr>
        <w:lastRenderedPageBreak/>
        <w:t>Totodată, a</w:t>
      </w:r>
      <w:r w:rsidR="00D16510" w:rsidRPr="00826909">
        <w:rPr>
          <w:sz w:val="28"/>
          <w:szCs w:val="28"/>
        </w:rPr>
        <w:t xml:space="preserve">nalizînd criteriile prenotate, s-a estimat că </w:t>
      </w:r>
      <w:r w:rsidR="00D16510" w:rsidRPr="00D16510">
        <w:rPr>
          <w:i/>
          <w:sz w:val="28"/>
          <w:szCs w:val="28"/>
        </w:rPr>
        <w:t>auditului obligatoriu al situațiilor financiare pentru anul 2017</w:t>
      </w:r>
      <w:r w:rsidR="00D16510" w:rsidRPr="00826909">
        <w:rPr>
          <w:sz w:val="28"/>
          <w:szCs w:val="28"/>
        </w:rPr>
        <w:t xml:space="preserve"> urmau a fi supuse 64 întreprinderi de stat sau 36,4% din întreprinderile de stat care activează şi sunt supuse monitoringului economico-financiar efectuat de către Ministerul Finan</w:t>
      </w:r>
      <w:r w:rsidR="00D16510">
        <w:rPr>
          <w:sz w:val="28"/>
          <w:szCs w:val="28"/>
        </w:rPr>
        <w:t>ț</w:t>
      </w:r>
      <w:r w:rsidR="00D16510" w:rsidRPr="00826909">
        <w:rPr>
          <w:sz w:val="28"/>
          <w:szCs w:val="28"/>
        </w:rPr>
        <w:t>elor. Totodată, auditului obligatoriu al situa</w:t>
      </w:r>
      <w:r w:rsidR="00D16510">
        <w:rPr>
          <w:sz w:val="28"/>
          <w:szCs w:val="28"/>
        </w:rPr>
        <w:t>ț</w:t>
      </w:r>
      <w:r w:rsidR="00D16510" w:rsidRPr="00826909">
        <w:rPr>
          <w:sz w:val="28"/>
          <w:szCs w:val="28"/>
        </w:rPr>
        <w:t xml:space="preserve">iilor financiare pentru anul 2017, </w:t>
      </w:r>
      <w:r w:rsidR="00D16510" w:rsidRPr="001C37D5">
        <w:rPr>
          <w:sz w:val="28"/>
          <w:szCs w:val="28"/>
        </w:rPr>
        <w:t>urmau a fi supuse 35 societă</w:t>
      </w:r>
      <w:r w:rsidR="00D16510">
        <w:rPr>
          <w:sz w:val="28"/>
          <w:szCs w:val="28"/>
        </w:rPr>
        <w:t>ț</w:t>
      </w:r>
      <w:r w:rsidR="00D16510" w:rsidRPr="001C37D5">
        <w:rPr>
          <w:sz w:val="28"/>
          <w:szCs w:val="28"/>
        </w:rPr>
        <w:t>i pe ac</w:t>
      </w:r>
      <w:r w:rsidR="00D16510">
        <w:rPr>
          <w:sz w:val="28"/>
          <w:szCs w:val="28"/>
        </w:rPr>
        <w:t>ț</w:t>
      </w:r>
      <w:r w:rsidR="00D16510" w:rsidRPr="001C37D5">
        <w:rPr>
          <w:sz w:val="28"/>
          <w:szCs w:val="28"/>
        </w:rPr>
        <w:t>iuni</w:t>
      </w:r>
      <w:r w:rsidR="00D16510" w:rsidRPr="00826909">
        <w:rPr>
          <w:sz w:val="28"/>
          <w:szCs w:val="28"/>
        </w:rPr>
        <w:t>, respectiv 100% societă</w:t>
      </w:r>
      <w:r w:rsidR="00D16510">
        <w:rPr>
          <w:sz w:val="28"/>
          <w:szCs w:val="28"/>
        </w:rPr>
        <w:t>ț</w:t>
      </w:r>
      <w:r w:rsidR="00D16510" w:rsidRPr="00826909">
        <w:rPr>
          <w:sz w:val="28"/>
          <w:szCs w:val="28"/>
        </w:rPr>
        <w:t>i pe ac</w:t>
      </w:r>
      <w:r w:rsidR="00D16510">
        <w:rPr>
          <w:sz w:val="28"/>
          <w:szCs w:val="28"/>
        </w:rPr>
        <w:t>ț</w:t>
      </w:r>
      <w:r w:rsidR="00D16510" w:rsidRPr="00826909">
        <w:rPr>
          <w:sz w:val="28"/>
          <w:szCs w:val="28"/>
        </w:rPr>
        <w:t>iuni în care cota statului depăşeste 50% din capitalul social, care sunt supuse monitoringului economico-financiar efectuat de către Ministerul Finan</w:t>
      </w:r>
      <w:r w:rsidR="00D16510">
        <w:rPr>
          <w:sz w:val="28"/>
          <w:szCs w:val="28"/>
        </w:rPr>
        <w:t>ț</w:t>
      </w:r>
      <w:r w:rsidR="00D16510" w:rsidRPr="00826909">
        <w:rPr>
          <w:sz w:val="28"/>
          <w:szCs w:val="28"/>
        </w:rPr>
        <w:t>elor.</w:t>
      </w:r>
    </w:p>
    <w:p w:rsidR="00D16510" w:rsidRPr="00826909" w:rsidRDefault="00D16510" w:rsidP="00D16510">
      <w:pPr>
        <w:spacing w:line="276" w:lineRule="auto"/>
        <w:ind w:firstLine="567"/>
        <w:jc w:val="both"/>
        <w:rPr>
          <w:sz w:val="28"/>
          <w:szCs w:val="28"/>
        </w:rPr>
      </w:pPr>
      <w:r w:rsidRPr="00826909">
        <w:rPr>
          <w:sz w:val="28"/>
          <w:szCs w:val="28"/>
        </w:rPr>
        <w:t xml:space="preserve">Prin urmare, </w:t>
      </w:r>
      <w:r>
        <w:rPr>
          <w:sz w:val="28"/>
          <w:szCs w:val="28"/>
        </w:rPr>
        <w:t xml:space="preserve">se enunță </w:t>
      </w:r>
      <w:r w:rsidRPr="001C1F9F">
        <w:rPr>
          <w:sz w:val="28"/>
          <w:szCs w:val="28"/>
        </w:rPr>
        <w:t xml:space="preserve">că, la situația din </w:t>
      </w:r>
      <w:r w:rsidR="003769C0">
        <w:rPr>
          <w:sz w:val="28"/>
          <w:szCs w:val="28"/>
        </w:rPr>
        <w:t>31</w:t>
      </w:r>
      <w:r w:rsidRPr="001C1F9F">
        <w:rPr>
          <w:sz w:val="28"/>
          <w:szCs w:val="28"/>
        </w:rPr>
        <w:t xml:space="preserve"> </w:t>
      </w:r>
      <w:r w:rsidR="00BA0737" w:rsidRPr="001C1F9F">
        <w:rPr>
          <w:sz w:val="28"/>
          <w:szCs w:val="28"/>
        </w:rPr>
        <w:t>octombrie</w:t>
      </w:r>
      <w:r w:rsidRPr="001C1F9F">
        <w:rPr>
          <w:sz w:val="28"/>
          <w:szCs w:val="28"/>
        </w:rPr>
        <w:t xml:space="preserve"> 2018, Ministerului Finanțelor au fost prezentate copiile raportului de audit a </w:t>
      </w:r>
      <w:r w:rsidRPr="001C1F9F">
        <w:rPr>
          <w:i/>
          <w:sz w:val="28"/>
          <w:szCs w:val="28"/>
        </w:rPr>
        <w:t>3</w:t>
      </w:r>
      <w:r w:rsidR="00BA0737" w:rsidRPr="001C1F9F">
        <w:rPr>
          <w:i/>
          <w:sz w:val="28"/>
          <w:szCs w:val="28"/>
        </w:rPr>
        <w:t>7</w:t>
      </w:r>
      <w:r w:rsidRPr="001C1F9F">
        <w:rPr>
          <w:i/>
          <w:sz w:val="28"/>
          <w:szCs w:val="28"/>
        </w:rPr>
        <w:t xml:space="preserve"> întreprinderi de stat sau 5</w:t>
      </w:r>
      <w:r w:rsidR="00BA0737" w:rsidRPr="001C1F9F">
        <w:rPr>
          <w:i/>
          <w:sz w:val="28"/>
          <w:szCs w:val="28"/>
        </w:rPr>
        <w:t>7,8</w:t>
      </w:r>
      <w:r w:rsidRPr="001C1F9F">
        <w:rPr>
          <w:i/>
          <w:sz w:val="28"/>
          <w:szCs w:val="28"/>
        </w:rPr>
        <w:t>%</w:t>
      </w:r>
      <w:r w:rsidRPr="001C1F9F">
        <w:rPr>
          <w:sz w:val="28"/>
          <w:szCs w:val="28"/>
        </w:rPr>
        <w:t xml:space="preserve"> din întreprinderile ce s-au estimat a fi supuse auditului obligatoriu şi a </w:t>
      </w:r>
      <w:r w:rsidRPr="001C1F9F">
        <w:rPr>
          <w:i/>
          <w:sz w:val="28"/>
          <w:szCs w:val="28"/>
        </w:rPr>
        <w:t>2</w:t>
      </w:r>
      <w:r w:rsidR="00BA0737" w:rsidRPr="001C1F9F">
        <w:rPr>
          <w:i/>
          <w:sz w:val="28"/>
          <w:szCs w:val="28"/>
        </w:rPr>
        <w:t>9</w:t>
      </w:r>
      <w:r w:rsidRPr="001C1F9F">
        <w:rPr>
          <w:i/>
          <w:sz w:val="28"/>
          <w:szCs w:val="28"/>
        </w:rPr>
        <w:t xml:space="preserve"> societăți pe acțiuni sau 8</w:t>
      </w:r>
      <w:r w:rsidR="00BA0737" w:rsidRPr="001C1F9F">
        <w:rPr>
          <w:i/>
          <w:sz w:val="28"/>
          <w:szCs w:val="28"/>
        </w:rPr>
        <w:t>2,</w:t>
      </w:r>
      <w:r w:rsidR="00635801">
        <w:rPr>
          <w:i/>
          <w:sz w:val="28"/>
          <w:szCs w:val="28"/>
        </w:rPr>
        <w:t>9</w:t>
      </w:r>
      <w:r w:rsidRPr="001C1F9F">
        <w:rPr>
          <w:i/>
          <w:sz w:val="28"/>
          <w:szCs w:val="28"/>
        </w:rPr>
        <w:t>%</w:t>
      </w:r>
      <w:r w:rsidRPr="001C1F9F">
        <w:rPr>
          <w:sz w:val="28"/>
          <w:szCs w:val="28"/>
        </w:rPr>
        <w:t xml:space="preserve"> din societățile supuse auditului obligatoriu. Concomitent, unele din întreprinderile de stat care nu întruneau criteriile prevăzute de lege (3 la număr), de asemenea au efectuat auditul situațiilor financiare pentru anul 2017 în baza deciziei consiliului de administrație</w:t>
      </w:r>
      <w:r w:rsidRPr="00826909">
        <w:rPr>
          <w:sz w:val="28"/>
          <w:szCs w:val="28"/>
        </w:rPr>
        <w:t xml:space="preserve"> și au prezentat Ministerului Finan</w:t>
      </w:r>
      <w:r>
        <w:rPr>
          <w:sz w:val="28"/>
          <w:szCs w:val="28"/>
        </w:rPr>
        <w:t>ț</w:t>
      </w:r>
      <w:r w:rsidRPr="00826909">
        <w:rPr>
          <w:sz w:val="28"/>
          <w:szCs w:val="28"/>
        </w:rPr>
        <w:t>elor copiile de pe rapoartele de audit.</w:t>
      </w:r>
    </w:p>
    <w:p w:rsidR="00D16510" w:rsidRPr="00826909" w:rsidRDefault="00635801" w:rsidP="00D16510">
      <w:pPr>
        <w:spacing w:line="276" w:lineRule="auto"/>
        <w:ind w:firstLine="567"/>
        <w:jc w:val="both"/>
        <w:rPr>
          <w:sz w:val="28"/>
          <w:szCs w:val="28"/>
        </w:rPr>
      </w:pPr>
      <w:r>
        <w:rPr>
          <w:sz w:val="28"/>
          <w:szCs w:val="28"/>
        </w:rPr>
        <w:t>P</w:t>
      </w:r>
      <w:r w:rsidR="00D16510" w:rsidRPr="00826909">
        <w:rPr>
          <w:sz w:val="28"/>
          <w:szCs w:val="28"/>
        </w:rPr>
        <w:t xml:space="preserve">otrivit art. 19 </w:t>
      </w:r>
      <w:r w:rsidR="00D16510">
        <w:rPr>
          <w:sz w:val="28"/>
          <w:szCs w:val="28"/>
        </w:rPr>
        <w:t>alin. (</w:t>
      </w:r>
      <w:r w:rsidR="00D16510" w:rsidRPr="00486D55">
        <w:rPr>
          <w:sz w:val="28"/>
          <w:szCs w:val="28"/>
        </w:rPr>
        <w:t>1</w:t>
      </w:r>
      <w:r w:rsidR="00D16510" w:rsidRPr="00486D55">
        <w:rPr>
          <w:sz w:val="28"/>
          <w:szCs w:val="28"/>
          <w:vertAlign w:val="superscript"/>
        </w:rPr>
        <w:t>1</w:t>
      </w:r>
      <w:r w:rsidR="00D16510" w:rsidRPr="00486D55">
        <w:rPr>
          <w:sz w:val="28"/>
          <w:szCs w:val="28"/>
        </w:rPr>
        <w:t xml:space="preserve">) </w:t>
      </w:r>
      <w:r w:rsidR="00D16510">
        <w:rPr>
          <w:sz w:val="28"/>
          <w:szCs w:val="28"/>
        </w:rPr>
        <w:t xml:space="preserve">lit. b) </w:t>
      </w:r>
      <w:r w:rsidR="00D16510" w:rsidRPr="00826909">
        <w:rPr>
          <w:sz w:val="28"/>
          <w:szCs w:val="28"/>
        </w:rPr>
        <w:t>din Legea nr. 246</w:t>
      </w:r>
      <w:r w:rsidR="00D16510">
        <w:rPr>
          <w:sz w:val="28"/>
          <w:szCs w:val="28"/>
        </w:rPr>
        <w:t>/</w:t>
      </w:r>
      <w:r w:rsidR="00D16510" w:rsidRPr="00826909">
        <w:rPr>
          <w:sz w:val="28"/>
          <w:szCs w:val="28"/>
        </w:rPr>
        <w:t xml:space="preserve">2017, </w:t>
      </w:r>
      <w:r w:rsidR="00D16510" w:rsidRPr="00D16510">
        <w:rPr>
          <w:i/>
          <w:sz w:val="28"/>
          <w:szCs w:val="28"/>
        </w:rPr>
        <w:t xml:space="preserve">situațiile financiare pentru anul 2018 </w:t>
      </w:r>
      <w:r w:rsidR="00D16510" w:rsidRPr="00826909">
        <w:rPr>
          <w:sz w:val="28"/>
          <w:szCs w:val="28"/>
        </w:rPr>
        <w:t>vor fi supuse auditului obligatoriu în cazul întreprinderilor de stat care, la 31 decembrie 2017, depăşesc limitele a două dintre următoarele criterii:</w:t>
      </w:r>
      <w:r w:rsidR="00D16510">
        <w:rPr>
          <w:sz w:val="28"/>
          <w:szCs w:val="28"/>
        </w:rPr>
        <w:t xml:space="preserve"> </w:t>
      </w:r>
      <w:r w:rsidR="00D16510" w:rsidRPr="00826909">
        <w:rPr>
          <w:sz w:val="28"/>
          <w:szCs w:val="28"/>
        </w:rPr>
        <w:t xml:space="preserve">capitalul social </w:t>
      </w:r>
      <w:r w:rsidR="00E9289F">
        <w:rPr>
          <w:sz w:val="28"/>
          <w:szCs w:val="28"/>
        </w:rPr>
        <w:t>-</w:t>
      </w:r>
      <w:r w:rsidR="00D16510" w:rsidRPr="00826909">
        <w:rPr>
          <w:sz w:val="28"/>
          <w:szCs w:val="28"/>
        </w:rPr>
        <w:t xml:space="preserve"> 63,6 </w:t>
      </w:r>
      <w:r w:rsidR="00D16510">
        <w:rPr>
          <w:sz w:val="28"/>
          <w:szCs w:val="28"/>
        </w:rPr>
        <w:t>mil.</w:t>
      </w:r>
      <w:r w:rsidR="00D16510" w:rsidRPr="00826909">
        <w:rPr>
          <w:sz w:val="28"/>
          <w:szCs w:val="28"/>
        </w:rPr>
        <w:t xml:space="preserve"> lei;</w:t>
      </w:r>
      <w:r w:rsidR="00D16510">
        <w:rPr>
          <w:sz w:val="28"/>
          <w:szCs w:val="28"/>
        </w:rPr>
        <w:t xml:space="preserve"> </w:t>
      </w:r>
      <w:r w:rsidR="00D16510" w:rsidRPr="00826909">
        <w:rPr>
          <w:sz w:val="28"/>
          <w:szCs w:val="28"/>
        </w:rPr>
        <w:t xml:space="preserve">totalul veniturilor </w:t>
      </w:r>
      <w:r w:rsidR="00E9289F">
        <w:rPr>
          <w:sz w:val="28"/>
          <w:szCs w:val="28"/>
        </w:rPr>
        <w:t>-</w:t>
      </w:r>
      <w:r w:rsidR="00D16510" w:rsidRPr="00826909">
        <w:rPr>
          <w:sz w:val="28"/>
          <w:szCs w:val="28"/>
        </w:rPr>
        <w:t xml:space="preserve"> 127,2 </w:t>
      </w:r>
      <w:r w:rsidR="00D16510">
        <w:rPr>
          <w:sz w:val="28"/>
          <w:szCs w:val="28"/>
        </w:rPr>
        <w:t>mil.</w:t>
      </w:r>
      <w:r w:rsidR="00D16510" w:rsidRPr="00826909">
        <w:rPr>
          <w:sz w:val="28"/>
          <w:szCs w:val="28"/>
        </w:rPr>
        <w:t xml:space="preserve"> lei;</w:t>
      </w:r>
      <w:r w:rsidR="00D16510">
        <w:rPr>
          <w:sz w:val="28"/>
          <w:szCs w:val="28"/>
        </w:rPr>
        <w:t xml:space="preserve"> </w:t>
      </w:r>
      <w:r w:rsidR="00D16510" w:rsidRPr="00826909">
        <w:rPr>
          <w:sz w:val="28"/>
          <w:szCs w:val="28"/>
        </w:rPr>
        <w:t>numărul mediu al salaria</w:t>
      </w:r>
      <w:r w:rsidR="00D16510">
        <w:rPr>
          <w:sz w:val="28"/>
          <w:szCs w:val="28"/>
        </w:rPr>
        <w:t>ț</w:t>
      </w:r>
      <w:r w:rsidR="00D16510" w:rsidRPr="00826909">
        <w:rPr>
          <w:sz w:val="28"/>
          <w:szCs w:val="28"/>
        </w:rPr>
        <w:t xml:space="preserve">ilor în perioada de gestiune </w:t>
      </w:r>
      <w:r w:rsidR="00E9289F">
        <w:rPr>
          <w:sz w:val="28"/>
          <w:szCs w:val="28"/>
        </w:rPr>
        <w:t xml:space="preserve">- </w:t>
      </w:r>
      <w:r w:rsidR="00D16510" w:rsidRPr="00826909">
        <w:rPr>
          <w:sz w:val="28"/>
          <w:szCs w:val="28"/>
        </w:rPr>
        <w:t>50.</w:t>
      </w:r>
    </w:p>
    <w:sectPr w:rsidR="00D16510" w:rsidRPr="00826909" w:rsidSect="00900FEE">
      <w:headerReference w:type="even" r:id="rId12"/>
      <w:headerReference w:type="default" r:id="rId13"/>
      <w:footerReference w:type="even" r:id="rId14"/>
      <w:footerReference w:type="default" r:id="rId15"/>
      <w:headerReference w:type="first" r:id="rId16"/>
      <w:footerReference w:type="first" r:id="rId17"/>
      <w:pgSz w:w="11906" w:h="16838" w:code="9"/>
      <w:pgMar w:top="992" w:right="991" w:bottom="284" w:left="1559" w:header="709" w:footer="4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778" w:rsidRDefault="002D5778">
      <w:r>
        <w:separator/>
      </w:r>
    </w:p>
  </w:endnote>
  <w:endnote w:type="continuationSeparator" w:id="0">
    <w:p w:rsidR="002D5778" w:rsidRDefault="002D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3E3" w:rsidRDefault="000873E3" w:rsidP="00D01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73E3" w:rsidRDefault="000873E3" w:rsidP="00D01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C8" w:rsidRDefault="00E316C8">
    <w:pPr>
      <w:pStyle w:val="Footer"/>
      <w:jc w:val="right"/>
    </w:pPr>
    <w:r>
      <w:fldChar w:fldCharType="begin"/>
    </w:r>
    <w:r>
      <w:instrText xml:space="preserve"> PAGE   \* MERGEFORMAT </w:instrText>
    </w:r>
    <w:r>
      <w:fldChar w:fldCharType="separate"/>
    </w:r>
    <w:r w:rsidR="000A59CF">
      <w:rPr>
        <w:noProof/>
      </w:rPr>
      <w:t>2</w:t>
    </w:r>
    <w:r>
      <w:rPr>
        <w:noProof/>
      </w:rPr>
      <w:fldChar w:fldCharType="end"/>
    </w:r>
  </w:p>
  <w:p w:rsidR="000873E3" w:rsidRDefault="000873E3" w:rsidP="00D01D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E" w:rsidRDefault="0053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778" w:rsidRDefault="002D5778">
      <w:r>
        <w:separator/>
      </w:r>
    </w:p>
  </w:footnote>
  <w:footnote w:type="continuationSeparator" w:id="0">
    <w:p w:rsidR="002D5778" w:rsidRDefault="002D5778">
      <w:r>
        <w:continuationSeparator/>
      </w:r>
    </w:p>
  </w:footnote>
  <w:footnote w:id="1">
    <w:p w:rsidR="001B4C33" w:rsidRPr="009C08BF" w:rsidRDefault="001B4C33" w:rsidP="009C08BF">
      <w:pPr>
        <w:pStyle w:val="FootnoteText"/>
        <w:jc w:val="both"/>
        <w:rPr>
          <w:sz w:val="16"/>
          <w:szCs w:val="16"/>
        </w:rPr>
      </w:pPr>
      <w:r w:rsidRPr="009C08BF">
        <w:rPr>
          <w:rStyle w:val="FootnoteReference"/>
          <w:sz w:val="16"/>
          <w:szCs w:val="16"/>
        </w:rPr>
        <w:footnoteRef/>
      </w:r>
      <w:r w:rsidRPr="009C08BF">
        <w:rPr>
          <w:sz w:val="16"/>
          <w:szCs w:val="16"/>
        </w:rPr>
        <w:t xml:space="preserve"> Modificarea considerabilă a indicatorilor Î.S. „Colegiul Național de Viticultură și Vinificație din Chișinău” este cauzată în mare parte de derularea procesului de reorganizare a întreprinderii de stat în conformitate cu Hotărîrea Guvernului nr. 781 din 22 iunie 2016 cu privire la reorganizarea Întreprinderii de Stat „Colegiul Național de Viticultură și Vinificație din Chișinău” și modificarea denumirii Instituției Publice „Colegiul Agricol din Țaul”. </w:t>
      </w:r>
    </w:p>
  </w:footnote>
  <w:footnote w:id="2">
    <w:p w:rsidR="009C08BF" w:rsidRDefault="009C08BF" w:rsidP="009C08BF">
      <w:pPr>
        <w:pStyle w:val="FootnoteText"/>
        <w:jc w:val="both"/>
      </w:pPr>
      <w:r w:rsidRPr="009C08BF">
        <w:rPr>
          <w:rStyle w:val="FootnoteReference"/>
          <w:sz w:val="16"/>
          <w:szCs w:val="16"/>
        </w:rPr>
        <w:footnoteRef/>
      </w:r>
      <w:r w:rsidRPr="009C08BF">
        <w:rPr>
          <w:sz w:val="16"/>
          <w:szCs w:val="16"/>
        </w:rPr>
        <w:t xml:space="preserve"> În conformitate cu prevederile Hotărîrii Guvernului nr. 1468 din 30 decembrie 2016 cu privire la aprobarea listelor drumurilor naționale și locale din Republica Moldova, a fost modificată în întregime lista drumurilor administrată de organul central de specialitate și respectiv rețeaua drumurilor aflată în gestiunea economică a Î.S. „Administrația de Stat a Drumurilor”. Pe parcursul anului 2017, drumurile locale aflate în gestiunea întreprinderii (circa 3500 km) au fost transmise autorităților publice locale de nivelul doi, ceea ce a influențat modificarea indicatorilor economici ai entității înregistrați la situația din 31 decembrie 2017 comparativ cu 1 ianuarie 2017.</w:t>
      </w:r>
    </w:p>
  </w:footnote>
  <w:footnote w:id="3">
    <w:p w:rsidR="000873E3" w:rsidRPr="009C08BF" w:rsidRDefault="000873E3" w:rsidP="009C08BF">
      <w:pPr>
        <w:pStyle w:val="FootnoteText"/>
        <w:jc w:val="both"/>
        <w:rPr>
          <w:sz w:val="16"/>
          <w:szCs w:val="16"/>
        </w:rPr>
      </w:pPr>
      <w:r w:rsidRPr="009C08BF">
        <w:rPr>
          <w:rStyle w:val="FootnoteReference"/>
          <w:sz w:val="16"/>
          <w:szCs w:val="16"/>
        </w:rPr>
        <w:footnoteRef/>
      </w:r>
      <w:r w:rsidRPr="009C08BF">
        <w:rPr>
          <w:sz w:val="16"/>
          <w:szCs w:val="16"/>
        </w:rPr>
        <w:t xml:space="preserve"> Diminuarea capitalului propriu</w:t>
      </w:r>
      <w:r w:rsidR="00D81951">
        <w:rPr>
          <w:sz w:val="16"/>
          <w:szCs w:val="16"/>
        </w:rPr>
        <w:t xml:space="preserve"> per total întreprinderi de stat</w:t>
      </w:r>
      <w:r w:rsidRPr="009C08BF">
        <w:rPr>
          <w:sz w:val="16"/>
          <w:szCs w:val="16"/>
        </w:rPr>
        <w:t xml:space="preserve"> a fost influențată în mare parte de micșorarea considerabilă a rezervelor Î.S. „Administrația de Stat a Drumurilor” din gestiunea Ministerului Economiei și Infrastructurii cu 482,0 mil. lei, ca rezultat al transmiterii, pe parcursul anului 2017, autorităților publice locale de nivelul doi a circa 3500 km drumuri locale aflate în gestiunea întreprinderii, în temeiul Hotărîrii Guvernului nr. 1468 din 30 decembrie 2016 cu privire la aprobarea listelor drumurilor naționale și locale din Republica Moldova.</w:t>
      </w:r>
    </w:p>
  </w:footnote>
  <w:footnote w:id="4">
    <w:p w:rsidR="000873E3" w:rsidRPr="008F7C74" w:rsidRDefault="000873E3" w:rsidP="009508E1">
      <w:pPr>
        <w:pStyle w:val="FootnoteText"/>
        <w:jc w:val="both"/>
        <w:rPr>
          <w:sz w:val="16"/>
          <w:szCs w:val="16"/>
          <w:lang w:val="ro-MD"/>
        </w:rPr>
      </w:pPr>
      <w:r w:rsidRPr="008F7C74">
        <w:rPr>
          <w:rStyle w:val="FootnoteReference"/>
          <w:sz w:val="16"/>
          <w:szCs w:val="16"/>
        </w:rPr>
        <w:footnoteRef/>
      </w:r>
      <w:r w:rsidRPr="008F7C74">
        <w:rPr>
          <w:sz w:val="16"/>
          <w:szCs w:val="16"/>
        </w:rPr>
        <w:t xml:space="preserve"> din care 57,8 mil. lei reprezintă valoarea terenurilor Î.S. Teatrul Național de Operă și Balet „Maria Bieșu”, care în anul 2016 </w:t>
      </w:r>
      <w:r w:rsidRPr="008F7C74">
        <w:rPr>
          <w:sz w:val="16"/>
          <w:szCs w:val="16"/>
          <w:lang w:val="ro-MD"/>
        </w:rPr>
        <w:t>au fost înregistrate în evidența contabilă în capitalul social și suplimentar (capitalul neînregistrat), iar în anul 2017,</w:t>
      </w:r>
      <w:r w:rsidRPr="008F7C74">
        <w:rPr>
          <w:sz w:val="16"/>
          <w:szCs w:val="16"/>
        </w:rPr>
        <w:t xml:space="preserve"> l</w:t>
      </w:r>
      <w:r w:rsidRPr="008F7C74">
        <w:rPr>
          <w:sz w:val="16"/>
          <w:szCs w:val="16"/>
          <w:lang w:val="ro-MD"/>
        </w:rPr>
        <w:t>a recomandarea societății de audit care a petrecut auditul situațiilor financiare pentru anul 2016, au fost trecute, conform Standardelor Naționale de Contabilitate, la capitolul „Datorii pe termen lung” (alte datorii pe termen lung).</w:t>
      </w:r>
    </w:p>
  </w:footnote>
  <w:footnote w:id="5">
    <w:p w:rsidR="000873E3" w:rsidRPr="00F6392A" w:rsidRDefault="000873E3" w:rsidP="00F6392A">
      <w:pPr>
        <w:pStyle w:val="FootnoteText"/>
        <w:jc w:val="both"/>
        <w:rPr>
          <w:sz w:val="18"/>
          <w:szCs w:val="18"/>
          <w:lang w:val="ro-MD"/>
        </w:rPr>
      </w:pPr>
      <w:r w:rsidRPr="008F7C74">
        <w:rPr>
          <w:rStyle w:val="FootnoteReference"/>
          <w:sz w:val="16"/>
          <w:szCs w:val="16"/>
        </w:rPr>
        <w:footnoteRef/>
      </w:r>
      <w:r w:rsidRPr="008F7C74">
        <w:rPr>
          <w:sz w:val="16"/>
          <w:szCs w:val="16"/>
        </w:rPr>
        <w:t xml:space="preserve"> </w:t>
      </w:r>
      <w:r w:rsidRPr="008F7C74">
        <w:rPr>
          <w:sz w:val="16"/>
          <w:szCs w:val="16"/>
          <w:lang w:val="ro-MD"/>
        </w:rPr>
        <w:t>Din 2996,7 mil. lei alte datorii pe termen lung, 2134,8 mil. lei sau 71,2% reprezintă alte datorii pe termen lung înregistrate de Î.S. „Administrația de Stat a Drumurilor”, care reprezintă în mare parte finanțări și încasări cu destinație specială pe termen lung în cadrul Proiectului de susținere al Programului în sectorul drumurilor.</w:t>
      </w:r>
    </w:p>
  </w:footnote>
  <w:footnote w:id="6">
    <w:p w:rsidR="008F7C74" w:rsidRPr="008F7C74" w:rsidRDefault="008F7C74" w:rsidP="008F7C74">
      <w:pPr>
        <w:pStyle w:val="FootnoteText"/>
        <w:jc w:val="both"/>
        <w:rPr>
          <w:sz w:val="16"/>
          <w:szCs w:val="16"/>
          <w:lang w:val="ro-MD"/>
        </w:rPr>
      </w:pPr>
      <w:r w:rsidRPr="008F7C74">
        <w:rPr>
          <w:rStyle w:val="FootnoteReference"/>
          <w:sz w:val="16"/>
          <w:szCs w:val="16"/>
        </w:rPr>
        <w:footnoteRef/>
      </w:r>
      <w:r w:rsidRPr="008F7C74">
        <w:rPr>
          <w:sz w:val="16"/>
          <w:szCs w:val="16"/>
        </w:rPr>
        <w:t xml:space="preserve"> din care 250,2 mil. lei reprezintă majorarea altor datorii pe termen lung, </w:t>
      </w:r>
      <w:r w:rsidRPr="008F7C74">
        <w:rPr>
          <w:sz w:val="16"/>
          <w:szCs w:val="16"/>
          <w:lang w:val="ro-MD"/>
        </w:rPr>
        <w:t>care reprezintă în mare parte finanțări și încasări cu destinație specială pe termen lung în cadrul Proiectului de susținere al Programului în sectorul drumurilor.</w:t>
      </w:r>
    </w:p>
  </w:footnote>
  <w:footnote w:id="7">
    <w:p w:rsidR="007C77F3" w:rsidRPr="007C77F3" w:rsidRDefault="007C77F3" w:rsidP="007C77F3">
      <w:pPr>
        <w:pStyle w:val="FootnoteText"/>
        <w:jc w:val="both"/>
        <w:rPr>
          <w:sz w:val="16"/>
          <w:szCs w:val="16"/>
        </w:rPr>
      </w:pPr>
      <w:r w:rsidRPr="007C77F3">
        <w:rPr>
          <w:rStyle w:val="FootnoteReference"/>
          <w:sz w:val="16"/>
          <w:szCs w:val="16"/>
        </w:rPr>
        <w:footnoteRef/>
      </w:r>
      <w:r w:rsidRPr="007C77F3">
        <w:rPr>
          <w:sz w:val="16"/>
          <w:szCs w:val="16"/>
        </w:rPr>
        <w:t xml:space="preserve"> Se calculează ca raport dintre activele curente și datoriile curente ale întreprinderii. Nivelul acestui indicator trebuie să fie mai mare de 1.</w:t>
      </w:r>
    </w:p>
  </w:footnote>
  <w:footnote w:id="8">
    <w:p w:rsidR="007C77F3" w:rsidRPr="007C77F3" w:rsidRDefault="007C77F3" w:rsidP="007C77F3">
      <w:pPr>
        <w:pStyle w:val="FootnoteText"/>
        <w:jc w:val="both"/>
        <w:rPr>
          <w:sz w:val="16"/>
          <w:szCs w:val="16"/>
        </w:rPr>
      </w:pPr>
      <w:r w:rsidRPr="007C77F3">
        <w:rPr>
          <w:rStyle w:val="FootnoteReference"/>
          <w:sz w:val="16"/>
          <w:szCs w:val="16"/>
        </w:rPr>
        <w:footnoteRef/>
      </w:r>
      <w:r w:rsidRPr="007C77F3">
        <w:rPr>
          <w:sz w:val="16"/>
          <w:szCs w:val="16"/>
        </w:rPr>
        <w:t xml:space="preserve"> Se calculează ca raport dintre rezultatul din activitatea operațională și veniturile din vînzări ale întreprinderii. Nivelul acestui indicator trebuie să depășească rata dobînzii pentru creditele contractate.</w:t>
      </w:r>
    </w:p>
  </w:footnote>
  <w:footnote w:id="9">
    <w:p w:rsidR="007C77F3" w:rsidRPr="002E2512" w:rsidRDefault="007C77F3" w:rsidP="007C77F3">
      <w:pPr>
        <w:pStyle w:val="FootnoteText"/>
        <w:jc w:val="both"/>
      </w:pPr>
      <w:r w:rsidRPr="007C77F3">
        <w:rPr>
          <w:rStyle w:val="FootnoteReference"/>
          <w:sz w:val="16"/>
          <w:szCs w:val="16"/>
        </w:rPr>
        <w:footnoteRef/>
      </w:r>
      <w:r w:rsidRPr="007C77F3">
        <w:rPr>
          <w:sz w:val="16"/>
          <w:szCs w:val="16"/>
        </w:rPr>
        <w:t xml:space="preserve"> Se calculează ca raport dintre activele totale și capitalul propriu al întreprinderii. Nivelul acestui indicator trebuie să fie mai mic ca 2.</w:t>
      </w:r>
    </w:p>
  </w:footnote>
  <w:footnote w:id="10">
    <w:p w:rsidR="00D81951" w:rsidRPr="00DA61B5" w:rsidRDefault="00D81951" w:rsidP="00DA61B5">
      <w:pPr>
        <w:pStyle w:val="FootnoteText"/>
        <w:jc w:val="both"/>
        <w:rPr>
          <w:sz w:val="16"/>
          <w:szCs w:val="16"/>
        </w:rPr>
      </w:pPr>
      <w:r w:rsidRPr="00DA61B5">
        <w:rPr>
          <w:rStyle w:val="FootnoteReference"/>
          <w:sz w:val="16"/>
          <w:szCs w:val="16"/>
        </w:rPr>
        <w:footnoteRef/>
      </w:r>
      <w:r w:rsidRPr="00DA61B5">
        <w:rPr>
          <w:sz w:val="16"/>
          <w:szCs w:val="16"/>
        </w:rPr>
        <w:t xml:space="preserve"> </w:t>
      </w:r>
      <w:r w:rsidR="00DA61B5">
        <w:rPr>
          <w:sz w:val="16"/>
          <w:szCs w:val="16"/>
        </w:rPr>
        <w:t>F</w:t>
      </w:r>
      <w:r w:rsidR="00DA61B5" w:rsidRPr="00DA61B5">
        <w:rPr>
          <w:sz w:val="16"/>
          <w:szCs w:val="16"/>
        </w:rPr>
        <w:t xml:space="preserve">ață de Î.S. „Stațiunea Tehnologico-Experimentală Bălți” a fost intentată procedura insolvabilității la sfîrșitul semestrului I al anului 2018, însă dat fiind faptul că aceasta a prezentat raportul statistic, fiind inclusă în sfera de cercetare a </w:t>
      </w:r>
      <w:r w:rsidR="00DA61B5">
        <w:rPr>
          <w:sz w:val="16"/>
          <w:szCs w:val="16"/>
        </w:rPr>
        <w:t>BNS</w:t>
      </w:r>
      <w:r w:rsidR="00DA61B5" w:rsidRPr="00DA61B5">
        <w:rPr>
          <w:sz w:val="16"/>
          <w:szCs w:val="16"/>
        </w:rPr>
        <w:t>, întreprinderea a fost inclusă în lista entităților monitorizate.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E" w:rsidRDefault="00537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E" w:rsidRDefault="00537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1E" w:rsidRDefault="00537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49F"/>
    <w:multiLevelType w:val="hybridMultilevel"/>
    <w:tmpl w:val="B202AC9E"/>
    <w:lvl w:ilvl="0" w:tplc="957EAF3A">
      <w:numFmt w:val="bullet"/>
      <w:lvlText w:val="-"/>
      <w:lvlJc w:val="left"/>
      <w:pPr>
        <w:tabs>
          <w:tab w:val="num" w:pos="800"/>
        </w:tabs>
        <w:ind w:left="800" w:hanging="360"/>
      </w:pPr>
      <w:rPr>
        <w:rFonts w:ascii="Times New Roman" w:eastAsia="SimSu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769B2"/>
    <w:multiLevelType w:val="hybridMultilevel"/>
    <w:tmpl w:val="C81C633C"/>
    <w:lvl w:ilvl="0" w:tplc="67C80514">
      <w:numFmt w:val="bullet"/>
      <w:lvlText w:val="-"/>
      <w:lvlJc w:val="left"/>
      <w:pPr>
        <w:tabs>
          <w:tab w:val="num" w:pos="1560"/>
        </w:tabs>
        <w:ind w:left="1560" w:hanging="420"/>
      </w:pPr>
      <w:rPr>
        <w:rFonts w:ascii="Cambria" w:eastAsia="Times New Roman" w:hAnsi="Cambria" w:cs="Times New Roman"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39704AD5"/>
    <w:multiLevelType w:val="hybridMultilevel"/>
    <w:tmpl w:val="16A054EE"/>
    <w:lvl w:ilvl="0" w:tplc="39605F72">
      <w:numFmt w:val="bullet"/>
      <w:lvlText w:val="-"/>
      <w:lvlJc w:val="left"/>
      <w:pPr>
        <w:tabs>
          <w:tab w:val="num" w:pos="900"/>
        </w:tabs>
        <w:ind w:left="900" w:hanging="360"/>
      </w:pPr>
      <w:rPr>
        <w:rFonts w:ascii="Times New Roman" w:eastAsia="SimSun" w:hAnsi="Times New Roman" w:cs="Times New Roman"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403B464E"/>
    <w:multiLevelType w:val="hybridMultilevel"/>
    <w:tmpl w:val="3A4AA8CA"/>
    <w:lvl w:ilvl="0" w:tplc="230E3E88">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984497"/>
    <w:multiLevelType w:val="hybridMultilevel"/>
    <w:tmpl w:val="381AA900"/>
    <w:lvl w:ilvl="0" w:tplc="058C1B88">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D82F86"/>
    <w:multiLevelType w:val="hybridMultilevel"/>
    <w:tmpl w:val="B82E45C8"/>
    <w:lvl w:ilvl="0" w:tplc="FFAAAD9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96972"/>
    <w:multiLevelType w:val="hybridMultilevel"/>
    <w:tmpl w:val="2772896C"/>
    <w:lvl w:ilvl="0" w:tplc="39605F72">
      <w:numFmt w:val="bullet"/>
      <w:lvlText w:val="-"/>
      <w:lvlJc w:val="left"/>
      <w:pPr>
        <w:tabs>
          <w:tab w:val="num" w:pos="800"/>
        </w:tabs>
        <w:ind w:left="80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45"/>
    <w:rsid w:val="000019C9"/>
    <w:rsid w:val="00001C49"/>
    <w:rsid w:val="00001E1B"/>
    <w:rsid w:val="00002468"/>
    <w:rsid w:val="000027B4"/>
    <w:rsid w:val="00002A59"/>
    <w:rsid w:val="0000577E"/>
    <w:rsid w:val="000057CC"/>
    <w:rsid w:val="00006FC8"/>
    <w:rsid w:val="00007006"/>
    <w:rsid w:val="0001131C"/>
    <w:rsid w:val="000136FD"/>
    <w:rsid w:val="00015F72"/>
    <w:rsid w:val="000163A3"/>
    <w:rsid w:val="000202F3"/>
    <w:rsid w:val="00021D08"/>
    <w:rsid w:val="000251FA"/>
    <w:rsid w:val="00027A32"/>
    <w:rsid w:val="00031341"/>
    <w:rsid w:val="000329D1"/>
    <w:rsid w:val="00032A0E"/>
    <w:rsid w:val="0003395E"/>
    <w:rsid w:val="00034173"/>
    <w:rsid w:val="000344E8"/>
    <w:rsid w:val="00035469"/>
    <w:rsid w:val="0003595B"/>
    <w:rsid w:val="0003668E"/>
    <w:rsid w:val="00037D37"/>
    <w:rsid w:val="00040148"/>
    <w:rsid w:val="000437F2"/>
    <w:rsid w:val="00043C0B"/>
    <w:rsid w:val="00043C6E"/>
    <w:rsid w:val="00044203"/>
    <w:rsid w:val="00044A11"/>
    <w:rsid w:val="00044FF3"/>
    <w:rsid w:val="00045A4E"/>
    <w:rsid w:val="00045BD6"/>
    <w:rsid w:val="00046B8E"/>
    <w:rsid w:val="000500E3"/>
    <w:rsid w:val="00050993"/>
    <w:rsid w:val="0005263F"/>
    <w:rsid w:val="00052860"/>
    <w:rsid w:val="00052A5D"/>
    <w:rsid w:val="00055312"/>
    <w:rsid w:val="00056646"/>
    <w:rsid w:val="00056FF7"/>
    <w:rsid w:val="00057351"/>
    <w:rsid w:val="00057E79"/>
    <w:rsid w:val="000609FA"/>
    <w:rsid w:val="0006158E"/>
    <w:rsid w:val="00062283"/>
    <w:rsid w:val="0006246A"/>
    <w:rsid w:val="00063B28"/>
    <w:rsid w:val="00063E82"/>
    <w:rsid w:val="00063F6C"/>
    <w:rsid w:val="00064338"/>
    <w:rsid w:val="00066652"/>
    <w:rsid w:val="00066FD6"/>
    <w:rsid w:val="00071116"/>
    <w:rsid w:val="000714F4"/>
    <w:rsid w:val="00071A00"/>
    <w:rsid w:val="00073E8A"/>
    <w:rsid w:val="00073EE6"/>
    <w:rsid w:val="000741C5"/>
    <w:rsid w:val="00076124"/>
    <w:rsid w:val="00076691"/>
    <w:rsid w:val="000770E4"/>
    <w:rsid w:val="000801A9"/>
    <w:rsid w:val="0008031F"/>
    <w:rsid w:val="000803C5"/>
    <w:rsid w:val="00081EC0"/>
    <w:rsid w:val="00084B59"/>
    <w:rsid w:val="00085077"/>
    <w:rsid w:val="00085DD3"/>
    <w:rsid w:val="00085F9A"/>
    <w:rsid w:val="00086A1E"/>
    <w:rsid w:val="000873E3"/>
    <w:rsid w:val="00090FA3"/>
    <w:rsid w:val="00092225"/>
    <w:rsid w:val="00094D71"/>
    <w:rsid w:val="00095E06"/>
    <w:rsid w:val="000961DA"/>
    <w:rsid w:val="00096337"/>
    <w:rsid w:val="00096DD6"/>
    <w:rsid w:val="000A0657"/>
    <w:rsid w:val="000A0743"/>
    <w:rsid w:val="000A11D3"/>
    <w:rsid w:val="000A17C7"/>
    <w:rsid w:val="000A2896"/>
    <w:rsid w:val="000A3E98"/>
    <w:rsid w:val="000A4159"/>
    <w:rsid w:val="000A4DE4"/>
    <w:rsid w:val="000A59CF"/>
    <w:rsid w:val="000A5B44"/>
    <w:rsid w:val="000A6145"/>
    <w:rsid w:val="000A61DD"/>
    <w:rsid w:val="000A7C32"/>
    <w:rsid w:val="000A7F09"/>
    <w:rsid w:val="000B0BBB"/>
    <w:rsid w:val="000B0C6C"/>
    <w:rsid w:val="000B0E9D"/>
    <w:rsid w:val="000B0EF2"/>
    <w:rsid w:val="000B1499"/>
    <w:rsid w:val="000B2062"/>
    <w:rsid w:val="000B23B5"/>
    <w:rsid w:val="000B4522"/>
    <w:rsid w:val="000B5095"/>
    <w:rsid w:val="000B5E79"/>
    <w:rsid w:val="000B7957"/>
    <w:rsid w:val="000C0078"/>
    <w:rsid w:val="000C022E"/>
    <w:rsid w:val="000C10C5"/>
    <w:rsid w:val="000C1B1B"/>
    <w:rsid w:val="000C29D7"/>
    <w:rsid w:val="000C3226"/>
    <w:rsid w:val="000C3830"/>
    <w:rsid w:val="000C4C93"/>
    <w:rsid w:val="000C5B4D"/>
    <w:rsid w:val="000C6E9E"/>
    <w:rsid w:val="000C7A68"/>
    <w:rsid w:val="000D1573"/>
    <w:rsid w:val="000D2D4D"/>
    <w:rsid w:val="000D3009"/>
    <w:rsid w:val="000D4572"/>
    <w:rsid w:val="000D4E83"/>
    <w:rsid w:val="000E0E80"/>
    <w:rsid w:val="000E228E"/>
    <w:rsid w:val="000E4DEF"/>
    <w:rsid w:val="000E52A3"/>
    <w:rsid w:val="000E5DB3"/>
    <w:rsid w:val="000E5FE7"/>
    <w:rsid w:val="000E7125"/>
    <w:rsid w:val="000F06DF"/>
    <w:rsid w:val="000F073D"/>
    <w:rsid w:val="000F0C17"/>
    <w:rsid w:val="000F19E7"/>
    <w:rsid w:val="000F6073"/>
    <w:rsid w:val="000F6AFB"/>
    <w:rsid w:val="001010CA"/>
    <w:rsid w:val="00101817"/>
    <w:rsid w:val="00101E0D"/>
    <w:rsid w:val="001025BE"/>
    <w:rsid w:val="00103BB6"/>
    <w:rsid w:val="0010476D"/>
    <w:rsid w:val="0010647F"/>
    <w:rsid w:val="00110643"/>
    <w:rsid w:val="00112390"/>
    <w:rsid w:val="00113028"/>
    <w:rsid w:val="001132DC"/>
    <w:rsid w:val="00113F34"/>
    <w:rsid w:val="0011406C"/>
    <w:rsid w:val="00114A13"/>
    <w:rsid w:val="001151FD"/>
    <w:rsid w:val="00115A6D"/>
    <w:rsid w:val="00115C32"/>
    <w:rsid w:val="00116D2A"/>
    <w:rsid w:val="00117190"/>
    <w:rsid w:val="00120BC2"/>
    <w:rsid w:val="00121CC4"/>
    <w:rsid w:val="00122F2A"/>
    <w:rsid w:val="001230DF"/>
    <w:rsid w:val="001241E5"/>
    <w:rsid w:val="00126241"/>
    <w:rsid w:val="00126CCE"/>
    <w:rsid w:val="00126F40"/>
    <w:rsid w:val="00127231"/>
    <w:rsid w:val="00127E75"/>
    <w:rsid w:val="00127E9F"/>
    <w:rsid w:val="0013198E"/>
    <w:rsid w:val="001323E3"/>
    <w:rsid w:val="00132638"/>
    <w:rsid w:val="0013268A"/>
    <w:rsid w:val="001358C4"/>
    <w:rsid w:val="001360EA"/>
    <w:rsid w:val="00140FEB"/>
    <w:rsid w:val="0014390E"/>
    <w:rsid w:val="00143B34"/>
    <w:rsid w:val="00144212"/>
    <w:rsid w:val="00144765"/>
    <w:rsid w:val="00144E98"/>
    <w:rsid w:val="001452D4"/>
    <w:rsid w:val="001456B2"/>
    <w:rsid w:val="00145B4D"/>
    <w:rsid w:val="00145C81"/>
    <w:rsid w:val="0014603D"/>
    <w:rsid w:val="00146B0B"/>
    <w:rsid w:val="00146F8E"/>
    <w:rsid w:val="001474D4"/>
    <w:rsid w:val="00147877"/>
    <w:rsid w:val="00150706"/>
    <w:rsid w:val="00150C03"/>
    <w:rsid w:val="0015368D"/>
    <w:rsid w:val="001544E1"/>
    <w:rsid w:val="00156E2B"/>
    <w:rsid w:val="00157EDA"/>
    <w:rsid w:val="00161FD4"/>
    <w:rsid w:val="0016447E"/>
    <w:rsid w:val="00165440"/>
    <w:rsid w:val="00165931"/>
    <w:rsid w:val="00165D18"/>
    <w:rsid w:val="00166DB7"/>
    <w:rsid w:val="00167BFA"/>
    <w:rsid w:val="0017027D"/>
    <w:rsid w:val="001707BC"/>
    <w:rsid w:val="00170EED"/>
    <w:rsid w:val="00171C94"/>
    <w:rsid w:val="00172FCB"/>
    <w:rsid w:val="001749BB"/>
    <w:rsid w:val="0017601B"/>
    <w:rsid w:val="0017619F"/>
    <w:rsid w:val="001762BF"/>
    <w:rsid w:val="00176311"/>
    <w:rsid w:val="00176E3A"/>
    <w:rsid w:val="00180FE5"/>
    <w:rsid w:val="001817A2"/>
    <w:rsid w:val="00181FAF"/>
    <w:rsid w:val="0018219A"/>
    <w:rsid w:val="00182E0E"/>
    <w:rsid w:val="00183408"/>
    <w:rsid w:val="00183466"/>
    <w:rsid w:val="001834D2"/>
    <w:rsid w:val="00184E3A"/>
    <w:rsid w:val="0018566F"/>
    <w:rsid w:val="00186184"/>
    <w:rsid w:val="00187C21"/>
    <w:rsid w:val="00190194"/>
    <w:rsid w:val="00190903"/>
    <w:rsid w:val="00190994"/>
    <w:rsid w:val="00191EF6"/>
    <w:rsid w:val="001926DB"/>
    <w:rsid w:val="00193119"/>
    <w:rsid w:val="00195020"/>
    <w:rsid w:val="001A0C0D"/>
    <w:rsid w:val="001A0C43"/>
    <w:rsid w:val="001A2A5D"/>
    <w:rsid w:val="001A2D55"/>
    <w:rsid w:val="001A3469"/>
    <w:rsid w:val="001A3872"/>
    <w:rsid w:val="001A46FB"/>
    <w:rsid w:val="001A4835"/>
    <w:rsid w:val="001A5579"/>
    <w:rsid w:val="001A57F3"/>
    <w:rsid w:val="001A5E00"/>
    <w:rsid w:val="001A727D"/>
    <w:rsid w:val="001B18F0"/>
    <w:rsid w:val="001B1BC2"/>
    <w:rsid w:val="001B2089"/>
    <w:rsid w:val="001B3615"/>
    <w:rsid w:val="001B4C33"/>
    <w:rsid w:val="001B67ED"/>
    <w:rsid w:val="001B6858"/>
    <w:rsid w:val="001B6BCB"/>
    <w:rsid w:val="001B7BD1"/>
    <w:rsid w:val="001C0323"/>
    <w:rsid w:val="001C0887"/>
    <w:rsid w:val="001C0D54"/>
    <w:rsid w:val="001C18A7"/>
    <w:rsid w:val="001C1F9F"/>
    <w:rsid w:val="001C22D6"/>
    <w:rsid w:val="001C2F27"/>
    <w:rsid w:val="001C4078"/>
    <w:rsid w:val="001C73EB"/>
    <w:rsid w:val="001C7E68"/>
    <w:rsid w:val="001C7F40"/>
    <w:rsid w:val="001D23C7"/>
    <w:rsid w:val="001D2503"/>
    <w:rsid w:val="001D2E39"/>
    <w:rsid w:val="001D3DC0"/>
    <w:rsid w:val="001D413D"/>
    <w:rsid w:val="001D43D6"/>
    <w:rsid w:val="001D598A"/>
    <w:rsid w:val="001D5F08"/>
    <w:rsid w:val="001D70EB"/>
    <w:rsid w:val="001E05F2"/>
    <w:rsid w:val="001E09D1"/>
    <w:rsid w:val="001E1B10"/>
    <w:rsid w:val="001E3170"/>
    <w:rsid w:val="001E3F87"/>
    <w:rsid w:val="001E44D7"/>
    <w:rsid w:val="001E51FD"/>
    <w:rsid w:val="001E57FA"/>
    <w:rsid w:val="001E5AB2"/>
    <w:rsid w:val="001E5F05"/>
    <w:rsid w:val="001E6BAB"/>
    <w:rsid w:val="001E6BB8"/>
    <w:rsid w:val="001E6E13"/>
    <w:rsid w:val="001E732A"/>
    <w:rsid w:val="001E7C2D"/>
    <w:rsid w:val="001F0FB8"/>
    <w:rsid w:val="001F10F6"/>
    <w:rsid w:val="001F18F9"/>
    <w:rsid w:val="001F1B0D"/>
    <w:rsid w:val="001F219C"/>
    <w:rsid w:val="001F2510"/>
    <w:rsid w:val="001F2A6D"/>
    <w:rsid w:val="001F33BD"/>
    <w:rsid w:val="001F4E5F"/>
    <w:rsid w:val="001F5C67"/>
    <w:rsid w:val="001F604A"/>
    <w:rsid w:val="001F6733"/>
    <w:rsid w:val="001F7642"/>
    <w:rsid w:val="001F76C4"/>
    <w:rsid w:val="002004E9"/>
    <w:rsid w:val="002028B2"/>
    <w:rsid w:val="00205B8E"/>
    <w:rsid w:val="00210B8A"/>
    <w:rsid w:val="00211C6A"/>
    <w:rsid w:val="00212AD2"/>
    <w:rsid w:val="002161DD"/>
    <w:rsid w:val="00217F5F"/>
    <w:rsid w:val="00222FB2"/>
    <w:rsid w:val="002231C2"/>
    <w:rsid w:val="00223771"/>
    <w:rsid w:val="00223B91"/>
    <w:rsid w:val="00223D39"/>
    <w:rsid w:val="00224CAF"/>
    <w:rsid w:val="0022511A"/>
    <w:rsid w:val="00227327"/>
    <w:rsid w:val="002278AF"/>
    <w:rsid w:val="00227B6B"/>
    <w:rsid w:val="0023156D"/>
    <w:rsid w:val="0023174E"/>
    <w:rsid w:val="002323E6"/>
    <w:rsid w:val="002342E8"/>
    <w:rsid w:val="00235926"/>
    <w:rsid w:val="00235BF0"/>
    <w:rsid w:val="00237991"/>
    <w:rsid w:val="00237EC3"/>
    <w:rsid w:val="002405CB"/>
    <w:rsid w:val="002407E9"/>
    <w:rsid w:val="00241543"/>
    <w:rsid w:val="00242AD8"/>
    <w:rsid w:val="002431BE"/>
    <w:rsid w:val="00244BFA"/>
    <w:rsid w:val="002463D5"/>
    <w:rsid w:val="00247B30"/>
    <w:rsid w:val="00247FE6"/>
    <w:rsid w:val="00250005"/>
    <w:rsid w:val="0025073E"/>
    <w:rsid w:val="0025077D"/>
    <w:rsid w:val="00250D30"/>
    <w:rsid w:val="00250E0F"/>
    <w:rsid w:val="002521F5"/>
    <w:rsid w:val="00252B75"/>
    <w:rsid w:val="00253020"/>
    <w:rsid w:val="002537ED"/>
    <w:rsid w:val="00253993"/>
    <w:rsid w:val="002539EE"/>
    <w:rsid w:val="00253FAF"/>
    <w:rsid w:val="002547EA"/>
    <w:rsid w:val="002551E3"/>
    <w:rsid w:val="00256A12"/>
    <w:rsid w:val="002579A3"/>
    <w:rsid w:val="0026214E"/>
    <w:rsid w:val="00262341"/>
    <w:rsid w:val="00262AA0"/>
    <w:rsid w:val="00262E29"/>
    <w:rsid w:val="0026304E"/>
    <w:rsid w:val="00264E2F"/>
    <w:rsid w:val="002731EA"/>
    <w:rsid w:val="00275027"/>
    <w:rsid w:val="002755E9"/>
    <w:rsid w:val="0027673D"/>
    <w:rsid w:val="00277718"/>
    <w:rsid w:val="00277B43"/>
    <w:rsid w:val="0028112A"/>
    <w:rsid w:val="0028182C"/>
    <w:rsid w:val="00281EE5"/>
    <w:rsid w:val="00282703"/>
    <w:rsid w:val="00282935"/>
    <w:rsid w:val="002851B7"/>
    <w:rsid w:val="00286B14"/>
    <w:rsid w:val="00287143"/>
    <w:rsid w:val="00287332"/>
    <w:rsid w:val="00287C04"/>
    <w:rsid w:val="00291E50"/>
    <w:rsid w:val="00292629"/>
    <w:rsid w:val="00294516"/>
    <w:rsid w:val="00295054"/>
    <w:rsid w:val="002A241F"/>
    <w:rsid w:val="002A25F2"/>
    <w:rsid w:val="002A3156"/>
    <w:rsid w:val="002A37EB"/>
    <w:rsid w:val="002A4B97"/>
    <w:rsid w:val="002A546B"/>
    <w:rsid w:val="002A635D"/>
    <w:rsid w:val="002B0408"/>
    <w:rsid w:val="002B1C3A"/>
    <w:rsid w:val="002B20C3"/>
    <w:rsid w:val="002B22B0"/>
    <w:rsid w:val="002B37E5"/>
    <w:rsid w:val="002B4AC2"/>
    <w:rsid w:val="002B4ED2"/>
    <w:rsid w:val="002B5400"/>
    <w:rsid w:val="002B55D7"/>
    <w:rsid w:val="002B5DEA"/>
    <w:rsid w:val="002B64ED"/>
    <w:rsid w:val="002B6BFB"/>
    <w:rsid w:val="002B6C91"/>
    <w:rsid w:val="002B72A5"/>
    <w:rsid w:val="002C07E8"/>
    <w:rsid w:val="002C0910"/>
    <w:rsid w:val="002C0D98"/>
    <w:rsid w:val="002C1D2D"/>
    <w:rsid w:val="002C1F0F"/>
    <w:rsid w:val="002C218C"/>
    <w:rsid w:val="002C3606"/>
    <w:rsid w:val="002C5EB4"/>
    <w:rsid w:val="002C7963"/>
    <w:rsid w:val="002C7FE6"/>
    <w:rsid w:val="002D0C12"/>
    <w:rsid w:val="002D1243"/>
    <w:rsid w:val="002D1D96"/>
    <w:rsid w:val="002D22AA"/>
    <w:rsid w:val="002D3E64"/>
    <w:rsid w:val="002D4495"/>
    <w:rsid w:val="002D5778"/>
    <w:rsid w:val="002D57A7"/>
    <w:rsid w:val="002D5A01"/>
    <w:rsid w:val="002D5E25"/>
    <w:rsid w:val="002E091D"/>
    <w:rsid w:val="002E0D9A"/>
    <w:rsid w:val="002E23F7"/>
    <w:rsid w:val="002E2512"/>
    <w:rsid w:val="002E28A9"/>
    <w:rsid w:val="002E3952"/>
    <w:rsid w:val="002E4010"/>
    <w:rsid w:val="002E546E"/>
    <w:rsid w:val="002E5EA7"/>
    <w:rsid w:val="002E6651"/>
    <w:rsid w:val="002E7F2B"/>
    <w:rsid w:val="002F2582"/>
    <w:rsid w:val="002F2D5B"/>
    <w:rsid w:val="002F2F42"/>
    <w:rsid w:val="002F36E1"/>
    <w:rsid w:val="002F3FC3"/>
    <w:rsid w:val="002F4A94"/>
    <w:rsid w:val="002F5259"/>
    <w:rsid w:val="002F5AF8"/>
    <w:rsid w:val="002F5E0E"/>
    <w:rsid w:val="002F61A3"/>
    <w:rsid w:val="002F6C65"/>
    <w:rsid w:val="002F728F"/>
    <w:rsid w:val="002F7E58"/>
    <w:rsid w:val="00303AD9"/>
    <w:rsid w:val="00303D9B"/>
    <w:rsid w:val="00303E8A"/>
    <w:rsid w:val="00303FDD"/>
    <w:rsid w:val="003041A5"/>
    <w:rsid w:val="0030481E"/>
    <w:rsid w:val="0030530F"/>
    <w:rsid w:val="003058D7"/>
    <w:rsid w:val="00306764"/>
    <w:rsid w:val="00306793"/>
    <w:rsid w:val="0030756A"/>
    <w:rsid w:val="003100F7"/>
    <w:rsid w:val="003101E2"/>
    <w:rsid w:val="00311AA9"/>
    <w:rsid w:val="00313802"/>
    <w:rsid w:val="00313903"/>
    <w:rsid w:val="0031418C"/>
    <w:rsid w:val="00314409"/>
    <w:rsid w:val="00315420"/>
    <w:rsid w:val="0031583D"/>
    <w:rsid w:val="00316756"/>
    <w:rsid w:val="00316F7F"/>
    <w:rsid w:val="00320344"/>
    <w:rsid w:val="003222E3"/>
    <w:rsid w:val="00324222"/>
    <w:rsid w:val="00326811"/>
    <w:rsid w:val="00330035"/>
    <w:rsid w:val="00333246"/>
    <w:rsid w:val="00335D4F"/>
    <w:rsid w:val="003368A5"/>
    <w:rsid w:val="00336972"/>
    <w:rsid w:val="003371EC"/>
    <w:rsid w:val="00340F32"/>
    <w:rsid w:val="00341504"/>
    <w:rsid w:val="00342274"/>
    <w:rsid w:val="00343BA6"/>
    <w:rsid w:val="0034536D"/>
    <w:rsid w:val="00346306"/>
    <w:rsid w:val="00347C68"/>
    <w:rsid w:val="00350344"/>
    <w:rsid w:val="00351AE7"/>
    <w:rsid w:val="00352B5B"/>
    <w:rsid w:val="00353504"/>
    <w:rsid w:val="00353BAA"/>
    <w:rsid w:val="00353F3D"/>
    <w:rsid w:val="0035429F"/>
    <w:rsid w:val="00354EC1"/>
    <w:rsid w:val="0035549D"/>
    <w:rsid w:val="00357232"/>
    <w:rsid w:val="00357584"/>
    <w:rsid w:val="00360011"/>
    <w:rsid w:val="00360E4A"/>
    <w:rsid w:val="00361B2B"/>
    <w:rsid w:val="00361B4F"/>
    <w:rsid w:val="00362253"/>
    <w:rsid w:val="00362BE9"/>
    <w:rsid w:val="003631AF"/>
    <w:rsid w:val="003631E3"/>
    <w:rsid w:val="00365130"/>
    <w:rsid w:val="00365D74"/>
    <w:rsid w:val="003666A2"/>
    <w:rsid w:val="003679A0"/>
    <w:rsid w:val="00370BEC"/>
    <w:rsid w:val="00371A20"/>
    <w:rsid w:val="003723C3"/>
    <w:rsid w:val="00373B05"/>
    <w:rsid w:val="00373B9C"/>
    <w:rsid w:val="00374CD4"/>
    <w:rsid w:val="00374DA8"/>
    <w:rsid w:val="003769C0"/>
    <w:rsid w:val="00377F9B"/>
    <w:rsid w:val="00380381"/>
    <w:rsid w:val="00382A82"/>
    <w:rsid w:val="00384DEC"/>
    <w:rsid w:val="003859EE"/>
    <w:rsid w:val="00385D86"/>
    <w:rsid w:val="003872CC"/>
    <w:rsid w:val="00387C28"/>
    <w:rsid w:val="00390910"/>
    <w:rsid w:val="00393506"/>
    <w:rsid w:val="00395ABB"/>
    <w:rsid w:val="003A0D32"/>
    <w:rsid w:val="003A4696"/>
    <w:rsid w:val="003A46B5"/>
    <w:rsid w:val="003A6321"/>
    <w:rsid w:val="003A7175"/>
    <w:rsid w:val="003B0A4B"/>
    <w:rsid w:val="003B1C50"/>
    <w:rsid w:val="003B2179"/>
    <w:rsid w:val="003B2875"/>
    <w:rsid w:val="003B33F9"/>
    <w:rsid w:val="003B36D9"/>
    <w:rsid w:val="003B5837"/>
    <w:rsid w:val="003B65AB"/>
    <w:rsid w:val="003B66C0"/>
    <w:rsid w:val="003B6D82"/>
    <w:rsid w:val="003C05FE"/>
    <w:rsid w:val="003C0E35"/>
    <w:rsid w:val="003C11DC"/>
    <w:rsid w:val="003C13EA"/>
    <w:rsid w:val="003C1936"/>
    <w:rsid w:val="003C2B47"/>
    <w:rsid w:val="003C336E"/>
    <w:rsid w:val="003C33BC"/>
    <w:rsid w:val="003C3D23"/>
    <w:rsid w:val="003C4768"/>
    <w:rsid w:val="003C4826"/>
    <w:rsid w:val="003C4B72"/>
    <w:rsid w:val="003C4E7C"/>
    <w:rsid w:val="003C4F7F"/>
    <w:rsid w:val="003C52DD"/>
    <w:rsid w:val="003C685D"/>
    <w:rsid w:val="003C7A87"/>
    <w:rsid w:val="003D297A"/>
    <w:rsid w:val="003D3989"/>
    <w:rsid w:val="003D408B"/>
    <w:rsid w:val="003D4A46"/>
    <w:rsid w:val="003D563F"/>
    <w:rsid w:val="003D5FCE"/>
    <w:rsid w:val="003D701A"/>
    <w:rsid w:val="003D7B9B"/>
    <w:rsid w:val="003D7F13"/>
    <w:rsid w:val="003E03B6"/>
    <w:rsid w:val="003E0ED2"/>
    <w:rsid w:val="003E1CC3"/>
    <w:rsid w:val="003E237C"/>
    <w:rsid w:val="003E25C3"/>
    <w:rsid w:val="003E2674"/>
    <w:rsid w:val="003E298B"/>
    <w:rsid w:val="003E2FD5"/>
    <w:rsid w:val="003E3369"/>
    <w:rsid w:val="003E3C88"/>
    <w:rsid w:val="003E3ED5"/>
    <w:rsid w:val="003E7C51"/>
    <w:rsid w:val="003F2310"/>
    <w:rsid w:val="003F3F6C"/>
    <w:rsid w:val="003F50EF"/>
    <w:rsid w:val="003F6654"/>
    <w:rsid w:val="003F74F7"/>
    <w:rsid w:val="003F7B47"/>
    <w:rsid w:val="0040200D"/>
    <w:rsid w:val="00403341"/>
    <w:rsid w:val="00403A57"/>
    <w:rsid w:val="00403AC8"/>
    <w:rsid w:val="004063BB"/>
    <w:rsid w:val="004065BC"/>
    <w:rsid w:val="00406FA7"/>
    <w:rsid w:val="00407218"/>
    <w:rsid w:val="00410C59"/>
    <w:rsid w:val="0041282C"/>
    <w:rsid w:val="004132CB"/>
    <w:rsid w:val="00413849"/>
    <w:rsid w:val="00415AA0"/>
    <w:rsid w:val="004160D4"/>
    <w:rsid w:val="004179D7"/>
    <w:rsid w:val="0042046D"/>
    <w:rsid w:val="00420FCC"/>
    <w:rsid w:val="00425609"/>
    <w:rsid w:val="004260BE"/>
    <w:rsid w:val="00426BFE"/>
    <w:rsid w:val="00427427"/>
    <w:rsid w:val="0042753F"/>
    <w:rsid w:val="004300C0"/>
    <w:rsid w:val="00430868"/>
    <w:rsid w:val="00431997"/>
    <w:rsid w:val="0043247B"/>
    <w:rsid w:val="004353A2"/>
    <w:rsid w:val="004359E8"/>
    <w:rsid w:val="004364F2"/>
    <w:rsid w:val="00436992"/>
    <w:rsid w:val="00437097"/>
    <w:rsid w:val="004406B8"/>
    <w:rsid w:val="00440C05"/>
    <w:rsid w:val="004434C3"/>
    <w:rsid w:val="0044428D"/>
    <w:rsid w:val="00446800"/>
    <w:rsid w:val="0044699B"/>
    <w:rsid w:val="00446E11"/>
    <w:rsid w:val="00447324"/>
    <w:rsid w:val="00447C90"/>
    <w:rsid w:val="0045156A"/>
    <w:rsid w:val="0045239D"/>
    <w:rsid w:val="004531BC"/>
    <w:rsid w:val="00455B2F"/>
    <w:rsid w:val="00456CFD"/>
    <w:rsid w:val="004572AE"/>
    <w:rsid w:val="0046037F"/>
    <w:rsid w:val="004612D9"/>
    <w:rsid w:val="00461ACA"/>
    <w:rsid w:val="00461FFD"/>
    <w:rsid w:val="004631BB"/>
    <w:rsid w:val="00464DF4"/>
    <w:rsid w:val="00466BAC"/>
    <w:rsid w:val="004670E4"/>
    <w:rsid w:val="0046723D"/>
    <w:rsid w:val="004679B2"/>
    <w:rsid w:val="00470DD5"/>
    <w:rsid w:val="00470FBC"/>
    <w:rsid w:val="00472D80"/>
    <w:rsid w:val="00473551"/>
    <w:rsid w:val="00473FC6"/>
    <w:rsid w:val="00474520"/>
    <w:rsid w:val="0047673F"/>
    <w:rsid w:val="0047701B"/>
    <w:rsid w:val="00477F2D"/>
    <w:rsid w:val="00480FEF"/>
    <w:rsid w:val="004813FE"/>
    <w:rsid w:val="00481C73"/>
    <w:rsid w:val="00482399"/>
    <w:rsid w:val="00483853"/>
    <w:rsid w:val="004859C1"/>
    <w:rsid w:val="00485A33"/>
    <w:rsid w:val="0048714B"/>
    <w:rsid w:val="004901E0"/>
    <w:rsid w:val="00490E5F"/>
    <w:rsid w:val="00491B86"/>
    <w:rsid w:val="004925F8"/>
    <w:rsid w:val="00493272"/>
    <w:rsid w:val="004939E8"/>
    <w:rsid w:val="004A109C"/>
    <w:rsid w:val="004A10A5"/>
    <w:rsid w:val="004A10F1"/>
    <w:rsid w:val="004A23A9"/>
    <w:rsid w:val="004A3103"/>
    <w:rsid w:val="004A4E90"/>
    <w:rsid w:val="004A5640"/>
    <w:rsid w:val="004A68B8"/>
    <w:rsid w:val="004A7A26"/>
    <w:rsid w:val="004B0500"/>
    <w:rsid w:val="004B08F6"/>
    <w:rsid w:val="004B11AC"/>
    <w:rsid w:val="004B1BB5"/>
    <w:rsid w:val="004B2167"/>
    <w:rsid w:val="004B64CA"/>
    <w:rsid w:val="004C0161"/>
    <w:rsid w:val="004C071A"/>
    <w:rsid w:val="004C1804"/>
    <w:rsid w:val="004C2556"/>
    <w:rsid w:val="004C2B3B"/>
    <w:rsid w:val="004C2EB6"/>
    <w:rsid w:val="004C54C1"/>
    <w:rsid w:val="004C55AD"/>
    <w:rsid w:val="004C5D95"/>
    <w:rsid w:val="004C6A09"/>
    <w:rsid w:val="004C7A57"/>
    <w:rsid w:val="004D01BB"/>
    <w:rsid w:val="004D1356"/>
    <w:rsid w:val="004D149C"/>
    <w:rsid w:val="004D1756"/>
    <w:rsid w:val="004D1AB0"/>
    <w:rsid w:val="004D2B9E"/>
    <w:rsid w:val="004D30E5"/>
    <w:rsid w:val="004D333B"/>
    <w:rsid w:val="004D4436"/>
    <w:rsid w:val="004D4593"/>
    <w:rsid w:val="004D4B99"/>
    <w:rsid w:val="004D55DB"/>
    <w:rsid w:val="004D5AE9"/>
    <w:rsid w:val="004D5DBE"/>
    <w:rsid w:val="004D6168"/>
    <w:rsid w:val="004D6344"/>
    <w:rsid w:val="004D63A7"/>
    <w:rsid w:val="004D79C9"/>
    <w:rsid w:val="004D7BCB"/>
    <w:rsid w:val="004D7E72"/>
    <w:rsid w:val="004E0611"/>
    <w:rsid w:val="004E077E"/>
    <w:rsid w:val="004E0D15"/>
    <w:rsid w:val="004E1CD8"/>
    <w:rsid w:val="004E3798"/>
    <w:rsid w:val="004F12EE"/>
    <w:rsid w:val="004F2599"/>
    <w:rsid w:val="004F28B4"/>
    <w:rsid w:val="004F4C83"/>
    <w:rsid w:val="004F58BA"/>
    <w:rsid w:val="004F65D9"/>
    <w:rsid w:val="004F696F"/>
    <w:rsid w:val="005011A5"/>
    <w:rsid w:val="00503442"/>
    <w:rsid w:val="00503E4B"/>
    <w:rsid w:val="00505259"/>
    <w:rsid w:val="005060F1"/>
    <w:rsid w:val="005066F7"/>
    <w:rsid w:val="0051041D"/>
    <w:rsid w:val="00510CE8"/>
    <w:rsid w:val="00511A11"/>
    <w:rsid w:val="0051211E"/>
    <w:rsid w:val="00512E69"/>
    <w:rsid w:val="005136C3"/>
    <w:rsid w:val="00514980"/>
    <w:rsid w:val="005163C5"/>
    <w:rsid w:val="00521A47"/>
    <w:rsid w:val="00521E1A"/>
    <w:rsid w:val="00522550"/>
    <w:rsid w:val="00522E33"/>
    <w:rsid w:val="005255D8"/>
    <w:rsid w:val="005256A9"/>
    <w:rsid w:val="0052685C"/>
    <w:rsid w:val="00526BED"/>
    <w:rsid w:val="005276A5"/>
    <w:rsid w:val="00527BD7"/>
    <w:rsid w:val="0053102D"/>
    <w:rsid w:val="00534F8A"/>
    <w:rsid w:val="005354F1"/>
    <w:rsid w:val="00535B8A"/>
    <w:rsid w:val="0053751E"/>
    <w:rsid w:val="00537EDB"/>
    <w:rsid w:val="00541B74"/>
    <w:rsid w:val="00541D55"/>
    <w:rsid w:val="005422DF"/>
    <w:rsid w:val="0054284B"/>
    <w:rsid w:val="00542B87"/>
    <w:rsid w:val="00542F3A"/>
    <w:rsid w:val="005432A4"/>
    <w:rsid w:val="00544424"/>
    <w:rsid w:val="00546489"/>
    <w:rsid w:val="00547CF6"/>
    <w:rsid w:val="0055245B"/>
    <w:rsid w:val="00552877"/>
    <w:rsid w:val="0055300E"/>
    <w:rsid w:val="00553330"/>
    <w:rsid w:val="00553DA6"/>
    <w:rsid w:val="00554BA7"/>
    <w:rsid w:val="005560CC"/>
    <w:rsid w:val="00557633"/>
    <w:rsid w:val="00557DE1"/>
    <w:rsid w:val="00562B17"/>
    <w:rsid w:val="00563FE3"/>
    <w:rsid w:val="005640DF"/>
    <w:rsid w:val="00564632"/>
    <w:rsid w:val="00564C52"/>
    <w:rsid w:val="00565923"/>
    <w:rsid w:val="00565A72"/>
    <w:rsid w:val="00570811"/>
    <w:rsid w:val="00571605"/>
    <w:rsid w:val="005737ED"/>
    <w:rsid w:val="00574B90"/>
    <w:rsid w:val="005751F3"/>
    <w:rsid w:val="00577100"/>
    <w:rsid w:val="00577300"/>
    <w:rsid w:val="00577D6A"/>
    <w:rsid w:val="0058065A"/>
    <w:rsid w:val="0058164B"/>
    <w:rsid w:val="0058170C"/>
    <w:rsid w:val="00586195"/>
    <w:rsid w:val="00587381"/>
    <w:rsid w:val="00587C44"/>
    <w:rsid w:val="00587DF7"/>
    <w:rsid w:val="00587E80"/>
    <w:rsid w:val="005900A9"/>
    <w:rsid w:val="00590496"/>
    <w:rsid w:val="005915C1"/>
    <w:rsid w:val="00597A5B"/>
    <w:rsid w:val="005A101C"/>
    <w:rsid w:val="005A233E"/>
    <w:rsid w:val="005A3EC8"/>
    <w:rsid w:val="005A5ABF"/>
    <w:rsid w:val="005A5B9D"/>
    <w:rsid w:val="005A61E6"/>
    <w:rsid w:val="005A644E"/>
    <w:rsid w:val="005A71C4"/>
    <w:rsid w:val="005A78C2"/>
    <w:rsid w:val="005B0618"/>
    <w:rsid w:val="005B0628"/>
    <w:rsid w:val="005B0750"/>
    <w:rsid w:val="005B09D1"/>
    <w:rsid w:val="005B151C"/>
    <w:rsid w:val="005B24E2"/>
    <w:rsid w:val="005B2D6A"/>
    <w:rsid w:val="005B39B3"/>
    <w:rsid w:val="005B3A5E"/>
    <w:rsid w:val="005B40A8"/>
    <w:rsid w:val="005B43C8"/>
    <w:rsid w:val="005B5175"/>
    <w:rsid w:val="005B6600"/>
    <w:rsid w:val="005B6647"/>
    <w:rsid w:val="005B67C6"/>
    <w:rsid w:val="005B75D5"/>
    <w:rsid w:val="005C05DA"/>
    <w:rsid w:val="005C0EA2"/>
    <w:rsid w:val="005C4186"/>
    <w:rsid w:val="005C427F"/>
    <w:rsid w:val="005C4C26"/>
    <w:rsid w:val="005C5389"/>
    <w:rsid w:val="005C654D"/>
    <w:rsid w:val="005C65D3"/>
    <w:rsid w:val="005C6F2C"/>
    <w:rsid w:val="005C746C"/>
    <w:rsid w:val="005D0C0C"/>
    <w:rsid w:val="005D0DDC"/>
    <w:rsid w:val="005D1525"/>
    <w:rsid w:val="005D229D"/>
    <w:rsid w:val="005D2316"/>
    <w:rsid w:val="005D28CB"/>
    <w:rsid w:val="005D427D"/>
    <w:rsid w:val="005D4C84"/>
    <w:rsid w:val="005D5118"/>
    <w:rsid w:val="005D542F"/>
    <w:rsid w:val="005E1C4C"/>
    <w:rsid w:val="005E1E43"/>
    <w:rsid w:val="005E245A"/>
    <w:rsid w:val="005E33C1"/>
    <w:rsid w:val="005E443C"/>
    <w:rsid w:val="005E46F0"/>
    <w:rsid w:val="005E68D1"/>
    <w:rsid w:val="005F0203"/>
    <w:rsid w:val="005F1789"/>
    <w:rsid w:val="005F2803"/>
    <w:rsid w:val="005F2981"/>
    <w:rsid w:val="005F3167"/>
    <w:rsid w:val="005F5256"/>
    <w:rsid w:val="005F5ABF"/>
    <w:rsid w:val="005F7880"/>
    <w:rsid w:val="00600227"/>
    <w:rsid w:val="00601E32"/>
    <w:rsid w:val="00601E9E"/>
    <w:rsid w:val="00603376"/>
    <w:rsid w:val="006039D6"/>
    <w:rsid w:val="00604260"/>
    <w:rsid w:val="006043F7"/>
    <w:rsid w:val="00604BA8"/>
    <w:rsid w:val="00605402"/>
    <w:rsid w:val="006067B8"/>
    <w:rsid w:val="00607CF3"/>
    <w:rsid w:val="00611074"/>
    <w:rsid w:val="0061131A"/>
    <w:rsid w:val="00612F4B"/>
    <w:rsid w:val="00613394"/>
    <w:rsid w:val="006136FC"/>
    <w:rsid w:val="0061381B"/>
    <w:rsid w:val="006142FF"/>
    <w:rsid w:val="00614AB5"/>
    <w:rsid w:val="006167A5"/>
    <w:rsid w:val="0062147E"/>
    <w:rsid w:val="00621BB7"/>
    <w:rsid w:val="0062449A"/>
    <w:rsid w:val="00625A1C"/>
    <w:rsid w:val="00630792"/>
    <w:rsid w:val="00631C19"/>
    <w:rsid w:val="00632F5B"/>
    <w:rsid w:val="00635801"/>
    <w:rsid w:val="00635810"/>
    <w:rsid w:val="00635EC8"/>
    <w:rsid w:val="00636C1E"/>
    <w:rsid w:val="00636F18"/>
    <w:rsid w:val="00641C1F"/>
    <w:rsid w:val="0064231A"/>
    <w:rsid w:val="00643BD9"/>
    <w:rsid w:val="00644B9F"/>
    <w:rsid w:val="00645743"/>
    <w:rsid w:val="0064702D"/>
    <w:rsid w:val="00647BCE"/>
    <w:rsid w:val="00647E40"/>
    <w:rsid w:val="0065139E"/>
    <w:rsid w:val="0065192F"/>
    <w:rsid w:val="0065265B"/>
    <w:rsid w:val="00652D12"/>
    <w:rsid w:val="006531D7"/>
    <w:rsid w:val="00653360"/>
    <w:rsid w:val="006556C9"/>
    <w:rsid w:val="006557CF"/>
    <w:rsid w:val="006603E1"/>
    <w:rsid w:val="006603E5"/>
    <w:rsid w:val="00661A1B"/>
    <w:rsid w:val="00662681"/>
    <w:rsid w:val="00662F84"/>
    <w:rsid w:val="00663A36"/>
    <w:rsid w:val="006640BA"/>
    <w:rsid w:val="00670823"/>
    <w:rsid w:val="00672363"/>
    <w:rsid w:val="006737C0"/>
    <w:rsid w:val="006741DC"/>
    <w:rsid w:val="0067456C"/>
    <w:rsid w:val="00674E12"/>
    <w:rsid w:val="00676476"/>
    <w:rsid w:val="006770A1"/>
    <w:rsid w:val="006808EB"/>
    <w:rsid w:val="00680A3B"/>
    <w:rsid w:val="00680F09"/>
    <w:rsid w:val="006823FD"/>
    <w:rsid w:val="00682480"/>
    <w:rsid w:val="006828EE"/>
    <w:rsid w:val="00683115"/>
    <w:rsid w:val="00683AFB"/>
    <w:rsid w:val="00684F6A"/>
    <w:rsid w:val="00686448"/>
    <w:rsid w:val="006871A7"/>
    <w:rsid w:val="00690669"/>
    <w:rsid w:val="00691ABD"/>
    <w:rsid w:val="00691C4C"/>
    <w:rsid w:val="0069384D"/>
    <w:rsid w:val="00695318"/>
    <w:rsid w:val="006953C7"/>
    <w:rsid w:val="006953FD"/>
    <w:rsid w:val="00695E7A"/>
    <w:rsid w:val="0069662D"/>
    <w:rsid w:val="00696A4C"/>
    <w:rsid w:val="006971D2"/>
    <w:rsid w:val="006A022C"/>
    <w:rsid w:val="006A0A11"/>
    <w:rsid w:val="006A0F83"/>
    <w:rsid w:val="006A115D"/>
    <w:rsid w:val="006A223A"/>
    <w:rsid w:val="006A274C"/>
    <w:rsid w:val="006A3975"/>
    <w:rsid w:val="006A39A0"/>
    <w:rsid w:val="006A4980"/>
    <w:rsid w:val="006A5A34"/>
    <w:rsid w:val="006A6732"/>
    <w:rsid w:val="006B0B3D"/>
    <w:rsid w:val="006B34B0"/>
    <w:rsid w:val="006B4952"/>
    <w:rsid w:val="006B4E33"/>
    <w:rsid w:val="006C2247"/>
    <w:rsid w:val="006C51D7"/>
    <w:rsid w:val="006C55B5"/>
    <w:rsid w:val="006C5BBA"/>
    <w:rsid w:val="006C60BB"/>
    <w:rsid w:val="006C72F5"/>
    <w:rsid w:val="006C7849"/>
    <w:rsid w:val="006C7C4E"/>
    <w:rsid w:val="006D0379"/>
    <w:rsid w:val="006D0D8F"/>
    <w:rsid w:val="006D1464"/>
    <w:rsid w:val="006D2855"/>
    <w:rsid w:val="006D286D"/>
    <w:rsid w:val="006D2E98"/>
    <w:rsid w:val="006D307E"/>
    <w:rsid w:val="006D3577"/>
    <w:rsid w:val="006D3EA9"/>
    <w:rsid w:val="006D5D1C"/>
    <w:rsid w:val="006D6904"/>
    <w:rsid w:val="006D7786"/>
    <w:rsid w:val="006E32F4"/>
    <w:rsid w:val="006E3468"/>
    <w:rsid w:val="006E45D2"/>
    <w:rsid w:val="006E4717"/>
    <w:rsid w:val="006E63E9"/>
    <w:rsid w:val="006E7230"/>
    <w:rsid w:val="006F136F"/>
    <w:rsid w:val="006F1649"/>
    <w:rsid w:val="006F24F3"/>
    <w:rsid w:val="006F30D5"/>
    <w:rsid w:val="006F4E58"/>
    <w:rsid w:val="006F5DE4"/>
    <w:rsid w:val="006F62B5"/>
    <w:rsid w:val="006F6CED"/>
    <w:rsid w:val="00700E89"/>
    <w:rsid w:val="00702691"/>
    <w:rsid w:val="0070280F"/>
    <w:rsid w:val="00705576"/>
    <w:rsid w:val="00707258"/>
    <w:rsid w:val="007101E0"/>
    <w:rsid w:val="00710259"/>
    <w:rsid w:val="00710702"/>
    <w:rsid w:val="00711E8B"/>
    <w:rsid w:val="00711F31"/>
    <w:rsid w:val="007135ED"/>
    <w:rsid w:val="00713FE4"/>
    <w:rsid w:val="00715C3D"/>
    <w:rsid w:val="007169DE"/>
    <w:rsid w:val="00716C4A"/>
    <w:rsid w:val="00717531"/>
    <w:rsid w:val="00717B4A"/>
    <w:rsid w:val="00717E77"/>
    <w:rsid w:val="007215A1"/>
    <w:rsid w:val="007220D7"/>
    <w:rsid w:val="00722ABD"/>
    <w:rsid w:val="007237C6"/>
    <w:rsid w:val="00724400"/>
    <w:rsid w:val="00724644"/>
    <w:rsid w:val="0072663B"/>
    <w:rsid w:val="0072730C"/>
    <w:rsid w:val="0072791F"/>
    <w:rsid w:val="00731591"/>
    <w:rsid w:val="00732D04"/>
    <w:rsid w:val="00732EC9"/>
    <w:rsid w:val="0073353C"/>
    <w:rsid w:val="00734379"/>
    <w:rsid w:val="00734770"/>
    <w:rsid w:val="007348F2"/>
    <w:rsid w:val="00736F17"/>
    <w:rsid w:val="00737910"/>
    <w:rsid w:val="007379DD"/>
    <w:rsid w:val="00737EB1"/>
    <w:rsid w:val="00740A4C"/>
    <w:rsid w:val="00741A42"/>
    <w:rsid w:val="00743F1F"/>
    <w:rsid w:val="00744CBD"/>
    <w:rsid w:val="007450EF"/>
    <w:rsid w:val="00746924"/>
    <w:rsid w:val="007474AC"/>
    <w:rsid w:val="007509D0"/>
    <w:rsid w:val="00752D00"/>
    <w:rsid w:val="00756349"/>
    <w:rsid w:val="007603DF"/>
    <w:rsid w:val="00760B43"/>
    <w:rsid w:val="007610A5"/>
    <w:rsid w:val="00763452"/>
    <w:rsid w:val="007648AB"/>
    <w:rsid w:val="00765703"/>
    <w:rsid w:val="00766C5A"/>
    <w:rsid w:val="007707ED"/>
    <w:rsid w:val="00770CB2"/>
    <w:rsid w:val="007711F9"/>
    <w:rsid w:val="0077147C"/>
    <w:rsid w:val="00771CA1"/>
    <w:rsid w:val="00771E03"/>
    <w:rsid w:val="007730B2"/>
    <w:rsid w:val="007739F8"/>
    <w:rsid w:val="007745DD"/>
    <w:rsid w:val="007745DF"/>
    <w:rsid w:val="00775CE3"/>
    <w:rsid w:val="00776BF4"/>
    <w:rsid w:val="00777C61"/>
    <w:rsid w:val="00780679"/>
    <w:rsid w:val="00781DB5"/>
    <w:rsid w:val="0078331D"/>
    <w:rsid w:val="007839AE"/>
    <w:rsid w:val="007844CA"/>
    <w:rsid w:val="0078540D"/>
    <w:rsid w:val="00785AA9"/>
    <w:rsid w:val="00785E8E"/>
    <w:rsid w:val="00787927"/>
    <w:rsid w:val="0079130C"/>
    <w:rsid w:val="00792DCA"/>
    <w:rsid w:val="00792F5F"/>
    <w:rsid w:val="00793257"/>
    <w:rsid w:val="00793352"/>
    <w:rsid w:val="0079566E"/>
    <w:rsid w:val="00797B69"/>
    <w:rsid w:val="007A0660"/>
    <w:rsid w:val="007A0B3E"/>
    <w:rsid w:val="007A1089"/>
    <w:rsid w:val="007A2CD8"/>
    <w:rsid w:val="007A4655"/>
    <w:rsid w:val="007A720C"/>
    <w:rsid w:val="007A72BB"/>
    <w:rsid w:val="007A7597"/>
    <w:rsid w:val="007B0D3C"/>
    <w:rsid w:val="007B5C4B"/>
    <w:rsid w:val="007B6F35"/>
    <w:rsid w:val="007C2621"/>
    <w:rsid w:val="007C2BFE"/>
    <w:rsid w:val="007C3659"/>
    <w:rsid w:val="007C4B7C"/>
    <w:rsid w:val="007C5B15"/>
    <w:rsid w:val="007C641E"/>
    <w:rsid w:val="007C77F3"/>
    <w:rsid w:val="007D0A68"/>
    <w:rsid w:val="007D11A9"/>
    <w:rsid w:val="007D24B6"/>
    <w:rsid w:val="007D4250"/>
    <w:rsid w:val="007D48D0"/>
    <w:rsid w:val="007D5DBF"/>
    <w:rsid w:val="007D791C"/>
    <w:rsid w:val="007D7EC5"/>
    <w:rsid w:val="007E049E"/>
    <w:rsid w:val="007E0FB8"/>
    <w:rsid w:val="007E13E3"/>
    <w:rsid w:val="007E2BC7"/>
    <w:rsid w:val="007E3A5A"/>
    <w:rsid w:val="007E401A"/>
    <w:rsid w:val="007E4021"/>
    <w:rsid w:val="007E52FC"/>
    <w:rsid w:val="007E5B42"/>
    <w:rsid w:val="007E5ED6"/>
    <w:rsid w:val="007E70EA"/>
    <w:rsid w:val="007F07D5"/>
    <w:rsid w:val="007F08C7"/>
    <w:rsid w:val="007F08F7"/>
    <w:rsid w:val="007F0B5F"/>
    <w:rsid w:val="007F28B4"/>
    <w:rsid w:val="007F2EED"/>
    <w:rsid w:val="007F2FB4"/>
    <w:rsid w:val="007F3422"/>
    <w:rsid w:val="007F34EA"/>
    <w:rsid w:val="007F3CD0"/>
    <w:rsid w:val="007F7408"/>
    <w:rsid w:val="00800583"/>
    <w:rsid w:val="008005C9"/>
    <w:rsid w:val="0080074E"/>
    <w:rsid w:val="00800E70"/>
    <w:rsid w:val="008011E4"/>
    <w:rsid w:val="00803BC6"/>
    <w:rsid w:val="008044D4"/>
    <w:rsid w:val="00804B33"/>
    <w:rsid w:val="008057D3"/>
    <w:rsid w:val="00805E21"/>
    <w:rsid w:val="008063FD"/>
    <w:rsid w:val="0080674F"/>
    <w:rsid w:val="00806BE3"/>
    <w:rsid w:val="00807519"/>
    <w:rsid w:val="00807CF8"/>
    <w:rsid w:val="00807D25"/>
    <w:rsid w:val="00810ADF"/>
    <w:rsid w:val="00811E2B"/>
    <w:rsid w:val="008132D3"/>
    <w:rsid w:val="008134D2"/>
    <w:rsid w:val="00813F2F"/>
    <w:rsid w:val="008145D3"/>
    <w:rsid w:val="00814B62"/>
    <w:rsid w:val="00814D97"/>
    <w:rsid w:val="0081540C"/>
    <w:rsid w:val="008161B8"/>
    <w:rsid w:val="008163CA"/>
    <w:rsid w:val="00816954"/>
    <w:rsid w:val="00817018"/>
    <w:rsid w:val="00817C32"/>
    <w:rsid w:val="00820242"/>
    <w:rsid w:val="00820536"/>
    <w:rsid w:val="00820D69"/>
    <w:rsid w:val="00820F3A"/>
    <w:rsid w:val="0082338E"/>
    <w:rsid w:val="008238C5"/>
    <w:rsid w:val="008247D3"/>
    <w:rsid w:val="0082530E"/>
    <w:rsid w:val="00825763"/>
    <w:rsid w:val="00826914"/>
    <w:rsid w:val="0082712E"/>
    <w:rsid w:val="00831299"/>
    <w:rsid w:val="00832A18"/>
    <w:rsid w:val="0083380A"/>
    <w:rsid w:val="008347D1"/>
    <w:rsid w:val="00836DCB"/>
    <w:rsid w:val="008372DE"/>
    <w:rsid w:val="00837411"/>
    <w:rsid w:val="008402B4"/>
    <w:rsid w:val="008406DF"/>
    <w:rsid w:val="00841E9D"/>
    <w:rsid w:val="00843094"/>
    <w:rsid w:val="008443C1"/>
    <w:rsid w:val="00846F7C"/>
    <w:rsid w:val="00847B88"/>
    <w:rsid w:val="00847C14"/>
    <w:rsid w:val="00851B73"/>
    <w:rsid w:val="00851E60"/>
    <w:rsid w:val="00852F70"/>
    <w:rsid w:val="00853B57"/>
    <w:rsid w:val="0085511C"/>
    <w:rsid w:val="00856552"/>
    <w:rsid w:val="008567C4"/>
    <w:rsid w:val="00857038"/>
    <w:rsid w:val="00857E04"/>
    <w:rsid w:val="008605EA"/>
    <w:rsid w:val="00861342"/>
    <w:rsid w:val="008629C3"/>
    <w:rsid w:val="00864263"/>
    <w:rsid w:val="008668B0"/>
    <w:rsid w:val="00867091"/>
    <w:rsid w:val="00867FB1"/>
    <w:rsid w:val="00870FB6"/>
    <w:rsid w:val="00873901"/>
    <w:rsid w:val="0087448E"/>
    <w:rsid w:val="00874973"/>
    <w:rsid w:val="008757DB"/>
    <w:rsid w:val="00880123"/>
    <w:rsid w:val="008804B3"/>
    <w:rsid w:val="0088072F"/>
    <w:rsid w:val="008808CD"/>
    <w:rsid w:val="00880E64"/>
    <w:rsid w:val="008812EF"/>
    <w:rsid w:val="008814D5"/>
    <w:rsid w:val="00882D2F"/>
    <w:rsid w:val="008855D4"/>
    <w:rsid w:val="00887015"/>
    <w:rsid w:val="0089018B"/>
    <w:rsid w:val="008901F0"/>
    <w:rsid w:val="0089095D"/>
    <w:rsid w:val="00890F2A"/>
    <w:rsid w:val="0089218A"/>
    <w:rsid w:val="00892401"/>
    <w:rsid w:val="00893ED9"/>
    <w:rsid w:val="008945B4"/>
    <w:rsid w:val="00895CB4"/>
    <w:rsid w:val="00895D6B"/>
    <w:rsid w:val="00896CA2"/>
    <w:rsid w:val="00897636"/>
    <w:rsid w:val="00897BE4"/>
    <w:rsid w:val="00897DA1"/>
    <w:rsid w:val="008A12C0"/>
    <w:rsid w:val="008A1B62"/>
    <w:rsid w:val="008A1F98"/>
    <w:rsid w:val="008A21CC"/>
    <w:rsid w:val="008A2631"/>
    <w:rsid w:val="008A2B6D"/>
    <w:rsid w:val="008A43CE"/>
    <w:rsid w:val="008A4BDD"/>
    <w:rsid w:val="008A58CC"/>
    <w:rsid w:val="008A5D68"/>
    <w:rsid w:val="008A5DC7"/>
    <w:rsid w:val="008A793F"/>
    <w:rsid w:val="008B0581"/>
    <w:rsid w:val="008B0A88"/>
    <w:rsid w:val="008B112D"/>
    <w:rsid w:val="008B1202"/>
    <w:rsid w:val="008B1521"/>
    <w:rsid w:val="008B1884"/>
    <w:rsid w:val="008B2DD1"/>
    <w:rsid w:val="008B493B"/>
    <w:rsid w:val="008B65E0"/>
    <w:rsid w:val="008B661E"/>
    <w:rsid w:val="008B6C9B"/>
    <w:rsid w:val="008B704C"/>
    <w:rsid w:val="008B70D1"/>
    <w:rsid w:val="008B78F7"/>
    <w:rsid w:val="008C0446"/>
    <w:rsid w:val="008C0676"/>
    <w:rsid w:val="008C1A4A"/>
    <w:rsid w:val="008C1D24"/>
    <w:rsid w:val="008C3052"/>
    <w:rsid w:val="008C3B7A"/>
    <w:rsid w:val="008C5681"/>
    <w:rsid w:val="008C5D23"/>
    <w:rsid w:val="008C6128"/>
    <w:rsid w:val="008C68E3"/>
    <w:rsid w:val="008C70B4"/>
    <w:rsid w:val="008D1B31"/>
    <w:rsid w:val="008D3DB0"/>
    <w:rsid w:val="008D675F"/>
    <w:rsid w:val="008D729B"/>
    <w:rsid w:val="008D777B"/>
    <w:rsid w:val="008E0143"/>
    <w:rsid w:val="008E14E8"/>
    <w:rsid w:val="008E23C9"/>
    <w:rsid w:val="008E3BAC"/>
    <w:rsid w:val="008E3DC1"/>
    <w:rsid w:val="008E44C6"/>
    <w:rsid w:val="008E4AD0"/>
    <w:rsid w:val="008E5813"/>
    <w:rsid w:val="008E5EFC"/>
    <w:rsid w:val="008E651C"/>
    <w:rsid w:val="008E6EDB"/>
    <w:rsid w:val="008E6F12"/>
    <w:rsid w:val="008E6F65"/>
    <w:rsid w:val="008E728B"/>
    <w:rsid w:val="008F02B1"/>
    <w:rsid w:val="008F08E8"/>
    <w:rsid w:val="008F1057"/>
    <w:rsid w:val="008F1F1F"/>
    <w:rsid w:val="008F25ED"/>
    <w:rsid w:val="008F378D"/>
    <w:rsid w:val="008F4160"/>
    <w:rsid w:val="008F41F1"/>
    <w:rsid w:val="008F5252"/>
    <w:rsid w:val="008F73E3"/>
    <w:rsid w:val="008F7707"/>
    <w:rsid w:val="008F7C74"/>
    <w:rsid w:val="00900B29"/>
    <w:rsid w:val="00900C9A"/>
    <w:rsid w:val="00900FEE"/>
    <w:rsid w:val="00901ACA"/>
    <w:rsid w:val="00901BBF"/>
    <w:rsid w:val="00903134"/>
    <w:rsid w:val="009038F4"/>
    <w:rsid w:val="00903A0E"/>
    <w:rsid w:val="009052D0"/>
    <w:rsid w:val="00905F1E"/>
    <w:rsid w:val="00910159"/>
    <w:rsid w:val="00910692"/>
    <w:rsid w:val="009119E3"/>
    <w:rsid w:val="00911D14"/>
    <w:rsid w:val="00912304"/>
    <w:rsid w:val="009128BB"/>
    <w:rsid w:val="00913B6C"/>
    <w:rsid w:val="00914A66"/>
    <w:rsid w:val="00914FE0"/>
    <w:rsid w:val="00915D8D"/>
    <w:rsid w:val="00916B67"/>
    <w:rsid w:val="00916D6C"/>
    <w:rsid w:val="0091775A"/>
    <w:rsid w:val="0092095C"/>
    <w:rsid w:val="009210DF"/>
    <w:rsid w:val="00921103"/>
    <w:rsid w:val="00924587"/>
    <w:rsid w:val="009245AE"/>
    <w:rsid w:val="009247E9"/>
    <w:rsid w:val="00924A71"/>
    <w:rsid w:val="0092688E"/>
    <w:rsid w:val="00926E87"/>
    <w:rsid w:val="00927137"/>
    <w:rsid w:val="009304B5"/>
    <w:rsid w:val="009308A8"/>
    <w:rsid w:val="00931A58"/>
    <w:rsid w:val="0093252B"/>
    <w:rsid w:val="00932E26"/>
    <w:rsid w:val="0093312E"/>
    <w:rsid w:val="009333EE"/>
    <w:rsid w:val="00933504"/>
    <w:rsid w:val="009339C2"/>
    <w:rsid w:val="0093628D"/>
    <w:rsid w:val="00937284"/>
    <w:rsid w:val="00937FEC"/>
    <w:rsid w:val="0094028E"/>
    <w:rsid w:val="00940298"/>
    <w:rsid w:val="00942CAB"/>
    <w:rsid w:val="009431BC"/>
    <w:rsid w:val="009452AC"/>
    <w:rsid w:val="0094557B"/>
    <w:rsid w:val="009460A3"/>
    <w:rsid w:val="009470D3"/>
    <w:rsid w:val="009470D5"/>
    <w:rsid w:val="009479C1"/>
    <w:rsid w:val="0095026A"/>
    <w:rsid w:val="00950383"/>
    <w:rsid w:val="009508E1"/>
    <w:rsid w:val="00950FA9"/>
    <w:rsid w:val="009513E4"/>
    <w:rsid w:val="00952408"/>
    <w:rsid w:val="0095248E"/>
    <w:rsid w:val="00952A05"/>
    <w:rsid w:val="00953A37"/>
    <w:rsid w:val="00955B76"/>
    <w:rsid w:val="00960513"/>
    <w:rsid w:val="009609F0"/>
    <w:rsid w:val="00960B0F"/>
    <w:rsid w:val="00961134"/>
    <w:rsid w:val="00963C45"/>
    <w:rsid w:val="0096445B"/>
    <w:rsid w:val="009676CB"/>
    <w:rsid w:val="00967EF9"/>
    <w:rsid w:val="00970E55"/>
    <w:rsid w:val="0097156A"/>
    <w:rsid w:val="00973F36"/>
    <w:rsid w:val="00974625"/>
    <w:rsid w:val="00976555"/>
    <w:rsid w:val="00976BC3"/>
    <w:rsid w:val="009779C3"/>
    <w:rsid w:val="00977DC6"/>
    <w:rsid w:val="00984299"/>
    <w:rsid w:val="009844E0"/>
    <w:rsid w:val="00984F84"/>
    <w:rsid w:val="00986B16"/>
    <w:rsid w:val="00987202"/>
    <w:rsid w:val="00991684"/>
    <w:rsid w:val="009919FD"/>
    <w:rsid w:val="00991AFD"/>
    <w:rsid w:val="009935AC"/>
    <w:rsid w:val="0099387B"/>
    <w:rsid w:val="009975AD"/>
    <w:rsid w:val="009A1045"/>
    <w:rsid w:val="009A16CD"/>
    <w:rsid w:val="009A1EA7"/>
    <w:rsid w:val="009A3657"/>
    <w:rsid w:val="009A7FAF"/>
    <w:rsid w:val="009B072B"/>
    <w:rsid w:val="009B19D4"/>
    <w:rsid w:val="009B2D2F"/>
    <w:rsid w:val="009B3597"/>
    <w:rsid w:val="009B4AC6"/>
    <w:rsid w:val="009B567A"/>
    <w:rsid w:val="009B7AAA"/>
    <w:rsid w:val="009B7E0D"/>
    <w:rsid w:val="009C08BF"/>
    <w:rsid w:val="009C27F8"/>
    <w:rsid w:val="009C2FDD"/>
    <w:rsid w:val="009C3288"/>
    <w:rsid w:val="009C45E0"/>
    <w:rsid w:val="009C4638"/>
    <w:rsid w:val="009C48E4"/>
    <w:rsid w:val="009C54E0"/>
    <w:rsid w:val="009C5D06"/>
    <w:rsid w:val="009C74EB"/>
    <w:rsid w:val="009C7860"/>
    <w:rsid w:val="009C79C8"/>
    <w:rsid w:val="009D258B"/>
    <w:rsid w:val="009D36A3"/>
    <w:rsid w:val="009D4345"/>
    <w:rsid w:val="009D4591"/>
    <w:rsid w:val="009D5982"/>
    <w:rsid w:val="009D61BB"/>
    <w:rsid w:val="009D7680"/>
    <w:rsid w:val="009E01A1"/>
    <w:rsid w:val="009E2056"/>
    <w:rsid w:val="009E310C"/>
    <w:rsid w:val="009E39C2"/>
    <w:rsid w:val="009E4048"/>
    <w:rsid w:val="009E5F77"/>
    <w:rsid w:val="009E79E3"/>
    <w:rsid w:val="009E7B70"/>
    <w:rsid w:val="009F016F"/>
    <w:rsid w:val="009F0430"/>
    <w:rsid w:val="009F0582"/>
    <w:rsid w:val="009F0C18"/>
    <w:rsid w:val="009F3385"/>
    <w:rsid w:val="009F35A0"/>
    <w:rsid w:val="009F535E"/>
    <w:rsid w:val="009F5FC8"/>
    <w:rsid w:val="009F6C71"/>
    <w:rsid w:val="009F73A3"/>
    <w:rsid w:val="009F7904"/>
    <w:rsid w:val="00A00E31"/>
    <w:rsid w:val="00A014BF"/>
    <w:rsid w:val="00A01ED6"/>
    <w:rsid w:val="00A026EA"/>
    <w:rsid w:val="00A02A36"/>
    <w:rsid w:val="00A02BAD"/>
    <w:rsid w:val="00A031F0"/>
    <w:rsid w:val="00A03C56"/>
    <w:rsid w:val="00A044D2"/>
    <w:rsid w:val="00A049EE"/>
    <w:rsid w:val="00A04E03"/>
    <w:rsid w:val="00A100CC"/>
    <w:rsid w:val="00A10EE4"/>
    <w:rsid w:val="00A114C2"/>
    <w:rsid w:val="00A1372C"/>
    <w:rsid w:val="00A141FB"/>
    <w:rsid w:val="00A14928"/>
    <w:rsid w:val="00A160C4"/>
    <w:rsid w:val="00A171F6"/>
    <w:rsid w:val="00A17A3D"/>
    <w:rsid w:val="00A17B91"/>
    <w:rsid w:val="00A20119"/>
    <w:rsid w:val="00A20B51"/>
    <w:rsid w:val="00A22C8C"/>
    <w:rsid w:val="00A249F6"/>
    <w:rsid w:val="00A25B36"/>
    <w:rsid w:val="00A30985"/>
    <w:rsid w:val="00A30F59"/>
    <w:rsid w:val="00A3180C"/>
    <w:rsid w:val="00A33A74"/>
    <w:rsid w:val="00A34E05"/>
    <w:rsid w:val="00A35775"/>
    <w:rsid w:val="00A37C0D"/>
    <w:rsid w:val="00A40E43"/>
    <w:rsid w:val="00A41CFF"/>
    <w:rsid w:val="00A4236B"/>
    <w:rsid w:val="00A454BB"/>
    <w:rsid w:val="00A463A4"/>
    <w:rsid w:val="00A47AD5"/>
    <w:rsid w:val="00A50240"/>
    <w:rsid w:val="00A5136D"/>
    <w:rsid w:val="00A517F5"/>
    <w:rsid w:val="00A51E68"/>
    <w:rsid w:val="00A535FD"/>
    <w:rsid w:val="00A55134"/>
    <w:rsid w:val="00A55336"/>
    <w:rsid w:val="00A55AA3"/>
    <w:rsid w:val="00A60373"/>
    <w:rsid w:val="00A60976"/>
    <w:rsid w:val="00A617FA"/>
    <w:rsid w:val="00A61CB7"/>
    <w:rsid w:val="00A61D27"/>
    <w:rsid w:val="00A627D4"/>
    <w:rsid w:val="00A63A21"/>
    <w:rsid w:val="00A6415F"/>
    <w:rsid w:val="00A65833"/>
    <w:rsid w:val="00A65AE8"/>
    <w:rsid w:val="00A666E3"/>
    <w:rsid w:val="00A7054E"/>
    <w:rsid w:val="00A71241"/>
    <w:rsid w:val="00A728CB"/>
    <w:rsid w:val="00A73576"/>
    <w:rsid w:val="00A73C18"/>
    <w:rsid w:val="00A748CB"/>
    <w:rsid w:val="00A76A50"/>
    <w:rsid w:val="00A76CBB"/>
    <w:rsid w:val="00A77072"/>
    <w:rsid w:val="00A81C7D"/>
    <w:rsid w:val="00A8249C"/>
    <w:rsid w:val="00A82D42"/>
    <w:rsid w:val="00A832B8"/>
    <w:rsid w:val="00A84074"/>
    <w:rsid w:val="00A8419D"/>
    <w:rsid w:val="00A84DD9"/>
    <w:rsid w:val="00A85414"/>
    <w:rsid w:val="00A85F74"/>
    <w:rsid w:val="00A866E3"/>
    <w:rsid w:val="00A86F4E"/>
    <w:rsid w:val="00A908DA"/>
    <w:rsid w:val="00A90ABA"/>
    <w:rsid w:val="00A90BB2"/>
    <w:rsid w:val="00A919A5"/>
    <w:rsid w:val="00A9221D"/>
    <w:rsid w:val="00A92B8F"/>
    <w:rsid w:val="00A93123"/>
    <w:rsid w:val="00A95D71"/>
    <w:rsid w:val="00A960FF"/>
    <w:rsid w:val="00A9735A"/>
    <w:rsid w:val="00AA0121"/>
    <w:rsid w:val="00AA09CF"/>
    <w:rsid w:val="00AA0A2E"/>
    <w:rsid w:val="00AA0DC0"/>
    <w:rsid w:val="00AA1685"/>
    <w:rsid w:val="00AA1996"/>
    <w:rsid w:val="00AA1B04"/>
    <w:rsid w:val="00AA1D4F"/>
    <w:rsid w:val="00AA210B"/>
    <w:rsid w:val="00AA314D"/>
    <w:rsid w:val="00AA3242"/>
    <w:rsid w:val="00AA3A6F"/>
    <w:rsid w:val="00AA4211"/>
    <w:rsid w:val="00AA6EDD"/>
    <w:rsid w:val="00AB1083"/>
    <w:rsid w:val="00AB1245"/>
    <w:rsid w:val="00AB2B3A"/>
    <w:rsid w:val="00AB36A2"/>
    <w:rsid w:val="00AB3857"/>
    <w:rsid w:val="00AB4A59"/>
    <w:rsid w:val="00AB4D42"/>
    <w:rsid w:val="00AB4EAC"/>
    <w:rsid w:val="00AB51BB"/>
    <w:rsid w:val="00AB5647"/>
    <w:rsid w:val="00AB66F2"/>
    <w:rsid w:val="00AB7749"/>
    <w:rsid w:val="00AC16EB"/>
    <w:rsid w:val="00AC396D"/>
    <w:rsid w:val="00AC39D2"/>
    <w:rsid w:val="00AC3AF0"/>
    <w:rsid w:val="00AC4DC9"/>
    <w:rsid w:val="00AC5EEF"/>
    <w:rsid w:val="00AC7771"/>
    <w:rsid w:val="00AC7F44"/>
    <w:rsid w:val="00AD0070"/>
    <w:rsid w:val="00AD1842"/>
    <w:rsid w:val="00AD31C8"/>
    <w:rsid w:val="00AD35B6"/>
    <w:rsid w:val="00AD4031"/>
    <w:rsid w:val="00AD546A"/>
    <w:rsid w:val="00AD677D"/>
    <w:rsid w:val="00AD6A54"/>
    <w:rsid w:val="00AD6C9C"/>
    <w:rsid w:val="00AD7FFC"/>
    <w:rsid w:val="00AE0638"/>
    <w:rsid w:val="00AE1058"/>
    <w:rsid w:val="00AE1C39"/>
    <w:rsid w:val="00AE24AF"/>
    <w:rsid w:val="00AE3927"/>
    <w:rsid w:val="00AE3EED"/>
    <w:rsid w:val="00AE562E"/>
    <w:rsid w:val="00AE730F"/>
    <w:rsid w:val="00AF0D60"/>
    <w:rsid w:val="00AF1697"/>
    <w:rsid w:val="00AF4EFF"/>
    <w:rsid w:val="00B00056"/>
    <w:rsid w:val="00B0052F"/>
    <w:rsid w:val="00B00AA5"/>
    <w:rsid w:val="00B0120F"/>
    <w:rsid w:val="00B0158D"/>
    <w:rsid w:val="00B01805"/>
    <w:rsid w:val="00B01B60"/>
    <w:rsid w:val="00B03C12"/>
    <w:rsid w:val="00B0450F"/>
    <w:rsid w:val="00B055C7"/>
    <w:rsid w:val="00B057CF"/>
    <w:rsid w:val="00B059AC"/>
    <w:rsid w:val="00B066E2"/>
    <w:rsid w:val="00B06A77"/>
    <w:rsid w:val="00B076D9"/>
    <w:rsid w:val="00B0774D"/>
    <w:rsid w:val="00B07DAE"/>
    <w:rsid w:val="00B1022A"/>
    <w:rsid w:val="00B10259"/>
    <w:rsid w:val="00B110A9"/>
    <w:rsid w:val="00B1133D"/>
    <w:rsid w:val="00B1211D"/>
    <w:rsid w:val="00B14817"/>
    <w:rsid w:val="00B148E2"/>
    <w:rsid w:val="00B167F3"/>
    <w:rsid w:val="00B1700F"/>
    <w:rsid w:val="00B175EF"/>
    <w:rsid w:val="00B207F3"/>
    <w:rsid w:val="00B218C5"/>
    <w:rsid w:val="00B233B5"/>
    <w:rsid w:val="00B2364B"/>
    <w:rsid w:val="00B2429F"/>
    <w:rsid w:val="00B24857"/>
    <w:rsid w:val="00B25EB6"/>
    <w:rsid w:val="00B2638B"/>
    <w:rsid w:val="00B30144"/>
    <w:rsid w:val="00B30BD2"/>
    <w:rsid w:val="00B3103D"/>
    <w:rsid w:val="00B326A9"/>
    <w:rsid w:val="00B35301"/>
    <w:rsid w:val="00B35864"/>
    <w:rsid w:val="00B366A4"/>
    <w:rsid w:val="00B37711"/>
    <w:rsid w:val="00B37D35"/>
    <w:rsid w:val="00B41237"/>
    <w:rsid w:val="00B43EAA"/>
    <w:rsid w:val="00B44D2C"/>
    <w:rsid w:val="00B44E18"/>
    <w:rsid w:val="00B45C75"/>
    <w:rsid w:val="00B45D12"/>
    <w:rsid w:val="00B4686D"/>
    <w:rsid w:val="00B51538"/>
    <w:rsid w:val="00B5241A"/>
    <w:rsid w:val="00B54B71"/>
    <w:rsid w:val="00B57F84"/>
    <w:rsid w:val="00B6119F"/>
    <w:rsid w:val="00B61963"/>
    <w:rsid w:val="00B62E6D"/>
    <w:rsid w:val="00B6333F"/>
    <w:rsid w:val="00B63448"/>
    <w:rsid w:val="00B640EC"/>
    <w:rsid w:val="00B648E4"/>
    <w:rsid w:val="00B64CC1"/>
    <w:rsid w:val="00B65D87"/>
    <w:rsid w:val="00B66433"/>
    <w:rsid w:val="00B66D4B"/>
    <w:rsid w:val="00B6726C"/>
    <w:rsid w:val="00B675B7"/>
    <w:rsid w:val="00B70A72"/>
    <w:rsid w:val="00B71C06"/>
    <w:rsid w:val="00B72301"/>
    <w:rsid w:val="00B753E8"/>
    <w:rsid w:val="00B75FAD"/>
    <w:rsid w:val="00B76499"/>
    <w:rsid w:val="00B80534"/>
    <w:rsid w:val="00B80AE1"/>
    <w:rsid w:val="00B81651"/>
    <w:rsid w:val="00B821FA"/>
    <w:rsid w:val="00B82722"/>
    <w:rsid w:val="00B82C1F"/>
    <w:rsid w:val="00B82E98"/>
    <w:rsid w:val="00B846B5"/>
    <w:rsid w:val="00B84DD6"/>
    <w:rsid w:val="00B87B75"/>
    <w:rsid w:val="00B9250F"/>
    <w:rsid w:val="00B9289E"/>
    <w:rsid w:val="00B93949"/>
    <w:rsid w:val="00B95158"/>
    <w:rsid w:val="00B959BD"/>
    <w:rsid w:val="00B95A0C"/>
    <w:rsid w:val="00B9606A"/>
    <w:rsid w:val="00B96682"/>
    <w:rsid w:val="00BA0737"/>
    <w:rsid w:val="00BA0A86"/>
    <w:rsid w:val="00BA16E8"/>
    <w:rsid w:val="00BA1999"/>
    <w:rsid w:val="00BA19A0"/>
    <w:rsid w:val="00BA21A1"/>
    <w:rsid w:val="00BA30B4"/>
    <w:rsid w:val="00BA4087"/>
    <w:rsid w:val="00BA43A1"/>
    <w:rsid w:val="00BA440A"/>
    <w:rsid w:val="00BA4BA4"/>
    <w:rsid w:val="00BA5B74"/>
    <w:rsid w:val="00BA63DB"/>
    <w:rsid w:val="00BA66E9"/>
    <w:rsid w:val="00BB09D9"/>
    <w:rsid w:val="00BB1698"/>
    <w:rsid w:val="00BB1C7A"/>
    <w:rsid w:val="00BB1E57"/>
    <w:rsid w:val="00BB2112"/>
    <w:rsid w:val="00BB2B90"/>
    <w:rsid w:val="00BB30E0"/>
    <w:rsid w:val="00BB33B2"/>
    <w:rsid w:val="00BB3F6F"/>
    <w:rsid w:val="00BB622F"/>
    <w:rsid w:val="00BB651E"/>
    <w:rsid w:val="00BB6B16"/>
    <w:rsid w:val="00BB7899"/>
    <w:rsid w:val="00BB7CC4"/>
    <w:rsid w:val="00BC10E2"/>
    <w:rsid w:val="00BC2C19"/>
    <w:rsid w:val="00BC347F"/>
    <w:rsid w:val="00BC3F71"/>
    <w:rsid w:val="00BC4A38"/>
    <w:rsid w:val="00BC4F08"/>
    <w:rsid w:val="00BC4F0F"/>
    <w:rsid w:val="00BC5A47"/>
    <w:rsid w:val="00BC6823"/>
    <w:rsid w:val="00BC73E0"/>
    <w:rsid w:val="00BC7472"/>
    <w:rsid w:val="00BC7F0F"/>
    <w:rsid w:val="00BD08FF"/>
    <w:rsid w:val="00BD0D0E"/>
    <w:rsid w:val="00BD0EE2"/>
    <w:rsid w:val="00BD1559"/>
    <w:rsid w:val="00BD1D41"/>
    <w:rsid w:val="00BD281D"/>
    <w:rsid w:val="00BD2B35"/>
    <w:rsid w:val="00BD2D1A"/>
    <w:rsid w:val="00BD463E"/>
    <w:rsid w:val="00BD47FF"/>
    <w:rsid w:val="00BD567B"/>
    <w:rsid w:val="00BD5BBC"/>
    <w:rsid w:val="00BD5CE9"/>
    <w:rsid w:val="00BD645E"/>
    <w:rsid w:val="00BE0483"/>
    <w:rsid w:val="00BE214E"/>
    <w:rsid w:val="00BE36B2"/>
    <w:rsid w:val="00BE5716"/>
    <w:rsid w:val="00BE6718"/>
    <w:rsid w:val="00BE7632"/>
    <w:rsid w:val="00BF0F0B"/>
    <w:rsid w:val="00BF16D9"/>
    <w:rsid w:val="00BF18EB"/>
    <w:rsid w:val="00BF1E9E"/>
    <w:rsid w:val="00BF2516"/>
    <w:rsid w:val="00BF268D"/>
    <w:rsid w:val="00BF37A5"/>
    <w:rsid w:val="00BF4DE6"/>
    <w:rsid w:val="00BF517D"/>
    <w:rsid w:val="00BF575B"/>
    <w:rsid w:val="00C005B9"/>
    <w:rsid w:val="00C0063E"/>
    <w:rsid w:val="00C00CCE"/>
    <w:rsid w:val="00C0111E"/>
    <w:rsid w:val="00C0260F"/>
    <w:rsid w:val="00C0465A"/>
    <w:rsid w:val="00C06305"/>
    <w:rsid w:val="00C066A4"/>
    <w:rsid w:val="00C07C9B"/>
    <w:rsid w:val="00C11EB9"/>
    <w:rsid w:val="00C12853"/>
    <w:rsid w:val="00C12E32"/>
    <w:rsid w:val="00C13DA2"/>
    <w:rsid w:val="00C1449A"/>
    <w:rsid w:val="00C14B25"/>
    <w:rsid w:val="00C1518A"/>
    <w:rsid w:val="00C154AC"/>
    <w:rsid w:val="00C16316"/>
    <w:rsid w:val="00C1669A"/>
    <w:rsid w:val="00C16EF4"/>
    <w:rsid w:val="00C17597"/>
    <w:rsid w:val="00C179BD"/>
    <w:rsid w:val="00C2075E"/>
    <w:rsid w:val="00C210B6"/>
    <w:rsid w:val="00C21BEC"/>
    <w:rsid w:val="00C2281F"/>
    <w:rsid w:val="00C22F2E"/>
    <w:rsid w:val="00C25682"/>
    <w:rsid w:val="00C31552"/>
    <w:rsid w:val="00C3216B"/>
    <w:rsid w:val="00C326CC"/>
    <w:rsid w:val="00C3301A"/>
    <w:rsid w:val="00C339CF"/>
    <w:rsid w:val="00C34EC0"/>
    <w:rsid w:val="00C36650"/>
    <w:rsid w:val="00C37564"/>
    <w:rsid w:val="00C400E6"/>
    <w:rsid w:val="00C431DC"/>
    <w:rsid w:val="00C437A6"/>
    <w:rsid w:val="00C50ED8"/>
    <w:rsid w:val="00C51450"/>
    <w:rsid w:val="00C5299E"/>
    <w:rsid w:val="00C53BCF"/>
    <w:rsid w:val="00C53D53"/>
    <w:rsid w:val="00C54155"/>
    <w:rsid w:val="00C6076E"/>
    <w:rsid w:val="00C60985"/>
    <w:rsid w:val="00C6277E"/>
    <w:rsid w:val="00C6280E"/>
    <w:rsid w:val="00C62923"/>
    <w:rsid w:val="00C62CBD"/>
    <w:rsid w:val="00C62D98"/>
    <w:rsid w:val="00C6323E"/>
    <w:rsid w:val="00C63DC3"/>
    <w:rsid w:val="00C63F73"/>
    <w:rsid w:val="00C6539D"/>
    <w:rsid w:val="00C6556D"/>
    <w:rsid w:val="00C659A6"/>
    <w:rsid w:val="00C67165"/>
    <w:rsid w:val="00C6752E"/>
    <w:rsid w:val="00C67F44"/>
    <w:rsid w:val="00C718F3"/>
    <w:rsid w:val="00C72FBF"/>
    <w:rsid w:val="00C76DD7"/>
    <w:rsid w:val="00C77D49"/>
    <w:rsid w:val="00C80C29"/>
    <w:rsid w:val="00C8145D"/>
    <w:rsid w:val="00C82164"/>
    <w:rsid w:val="00C8472C"/>
    <w:rsid w:val="00C86222"/>
    <w:rsid w:val="00C878AD"/>
    <w:rsid w:val="00C90F83"/>
    <w:rsid w:val="00C91106"/>
    <w:rsid w:val="00C929A5"/>
    <w:rsid w:val="00C92C47"/>
    <w:rsid w:val="00C9367D"/>
    <w:rsid w:val="00C9395B"/>
    <w:rsid w:val="00C9450F"/>
    <w:rsid w:val="00C95A71"/>
    <w:rsid w:val="00C96599"/>
    <w:rsid w:val="00C96941"/>
    <w:rsid w:val="00C97524"/>
    <w:rsid w:val="00CA184E"/>
    <w:rsid w:val="00CA1F66"/>
    <w:rsid w:val="00CA23A8"/>
    <w:rsid w:val="00CA250D"/>
    <w:rsid w:val="00CA25A3"/>
    <w:rsid w:val="00CA7EE8"/>
    <w:rsid w:val="00CB021D"/>
    <w:rsid w:val="00CB12A0"/>
    <w:rsid w:val="00CB17FE"/>
    <w:rsid w:val="00CB1831"/>
    <w:rsid w:val="00CB1DFD"/>
    <w:rsid w:val="00CB44E7"/>
    <w:rsid w:val="00CB4CCD"/>
    <w:rsid w:val="00CB5022"/>
    <w:rsid w:val="00CB6331"/>
    <w:rsid w:val="00CB642D"/>
    <w:rsid w:val="00CB6498"/>
    <w:rsid w:val="00CB6F4F"/>
    <w:rsid w:val="00CB7CB7"/>
    <w:rsid w:val="00CC1A9B"/>
    <w:rsid w:val="00CC1CCB"/>
    <w:rsid w:val="00CC4C8A"/>
    <w:rsid w:val="00CC4E4A"/>
    <w:rsid w:val="00CC6619"/>
    <w:rsid w:val="00CC7390"/>
    <w:rsid w:val="00CC7425"/>
    <w:rsid w:val="00CC761D"/>
    <w:rsid w:val="00CD10B7"/>
    <w:rsid w:val="00CD1F5E"/>
    <w:rsid w:val="00CD2699"/>
    <w:rsid w:val="00CD2A6B"/>
    <w:rsid w:val="00CD36DB"/>
    <w:rsid w:val="00CD4660"/>
    <w:rsid w:val="00CD5D9C"/>
    <w:rsid w:val="00CD756F"/>
    <w:rsid w:val="00CE346F"/>
    <w:rsid w:val="00CE4220"/>
    <w:rsid w:val="00CE72C0"/>
    <w:rsid w:val="00CF027E"/>
    <w:rsid w:val="00CF12F3"/>
    <w:rsid w:val="00CF236D"/>
    <w:rsid w:val="00CF3EB3"/>
    <w:rsid w:val="00CF550E"/>
    <w:rsid w:val="00CF6D4E"/>
    <w:rsid w:val="00CF771D"/>
    <w:rsid w:val="00CF7E5F"/>
    <w:rsid w:val="00D0033D"/>
    <w:rsid w:val="00D0099D"/>
    <w:rsid w:val="00D01D45"/>
    <w:rsid w:val="00D03AD1"/>
    <w:rsid w:val="00D03CBD"/>
    <w:rsid w:val="00D0460F"/>
    <w:rsid w:val="00D060C9"/>
    <w:rsid w:val="00D07CFD"/>
    <w:rsid w:val="00D11935"/>
    <w:rsid w:val="00D1226A"/>
    <w:rsid w:val="00D12CB8"/>
    <w:rsid w:val="00D13FFA"/>
    <w:rsid w:val="00D1447A"/>
    <w:rsid w:val="00D14562"/>
    <w:rsid w:val="00D16510"/>
    <w:rsid w:val="00D16F92"/>
    <w:rsid w:val="00D17992"/>
    <w:rsid w:val="00D2086A"/>
    <w:rsid w:val="00D21426"/>
    <w:rsid w:val="00D21506"/>
    <w:rsid w:val="00D22267"/>
    <w:rsid w:val="00D22523"/>
    <w:rsid w:val="00D237A0"/>
    <w:rsid w:val="00D23EDB"/>
    <w:rsid w:val="00D2481B"/>
    <w:rsid w:val="00D25036"/>
    <w:rsid w:val="00D26463"/>
    <w:rsid w:val="00D27CCD"/>
    <w:rsid w:val="00D3078E"/>
    <w:rsid w:val="00D31030"/>
    <w:rsid w:val="00D3317A"/>
    <w:rsid w:val="00D33E08"/>
    <w:rsid w:val="00D347DA"/>
    <w:rsid w:val="00D358AA"/>
    <w:rsid w:val="00D35A76"/>
    <w:rsid w:val="00D36C5E"/>
    <w:rsid w:val="00D370E6"/>
    <w:rsid w:val="00D4102F"/>
    <w:rsid w:val="00D426F1"/>
    <w:rsid w:val="00D42E27"/>
    <w:rsid w:val="00D436EE"/>
    <w:rsid w:val="00D43B07"/>
    <w:rsid w:val="00D43C3E"/>
    <w:rsid w:val="00D43CBB"/>
    <w:rsid w:val="00D46671"/>
    <w:rsid w:val="00D5019E"/>
    <w:rsid w:val="00D5057C"/>
    <w:rsid w:val="00D5070F"/>
    <w:rsid w:val="00D50779"/>
    <w:rsid w:val="00D50A14"/>
    <w:rsid w:val="00D52AD5"/>
    <w:rsid w:val="00D52E1F"/>
    <w:rsid w:val="00D53E9C"/>
    <w:rsid w:val="00D55C17"/>
    <w:rsid w:val="00D55DF9"/>
    <w:rsid w:val="00D56054"/>
    <w:rsid w:val="00D574D6"/>
    <w:rsid w:val="00D60BC1"/>
    <w:rsid w:val="00D60EE7"/>
    <w:rsid w:val="00D614FB"/>
    <w:rsid w:val="00D668A8"/>
    <w:rsid w:val="00D66915"/>
    <w:rsid w:val="00D66A4B"/>
    <w:rsid w:val="00D67051"/>
    <w:rsid w:val="00D67949"/>
    <w:rsid w:val="00D71AF2"/>
    <w:rsid w:val="00D72B83"/>
    <w:rsid w:val="00D72FD4"/>
    <w:rsid w:val="00D734CC"/>
    <w:rsid w:val="00D74ADD"/>
    <w:rsid w:val="00D758FD"/>
    <w:rsid w:val="00D763D9"/>
    <w:rsid w:val="00D7641A"/>
    <w:rsid w:val="00D77BE5"/>
    <w:rsid w:val="00D77E1E"/>
    <w:rsid w:val="00D80E21"/>
    <w:rsid w:val="00D818AB"/>
    <w:rsid w:val="00D81951"/>
    <w:rsid w:val="00D828A6"/>
    <w:rsid w:val="00D82B51"/>
    <w:rsid w:val="00D8478E"/>
    <w:rsid w:val="00D84C5B"/>
    <w:rsid w:val="00D8571F"/>
    <w:rsid w:val="00D85AF4"/>
    <w:rsid w:val="00D85F7E"/>
    <w:rsid w:val="00D86A78"/>
    <w:rsid w:val="00D86B75"/>
    <w:rsid w:val="00D907C3"/>
    <w:rsid w:val="00D908C8"/>
    <w:rsid w:val="00D9102C"/>
    <w:rsid w:val="00D92724"/>
    <w:rsid w:val="00D936D4"/>
    <w:rsid w:val="00D9377C"/>
    <w:rsid w:val="00D94426"/>
    <w:rsid w:val="00D949B9"/>
    <w:rsid w:val="00D95D2C"/>
    <w:rsid w:val="00D96B7C"/>
    <w:rsid w:val="00DA1222"/>
    <w:rsid w:val="00DA197A"/>
    <w:rsid w:val="00DA1C48"/>
    <w:rsid w:val="00DA1EB9"/>
    <w:rsid w:val="00DA21C2"/>
    <w:rsid w:val="00DA2543"/>
    <w:rsid w:val="00DA37BB"/>
    <w:rsid w:val="00DA381A"/>
    <w:rsid w:val="00DA48D6"/>
    <w:rsid w:val="00DA61B5"/>
    <w:rsid w:val="00DA764C"/>
    <w:rsid w:val="00DA781D"/>
    <w:rsid w:val="00DB0D9B"/>
    <w:rsid w:val="00DB0F62"/>
    <w:rsid w:val="00DB183F"/>
    <w:rsid w:val="00DB2AFC"/>
    <w:rsid w:val="00DB31EC"/>
    <w:rsid w:val="00DB3363"/>
    <w:rsid w:val="00DB36AE"/>
    <w:rsid w:val="00DB5AB5"/>
    <w:rsid w:val="00DB5BDC"/>
    <w:rsid w:val="00DB5D5B"/>
    <w:rsid w:val="00DB6ACD"/>
    <w:rsid w:val="00DB7549"/>
    <w:rsid w:val="00DB7658"/>
    <w:rsid w:val="00DC0408"/>
    <w:rsid w:val="00DC141F"/>
    <w:rsid w:val="00DC2D1B"/>
    <w:rsid w:val="00DC3B9C"/>
    <w:rsid w:val="00DC3F47"/>
    <w:rsid w:val="00DC5EAA"/>
    <w:rsid w:val="00DC7131"/>
    <w:rsid w:val="00DC76AA"/>
    <w:rsid w:val="00DC795E"/>
    <w:rsid w:val="00DC7B5E"/>
    <w:rsid w:val="00DD0179"/>
    <w:rsid w:val="00DD0958"/>
    <w:rsid w:val="00DD0D98"/>
    <w:rsid w:val="00DD3014"/>
    <w:rsid w:val="00DD373D"/>
    <w:rsid w:val="00DD4856"/>
    <w:rsid w:val="00DD6177"/>
    <w:rsid w:val="00DD6399"/>
    <w:rsid w:val="00DE1F78"/>
    <w:rsid w:val="00DE28EB"/>
    <w:rsid w:val="00DE3D35"/>
    <w:rsid w:val="00DE3D6F"/>
    <w:rsid w:val="00DE4B5F"/>
    <w:rsid w:val="00DE57CE"/>
    <w:rsid w:val="00DE6192"/>
    <w:rsid w:val="00DE6647"/>
    <w:rsid w:val="00DE68D4"/>
    <w:rsid w:val="00DE72E9"/>
    <w:rsid w:val="00DE77AC"/>
    <w:rsid w:val="00DE7DED"/>
    <w:rsid w:val="00DE7F4C"/>
    <w:rsid w:val="00DF0438"/>
    <w:rsid w:val="00DF17D3"/>
    <w:rsid w:val="00DF655A"/>
    <w:rsid w:val="00DF65C4"/>
    <w:rsid w:val="00E02AF0"/>
    <w:rsid w:val="00E030E4"/>
    <w:rsid w:val="00E031DD"/>
    <w:rsid w:val="00E034E5"/>
    <w:rsid w:val="00E038A6"/>
    <w:rsid w:val="00E0482F"/>
    <w:rsid w:val="00E0493B"/>
    <w:rsid w:val="00E04C4C"/>
    <w:rsid w:val="00E05163"/>
    <w:rsid w:val="00E053E2"/>
    <w:rsid w:val="00E056D9"/>
    <w:rsid w:val="00E07B07"/>
    <w:rsid w:val="00E10CAA"/>
    <w:rsid w:val="00E11CAB"/>
    <w:rsid w:val="00E11E0E"/>
    <w:rsid w:val="00E129A2"/>
    <w:rsid w:val="00E13116"/>
    <w:rsid w:val="00E13C00"/>
    <w:rsid w:val="00E1536B"/>
    <w:rsid w:val="00E164B6"/>
    <w:rsid w:val="00E1750D"/>
    <w:rsid w:val="00E17967"/>
    <w:rsid w:val="00E17EA3"/>
    <w:rsid w:val="00E203F1"/>
    <w:rsid w:val="00E207E4"/>
    <w:rsid w:val="00E207F0"/>
    <w:rsid w:val="00E208D9"/>
    <w:rsid w:val="00E2200F"/>
    <w:rsid w:val="00E22139"/>
    <w:rsid w:val="00E23B26"/>
    <w:rsid w:val="00E249AE"/>
    <w:rsid w:val="00E25525"/>
    <w:rsid w:val="00E2588B"/>
    <w:rsid w:val="00E26D7D"/>
    <w:rsid w:val="00E26FB0"/>
    <w:rsid w:val="00E2712F"/>
    <w:rsid w:val="00E2798D"/>
    <w:rsid w:val="00E27F3D"/>
    <w:rsid w:val="00E27FE2"/>
    <w:rsid w:val="00E316C8"/>
    <w:rsid w:val="00E322E8"/>
    <w:rsid w:val="00E323BA"/>
    <w:rsid w:val="00E32E38"/>
    <w:rsid w:val="00E33061"/>
    <w:rsid w:val="00E33696"/>
    <w:rsid w:val="00E3412E"/>
    <w:rsid w:val="00E35EC4"/>
    <w:rsid w:val="00E361AF"/>
    <w:rsid w:val="00E3723A"/>
    <w:rsid w:val="00E376C4"/>
    <w:rsid w:val="00E37C8D"/>
    <w:rsid w:val="00E4032B"/>
    <w:rsid w:val="00E41BDF"/>
    <w:rsid w:val="00E42073"/>
    <w:rsid w:val="00E439C5"/>
    <w:rsid w:val="00E440A8"/>
    <w:rsid w:val="00E44864"/>
    <w:rsid w:val="00E459FC"/>
    <w:rsid w:val="00E468DB"/>
    <w:rsid w:val="00E50F2B"/>
    <w:rsid w:val="00E5117B"/>
    <w:rsid w:val="00E515DD"/>
    <w:rsid w:val="00E51BD3"/>
    <w:rsid w:val="00E51FF5"/>
    <w:rsid w:val="00E53F1C"/>
    <w:rsid w:val="00E53F49"/>
    <w:rsid w:val="00E5507B"/>
    <w:rsid w:val="00E60BD9"/>
    <w:rsid w:val="00E61D1E"/>
    <w:rsid w:val="00E61D79"/>
    <w:rsid w:val="00E61E03"/>
    <w:rsid w:val="00E62EAF"/>
    <w:rsid w:val="00E63462"/>
    <w:rsid w:val="00E64113"/>
    <w:rsid w:val="00E65618"/>
    <w:rsid w:val="00E65AC5"/>
    <w:rsid w:val="00E65EE2"/>
    <w:rsid w:val="00E65F74"/>
    <w:rsid w:val="00E66860"/>
    <w:rsid w:val="00E67A16"/>
    <w:rsid w:val="00E715F0"/>
    <w:rsid w:val="00E72302"/>
    <w:rsid w:val="00E72B09"/>
    <w:rsid w:val="00E72D0D"/>
    <w:rsid w:val="00E7351D"/>
    <w:rsid w:val="00E7463C"/>
    <w:rsid w:val="00E75005"/>
    <w:rsid w:val="00E77E69"/>
    <w:rsid w:val="00E8143F"/>
    <w:rsid w:val="00E817CC"/>
    <w:rsid w:val="00E819BF"/>
    <w:rsid w:val="00E81E81"/>
    <w:rsid w:val="00E83699"/>
    <w:rsid w:val="00E84592"/>
    <w:rsid w:val="00E8500C"/>
    <w:rsid w:val="00E87B2D"/>
    <w:rsid w:val="00E90C12"/>
    <w:rsid w:val="00E91F74"/>
    <w:rsid w:val="00E9289F"/>
    <w:rsid w:val="00E9310B"/>
    <w:rsid w:val="00E93194"/>
    <w:rsid w:val="00E956DF"/>
    <w:rsid w:val="00E95DE4"/>
    <w:rsid w:val="00E96C30"/>
    <w:rsid w:val="00E97DE9"/>
    <w:rsid w:val="00EA04AB"/>
    <w:rsid w:val="00EA10DD"/>
    <w:rsid w:val="00EA2327"/>
    <w:rsid w:val="00EA28A6"/>
    <w:rsid w:val="00EA3869"/>
    <w:rsid w:val="00EA451C"/>
    <w:rsid w:val="00EA46EF"/>
    <w:rsid w:val="00EA706C"/>
    <w:rsid w:val="00EA70F3"/>
    <w:rsid w:val="00EB00AF"/>
    <w:rsid w:val="00EB09C9"/>
    <w:rsid w:val="00EB0B0C"/>
    <w:rsid w:val="00EB213B"/>
    <w:rsid w:val="00EB2380"/>
    <w:rsid w:val="00EB43AA"/>
    <w:rsid w:val="00EB50D2"/>
    <w:rsid w:val="00EB6397"/>
    <w:rsid w:val="00EB64DF"/>
    <w:rsid w:val="00EC0074"/>
    <w:rsid w:val="00EC108A"/>
    <w:rsid w:val="00EC128A"/>
    <w:rsid w:val="00EC1786"/>
    <w:rsid w:val="00EC1AEA"/>
    <w:rsid w:val="00EC1D40"/>
    <w:rsid w:val="00EC2C5E"/>
    <w:rsid w:val="00EC4839"/>
    <w:rsid w:val="00EC5232"/>
    <w:rsid w:val="00EC639E"/>
    <w:rsid w:val="00EC6F29"/>
    <w:rsid w:val="00ED0F12"/>
    <w:rsid w:val="00ED6263"/>
    <w:rsid w:val="00ED77D8"/>
    <w:rsid w:val="00EE0AB5"/>
    <w:rsid w:val="00EE2484"/>
    <w:rsid w:val="00EE393A"/>
    <w:rsid w:val="00EE3B73"/>
    <w:rsid w:val="00EE473E"/>
    <w:rsid w:val="00EE4836"/>
    <w:rsid w:val="00EE4C5E"/>
    <w:rsid w:val="00EE5294"/>
    <w:rsid w:val="00EE532E"/>
    <w:rsid w:val="00EE5767"/>
    <w:rsid w:val="00EE66F6"/>
    <w:rsid w:val="00EE684E"/>
    <w:rsid w:val="00EE6C1E"/>
    <w:rsid w:val="00EF11AA"/>
    <w:rsid w:val="00EF1CBA"/>
    <w:rsid w:val="00EF2AA8"/>
    <w:rsid w:val="00EF2E82"/>
    <w:rsid w:val="00EF43C1"/>
    <w:rsid w:val="00EF4B08"/>
    <w:rsid w:val="00EF515A"/>
    <w:rsid w:val="00EF5251"/>
    <w:rsid w:val="00EF53A8"/>
    <w:rsid w:val="00EF5A6B"/>
    <w:rsid w:val="00EF6BF4"/>
    <w:rsid w:val="00EF7854"/>
    <w:rsid w:val="00EF7C48"/>
    <w:rsid w:val="00F033EA"/>
    <w:rsid w:val="00F03AE0"/>
    <w:rsid w:val="00F03B0B"/>
    <w:rsid w:val="00F03F6A"/>
    <w:rsid w:val="00F04D7C"/>
    <w:rsid w:val="00F05260"/>
    <w:rsid w:val="00F06C43"/>
    <w:rsid w:val="00F06FD1"/>
    <w:rsid w:val="00F07912"/>
    <w:rsid w:val="00F10535"/>
    <w:rsid w:val="00F119F8"/>
    <w:rsid w:val="00F11A25"/>
    <w:rsid w:val="00F131F8"/>
    <w:rsid w:val="00F1411E"/>
    <w:rsid w:val="00F14611"/>
    <w:rsid w:val="00F16B5A"/>
    <w:rsid w:val="00F16DD1"/>
    <w:rsid w:val="00F21B20"/>
    <w:rsid w:val="00F23CE6"/>
    <w:rsid w:val="00F24221"/>
    <w:rsid w:val="00F253D5"/>
    <w:rsid w:val="00F25451"/>
    <w:rsid w:val="00F254C2"/>
    <w:rsid w:val="00F2587B"/>
    <w:rsid w:val="00F26608"/>
    <w:rsid w:val="00F269EA"/>
    <w:rsid w:val="00F27065"/>
    <w:rsid w:val="00F30BA3"/>
    <w:rsid w:val="00F30E57"/>
    <w:rsid w:val="00F32295"/>
    <w:rsid w:val="00F32A35"/>
    <w:rsid w:val="00F336B4"/>
    <w:rsid w:val="00F33AF7"/>
    <w:rsid w:val="00F340BD"/>
    <w:rsid w:val="00F35649"/>
    <w:rsid w:val="00F35CEB"/>
    <w:rsid w:val="00F36B0F"/>
    <w:rsid w:val="00F36CC8"/>
    <w:rsid w:val="00F37A7D"/>
    <w:rsid w:val="00F410B1"/>
    <w:rsid w:val="00F41612"/>
    <w:rsid w:val="00F43E63"/>
    <w:rsid w:val="00F44610"/>
    <w:rsid w:val="00F4527D"/>
    <w:rsid w:val="00F45A4A"/>
    <w:rsid w:val="00F51FA2"/>
    <w:rsid w:val="00F52BF1"/>
    <w:rsid w:val="00F53866"/>
    <w:rsid w:val="00F54795"/>
    <w:rsid w:val="00F56871"/>
    <w:rsid w:val="00F57960"/>
    <w:rsid w:val="00F57D72"/>
    <w:rsid w:val="00F6123C"/>
    <w:rsid w:val="00F6252E"/>
    <w:rsid w:val="00F6323C"/>
    <w:rsid w:val="00F6392A"/>
    <w:rsid w:val="00F64A05"/>
    <w:rsid w:val="00F64C85"/>
    <w:rsid w:val="00F65ECB"/>
    <w:rsid w:val="00F66A37"/>
    <w:rsid w:val="00F67C07"/>
    <w:rsid w:val="00F73242"/>
    <w:rsid w:val="00F73531"/>
    <w:rsid w:val="00F741C7"/>
    <w:rsid w:val="00F7428D"/>
    <w:rsid w:val="00F77751"/>
    <w:rsid w:val="00F80062"/>
    <w:rsid w:val="00F811C7"/>
    <w:rsid w:val="00F81B54"/>
    <w:rsid w:val="00F82F7C"/>
    <w:rsid w:val="00F82FBB"/>
    <w:rsid w:val="00F83737"/>
    <w:rsid w:val="00F84220"/>
    <w:rsid w:val="00F8511E"/>
    <w:rsid w:val="00F86527"/>
    <w:rsid w:val="00F86EB6"/>
    <w:rsid w:val="00F8725D"/>
    <w:rsid w:val="00F87280"/>
    <w:rsid w:val="00F87B3B"/>
    <w:rsid w:val="00F87EF7"/>
    <w:rsid w:val="00F91E60"/>
    <w:rsid w:val="00F931C8"/>
    <w:rsid w:val="00F935EF"/>
    <w:rsid w:val="00F93A78"/>
    <w:rsid w:val="00F9680D"/>
    <w:rsid w:val="00F97222"/>
    <w:rsid w:val="00FA00DD"/>
    <w:rsid w:val="00FA130E"/>
    <w:rsid w:val="00FA2296"/>
    <w:rsid w:val="00FA2549"/>
    <w:rsid w:val="00FA422A"/>
    <w:rsid w:val="00FA4AB7"/>
    <w:rsid w:val="00FA4E9A"/>
    <w:rsid w:val="00FA4F2F"/>
    <w:rsid w:val="00FA52EB"/>
    <w:rsid w:val="00FA62AA"/>
    <w:rsid w:val="00FA6A28"/>
    <w:rsid w:val="00FA6F3A"/>
    <w:rsid w:val="00FA76DA"/>
    <w:rsid w:val="00FA7F0F"/>
    <w:rsid w:val="00FB182E"/>
    <w:rsid w:val="00FB25C9"/>
    <w:rsid w:val="00FB2E76"/>
    <w:rsid w:val="00FB325C"/>
    <w:rsid w:val="00FB34E0"/>
    <w:rsid w:val="00FB391C"/>
    <w:rsid w:val="00FB3AFD"/>
    <w:rsid w:val="00FC0DA9"/>
    <w:rsid w:val="00FC2A88"/>
    <w:rsid w:val="00FC2FC3"/>
    <w:rsid w:val="00FC3C83"/>
    <w:rsid w:val="00FC450C"/>
    <w:rsid w:val="00FC6548"/>
    <w:rsid w:val="00FC6C23"/>
    <w:rsid w:val="00FC7123"/>
    <w:rsid w:val="00FC7B7E"/>
    <w:rsid w:val="00FC7BC1"/>
    <w:rsid w:val="00FD0C00"/>
    <w:rsid w:val="00FD2BCB"/>
    <w:rsid w:val="00FD345C"/>
    <w:rsid w:val="00FD440C"/>
    <w:rsid w:val="00FD613C"/>
    <w:rsid w:val="00FD6AA2"/>
    <w:rsid w:val="00FD71B9"/>
    <w:rsid w:val="00FD7B5E"/>
    <w:rsid w:val="00FE016D"/>
    <w:rsid w:val="00FE0933"/>
    <w:rsid w:val="00FE34B1"/>
    <w:rsid w:val="00FE4F5B"/>
    <w:rsid w:val="00FE673C"/>
    <w:rsid w:val="00FE6BCF"/>
    <w:rsid w:val="00FE6F6C"/>
    <w:rsid w:val="00FE706D"/>
    <w:rsid w:val="00FF0186"/>
    <w:rsid w:val="00FF050C"/>
    <w:rsid w:val="00FF30FE"/>
    <w:rsid w:val="00FF3881"/>
    <w:rsid w:val="00FF3911"/>
    <w:rsid w:val="00FF39B1"/>
    <w:rsid w:val="00FF5781"/>
    <w:rsid w:val="00FF5AEE"/>
    <w:rsid w:val="00FF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40E5CA-9E49-4860-8CFF-6E5EEAB6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45"/>
    <w:rPr>
      <w:sz w:val="24"/>
      <w:szCs w:val="24"/>
      <w:lang w:val="ro-RO"/>
    </w:rPr>
  </w:style>
  <w:style w:type="paragraph" w:styleId="Heading2">
    <w:name w:val="heading 2"/>
    <w:basedOn w:val="Normal"/>
    <w:next w:val="Normal"/>
    <w:link w:val="Heading2Char"/>
    <w:qFormat/>
    <w:rsid w:val="00D01D45"/>
    <w:pPr>
      <w:keepNext/>
      <w:jc w:val="center"/>
      <w:outlineLvl w:val="1"/>
    </w:pPr>
    <w:rPr>
      <w:b/>
      <w:i/>
    </w:rPr>
  </w:style>
  <w:style w:type="paragraph" w:styleId="Heading3">
    <w:name w:val="heading 3"/>
    <w:basedOn w:val="Normal"/>
    <w:next w:val="Normal"/>
    <w:link w:val="Heading3Char"/>
    <w:qFormat/>
    <w:rsid w:val="00D01D45"/>
    <w:pPr>
      <w:keepNext/>
      <w:jc w:val="center"/>
      <w:outlineLvl w:val="2"/>
    </w:pPr>
    <w:rPr>
      <w:b/>
      <w:bCs/>
      <w:sz w:val="20"/>
    </w:rPr>
  </w:style>
  <w:style w:type="paragraph" w:styleId="Heading6">
    <w:name w:val="heading 6"/>
    <w:basedOn w:val="Normal"/>
    <w:next w:val="Normal"/>
    <w:link w:val="Heading6Char"/>
    <w:qFormat/>
    <w:rsid w:val="00D01D45"/>
    <w:pPr>
      <w:keepNext/>
      <w:jc w:val="both"/>
      <w:outlineLvl w:val="5"/>
    </w:pPr>
    <w:rPr>
      <w:b/>
      <w:sz w:val="18"/>
    </w:rPr>
  </w:style>
  <w:style w:type="paragraph" w:styleId="Heading7">
    <w:name w:val="heading 7"/>
    <w:basedOn w:val="Normal"/>
    <w:next w:val="Normal"/>
    <w:link w:val="Heading7Char"/>
    <w:qFormat/>
    <w:rsid w:val="00D01D45"/>
    <w:pPr>
      <w:keepNext/>
      <w:jc w:val="center"/>
      <w:outlineLvl w:val="6"/>
    </w:pPr>
    <w:rPr>
      <w:b/>
      <w:bCs/>
      <w:sz w:val="18"/>
    </w:rPr>
  </w:style>
  <w:style w:type="paragraph" w:styleId="Heading8">
    <w:name w:val="heading 8"/>
    <w:basedOn w:val="Normal"/>
    <w:next w:val="Normal"/>
    <w:link w:val="Heading8Char"/>
    <w:qFormat/>
    <w:rsid w:val="00D01D45"/>
    <w:pPr>
      <w:keepNext/>
      <w:ind w:firstLine="708"/>
      <w:jc w:val="center"/>
      <w:outlineLvl w:val="7"/>
    </w:pPr>
    <w:rPr>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3Char">
    <w:name w:val="Heading 3 Char"/>
    <w:link w:val="Heading3"/>
    <w:rsid w:val="00563FE3"/>
    <w:rPr>
      <w:b/>
      <w:bCs/>
      <w:szCs w:val="24"/>
      <w:lang w:val="ro-RO" w:eastAsia="ru-RU"/>
    </w:rPr>
  </w:style>
  <w:style w:type="paragraph" w:styleId="Title">
    <w:name w:val="Title"/>
    <w:aliases w:val="Название"/>
    <w:basedOn w:val="Normal"/>
    <w:link w:val="TitleChar"/>
    <w:qFormat/>
    <w:rsid w:val="00D01D45"/>
    <w:pPr>
      <w:jc w:val="center"/>
    </w:pPr>
    <w:rPr>
      <w:sz w:val="32"/>
      <w:lang w:val="en-US"/>
    </w:rPr>
  </w:style>
  <w:style w:type="character" w:customStyle="1" w:styleId="TitleChar">
    <w:name w:val="Title Char"/>
    <w:aliases w:val="Название Char"/>
    <w:link w:val="Title"/>
    <w:rsid w:val="00EF53A8"/>
    <w:rPr>
      <w:sz w:val="32"/>
      <w:szCs w:val="24"/>
      <w:lang w:val="en-US"/>
    </w:rPr>
  </w:style>
  <w:style w:type="paragraph" w:styleId="BodyText">
    <w:name w:val="Body Text"/>
    <w:basedOn w:val="Normal"/>
    <w:link w:val="BodyTextChar"/>
    <w:rsid w:val="00D01D45"/>
    <w:pPr>
      <w:jc w:val="both"/>
    </w:pPr>
    <w:rPr>
      <w:sz w:val="28"/>
      <w:szCs w:val="20"/>
    </w:rPr>
  </w:style>
  <w:style w:type="paragraph" w:styleId="BodyTextIndent">
    <w:name w:val="Body Text Indent"/>
    <w:basedOn w:val="Normal"/>
    <w:link w:val="BodyTextIndentChar"/>
    <w:rsid w:val="00D01D45"/>
    <w:pPr>
      <w:ind w:firstLine="600"/>
      <w:jc w:val="center"/>
    </w:pPr>
    <w:rPr>
      <w:b/>
      <w:bCs/>
      <w:i/>
      <w:iCs/>
      <w:sz w:val="25"/>
      <w:szCs w:val="25"/>
    </w:rPr>
  </w:style>
  <w:style w:type="character" w:customStyle="1" w:styleId="BodyTextIndentChar">
    <w:name w:val="Body Text Indent Char"/>
    <w:link w:val="BodyTextIndent"/>
    <w:rsid w:val="00BF37A5"/>
    <w:rPr>
      <w:b/>
      <w:bCs/>
      <w:i/>
      <w:iCs/>
      <w:sz w:val="25"/>
      <w:szCs w:val="25"/>
      <w:lang w:val="ro-RO"/>
    </w:rPr>
  </w:style>
  <w:style w:type="paragraph" w:styleId="BodyTextIndent2">
    <w:name w:val="Body Text Indent 2"/>
    <w:basedOn w:val="Normal"/>
    <w:link w:val="BodyTextIndent2Char"/>
    <w:uiPriority w:val="99"/>
    <w:rsid w:val="00D01D45"/>
    <w:pPr>
      <w:ind w:firstLine="708"/>
      <w:jc w:val="both"/>
    </w:pPr>
    <w:rPr>
      <w:sz w:val="28"/>
      <w:szCs w:val="20"/>
    </w:rPr>
  </w:style>
  <w:style w:type="character" w:customStyle="1" w:styleId="BodyTextIndent2Char">
    <w:name w:val="Body Text Indent 2 Char"/>
    <w:link w:val="BodyTextIndent2"/>
    <w:uiPriority w:val="99"/>
    <w:rsid w:val="00563FE3"/>
    <w:rPr>
      <w:sz w:val="28"/>
      <w:lang w:val="ro-RO" w:eastAsia="ru-RU"/>
    </w:rPr>
  </w:style>
  <w:style w:type="paragraph" w:styleId="Footer">
    <w:name w:val="footer"/>
    <w:basedOn w:val="Normal"/>
    <w:link w:val="FooterChar"/>
    <w:uiPriority w:val="99"/>
    <w:rsid w:val="00D01D45"/>
    <w:pPr>
      <w:tabs>
        <w:tab w:val="center" w:pos="4677"/>
        <w:tab w:val="right" w:pos="9355"/>
      </w:tabs>
    </w:pPr>
    <w:rPr>
      <w:szCs w:val="20"/>
      <w:lang w:val="ru-RU"/>
    </w:rPr>
  </w:style>
  <w:style w:type="character" w:customStyle="1" w:styleId="FooterChar">
    <w:name w:val="Footer Char"/>
    <w:link w:val="Footer"/>
    <w:uiPriority w:val="99"/>
    <w:rsid w:val="00563FE3"/>
    <w:rPr>
      <w:sz w:val="24"/>
      <w:lang w:val="ru-RU" w:eastAsia="ru-RU"/>
    </w:rPr>
  </w:style>
  <w:style w:type="paragraph" w:styleId="BodyText2">
    <w:name w:val="Body Text 2"/>
    <w:basedOn w:val="Normal"/>
    <w:link w:val="BodyText2Char"/>
    <w:rsid w:val="00D01D45"/>
    <w:pPr>
      <w:tabs>
        <w:tab w:val="left" w:pos="2311"/>
      </w:tabs>
      <w:jc w:val="both"/>
    </w:pPr>
  </w:style>
  <w:style w:type="character" w:customStyle="1" w:styleId="BodyText2Char">
    <w:name w:val="Body Text 2 Char"/>
    <w:link w:val="BodyText2"/>
    <w:rsid w:val="00563FE3"/>
    <w:rPr>
      <w:sz w:val="24"/>
      <w:szCs w:val="24"/>
      <w:lang w:val="ro-RO" w:eastAsia="ru-RU"/>
    </w:rPr>
  </w:style>
  <w:style w:type="table" w:styleId="TableGrid">
    <w:name w:val="Table Grid"/>
    <w:basedOn w:val="TableNormal"/>
    <w:uiPriority w:val="39"/>
    <w:rsid w:val="00D0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01D45"/>
    <w:pPr>
      <w:ind w:firstLine="567"/>
      <w:jc w:val="both"/>
    </w:pPr>
    <w:rPr>
      <w:lang w:val="ru-RU"/>
    </w:rPr>
  </w:style>
  <w:style w:type="character" w:styleId="PageNumber">
    <w:name w:val="page number"/>
    <w:basedOn w:val="DefaultParagraphFont"/>
    <w:rsid w:val="00D01D45"/>
  </w:style>
  <w:style w:type="paragraph" w:customStyle="1" w:styleId="tt">
    <w:name w:val="tt"/>
    <w:basedOn w:val="Normal"/>
    <w:rsid w:val="008A793F"/>
    <w:pPr>
      <w:jc w:val="center"/>
    </w:pPr>
    <w:rPr>
      <w:b/>
      <w:bCs/>
      <w:lang w:val="ru-RU"/>
    </w:rPr>
  </w:style>
  <w:style w:type="paragraph" w:customStyle="1" w:styleId="cn">
    <w:name w:val="cn"/>
    <w:basedOn w:val="Normal"/>
    <w:rsid w:val="008A793F"/>
    <w:pPr>
      <w:jc w:val="center"/>
    </w:pPr>
    <w:rPr>
      <w:lang w:val="ru-RU"/>
    </w:rPr>
  </w:style>
  <w:style w:type="paragraph" w:styleId="BalloonText">
    <w:name w:val="Balloon Text"/>
    <w:basedOn w:val="Normal"/>
    <w:link w:val="BalloonTextChar"/>
    <w:uiPriority w:val="99"/>
    <w:semiHidden/>
    <w:rsid w:val="00482399"/>
    <w:rPr>
      <w:rFonts w:ascii="Tahoma" w:hAnsi="Tahoma" w:cs="Tahoma"/>
      <w:sz w:val="16"/>
      <w:szCs w:val="16"/>
    </w:rPr>
  </w:style>
  <w:style w:type="paragraph" w:styleId="Header">
    <w:name w:val="header"/>
    <w:basedOn w:val="Normal"/>
    <w:link w:val="HeaderChar"/>
    <w:uiPriority w:val="99"/>
    <w:rsid w:val="00341504"/>
    <w:pPr>
      <w:tabs>
        <w:tab w:val="center" w:pos="4677"/>
        <w:tab w:val="right" w:pos="9355"/>
      </w:tabs>
    </w:pPr>
  </w:style>
  <w:style w:type="paragraph" w:customStyle="1" w:styleId="cb">
    <w:name w:val="cb"/>
    <w:basedOn w:val="Normal"/>
    <w:rsid w:val="00961134"/>
    <w:pPr>
      <w:jc w:val="center"/>
    </w:pPr>
    <w:rPr>
      <w:b/>
      <w:bCs/>
      <w:lang w:val="ru-RU" w:eastAsia="zh-CN"/>
    </w:rPr>
  </w:style>
  <w:style w:type="paragraph" w:styleId="NoSpacing">
    <w:name w:val="No Spacing"/>
    <w:uiPriority w:val="1"/>
    <w:qFormat/>
    <w:rsid w:val="00A95D71"/>
    <w:rPr>
      <w:sz w:val="24"/>
      <w:szCs w:val="24"/>
      <w:lang w:val="ro-RO"/>
    </w:rPr>
  </w:style>
  <w:style w:type="table" w:styleId="TableSubtle2">
    <w:name w:val="Table Subtle 2"/>
    <w:basedOn w:val="TableNormal"/>
    <w:rsid w:val="005F28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5F28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Style9">
    <w:name w:val="Style9"/>
    <w:basedOn w:val="Normal"/>
    <w:rsid w:val="00F33AF7"/>
    <w:rPr>
      <w:sz w:val="20"/>
      <w:szCs w:val="20"/>
      <w:lang w:val="ru-RU"/>
    </w:rPr>
  </w:style>
  <w:style w:type="paragraph" w:customStyle="1" w:styleId="Style19">
    <w:name w:val="Style19"/>
    <w:basedOn w:val="Normal"/>
    <w:rsid w:val="00F33AF7"/>
    <w:rPr>
      <w:sz w:val="20"/>
      <w:szCs w:val="20"/>
      <w:lang w:val="ru-RU"/>
    </w:rPr>
  </w:style>
  <w:style w:type="character" w:customStyle="1" w:styleId="CharStyle5">
    <w:name w:val="CharStyle5"/>
    <w:rsid w:val="00F33AF7"/>
    <w:rPr>
      <w:rFonts w:ascii="Times New Roman" w:eastAsia="Times New Roman" w:hAnsi="Times New Roman" w:cs="Times New Roman"/>
      <w:b/>
      <w:bCs/>
      <w:i/>
      <w:iCs/>
      <w:smallCaps w:val="0"/>
      <w:sz w:val="20"/>
      <w:szCs w:val="20"/>
    </w:rPr>
  </w:style>
  <w:style w:type="character" w:customStyle="1" w:styleId="CharStyle15">
    <w:name w:val="CharStyle15"/>
    <w:rsid w:val="00F33AF7"/>
    <w:rPr>
      <w:rFonts w:ascii="Times New Roman" w:eastAsia="Times New Roman" w:hAnsi="Times New Roman" w:cs="Times New Roman"/>
      <w:b w:val="0"/>
      <w:bCs w:val="0"/>
      <w:i w:val="0"/>
      <w:iCs w:val="0"/>
      <w:smallCaps w:val="0"/>
      <w:sz w:val="22"/>
      <w:szCs w:val="22"/>
    </w:rPr>
  </w:style>
  <w:style w:type="paragraph" w:styleId="ListParagraph">
    <w:name w:val="List Paragraph"/>
    <w:basedOn w:val="Normal"/>
    <w:uiPriority w:val="34"/>
    <w:qFormat/>
    <w:rsid w:val="00AD31C8"/>
    <w:pPr>
      <w:ind w:left="708"/>
    </w:pPr>
  </w:style>
  <w:style w:type="table" w:styleId="TableClassic1">
    <w:name w:val="Table Classic 1"/>
    <w:basedOn w:val="TableNormal"/>
    <w:rsid w:val="006737C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2D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link w:val="Heading2"/>
    <w:rsid w:val="00D27CCD"/>
    <w:rPr>
      <w:b/>
      <w:i/>
      <w:sz w:val="24"/>
      <w:szCs w:val="24"/>
      <w:lang w:val="ro-RO"/>
    </w:rPr>
  </w:style>
  <w:style w:type="character" w:customStyle="1" w:styleId="Heading6Char">
    <w:name w:val="Heading 6 Char"/>
    <w:link w:val="Heading6"/>
    <w:rsid w:val="00D27CCD"/>
    <w:rPr>
      <w:b/>
      <w:sz w:val="18"/>
      <w:szCs w:val="24"/>
      <w:lang w:val="ro-RO"/>
    </w:rPr>
  </w:style>
  <w:style w:type="character" w:customStyle="1" w:styleId="Heading7Char">
    <w:name w:val="Heading 7 Char"/>
    <w:link w:val="Heading7"/>
    <w:rsid w:val="00D27CCD"/>
    <w:rPr>
      <w:b/>
      <w:bCs/>
      <w:sz w:val="18"/>
      <w:szCs w:val="24"/>
      <w:lang w:val="ro-RO"/>
    </w:rPr>
  </w:style>
  <w:style w:type="character" w:customStyle="1" w:styleId="Heading8Char">
    <w:name w:val="Heading 8 Char"/>
    <w:link w:val="Heading8"/>
    <w:rsid w:val="00D27CCD"/>
    <w:rPr>
      <w:sz w:val="28"/>
      <w:lang w:val="ro-RO"/>
    </w:rPr>
  </w:style>
  <w:style w:type="character" w:customStyle="1" w:styleId="BodyTextChar">
    <w:name w:val="Body Text Char"/>
    <w:link w:val="BodyText"/>
    <w:rsid w:val="00D27CCD"/>
    <w:rPr>
      <w:sz w:val="28"/>
      <w:lang w:val="ro-RO"/>
    </w:rPr>
  </w:style>
  <w:style w:type="character" w:customStyle="1" w:styleId="BalloonTextChar">
    <w:name w:val="Balloon Text Char"/>
    <w:link w:val="BalloonText"/>
    <w:uiPriority w:val="99"/>
    <w:semiHidden/>
    <w:rsid w:val="00D27CCD"/>
    <w:rPr>
      <w:rFonts w:ascii="Tahoma" w:hAnsi="Tahoma" w:cs="Tahoma"/>
      <w:sz w:val="16"/>
      <w:szCs w:val="16"/>
      <w:lang w:val="ro-RO"/>
    </w:rPr>
  </w:style>
  <w:style w:type="character" w:customStyle="1" w:styleId="HeaderChar">
    <w:name w:val="Header Char"/>
    <w:link w:val="Header"/>
    <w:uiPriority w:val="99"/>
    <w:rsid w:val="00D27CCD"/>
    <w:rPr>
      <w:sz w:val="24"/>
      <w:szCs w:val="24"/>
      <w:lang w:val="ro-RO"/>
    </w:rPr>
  </w:style>
  <w:style w:type="table" w:styleId="TableElegant">
    <w:name w:val="Table Elegant"/>
    <w:basedOn w:val="TableNormal"/>
    <w:rsid w:val="001762B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1"/>
    <w:basedOn w:val="Normal"/>
    <w:next w:val="Title"/>
    <w:qFormat/>
    <w:rsid w:val="006C7849"/>
    <w:pPr>
      <w:jc w:val="center"/>
    </w:pPr>
    <w:rPr>
      <w:rFonts w:ascii="Calibri" w:eastAsia="Calibri" w:hAnsi="Calibri"/>
      <w:sz w:val="32"/>
      <w:lang w:val="en-US" w:eastAsia="en-US"/>
    </w:rPr>
  </w:style>
  <w:style w:type="table" w:styleId="TableClassic4">
    <w:name w:val="Table Classic 4"/>
    <w:basedOn w:val="TableNormal"/>
    <w:rsid w:val="001817A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rsid w:val="00E27F3D"/>
    <w:rPr>
      <w:sz w:val="20"/>
      <w:szCs w:val="20"/>
    </w:rPr>
  </w:style>
  <w:style w:type="character" w:customStyle="1" w:styleId="FootnoteTextChar">
    <w:name w:val="Footnote Text Char"/>
    <w:link w:val="FootnoteText"/>
    <w:rsid w:val="00E27F3D"/>
    <w:rPr>
      <w:lang w:val="ro-RO"/>
    </w:rPr>
  </w:style>
  <w:style w:type="character" w:styleId="FootnoteReference">
    <w:name w:val="footnote reference"/>
    <w:rsid w:val="00E27F3D"/>
    <w:rPr>
      <w:vertAlign w:val="superscript"/>
    </w:rPr>
  </w:style>
  <w:style w:type="table" w:customStyle="1" w:styleId="TableGrid1">
    <w:name w:val="Table Grid1"/>
    <w:basedOn w:val="TableNormal"/>
    <w:next w:val="TableGrid"/>
    <w:rsid w:val="0094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rsid w:val="004531BC"/>
    <w:rPr>
      <w:sz w:val="28"/>
      <w:szCs w:val="28"/>
      <w:shd w:val="clear" w:color="auto" w:fill="FFFFFF"/>
    </w:rPr>
  </w:style>
  <w:style w:type="character" w:customStyle="1" w:styleId="Bodytext28pt">
    <w:name w:val="Body text (2) + 8 pt"/>
    <w:rsid w:val="004531B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eastAsia="ro-RO" w:bidi="ro-RO"/>
    </w:rPr>
  </w:style>
  <w:style w:type="character" w:customStyle="1" w:styleId="Bodytext28ptItalic">
    <w:name w:val="Body text (2) + 8 pt;Italic"/>
    <w:rsid w:val="004531BC"/>
    <w:rPr>
      <w:rFonts w:ascii="Times New Roman" w:eastAsia="Times New Roman" w:hAnsi="Times New Roman" w:cs="Times New Roman"/>
      <w:b w:val="0"/>
      <w:bCs w:val="0"/>
      <w:i/>
      <w:iCs/>
      <w:smallCaps w:val="0"/>
      <w:strike w:val="0"/>
      <w:color w:val="000000"/>
      <w:spacing w:val="0"/>
      <w:w w:val="100"/>
      <w:position w:val="0"/>
      <w:sz w:val="16"/>
      <w:szCs w:val="16"/>
      <w:u w:val="none"/>
      <w:lang w:val="ro-RO" w:eastAsia="ro-RO" w:bidi="ro-RO"/>
    </w:rPr>
  </w:style>
  <w:style w:type="character" w:customStyle="1" w:styleId="Bodytext210pt">
    <w:name w:val="Body text (2) + 10 pt"/>
    <w:rsid w:val="004531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4pt">
    <w:name w:val="Body text (2) + 4 pt"/>
    <w:rsid w:val="004531BC"/>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eastAsia="ro-RO" w:bidi="ro-RO"/>
    </w:rPr>
  </w:style>
  <w:style w:type="paragraph" w:customStyle="1" w:styleId="Bodytext21">
    <w:name w:val="Body text (2)"/>
    <w:basedOn w:val="Normal"/>
    <w:link w:val="Bodytext20"/>
    <w:rsid w:val="004531BC"/>
    <w:pPr>
      <w:widowControl w:val="0"/>
      <w:shd w:val="clear" w:color="auto" w:fill="FFFFFF"/>
      <w:spacing w:before="420" w:line="360" w:lineRule="exact"/>
      <w:jc w:val="both"/>
    </w:pPr>
    <w:rPr>
      <w:sz w:val="28"/>
      <w:szCs w:val="28"/>
      <w:lang w:val="ru-RU"/>
    </w:rPr>
  </w:style>
  <w:style w:type="character" w:customStyle="1" w:styleId="Tablecaption">
    <w:name w:val="Table caption_"/>
    <w:rsid w:val="005F3167"/>
    <w:rPr>
      <w:rFonts w:ascii="Times New Roman" w:eastAsia="Times New Roman" w:hAnsi="Times New Roman" w:cs="Times New Roman"/>
      <w:b w:val="0"/>
      <w:bCs w:val="0"/>
      <w:i w:val="0"/>
      <w:iCs w:val="0"/>
      <w:smallCaps w:val="0"/>
      <w:strike w:val="0"/>
      <w:sz w:val="19"/>
      <w:szCs w:val="19"/>
      <w:u w:val="none"/>
    </w:rPr>
  </w:style>
  <w:style w:type="character" w:customStyle="1" w:styleId="Tablecaption0">
    <w:name w:val="Table caption"/>
    <w:rsid w:val="005F316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o-RO" w:eastAsia="ro-RO" w:bidi="ro-RO"/>
    </w:rPr>
  </w:style>
  <w:style w:type="character" w:styleId="Hyperlink">
    <w:name w:val="Hyperlink"/>
    <w:rsid w:val="00210B8A"/>
    <w:rPr>
      <w:color w:val="0066CC"/>
      <w:u w:val="single"/>
    </w:rPr>
  </w:style>
  <w:style w:type="character" w:customStyle="1" w:styleId="Heading1">
    <w:name w:val="Heading #1_"/>
    <w:link w:val="Heading10"/>
    <w:rsid w:val="00210B8A"/>
    <w:rPr>
      <w:b/>
      <w:bCs/>
      <w:i/>
      <w:iCs/>
      <w:sz w:val="36"/>
      <w:szCs w:val="36"/>
      <w:shd w:val="clear" w:color="auto" w:fill="FFFFFF"/>
    </w:rPr>
  </w:style>
  <w:style w:type="character" w:customStyle="1" w:styleId="Headerorfooter">
    <w:name w:val="Header or footer_"/>
    <w:rsid w:val="00210B8A"/>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Headerorfooter0">
    <w:name w:val="Header or footer"/>
    <w:rsid w:val="00210B8A"/>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o-RO" w:eastAsia="ro-RO" w:bidi="ro-RO"/>
    </w:rPr>
  </w:style>
  <w:style w:type="character" w:customStyle="1" w:styleId="Tableofcontents">
    <w:name w:val="Table of contents_"/>
    <w:link w:val="Tableofcontents0"/>
    <w:rsid w:val="00210B8A"/>
    <w:rPr>
      <w:sz w:val="28"/>
      <w:szCs w:val="28"/>
      <w:shd w:val="clear" w:color="auto" w:fill="FFFFFF"/>
    </w:rPr>
  </w:style>
  <w:style w:type="character" w:customStyle="1" w:styleId="Bodytext3">
    <w:name w:val="Body text (3)_"/>
    <w:link w:val="Bodytext30"/>
    <w:rsid w:val="00210B8A"/>
    <w:rPr>
      <w:b/>
      <w:bCs/>
      <w:i/>
      <w:iCs/>
      <w:sz w:val="28"/>
      <w:szCs w:val="28"/>
      <w:shd w:val="clear" w:color="auto" w:fill="FFFFFF"/>
    </w:rPr>
  </w:style>
  <w:style w:type="character" w:customStyle="1" w:styleId="HeaderorfooterTimesNewRoman9ptBold">
    <w:name w:val="Header or footer + Times New Roman;9 pt;Bold"/>
    <w:rsid w:val="00210B8A"/>
    <w:rPr>
      <w:rFonts w:ascii="Times New Roman" w:eastAsia="Times New Roman" w:hAnsi="Times New Roman" w:cs="Times New Roman"/>
      <w:b/>
      <w:bCs/>
      <w:i w:val="0"/>
      <w:iCs w:val="0"/>
      <w:smallCaps w:val="0"/>
      <w:strike w:val="0"/>
      <w:color w:val="000000"/>
      <w:spacing w:val="0"/>
      <w:w w:val="100"/>
      <w:position w:val="0"/>
      <w:sz w:val="18"/>
      <w:szCs w:val="18"/>
      <w:u w:val="none"/>
      <w:lang w:val="ro-RO" w:eastAsia="ro-RO" w:bidi="ro-RO"/>
    </w:rPr>
  </w:style>
  <w:style w:type="character" w:customStyle="1" w:styleId="Bodytext4">
    <w:name w:val="Body text (4)_"/>
    <w:link w:val="Bodytext40"/>
    <w:rsid w:val="00210B8A"/>
    <w:rPr>
      <w:sz w:val="19"/>
      <w:szCs w:val="19"/>
      <w:shd w:val="clear" w:color="auto" w:fill="FFFFFF"/>
    </w:rPr>
  </w:style>
  <w:style w:type="character" w:customStyle="1" w:styleId="Tablecaption2">
    <w:name w:val="Table caption (2)_"/>
    <w:rsid w:val="00210B8A"/>
    <w:rPr>
      <w:rFonts w:ascii="Times New Roman" w:eastAsia="Times New Roman" w:hAnsi="Times New Roman" w:cs="Times New Roman"/>
      <w:b w:val="0"/>
      <w:bCs w:val="0"/>
      <w:i/>
      <w:iCs/>
      <w:smallCaps w:val="0"/>
      <w:strike w:val="0"/>
      <w:sz w:val="20"/>
      <w:szCs w:val="20"/>
      <w:u w:val="none"/>
    </w:rPr>
  </w:style>
  <w:style w:type="character" w:customStyle="1" w:styleId="Tablecaption20">
    <w:name w:val="Table caption (2)"/>
    <w:rsid w:val="00210B8A"/>
    <w:rPr>
      <w:rFonts w:ascii="Times New Roman" w:eastAsia="Times New Roman" w:hAnsi="Times New Roman" w:cs="Times New Roman"/>
      <w:b w:val="0"/>
      <w:bCs w:val="0"/>
      <w:i/>
      <w:iCs/>
      <w:smallCaps w:val="0"/>
      <w:strike w:val="0"/>
      <w:color w:val="000000"/>
      <w:spacing w:val="0"/>
      <w:w w:val="100"/>
      <w:position w:val="0"/>
      <w:sz w:val="20"/>
      <w:szCs w:val="20"/>
      <w:u w:val="single"/>
      <w:lang w:val="ro-RO" w:eastAsia="ro-RO" w:bidi="ro-RO"/>
    </w:rPr>
  </w:style>
  <w:style w:type="character" w:customStyle="1" w:styleId="Bodytext295pt">
    <w:name w:val="Body text (2) + 9;5 pt"/>
    <w:rsid w:val="00210B8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95ptItalic">
    <w:name w:val="Body text (2) + 9;5 pt;Italic"/>
    <w:rsid w:val="00210B8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o-RO" w:eastAsia="ro-RO" w:bidi="ro-RO"/>
    </w:rPr>
  </w:style>
  <w:style w:type="character" w:customStyle="1" w:styleId="Bodytext213ptItalic">
    <w:name w:val="Body text (2) + 13 pt;Italic"/>
    <w:rsid w:val="00210B8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o-RO" w:eastAsia="ro-RO" w:bidi="ro-RO"/>
    </w:rPr>
  </w:style>
  <w:style w:type="character" w:customStyle="1" w:styleId="Heading30">
    <w:name w:val="Heading #3_"/>
    <w:link w:val="Heading31"/>
    <w:rsid w:val="00210B8A"/>
    <w:rPr>
      <w:b/>
      <w:bCs/>
      <w:i/>
      <w:iCs/>
      <w:sz w:val="28"/>
      <w:szCs w:val="28"/>
      <w:shd w:val="clear" w:color="auto" w:fill="FFFFFF"/>
    </w:rPr>
  </w:style>
  <w:style w:type="character" w:customStyle="1" w:styleId="Tablecaption3">
    <w:name w:val="Table caption (3)_"/>
    <w:link w:val="Tablecaption30"/>
    <w:rsid w:val="00210B8A"/>
    <w:rPr>
      <w:sz w:val="19"/>
      <w:szCs w:val="19"/>
      <w:shd w:val="clear" w:color="auto" w:fill="FFFFFF"/>
    </w:rPr>
  </w:style>
  <w:style w:type="character" w:customStyle="1" w:styleId="TablecaptionNotBoldNotItalic">
    <w:name w:val="Table caption + Not Bold;Not Italic"/>
    <w:rsid w:val="00210B8A"/>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Tablecaption95ptNotBoldNotItalic">
    <w:name w:val="Table caption + 9;5 pt;Not Bold;Not Italic"/>
    <w:rsid w:val="00210B8A"/>
    <w:rPr>
      <w:rFonts w:ascii="Times New Roman" w:eastAsia="Times New Roman" w:hAnsi="Times New Roman" w:cs="Times New Roman"/>
      <w:b/>
      <w:bCs/>
      <w:i/>
      <w:iCs/>
      <w:smallCaps w:val="0"/>
      <w:strike w:val="0"/>
      <w:color w:val="000000"/>
      <w:spacing w:val="0"/>
      <w:w w:val="100"/>
      <w:position w:val="0"/>
      <w:sz w:val="19"/>
      <w:szCs w:val="19"/>
      <w:u w:val="single"/>
      <w:lang w:val="ro-RO" w:eastAsia="ro-RO" w:bidi="ro-RO"/>
    </w:rPr>
  </w:style>
  <w:style w:type="character" w:customStyle="1" w:styleId="Bodytext210ptItalic">
    <w:name w:val="Body text (2) + 10 pt;Italic"/>
    <w:rsid w:val="00210B8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SegoeUI7ptBold">
    <w:name w:val="Body text (2) + Segoe UI;7 pt;Bold"/>
    <w:rsid w:val="00210B8A"/>
    <w:rPr>
      <w:rFonts w:ascii="Segoe UI" w:eastAsia="Segoe UI" w:hAnsi="Segoe UI" w:cs="Segoe UI"/>
      <w:b/>
      <w:bCs/>
      <w:i w:val="0"/>
      <w:iCs w:val="0"/>
      <w:smallCaps w:val="0"/>
      <w:strike w:val="0"/>
      <w:color w:val="000000"/>
      <w:spacing w:val="0"/>
      <w:w w:val="100"/>
      <w:position w:val="0"/>
      <w:sz w:val="14"/>
      <w:szCs w:val="14"/>
      <w:u w:val="none"/>
      <w:shd w:val="clear" w:color="auto" w:fill="FFFFFF"/>
      <w:lang w:val="ro-RO" w:eastAsia="ro-RO" w:bidi="ro-RO"/>
    </w:rPr>
  </w:style>
  <w:style w:type="character" w:customStyle="1" w:styleId="Bodytext5">
    <w:name w:val="Body text (5)_"/>
    <w:link w:val="Bodytext50"/>
    <w:rsid w:val="00210B8A"/>
    <w:rPr>
      <w:spacing w:val="-10"/>
      <w:w w:val="200"/>
      <w:sz w:val="8"/>
      <w:szCs w:val="8"/>
      <w:shd w:val="clear" w:color="auto" w:fill="FFFFFF"/>
    </w:rPr>
  </w:style>
  <w:style w:type="character" w:customStyle="1" w:styleId="Bodytext6">
    <w:name w:val="Body text (6)_"/>
    <w:rsid w:val="00210B8A"/>
    <w:rPr>
      <w:rFonts w:ascii="Times New Roman" w:eastAsia="Times New Roman" w:hAnsi="Times New Roman" w:cs="Times New Roman"/>
      <w:b w:val="0"/>
      <w:bCs w:val="0"/>
      <w:i/>
      <w:iCs/>
      <w:smallCaps w:val="0"/>
      <w:strike w:val="0"/>
      <w:sz w:val="26"/>
      <w:szCs w:val="26"/>
      <w:u w:val="none"/>
    </w:rPr>
  </w:style>
  <w:style w:type="character" w:customStyle="1" w:styleId="Bodytext614ptNotItalic">
    <w:name w:val="Body text (6) + 14 pt;Not Italic"/>
    <w:rsid w:val="00210B8A"/>
    <w:rPr>
      <w:rFonts w:ascii="Times New Roman" w:eastAsia="Times New Roman" w:hAnsi="Times New Roman" w:cs="Times New Roman"/>
      <w:b w:val="0"/>
      <w:bCs w:val="0"/>
      <w:i/>
      <w:iCs/>
      <w:smallCaps w:val="0"/>
      <w:strike w:val="0"/>
      <w:color w:val="000000"/>
      <w:spacing w:val="0"/>
      <w:w w:val="100"/>
      <w:position w:val="0"/>
      <w:sz w:val="28"/>
      <w:szCs w:val="28"/>
      <w:u w:val="none"/>
      <w:lang w:val="ro-RO" w:eastAsia="ro-RO" w:bidi="ro-RO"/>
    </w:rPr>
  </w:style>
  <w:style w:type="character" w:customStyle="1" w:styleId="Tablecaption295ptNotItalic">
    <w:name w:val="Table caption (2) + 9;5 pt;Not Italic"/>
    <w:rsid w:val="00210B8A"/>
    <w:rPr>
      <w:rFonts w:ascii="Times New Roman" w:eastAsia="Times New Roman" w:hAnsi="Times New Roman" w:cs="Times New Roman"/>
      <w:b w:val="0"/>
      <w:bCs w:val="0"/>
      <w:i/>
      <w:iCs/>
      <w:smallCaps w:val="0"/>
      <w:strike w:val="0"/>
      <w:color w:val="000000"/>
      <w:spacing w:val="0"/>
      <w:w w:val="100"/>
      <w:position w:val="0"/>
      <w:sz w:val="19"/>
      <w:szCs w:val="19"/>
      <w:u w:val="none"/>
      <w:lang w:val="ro-RO" w:eastAsia="ro-RO" w:bidi="ro-RO"/>
    </w:rPr>
  </w:style>
  <w:style w:type="character" w:customStyle="1" w:styleId="Bodytext285pt">
    <w:name w:val="Body text (2) + 8;5 pt"/>
    <w:rsid w:val="00210B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o-RO" w:eastAsia="ro-RO" w:bidi="ro-RO"/>
    </w:rPr>
  </w:style>
  <w:style w:type="character" w:customStyle="1" w:styleId="Bodytext29ptBold">
    <w:name w:val="Body text (2) + 9 pt;Bold"/>
    <w:rsid w:val="00210B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o-RO" w:eastAsia="ro-RO" w:bidi="ro-RO"/>
    </w:rPr>
  </w:style>
  <w:style w:type="character" w:customStyle="1" w:styleId="Bodytext60">
    <w:name w:val="Body text (6)"/>
    <w:rsid w:val="00210B8A"/>
    <w:rPr>
      <w:rFonts w:ascii="Times New Roman" w:eastAsia="Times New Roman" w:hAnsi="Times New Roman" w:cs="Times New Roman"/>
      <w:b w:val="0"/>
      <w:bCs w:val="0"/>
      <w:i/>
      <w:iCs/>
      <w:smallCaps w:val="0"/>
      <w:strike w:val="0"/>
      <w:sz w:val="26"/>
      <w:szCs w:val="26"/>
      <w:u w:val="none"/>
    </w:rPr>
  </w:style>
  <w:style w:type="character" w:customStyle="1" w:styleId="Heading20">
    <w:name w:val="Heading #2_"/>
    <w:link w:val="Heading21"/>
    <w:rsid w:val="00210B8A"/>
    <w:rPr>
      <w:sz w:val="28"/>
      <w:szCs w:val="28"/>
      <w:shd w:val="clear" w:color="auto" w:fill="FFFFFF"/>
    </w:rPr>
  </w:style>
  <w:style w:type="character" w:customStyle="1" w:styleId="Picturecaption2">
    <w:name w:val="Picture caption (2)_"/>
    <w:rsid w:val="00210B8A"/>
    <w:rPr>
      <w:rFonts w:ascii="Times New Roman" w:eastAsia="Times New Roman" w:hAnsi="Times New Roman" w:cs="Times New Roman"/>
      <w:b w:val="0"/>
      <w:bCs w:val="0"/>
      <w:i w:val="0"/>
      <w:iCs w:val="0"/>
      <w:smallCaps w:val="0"/>
      <w:strike w:val="0"/>
      <w:sz w:val="17"/>
      <w:szCs w:val="17"/>
      <w:u w:val="none"/>
    </w:rPr>
  </w:style>
  <w:style w:type="character" w:customStyle="1" w:styleId="Picturecaption20">
    <w:name w:val="Picture caption (2)"/>
    <w:rsid w:val="00210B8A"/>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o-RO" w:eastAsia="ro-RO" w:bidi="ro-RO"/>
    </w:rPr>
  </w:style>
  <w:style w:type="character" w:customStyle="1" w:styleId="Bodytext7">
    <w:name w:val="Body text (7)"/>
    <w:rsid w:val="00210B8A"/>
    <w:rPr>
      <w:rFonts w:ascii="Times New Roman" w:eastAsia="Times New Roman" w:hAnsi="Times New Roman" w:cs="Times New Roman"/>
      <w:b w:val="0"/>
      <w:bCs w:val="0"/>
      <w:i/>
      <w:iCs/>
      <w:smallCaps w:val="0"/>
      <w:strike w:val="0"/>
      <w:sz w:val="20"/>
      <w:szCs w:val="20"/>
      <w:u w:val="none"/>
    </w:rPr>
  </w:style>
  <w:style w:type="character" w:customStyle="1" w:styleId="Bodytext70">
    <w:name w:val="Body text (7)_"/>
    <w:rsid w:val="00210B8A"/>
    <w:rPr>
      <w:rFonts w:ascii="Times New Roman" w:eastAsia="Times New Roman" w:hAnsi="Times New Roman" w:cs="Times New Roman"/>
      <w:b w:val="0"/>
      <w:bCs w:val="0"/>
      <w:i/>
      <w:iCs/>
      <w:smallCaps w:val="0"/>
      <w:strike w:val="0"/>
      <w:sz w:val="20"/>
      <w:szCs w:val="20"/>
      <w:u w:val="none"/>
    </w:rPr>
  </w:style>
  <w:style w:type="character" w:customStyle="1" w:styleId="Bodytext795ptNotItalic">
    <w:name w:val="Body text (7) + 9;5 pt;Not Italic"/>
    <w:rsid w:val="00210B8A"/>
    <w:rPr>
      <w:rFonts w:ascii="Times New Roman" w:eastAsia="Times New Roman" w:hAnsi="Times New Roman" w:cs="Times New Roman"/>
      <w:b w:val="0"/>
      <w:bCs w:val="0"/>
      <w:i/>
      <w:iCs/>
      <w:smallCaps w:val="0"/>
      <w:strike w:val="0"/>
      <w:color w:val="000000"/>
      <w:spacing w:val="0"/>
      <w:w w:val="100"/>
      <w:position w:val="0"/>
      <w:sz w:val="19"/>
      <w:szCs w:val="19"/>
      <w:u w:val="none"/>
      <w:lang w:val="ro-RO" w:eastAsia="ro-RO" w:bidi="ro-RO"/>
    </w:rPr>
  </w:style>
  <w:style w:type="character" w:customStyle="1" w:styleId="Bodytext8">
    <w:name w:val="Body text (8)"/>
    <w:rsid w:val="00210B8A"/>
    <w:rPr>
      <w:rFonts w:ascii="Consolas" w:eastAsia="Consolas" w:hAnsi="Consolas" w:cs="Consolas"/>
      <w:b w:val="0"/>
      <w:bCs w:val="0"/>
      <w:i w:val="0"/>
      <w:iCs w:val="0"/>
      <w:smallCaps w:val="0"/>
      <w:strike w:val="0"/>
      <w:spacing w:val="-10"/>
      <w:sz w:val="24"/>
      <w:szCs w:val="24"/>
      <w:u w:val="none"/>
    </w:rPr>
  </w:style>
  <w:style w:type="character" w:customStyle="1" w:styleId="Picturecaption3">
    <w:name w:val="Picture caption (3)_"/>
    <w:link w:val="Picturecaption30"/>
    <w:rsid w:val="00210B8A"/>
    <w:rPr>
      <w:sz w:val="19"/>
      <w:szCs w:val="19"/>
      <w:shd w:val="clear" w:color="auto" w:fill="FFFFFF"/>
    </w:rPr>
  </w:style>
  <w:style w:type="character" w:customStyle="1" w:styleId="Picturecaption">
    <w:name w:val="Picture caption_"/>
    <w:link w:val="Picturecaption0"/>
    <w:rsid w:val="00210B8A"/>
    <w:rPr>
      <w:sz w:val="14"/>
      <w:szCs w:val="14"/>
      <w:shd w:val="clear" w:color="auto" w:fill="FFFFFF"/>
    </w:rPr>
  </w:style>
  <w:style w:type="character" w:customStyle="1" w:styleId="Picturecaption4">
    <w:name w:val="Picture caption (4)_"/>
    <w:link w:val="Picturecaption40"/>
    <w:rsid w:val="00210B8A"/>
    <w:rPr>
      <w:i/>
      <w:iCs/>
      <w:shd w:val="clear" w:color="auto" w:fill="FFFFFF"/>
    </w:rPr>
  </w:style>
  <w:style w:type="character" w:customStyle="1" w:styleId="HeaderorfooterConsolas10pt">
    <w:name w:val="Header or footer + Consolas;10 pt"/>
    <w:rsid w:val="00210B8A"/>
    <w:rPr>
      <w:rFonts w:ascii="Consolas" w:eastAsia="Consolas" w:hAnsi="Consolas" w:cs="Consolas"/>
      <w:b w:val="0"/>
      <w:bCs w:val="0"/>
      <w:i w:val="0"/>
      <w:iCs w:val="0"/>
      <w:smallCaps w:val="0"/>
      <w:strike w:val="0"/>
      <w:color w:val="000000"/>
      <w:spacing w:val="0"/>
      <w:w w:val="100"/>
      <w:position w:val="0"/>
      <w:sz w:val="20"/>
      <w:szCs w:val="20"/>
      <w:u w:val="none"/>
      <w:lang w:val="ro-RO" w:eastAsia="ro-RO" w:bidi="ro-RO"/>
    </w:rPr>
  </w:style>
  <w:style w:type="character" w:customStyle="1" w:styleId="Picturecaption5">
    <w:name w:val="Picture caption (5)_"/>
    <w:link w:val="Picturecaption50"/>
    <w:rsid w:val="00210B8A"/>
    <w:rPr>
      <w:rFonts w:ascii="Calibri" w:eastAsia="Calibri" w:hAnsi="Calibri" w:cs="Calibri"/>
      <w:shd w:val="clear" w:color="auto" w:fill="FFFFFF"/>
    </w:rPr>
  </w:style>
  <w:style w:type="character" w:customStyle="1" w:styleId="Picturecaption5TimesNewRoman16pt">
    <w:name w:val="Picture caption (5) + Times New Roman;16 pt"/>
    <w:rsid w:val="00210B8A"/>
    <w:rPr>
      <w:rFonts w:ascii="Times New Roman" w:eastAsia="Times New Roman" w:hAnsi="Times New Roman" w:cs="Times New Roman"/>
      <w:b/>
      <w:bCs/>
      <w:color w:val="000000"/>
      <w:spacing w:val="0"/>
      <w:w w:val="100"/>
      <w:position w:val="0"/>
      <w:sz w:val="32"/>
      <w:szCs w:val="32"/>
      <w:shd w:val="clear" w:color="auto" w:fill="FFFFFF"/>
      <w:lang w:val="ro-RO" w:eastAsia="ro-RO" w:bidi="ro-RO"/>
    </w:rPr>
  </w:style>
  <w:style w:type="character" w:customStyle="1" w:styleId="Bodytext9">
    <w:name w:val="Body text (9)_"/>
    <w:link w:val="Bodytext90"/>
    <w:rsid w:val="00210B8A"/>
    <w:rPr>
      <w:w w:val="150"/>
      <w:sz w:val="8"/>
      <w:szCs w:val="8"/>
      <w:shd w:val="clear" w:color="auto" w:fill="FFFFFF"/>
    </w:rPr>
  </w:style>
  <w:style w:type="character" w:customStyle="1" w:styleId="Bodytext10">
    <w:name w:val="Body text (10)_"/>
    <w:link w:val="Bodytext100"/>
    <w:rsid w:val="00210B8A"/>
    <w:rPr>
      <w:sz w:val="8"/>
      <w:szCs w:val="8"/>
      <w:shd w:val="clear" w:color="auto" w:fill="FFFFFF"/>
    </w:rPr>
  </w:style>
  <w:style w:type="character" w:customStyle="1" w:styleId="Bodytext2BookmanOldStyle95pt">
    <w:name w:val="Body text (2) + Bookman Old Style;9;5 pt"/>
    <w:rsid w:val="00210B8A"/>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SegoeUI6ptBold">
    <w:name w:val="Body text (2) + Segoe UI;6 pt;Bold"/>
    <w:rsid w:val="00210B8A"/>
    <w:rPr>
      <w:rFonts w:ascii="Segoe UI" w:eastAsia="Segoe UI" w:hAnsi="Segoe UI" w:cs="Segoe UI"/>
      <w:b/>
      <w:bCs/>
      <w:i w:val="0"/>
      <w:iCs w:val="0"/>
      <w:smallCaps w:val="0"/>
      <w:strike w:val="0"/>
      <w:color w:val="000000"/>
      <w:spacing w:val="0"/>
      <w:w w:val="100"/>
      <w:position w:val="0"/>
      <w:sz w:val="12"/>
      <w:szCs w:val="12"/>
      <w:u w:val="none"/>
      <w:shd w:val="clear" w:color="auto" w:fill="FFFFFF"/>
      <w:lang w:val="ro-RO" w:eastAsia="ro-RO" w:bidi="ro-RO"/>
    </w:rPr>
  </w:style>
  <w:style w:type="character" w:customStyle="1" w:styleId="Bodytext24ptItalic">
    <w:name w:val="Body text (2) + 4 pt;Italic"/>
    <w:rsid w:val="00210B8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SegoeUI95pt">
    <w:name w:val="Body text (2) + Segoe UI;9;5 pt"/>
    <w:rsid w:val="00210B8A"/>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Headerorfooter2">
    <w:name w:val="Header or footer (2)_"/>
    <w:link w:val="Headerorfooter20"/>
    <w:rsid w:val="00210B8A"/>
    <w:rPr>
      <w:b/>
      <w:bCs/>
      <w:sz w:val="18"/>
      <w:szCs w:val="18"/>
      <w:shd w:val="clear" w:color="auto" w:fill="FFFFFF"/>
    </w:rPr>
  </w:style>
  <w:style w:type="character" w:customStyle="1" w:styleId="Bodytext11">
    <w:name w:val="Body text (11)_"/>
    <w:link w:val="Bodytext110"/>
    <w:rsid w:val="00210B8A"/>
    <w:rPr>
      <w:spacing w:val="-10"/>
      <w:w w:val="200"/>
      <w:sz w:val="8"/>
      <w:szCs w:val="8"/>
      <w:shd w:val="clear" w:color="auto" w:fill="FFFFFF"/>
    </w:rPr>
  </w:style>
  <w:style w:type="character" w:customStyle="1" w:styleId="Bodytext12">
    <w:name w:val="Body text (12)"/>
    <w:rsid w:val="00210B8A"/>
    <w:rPr>
      <w:rFonts w:ascii="Consolas" w:eastAsia="Consolas" w:hAnsi="Consolas" w:cs="Consolas"/>
      <w:b w:val="0"/>
      <w:bCs w:val="0"/>
      <w:i w:val="0"/>
      <w:iCs w:val="0"/>
      <w:smallCaps w:val="0"/>
      <w:strike w:val="0"/>
      <w:spacing w:val="-10"/>
      <w:sz w:val="24"/>
      <w:szCs w:val="24"/>
      <w:u w:val="none"/>
    </w:rPr>
  </w:style>
  <w:style w:type="character" w:customStyle="1" w:styleId="Picturecaption6">
    <w:name w:val="Picture caption (6)_"/>
    <w:link w:val="Picturecaption60"/>
    <w:rsid w:val="00210B8A"/>
    <w:rPr>
      <w:rFonts w:ascii="Calibri" w:eastAsia="Calibri" w:hAnsi="Calibri" w:cs="Calibri"/>
      <w:shd w:val="clear" w:color="auto" w:fill="FFFFFF"/>
    </w:rPr>
  </w:style>
  <w:style w:type="character" w:customStyle="1" w:styleId="Picturecaption6TimesNewRoman16pt">
    <w:name w:val="Picture caption (6) + Times New Roman;16 pt"/>
    <w:rsid w:val="00210B8A"/>
    <w:rPr>
      <w:rFonts w:ascii="Times New Roman" w:eastAsia="Times New Roman" w:hAnsi="Times New Roman" w:cs="Times New Roman"/>
      <w:b/>
      <w:bCs/>
      <w:color w:val="000000"/>
      <w:spacing w:val="0"/>
      <w:w w:val="100"/>
      <w:position w:val="0"/>
      <w:sz w:val="32"/>
      <w:szCs w:val="32"/>
      <w:shd w:val="clear" w:color="auto" w:fill="FFFFFF"/>
      <w:lang w:val="ro-RO" w:eastAsia="ro-RO" w:bidi="ro-RO"/>
    </w:rPr>
  </w:style>
  <w:style w:type="character" w:customStyle="1" w:styleId="Headerorfooter2Consolas10ptNotBold">
    <w:name w:val="Header or footer (2) + Consolas;10 pt;Not Bold"/>
    <w:rsid w:val="00210B8A"/>
    <w:rPr>
      <w:rFonts w:ascii="Consolas" w:eastAsia="Consolas" w:hAnsi="Consolas" w:cs="Consolas"/>
      <w:b/>
      <w:bCs/>
      <w:color w:val="000000"/>
      <w:spacing w:val="0"/>
      <w:w w:val="100"/>
      <w:position w:val="0"/>
      <w:sz w:val="20"/>
      <w:szCs w:val="20"/>
      <w:shd w:val="clear" w:color="auto" w:fill="FFFFFF"/>
      <w:lang w:val="ro-RO" w:eastAsia="ro-RO" w:bidi="ro-RO"/>
    </w:rPr>
  </w:style>
  <w:style w:type="character" w:customStyle="1" w:styleId="Bodytext13">
    <w:name w:val="Body text (13)_"/>
    <w:link w:val="Bodytext130"/>
    <w:rsid w:val="00210B8A"/>
    <w:rPr>
      <w:sz w:val="8"/>
      <w:szCs w:val="8"/>
      <w:shd w:val="clear" w:color="auto" w:fill="FFFFFF"/>
    </w:rPr>
  </w:style>
  <w:style w:type="paragraph" w:customStyle="1" w:styleId="Heading10">
    <w:name w:val="Heading #1"/>
    <w:basedOn w:val="Normal"/>
    <w:link w:val="Heading1"/>
    <w:rsid w:val="00210B8A"/>
    <w:pPr>
      <w:widowControl w:val="0"/>
      <w:shd w:val="clear" w:color="auto" w:fill="FFFFFF"/>
      <w:spacing w:line="0" w:lineRule="atLeast"/>
      <w:jc w:val="center"/>
      <w:outlineLvl w:val="0"/>
    </w:pPr>
    <w:rPr>
      <w:b/>
      <w:bCs/>
      <w:i/>
      <w:iCs/>
      <w:sz w:val="36"/>
      <w:szCs w:val="36"/>
      <w:lang w:val="ru-RU"/>
    </w:rPr>
  </w:style>
  <w:style w:type="paragraph" w:customStyle="1" w:styleId="Tableofcontents0">
    <w:name w:val="Table of contents"/>
    <w:basedOn w:val="Normal"/>
    <w:link w:val="Tableofcontents"/>
    <w:rsid w:val="00210B8A"/>
    <w:pPr>
      <w:widowControl w:val="0"/>
      <w:shd w:val="clear" w:color="auto" w:fill="FFFFFF"/>
      <w:spacing w:line="0" w:lineRule="atLeast"/>
      <w:ind w:hanging="700"/>
      <w:jc w:val="both"/>
    </w:pPr>
    <w:rPr>
      <w:sz w:val="28"/>
      <w:szCs w:val="28"/>
      <w:lang w:val="ru-RU"/>
    </w:rPr>
  </w:style>
  <w:style w:type="paragraph" w:customStyle="1" w:styleId="Bodytext30">
    <w:name w:val="Body text (3)"/>
    <w:basedOn w:val="Normal"/>
    <w:link w:val="Bodytext3"/>
    <w:rsid w:val="00210B8A"/>
    <w:pPr>
      <w:widowControl w:val="0"/>
      <w:shd w:val="clear" w:color="auto" w:fill="FFFFFF"/>
      <w:spacing w:line="0" w:lineRule="atLeast"/>
    </w:pPr>
    <w:rPr>
      <w:b/>
      <w:bCs/>
      <w:i/>
      <w:iCs/>
      <w:sz w:val="28"/>
      <w:szCs w:val="28"/>
      <w:lang w:val="ru-RU"/>
    </w:rPr>
  </w:style>
  <w:style w:type="paragraph" w:customStyle="1" w:styleId="Bodytext40">
    <w:name w:val="Body text (4)"/>
    <w:basedOn w:val="Normal"/>
    <w:link w:val="Bodytext4"/>
    <w:rsid w:val="00210B8A"/>
    <w:pPr>
      <w:widowControl w:val="0"/>
      <w:shd w:val="clear" w:color="auto" w:fill="FFFFFF"/>
      <w:spacing w:line="0" w:lineRule="atLeast"/>
      <w:jc w:val="right"/>
    </w:pPr>
    <w:rPr>
      <w:sz w:val="19"/>
      <w:szCs w:val="19"/>
      <w:lang w:val="ru-RU"/>
    </w:rPr>
  </w:style>
  <w:style w:type="paragraph" w:customStyle="1" w:styleId="Heading31">
    <w:name w:val="Heading #3"/>
    <w:basedOn w:val="Normal"/>
    <w:link w:val="Heading30"/>
    <w:rsid w:val="00210B8A"/>
    <w:pPr>
      <w:widowControl w:val="0"/>
      <w:shd w:val="clear" w:color="auto" w:fill="FFFFFF"/>
      <w:spacing w:line="360" w:lineRule="exact"/>
      <w:outlineLvl w:val="2"/>
    </w:pPr>
    <w:rPr>
      <w:b/>
      <w:bCs/>
      <w:i/>
      <w:iCs/>
      <w:sz w:val="28"/>
      <w:szCs w:val="28"/>
      <w:lang w:val="ru-RU"/>
    </w:rPr>
  </w:style>
  <w:style w:type="paragraph" w:customStyle="1" w:styleId="Tablecaption30">
    <w:name w:val="Table caption (3)"/>
    <w:basedOn w:val="Normal"/>
    <w:link w:val="Tablecaption3"/>
    <w:rsid w:val="00210B8A"/>
    <w:pPr>
      <w:widowControl w:val="0"/>
      <w:shd w:val="clear" w:color="auto" w:fill="FFFFFF"/>
      <w:spacing w:line="256" w:lineRule="exact"/>
      <w:jc w:val="right"/>
    </w:pPr>
    <w:rPr>
      <w:sz w:val="19"/>
      <w:szCs w:val="19"/>
      <w:lang w:val="ru-RU"/>
    </w:rPr>
  </w:style>
  <w:style w:type="paragraph" w:customStyle="1" w:styleId="Bodytext50">
    <w:name w:val="Body text (5)"/>
    <w:basedOn w:val="Normal"/>
    <w:link w:val="Bodytext5"/>
    <w:rsid w:val="00210B8A"/>
    <w:pPr>
      <w:widowControl w:val="0"/>
      <w:shd w:val="clear" w:color="auto" w:fill="FFFFFF"/>
      <w:spacing w:line="0" w:lineRule="atLeast"/>
      <w:jc w:val="both"/>
    </w:pPr>
    <w:rPr>
      <w:spacing w:val="-10"/>
      <w:w w:val="200"/>
      <w:sz w:val="8"/>
      <w:szCs w:val="8"/>
      <w:lang w:val="ru-RU"/>
    </w:rPr>
  </w:style>
  <w:style w:type="paragraph" w:customStyle="1" w:styleId="Heading21">
    <w:name w:val="Heading #2"/>
    <w:basedOn w:val="Normal"/>
    <w:link w:val="Heading20"/>
    <w:rsid w:val="00210B8A"/>
    <w:pPr>
      <w:widowControl w:val="0"/>
      <w:shd w:val="clear" w:color="auto" w:fill="FFFFFF"/>
      <w:spacing w:line="0" w:lineRule="atLeast"/>
      <w:jc w:val="both"/>
      <w:outlineLvl w:val="1"/>
    </w:pPr>
    <w:rPr>
      <w:sz w:val="28"/>
      <w:szCs w:val="28"/>
      <w:lang w:val="ru-RU"/>
    </w:rPr>
  </w:style>
  <w:style w:type="paragraph" w:customStyle="1" w:styleId="Picturecaption30">
    <w:name w:val="Picture caption (3)"/>
    <w:basedOn w:val="Normal"/>
    <w:link w:val="Picturecaption3"/>
    <w:rsid w:val="00210B8A"/>
    <w:pPr>
      <w:widowControl w:val="0"/>
      <w:shd w:val="clear" w:color="auto" w:fill="FFFFFF"/>
      <w:spacing w:line="0" w:lineRule="atLeast"/>
    </w:pPr>
    <w:rPr>
      <w:sz w:val="19"/>
      <w:szCs w:val="19"/>
      <w:lang w:val="ru-RU"/>
    </w:rPr>
  </w:style>
  <w:style w:type="paragraph" w:customStyle="1" w:styleId="Picturecaption0">
    <w:name w:val="Picture caption"/>
    <w:basedOn w:val="Normal"/>
    <w:link w:val="Picturecaption"/>
    <w:rsid w:val="00210B8A"/>
    <w:pPr>
      <w:widowControl w:val="0"/>
      <w:shd w:val="clear" w:color="auto" w:fill="FFFFFF"/>
      <w:spacing w:line="220" w:lineRule="exact"/>
    </w:pPr>
    <w:rPr>
      <w:sz w:val="14"/>
      <w:szCs w:val="14"/>
      <w:lang w:val="ru-RU"/>
    </w:rPr>
  </w:style>
  <w:style w:type="paragraph" w:customStyle="1" w:styleId="Picturecaption40">
    <w:name w:val="Picture caption (4)"/>
    <w:basedOn w:val="Normal"/>
    <w:link w:val="Picturecaption4"/>
    <w:rsid w:val="00210B8A"/>
    <w:pPr>
      <w:widowControl w:val="0"/>
      <w:shd w:val="clear" w:color="auto" w:fill="FFFFFF"/>
      <w:spacing w:line="230" w:lineRule="exact"/>
      <w:jc w:val="center"/>
    </w:pPr>
    <w:rPr>
      <w:i/>
      <w:iCs/>
      <w:sz w:val="20"/>
      <w:szCs w:val="20"/>
      <w:lang w:val="ru-RU"/>
    </w:rPr>
  </w:style>
  <w:style w:type="paragraph" w:customStyle="1" w:styleId="Picturecaption50">
    <w:name w:val="Picture caption (5)"/>
    <w:basedOn w:val="Normal"/>
    <w:link w:val="Picturecaption5"/>
    <w:rsid w:val="00210B8A"/>
    <w:pPr>
      <w:widowControl w:val="0"/>
      <w:shd w:val="clear" w:color="auto" w:fill="FFFFFF"/>
      <w:spacing w:line="0" w:lineRule="atLeast"/>
    </w:pPr>
    <w:rPr>
      <w:rFonts w:ascii="Calibri" w:eastAsia="Calibri" w:hAnsi="Calibri" w:cs="Calibri"/>
      <w:sz w:val="20"/>
      <w:szCs w:val="20"/>
      <w:lang w:val="ru-RU"/>
    </w:rPr>
  </w:style>
  <w:style w:type="paragraph" w:customStyle="1" w:styleId="Bodytext90">
    <w:name w:val="Body text (9)"/>
    <w:basedOn w:val="Normal"/>
    <w:link w:val="Bodytext9"/>
    <w:rsid w:val="00210B8A"/>
    <w:pPr>
      <w:widowControl w:val="0"/>
      <w:shd w:val="clear" w:color="auto" w:fill="FFFFFF"/>
      <w:spacing w:line="0" w:lineRule="atLeast"/>
    </w:pPr>
    <w:rPr>
      <w:w w:val="150"/>
      <w:sz w:val="8"/>
      <w:szCs w:val="8"/>
      <w:lang w:val="ru-RU"/>
    </w:rPr>
  </w:style>
  <w:style w:type="paragraph" w:customStyle="1" w:styleId="Bodytext100">
    <w:name w:val="Body text (10)"/>
    <w:basedOn w:val="Normal"/>
    <w:link w:val="Bodytext10"/>
    <w:rsid w:val="00210B8A"/>
    <w:pPr>
      <w:widowControl w:val="0"/>
      <w:shd w:val="clear" w:color="auto" w:fill="FFFFFF"/>
      <w:spacing w:line="0" w:lineRule="atLeast"/>
    </w:pPr>
    <w:rPr>
      <w:sz w:val="8"/>
      <w:szCs w:val="8"/>
      <w:lang w:val="ru-RU"/>
    </w:rPr>
  </w:style>
  <w:style w:type="paragraph" w:customStyle="1" w:styleId="Headerorfooter20">
    <w:name w:val="Header or footer (2)"/>
    <w:basedOn w:val="Normal"/>
    <w:link w:val="Headerorfooter2"/>
    <w:rsid w:val="00210B8A"/>
    <w:pPr>
      <w:widowControl w:val="0"/>
      <w:shd w:val="clear" w:color="auto" w:fill="FFFFFF"/>
      <w:spacing w:line="0" w:lineRule="atLeast"/>
    </w:pPr>
    <w:rPr>
      <w:b/>
      <w:bCs/>
      <w:sz w:val="18"/>
      <w:szCs w:val="18"/>
      <w:lang w:val="ru-RU"/>
    </w:rPr>
  </w:style>
  <w:style w:type="paragraph" w:customStyle="1" w:styleId="Bodytext110">
    <w:name w:val="Body text (11)"/>
    <w:basedOn w:val="Normal"/>
    <w:link w:val="Bodytext11"/>
    <w:rsid w:val="00210B8A"/>
    <w:pPr>
      <w:widowControl w:val="0"/>
      <w:shd w:val="clear" w:color="auto" w:fill="FFFFFF"/>
      <w:spacing w:line="0" w:lineRule="atLeast"/>
      <w:jc w:val="both"/>
    </w:pPr>
    <w:rPr>
      <w:spacing w:val="-10"/>
      <w:w w:val="200"/>
      <w:sz w:val="8"/>
      <w:szCs w:val="8"/>
      <w:lang w:val="ru-RU"/>
    </w:rPr>
  </w:style>
  <w:style w:type="paragraph" w:customStyle="1" w:styleId="Picturecaption60">
    <w:name w:val="Picture caption (6)"/>
    <w:basedOn w:val="Normal"/>
    <w:link w:val="Picturecaption6"/>
    <w:rsid w:val="00210B8A"/>
    <w:pPr>
      <w:widowControl w:val="0"/>
      <w:shd w:val="clear" w:color="auto" w:fill="FFFFFF"/>
      <w:spacing w:line="0" w:lineRule="atLeast"/>
    </w:pPr>
    <w:rPr>
      <w:rFonts w:ascii="Calibri" w:eastAsia="Calibri" w:hAnsi="Calibri" w:cs="Calibri"/>
      <w:sz w:val="20"/>
      <w:szCs w:val="20"/>
      <w:lang w:val="ru-RU"/>
    </w:rPr>
  </w:style>
  <w:style w:type="paragraph" w:customStyle="1" w:styleId="Bodytext130">
    <w:name w:val="Body text (13)"/>
    <w:basedOn w:val="Normal"/>
    <w:link w:val="Bodytext13"/>
    <w:rsid w:val="00210B8A"/>
    <w:pPr>
      <w:widowControl w:val="0"/>
      <w:shd w:val="clear" w:color="auto" w:fill="FFFFFF"/>
      <w:spacing w:line="0" w:lineRule="atLeast"/>
    </w:pPr>
    <w:rPr>
      <w:sz w:val="8"/>
      <w:szCs w:val="8"/>
      <w:lang w:val="ru-RU"/>
    </w:rPr>
  </w:style>
  <w:style w:type="character" w:customStyle="1" w:styleId="newscontent1">
    <w:name w:val="newscontent1"/>
    <w:rsid w:val="00210B8A"/>
    <w:rPr>
      <w:rFonts w:ascii="Arial" w:hAnsi="Arial" w:cs="Arial" w:hint="default"/>
      <w:b w:val="0"/>
      <w:bCs w:val="0"/>
      <w:i w:val="0"/>
      <w:iCs w:val="0"/>
      <w:color w:val="444444"/>
      <w:sz w:val="12"/>
      <w:szCs w:val="12"/>
    </w:rPr>
  </w:style>
  <w:style w:type="table" w:customStyle="1" w:styleId="10">
    <w:name w:val="Сетка таблицы1"/>
    <w:basedOn w:val="TableNormal"/>
    <w:next w:val="TableGrid"/>
    <w:uiPriority w:val="39"/>
    <w:rsid w:val="004D333B"/>
    <w:pPr>
      <w:widowControl w:val="0"/>
    </w:pPr>
    <w:rPr>
      <w:rFonts w:ascii="Microsoft Sans Serif" w:eastAsia="Microsoft Sans Serif" w:hAnsi="Microsoft Sans Serif" w:cs="Microsoft Sans Serif"/>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4831">
      <w:bodyDiv w:val="1"/>
      <w:marLeft w:val="0"/>
      <w:marRight w:val="0"/>
      <w:marTop w:val="0"/>
      <w:marBottom w:val="0"/>
      <w:divBdr>
        <w:top w:val="none" w:sz="0" w:space="0" w:color="auto"/>
        <w:left w:val="none" w:sz="0" w:space="0" w:color="auto"/>
        <w:bottom w:val="none" w:sz="0" w:space="0" w:color="auto"/>
        <w:right w:val="none" w:sz="0" w:space="0" w:color="auto"/>
      </w:divBdr>
    </w:div>
    <w:div w:id="237448583">
      <w:bodyDiv w:val="1"/>
      <w:marLeft w:val="0"/>
      <w:marRight w:val="0"/>
      <w:marTop w:val="0"/>
      <w:marBottom w:val="0"/>
      <w:divBdr>
        <w:top w:val="none" w:sz="0" w:space="0" w:color="auto"/>
        <w:left w:val="none" w:sz="0" w:space="0" w:color="auto"/>
        <w:bottom w:val="none" w:sz="0" w:space="0" w:color="auto"/>
        <w:right w:val="none" w:sz="0" w:space="0" w:color="auto"/>
      </w:divBdr>
    </w:div>
    <w:div w:id="363286639">
      <w:bodyDiv w:val="1"/>
      <w:marLeft w:val="0"/>
      <w:marRight w:val="0"/>
      <w:marTop w:val="0"/>
      <w:marBottom w:val="0"/>
      <w:divBdr>
        <w:top w:val="none" w:sz="0" w:space="0" w:color="auto"/>
        <w:left w:val="none" w:sz="0" w:space="0" w:color="auto"/>
        <w:bottom w:val="none" w:sz="0" w:space="0" w:color="auto"/>
        <w:right w:val="none" w:sz="0" w:space="0" w:color="auto"/>
      </w:divBdr>
    </w:div>
    <w:div w:id="385224008">
      <w:bodyDiv w:val="1"/>
      <w:marLeft w:val="0"/>
      <w:marRight w:val="0"/>
      <w:marTop w:val="0"/>
      <w:marBottom w:val="0"/>
      <w:divBdr>
        <w:top w:val="none" w:sz="0" w:space="0" w:color="auto"/>
        <w:left w:val="none" w:sz="0" w:space="0" w:color="auto"/>
        <w:bottom w:val="none" w:sz="0" w:space="0" w:color="auto"/>
        <w:right w:val="none" w:sz="0" w:space="0" w:color="auto"/>
      </w:divBdr>
    </w:div>
    <w:div w:id="386690154">
      <w:bodyDiv w:val="1"/>
      <w:marLeft w:val="0"/>
      <w:marRight w:val="0"/>
      <w:marTop w:val="0"/>
      <w:marBottom w:val="0"/>
      <w:divBdr>
        <w:top w:val="none" w:sz="0" w:space="0" w:color="auto"/>
        <w:left w:val="none" w:sz="0" w:space="0" w:color="auto"/>
        <w:bottom w:val="none" w:sz="0" w:space="0" w:color="auto"/>
        <w:right w:val="none" w:sz="0" w:space="0" w:color="auto"/>
      </w:divBdr>
    </w:div>
    <w:div w:id="404494374">
      <w:bodyDiv w:val="1"/>
      <w:marLeft w:val="0"/>
      <w:marRight w:val="0"/>
      <w:marTop w:val="0"/>
      <w:marBottom w:val="0"/>
      <w:divBdr>
        <w:top w:val="none" w:sz="0" w:space="0" w:color="auto"/>
        <w:left w:val="none" w:sz="0" w:space="0" w:color="auto"/>
        <w:bottom w:val="none" w:sz="0" w:space="0" w:color="auto"/>
        <w:right w:val="none" w:sz="0" w:space="0" w:color="auto"/>
      </w:divBdr>
    </w:div>
    <w:div w:id="427239656">
      <w:bodyDiv w:val="1"/>
      <w:marLeft w:val="0"/>
      <w:marRight w:val="0"/>
      <w:marTop w:val="0"/>
      <w:marBottom w:val="0"/>
      <w:divBdr>
        <w:top w:val="none" w:sz="0" w:space="0" w:color="auto"/>
        <w:left w:val="none" w:sz="0" w:space="0" w:color="auto"/>
        <w:bottom w:val="none" w:sz="0" w:space="0" w:color="auto"/>
        <w:right w:val="none" w:sz="0" w:space="0" w:color="auto"/>
      </w:divBdr>
    </w:div>
    <w:div w:id="449276748">
      <w:bodyDiv w:val="1"/>
      <w:marLeft w:val="0"/>
      <w:marRight w:val="0"/>
      <w:marTop w:val="0"/>
      <w:marBottom w:val="0"/>
      <w:divBdr>
        <w:top w:val="none" w:sz="0" w:space="0" w:color="auto"/>
        <w:left w:val="none" w:sz="0" w:space="0" w:color="auto"/>
        <w:bottom w:val="none" w:sz="0" w:space="0" w:color="auto"/>
        <w:right w:val="none" w:sz="0" w:space="0" w:color="auto"/>
      </w:divBdr>
    </w:div>
    <w:div w:id="487211669">
      <w:bodyDiv w:val="1"/>
      <w:marLeft w:val="0"/>
      <w:marRight w:val="0"/>
      <w:marTop w:val="0"/>
      <w:marBottom w:val="0"/>
      <w:divBdr>
        <w:top w:val="none" w:sz="0" w:space="0" w:color="auto"/>
        <w:left w:val="none" w:sz="0" w:space="0" w:color="auto"/>
        <w:bottom w:val="none" w:sz="0" w:space="0" w:color="auto"/>
        <w:right w:val="none" w:sz="0" w:space="0" w:color="auto"/>
      </w:divBdr>
    </w:div>
    <w:div w:id="820199645">
      <w:bodyDiv w:val="1"/>
      <w:marLeft w:val="0"/>
      <w:marRight w:val="0"/>
      <w:marTop w:val="0"/>
      <w:marBottom w:val="0"/>
      <w:divBdr>
        <w:top w:val="none" w:sz="0" w:space="0" w:color="auto"/>
        <w:left w:val="none" w:sz="0" w:space="0" w:color="auto"/>
        <w:bottom w:val="none" w:sz="0" w:space="0" w:color="auto"/>
        <w:right w:val="none" w:sz="0" w:space="0" w:color="auto"/>
      </w:divBdr>
    </w:div>
    <w:div w:id="889221468">
      <w:bodyDiv w:val="1"/>
      <w:marLeft w:val="0"/>
      <w:marRight w:val="0"/>
      <w:marTop w:val="0"/>
      <w:marBottom w:val="0"/>
      <w:divBdr>
        <w:top w:val="none" w:sz="0" w:space="0" w:color="auto"/>
        <w:left w:val="none" w:sz="0" w:space="0" w:color="auto"/>
        <w:bottom w:val="none" w:sz="0" w:space="0" w:color="auto"/>
        <w:right w:val="none" w:sz="0" w:space="0" w:color="auto"/>
      </w:divBdr>
    </w:div>
    <w:div w:id="904687639">
      <w:bodyDiv w:val="1"/>
      <w:marLeft w:val="0"/>
      <w:marRight w:val="0"/>
      <w:marTop w:val="0"/>
      <w:marBottom w:val="0"/>
      <w:divBdr>
        <w:top w:val="none" w:sz="0" w:space="0" w:color="auto"/>
        <w:left w:val="none" w:sz="0" w:space="0" w:color="auto"/>
        <w:bottom w:val="none" w:sz="0" w:space="0" w:color="auto"/>
        <w:right w:val="none" w:sz="0" w:space="0" w:color="auto"/>
      </w:divBdr>
    </w:div>
    <w:div w:id="939030118">
      <w:bodyDiv w:val="1"/>
      <w:marLeft w:val="0"/>
      <w:marRight w:val="0"/>
      <w:marTop w:val="0"/>
      <w:marBottom w:val="0"/>
      <w:divBdr>
        <w:top w:val="none" w:sz="0" w:space="0" w:color="auto"/>
        <w:left w:val="none" w:sz="0" w:space="0" w:color="auto"/>
        <w:bottom w:val="none" w:sz="0" w:space="0" w:color="auto"/>
        <w:right w:val="none" w:sz="0" w:space="0" w:color="auto"/>
      </w:divBdr>
    </w:div>
    <w:div w:id="957954063">
      <w:bodyDiv w:val="1"/>
      <w:marLeft w:val="0"/>
      <w:marRight w:val="0"/>
      <w:marTop w:val="0"/>
      <w:marBottom w:val="0"/>
      <w:divBdr>
        <w:top w:val="none" w:sz="0" w:space="0" w:color="auto"/>
        <w:left w:val="none" w:sz="0" w:space="0" w:color="auto"/>
        <w:bottom w:val="none" w:sz="0" w:space="0" w:color="auto"/>
        <w:right w:val="none" w:sz="0" w:space="0" w:color="auto"/>
      </w:divBdr>
    </w:div>
    <w:div w:id="1036009224">
      <w:bodyDiv w:val="1"/>
      <w:marLeft w:val="0"/>
      <w:marRight w:val="0"/>
      <w:marTop w:val="0"/>
      <w:marBottom w:val="0"/>
      <w:divBdr>
        <w:top w:val="none" w:sz="0" w:space="0" w:color="auto"/>
        <w:left w:val="none" w:sz="0" w:space="0" w:color="auto"/>
        <w:bottom w:val="none" w:sz="0" w:space="0" w:color="auto"/>
        <w:right w:val="none" w:sz="0" w:space="0" w:color="auto"/>
      </w:divBdr>
    </w:div>
    <w:div w:id="1050760763">
      <w:bodyDiv w:val="1"/>
      <w:marLeft w:val="0"/>
      <w:marRight w:val="0"/>
      <w:marTop w:val="0"/>
      <w:marBottom w:val="0"/>
      <w:divBdr>
        <w:top w:val="none" w:sz="0" w:space="0" w:color="auto"/>
        <w:left w:val="none" w:sz="0" w:space="0" w:color="auto"/>
        <w:bottom w:val="none" w:sz="0" w:space="0" w:color="auto"/>
        <w:right w:val="none" w:sz="0" w:space="0" w:color="auto"/>
      </w:divBdr>
    </w:div>
    <w:div w:id="1165170505">
      <w:bodyDiv w:val="1"/>
      <w:marLeft w:val="0"/>
      <w:marRight w:val="0"/>
      <w:marTop w:val="0"/>
      <w:marBottom w:val="0"/>
      <w:divBdr>
        <w:top w:val="none" w:sz="0" w:space="0" w:color="auto"/>
        <w:left w:val="none" w:sz="0" w:space="0" w:color="auto"/>
        <w:bottom w:val="none" w:sz="0" w:space="0" w:color="auto"/>
        <w:right w:val="none" w:sz="0" w:space="0" w:color="auto"/>
      </w:divBdr>
    </w:div>
    <w:div w:id="1208840318">
      <w:bodyDiv w:val="1"/>
      <w:marLeft w:val="0"/>
      <w:marRight w:val="0"/>
      <w:marTop w:val="0"/>
      <w:marBottom w:val="0"/>
      <w:divBdr>
        <w:top w:val="none" w:sz="0" w:space="0" w:color="auto"/>
        <w:left w:val="none" w:sz="0" w:space="0" w:color="auto"/>
        <w:bottom w:val="none" w:sz="0" w:space="0" w:color="auto"/>
        <w:right w:val="none" w:sz="0" w:space="0" w:color="auto"/>
      </w:divBdr>
    </w:div>
    <w:div w:id="1238980529">
      <w:bodyDiv w:val="1"/>
      <w:marLeft w:val="0"/>
      <w:marRight w:val="0"/>
      <w:marTop w:val="0"/>
      <w:marBottom w:val="0"/>
      <w:divBdr>
        <w:top w:val="none" w:sz="0" w:space="0" w:color="auto"/>
        <w:left w:val="none" w:sz="0" w:space="0" w:color="auto"/>
        <w:bottom w:val="none" w:sz="0" w:space="0" w:color="auto"/>
        <w:right w:val="none" w:sz="0" w:space="0" w:color="auto"/>
      </w:divBdr>
    </w:div>
    <w:div w:id="1390152497">
      <w:bodyDiv w:val="1"/>
      <w:marLeft w:val="0"/>
      <w:marRight w:val="0"/>
      <w:marTop w:val="0"/>
      <w:marBottom w:val="0"/>
      <w:divBdr>
        <w:top w:val="none" w:sz="0" w:space="0" w:color="auto"/>
        <w:left w:val="none" w:sz="0" w:space="0" w:color="auto"/>
        <w:bottom w:val="none" w:sz="0" w:space="0" w:color="auto"/>
        <w:right w:val="none" w:sz="0" w:space="0" w:color="auto"/>
      </w:divBdr>
    </w:div>
    <w:div w:id="1410038198">
      <w:bodyDiv w:val="1"/>
      <w:marLeft w:val="0"/>
      <w:marRight w:val="0"/>
      <w:marTop w:val="0"/>
      <w:marBottom w:val="0"/>
      <w:divBdr>
        <w:top w:val="none" w:sz="0" w:space="0" w:color="auto"/>
        <w:left w:val="none" w:sz="0" w:space="0" w:color="auto"/>
        <w:bottom w:val="none" w:sz="0" w:space="0" w:color="auto"/>
        <w:right w:val="none" w:sz="0" w:space="0" w:color="auto"/>
      </w:divBdr>
    </w:div>
    <w:div w:id="1441610833">
      <w:bodyDiv w:val="1"/>
      <w:marLeft w:val="0"/>
      <w:marRight w:val="0"/>
      <w:marTop w:val="0"/>
      <w:marBottom w:val="0"/>
      <w:divBdr>
        <w:top w:val="none" w:sz="0" w:space="0" w:color="auto"/>
        <w:left w:val="none" w:sz="0" w:space="0" w:color="auto"/>
        <w:bottom w:val="none" w:sz="0" w:space="0" w:color="auto"/>
        <w:right w:val="none" w:sz="0" w:space="0" w:color="auto"/>
      </w:divBdr>
    </w:div>
    <w:div w:id="1673875645">
      <w:bodyDiv w:val="1"/>
      <w:marLeft w:val="0"/>
      <w:marRight w:val="0"/>
      <w:marTop w:val="0"/>
      <w:marBottom w:val="0"/>
      <w:divBdr>
        <w:top w:val="none" w:sz="0" w:space="0" w:color="auto"/>
        <w:left w:val="none" w:sz="0" w:space="0" w:color="auto"/>
        <w:bottom w:val="none" w:sz="0" w:space="0" w:color="auto"/>
        <w:right w:val="none" w:sz="0" w:space="0" w:color="auto"/>
      </w:divBdr>
    </w:div>
    <w:div w:id="1699433882">
      <w:bodyDiv w:val="1"/>
      <w:marLeft w:val="0"/>
      <w:marRight w:val="0"/>
      <w:marTop w:val="0"/>
      <w:marBottom w:val="0"/>
      <w:divBdr>
        <w:top w:val="none" w:sz="0" w:space="0" w:color="auto"/>
        <w:left w:val="none" w:sz="0" w:space="0" w:color="auto"/>
        <w:bottom w:val="none" w:sz="0" w:space="0" w:color="auto"/>
        <w:right w:val="none" w:sz="0" w:space="0" w:color="auto"/>
      </w:divBdr>
    </w:div>
    <w:div w:id="1786533614">
      <w:bodyDiv w:val="1"/>
      <w:marLeft w:val="0"/>
      <w:marRight w:val="0"/>
      <w:marTop w:val="0"/>
      <w:marBottom w:val="0"/>
      <w:divBdr>
        <w:top w:val="none" w:sz="0" w:space="0" w:color="auto"/>
        <w:left w:val="none" w:sz="0" w:space="0" w:color="auto"/>
        <w:bottom w:val="none" w:sz="0" w:space="0" w:color="auto"/>
        <w:right w:val="none" w:sz="0" w:space="0" w:color="auto"/>
      </w:divBdr>
    </w:div>
    <w:div w:id="1897398800">
      <w:bodyDiv w:val="1"/>
      <w:marLeft w:val="0"/>
      <w:marRight w:val="0"/>
      <w:marTop w:val="0"/>
      <w:marBottom w:val="0"/>
      <w:divBdr>
        <w:top w:val="none" w:sz="0" w:space="0" w:color="auto"/>
        <w:left w:val="none" w:sz="0" w:space="0" w:color="auto"/>
        <w:bottom w:val="none" w:sz="0" w:space="0" w:color="auto"/>
        <w:right w:val="none" w:sz="0" w:space="0" w:color="auto"/>
      </w:divBdr>
    </w:div>
    <w:div w:id="2041975088">
      <w:bodyDiv w:val="1"/>
      <w:marLeft w:val="0"/>
      <w:marRight w:val="0"/>
      <w:marTop w:val="0"/>
      <w:marBottom w:val="0"/>
      <w:divBdr>
        <w:top w:val="none" w:sz="0" w:space="0" w:color="auto"/>
        <w:left w:val="none" w:sz="0" w:space="0" w:color="auto"/>
        <w:bottom w:val="none" w:sz="0" w:space="0" w:color="auto"/>
        <w:right w:val="none" w:sz="0" w:space="0" w:color="auto"/>
      </w:divBdr>
    </w:div>
    <w:div w:id="2073772450">
      <w:bodyDiv w:val="1"/>
      <w:marLeft w:val="0"/>
      <w:marRight w:val="0"/>
      <w:marTop w:val="0"/>
      <w:marBottom w:val="0"/>
      <w:divBdr>
        <w:top w:val="none" w:sz="0" w:space="0" w:color="auto"/>
        <w:left w:val="none" w:sz="0" w:space="0" w:color="auto"/>
        <w:bottom w:val="none" w:sz="0" w:space="0" w:color="auto"/>
        <w:right w:val="none" w:sz="0" w:space="0" w:color="auto"/>
      </w:divBdr>
    </w:div>
    <w:div w:id="2093039251">
      <w:bodyDiv w:val="1"/>
      <w:marLeft w:val="0"/>
      <w:marRight w:val="0"/>
      <w:marTop w:val="0"/>
      <w:marBottom w:val="0"/>
      <w:divBdr>
        <w:top w:val="none" w:sz="0" w:space="0" w:color="auto"/>
        <w:left w:val="none" w:sz="0" w:space="0" w:color="auto"/>
        <w:bottom w:val="none" w:sz="0" w:space="0" w:color="auto"/>
        <w:right w:val="none" w:sz="0" w:space="0" w:color="auto"/>
      </w:divBdr>
    </w:div>
    <w:div w:id="2095592695">
      <w:bodyDiv w:val="1"/>
      <w:marLeft w:val="0"/>
      <w:marRight w:val="0"/>
      <w:marTop w:val="0"/>
      <w:marBottom w:val="0"/>
      <w:divBdr>
        <w:top w:val="none" w:sz="0" w:space="0" w:color="auto"/>
        <w:left w:val="none" w:sz="0" w:space="0" w:color="auto"/>
        <w:bottom w:val="none" w:sz="0" w:space="0" w:color="auto"/>
        <w:right w:val="none" w:sz="0" w:space="0" w:color="auto"/>
      </w:divBdr>
    </w:div>
    <w:div w:id="21446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636684303350969E-3"/>
          <c:y val="9.0909090909090912E-2"/>
          <c:w val="0.67901234567901236"/>
          <c:h val="0.74125874125874125"/>
        </c:manualLayout>
      </c:layout>
      <c:bar3DChart>
        <c:barDir val="col"/>
        <c:grouping val="clustered"/>
        <c:varyColors val="0"/>
        <c:ser>
          <c:idx val="0"/>
          <c:order val="0"/>
          <c:tx>
            <c:strRef>
              <c:f>Sheet1!$A$2</c:f>
              <c:strCache>
                <c:ptCount val="1"/>
                <c:pt idx="0">
                  <c:v>capital social </c:v>
                </c:pt>
              </c:strCache>
            </c:strRef>
          </c:tx>
          <c:spPr>
            <a:solidFill>
              <a:srgbClr val="9999FF"/>
            </a:solidFill>
            <a:ln w="12701">
              <a:solidFill>
                <a:srgbClr val="000000"/>
              </a:solidFill>
              <a:prstDash val="solid"/>
            </a:ln>
          </c:spPr>
          <c:invertIfNegative val="0"/>
          <c:dLbls>
            <c:dLbl>
              <c:idx val="0"/>
              <c:layout>
                <c:manualLayout>
                  <c:xMode val="edge"/>
                  <c:yMode val="edge"/>
                  <c:x val="0.12169312169312169"/>
                  <c:y val="0.39160839160839161"/>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9E-434E-A84B-CE05DD65A95B}"/>
                </c:ext>
              </c:extLst>
            </c:dLbl>
            <c:dLbl>
              <c:idx val="1"/>
              <c:layout>
                <c:manualLayout>
                  <c:xMode val="edge"/>
                  <c:yMode val="edge"/>
                  <c:x val="0.36860670194003525"/>
                  <c:y val="0.39160839160839161"/>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9E-434E-A84B-CE05DD65A95B}"/>
                </c:ext>
              </c:extLst>
            </c:dLbl>
            <c:spPr>
              <a:noFill/>
              <a:ln w="25402">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 01.01.2017</c:v>
                </c:pt>
                <c:pt idx="1">
                  <c:v>la 31.12.2017</c:v>
                </c:pt>
              </c:strCache>
            </c:strRef>
          </c:cat>
          <c:val>
            <c:numRef>
              <c:f>Sheet1!$B$2:$C$2</c:f>
              <c:numCache>
                <c:formatCode>General</c:formatCode>
                <c:ptCount val="2"/>
                <c:pt idx="0">
                  <c:v>5914.7</c:v>
                </c:pt>
                <c:pt idx="1">
                  <c:v>6140.6</c:v>
                </c:pt>
              </c:numCache>
            </c:numRef>
          </c:val>
          <c:extLst>
            <c:ext xmlns:c16="http://schemas.microsoft.com/office/drawing/2014/chart" uri="{C3380CC4-5D6E-409C-BE32-E72D297353CC}">
              <c16:uniqueId val="{00000002-099E-434E-A84B-CE05DD65A95B}"/>
            </c:ext>
          </c:extLst>
        </c:ser>
        <c:ser>
          <c:idx val="1"/>
          <c:order val="1"/>
          <c:tx>
            <c:strRef>
              <c:f>Sheet1!$A$3</c:f>
              <c:strCache>
                <c:ptCount val="1"/>
                <c:pt idx="0">
                  <c:v>capital propriu</c:v>
                </c:pt>
              </c:strCache>
            </c:strRef>
          </c:tx>
          <c:spPr>
            <a:pattFill prst="wdDn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1">
              <a:solidFill>
                <a:srgbClr val="000000"/>
              </a:solidFill>
              <a:prstDash val="solid"/>
            </a:ln>
          </c:spPr>
          <c:invertIfNegative val="0"/>
          <c:dLbls>
            <c:dLbl>
              <c:idx val="0"/>
              <c:layout>
                <c:manualLayout>
                  <c:xMode val="edge"/>
                  <c:yMode val="edge"/>
                  <c:x val="0.2292768959435626"/>
                  <c:y val="6.993006993006993E-3"/>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9E-434E-A84B-CE05DD65A95B}"/>
                </c:ext>
              </c:extLst>
            </c:dLbl>
            <c:dLbl>
              <c:idx val="1"/>
              <c:layout>
                <c:manualLayout>
                  <c:xMode val="edge"/>
                  <c:yMode val="edge"/>
                  <c:x val="0.47971781305114636"/>
                  <c:y val="6.2937062937062943E-2"/>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9E-434E-A84B-CE05DD65A95B}"/>
                </c:ext>
              </c:extLst>
            </c:dLbl>
            <c:spPr>
              <a:noFill/>
              <a:ln w="25402">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 01.01.2017</c:v>
                </c:pt>
                <c:pt idx="1">
                  <c:v>la 31.12.2017</c:v>
                </c:pt>
              </c:strCache>
            </c:strRef>
          </c:cat>
          <c:val>
            <c:numRef>
              <c:f>Sheet1!$B$3:$C$3</c:f>
              <c:numCache>
                <c:formatCode>General</c:formatCode>
                <c:ptCount val="2"/>
                <c:pt idx="0">
                  <c:v>15953.6</c:v>
                </c:pt>
                <c:pt idx="1">
                  <c:v>15212.2</c:v>
                </c:pt>
              </c:numCache>
            </c:numRef>
          </c:val>
          <c:extLst>
            <c:ext xmlns:c16="http://schemas.microsoft.com/office/drawing/2014/chart" uri="{C3380CC4-5D6E-409C-BE32-E72D297353CC}">
              <c16:uniqueId val="{00000005-099E-434E-A84B-CE05DD65A95B}"/>
            </c:ext>
          </c:extLst>
        </c:ser>
        <c:dLbls>
          <c:showLegendKey val="0"/>
          <c:showVal val="0"/>
          <c:showCatName val="0"/>
          <c:showSerName val="0"/>
          <c:showPercent val="0"/>
          <c:showBubbleSize val="0"/>
        </c:dLbls>
        <c:gapWidth val="150"/>
        <c:gapDepth val="0"/>
        <c:shape val="box"/>
        <c:axId val="156820784"/>
        <c:axId val="1"/>
        <c:axId val="0"/>
      </c:bar3DChart>
      <c:catAx>
        <c:axId val="1568207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56820784"/>
        <c:crosses val="autoZero"/>
        <c:crossBetween val="between"/>
      </c:valAx>
      <c:spPr>
        <a:noFill/>
        <a:ln w="25402">
          <a:noFill/>
        </a:ln>
      </c:spPr>
    </c:plotArea>
    <c:legend>
      <c:legendPos val="r"/>
      <c:layout>
        <c:manualLayout>
          <c:xMode val="edge"/>
          <c:yMode val="edge"/>
          <c:x val="0.64726631393298062"/>
          <c:y val="0.32867132867132864"/>
          <c:w val="0.33686067019400351"/>
          <c:h val="0.26573426573426573"/>
        </c:manualLayout>
      </c:layout>
      <c:overlay val="0"/>
      <c:spPr>
        <a:no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26315789473684209"/>
          <c:y val="0.20779220779220781"/>
          <c:w val="0.73508771929824557"/>
          <c:h val="0.6558441558441559"/>
        </c:manualLayout>
      </c:layout>
      <c:bar3DChart>
        <c:barDir val="col"/>
        <c:grouping val="clustered"/>
        <c:varyColors val="0"/>
        <c:ser>
          <c:idx val="1"/>
          <c:order val="0"/>
          <c:tx>
            <c:strRef>
              <c:f>Sheet1!$A$3</c:f>
              <c:strCache>
                <c:ptCount val="1"/>
                <c:pt idx="0">
                  <c:v>creanţe pe termen lung</c:v>
                </c:pt>
              </c:strCache>
            </c:strRef>
          </c:tx>
          <c:spPr>
            <a:solidFill>
              <a:srgbClr val="9933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Sheet1!$B$3:$D$3</c:f>
              <c:numCache>
                <c:formatCode>General</c:formatCode>
                <c:ptCount val="2"/>
                <c:pt idx="0">
                  <c:v>1393.4</c:v>
                </c:pt>
                <c:pt idx="1">
                  <c:v>1313.3</c:v>
                </c:pt>
              </c:numCache>
            </c:numRef>
          </c:val>
          <c:extLst>
            <c:ext xmlns:c16="http://schemas.microsoft.com/office/drawing/2014/chart" uri="{C3380CC4-5D6E-409C-BE32-E72D297353CC}">
              <c16:uniqueId val="{00000000-99B4-408E-A96A-13C2F702CC6D}"/>
            </c:ext>
          </c:extLst>
        </c:ser>
        <c:ser>
          <c:idx val="2"/>
          <c:order val="1"/>
          <c:tx>
            <c:strRef>
              <c:f>Sheet1!$A$4</c:f>
              <c:strCache>
                <c:ptCount val="1"/>
                <c:pt idx="0">
                  <c:v>creanţe curente</c:v>
                </c:pt>
              </c:strCache>
            </c:strRef>
          </c:tx>
          <c:spPr>
            <a:pattFill prst="openDmnd">
              <a:fgClr>
                <a:srgbClr xmlns:mc="http://schemas.openxmlformats.org/markup-compatibility/2006" xmlns:a14="http://schemas.microsoft.com/office/drawing/2010/main" val="993300" mc:Ignorable="a14" a14:legacySpreadsheetColorIndex="6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Mode val="edge"/>
                  <c:yMode val="edge"/>
                  <c:x val="0.4"/>
                  <c:y val="0.40259740259740262"/>
                </c:manualLayout>
              </c:layout>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B4-408E-A96A-13C2F702CC6D}"/>
                </c:ext>
              </c:extLst>
            </c:dLbl>
            <c:dLbl>
              <c:idx val="1"/>
              <c:layout>
                <c:manualLayout>
                  <c:xMode val="edge"/>
                  <c:yMode val="edge"/>
                  <c:x val="0.69649122807017538"/>
                  <c:y val="0.45454545454545453"/>
                </c:manualLayout>
              </c:layout>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B4-408E-A96A-13C2F702CC6D}"/>
                </c:ext>
              </c:extLst>
            </c:dLbl>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Sheet1!$B$4:$D$4</c:f>
              <c:numCache>
                <c:formatCode>General</c:formatCode>
                <c:ptCount val="2"/>
                <c:pt idx="0">
                  <c:v>1860.8</c:v>
                </c:pt>
                <c:pt idx="1">
                  <c:v>1582.9</c:v>
                </c:pt>
              </c:numCache>
            </c:numRef>
          </c:val>
          <c:extLst>
            <c:ext xmlns:c16="http://schemas.microsoft.com/office/drawing/2014/chart" uri="{C3380CC4-5D6E-409C-BE32-E72D297353CC}">
              <c16:uniqueId val="{00000003-99B4-408E-A96A-13C2F702CC6D}"/>
            </c:ext>
          </c:extLst>
        </c:ser>
        <c:ser>
          <c:idx val="3"/>
          <c:order val="2"/>
          <c:tx>
            <c:strRef>
              <c:f>Sheet1!$A$5</c:f>
              <c:strCache>
                <c:ptCount val="1"/>
                <c:pt idx="0">
                  <c:v>datorii pe termen lung</c:v>
                </c:pt>
              </c:strCache>
            </c:strRef>
          </c:tx>
          <c:spPr>
            <a:pattFill prst="wdDnDiag">
              <a:fgClr>
                <a:srgbClr xmlns:mc="http://schemas.openxmlformats.org/markup-compatibility/2006" xmlns:a14="http://schemas.microsoft.com/office/drawing/2010/main" val="339966" mc:Ignorable="a14" a14:legacySpreadsheetColorIndex="57"/>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Mode val="edge"/>
                  <c:yMode val="edge"/>
                  <c:x val="0.46140350877192982"/>
                  <c:y val="0.18181818181818182"/>
                </c:manualLayout>
              </c:layout>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B4-408E-A96A-13C2F702CC6D}"/>
                </c:ext>
              </c:extLst>
            </c:dLbl>
            <c:dLbl>
              <c:idx val="1"/>
              <c:layout>
                <c:manualLayout>
                  <c:xMode val="edge"/>
                  <c:yMode val="edge"/>
                  <c:x val="0.73508771929824557"/>
                  <c:y val="0.11038961038961038"/>
                </c:manualLayout>
              </c:layout>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B4-408E-A96A-13C2F702CC6D}"/>
                </c:ext>
              </c:extLst>
            </c:dLbl>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Sheet1!$B$5:$D$5</c:f>
              <c:numCache>
                <c:formatCode>General</c:formatCode>
                <c:ptCount val="2"/>
                <c:pt idx="0">
                  <c:v>3139.6</c:v>
                </c:pt>
                <c:pt idx="1">
                  <c:v>3475.1</c:v>
                </c:pt>
              </c:numCache>
            </c:numRef>
          </c:val>
          <c:extLst>
            <c:ext xmlns:c16="http://schemas.microsoft.com/office/drawing/2014/chart" uri="{C3380CC4-5D6E-409C-BE32-E72D297353CC}">
              <c16:uniqueId val="{00000006-99B4-408E-A96A-13C2F702CC6D}"/>
            </c:ext>
          </c:extLst>
        </c:ser>
        <c:ser>
          <c:idx val="4"/>
          <c:order val="3"/>
          <c:tx>
            <c:strRef>
              <c:f>Sheet1!$A$6</c:f>
              <c:strCache>
                <c:ptCount val="1"/>
                <c:pt idx="0">
                  <c:v>datorii curente</c:v>
                </c:pt>
              </c:strCache>
            </c:strRef>
          </c:tx>
          <c:spPr>
            <a:pattFill prst="solidDmnd">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Mode val="edge"/>
                  <c:yMode val="edge"/>
                  <c:x val="0.5245614035087719"/>
                  <c:y val="0.17532467532467533"/>
                </c:manualLayout>
              </c:layout>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B4-408E-A96A-13C2F702CC6D}"/>
                </c:ext>
              </c:extLst>
            </c:dLbl>
            <c:dLbl>
              <c:idx val="1"/>
              <c:layout>
                <c:manualLayout>
                  <c:xMode val="edge"/>
                  <c:yMode val="edge"/>
                  <c:x val="0.80526315789473679"/>
                  <c:y val="0"/>
                </c:manualLayout>
              </c:layout>
              <c:spPr>
                <a:noFill/>
                <a:ln w="25399">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B4-408E-A96A-13C2F702CC6D}"/>
                </c:ext>
              </c:extLst>
            </c:dLbl>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Sheet1!$B$6:$D$6</c:f>
              <c:numCache>
                <c:formatCode>General</c:formatCode>
                <c:ptCount val="2"/>
                <c:pt idx="0" formatCode="0.0">
                  <c:v>3141</c:v>
                </c:pt>
                <c:pt idx="1">
                  <c:v>3411.7</c:v>
                </c:pt>
              </c:numCache>
            </c:numRef>
          </c:val>
          <c:extLst>
            <c:ext xmlns:c16="http://schemas.microsoft.com/office/drawing/2014/chart" uri="{C3380CC4-5D6E-409C-BE32-E72D297353CC}">
              <c16:uniqueId val="{00000009-99B4-408E-A96A-13C2F702CC6D}"/>
            </c:ext>
          </c:extLst>
        </c:ser>
        <c:dLbls>
          <c:showLegendKey val="0"/>
          <c:showVal val="0"/>
          <c:showCatName val="0"/>
          <c:showSerName val="0"/>
          <c:showPercent val="0"/>
          <c:showBubbleSize val="0"/>
        </c:dLbls>
        <c:gapWidth val="150"/>
        <c:gapDepth val="0"/>
        <c:shape val="box"/>
        <c:axId val="156822448"/>
        <c:axId val="1"/>
        <c:axId val="0"/>
      </c:bar3DChart>
      <c:catAx>
        <c:axId val="156822448"/>
        <c:scaling>
          <c:orientation val="minMax"/>
        </c:scaling>
        <c:delete val="0"/>
        <c:axPos val="b"/>
        <c:numFmt formatCode="m/d/yyyy"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
        <c:crosses val="autoZero"/>
        <c:auto val="0"/>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56822448"/>
        <c:crosses val="autoZero"/>
        <c:crossBetween val="between"/>
      </c:valAx>
      <c:spPr>
        <a:noFill/>
        <a:ln w="25399">
          <a:noFill/>
        </a:ln>
      </c:spPr>
    </c:plotArea>
    <c:legend>
      <c:legendPos val="r"/>
      <c:layout>
        <c:manualLayout>
          <c:xMode val="edge"/>
          <c:yMode val="edge"/>
          <c:x val="1.9298245614035089E-2"/>
          <c:y val="0.25974025974025972"/>
          <c:w val="0.25263157894736843"/>
          <c:h val="0.47402597402597402"/>
        </c:manualLayout>
      </c:layout>
      <c:overlay val="0"/>
      <c:spPr>
        <a:no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636684303350969E-3"/>
          <c:y val="9.0909090909090912E-2"/>
          <c:w val="0.67901234567901236"/>
          <c:h val="0.74125874125874125"/>
        </c:manualLayout>
      </c:layout>
      <c:bar3DChart>
        <c:barDir val="col"/>
        <c:grouping val="clustered"/>
        <c:varyColors val="0"/>
        <c:ser>
          <c:idx val="0"/>
          <c:order val="0"/>
          <c:tx>
            <c:strRef>
              <c:f>Sheet1!$A$2</c:f>
              <c:strCache>
                <c:ptCount val="1"/>
                <c:pt idx="0">
                  <c:v>capital social </c:v>
                </c:pt>
              </c:strCache>
            </c:strRef>
          </c:tx>
          <c:spPr>
            <a:solidFill>
              <a:srgbClr val="9999FF"/>
            </a:solidFill>
            <a:ln w="12701">
              <a:solidFill>
                <a:srgbClr val="000000"/>
              </a:solidFill>
              <a:prstDash val="solid"/>
            </a:ln>
          </c:spPr>
          <c:invertIfNegative val="0"/>
          <c:dLbls>
            <c:dLbl>
              <c:idx val="0"/>
              <c:layout>
                <c:manualLayout>
                  <c:xMode val="edge"/>
                  <c:yMode val="edge"/>
                  <c:x val="0.12169312169312169"/>
                  <c:y val="0.39160839160839161"/>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71-4865-B6FF-F771E8EB3CD3}"/>
                </c:ext>
              </c:extLst>
            </c:dLbl>
            <c:dLbl>
              <c:idx val="1"/>
              <c:layout>
                <c:manualLayout>
                  <c:xMode val="edge"/>
                  <c:yMode val="edge"/>
                  <c:x val="0.36860670194003525"/>
                  <c:y val="0.39160839160839161"/>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71-4865-B6FF-F771E8EB3CD3}"/>
                </c:ext>
              </c:extLst>
            </c:dLbl>
            <c:spPr>
              <a:noFill/>
              <a:ln w="25402">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 01.01.2017</c:v>
                </c:pt>
                <c:pt idx="1">
                  <c:v>la 31.12.2017</c:v>
                </c:pt>
              </c:strCache>
            </c:strRef>
          </c:cat>
          <c:val>
            <c:numRef>
              <c:f>Sheet1!$B$2:$C$2</c:f>
              <c:numCache>
                <c:formatCode>General</c:formatCode>
                <c:ptCount val="2"/>
                <c:pt idx="0">
                  <c:v>5914.7</c:v>
                </c:pt>
                <c:pt idx="1">
                  <c:v>6140.6</c:v>
                </c:pt>
              </c:numCache>
            </c:numRef>
          </c:val>
          <c:extLst>
            <c:ext xmlns:c16="http://schemas.microsoft.com/office/drawing/2014/chart" uri="{C3380CC4-5D6E-409C-BE32-E72D297353CC}">
              <c16:uniqueId val="{00000002-0A71-4865-B6FF-F771E8EB3CD3}"/>
            </c:ext>
          </c:extLst>
        </c:ser>
        <c:ser>
          <c:idx val="1"/>
          <c:order val="1"/>
          <c:tx>
            <c:strRef>
              <c:f>Sheet1!$A$3</c:f>
              <c:strCache>
                <c:ptCount val="1"/>
                <c:pt idx="0">
                  <c:v>capital propriu</c:v>
                </c:pt>
              </c:strCache>
            </c:strRef>
          </c:tx>
          <c:spPr>
            <a:pattFill prst="wdDn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1">
              <a:solidFill>
                <a:srgbClr val="000000"/>
              </a:solidFill>
              <a:prstDash val="solid"/>
            </a:ln>
          </c:spPr>
          <c:invertIfNegative val="0"/>
          <c:dLbls>
            <c:dLbl>
              <c:idx val="0"/>
              <c:layout>
                <c:manualLayout>
                  <c:xMode val="edge"/>
                  <c:yMode val="edge"/>
                  <c:x val="0.2292768959435626"/>
                  <c:y val="6.993006993006993E-3"/>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71-4865-B6FF-F771E8EB3CD3}"/>
                </c:ext>
              </c:extLst>
            </c:dLbl>
            <c:dLbl>
              <c:idx val="1"/>
              <c:layout>
                <c:manualLayout>
                  <c:xMode val="edge"/>
                  <c:yMode val="edge"/>
                  <c:x val="0.47971781305114636"/>
                  <c:y val="6.2937062937062943E-2"/>
                </c:manualLayout>
              </c:layout>
              <c:spPr>
                <a:noFill/>
                <a:ln w="25402">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71-4865-B6FF-F771E8EB3CD3}"/>
                </c:ext>
              </c:extLst>
            </c:dLbl>
            <c:spPr>
              <a:noFill/>
              <a:ln w="25402">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la 01.01.2017</c:v>
                </c:pt>
                <c:pt idx="1">
                  <c:v>la 31.12.2017</c:v>
                </c:pt>
              </c:strCache>
            </c:strRef>
          </c:cat>
          <c:val>
            <c:numRef>
              <c:f>Sheet1!$B$3:$C$3</c:f>
              <c:numCache>
                <c:formatCode>General</c:formatCode>
                <c:ptCount val="2"/>
                <c:pt idx="0">
                  <c:v>15953.6</c:v>
                </c:pt>
                <c:pt idx="1">
                  <c:v>15212.2</c:v>
                </c:pt>
              </c:numCache>
            </c:numRef>
          </c:val>
          <c:extLst>
            <c:ext xmlns:c16="http://schemas.microsoft.com/office/drawing/2014/chart" uri="{C3380CC4-5D6E-409C-BE32-E72D297353CC}">
              <c16:uniqueId val="{00000005-0A71-4865-B6FF-F771E8EB3CD3}"/>
            </c:ext>
          </c:extLst>
        </c:ser>
        <c:dLbls>
          <c:showLegendKey val="0"/>
          <c:showVal val="0"/>
          <c:showCatName val="0"/>
          <c:showSerName val="0"/>
          <c:showPercent val="0"/>
          <c:showBubbleSize val="0"/>
        </c:dLbls>
        <c:gapWidth val="150"/>
        <c:gapDepth val="0"/>
        <c:shape val="box"/>
        <c:axId val="156821616"/>
        <c:axId val="1"/>
        <c:axId val="0"/>
      </c:bar3DChart>
      <c:catAx>
        <c:axId val="156821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56821616"/>
        <c:crosses val="autoZero"/>
        <c:crossBetween val="between"/>
      </c:valAx>
      <c:spPr>
        <a:noFill/>
        <a:ln w="25402">
          <a:noFill/>
        </a:ln>
      </c:spPr>
    </c:plotArea>
    <c:legend>
      <c:legendPos val="r"/>
      <c:layout>
        <c:manualLayout>
          <c:xMode val="edge"/>
          <c:yMode val="edge"/>
          <c:x val="0.64726631393298062"/>
          <c:y val="0.32867132867132864"/>
          <c:w val="0.33686067019400351"/>
          <c:h val="0.26573426573426573"/>
        </c:manualLayout>
      </c:layout>
      <c:overlay val="0"/>
      <c:spPr>
        <a:no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26315789473684209"/>
          <c:y val="7.792207792207792E-2"/>
          <c:w val="0.73333333333333328"/>
          <c:h val="0.7857142857142857"/>
        </c:manualLayout>
      </c:layout>
      <c:bar3DChart>
        <c:barDir val="col"/>
        <c:grouping val="clustered"/>
        <c:varyColors val="0"/>
        <c:ser>
          <c:idx val="1"/>
          <c:order val="0"/>
          <c:tx>
            <c:strRef>
              <c:f>Sheet1!$A$3</c:f>
              <c:strCache>
                <c:ptCount val="1"/>
                <c:pt idx="0">
                  <c:v>creanţe pe termen lung</c:v>
                </c:pt>
              </c:strCache>
            </c:strRef>
          </c:tx>
          <c:spPr>
            <a:solidFill>
              <a:srgbClr val="993366"/>
            </a:solidFill>
            <a:ln w="12653">
              <a:solidFill>
                <a:srgbClr val="000000"/>
              </a:solidFill>
              <a:prstDash val="solid"/>
            </a:ln>
          </c:spPr>
          <c:invertIfNegative val="0"/>
          <c:dLbls>
            <c:dLbl>
              <c:idx val="0"/>
              <c:layout>
                <c:manualLayout>
                  <c:x val="-4.9261083743842365E-3"/>
                  <c:y val="-2.439017675238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B5-4322-8D4F-0F4D32F20BC2}"/>
                </c:ext>
              </c:extLst>
            </c:dLbl>
            <c:dLbl>
              <c:idx val="1"/>
              <c:layout>
                <c:manualLayout>
                  <c:x val="0"/>
                  <c:y val="-3.2520325203252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B5-4322-8D4F-0F4D32F20BC2}"/>
                </c:ext>
              </c:extLst>
            </c:dLbl>
            <c:spPr>
              <a:noFill/>
              <a:ln w="25306">
                <a:noFill/>
              </a:ln>
            </c:spPr>
            <c:txPr>
              <a:bodyPr wrap="square" lIns="38100" tIns="19050" rIns="38100" bIns="19050" anchor="ctr">
                <a:spAutoFit/>
              </a:bodyPr>
              <a:lstStyle/>
              <a:p>
                <a:pPr>
                  <a:defRPr sz="996"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Sheet1!$B$3:$D$3</c:f>
              <c:numCache>
                <c:formatCode>General</c:formatCode>
                <c:ptCount val="2"/>
                <c:pt idx="0">
                  <c:v>575.6</c:v>
                </c:pt>
                <c:pt idx="1">
                  <c:v>573.29999999999995</c:v>
                </c:pt>
              </c:numCache>
            </c:numRef>
          </c:val>
          <c:extLst>
            <c:ext xmlns:c16="http://schemas.microsoft.com/office/drawing/2014/chart" uri="{C3380CC4-5D6E-409C-BE32-E72D297353CC}">
              <c16:uniqueId val="{00000002-63B5-4322-8D4F-0F4D32F20BC2}"/>
            </c:ext>
          </c:extLst>
        </c:ser>
        <c:ser>
          <c:idx val="2"/>
          <c:order val="1"/>
          <c:tx>
            <c:strRef>
              <c:f>Sheet1!$A$4</c:f>
              <c:strCache>
                <c:ptCount val="1"/>
                <c:pt idx="0">
                  <c:v>creanţe curente</c:v>
                </c:pt>
              </c:strCache>
            </c:strRef>
          </c:tx>
          <c:spPr>
            <a:pattFill prst="openDmnd">
              <a:fgClr>
                <a:srgbClr xmlns:mc="http://schemas.openxmlformats.org/markup-compatibility/2006" xmlns:a14="http://schemas.microsoft.com/office/drawing/2010/main" val="993300" mc:Ignorable="a14" a14:legacySpreadsheetColorIndex="60"/>
              </a:fgClr>
              <a:bgClr>
                <a:srgbClr xmlns:mc="http://schemas.openxmlformats.org/markup-compatibility/2006" xmlns:a14="http://schemas.microsoft.com/office/drawing/2010/main" val="FFFFFF" mc:Ignorable="a14" a14:legacySpreadsheetColorIndex="9"/>
              </a:bgClr>
            </a:pattFill>
            <a:ln w="12653">
              <a:solidFill>
                <a:srgbClr val="000000"/>
              </a:solidFill>
              <a:prstDash val="solid"/>
            </a:ln>
          </c:spPr>
          <c:invertIfNegative val="0"/>
          <c:dLbls>
            <c:dLbl>
              <c:idx val="0"/>
              <c:layout>
                <c:manualLayout>
                  <c:x val="-8.9015166207672761E-3"/>
                  <c:y val="-3.4397885578987944E-2"/>
                </c:manualLayout>
              </c:layout>
              <c:tx>
                <c:rich>
                  <a:bodyPr/>
                  <a:lstStyle/>
                  <a:p>
                    <a:pPr>
                      <a:defRPr sz="996" b="0" i="0" u="none" strike="noStrike" baseline="0">
                        <a:solidFill>
                          <a:srgbClr val="000000"/>
                        </a:solidFill>
                        <a:latin typeface="Times New Roman"/>
                        <a:ea typeface="Times New Roman"/>
                        <a:cs typeface="Times New Roman"/>
                      </a:defRPr>
                    </a:pPr>
                    <a:r>
                      <a:rPr lang="en-US"/>
                      <a:t>2453,6</a:t>
                    </a:r>
                  </a:p>
                </c:rich>
              </c:tx>
              <c:spPr>
                <a:noFill/>
                <a:ln w="2530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B5-4322-8D4F-0F4D32F20BC2}"/>
                </c:ext>
              </c:extLst>
            </c:dLbl>
            <c:dLbl>
              <c:idx val="1"/>
              <c:layout>
                <c:manualLayout>
                  <c:x val="-1.0784686396959091E-2"/>
                  <c:y val="-1.6725400583668299E-2"/>
                </c:manualLayout>
              </c:layout>
              <c:tx>
                <c:rich>
                  <a:bodyPr/>
                  <a:lstStyle/>
                  <a:p>
                    <a:pPr>
                      <a:defRPr sz="996" b="0" i="0" u="none" strike="noStrike" baseline="0">
                        <a:solidFill>
                          <a:srgbClr val="000000"/>
                        </a:solidFill>
                        <a:latin typeface="Times New Roman"/>
                        <a:ea typeface="Times New Roman"/>
                        <a:cs typeface="Times New Roman"/>
                      </a:defRPr>
                    </a:pPr>
                    <a:r>
                      <a:rPr lang="en-US"/>
                      <a:t>2586,2</a:t>
                    </a:r>
                  </a:p>
                </c:rich>
              </c:tx>
              <c:spPr>
                <a:noFill/>
                <a:ln w="2530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B5-4322-8D4F-0F4D32F20BC2}"/>
                </c:ext>
              </c:extLst>
            </c:dLbl>
            <c:spPr>
              <a:noFill/>
              <a:ln w="25306">
                <a:noFill/>
              </a:ln>
            </c:spPr>
            <c:txPr>
              <a:bodyPr wrap="square" lIns="38100" tIns="19050" rIns="38100" bIns="19050" anchor="ctr">
                <a:spAutoFit/>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Sheet1!$B$4:$D$4</c:f>
              <c:numCache>
                <c:formatCode>General</c:formatCode>
                <c:ptCount val="2"/>
                <c:pt idx="0">
                  <c:v>2453.6</c:v>
                </c:pt>
                <c:pt idx="1">
                  <c:v>2586.1999999999998</c:v>
                </c:pt>
              </c:numCache>
            </c:numRef>
          </c:val>
          <c:extLst>
            <c:ext xmlns:c16="http://schemas.microsoft.com/office/drawing/2014/chart" uri="{C3380CC4-5D6E-409C-BE32-E72D297353CC}">
              <c16:uniqueId val="{00000005-63B5-4322-8D4F-0F4D32F20BC2}"/>
            </c:ext>
          </c:extLst>
        </c:ser>
        <c:ser>
          <c:idx val="3"/>
          <c:order val="2"/>
          <c:tx>
            <c:strRef>
              <c:f>Sheet1!$A$5</c:f>
              <c:strCache>
                <c:ptCount val="1"/>
                <c:pt idx="0">
                  <c:v>datorii pe termen lung</c:v>
                </c:pt>
              </c:strCache>
            </c:strRef>
          </c:tx>
          <c:spPr>
            <a:pattFill prst="wdDnDiag">
              <a:fgClr>
                <a:srgbClr xmlns:mc="http://schemas.openxmlformats.org/markup-compatibility/2006" xmlns:a14="http://schemas.microsoft.com/office/drawing/2010/main" val="339966" mc:Ignorable="a14" a14:legacySpreadsheetColorIndex="57"/>
              </a:fgClr>
              <a:bgClr>
                <a:srgbClr xmlns:mc="http://schemas.openxmlformats.org/markup-compatibility/2006" xmlns:a14="http://schemas.microsoft.com/office/drawing/2010/main" val="FFFFFF" mc:Ignorable="a14" a14:legacySpreadsheetColorIndex="9"/>
              </a:bgClr>
            </a:pattFill>
            <a:ln w="12653">
              <a:solidFill>
                <a:srgbClr val="000000"/>
              </a:solidFill>
              <a:prstDash val="solid"/>
            </a:ln>
          </c:spPr>
          <c:invertIfNegative val="0"/>
          <c:dLbls>
            <c:dLbl>
              <c:idx val="0"/>
              <c:layout>
                <c:manualLayout>
                  <c:x val="2.328633489779295E-2"/>
                  <c:y val="-2.709377236936291E-2"/>
                </c:manualLayout>
              </c:layout>
              <c:tx>
                <c:rich>
                  <a:bodyPr/>
                  <a:lstStyle/>
                  <a:p>
                    <a:pPr>
                      <a:defRPr sz="996" b="0" i="0" u="none" strike="noStrike" baseline="0">
                        <a:solidFill>
                          <a:srgbClr val="000000"/>
                        </a:solidFill>
                        <a:latin typeface="Times New Roman"/>
                        <a:ea typeface="Times New Roman"/>
                        <a:cs typeface="Times New Roman"/>
                      </a:defRPr>
                    </a:pPr>
                    <a:r>
                      <a:rPr lang="en-US"/>
                      <a:t>4256,9</a:t>
                    </a:r>
                  </a:p>
                </c:rich>
              </c:tx>
              <c:spPr>
                <a:noFill/>
                <a:ln w="2530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B5-4322-8D4F-0F4D32F20BC2}"/>
                </c:ext>
              </c:extLst>
            </c:dLbl>
            <c:dLbl>
              <c:idx val="1"/>
              <c:layout>
                <c:manualLayout>
                  <c:x val="2.4547535006400063E-2"/>
                  <c:y val="-4.3936870216397785E-2"/>
                </c:manualLayout>
              </c:layout>
              <c:tx>
                <c:rich>
                  <a:bodyPr/>
                  <a:lstStyle/>
                  <a:p>
                    <a:pPr>
                      <a:defRPr sz="996" b="0" i="0" u="none" strike="noStrike" baseline="0">
                        <a:solidFill>
                          <a:srgbClr val="000000"/>
                        </a:solidFill>
                        <a:latin typeface="Times New Roman"/>
                        <a:ea typeface="Times New Roman"/>
                        <a:cs typeface="Times New Roman"/>
                      </a:defRPr>
                    </a:pPr>
                    <a:r>
                      <a:rPr lang="en-US"/>
                      <a:t>4307,0</a:t>
                    </a:r>
                  </a:p>
                </c:rich>
              </c:tx>
              <c:spPr>
                <a:noFill/>
                <a:ln w="2530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B5-4322-8D4F-0F4D32F20BC2}"/>
                </c:ext>
              </c:extLst>
            </c:dLbl>
            <c:spPr>
              <a:noFill/>
              <a:ln w="25306">
                <a:noFill/>
              </a:ln>
            </c:spPr>
            <c:txPr>
              <a:bodyPr wrap="square" lIns="38100" tIns="19050" rIns="38100" bIns="19050" anchor="ctr">
                <a:spAutoFit/>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Sheet1!$B$5:$D$5</c:f>
              <c:numCache>
                <c:formatCode>General</c:formatCode>
                <c:ptCount val="2"/>
                <c:pt idx="0">
                  <c:v>4256.8999999999996</c:v>
                </c:pt>
                <c:pt idx="1">
                  <c:v>4307</c:v>
                </c:pt>
              </c:numCache>
            </c:numRef>
          </c:val>
          <c:extLst>
            <c:ext xmlns:c16="http://schemas.microsoft.com/office/drawing/2014/chart" uri="{C3380CC4-5D6E-409C-BE32-E72D297353CC}">
              <c16:uniqueId val="{00000008-63B5-4322-8D4F-0F4D32F20BC2}"/>
            </c:ext>
          </c:extLst>
        </c:ser>
        <c:ser>
          <c:idx val="4"/>
          <c:order val="3"/>
          <c:tx>
            <c:strRef>
              <c:f>Sheet1!$A$6</c:f>
              <c:strCache>
                <c:ptCount val="1"/>
                <c:pt idx="0">
                  <c:v>datorii curente</c:v>
                </c:pt>
              </c:strCache>
            </c:strRef>
          </c:tx>
          <c:spPr>
            <a:pattFill prst="solidDmnd">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653">
              <a:solidFill>
                <a:srgbClr val="000000"/>
              </a:solidFill>
              <a:prstDash val="solid"/>
            </a:ln>
          </c:spPr>
          <c:invertIfNegative val="0"/>
          <c:dLbls>
            <c:dLbl>
              <c:idx val="0"/>
              <c:layout>
                <c:manualLayout>
                  <c:x val="3.0305651448741321E-2"/>
                  <c:y val="-2.4319283079125637E-2"/>
                </c:manualLayout>
              </c:layout>
              <c:spPr>
                <a:noFill/>
                <a:ln w="25306">
                  <a:noFill/>
                </a:ln>
              </c:spPr>
              <c:txPr>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B5-4322-8D4F-0F4D32F20BC2}"/>
                </c:ext>
              </c:extLst>
            </c:dLbl>
            <c:dLbl>
              <c:idx val="1"/>
              <c:layout>
                <c:manualLayout>
                  <c:x val="3.7676195647957801E-2"/>
                  <c:y val="-3.107620725730962E-2"/>
                </c:manualLayout>
              </c:layout>
              <c:tx>
                <c:rich>
                  <a:bodyPr/>
                  <a:lstStyle/>
                  <a:p>
                    <a:pPr>
                      <a:defRPr sz="996" b="0" i="0" u="none" strike="noStrike" baseline="0">
                        <a:solidFill>
                          <a:srgbClr val="000000"/>
                        </a:solidFill>
                        <a:latin typeface="Times New Roman"/>
                        <a:ea typeface="Times New Roman"/>
                        <a:cs typeface="Times New Roman"/>
                      </a:defRPr>
                    </a:pPr>
                    <a:r>
                      <a:rPr lang="en-US"/>
                      <a:t>2619,0</a:t>
                    </a:r>
                  </a:p>
                </c:rich>
              </c:tx>
              <c:spPr>
                <a:noFill/>
                <a:ln w="25306">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3B5-4322-8D4F-0F4D32F20BC2}"/>
                </c:ext>
              </c:extLst>
            </c:dLbl>
            <c:spPr>
              <a:noFill/>
              <a:ln w="25306">
                <a:noFill/>
              </a:ln>
            </c:spPr>
            <c:txPr>
              <a:bodyPr wrap="square" lIns="38100" tIns="19050" rIns="38100" bIns="19050" anchor="ctr">
                <a:spAutoFit/>
              </a:bodyPr>
              <a:lstStyle/>
              <a:p>
                <a:pPr>
                  <a:defRPr sz="99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m/d/yyyy</c:formatCode>
                <c:ptCount val="2"/>
                <c:pt idx="0">
                  <c:v>42736</c:v>
                </c:pt>
                <c:pt idx="1">
                  <c:v>43100</c:v>
                </c:pt>
              </c:numCache>
            </c:numRef>
          </c:cat>
          <c:val>
            <c:numRef>
              <c:f>Sheet1!$B$6:$D$6</c:f>
              <c:numCache>
                <c:formatCode>0.0</c:formatCode>
                <c:ptCount val="2"/>
                <c:pt idx="0" formatCode="General">
                  <c:v>2887.7</c:v>
                </c:pt>
                <c:pt idx="1">
                  <c:v>2619</c:v>
                </c:pt>
              </c:numCache>
            </c:numRef>
          </c:val>
          <c:extLst>
            <c:ext xmlns:c16="http://schemas.microsoft.com/office/drawing/2014/chart" uri="{C3380CC4-5D6E-409C-BE32-E72D297353CC}">
              <c16:uniqueId val="{0000000B-63B5-4322-8D4F-0F4D32F20BC2}"/>
            </c:ext>
          </c:extLst>
        </c:ser>
        <c:dLbls>
          <c:showLegendKey val="0"/>
          <c:showVal val="0"/>
          <c:showCatName val="0"/>
          <c:showSerName val="0"/>
          <c:showPercent val="0"/>
          <c:showBubbleSize val="0"/>
        </c:dLbls>
        <c:gapWidth val="150"/>
        <c:gapDepth val="0"/>
        <c:shape val="box"/>
        <c:axId val="156823280"/>
        <c:axId val="1"/>
        <c:axId val="0"/>
      </c:bar3DChart>
      <c:catAx>
        <c:axId val="156823280"/>
        <c:scaling>
          <c:orientation val="minMax"/>
        </c:scaling>
        <c:delete val="0"/>
        <c:axPos val="b"/>
        <c:numFmt formatCode="m/d/yyyy" sourceLinked="1"/>
        <c:majorTickMark val="out"/>
        <c:minorTickMark val="none"/>
        <c:tickLblPos val="low"/>
        <c:spPr>
          <a:ln w="3163">
            <a:solidFill>
              <a:srgbClr val="000000"/>
            </a:solidFill>
            <a:prstDash val="solid"/>
          </a:ln>
        </c:spPr>
        <c:txPr>
          <a:bodyPr rot="0" vert="horz"/>
          <a:lstStyle/>
          <a:p>
            <a:pPr>
              <a:defRPr sz="822" b="1" i="0" u="none" strike="noStrike" baseline="0">
                <a:solidFill>
                  <a:srgbClr val="000000"/>
                </a:solidFill>
                <a:latin typeface="Times New Roman"/>
                <a:ea typeface="Times New Roman"/>
                <a:cs typeface="Times New Roman"/>
              </a:defRPr>
            </a:pPr>
            <a:endParaRPr lang="ru-RU"/>
          </a:p>
        </c:txPr>
        <c:crossAx val="1"/>
        <c:crosses val="autoZero"/>
        <c:auto val="0"/>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56823280"/>
        <c:crosses val="autoZero"/>
        <c:crossBetween val="between"/>
      </c:valAx>
      <c:spPr>
        <a:noFill/>
        <a:ln w="25308">
          <a:noFill/>
        </a:ln>
      </c:spPr>
    </c:plotArea>
    <c:legend>
      <c:legendPos val="r"/>
      <c:layout>
        <c:manualLayout>
          <c:xMode val="edge"/>
          <c:yMode val="edge"/>
          <c:wMode val="edge"/>
          <c:hMode val="edge"/>
          <c:x val="1.9298209192777457E-2"/>
          <c:y val="0.35814180570086085"/>
          <c:w val="0.27192985057658753"/>
          <c:h val="0.68356661710992417"/>
        </c:manualLayout>
      </c:layout>
      <c:overlay val="0"/>
      <c:spPr>
        <a:noFill/>
        <a:ln w="3163">
          <a:solidFill>
            <a:srgbClr val="000000"/>
          </a:solidFill>
          <a:prstDash val="solid"/>
        </a:ln>
      </c:spPr>
      <c:txPr>
        <a:bodyPr/>
        <a:lstStyle/>
        <a:p>
          <a:pPr>
            <a:defRPr sz="73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D103-0136-43C3-B1B1-0EEA1838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11261</Words>
  <Characters>64192</Characters>
  <Application>Microsoft Office Word</Application>
  <DocSecurity>0</DocSecurity>
  <Lines>534</Lines>
  <Paragraphs>150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Notă analitică</vt:lpstr>
      <vt:lpstr>Notă analitică</vt:lpstr>
    </vt:vector>
  </TitlesOfParts>
  <Company>a</Company>
  <LinksUpToDate>false</LinksUpToDate>
  <CharactersWithSpaces>75303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analitică</dc:title>
  <dc:subject/>
  <dc:creator>VCOZMA</dc:creator>
  <cp:keywords/>
  <dc:description/>
  <cp:lastModifiedBy>Chirila Veronica</cp:lastModifiedBy>
  <cp:revision>2</cp:revision>
  <cp:lastPrinted>2018-11-08T07:58:00Z</cp:lastPrinted>
  <dcterms:created xsi:type="dcterms:W3CDTF">2018-11-14T07:37:00Z</dcterms:created>
  <dcterms:modified xsi:type="dcterms:W3CDTF">2018-11-14T07:37:00Z</dcterms:modified>
</cp:coreProperties>
</file>