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35217F" w:rsidRDefault="00D22FE7" w:rsidP="005114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217F">
        <w:rPr>
          <w:rFonts w:ascii="Times New Roman" w:hAnsi="Times New Roman"/>
          <w:b/>
          <w:sz w:val="26"/>
          <w:szCs w:val="26"/>
        </w:rPr>
        <w:t>Notă informativă</w:t>
      </w:r>
    </w:p>
    <w:p w:rsidR="0051146B" w:rsidRPr="0035217F" w:rsidRDefault="00F64C86" w:rsidP="00BE1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17F">
        <w:rPr>
          <w:rFonts w:ascii="Times New Roman" w:hAnsi="Times New Roman"/>
          <w:b/>
          <w:sz w:val="26"/>
          <w:szCs w:val="26"/>
        </w:rPr>
        <w:t xml:space="preserve">la </w:t>
      </w:r>
      <w:r w:rsidR="00767B8D" w:rsidRPr="0035217F">
        <w:rPr>
          <w:rFonts w:ascii="Times New Roman" w:hAnsi="Times New Roman"/>
          <w:b/>
          <w:sz w:val="26"/>
          <w:szCs w:val="26"/>
        </w:rPr>
        <w:t xml:space="preserve">proiectul </w:t>
      </w:r>
      <w:r w:rsidR="00BE1010" w:rsidRPr="0035217F">
        <w:rPr>
          <w:rFonts w:ascii="Times New Roman" w:hAnsi="Times New Roman"/>
          <w:b/>
          <w:sz w:val="26"/>
          <w:szCs w:val="26"/>
        </w:rPr>
        <w:t>”</w:t>
      </w:r>
      <w:proofErr w:type="spellStart"/>
      <w:r w:rsidR="00BE1010" w:rsidRPr="0035217F">
        <w:rPr>
          <w:rFonts w:ascii="Times New Roman" w:hAnsi="Times New Roman" w:cs="Times New Roman"/>
          <w:b/>
          <w:color w:val="000000"/>
          <w:sz w:val="26"/>
          <w:szCs w:val="26"/>
        </w:rPr>
        <w:t>Indicaţiilor</w:t>
      </w:r>
      <w:proofErr w:type="spellEnd"/>
      <w:r w:rsidR="00BE1010" w:rsidRPr="003521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metodice privind contabilitatea pentru persoanele fizice care desfășoară activitate profesională</w:t>
      </w:r>
      <w:r w:rsidR="00BE1010" w:rsidRPr="0035217F">
        <w:rPr>
          <w:rFonts w:ascii="Times New Roman" w:hAnsi="Times New Roman" w:cs="Times New Roman"/>
          <w:b/>
          <w:sz w:val="26"/>
          <w:szCs w:val="26"/>
        </w:rPr>
        <w:t xml:space="preserve"> în </w:t>
      </w:r>
      <w:r w:rsidR="00BE1010" w:rsidRPr="0035217F">
        <w:rPr>
          <w:rFonts w:ascii="Times New Roman" w:hAnsi="Times New Roman" w:cs="Times New Roman"/>
          <w:b/>
          <w:bCs/>
          <w:sz w:val="26"/>
          <w:szCs w:val="26"/>
        </w:rPr>
        <w:t>sectorul justiției</w:t>
      </w:r>
      <w:r w:rsidR="00767B8D" w:rsidRPr="0035217F">
        <w:rPr>
          <w:rFonts w:ascii="Times New Roman" w:hAnsi="Times New Roman" w:cs="Times New Roman"/>
          <w:b/>
          <w:sz w:val="26"/>
          <w:szCs w:val="26"/>
        </w:rPr>
        <w:t>”</w:t>
      </w:r>
    </w:p>
    <w:p w:rsidR="00767B8D" w:rsidRPr="00A66F8A" w:rsidRDefault="00767B8D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gril"/>
        <w:tblW w:w="9952" w:type="dxa"/>
        <w:tblInd w:w="-176" w:type="dxa"/>
        <w:tblLook w:val="04A0" w:firstRow="1" w:lastRow="0" w:firstColumn="1" w:lastColumn="0" w:noHBand="0" w:noVBand="1"/>
      </w:tblPr>
      <w:tblGrid>
        <w:gridCol w:w="9952"/>
      </w:tblGrid>
      <w:tr w:rsidR="00F64C86" w:rsidRPr="00A66F8A" w:rsidTr="00A66F8A">
        <w:tc>
          <w:tcPr>
            <w:tcW w:w="9952" w:type="dxa"/>
          </w:tcPr>
          <w:p w:rsidR="00F64C86" w:rsidRPr="0035217F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>1. Denumirea autorului și, după caz, a participanților la elaborarea proiectului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767B8D" w:rsidP="00EB30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B3016" w:rsidRPr="0035217F">
              <w:rPr>
                <w:rFonts w:ascii="Times New Roman" w:hAnsi="Times New Roman" w:cs="Times New Roman"/>
                <w:sz w:val="26"/>
                <w:szCs w:val="26"/>
              </w:rPr>
              <w:t>Ministerul Finanțelor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5F5A04" w:rsidP="00EB3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EB3016"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Condițiile ce au impus elaborarea proiectului de act normativ și finalitățile urmărite 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767B8D" w:rsidP="00DA1D4A">
            <w:pPr>
              <w:pStyle w:val="tt"/>
              <w:ind w:firstLine="567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35217F">
              <w:rPr>
                <w:b w:val="0"/>
                <w:sz w:val="26"/>
                <w:szCs w:val="26"/>
              </w:rPr>
              <w:t>Necesitatea</w:t>
            </w:r>
            <w:proofErr w:type="spellEnd"/>
            <w:r w:rsidRPr="0035217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b w:val="0"/>
                <w:sz w:val="26"/>
                <w:szCs w:val="26"/>
              </w:rPr>
              <w:t>elaborării</w:t>
            </w:r>
            <w:proofErr w:type="spellEnd"/>
            <w:r w:rsidRPr="0035217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BE1010" w:rsidRPr="0035217F">
              <w:rPr>
                <w:b w:val="0"/>
                <w:color w:val="000000"/>
                <w:sz w:val="26"/>
                <w:szCs w:val="26"/>
                <w:lang w:val="ro-RO"/>
              </w:rPr>
              <w:t>Indicaţii</w:t>
            </w:r>
            <w:r w:rsidR="00BE1010" w:rsidRPr="0035217F">
              <w:rPr>
                <w:b w:val="0"/>
                <w:color w:val="000000"/>
                <w:sz w:val="26"/>
                <w:szCs w:val="26"/>
              </w:rPr>
              <w:t>lor</w:t>
            </w:r>
            <w:proofErr w:type="spellEnd"/>
            <w:r w:rsidR="00BE1010" w:rsidRPr="0035217F">
              <w:rPr>
                <w:b w:val="0"/>
                <w:color w:val="000000"/>
                <w:sz w:val="26"/>
                <w:szCs w:val="26"/>
                <w:lang w:val="ro-RO"/>
              </w:rPr>
              <w:t xml:space="preserve"> metodice privind contabilitatea pentru persoanele fizice care desfășoară activitate profesională</w:t>
            </w:r>
            <w:r w:rsidR="00BE1010" w:rsidRPr="0035217F">
              <w:rPr>
                <w:b w:val="0"/>
                <w:bCs w:val="0"/>
                <w:sz w:val="26"/>
                <w:szCs w:val="26"/>
                <w:lang w:val="ro-RO"/>
              </w:rPr>
              <w:t xml:space="preserve"> în sectorul justiției</w:t>
            </w:r>
            <w:r w:rsidRPr="0035217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b w:val="0"/>
                <w:sz w:val="26"/>
                <w:szCs w:val="26"/>
              </w:rPr>
              <w:t>este</w:t>
            </w:r>
            <w:proofErr w:type="spellEnd"/>
            <w:r w:rsidRPr="0035217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b w:val="0"/>
                <w:sz w:val="26"/>
                <w:szCs w:val="26"/>
              </w:rPr>
              <w:t>generată</w:t>
            </w:r>
            <w:proofErr w:type="spellEnd"/>
            <w:r w:rsidRPr="0035217F">
              <w:rPr>
                <w:b w:val="0"/>
                <w:sz w:val="26"/>
                <w:szCs w:val="26"/>
              </w:rPr>
              <w:t xml:space="preserve"> de </w:t>
            </w:r>
            <w:proofErr w:type="spellStart"/>
            <w:r w:rsidRPr="0035217F">
              <w:rPr>
                <w:b w:val="0"/>
                <w:sz w:val="26"/>
                <w:szCs w:val="26"/>
              </w:rPr>
              <w:t>prevederile</w:t>
            </w:r>
            <w:proofErr w:type="spellEnd"/>
            <w:r w:rsidRPr="0035217F">
              <w:rPr>
                <w:b w:val="0"/>
                <w:sz w:val="26"/>
                <w:szCs w:val="26"/>
              </w:rPr>
              <w:t xml:space="preserve"> </w:t>
            </w:r>
            <w:r w:rsidR="00BE1010" w:rsidRPr="0035217F">
              <w:rPr>
                <w:b w:val="0"/>
                <w:bCs w:val="0"/>
                <w:sz w:val="26"/>
                <w:szCs w:val="26"/>
                <w:lang w:val="ro-RO"/>
              </w:rPr>
              <w:t>art. 5 alin. (6) al  Legii contabilității și raportării financiare nr.287 din 15.12.2017 (care intră în vigoare la data de 1 ianuarie 2019).</w:t>
            </w:r>
          </w:p>
          <w:p w:rsidR="00112A46" w:rsidRPr="0035217F" w:rsidRDefault="00112A46" w:rsidP="00DA1D4A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Art. 56 alin. (3) al Legii nr. 100 din 22.12.2017 cu privire la actele normative prevede, că intrarea în vigoare a actelor normative poate fi stabilită pentru o altă dată doar în cazul în care se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urmăreşte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protecţia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drepturilor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libertăţilor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fundamentale ale omului, realizarea angajamentelor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internaţionale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ale Republicii Moldova, conformarea cadrului normativ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hotărîrilor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Curţii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Constituţionale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, eliminarea unor lacune din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legislaţie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sau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contradicţii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între actele normative ori dacă există alte </w:t>
            </w:r>
            <w:proofErr w:type="spellStart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circumstanţe</w:t>
            </w:r>
            <w:proofErr w:type="spellEnd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obiective. </w:t>
            </w:r>
          </w:p>
          <w:p w:rsidR="00112A46" w:rsidRPr="0035217F" w:rsidRDefault="00BE1010" w:rsidP="00DA1D4A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Prin urmare, punctul 51</w:t>
            </w:r>
            <w:r w:rsidR="00112A46"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al proiectului prevede, că acesta intră în vigoare din data </w:t>
            </w: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de 1 ianuarie 2019</w:t>
            </w:r>
            <w:r w:rsidR="00112A46"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, pentru a nu fi periclitat procesul de  realizare a prevederilor art. </w:t>
            </w:r>
            <w:r w:rsidRPr="0035217F">
              <w:rPr>
                <w:rFonts w:ascii="Times New Roman" w:hAnsi="Times New Roman" w:cs="Times New Roman"/>
                <w:bCs/>
                <w:sz w:val="26"/>
                <w:szCs w:val="26"/>
              </w:rPr>
              <w:t>5 alin. (6) al  Legii contabilității și raportării financiare nr.287 din 15.12.2017</w:t>
            </w:r>
            <w:r w:rsidR="00112A46" w:rsidRPr="00352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C97F7C" w:rsidP="005E6B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5E6BC3"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Principalele prevederi ale proiectului și evidențierea elementelor noi</w:t>
            </w:r>
          </w:p>
        </w:tc>
      </w:tr>
      <w:tr w:rsidR="00F64C86" w:rsidRPr="00A66F8A" w:rsidTr="00A66F8A">
        <w:tc>
          <w:tcPr>
            <w:tcW w:w="9952" w:type="dxa"/>
          </w:tcPr>
          <w:p w:rsidR="0035217F" w:rsidRPr="0035217F" w:rsidRDefault="00277A43" w:rsidP="00DA1D4A">
            <w:pPr>
              <w:widowControl w:val="0"/>
              <w:tabs>
                <w:tab w:val="left" w:pos="525"/>
                <w:tab w:val="left" w:pos="851"/>
              </w:tabs>
              <w:suppressAutoHyphens/>
              <w:ind w:firstLine="48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Principalele prevederi ale</w:t>
            </w:r>
            <w:r w:rsidR="00BE1010" w:rsidRPr="003521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proofErr w:type="spellStart"/>
            <w:r w:rsidR="00BE1010" w:rsidRPr="00352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Indicaţiilor</w:t>
            </w:r>
            <w:proofErr w:type="spellEnd"/>
            <w:r w:rsidR="00BE1010" w:rsidRPr="00352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metodice privind contabilitatea pentru persoanele fizice care desfășoară activitate profesională</w:t>
            </w:r>
            <w:r w:rsidR="00BE1010"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în </w:t>
            </w:r>
            <w:r w:rsidR="00BE1010" w:rsidRPr="003521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sectorul justiției este </w:t>
            </w:r>
            <w:r w:rsidR="001553A4" w:rsidRPr="003521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stabilirea regulilor de ținere </w:t>
            </w:r>
            <w:r w:rsidR="00BE1010" w:rsidRPr="003521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contabilității </w:t>
            </w:r>
            <w:r w:rsidR="001553A4" w:rsidRPr="0035217F">
              <w:rPr>
                <w:rFonts w:ascii="Times New Roman" w:hAnsi="Times New Roman" w:cs="Times New Roman"/>
                <w:bCs/>
                <w:sz w:val="26"/>
                <w:szCs w:val="26"/>
              </w:rPr>
              <w:t>pentru</w:t>
            </w:r>
            <w:r w:rsidR="00BE1010" w:rsidRPr="003521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</w:t>
            </w:r>
            <w:r w:rsidR="00BE1010"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persoanele fizice care </w:t>
            </w:r>
            <w:proofErr w:type="spellStart"/>
            <w:r w:rsidR="00BE1010" w:rsidRPr="0035217F">
              <w:rPr>
                <w:rFonts w:ascii="Times New Roman" w:hAnsi="Times New Roman" w:cs="Times New Roman"/>
                <w:sz w:val="26"/>
                <w:szCs w:val="26"/>
              </w:rPr>
              <w:t>desfăşoară</w:t>
            </w:r>
            <w:proofErr w:type="spellEnd"/>
            <w:r w:rsidR="00BE1010"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 activitate </w:t>
            </w:r>
            <w:r w:rsidR="001553A4" w:rsidRPr="0035217F">
              <w:rPr>
                <w:rFonts w:ascii="Times New Roman" w:hAnsi="Times New Roman" w:cs="Times New Roman"/>
                <w:sz w:val="26"/>
                <w:szCs w:val="26"/>
              </w:rPr>
              <w:t>profesională în sectorul justiției</w:t>
            </w:r>
            <w:r w:rsidR="0048369F">
              <w:rPr>
                <w:rFonts w:ascii="Times New Roman" w:hAnsi="Times New Roman" w:cs="Times New Roman"/>
                <w:sz w:val="26"/>
                <w:szCs w:val="26"/>
              </w:rPr>
              <w:t>, care aplică metoda de casă</w:t>
            </w:r>
            <w:r w:rsidR="0035217F" w:rsidRPr="00352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și se încadrează în următoarele categorii</w:t>
            </w:r>
            <w:r w:rsidR="0035217F" w:rsidRPr="003521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35217F" w:rsidRPr="0035217F" w:rsidRDefault="0035217F" w:rsidP="00DA1D4A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0"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notari, care activează în baza Legii nr. 69 din 14.04.2016 cu privire la organizarea activității notarilor; </w:t>
            </w:r>
          </w:p>
          <w:p w:rsidR="0035217F" w:rsidRPr="0035217F" w:rsidRDefault="0035217F" w:rsidP="00DA1D4A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0"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 xml:space="preserve">avocați, care activează în baza Legii nr. 1260-XV din 19.07.2002 cu privire la avocatură; </w:t>
            </w:r>
          </w:p>
          <w:p w:rsidR="0035217F" w:rsidRPr="0035217F" w:rsidRDefault="0035217F" w:rsidP="00DA1D4A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0"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executori judecătorești, care activează în baza Legii nr. 113 din 17.06.2010 privind executorii judecătorești;</w:t>
            </w:r>
          </w:p>
          <w:p w:rsidR="0035217F" w:rsidRPr="0035217F" w:rsidRDefault="0035217F" w:rsidP="00DA1D4A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0"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mediatori, care activează în baza Legii nr. 137 din 03.07.2015 cu privire la mediere;</w:t>
            </w:r>
          </w:p>
          <w:p w:rsidR="0035217F" w:rsidRPr="0035217F" w:rsidRDefault="0035217F" w:rsidP="00DA1D4A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0"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administratori autorizați, care activează în baza Legii nr. 161 din 18.07.2014 cu privire la administratorii autorizați.</w:t>
            </w:r>
          </w:p>
          <w:p w:rsidR="000C0FB6" w:rsidRPr="0035217F" w:rsidRDefault="0035217F" w:rsidP="00DA1D4A">
            <w:pPr>
              <w:widowControl w:val="0"/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60" w:firstLine="48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</w:t>
            </w:r>
            <w:r w:rsidR="000C0FB6" w:rsidRPr="00352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ndicaţii</w:t>
            </w:r>
            <w:r w:rsidRPr="00352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</w:t>
            </w:r>
            <w:proofErr w:type="spellEnd"/>
            <w:r w:rsidR="000C0FB6" w:rsidRPr="00352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metodice nu se aplică de către persoanele fizice/juridice care țin contabilitatea în partidă dublă, în baza contabilității de angajamente conform standardelor de contabilitate, inclusiv</w:t>
            </w:r>
            <w:r w:rsidR="000C0FB6" w:rsidRPr="00352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birourile asociate de avocați, organizațiile de mediere.</w:t>
            </w:r>
          </w:p>
          <w:p w:rsidR="0035217F" w:rsidRPr="0035217F" w:rsidRDefault="0035217F" w:rsidP="00DA1D4A">
            <w:pPr>
              <w:widowControl w:val="0"/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60" w:firstLine="48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Actul normativ cuprinde prevederi referitor la regulile de ținere a contabilității, documentarea operațiunilor economice, contabilitatea veniturilor și cheltuielilor, contabilitatea proprietății pentru care se calculează amortizarea, contabilitatea stocurilor, contabilitatea numerarului, inventarierea patrimoniului și rapoartele persoanei fizice.</w:t>
            </w:r>
          </w:p>
          <w:p w:rsidR="0035217F" w:rsidRPr="0035217F" w:rsidRDefault="0035217F" w:rsidP="00DA1D4A">
            <w:pPr>
              <w:widowControl w:val="0"/>
              <w:tabs>
                <w:tab w:val="left" w:pos="0"/>
                <w:tab w:val="left" w:pos="360"/>
                <w:tab w:val="left" w:pos="525"/>
                <w:tab w:val="left" w:pos="851"/>
                <w:tab w:val="left" w:pos="900"/>
              </w:tabs>
              <w:suppressAutoHyphens/>
              <w:ind w:left="60" w:firstLine="48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52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 asemenea indicațiile metodice conțin exemple practice de contabilizare a operațiunilor economice specifice sectorului justiției.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2A199F" w:rsidP="002A19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>4.Fundamentarea economico-financiară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DA1D4A" w:rsidP="00DA1D4A">
            <w:pPr>
              <w:ind w:firstLine="486"/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I</w:t>
            </w:r>
            <w:r w:rsidR="00F93612" w:rsidRPr="003521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mplementarea prezentului proiect nu va necesita cheltuieli financiare de la bugetul de stat</w:t>
            </w:r>
          </w:p>
          <w:p w:rsidR="006F68F4" w:rsidRPr="0035217F" w:rsidRDefault="006F68F4" w:rsidP="00F936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C86" w:rsidRPr="00A66F8A" w:rsidTr="00A66F8A">
        <w:tc>
          <w:tcPr>
            <w:tcW w:w="9952" w:type="dxa"/>
          </w:tcPr>
          <w:p w:rsidR="00F93612" w:rsidRPr="0035217F" w:rsidRDefault="00F93612" w:rsidP="00F936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17F">
              <w:rPr>
                <w:rFonts w:ascii="Times New Roman" w:hAnsi="Times New Roman" w:cs="Times New Roman"/>
                <w:b/>
                <w:sz w:val="26"/>
                <w:szCs w:val="26"/>
              </w:rPr>
              <w:t>5. Modul de încorporare a actului în cadrul normativ în vigoare</w:t>
            </w:r>
          </w:p>
        </w:tc>
      </w:tr>
      <w:tr w:rsidR="00F64C86" w:rsidRPr="00A66F8A" w:rsidTr="00A66F8A">
        <w:tc>
          <w:tcPr>
            <w:tcW w:w="9952" w:type="dxa"/>
          </w:tcPr>
          <w:p w:rsidR="00F64C86" w:rsidRPr="0035217F" w:rsidRDefault="00F93612" w:rsidP="00DA1D4A">
            <w:pPr>
              <w:ind w:firstLine="4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5217F">
              <w:rPr>
                <w:rFonts w:ascii="Times New Roman" w:hAnsi="Times New Roman" w:cs="Times New Roman"/>
                <w:sz w:val="26"/>
                <w:szCs w:val="26"/>
              </w:rPr>
              <w:t>Urmare aprobării proiectului, nu va apărea necesitatea modificării sau abrogării unor acte normative.</w:t>
            </w:r>
          </w:p>
        </w:tc>
      </w:tr>
    </w:tbl>
    <w:p w:rsidR="006F68F4" w:rsidRPr="00A66F8A" w:rsidRDefault="006F68F4" w:rsidP="0035217F">
      <w:pPr>
        <w:rPr>
          <w:rFonts w:ascii="Times New Roman" w:hAnsi="Times New Roman"/>
          <w:b/>
          <w:sz w:val="28"/>
          <w:szCs w:val="28"/>
        </w:rPr>
      </w:pPr>
    </w:p>
    <w:p w:rsidR="00767B8D" w:rsidRDefault="0035217F" w:rsidP="00767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SECRETAR GENERAL DE STAT</w:t>
      </w:r>
      <w:r w:rsidR="00767B8D" w:rsidRPr="00A66F8A">
        <w:rPr>
          <w:rFonts w:ascii="Times New Roman" w:hAnsi="Times New Roman"/>
          <w:b/>
          <w:sz w:val="28"/>
          <w:szCs w:val="28"/>
        </w:rPr>
        <w:t xml:space="preserve">    </w:t>
      </w:r>
      <w:r w:rsidR="006F68F4">
        <w:rPr>
          <w:rFonts w:ascii="Times New Roman" w:hAnsi="Times New Roman"/>
          <w:b/>
          <w:sz w:val="28"/>
          <w:szCs w:val="28"/>
        </w:rPr>
        <w:t xml:space="preserve">    </w:t>
      </w:r>
      <w:r w:rsidR="00767B8D" w:rsidRPr="00A66F8A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ION CHICU</w:t>
      </w:r>
      <w:r w:rsidR="00767B8D" w:rsidRPr="00A66F8A">
        <w:rPr>
          <w:rFonts w:ascii="Times New Roman" w:hAnsi="Times New Roman"/>
          <w:b/>
          <w:sz w:val="28"/>
          <w:szCs w:val="28"/>
        </w:rPr>
        <w:t xml:space="preserve">         </w:t>
      </w:r>
      <w:r w:rsidR="00767B8D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R="00767B8D" w:rsidSect="0035217F">
      <w:pgSz w:w="11906" w:h="16838"/>
      <w:pgMar w:top="567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C70CB56"/>
    <w:lvl w:ilvl="0">
      <w:start w:val="1"/>
      <w:numFmt w:val="decimal"/>
      <w:lvlText w:val="%1."/>
      <w:lvlJc w:val="left"/>
      <w:pPr>
        <w:tabs>
          <w:tab w:val="num" w:pos="560"/>
        </w:tabs>
        <w:ind w:left="958" w:hanging="390"/>
      </w:pPr>
      <w:rPr>
        <w:rFonts w:cs="Times New Roman" w:hint="default"/>
        <w:b w:val="0"/>
        <w:i w:val="0"/>
        <w:caps w:val="0"/>
        <w:smallCaps w:val="0"/>
        <w:color w:val="000000"/>
        <w:lang w:val="ro-RO"/>
      </w:rPr>
    </w:lvl>
    <w:lvl w:ilvl="1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B52CC"/>
    <w:rsid w:val="000C0FB6"/>
    <w:rsid w:val="000F3002"/>
    <w:rsid w:val="00112A46"/>
    <w:rsid w:val="001531A1"/>
    <w:rsid w:val="001553A4"/>
    <w:rsid w:val="0016443F"/>
    <w:rsid w:val="00180BFF"/>
    <w:rsid w:val="001851EA"/>
    <w:rsid w:val="001E7590"/>
    <w:rsid w:val="00256135"/>
    <w:rsid w:val="00277A43"/>
    <w:rsid w:val="00294191"/>
    <w:rsid w:val="002A199F"/>
    <w:rsid w:val="0035217F"/>
    <w:rsid w:val="0039382D"/>
    <w:rsid w:val="0048369F"/>
    <w:rsid w:val="00507CBD"/>
    <w:rsid w:val="0051146B"/>
    <w:rsid w:val="00522E3C"/>
    <w:rsid w:val="00552417"/>
    <w:rsid w:val="00563BBC"/>
    <w:rsid w:val="005D692D"/>
    <w:rsid w:val="005E6BC3"/>
    <w:rsid w:val="005F5A04"/>
    <w:rsid w:val="005F79C9"/>
    <w:rsid w:val="0061089E"/>
    <w:rsid w:val="00682554"/>
    <w:rsid w:val="006C39BF"/>
    <w:rsid w:val="006F5AB3"/>
    <w:rsid w:val="006F68F4"/>
    <w:rsid w:val="00767B8D"/>
    <w:rsid w:val="00771D7A"/>
    <w:rsid w:val="0079500A"/>
    <w:rsid w:val="00796D06"/>
    <w:rsid w:val="007B7712"/>
    <w:rsid w:val="007E35BD"/>
    <w:rsid w:val="00802DCF"/>
    <w:rsid w:val="008B1D52"/>
    <w:rsid w:val="008C6DF0"/>
    <w:rsid w:val="00911FCA"/>
    <w:rsid w:val="009B6BEA"/>
    <w:rsid w:val="009C7947"/>
    <w:rsid w:val="00A368C9"/>
    <w:rsid w:val="00A66F8A"/>
    <w:rsid w:val="00AC6D1E"/>
    <w:rsid w:val="00AD2B82"/>
    <w:rsid w:val="00B44F03"/>
    <w:rsid w:val="00B578A1"/>
    <w:rsid w:val="00BB6332"/>
    <w:rsid w:val="00BC55C5"/>
    <w:rsid w:val="00BE1010"/>
    <w:rsid w:val="00C517C4"/>
    <w:rsid w:val="00C97F7C"/>
    <w:rsid w:val="00D22FE7"/>
    <w:rsid w:val="00D45762"/>
    <w:rsid w:val="00D8520B"/>
    <w:rsid w:val="00DA1D4A"/>
    <w:rsid w:val="00DD1878"/>
    <w:rsid w:val="00EB3016"/>
    <w:rsid w:val="00F62522"/>
    <w:rsid w:val="00F64C86"/>
    <w:rsid w:val="00F93612"/>
    <w:rsid w:val="00FB380B"/>
    <w:rsid w:val="00FC0EF7"/>
    <w:rsid w:val="00FC5D5F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0FF7"/>
  <w15:docId w15:val="{29384969-48F2-40A3-A8C7-61B328F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Frspaiere">
    <w:name w:val="No Spacing"/>
    <w:uiPriority w:val="1"/>
    <w:qFormat/>
    <w:rsid w:val="00911FCA"/>
    <w:pPr>
      <w:spacing w:after="0" w:line="240" w:lineRule="auto"/>
    </w:pPr>
    <w:rPr>
      <w:lang w:val="en-US"/>
    </w:rPr>
  </w:style>
  <w:style w:type="character" w:styleId="Hyperlink">
    <w:name w:val="Hyperlink"/>
    <w:basedOn w:val="Fontdeparagrafimplicit"/>
    <w:uiPriority w:val="99"/>
    <w:unhideWhenUsed/>
    <w:rsid w:val="00911FCA"/>
    <w:rPr>
      <w:color w:val="0000FF" w:themeColor="hyperlink"/>
      <w:u w:val="single"/>
    </w:rPr>
  </w:style>
  <w:style w:type="paragraph" w:customStyle="1" w:styleId="tt">
    <w:name w:val="tt"/>
    <w:basedOn w:val="Normal"/>
    <w:uiPriority w:val="99"/>
    <w:rsid w:val="00BE1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5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Cristina Iachim</cp:lastModifiedBy>
  <cp:revision>21</cp:revision>
  <cp:lastPrinted>2018-09-28T13:48:00Z</cp:lastPrinted>
  <dcterms:created xsi:type="dcterms:W3CDTF">2018-07-20T05:59:00Z</dcterms:created>
  <dcterms:modified xsi:type="dcterms:W3CDTF">2018-10-01T06:37:00Z</dcterms:modified>
</cp:coreProperties>
</file>